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63DD3124" wp14:editId="37B3204C">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415F31">
            <w:t>FINAL</w:t>
          </w:r>
          <w:r w:rsidR="00DA4752">
            <w:t xml:space="preserve"> DECISION</w:t>
          </w:r>
        </w:p>
        <w:p w:rsidR="00415F31" w:rsidRDefault="005C21A4" w:rsidP="008F07A3">
          <w:pPr>
            <w:pStyle w:val="ReportSubtitle"/>
          </w:pPr>
          <w:r>
            <w:t>Essential Energy</w:t>
          </w:r>
          <w:r w:rsidR="0070011E">
            <w:t xml:space="preserve"> 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70011E">
            <w:t>8</w:t>
          </w:r>
          <w:r>
            <w:rPr>
              <w:rFonts w:cs="Arial"/>
            </w:rPr>
            <w:t>−</w:t>
          </w:r>
          <w:r w:rsidR="0070011E">
            <w:t>19</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2344AF">
            <w:t>7</w:t>
          </w:r>
          <w:r w:rsidR="0069085A">
            <w:t xml:space="preserve"> –</w:t>
          </w:r>
          <w:r w:rsidR="002344AF">
            <w:t xml:space="preserve"> Operating </w:t>
          </w:r>
          <w:r w:rsidR="009B49B4">
            <w:t>expenditure</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8F07A3" w:rsidRPr="009D3906" w:rsidRDefault="005C21A4" w:rsidP="00B9562D">
      <w:pPr>
        <w:pStyle w:val="Copyright"/>
      </w:pPr>
      <w:r>
        <w:t>AER reference:</w:t>
      </w:r>
      <w:r>
        <w:tab/>
        <w:t>54419</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5136CC">
      <w:pPr>
        <w:pStyle w:val="UnnumberedHeading"/>
        <w:numPr>
          <w:ilvl w:val="0"/>
          <w:numId w:val="23"/>
        </w:numPr>
      </w:pPr>
      <w:bookmarkStart w:id="5" w:name="_Toc417719002"/>
      <w:r>
        <w:lastRenderedPageBreak/>
        <w:t>N</w:t>
      </w:r>
      <w:r w:rsidR="008F07A3">
        <w:t>ote</w:t>
      </w:r>
      <w:bookmarkEnd w:id="1"/>
      <w:bookmarkEnd w:id="2"/>
      <w:bookmarkEnd w:id="3"/>
      <w:bookmarkEnd w:id="4"/>
      <w:bookmarkEnd w:id="5"/>
    </w:p>
    <w:p w:rsidR="00415F31" w:rsidRDefault="00415F31" w:rsidP="005136CC">
      <w:pPr>
        <w:numPr>
          <w:ilvl w:val="0"/>
          <w:numId w:val="24"/>
        </w:numPr>
        <w:spacing w:before="0" w:after="240" w:line="288" w:lineRule="auto"/>
        <w:jc w:val="both"/>
      </w:pPr>
    </w:p>
    <w:p w:rsidR="00415F31" w:rsidRDefault="008F07A3" w:rsidP="005136CC">
      <w:pPr>
        <w:numPr>
          <w:ilvl w:val="0"/>
          <w:numId w:val="24"/>
        </w:numPr>
        <w:spacing w:before="0" w:after="240" w:line="288" w:lineRule="auto"/>
        <w:jc w:val="both"/>
      </w:pPr>
      <w:r>
        <w:t xml:space="preserve">This </w:t>
      </w:r>
      <w:r w:rsidR="00415F31">
        <w:t xml:space="preserve">attachment forms part of the AER's final decision on </w:t>
      </w:r>
      <w:r w:rsidR="005C21A4">
        <w:t>Essential Energy</w:t>
      </w:r>
      <w:r w:rsidR="0070011E">
        <w:t>’</w:t>
      </w:r>
      <w:r w:rsidR="00415F31">
        <w:t xml:space="preserve">s </w:t>
      </w:r>
      <w:r w:rsidR="002B1A23">
        <w:t xml:space="preserve">regulatory </w:t>
      </w:r>
      <w:r w:rsidR="00415F31">
        <w:t>proposal 2015</w:t>
      </w:r>
      <w:r w:rsidR="00415F31" w:rsidRPr="00D904FA">
        <w:t>–</w:t>
      </w:r>
      <w:r w:rsidR="00415F31">
        <w:t>1</w:t>
      </w:r>
      <w:r w:rsidR="0070011E">
        <w:t>9</w:t>
      </w:r>
      <w:r w:rsidR="00415F31">
        <w:t>. It should be read with other parts of the final decision.</w:t>
      </w:r>
    </w:p>
    <w:p w:rsidR="00415F31" w:rsidRDefault="00415F31" w:rsidP="005136CC">
      <w:pPr>
        <w:numPr>
          <w:ilvl w:val="0"/>
          <w:numId w:val="24"/>
        </w:numPr>
        <w:spacing w:before="0" w:after="240" w:line="288" w:lineRule="auto"/>
        <w:jc w:val="both"/>
      </w:pPr>
      <w:r>
        <w:t>The final decision includes the following documents:</w:t>
      </w:r>
    </w:p>
    <w:p w:rsidR="00415F31" w:rsidRDefault="00415F31" w:rsidP="005136C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Attachment 18 - Connection methodology</w:t>
      </w:r>
    </w:p>
    <w:p w:rsidR="00B26CB0" w:rsidRDefault="00B26CB0" w:rsidP="00415F31">
      <w:r>
        <w:t xml:space="preserve">Attachment </w:t>
      </w:r>
      <w:r w:rsidR="009664DF">
        <w:t>19</w:t>
      </w:r>
      <w:r>
        <w:t xml:space="preserve"> - Analysis of financial viability</w:t>
      </w:r>
    </w:p>
    <w:p w:rsidR="008F07A3" w:rsidRPr="008F07A3" w:rsidRDefault="008F07A3" w:rsidP="005136CC">
      <w:pPr>
        <w:numPr>
          <w:ilvl w:val="0"/>
          <w:numId w:val="24"/>
        </w:numPr>
        <w:sectPr w:rsidR="008F07A3" w:rsidRPr="008F07A3" w:rsidSect="001754EE">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p>
    <w:p w:rsidR="00DE563D" w:rsidRPr="00A72B34" w:rsidRDefault="00DE563D" w:rsidP="005136CC">
      <w:pPr>
        <w:pStyle w:val="UnnumberedHeading"/>
        <w:numPr>
          <w:ilvl w:val="0"/>
          <w:numId w:val="23"/>
        </w:numPr>
      </w:pPr>
      <w:bookmarkStart w:id="6" w:name="_Toc403144133"/>
      <w:bookmarkStart w:id="7" w:name="_Toc417719003"/>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EF484F" w:rsidRDefault="00507E65">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"2-2" \h \z \t "Heading 1,1,Heading 3,3,Heading 7,1,Heading 8,2,Heading 9,3,Unnumbered Heading,1" </w:instrText>
          </w:r>
          <w:r>
            <w:rPr>
              <w:color w:val="auto"/>
              <w:sz w:val="22"/>
            </w:rPr>
            <w:fldChar w:fldCharType="separate"/>
          </w:r>
          <w:hyperlink w:anchor="_Toc417719002" w:history="1">
            <w:r w:rsidR="00EF484F" w:rsidRPr="00212190">
              <w:rPr>
                <w:rStyle w:val="Hyperlink"/>
              </w:rPr>
              <w:t>Note</w:t>
            </w:r>
            <w:r w:rsidR="00EF484F">
              <w:rPr>
                <w:webHidden/>
              </w:rPr>
              <w:tab/>
            </w:r>
            <w:r w:rsidR="00EF484F">
              <w:rPr>
                <w:webHidden/>
              </w:rPr>
              <w:fldChar w:fldCharType="begin"/>
            </w:r>
            <w:r w:rsidR="00EF484F">
              <w:rPr>
                <w:webHidden/>
              </w:rPr>
              <w:instrText xml:space="preserve"> PAGEREF _Toc417719002 \h </w:instrText>
            </w:r>
            <w:r w:rsidR="00EF484F">
              <w:rPr>
                <w:webHidden/>
              </w:rPr>
            </w:r>
            <w:r w:rsidR="00EF484F">
              <w:rPr>
                <w:webHidden/>
              </w:rPr>
              <w:fldChar w:fldCharType="separate"/>
            </w:r>
            <w:r w:rsidR="00EF484F">
              <w:rPr>
                <w:webHidden/>
              </w:rPr>
              <w:t>7-2</w:t>
            </w:r>
            <w:r w:rsidR="00EF484F">
              <w:rPr>
                <w:webHidden/>
              </w:rPr>
              <w:fldChar w:fldCharType="end"/>
            </w:r>
          </w:hyperlink>
        </w:p>
        <w:p w:rsidR="00EF484F" w:rsidRDefault="007A58F7">
          <w:pPr>
            <w:pStyle w:val="TOC1"/>
            <w:rPr>
              <w:rFonts w:asciiTheme="minorHAnsi" w:eastAsiaTheme="minorEastAsia" w:hAnsiTheme="minorHAnsi"/>
              <w:b w:val="0"/>
              <w:color w:val="auto"/>
              <w:sz w:val="22"/>
              <w:lang w:val="en-AU" w:eastAsia="en-AU"/>
            </w:rPr>
          </w:pPr>
          <w:hyperlink w:anchor="_Toc417719003" w:history="1">
            <w:r w:rsidR="00EF484F" w:rsidRPr="00212190">
              <w:rPr>
                <w:rStyle w:val="Hyperlink"/>
              </w:rPr>
              <w:t>Contents</w:t>
            </w:r>
            <w:r w:rsidR="00EF484F">
              <w:rPr>
                <w:webHidden/>
              </w:rPr>
              <w:tab/>
            </w:r>
            <w:r w:rsidR="00EF484F">
              <w:rPr>
                <w:webHidden/>
              </w:rPr>
              <w:fldChar w:fldCharType="begin"/>
            </w:r>
            <w:r w:rsidR="00EF484F">
              <w:rPr>
                <w:webHidden/>
              </w:rPr>
              <w:instrText xml:space="preserve"> PAGEREF _Toc417719003 \h </w:instrText>
            </w:r>
            <w:r w:rsidR="00EF484F">
              <w:rPr>
                <w:webHidden/>
              </w:rPr>
            </w:r>
            <w:r w:rsidR="00EF484F">
              <w:rPr>
                <w:webHidden/>
              </w:rPr>
              <w:fldChar w:fldCharType="separate"/>
            </w:r>
            <w:r w:rsidR="00EF484F">
              <w:rPr>
                <w:webHidden/>
              </w:rPr>
              <w:t>7-3</w:t>
            </w:r>
            <w:r w:rsidR="00EF484F">
              <w:rPr>
                <w:webHidden/>
              </w:rPr>
              <w:fldChar w:fldCharType="end"/>
            </w:r>
          </w:hyperlink>
        </w:p>
        <w:p w:rsidR="00EF484F" w:rsidRDefault="007A58F7">
          <w:pPr>
            <w:pStyle w:val="TOC1"/>
            <w:rPr>
              <w:rFonts w:asciiTheme="minorHAnsi" w:eastAsiaTheme="minorEastAsia" w:hAnsiTheme="minorHAnsi"/>
              <w:b w:val="0"/>
              <w:color w:val="auto"/>
              <w:sz w:val="22"/>
              <w:lang w:val="en-AU" w:eastAsia="en-AU"/>
            </w:rPr>
          </w:pPr>
          <w:hyperlink w:anchor="_Toc417719004" w:history="1">
            <w:r w:rsidR="00EF484F" w:rsidRPr="00212190">
              <w:rPr>
                <w:rStyle w:val="Hyperlink"/>
              </w:rPr>
              <w:t>Shortened forms</w:t>
            </w:r>
            <w:r w:rsidR="00EF484F">
              <w:rPr>
                <w:webHidden/>
              </w:rPr>
              <w:tab/>
            </w:r>
            <w:r w:rsidR="00EF484F">
              <w:rPr>
                <w:webHidden/>
              </w:rPr>
              <w:fldChar w:fldCharType="begin"/>
            </w:r>
            <w:r w:rsidR="00EF484F">
              <w:rPr>
                <w:webHidden/>
              </w:rPr>
              <w:instrText xml:space="preserve"> PAGEREF _Toc417719004 \h </w:instrText>
            </w:r>
            <w:r w:rsidR="00EF484F">
              <w:rPr>
                <w:webHidden/>
              </w:rPr>
            </w:r>
            <w:r w:rsidR="00EF484F">
              <w:rPr>
                <w:webHidden/>
              </w:rPr>
              <w:fldChar w:fldCharType="separate"/>
            </w:r>
            <w:r w:rsidR="00EF484F">
              <w:rPr>
                <w:webHidden/>
              </w:rPr>
              <w:t>7-6</w:t>
            </w:r>
            <w:r w:rsidR="00EF484F">
              <w:rPr>
                <w:webHidden/>
              </w:rPr>
              <w:fldChar w:fldCharType="end"/>
            </w:r>
          </w:hyperlink>
        </w:p>
        <w:p w:rsidR="00EF484F" w:rsidRDefault="007A58F7">
          <w:pPr>
            <w:pStyle w:val="TOC1"/>
            <w:rPr>
              <w:rFonts w:asciiTheme="minorHAnsi" w:eastAsiaTheme="minorEastAsia" w:hAnsiTheme="minorHAnsi"/>
              <w:b w:val="0"/>
              <w:color w:val="auto"/>
              <w:sz w:val="22"/>
              <w:lang w:val="en-AU" w:eastAsia="en-AU"/>
            </w:rPr>
          </w:pPr>
          <w:hyperlink w:anchor="_Toc417719005" w:history="1">
            <w:r w:rsidR="00EF484F" w:rsidRPr="00212190">
              <w:rPr>
                <w:rStyle w:val="Hyperlink"/>
              </w:rPr>
              <w:t>7</w:t>
            </w:r>
            <w:r w:rsidR="00EF484F">
              <w:rPr>
                <w:rFonts w:asciiTheme="minorHAnsi" w:eastAsiaTheme="minorEastAsia" w:hAnsiTheme="minorHAnsi"/>
                <w:b w:val="0"/>
                <w:color w:val="auto"/>
                <w:sz w:val="22"/>
                <w:lang w:val="en-AU" w:eastAsia="en-AU"/>
              </w:rPr>
              <w:tab/>
            </w:r>
            <w:r w:rsidR="00EF484F" w:rsidRPr="00212190">
              <w:rPr>
                <w:rStyle w:val="Hyperlink"/>
              </w:rPr>
              <w:t>Operating expenditure</w:t>
            </w:r>
            <w:r w:rsidR="00EF484F">
              <w:rPr>
                <w:webHidden/>
              </w:rPr>
              <w:tab/>
            </w:r>
            <w:r w:rsidR="00EF484F">
              <w:rPr>
                <w:webHidden/>
              </w:rPr>
              <w:fldChar w:fldCharType="begin"/>
            </w:r>
            <w:r w:rsidR="00EF484F">
              <w:rPr>
                <w:webHidden/>
              </w:rPr>
              <w:instrText xml:space="preserve"> PAGEREF _Toc417719005 \h </w:instrText>
            </w:r>
            <w:r w:rsidR="00EF484F">
              <w:rPr>
                <w:webHidden/>
              </w:rPr>
            </w:r>
            <w:r w:rsidR="00EF484F">
              <w:rPr>
                <w:webHidden/>
              </w:rPr>
              <w:fldChar w:fldCharType="separate"/>
            </w:r>
            <w:r w:rsidR="00EF484F">
              <w:rPr>
                <w:webHidden/>
              </w:rPr>
              <w:t>7-8</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06" w:history="1">
            <w:r w:rsidR="00EF484F" w:rsidRPr="00212190">
              <w:rPr>
                <w:rStyle w:val="Hyperlink"/>
              </w:rPr>
              <w:t>7.1</w:t>
            </w:r>
            <w:r w:rsidR="00EF484F">
              <w:rPr>
                <w:rFonts w:asciiTheme="minorHAnsi" w:eastAsiaTheme="minorEastAsia" w:hAnsiTheme="minorHAnsi"/>
                <w:b w:val="0"/>
                <w:color w:val="auto"/>
                <w:sz w:val="22"/>
                <w:lang w:eastAsia="en-AU"/>
              </w:rPr>
              <w:tab/>
            </w:r>
            <w:r w:rsidR="00EF484F" w:rsidRPr="00212190">
              <w:rPr>
                <w:rStyle w:val="Hyperlink"/>
              </w:rPr>
              <w:t>Final decision</w:t>
            </w:r>
            <w:r w:rsidR="00EF484F">
              <w:rPr>
                <w:webHidden/>
              </w:rPr>
              <w:tab/>
            </w:r>
            <w:r w:rsidR="00EF484F">
              <w:rPr>
                <w:webHidden/>
              </w:rPr>
              <w:fldChar w:fldCharType="begin"/>
            </w:r>
            <w:r w:rsidR="00EF484F">
              <w:rPr>
                <w:webHidden/>
              </w:rPr>
              <w:instrText xml:space="preserve"> PAGEREF _Toc417719006 \h </w:instrText>
            </w:r>
            <w:r w:rsidR="00EF484F">
              <w:rPr>
                <w:webHidden/>
              </w:rPr>
            </w:r>
            <w:r w:rsidR="00EF484F">
              <w:rPr>
                <w:webHidden/>
              </w:rPr>
              <w:fldChar w:fldCharType="separate"/>
            </w:r>
            <w:r w:rsidR="00EF484F">
              <w:rPr>
                <w:webHidden/>
              </w:rPr>
              <w:t>7-8</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07" w:history="1">
            <w:r w:rsidR="00EF484F" w:rsidRPr="00212190">
              <w:rPr>
                <w:rStyle w:val="Hyperlink"/>
              </w:rPr>
              <w:t>7.2</w:t>
            </w:r>
            <w:r w:rsidR="00EF484F">
              <w:rPr>
                <w:rFonts w:asciiTheme="minorHAnsi" w:eastAsiaTheme="minorEastAsia" w:hAnsiTheme="minorHAnsi"/>
                <w:b w:val="0"/>
                <w:color w:val="auto"/>
                <w:sz w:val="22"/>
                <w:lang w:eastAsia="en-AU"/>
              </w:rPr>
              <w:tab/>
            </w:r>
            <w:r w:rsidR="00EF484F" w:rsidRPr="00212190">
              <w:rPr>
                <w:rStyle w:val="Hyperlink"/>
              </w:rPr>
              <w:t>Essential Energy's revised proposal</w:t>
            </w:r>
            <w:r w:rsidR="00EF484F">
              <w:rPr>
                <w:webHidden/>
              </w:rPr>
              <w:tab/>
            </w:r>
            <w:r w:rsidR="00EF484F">
              <w:rPr>
                <w:webHidden/>
              </w:rPr>
              <w:fldChar w:fldCharType="begin"/>
            </w:r>
            <w:r w:rsidR="00EF484F">
              <w:rPr>
                <w:webHidden/>
              </w:rPr>
              <w:instrText xml:space="preserve"> PAGEREF _Toc417719007 \h </w:instrText>
            </w:r>
            <w:r w:rsidR="00EF484F">
              <w:rPr>
                <w:webHidden/>
              </w:rPr>
            </w:r>
            <w:r w:rsidR="00EF484F">
              <w:rPr>
                <w:webHidden/>
              </w:rPr>
              <w:fldChar w:fldCharType="separate"/>
            </w:r>
            <w:r w:rsidR="00EF484F">
              <w:rPr>
                <w:webHidden/>
              </w:rPr>
              <w:t>7-11</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08" w:history="1">
            <w:r w:rsidR="00EF484F" w:rsidRPr="00212190">
              <w:rPr>
                <w:rStyle w:val="Hyperlink"/>
              </w:rPr>
              <w:t>7.3</w:t>
            </w:r>
            <w:r w:rsidR="00EF484F">
              <w:rPr>
                <w:rFonts w:asciiTheme="minorHAnsi" w:eastAsiaTheme="minorEastAsia" w:hAnsiTheme="minorHAnsi"/>
                <w:b w:val="0"/>
                <w:color w:val="auto"/>
                <w:sz w:val="22"/>
                <w:lang w:eastAsia="en-AU"/>
              </w:rPr>
              <w:tab/>
            </w:r>
            <w:r w:rsidR="00EF484F" w:rsidRPr="00212190">
              <w:rPr>
                <w:rStyle w:val="Hyperlink"/>
              </w:rPr>
              <w:t>Assessment approach</w:t>
            </w:r>
            <w:r w:rsidR="00EF484F">
              <w:rPr>
                <w:webHidden/>
              </w:rPr>
              <w:tab/>
            </w:r>
            <w:r w:rsidR="00EF484F">
              <w:rPr>
                <w:webHidden/>
              </w:rPr>
              <w:fldChar w:fldCharType="begin"/>
            </w:r>
            <w:r w:rsidR="00EF484F">
              <w:rPr>
                <w:webHidden/>
              </w:rPr>
              <w:instrText xml:space="preserve"> PAGEREF _Toc417719008 \h </w:instrText>
            </w:r>
            <w:r w:rsidR="00EF484F">
              <w:rPr>
                <w:webHidden/>
              </w:rPr>
            </w:r>
            <w:r w:rsidR="00EF484F">
              <w:rPr>
                <w:webHidden/>
              </w:rPr>
              <w:fldChar w:fldCharType="separate"/>
            </w:r>
            <w:r w:rsidR="00EF484F">
              <w:rPr>
                <w:webHidden/>
              </w:rPr>
              <w:t>7-12</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09" w:history="1">
            <w:r w:rsidR="00EF484F" w:rsidRPr="00212190">
              <w:rPr>
                <w:rStyle w:val="Hyperlink"/>
              </w:rPr>
              <w:t>7.4</w:t>
            </w:r>
            <w:r w:rsidR="00EF484F">
              <w:rPr>
                <w:rFonts w:asciiTheme="minorHAnsi" w:eastAsiaTheme="minorEastAsia" w:hAnsiTheme="minorHAnsi"/>
                <w:b w:val="0"/>
                <w:color w:val="auto"/>
                <w:sz w:val="22"/>
                <w:lang w:eastAsia="en-AU"/>
              </w:rPr>
              <w:tab/>
            </w:r>
            <w:r w:rsidR="00EF484F" w:rsidRPr="00212190">
              <w:rPr>
                <w:rStyle w:val="Hyperlink"/>
              </w:rPr>
              <w:t>Summary of our decision</w:t>
            </w:r>
            <w:r w:rsidR="00EF484F">
              <w:rPr>
                <w:webHidden/>
              </w:rPr>
              <w:tab/>
            </w:r>
            <w:r w:rsidR="00EF484F">
              <w:rPr>
                <w:webHidden/>
              </w:rPr>
              <w:fldChar w:fldCharType="begin"/>
            </w:r>
            <w:r w:rsidR="00EF484F">
              <w:rPr>
                <w:webHidden/>
              </w:rPr>
              <w:instrText xml:space="preserve"> PAGEREF _Toc417719009 \h </w:instrText>
            </w:r>
            <w:r w:rsidR="00EF484F">
              <w:rPr>
                <w:webHidden/>
              </w:rPr>
            </w:r>
            <w:r w:rsidR="00EF484F">
              <w:rPr>
                <w:webHidden/>
              </w:rPr>
              <w:fldChar w:fldCharType="separate"/>
            </w:r>
            <w:r w:rsidR="00EF484F">
              <w:rPr>
                <w:webHidden/>
              </w:rPr>
              <w:t>7-21</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10" w:history="1">
            <w:r w:rsidR="00EF484F" w:rsidRPr="00212190">
              <w:rPr>
                <w:rStyle w:val="Hyperlink"/>
              </w:rPr>
              <w:t>7.4.1</w:t>
            </w:r>
            <w:r w:rsidR="00EF484F">
              <w:rPr>
                <w:rFonts w:asciiTheme="minorHAnsi" w:eastAsiaTheme="minorEastAsia" w:hAnsiTheme="minorHAnsi"/>
                <w:lang w:eastAsia="en-AU"/>
              </w:rPr>
              <w:tab/>
            </w:r>
            <w:r w:rsidR="00EF484F" w:rsidRPr="00212190">
              <w:rPr>
                <w:rStyle w:val="Hyperlink"/>
              </w:rPr>
              <w:t>Forecasting method assessment</w:t>
            </w:r>
            <w:r w:rsidR="00EF484F">
              <w:rPr>
                <w:webHidden/>
              </w:rPr>
              <w:tab/>
            </w:r>
            <w:r w:rsidR="00EF484F">
              <w:rPr>
                <w:webHidden/>
              </w:rPr>
              <w:fldChar w:fldCharType="begin"/>
            </w:r>
            <w:r w:rsidR="00EF484F">
              <w:rPr>
                <w:webHidden/>
              </w:rPr>
              <w:instrText xml:space="preserve"> PAGEREF _Toc417719010 \h </w:instrText>
            </w:r>
            <w:r w:rsidR="00EF484F">
              <w:rPr>
                <w:webHidden/>
              </w:rPr>
            </w:r>
            <w:r w:rsidR="00EF484F">
              <w:rPr>
                <w:webHidden/>
              </w:rPr>
              <w:fldChar w:fldCharType="separate"/>
            </w:r>
            <w:r w:rsidR="00EF484F">
              <w:rPr>
                <w:webHidden/>
              </w:rPr>
              <w:t>7-23</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11" w:history="1">
            <w:r w:rsidR="00EF484F" w:rsidRPr="00212190">
              <w:rPr>
                <w:rStyle w:val="Hyperlink"/>
              </w:rPr>
              <w:t>7.4.2</w:t>
            </w:r>
            <w:r w:rsidR="00EF484F">
              <w:rPr>
                <w:rFonts w:asciiTheme="minorHAnsi" w:eastAsiaTheme="minorEastAsia" w:hAnsiTheme="minorHAnsi"/>
                <w:lang w:eastAsia="en-AU"/>
              </w:rPr>
              <w:tab/>
            </w:r>
            <w:r w:rsidR="00EF484F" w:rsidRPr="00212190">
              <w:rPr>
                <w:rStyle w:val="Hyperlink"/>
              </w:rPr>
              <w:t>Base opex</w:t>
            </w:r>
            <w:r w:rsidR="00EF484F">
              <w:rPr>
                <w:webHidden/>
              </w:rPr>
              <w:tab/>
            </w:r>
            <w:r w:rsidR="00EF484F">
              <w:rPr>
                <w:webHidden/>
              </w:rPr>
              <w:fldChar w:fldCharType="begin"/>
            </w:r>
            <w:r w:rsidR="00EF484F">
              <w:rPr>
                <w:webHidden/>
              </w:rPr>
              <w:instrText xml:space="preserve"> PAGEREF _Toc417719011 \h </w:instrText>
            </w:r>
            <w:r w:rsidR="00EF484F">
              <w:rPr>
                <w:webHidden/>
              </w:rPr>
            </w:r>
            <w:r w:rsidR="00EF484F">
              <w:rPr>
                <w:webHidden/>
              </w:rPr>
              <w:fldChar w:fldCharType="separate"/>
            </w:r>
            <w:r w:rsidR="00EF484F">
              <w:rPr>
                <w:webHidden/>
              </w:rPr>
              <w:t>7-23</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12" w:history="1">
            <w:r w:rsidR="00EF484F" w:rsidRPr="00212190">
              <w:rPr>
                <w:rStyle w:val="Hyperlink"/>
              </w:rPr>
              <w:t>7.4.3</w:t>
            </w:r>
            <w:r w:rsidR="00EF484F">
              <w:rPr>
                <w:rFonts w:asciiTheme="minorHAnsi" w:eastAsiaTheme="minorEastAsia" w:hAnsiTheme="minorHAnsi"/>
                <w:lang w:eastAsia="en-AU"/>
              </w:rPr>
              <w:tab/>
            </w:r>
            <w:r w:rsidR="00EF484F" w:rsidRPr="00212190">
              <w:rPr>
                <w:rStyle w:val="Hyperlink"/>
              </w:rPr>
              <w:t>Rate of change</w:t>
            </w:r>
            <w:r w:rsidR="00EF484F">
              <w:rPr>
                <w:webHidden/>
              </w:rPr>
              <w:tab/>
            </w:r>
            <w:r w:rsidR="00EF484F">
              <w:rPr>
                <w:webHidden/>
              </w:rPr>
              <w:fldChar w:fldCharType="begin"/>
            </w:r>
            <w:r w:rsidR="00EF484F">
              <w:rPr>
                <w:webHidden/>
              </w:rPr>
              <w:instrText xml:space="preserve"> PAGEREF _Toc417719012 \h </w:instrText>
            </w:r>
            <w:r w:rsidR="00EF484F">
              <w:rPr>
                <w:webHidden/>
              </w:rPr>
            </w:r>
            <w:r w:rsidR="00EF484F">
              <w:rPr>
                <w:webHidden/>
              </w:rPr>
              <w:fldChar w:fldCharType="separate"/>
            </w:r>
            <w:r w:rsidR="00EF484F">
              <w:rPr>
                <w:webHidden/>
              </w:rPr>
              <w:t>7-28</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13" w:history="1">
            <w:r w:rsidR="00EF484F" w:rsidRPr="00212190">
              <w:rPr>
                <w:rStyle w:val="Hyperlink"/>
              </w:rPr>
              <w:t>7.4.4</w:t>
            </w:r>
            <w:r w:rsidR="00EF484F">
              <w:rPr>
                <w:rFonts w:asciiTheme="minorHAnsi" w:eastAsiaTheme="minorEastAsia" w:hAnsiTheme="minorHAnsi"/>
                <w:lang w:eastAsia="en-AU"/>
              </w:rPr>
              <w:tab/>
            </w:r>
            <w:r w:rsidR="00EF484F" w:rsidRPr="00212190">
              <w:rPr>
                <w:rStyle w:val="Hyperlink"/>
              </w:rPr>
              <w:t>Step changes</w:t>
            </w:r>
            <w:r w:rsidR="00EF484F">
              <w:rPr>
                <w:webHidden/>
              </w:rPr>
              <w:tab/>
            </w:r>
            <w:r w:rsidR="00EF484F">
              <w:rPr>
                <w:webHidden/>
              </w:rPr>
              <w:fldChar w:fldCharType="begin"/>
            </w:r>
            <w:r w:rsidR="00EF484F">
              <w:rPr>
                <w:webHidden/>
              </w:rPr>
              <w:instrText xml:space="preserve"> PAGEREF _Toc417719013 \h </w:instrText>
            </w:r>
            <w:r w:rsidR="00EF484F">
              <w:rPr>
                <w:webHidden/>
              </w:rPr>
            </w:r>
            <w:r w:rsidR="00EF484F">
              <w:rPr>
                <w:webHidden/>
              </w:rPr>
              <w:fldChar w:fldCharType="separate"/>
            </w:r>
            <w:r w:rsidR="00EF484F">
              <w:rPr>
                <w:webHidden/>
              </w:rPr>
              <w:t>7-29</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14" w:history="1">
            <w:r w:rsidR="00EF484F" w:rsidRPr="00212190">
              <w:rPr>
                <w:rStyle w:val="Hyperlink"/>
              </w:rPr>
              <w:t>7.4.5</w:t>
            </w:r>
            <w:r w:rsidR="00EF484F">
              <w:rPr>
                <w:rFonts w:asciiTheme="minorHAnsi" w:eastAsiaTheme="minorEastAsia" w:hAnsiTheme="minorHAnsi"/>
                <w:lang w:eastAsia="en-AU"/>
              </w:rPr>
              <w:tab/>
            </w:r>
            <w:r w:rsidR="00EF484F" w:rsidRPr="00212190">
              <w:rPr>
                <w:rStyle w:val="Hyperlink"/>
              </w:rPr>
              <w:t>Inflation</w:t>
            </w:r>
            <w:r w:rsidR="00EF484F">
              <w:rPr>
                <w:webHidden/>
              </w:rPr>
              <w:tab/>
            </w:r>
            <w:r w:rsidR="00EF484F">
              <w:rPr>
                <w:webHidden/>
              </w:rPr>
              <w:fldChar w:fldCharType="begin"/>
            </w:r>
            <w:r w:rsidR="00EF484F">
              <w:rPr>
                <w:webHidden/>
              </w:rPr>
              <w:instrText xml:space="preserve"> PAGEREF _Toc417719014 \h </w:instrText>
            </w:r>
            <w:r w:rsidR="00EF484F">
              <w:rPr>
                <w:webHidden/>
              </w:rPr>
            </w:r>
            <w:r w:rsidR="00EF484F">
              <w:rPr>
                <w:webHidden/>
              </w:rPr>
              <w:fldChar w:fldCharType="separate"/>
            </w:r>
            <w:r w:rsidR="00EF484F">
              <w:rPr>
                <w:webHidden/>
              </w:rPr>
              <w:t>7-30</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15" w:history="1">
            <w:r w:rsidR="00EF484F" w:rsidRPr="00212190">
              <w:rPr>
                <w:rStyle w:val="Hyperlink"/>
              </w:rPr>
              <w:t>7.4.6</w:t>
            </w:r>
            <w:r w:rsidR="00EF484F">
              <w:rPr>
                <w:rFonts w:asciiTheme="minorHAnsi" w:eastAsiaTheme="minorEastAsia" w:hAnsiTheme="minorHAnsi"/>
                <w:lang w:eastAsia="en-AU"/>
              </w:rPr>
              <w:tab/>
            </w:r>
            <w:r w:rsidR="00EF484F" w:rsidRPr="00212190">
              <w:rPr>
                <w:rStyle w:val="Hyperlink"/>
              </w:rPr>
              <w:t>Debt raising costs</w:t>
            </w:r>
            <w:r w:rsidR="00EF484F">
              <w:rPr>
                <w:webHidden/>
              </w:rPr>
              <w:tab/>
            </w:r>
            <w:r w:rsidR="00EF484F">
              <w:rPr>
                <w:webHidden/>
              </w:rPr>
              <w:fldChar w:fldCharType="begin"/>
            </w:r>
            <w:r w:rsidR="00EF484F">
              <w:rPr>
                <w:webHidden/>
              </w:rPr>
              <w:instrText xml:space="preserve"> PAGEREF _Toc417719015 \h </w:instrText>
            </w:r>
            <w:r w:rsidR="00EF484F">
              <w:rPr>
                <w:webHidden/>
              </w:rPr>
            </w:r>
            <w:r w:rsidR="00EF484F">
              <w:rPr>
                <w:webHidden/>
              </w:rPr>
              <w:fldChar w:fldCharType="separate"/>
            </w:r>
            <w:r w:rsidR="00EF484F">
              <w:rPr>
                <w:webHidden/>
              </w:rPr>
              <w:t>7-30</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16" w:history="1">
            <w:r w:rsidR="00EF484F" w:rsidRPr="00212190">
              <w:rPr>
                <w:rStyle w:val="Hyperlink"/>
              </w:rPr>
              <w:t>7.5</w:t>
            </w:r>
            <w:r w:rsidR="00EF484F">
              <w:rPr>
                <w:rFonts w:asciiTheme="minorHAnsi" w:eastAsiaTheme="minorEastAsia" w:hAnsiTheme="minorHAnsi"/>
                <w:b w:val="0"/>
                <w:color w:val="auto"/>
                <w:sz w:val="22"/>
                <w:lang w:eastAsia="en-AU"/>
              </w:rPr>
              <w:tab/>
            </w:r>
            <w:r w:rsidR="00EF484F" w:rsidRPr="00212190">
              <w:rPr>
                <w:rStyle w:val="Hyperlink"/>
              </w:rPr>
              <w:t>The impact of our decision</w:t>
            </w:r>
            <w:r w:rsidR="00EF484F">
              <w:rPr>
                <w:webHidden/>
              </w:rPr>
              <w:tab/>
            </w:r>
            <w:r w:rsidR="00EF484F">
              <w:rPr>
                <w:webHidden/>
              </w:rPr>
              <w:fldChar w:fldCharType="begin"/>
            </w:r>
            <w:r w:rsidR="00EF484F">
              <w:rPr>
                <w:webHidden/>
              </w:rPr>
              <w:instrText xml:space="preserve"> PAGEREF _Toc417719016 \h </w:instrText>
            </w:r>
            <w:r w:rsidR="00EF484F">
              <w:rPr>
                <w:webHidden/>
              </w:rPr>
            </w:r>
            <w:r w:rsidR="00EF484F">
              <w:rPr>
                <w:webHidden/>
              </w:rPr>
              <w:fldChar w:fldCharType="separate"/>
            </w:r>
            <w:r w:rsidR="00EF484F">
              <w:rPr>
                <w:webHidden/>
              </w:rPr>
              <w:t>7-30</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17" w:history="1">
            <w:r w:rsidR="00EF484F" w:rsidRPr="00212190">
              <w:rPr>
                <w:rStyle w:val="Hyperlink"/>
              </w:rPr>
              <w:t>7.5.1</w:t>
            </w:r>
            <w:r w:rsidR="00EF484F">
              <w:rPr>
                <w:rFonts w:asciiTheme="minorHAnsi" w:eastAsiaTheme="minorEastAsia" w:hAnsiTheme="minorHAnsi"/>
                <w:lang w:eastAsia="en-AU"/>
              </w:rPr>
              <w:tab/>
            </w:r>
            <w:r w:rsidR="00EF484F" w:rsidRPr="00212190">
              <w:rPr>
                <w:rStyle w:val="Hyperlink"/>
              </w:rPr>
              <w:t>Safety and reliability</w:t>
            </w:r>
            <w:r w:rsidR="00EF484F">
              <w:rPr>
                <w:webHidden/>
              </w:rPr>
              <w:tab/>
            </w:r>
            <w:r w:rsidR="00EF484F">
              <w:rPr>
                <w:webHidden/>
              </w:rPr>
              <w:fldChar w:fldCharType="begin"/>
            </w:r>
            <w:r w:rsidR="00EF484F">
              <w:rPr>
                <w:webHidden/>
              </w:rPr>
              <w:instrText xml:space="preserve"> PAGEREF _Toc417719017 \h </w:instrText>
            </w:r>
            <w:r w:rsidR="00EF484F">
              <w:rPr>
                <w:webHidden/>
              </w:rPr>
            </w:r>
            <w:r w:rsidR="00EF484F">
              <w:rPr>
                <w:webHidden/>
              </w:rPr>
              <w:fldChar w:fldCharType="separate"/>
            </w:r>
            <w:r w:rsidR="00EF484F">
              <w:rPr>
                <w:webHidden/>
              </w:rPr>
              <w:t>7-31</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18" w:history="1">
            <w:r w:rsidR="00EF484F" w:rsidRPr="00212190">
              <w:rPr>
                <w:rStyle w:val="Hyperlink"/>
              </w:rPr>
              <w:t>7.5.2</w:t>
            </w:r>
            <w:r w:rsidR="00EF484F">
              <w:rPr>
                <w:rFonts w:asciiTheme="minorHAnsi" w:eastAsiaTheme="minorEastAsia" w:hAnsiTheme="minorHAnsi"/>
                <w:lang w:eastAsia="en-AU"/>
              </w:rPr>
              <w:tab/>
            </w:r>
            <w:r w:rsidR="00EF484F" w:rsidRPr="00212190">
              <w:rPr>
                <w:rStyle w:val="Hyperlink"/>
              </w:rPr>
              <w:t>Realistic outcomes</w:t>
            </w:r>
            <w:r w:rsidR="00EF484F">
              <w:rPr>
                <w:webHidden/>
              </w:rPr>
              <w:tab/>
            </w:r>
            <w:r w:rsidR="00EF484F">
              <w:rPr>
                <w:webHidden/>
              </w:rPr>
              <w:fldChar w:fldCharType="begin"/>
            </w:r>
            <w:r w:rsidR="00EF484F">
              <w:rPr>
                <w:webHidden/>
              </w:rPr>
              <w:instrText xml:space="preserve"> PAGEREF _Toc417719018 \h </w:instrText>
            </w:r>
            <w:r w:rsidR="00EF484F">
              <w:rPr>
                <w:webHidden/>
              </w:rPr>
            </w:r>
            <w:r w:rsidR="00EF484F">
              <w:rPr>
                <w:webHidden/>
              </w:rPr>
              <w:fldChar w:fldCharType="separate"/>
            </w:r>
            <w:r w:rsidR="00EF484F">
              <w:rPr>
                <w:webHidden/>
              </w:rPr>
              <w:t>7-39</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19" w:history="1">
            <w:r w:rsidR="00EF484F" w:rsidRPr="00212190">
              <w:rPr>
                <w:rStyle w:val="Hyperlink"/>
              </w:rPr>
              <w:t>7.5.3</w:t>
            </w:r>
            <w:r w:rsidR="00EF484F">
              <w:rPr>
                <w:rFonts w:asciiTheme="minorHAnsi" w:eastAsiaTheme="minorEastAsia" w:hAnsiTheme="minorHAnsi"/>
                <w:lang w:eastAsia="en-AU"/>
              </w:rPr>
              <w:tab/>
            </w:r>
            <w:r w:rsidR="00EF484F" w:rsidRPr="00212190">
              <w:rPr>
                <w:rStyle w:val="Hyperlink"/>
              </w:rPr>
              <w:t>Financeability</w:t>
            </w:r>
            <w:r w:rsidR="00EF484F">
              <w:rPr>
                <w:webHidden/>
              </w:rPr>
              <w:tab/>
            </w:r>
            <w:r w:rsidR="00EF484F">
              <w:rPr>
                <w:webHidden/>
              </w:rPr>
              <w:fldChar w:fldCharType="begin"/>
            </w:r>
            <w:r w:rsidR="00EF484F">
              <w:rPr>
                <w:webHidden/>
              </w:rPr>
              <w:instrText xml:space="preserve"> PAGEREF _Toc417719019 \h </w:instrText>
            </w:r>
            <w:r w:rsidR="00EF484F">
              <w:rPr>
                <w:webHidden/>
              </w:rPr>
            </w:r>
            <w:r w:rsidR="00EF484F">
              <w:rPr>
                <w:webHidden/>
              </w:rPr>
              <w:fldChar w:fldCharType="separate"/>
            </w:r>
            <w:r w:rsidR="00EF484F">
              <w:rPr>
                <w:webHidden/>
              </w:rPr>
              <w:t>7-44</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20" w:history="1">
            <w:r w:rsidR="00EF484F" w:rsidRPr="00212190">
              <w:rPr>
                <w:rStyle w:val="Hyperlink"/>
              </w:rPr>
              <w:t>7.6</w:t>
            </w:r>
            <w:r w:rsidR="00EF484F">
              <w:rPr>
                <w:rFonts w:asciiTheme="minorHAnsi" w:eastAsiaTheme="minorEastAsia" w:hAnsiTheme="minorHAnsi"/>
                <w:b w:val="0"/>
                <w:color w:val="auto"/>
                <w:sz w:val="22"/>
                <w:lang w:eastAsia="en-AU"/>
              </w:rPr>
              <w:tab/>
            </w:r>
            <w:r w:rsidR="00EF484F" w:rsidRPr="00212190">
              <w:rPr>
                <w:rStyle w:val="Hyperlink"/>
              </w:rPr>
              <w:t>Interrelationships</w:t>
            </w:r>
            <w:r w:rsidR="00EF484F">
              <w:rPr>
                <w:webHidden/>
              </w:rPr>
              <w:tab/>
            </w:r>
            <w:r w:rsidR="00EF484F">
              <w:rPr>
                <w:webHidden/>
              </w:rPr>
              <w:fldChar w:fldCharType="begin"/>
            </w:r>
            <w:r w:rsidR="00EF484F">
              <w:rPr>
                <w:webHidden/>
              </w:rPr>
              <w:instrText xml:space="preserve"> PAGEREF _Toc417719020 \h </w:instrText>
            </w:r>
            <w:r w:rsidR="00EF484F">
              <w:rPr>
                <w:webHidden/>
              </w:rPr>
            </w:r>
            <w:r w:rsidR="00EF484F">
              <w:rPr>
                <w:webHidden/>
              </w:rPr>
              <w:fldChar w:fldCharType="separate"/>
            </w:r>
            <w:r w:rsidR="00EF484F">
              <w:rPr>
                <w:webHidden/>
              </w:rPr>
              <w:t>7-45</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21" w:history="1">
            <w:r w:rsidR="00EF484F" w:rsidRPr="00212190">
              <w:rPr>
                <w:rStyle w:val="Hyperlink"/>
              </w:rPr>
              <w:t>7.7</w:t>
            </w:r>
            <w:r w:rsidR="00EF484F">
              <w:rPr>
                <w:rFonts w:asciiTheme="minorHAnsi" w:eastAsiaTheme="minorEastAsia" w:hAnsiTheme="minorHAnsi"/>
                <w:b w:val="0"/>
                <w:color w:val="auto"/>
                <w:sz w:val="22"/>
                <w:lang w:eastAsia="en-AU"/>
              </w:rPr>
              <w:tab/>
            </w:r>
            <w:r w:rsidR="00EF484F" w:rsidRPr="00212190">
              <w:rPr>
                <w:rStyle w:val="Hyperlink"/>
              </w:rPr>
              <w:t>Assessment of opex factors</w:t>
            </w:r>
            <w:r w:rsidR="00EF484F">
              <w:rPr>
                <w:webHidden/>
              </w:rPr>
              <w:tab/>
            </w:r>
            <w:r w:rsidR="00EF484F">
              <w:rPr>
                <w:webHidden/>
              </w:rPr>
              <w:fldChar w:fldCharType="begin"/>
            </w:r>
            <w:r w:rsidR="00EF484F">
              <w:rPr>
                <w:webHidden/>
              </w:rPr>
              <w:instrText xml:space="preserve"> PAGEREF _Toc417719021 \h </w:instrText>
            </w:r>
            <w:r w:rsidR="00EF484F">
              <w:rPr>
                <w:webHidden/>
              </w:rPr>
            </w:r>
            <w:r w:rsidR="00EF484F">
              <w:rPr>
                <w:webHidden/>
              </w:rPr>
              <w:fldChar w:fldCharType="separate"/>
            </w:r>
            <w:r w:rsidR="00EF484F">
              <w:rPr>
                <w:webHidden/>
              </w:rPr>
              <w:t>7-46</w:t>
            </w:r>
            <w:r w:rsidR="00EF484F">
              <w:rPr>
                <w:webHidden/>
              </w:rPr>
              <w:fldChar w:fldCharType="end"/>
            </w:r>
          </w:hyperlink>
        </w:p>
        <w:p w:rsidR="00EF484F" w:rsidRDefault="007A58F7">
          <w:pPr>
            <w:pStyle w:val="TOC1"/>
            <w:rPr>
              <w:rFonts w:asciiTheme="minorHAnsi" w:eastAsiaTheme="minorEastAsia" w:hAnsiTheme="minorHAnsi"/>
              <w:b w:val="0"/>
              <w:color w:val="auto"/>
              <w:sz w:val="22"/>
              <w:lang w:val="en-AU" w:eastAsia="en-AU"/>
            </w:rPr>
          </w:pPr>
          <w:hyperlink w:anchor="_Toc417719022" w:history="1">
            <w:r w:rsidR="00EF484F" w:rsidRPr="00212190">
              <w:rPr>
                <w:rStyle w:val="Hyperlink"/>
              </w:rPr>
              <w:t>A</w:t>
            </w:r>
            <w:r w:rsidR="00EF484F">
              <w:rPr>
                <w:rFonts w:asciiTheme="minorHAnsi" w:eastAsiaTheme="minorEastAsia" w:hAnsiTheme="minorHAnsi"/>
                <w:b w:val="0"/>
                <w:color w:val="auto"/>
                <w:sz w:val="22"/>
                <w:lang w:val="en-AU" w:eastAsia="en-AU"/>
              </w:rPr>
              <w:tab/>
            </w:r>
            <w:r w:rsidR="00EF484F" w:rsidRPr="00212190">
              <w:rPr>
                <w:rStyle w:val="Hyperlink"/>
              </w:rPr>
              <w:t>Base opex</w:t>
            </w:r>
            <w:r w:rsidR="00EF484F">
              <w:rPr>
                <w:webHidden/>
              </w:rPr>
              <w:tab/>
            </w:r>
            <w:r w:rsidR="00EF484F">
              <w:rPr>
                <w:webHidden/>
              </w:rPr>
              <w:fldChar w:fldCharType="begin"/>
            </w:r>
            <w:r w:rsidR="00EF484F">
              <w:rPr>
                <w:webHidden/>
              </w:rPr>
              <w:instrText xml:space="preserve"> PAGEREF _Toc417719022 \h </w:instrText>
            </w:r>
            <w:r w:rsidR="00EF484F">
              <w:rPr>
                <w:webHidden/>
              </w:rPr>
            </w:r>
            <w:r w:rsidR="00EF484F">
              <w:rPr>
                <w:webHidden/>
              </w:rPr>
              <w:fldChar w:fldCharType="separate"/>
            </w:r>
            <w:r w:rsidR="00EF484F">
              <w:rPr>
                <w:webHidden/>
              </w:rPr>
              <w:t>7-49</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23" w:history="1">
            <w:r w:rsidR="00EF484F" w:rsidRPr="00212190">
              <w:rPr>
                <w:rStyle w:val="Hyperlink"/>
              </w:rPr>
              <w:t>A.1</w:t>
            </w:r>
            <w:r w:rsidR="00EF484F">
              <w:rPr>
                <w:rFonts w:asciiTheme="minorHAnsi" w:eastAsiaTheme="minorEastAsia" w:hAnsiTheme="minorHAnsi"/>
                <w:b w:val="0"/>
                <w:color w:val="auto"/>
                <w:sz w:val="22"/>
                <w:lang w:eastAsia="en-AU"/>
              </w:rPr>
              <w:tab/>
            </w:r>
            <w:r w:rsidR="00EF484F" w:rsidRPr="00212190">
              <w:rPr>
                <w:rStyle w:val="Hyperlink"/>
              </w:rPr>
              <w:t>Summary</w:t>
            </w:r>
            <w:r w:rsidR="00EF484F">
              <w:rPr>
                <w:webHidden/>
              </w:rPr>
              <w:tab/>
            </w:r>
            <w:r w:rsidR="00EF484F">
              <w:rPr>
                <w:webHidden/>
              </w:rPr>
              <w:fldChar w:fldCharType="begin"/>
            </w:r>
            <w:r w:rsidR="00EF484F">
              <w:rPr>
                <w:webHidden/>
              </w:rPr>
              <w:instrText xml:space="preserve"> PAGEREF _Toc417719023 \h </w:instrText>
            </w:r>
            <w:r w:rsidR="00EF484F">
              <w:rPr>
                <w:webHidden/>
              </w:rPr>
            </w:r>
            <w:r w:rsidR="00EF484F">
              <w:rPr>
                <w:webHidden/>
              </w:rPr>
              <w:fldChar w:fldCharType="separate"/>
            </w:r>
            <w:r w:rsidR="00EF484F">
              <w:rPr>
                <w:webHidden/>
              </w:rPr>
              <w:t>7-50</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24" w:history="1">
            <w:r w:rsidR="00EF484F" w:rsidRPr="00212190">
              <w:rPr>
                <w:rStyle w:val="Hyperlink"/>
              </w:rPr>
              <w:t>A.1.1</w:t>
            </w:r>
            <w:r w:rsidR="00EF484F">
              <w:rPr>
                <w:rFonts w:asciiTheme="minorHAnsi" w:eastAsiaTheme="minorEastAsia" w:hAnsiTheme="minorHAnsi"/>
                <w:lang w:eastAsia="en-AU"/>
              </w:rPr>
              <w:tab/>
            </w:r>
            <w:r w:rsidR="00EF484F" w:rsidRPr="00212190">
              <w:rPr>
                <w:rStyle w:val="Hyperlink"/>
              </w:rPr>
              <w:t>Final decision adjustments</w:t>
            </w:r>
            <w:r w:rsidR="00EF484F">
              <w:rPr>
                <w:webHidden/>
              </w:rPr>
              <w:tab/>
            </w:r>
            <w:r w:rsidR="00EF484F">
              <w:rPr>
                <w:webHidden/>
              </w:rPr>
              <w:fldChar w:fldCharType="begin"/>
            </w:r>
            <w:r w:rsidR="00EF484F">
              <w:rPr>
                <w:webHidden/>
              </w:rPr>
              <w:instrText xml:space="preserve"> PAGEREF _Toc417719024 \h </w:instrText>
            </w:r>
            <w:r w:rsidR="00EF484F">
              <w:rPr>
                <w:webHidden/>
              </w:rPr>
            </w:r>
            <w:r w:rsidR="00EF484F">
              <w:rPr>
                <w:webHidden/>
              </w:rPr>
              <w:fldChar w:fldCharType="separate"/>
            </w:r>
            <w:r w:rsidR="00EF484F">
              <w:rPr>
                <w:webHidden/>
              </w:rPr>
              <w:t>7-50</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25" w:history="1">
            <w:r w:rsidR="00EF484F" w:rsidRPr="00212190">
              <w:rPr>
                <w:rStyle w:val="Hyperlink"/>
              </w:rPr>
              <w:t>A.1.2</w:t>
            </w:r>
            <w:r w:rsidR="00EF484F">
              <w:rPr>
                <w:rFonts w:asciiTheme="minorHAnsi" w:eastAsiaTheme="minorEastAsia" w:hAnsiTheme="minorHAnsi"/>
                <w:lang w:eastAsia="en-AU"/>
              </w:rPr>
              <w:tab/>
            </w:r>
            <w:r w:rsidR="00EF484F" w:rsidRPr="00212190">
              <w:rPr>
                <w:rStyle w:val="Hyperlink"/>
              </w:rPr>
              <w:t>Why Ausgrid's and Essential Energy's revealed opex are not appropriate starting points for estimating total forecast opex</w:t>
            </w:r>
            <w:r w:rsidR="00EF484F">
              <w:rPr>
                <w:webHidden/>
              </w:rPr>
              <w:tab/>
            </w:r>
            <w:r w:rsidR="00EF484F">
              <w:rPr>
                <w:webHidden/>
              </w:rPr>
              <w:fldChar w:fldCharType="begin"/>
            </w:r>
            <w:r w:rsidR="00EF484F">
              <w:rPr>
                <w:webHidden/>
              </w:rPr>
              <w:instrText xml:space="preserve"> PAGEREF _Toc417719025 \h </w:instrText>
            </w:r>
            <w:r w:rsidR="00EF484F">
              <w:rPr>
                <w:webHidden/>
              </w:rPr>
            </w:r>
            <w:r w:rsidR="00EF484F">
              <w:rPr>
                <w:webHidden/>
              </w:rPr>
              <w:fldChar w:fldCharType="separate"/>
            </w:r>
            <w:r w:rsidR="00EF484F">
              <w:rPr>
                <w:webHidden/>
              </w:rPr>
              <w:t>7-51</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26" w:history="1">
            <w:r w:rsidR="00EF484F" w:rsidRPr="00212190">
              <w:rPr>
                <w:rStyle w:val="Hyperlink"/>
              </w:rPr>
              <w:t>A.1.3</w:t>
            </w:r>
            <w:r w:rsidR="00EF484F">
              <w:rPr>
                <w:rFonts w:asciiTheme="minorHAnsi" w:eastAsiaTheme="minorEastAsia" w:hAnsiTheme="minorHAnsi"/>
                <w:lang w:eastAsia="en-AU"/>
              </w:rPr>
              <w:tab/>
            </w:r>
            <w:r w:rsidR="00EF484F" w:rsidRPr="00212190">
              <w:rPr>
                <w:rStyle w:val="Hyperlink"/>
              </w:rPr>
              <w:t>Summary responses to the service providers' submissions</w:t>
            </w:r>
            <w:r w:rsidR="00EF484F">
              <w:rPr>
                <w:webHidden/>
              </w:rPr>
              <w:tab/>
            </w:r>
            <w:r w:rsidR="00EF484F">
              <w:rPr>
                <w:webHidden/>
              </w:rPr>
              <w:fldChar w:fldCharType="begin"/>
            </w:r>
            <w:r w:rsidR="00EF484F">
              <w:rPr>
                <w:webHidden/>
              </w:rPr>
              <w:instrText xml:space="preserve"> PAGEREF _Toc417719026 \h </w:instrText>
            </w:r>
            <w:r w:rsidR="00EF484F">
              <w:rPr>
                <w:webHidden/>
              </w:rPr>
            </w:r>
            <w:r w:rsidR="00EF484F">
              <w:rPr>
                <w:webHidden/>
              </w:rPr>
              <w:fldChar w:fldCharType="separate"/>
            </w:r>
            <w:r w:rsidR="00EF484F">
              <w:rPr>
                <w:webHidden/>
              </w:rPr>
              <w:t>7-62</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27" w:history="1">
            <w:r w:rsidR="00EF484F" w:rsidRPr="00212190">
              <w:rPr>
                <w:rStyle w:val="Hyperlink"/>
              </w:rPr>
              <w:t>A.2</w:t>
            </w:r>
            <w:r w:rsidR="00EF484F">
              <w:rPr>
                <w:rFonts w:asciiTheme="minorHAnsi" w:eastAsiaTheme="minorEastAsia" w:hAnsiTheme="minorHAnsi"/>
                <w:b w:val="0"/>
                <w:color w:val="auto"/>
                <w:sz w:val="22"/>
                <w:lang w:eastAsia="en-AU"/>
              </w:rPr>
              <w:tab/>
            </w:r>
            <w:r w:rsidR="00EF484F" w:rsidRPr="00212190">
              <w:rPr>
                <w:rStyle w:val="Hyperlink"/>
              </w:rPr>
              <w:t>Ex ante incentive regulation and the role of benchmarking</w:t>
            </w:r>
            <w:r w:rsidR="00EF484F">
              <w:rPr>
                <w:webHidden/>
              </w:rPr>
              <w:tab/>
            </w:r>
            <w:r w:rsidR="00EF484F">
              <w:rPr>
                <w:webHidden/>
              </w:rPr>
              <w:fldChar w:fldCharType="begin"/>
            </w:r>
            <w:r w:rsidR="00EF484F">
              <w:rPr>
                <w:webHidden/>
              </w:rPr>
              <w:instrText xml:space="preserve"> PAGEREF _Toc417719027 \h </w:instrText>
            </w:r>
            <w:r w:rsidR="00EF484F">
              <w:rPr>
                <w:webHidden/>
              </w:rPr>
            </w:r>
            <w:r w:rsidR="00EF484F">
              <w:rPr>
                <w:webHidden/>
              </w:rPr>
              <w:fldChar w:fldCharType="separate"/>
            </w:r>
            <w:r w:rsidR="00EF484F">
              <w:rPr>
                <w:webHidden/>
              </w:rPr>
              <w:t>7-66</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28" w:history="1">
            <w:r w:rsidR="00EF484F" w:rsidRPr="00212190">
              <w:rPr>
                <w:rStyle w:val="Hyperlink"/>
              </w:rPr>
              <w:t>A.2.1</w:t>
            </w:r>
            <w:r w:rsidR="00EF484F">
              <w:rPr>
                <w:rFonts w:asciiTheme="minorHAnsi" w:eastAsiaTheme="minorEastAsia" w:hAnsiTheme="minorHAnsi"/>
                <w:lang w:eastAsia="en-AU"/>
              </w:rPr>
              <w:tab/>
            </w:r>
            <w:r w:rsidR="00EF484F" w:rsidRPr="00212190">
              <w:rPr>
                <w:rStyle w:val="Hyperlink"/>
              </w:rPr>
              <w:t>Ex ante incentive regulation</w:t>
            </w:r>
            <w:r w:rsidR="00EF484F">
              <w:rPr>
                <w:webHidden/>
              </w:rPr>
              <w:tab/>
            </w:r>
            <w:r w:rsidR="00EF484F">
              <w:rPr>
                <w:webHidden/>
              </w:rPr>
              <w:fldChar w:fldCharType="begin"/>
            </w:r>
            <w:r w:rsidR="00EF484F">
              <w:rPr>
                <w:webHidden/>
              </w:rPr>
              <w:instrText xml:space="preserve"> PAGEREF _Toc417719028 \h </w:instrText>
            </w:r>
            <w:r w:rsidR="00EF484F">
              <w:rPr>
                <w:webHidden/>
              </w:rPr>
            </w:r>
            <w:r w:rsidR="00EF484F">
              <w:rPr>
                <w:webHidden/>
              </w:rPr>
              <w:fldChar w:fldCharType="separate"/>
            </w:r>
            <w:r w:rsidR="00EF484F">
              <w:rPr>
                <w:webHidden/>
              </w:rPr>
              <w:t>7-66</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29" w:history="1">
            <w:r w:rsidR="00EF484F" w:rsidRPr="00212190">
              <w:rPr>
                <w:rStyle w:val="Hyperlink"/>
              </w:rPr>
              <w:t>A.2.2</w:t>
            </w:r>
            <w:r w:rsidR="00EF484F">
              <w:rPr>
                <w:rFonts w:asciiTheme="minorHAnsi" w:eastAsiaTheme="minorEastAsia" w:hAnsiTheme="minorHAnsi"/>
                <w:lang w:eastAsia="en-AU"/>
              </w:rPr>
              <w:tab/>
            </w:r>
            <w:r w:rsidR="00EF484F" w:rsidRPr="00212190">
              <w:rPr>
                <w:rStyle w:val="Hyperlink"/>
              </w:rPr>
              <w:t>Contrast with a cost of service regime</w:t>
            </w:r>
            <w:r w:rsidR="00EF484F">
              <w:rPr>
                <w:webHidden/>
              </w:rPr>
              <w:tab/>
            </w:r>
            <w:r w:rsidR="00EF484F">
              <w:rPr>
                <w:webHidden/>
              </w:rPr>
              <w:fldChar w:fldCharType="begin"/>
            </w:r>
            <w:r w:rsidR="00EF484F">
              <w:rPr>
                <w:webHidden/>
              </w:rPr>
              <w:instrText xml:space="preserve"> PAGEREF _Toc417719029 \h </w:instrText>
            </w:r>
            <w:r w:rsidR="00EF484F">
              <w:rPr>
                <w:webHidden/>
              </w:rPr>
            </w:r>
            <w:r w:rsidR="00EF484F">
              <w:rPr>
                <w:webHidden/>
              </w:rPr>
              <w:fldChar w:fldCharType="separate"/>
            </w:r>
            <w:r w:rsidR="00EF484F">
              <w:rPr>
                <w:webHidden/>
              </w:rPr>
              <w:t>7-68</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30" w:history="1">
            <w:r w:rsidR="00EF484F" w:rsidRPr="00212190">
              <w:rPr>
                <w:rStyle w:val="Hyperlink"/>
              </w:rPr>
              <w:t>A.2.3</w:t>
            </w:r>
            <w:r w:rsidR="00EF484F">
              <w:rPr>
                <w:rFonts w:asciiTheme="minorHAnsi" w:eastAsiaTheme="minorEastAsia" w:hAnsiTheme="minorHAnsi"/>
                <w:lang w:eastAsia="en-AU"/>
              </w:rPr>
              <w:tab/>
            </w:r>
            <w:r w:rsidR="00EF484F" w:rsidRPr="00212190">
              <w:rPr>
                <w:rStyle w:val="Hyperlink"/>
              </w:rPr>
              <w:t>How benchmarking helps manage incomplete information about efficient costs</w:t>
            </w:r>
            <w:r w:rsidR="00EF484F">
              <w:rPr>
                <w:webHidden/>
              </w:rPr>
              <w:tab/>
            </w:r>
            <w:r w:rsidR="00EF484F">
              <w:rPr>
                <w:webHidden/>
              </w:rPr>
              <w:fldChar w:fldCharType="begin"/>
            </w:r>
            <w:r w:rsidR="00EF484F">
              <w:rPr>
                <w:webHidden/>
              </w:rPr>
              <w:instrText xml:space="preserve"> PAGEREF _Toc417719030 \h </w:instrText>
            </w:r>
            <w:r w:rsidR="00EF484F">
              <w:rPr>
                <w:webHidden/>
              </w:rPr>
            </w:r>
            <w:r w:rsidR="00EF484F">
              <w:rPr>
                <w:webHidden/>
              </w:rPr>
              <w:fldChar w:fldCharType="separate"/>
            </w:r>
            <w:r w:rsidR="00EF484F">
              <w:rPr>
                <w:webHidden/>
              </w:rPr>
              <w:t>7-70</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31" w:history="1">
            <w:r w:rsidR="00EF484F" w:rsidRPr="00212190">
              <w:rPr>
                <w:rStyle w:val="Hyperlink"/>
              </w:rPr>
              <w:t>A.2.4</w:t>
            </w:r>
            <w:r w:rsidR="00EF484F">
              <w:rPr>
                <w:rFonts w:asciiTheme="minorHAnsi" w:eastAsiaTheme="minorEastAsia" w:hAnsiTheme="minorHAnsi"/>
                <w:lang w:eastAsia="en-AU"/>
              </w:rPr>
              <w:tab/>
            </w:r>
            <w:r w:rsidR="00EF484F" w:rsidRPr="00212190">
              <w:rPr>
                <w:rStyle w:val="Hyperlink"/>
              </w:rPr>
              <w:t>Benchmarking is part of the regulatory framework</w:t>
            </w:r>
            <w:r w:rsidR="00EF484F">
              <w:rPr>
                <w:webHidden/>
              </w:rPr>
              <w:tab/>
            </w:r>
            <w:r w:rsidR="00EF484F">
              <w:rPr>
                <w:webHidden/>
              </w:rPr>
              <w:fldChar w:fldCharType="begin"/>
            </w:r>
            <w:r w:rsidR="00EF484F">
              <w:rPr>
                <w:webHidden/>
              </w:rPr>
              <w:instrText xml:space="preserve"> PAGEREF _Toc417719031 \h </w:instrText>
            </w:r>
            <w:r w:rsidR="00EF484F">
              <w:rPr>
                <w:webHidden/>
              </w:rPr>
            </w:r>
            <w:r w:rsidR="00EF484F">
              <w:rPr>
                <w:webHidden/>
              </w:rPr>
              <w:fldChar w:fldCharType="separate"/>
            </w:r>
            <w:r w:rsidR="00EF484F">
              <w:rPr>
                <w:webHidden/>
              </w:rPr>
              <w:t>7-72</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32" w:history="1">
            <w:r w:rsidR="00EF484F" w:rsidRPr="00212190">
              <w:rPr>
                <w:rStyle w:val="Hyperlink"/>
              </w:rPr>
              <w:t>A.2.5</w:t>
            </w:r>
            <w:r w:rsidR="00EF484F">
              <w:rPr>
                <w:rFonts w:asciiTheme="minorHAnsi" w:eastAsiaTheme="minorEastAsia" w:hAnsiTheme="minorHAnsi"/>
                <w:lang w:eastAsia="en-AU"/>
              </w:rPr>
              <w:tab/>
            </w:r>
            <w:r w:rsidR="00EF484F" w:rsidRPr="00212190">
              <w:rPr>
                <w:rStyle w:val="Hyperlink"/>
              </w:rPr>
              <w:t>Benchmarking is a common regulatory tool</w:t>
            </w:r>
            <w:r w:rsidR="00EF484F">
              <w:rPr>
                <w:webHidden/>
              </w:rPr>
              <w:tab/>
            </w:r>
            <w:r w:rsidR="00EF484F">
              <w:rPr>
                <w:webHidden/>
              </w:rPr>
              <w:fldChar w:fldCharType="begin"/>
            </w:r>
            <w:r w:rsidR="00EF484F">
              <w:rPr>
                <w:webHidden/>
              </w:rPr>
              <w:instrText xml:space="preserve"> PAGEREF _Toc417719032 \h </w:instrText>
            </w:r>
            <w:r w:rsidR="00EF484F">
              <w:rPr>
                <w:webHidden/>
              </w:rPr>
            </w:r>
            <w:r w:rsidR="00EF484F">
              <w:rPr>
                <w:webHidden/>
              </w:rPr>
              <w:fldChar w:fldCharType="separate"/>
            </w:r>
            <w:r w:rsidR="00EF484F">
              <w:rPr>
                <w:webHidden/>
              </w:rPr>
              <w:t>7-74</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33" w:history="1">
            <w:r w:rsidR="00EF484F" w:rsidRPr="00212190">
              <w:rPr>
                <w:rStyle w:val="Hyperlink"/>
              </w:rPr>
              <w:t>A.3</w:t>
            </w:r>
            <w:r w:rsidR="00EF484F">
              <w:rPr>
                <w:rFonts w:asciiTheme="minorHAnsi" w:eastAsiaTheme="minorEastAsia" w:hAnsiTheme="minorHAnsi"/>
                <w:b w:val="0"/>
                <w:color w:val="auto"/>
                <w:sz w:val="22"/>
                <w:lang w:eastAsia="en-AU"/>
              </w:rPr>
              <w:tab/>
            </w:r>
            <w:r w:rsidR="00EF484F" w:rsidRPr="00212190">
              <w:rPr>
                <w:rStyle w:val="Hyperlink"/>
              </w:rPr>
              <w:t>Assessment approach</w:t>
            </w:r>
            <w:r w:rsidR="00EF484F">
              <w:rPr>
                <w:webHidden/>
              </w:rPr>
              <w:tab/>
            </w:r>
            <w:r w:rsidR="00EF484F">
              <w:rPr>
                <w:webHidden/>
              </w:rPr>
              <w:fldChar w:fldCharType="begin"/>
            </w:r>
            <w:r w:rsidR="00EF484F">
              <w:rPr>
                <w:webHidden/>
              </w:rPr>
              <w:instrText xml:space="preserve"> PAGEREF _Toc417719033 \h </w:instrText>
            </w:r>
            <w:r w:rsidR="00EF484F">
              <w:rPr>
                <w:webHidden/>
              </w:rPr>
            </w:r>
            <w:r w:rsidR="00EF484F">
              <w:rPr>
                <w:webHidden/>
              </w:rPr>
              <w:fldChar w:fldCharType="separate"/>
            </w:r>
            <w:r w:rsidR="00EF484F">
              <w:rPr>
                <w:webHidden/>
              </w:rPr>
              <w:t>7-76</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34" w:history="1">
            <w:r w:rsidR="00EF484F" w:rsidRPr="00212190">
              <w:rPr>
                <w:rStyle w:val="Hyperlink"/>
              </w:rPr>
              <w:t>A.3.1</w:t>
            </w:r>
            <w:r w:rsidR="00EF484F">
              <w:rPr>
                <w:rFonts w:asciiTheme="minorHAnsi" w:eastAsiaTheme="minorEastAsia" w:hAnsiTheme="minorHAnsi"/>
                <w:lang w:eastAsia="en-AU"/>
              </w:rPr>
              <w:tab/>
            </w:r>
            <w:r w:rsidR="00EF484F" w:rsidRPr="00212190">
              <w:rPr>
                <w:rStyle w:val="Hyperlink"/>
              </w:rPr>
              <w:t>Our approach to benchmarking since May 2012</w:t>
            </w:r>
            <w:r w:rsidR="00EF484F">
              <w:rPr>
                <w:webHidden/>
              </w:rPr>
              <w:tab/>
            </w:r>
            <w:r w:rsidR="00EF484F">
              <w:rPr>
                <w:webHidden/>
              </w:rPr>
              <w:fldChar w:fldCharType="begin"/>
            </w:r>
            <w:r w:rsidR="00EF484F">
              <w:rPr>
                <w:webHidden/>
              </w:rPr>
              <w:instrText xml:space="preserve"> PAGEREF _Toc417719034 \h </w:instrText>
            </w:r>
            <w:r w:rsidR="00EF484F">
              <w:rPr>
                <w:webHidden/>
              </w:rPr>
            </w:r>
            <w:r w:rsidR="00EF484F">
              <w:rPr>
                <w:webHidden/>
              </w:rPr>
              <w:fldChar w:fldCharType="separate"/>
            </w:r>
            <w:r w:rsidR="00EF484F">
              <w:rPr>
                <w:webHidden/>
              </w:rPr>
              <w:t>7-79</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35" w:history="1">
            <w:r w:rsidR="00EF484F" w:rsidRPr="00212190">
              <w:rPr>
                <w:rStyle w:val="Hyperlink"/>
              </w:rPr>
              <w:t>A.3.2</w:t>
            </w:r>
            <w:r w:rsidR="00EF484F">
              <w:rPr>
                <w:rFonts w:asciiTheme="minorHAnsi" w:eastAsiaTheme="minorEastAsia" w:hAnsiTheme="minorHAnsi"/>
                <w:lang w:eastAsia="en-AU"/>
              </w:rPr>
              <w:tab/>
            </w:r>
            <w:r w:rsidR="00EF484F" w:rsidRPr="00212190">
              <w:rPr>
                <w:rStyle w:val="Hyperlink"/>
              </w:rPr>
              <w:t>How our approach is consistent with NER requirements</w:t>
            </w:r>
            <w:r w:rsidR="00EF484F">
              <w:rPr>
                <w:webHidden/>
              </w:rPr>
              <w:tab/>
            </w:r>
            <w:r w:rsidR="00EF484F">
              <w:rPr>
                <w:webHidden/>
              </w:rPr>
              <w:fldChar w:fldCharType="begin"/>
            </w:r>
            <w:r w:rsidR="00EF484F">
              <w:rPr>
                <w:webHidden/>
              </w:rPr>
              <w:instrText xml:space="preserve"> PAGEREF _Toc417719035 \h </w:instrText>
            </w:r>
            <w:r w:rsidR="00EF484F">
              <w:rPr>
                <w:webHidden/>
              </w:rPr>
            </w:r>
            <w:r w:rsidR="00EF484F">
              <w:rPr>
                <w:webHidden/>
              </w:rPr>
              <w:fldChar w:fldCharType="separate"/>
            </w:r>
            <w:r w:rsidR="00EF484F">
              <w:rPr>
                <w:webHidden/>
              </w:rPr>
              <w:t>7-80</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36" w:history="1">
            <w:r w:rsidR="00EF484F" w:rsidRPr="00212190">
              <w:rPr>
                <w:rStyle w:val="Hyperlink"/>
              </w:rPr>
              <w:t>A.3.3</w:t>
            </w:r>
            <w:r w:rsidR="00EF484F">
              <w:rPr>
                <w:rFonts w:asciiTheme="minorHAnsi" w:eastAsiaTheme="minorEastAsia" w:hAnsiTheme="minorHAnsi"/>
                <w:lang w:eastAsia="en-AU"/>
              </w:rPr>
              <w:tab/>
            </w:r>
            <w:r w:rsidR="00EF484F" w:rsidRPr="00212190">
              <w:rPr>
                <w:rStyle w:val="Hyperlink"/>
              </w:rPr>
              <w:t>Our approach is consistent with the incentive regime</w:t>
            </w:r>
            <w:r w:rsidR="00EF484F">
              <w:rPr>
                <w:webHidden/>
              </w:rPr>
              <w:tab/>
            </w:r>
            <w:r w:rsidR="00EF484F">
              <w:rPr>
                <w:webHidden/>
              </w:rPr>
              <w:fldChar w:fldCharType="begin"/>
            </w:r>
            <w:r w:rsidR="00EF484F">
              <w:rPr>
                <w:webHidden/>
              </w:rPr>
              <w:instrText xml:space="preserve"> PAGEREF _Toc417719036 \h </w:instrText>
            </w:r>
            <w:r w:rsidR="00EF484F">
              <w:rPr>
                <w:webHidden/>
              </w:rPr>
            </w:r>
            <w:r w:rsidR="00EF484F">
              <w:rPr>
                <w:webHidden/>
              </w:rPr>
              <w:fldChar w:fldCharType="separate"/>
            </w:r>
            <w:r w:rsidR="00EF484F">
              <w:rPr>
                <w:webHidden/>
              </w:rPr>
              <w:t>7-95</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37" w:history="1">
            <w:r w:rsidR="00EF484F" w:rsidRPr="00212190">
              <w:rPr>
                <w:rStyle w:val="Hyperlink"/>
              </w:rPr>
              <w:t>A.3.4</w:t>
            </w:r>
            <w:r w:rsidR="00EF484F">
              <w:rPr>
                <w:rFonts w:asciiTheme="minorHAnsi" w:eastAsiaTheme="minorEastAsia" w:hAnsiTheme="minorHAnsi"/>
                <w:lang w:eastAsia="en-AU"/>
              </w:rPr>
              <w:tab/>
            </w:r>
            <w:r w:rsidR="00EF484F" w:rsidRPr="00212190">
              <w:rPr>
                <w:rStyle w:val="Hyperlink"/>
              </w:rPr>
              <w:t>The benchmarking we rely on in our approach is robust, reliable and reasonable</w:t>
            </w:r>
            <w:r w:rsidR="00EF484F">
              <w:rPr>
                <w:webHidden/>
              </w:rPr>
              <w:tab/>
            </w:r>
            <w:r w:rsidR="00EF484F">
              <w:rPr>
                <w:webHidden/>
              </w:rPr>
              <w:fldChar w:fldCharType="begin"/>
            </w:r>
            <w:r w:rsidR="00EF484F">
              <w:rPr>
                <w:webHidden/>
              </w:rPr>
              <w:instrText xml:space="preserve"> PAGEREF _Toc417719037 \h </w:instrText>
            </w:r>
            <w:r w:rsidR="00EF484F">
              <w:rPr>
                <w:webHidden/>
              </w:rPr>
            </w:r>
            <w:r w:rsidR="00EF484F">
              <w:rPr>
                <w:webHidden/>
              </w:rPr>
              <w:fldChar w:fldCharType="separate"/>
            </w:r>
            <w:r w:rsidR="00EF484F">
              <w:rPr>
                <w:webHidden/>
              </w:rPr>
              <w:t>7-96</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38" w:history="1">
            <w:r w:rsidR="00EF484F" w:rsidRPr="00212190">
              <w:rPr>
                <w:rStyle w:val="Hyperlink"/>
              </w:rPr>
              <w:t>A.3.5</w:t>
            </w:r>
            <w:r w:rsidR="00EF484F">
              <w:rPr>
                <w:rFonts w:asciiTheme="minorHAnsi" w:eastAsiaTheme="minorEastAsia" w:hAnsiTheme="minorHAnsi"/>
                <w:lang w:eastAsia="en-AU"/>
              </w:rPr>
              <w:tab/>
            </w:r>
            <w:r w:rsidR="00EF484F" w:rsidRPr="00212190">
              <w:rPr>
                <w:rStyle w:val="Hyperlink"/>
              </w:rPr>
              <w:t>Procedural fairness matters</w:t>
            </w:r>
            <w:r w:rsidR="00EF484F">
              <w:rPr>
                <w:webHidden/>
              </w:rPr>
              <w:tab/>
            </w:r>
            <w:r w:rsidR="00EF484F">
              <w:rPr>
                <w:webHidden/>
              </w:rPr>
              <w:fldChar w:fldCharType="begin"/>
            </w:r>
            <w:r w:rsidR="00EF484F">
              <w:rPr>
                <w:webHidden/>
              </w:rPr>
              <w:instrText xml:space="preserve"> PAGEREF _Toc417719038 \h </w:instrText>
            </w:r>
            <w:r w:rsidR="00EF484F">
              <w:rPr>
                <w:webHidden/>
              </w:rPr>
            </w:r>
            <w:r w:rsidR="00EF484F">
              <w:rPr>
                <w:webHidden/>
              </w:rPr>
              <w:fldChar w:fldCharType="separate"/>
            </w:r>
            <w:r w:rsidR="00EF484F">
              <w:rPr>
                <w:webHidden/>
              </w:rPr>
              <w:t>7-99</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39" w:history="1">
            <w:r w:rsidR="00EF484F" w:rsidRPr="00212190">
              <w:rPr>
                <w:rStyle w:val="Hyperlink"/>
              </w:rPr>
              <w:t>A.4</w:t>
            </w:r>
            <w:r w:rsidR="00EF484F">
              <w:rPr>
                <w:rFonts w:asciiTheme="minorHAnsi" w:eastAsiaTheme="minorEastAsia" w:hAnsiTheme="minorHAnsi"/>
                <w:b w:val="0"/>
                <w:color w:val="auto"/>
                <w:sz w:val="22"/>
                <w:lang w:eastAsia="en-AU"/>
              </w:rPr>
              <w:tab/>
            </w:r>
            <w:r w:rsidR="00EF484F" w:rsidRPr="00212190">
              <w:rPr>
                <w:rStyle w:val="Hyperlink"/>
              </w:rPr>
              <w:t>Our benchmarking is robust, reliable and reasonable</w:t>
            </w:r>
            <w:r w:rsidR="00EF484F">
              <w:rPr>
                <w:webHidden/>
              </w:rPr>
              <w:tab/>
            </w:r>
            <w:r w:rsidR="00EF484F">
              <w:rPr>
                <w:webHidden/>
              </w:rPr>
              <w:fldChar w:fldCharType="begin"/>
            </w:r>
            <w:r w:rsidR="00EF484F">
              <w:rPr>
                <w:webHidden/>
              </w:rPr>
              <w:instrText xml:space="preserve"> PAGEREF _Toc417719039 \h </w:instrText>
            </w:r>
            <w:r w:rsidR="00EF484F">
              <w:rPr>
                <w:webHidden/>
              </w:rPr>
            </w:r>
            <w:r w:rsidR="00EF484F">
              <w:rPr>
                <w:webHidden/>
              </w:rPr>
              <w:fldChar w:fldCharType="separate"/>
            </w:r>
            <w:r w:rsidR="00EF484F">
              <w:rPr>
                <w:webHidden/>
              </w:rPr>
              <w:t>7-104</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40" w:history="1">
            <w:r w:rsidR="00EF484F" w:rsidRPr="00212190">
              <w:rPr>
                <w:rStyle w:val="Hyperlink"/>
              </w:rPr>
              <w:t>A.4.1</w:t>
            </w:r>
            <w:r w:rsidR="00EF484F">
              <w:rPr>
                <w:rFonts w:asciiTheme="minorHAnsi" w:eastAsiaTheme="minorEastAsia" w:hAnsiTheme="minorHAnsi"/>
                <w:lang w:eastAsia="en-AU"/>
              </w:rPr>
              <w:tab/>
            </w:r>
            <w:r w:rsidR="00EF484F" w:rsidRPr="00212190">
              <w:rPr>
                <w:rStyle w:val="Hyperlink"/>
              </w:rPr>
              <w:t>Position</w:t>
            </w:r>
            <w:r w:rsidR="00EF484F">
              <w:rPr>
                <w:webHidden/>
              </w:rPr>
              <w:tab/>
            </w:r>
            <w:r w:rsidR="00EF484F">
              <w:rPr>
                <w:webHidden/>
              </w:rPr>
              <w:fldChar w:fldCharType="begin"/>
            </w:r>
            <w:r w:rsidR="00EF484F">
              <w:rPr>
                <w:webHidden/>
              </w:rPr>
              <w:instrText xml:space="preserve"> PAGEREF _Toc417719040 \h </w:instrText>
            </w:r>
            <w:r w:rsidR="00EF484F">
              <w:rPr>
                <w:webHidden/>
              </w:rPr>
            </w:r>
            <w:r w:rsidR="00EF484F">
              <w:rPr>
                <w:webHidden/>
              </w:rPr>
              <w:fldChar w:fldCharType="separate"/>
            </w:r>
            <w:r w:rsidR="00EF484F">
              <w:rPr>
                <w:webHidden/>
              </w:rPr>
              <w:t>7-104</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41" w:history="1">
            <w:r w:rsidR="00EF484F" w:rsidRPr="00212190">
              <w:rPr>
                <w:rStyle w:val="Hyperlink"/>
              </w:rPr>
              <w:t>A.4.2</w:t>
            </w:r>
            <w:r w:rsidR="00EF484F">
              <w:rPr>
                <w:rFonts w:asciiTheme="minorHAnsi" w:eastAsiaTheme="minorEastAsia" w:hAnsiTheme="minorHAnsi"/>
                <w:lang w:eastAsia="en-AU"/>
              </w:rPr>
              <w:tab/>
            </w:r>
            <w:r w:rsidR="00EF484F" w:rsidRPr="00212190">
              <w:rPr>
                <w:rStyle w:val="Hyperlink"/>
              </w:rPr>
              <w:t>Draft position</w:t>
            </w:r>
            <w:r w:rsidR="00EF484F">
              <w:rPr>
                <w:webHidden/>
              </w:rPr>
              <w:tab/>
            </w:r>
            <w:r w:rsidR="00EF484F">
              <w:rPr>
                <w:webHidden/>
              </w:rPr>
              <w:fldChar w:fldCharType="begin"/>
            </w:r>
            <w:r w:rsidR="00EF484F">
              <w:rPr>
                <w:webHidden/>
              </w:rPr>
              <w:instrText xml:space="preserve"> PAGEREF _Toc417719041 \h </w:instrText>
            </w:r>
            <w:r w:rsidR="00EF484F">
              <w:rPr>
                <w:webHidden/>
              </w:rPr>
            </w:r>
            <w:r w:rsidR="00EF484F">
              <w:rPr>
                <w:webHidden/>
              </w:rPr>
              <w:fldChar w:fldCharType="separate"/>
            </w:r>
            <w:r w:rsidR="00EF484F">
              <w:rPr>
                <w:webHidden/>
              </w:rPr>
              <w:t>7-107</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42" w:history="1">
            <w:r w:rsidR="00EF484F" w:rsidRPr="00212190">
              <w:rPr>
                <w:rStyle w:val="Hyperlink"/>
              </w:rPr>
              <w:t>A.4.3</w:t>
            </w:r>
            <w:r w:rsidR="00EF484F">
              <w:rPr>
                <w:rFonts w:asciiTheme="minorHAnsi" w:eastAsiaTheme="minorEastAsia" w:hAnsiTheme="minorHAnsi"/>
                <w:lang w:eastAsia="en-AU"/>
              </w:rPr>
              <w:tab/>
            </w:r>
            <w:r w:rsidR="00EF484F" w:rsidRPr="00212190">
              <w:rPr>
                <w:rStyle w:val="Hyperlink"/>
              </w:rPr>
              <w:t>Revised proposals and submissions</w:t>
            </w:r>
            <w:r w:rsidR="00EF484F">
              <w:rPr>
                <w:webHidden/>
              </w:rPr>
              <w:tab/>
            </w:r>
            <w:r w:rsidR="00EF484F">
              <w:rPr>
                <w:webHidden/>
              </w:rPr>
              <w:fldChar w:fldCharType="begin"/>
            </w:r>
            <w:r w:rsidR="00EF484F">
              <w:rPr>
                <w:webHidden/>
              </w:rPr>
              <w:instrText xml:space="preserve"> PAGEREF _Toc417719042 \h </w:instrText>
            </w:r>
            <w:r w:rsidR="00EF484F">
              <w:rPr>
                <w:webHidden/>
              </w:rPr>
            </w:r>
            <w:r w:rsidR="00EF484F">
              <w:rPr>
                <w:webHidden/>
              </w:rPr>
              <w:fldChar w:fldCharType="separate"/>
            </w:r>
            <w:r w:rsidR="00EF484F">
              <w:rPr>
                <w:webHidden/>
              </w:rPr>
              <w:t>7-109</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43" w:history="1">
            <w:r w:rsidR="00EF484F" w:rsidRPr="00212190">
              <w:rPr>
                <w:rStyle w:val="Hyperlink"/>
              </w:rPr>
              <w:t>A.5</w:t>
            </w:r>
            <w:r w:rsidR="00EF484F">
              <w:rPr>
                <w:rFonts w:asciiTheme="minorHAnsi" w:eastAsiaTheme="minorEastAsia" w:hAnsiTheme="minorHAnsi"/>
                <w:b w:val="0"/>
                <w:color w:val="auto"/>
                <w:sz w:val="22"/>
                <w:lang w:eastAsia="en-AU"/>
              </w:rPr>
              <w:tab/>
            </w:r>
            <w:r w:rsidR="00EF484F" w:rsidRPr="00212190">
              <w:rPr>
                <w:rStyle w:val="Hyperlink"/>
              </w:rPr>
              <w:t>Category analysis and qualitative review</w:t>
            </w:r>
            <w:r w:rsidR="00EF484F">
              <w:rPr>
                <w:webHidden/>
              </w:rPr>
              <w:tab/>
            </w:r>
            <w:r w:rsidR="00EF484F">
              <w:rPr>
                <w:webHidden/>
              </w:rPr>
              <w:fldChar w:fldCharType="begin"/>
            </w:r>
            <w:r w:rsidR="00EF484F">
              <w:rPr>
                <w:webHidden/>
              </w:rPr>
              <w:instrText xml:space="preserve"> PAGEREF _Toc417719043 \h </w:instrText>
            </w:r>
            <w:r w:rsidR="00EF484F">
              <w:rPr>
                <w:webHidden/>
              </w:rPr>
            </w:r>
            <w:r w:rsidR="00EF484F">
              <w:rPr>
                <w:webHidden/>
              </w:rPr>
              <w:fldChar w:fldCharType="separate"/>
            </w:r>
            <w:r w:rsidR="00EF484F">
              <w:rPr>
                <w:webHidden/>
              </w:rPr>
              <w:t>7-145</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44" w:history="1">
            <w:r w:rsidR="00EF484F" w:rsidRPr="00212190">
              <w:rPr>
                <w:rStyle w:val="Hyperlink"/>
              </w:rPr>
              <w:t>A.5.1</w:t>
            </w:r>
            <w:r w:rsidR="00EF484F">
              <w:rPr>
                <w:rFonts w:asciiTheme="minorHAnsi" w:eastAsiaTheme="minorEastAsia" w:hAnsiTheme="minorHAnsi"/>
                <w:lang w:eastAsia="en-AU"/>
              </w:rPr>
              <w:tab/>
            </w:r>
            <w:r w:rsidR="00EF484F" w:rsidRPr="00212190">
              <w:rPr>
                <w:rStyle w:val="Hyperlink"/>
              </w:rPr>
              <w:t>Position</w:t>
            </w:r>
            <w:r w:rsidR="00EF484F">
              <w:rPr>
                <w:webHidden/>
              </w:rPr>
              <w:tab/>
            </w:r>
            <w:r w:rsidR="00EF484F">
              <w:rPr>
                <w:webHidden/>
              </w:rPr>
              <w:fldChar w:fldCharType="begin"/>
            </w:r>
            <w:r w:rsidR="00EF484F">
              <w:rPr>
                <w:webHidden/>
              </w:rPr>
              <w:instrText xml:space="preserve"> PAGEREF _Toc417719044 \h </w:instrText>
            </w:r>
            <w:r w:rsidR="00EF484F">
              <w:rPr>
                <w:webHidden/>
              </w:rPr>
            </w:r>
            <w:r w:rsidR="00EF484F">
              <w:rPr>
                <w:webHidden/>
              </w:rPr>
              <w:fldChar w:fldCharType="separate"/>
            </w:r>
            <w:r w:rsidR="00EF484F">
              <w:rPr>
                <w:webHidden/>
              </w:rPr>
              <w:t>7-146</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45" w:history="1">
            <w:r w:rsidR="00EF484F" w:rsidRPr="00212190">
              <w:rPr>
                <w:rStyle w:val="Hyperlink"/>
              </w:rPr>
              <w:t>A.5.2</w:t>
            </w:r>
            <w:r w:rsidR="00EF484F">
              <w:rPr>
                <w:rFonts w:asciiTheme="minorHAnsi" w:eastAsiaTheme="minorEastAsia" w:hAnsiTheme="minorHAnsi"/>
                <w:lang w:eastAsia="en-AU"/>
              </w:rPr>
              <w:tab/>
            </w:r>
            <w:r w:rsidR="00EF484F" w:rsidRPr="00212190">
              <w:rPr>
                <w:rStyle w:val="Hyperlink"/>
              </w:rPr>
              <w:t>Draft position</w:t>
            </w:r>
            <w:r w:rsidR="00EF484F">
              <w:rPr>
                <w:webHidden/>
              </w:rPr>
              <w:tab/>
            </w:r>
            <w:r w:rsidR="00EF484F">
              <w:rPr>
                <w:webHidden/>
              </w:rPr>
              <w:fldChar w:fldCharType="begin"/>
            </w:r>
            <w:r w:rsidR="00EF484F">
              <w:rPr>
                <w:webHidden/>
              </w:rPr>
              <w:instrText xml:space="preserve"> PAGEREF _Toc417719045 \h </w:instrText>
            </w:r>
            <w:r w:rsidR="00EF484F">
              <w:rPr>
                <w:webHidden/>
              </w:rPr>
            </w:r>
            <w:r w:rsidR="00EF484F">
              <w:rPr>
                <w:webHidden/>
              </w:rPr>
              <w:fldChar w:fldCharType="separate"/>
            </w:r>
            <w:r w:rsidR="00EF484F">
              <w:rPr>
                <w:webHidden/>
              </w:rPr>
              <w:t>7-149</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46" w:history="1">
            <w:r w:rsidR="00EF484F" w:rsidRPr="00212190">
              <w:rPr>
                <w:rStyle w:val="Hyperlink"/>
              </w:rPr>
              <w:t>A.5.3</w:t>
            </w:r>
            <w:r w:rsidR="00EF484F">
              <w:rPr>
                <w:rFonts w:asciiTheme="minorHAnsi" w:eastAsiaTheme="minorEastAsia" w:hAnsiTheme="minorHAnsi"/>
                <w:lang w:eastAsia="en-AU"/>
              </w:rPr>
              <w:tab/>
            </w:r>
            <w:r w:rsidR="00EF484F" w:rsidRPr="00212190">
              <w:rPr>
                <w:rStyle w:val="Hyperlink"/>
              </w:rPr>
              <w:t>Revised proposals and submissions</w:t>
            </w:r>
            <w:r w:rsidR="00EF484F">
              <w:rPr>
                <w:webHidden/>
              </w:rPr>
              <w:tab/>
            </w:r>
            <w:r w:rsidR="00EF484F">
              <w:rPr>
                <w:webHidden/>
              </w:rPr>
              <w:fldChar w:fldCharType="begin"/>
            </w:r>
            <w:r w:rsidR="00EF484F">
              <w:rPr>
                <w:webHidden/>
              </w:rPr>
              <w:instrText xml:space="preserve"> PAGEREF _Toc417719046 \h </w:instrText>
            </w:r>
            <w:r w:rsidR="00EF484F">
              <w:rPr>
                <w:webHidden/>
              </w:rPr>
            </w:r>
            <w:r w:rsidR="00EF484F">
              <w:rPr>
                <w:webHidden/>
              </w:rPr>
              <w:fldChar w:fldCharType="separate"/>
            </w:r>
            <w:r w:rsidR="00EF484F">
              <w:rPr>
                <w:webHidden/>
              </w:rPr>
              <w:t>7-151</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47" w:history="1">
            <w:r w:rsidR="00EF484F" w:rsidRPr="00212190">
              <w:rPr>
                <w:rStyle w:val="Hyperlink"/>
              </w:rPr>
              <w:t>A.6</w:t>
            </w:r>
            <w:r w:rsidR="00EF484F">
              <w:rPr>
                <w:rFonts w:asciiTheme="minorHAnsi" w:eastAsiaTheme="minorEastAsia" w:hAnsiTheme="minorHAnsi"/>
                <w:b w:val="0"/>
                <w:color w:val="auto"/>
                <w:sz w:val="22"/>
                <w:lang w:eastAsia="en-AU"/>
              </w:rPr>
              <w:tab/>
            </w:r>
            <w:r w:rsidR="00EF484F" w:rsidRPr="00212190">
              <w:rPr>
                <w:rStyle w:val="Hyperlink"/>
              </w:rPr>
              <w:t>The net impact of operating environment factor adjustments</w:t>
            </w:r>
            <w:r w:rsidR="00EF484F">
              <w:rPr>
                <w:webHidden/>
              </w:rPr>
              <w:tab/>
            </w:r>
            <w:r w:rsidR="00EF484F">
              <w:rPr>
                <w:webHidden/>
              </w:rPr>
              <w:fldChar w:fldCharType="begin"/>
            </w:r>
            <w:r w:rsidR="00EF484F">
              <w:rPr>
                <w:webHidden/>
              </w:rPr>
              <w:instrText xml:space="preserve"> PAGEREF _Toc417719047 \h </w:instrText>
            </w:r>
            <w:r w:rsidR="00EF484F">
              <w:rPr>
                <w:webHidden/>
              </w:rPr>
            </w:r>
            <w:r w:rsidR="00EF484F">
              <w:rPr>
                <w:webHidden/>
              </w:rPr>
              <w:fldChar w:fldCharType="separate"/>
            </w:r>
            <w:r w:rsidR="00EF484F">
              <w:rPr>
                <w:webHidden/>
              </w:rPr>
              <w:t>7-170</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48" w:history="1">
            <w:r w:rsidR="00EF484F" w:rsidRPr="00212190">
              <w:rPr>
                <w:rStyle w:val="Hyperlink"/>
              </w:rPr>
              <w:t>A.6.1</w:t>
            </w:r>
            <w:r w:rsidR="00EF484F">
              <w:rPr>
                <w:rFonts w:asciiTheme="minorHAnsi" w:eastAsiaTheme="minorEastAsia" w:hAnsiTheme="minorHAnsi"/>
                <w:lang w:eastAsia="en-AU"/>
              </w:rPr>
              <w:tab/>
            </w:r>
            <w:r w:rsidR="00EF484F" w:rsidRPr="00212190">
              <w:rPr>
                <w:rStyle w:val="Hyperlink"/>
              </w:rPr>
              <w:t>Final decision</w:t>
            </w:r>
            <w:r w:rsidR="00EF484F">
              <w:rPr>
                <w:webHidden/>
              </w:rPr>
              <w:tab/>
            </w:r>
            <w:r w:rsidR="00EF484F">
              <w:rPr>
                <w:webHidden/>
              </w:rPr>
              <w:fldChar w:fldCharType="begin"/>
            </w:r>
            <w:r w:rsidR="00EF484F">
              <w:rPr>
                <w:webHidden/>
              </w:rPr>
              <w:instrText xml:space="preserve"> PAGEREF _Toc417719048 \h </w:instrText>
            </w:r>
            <w:r w:rsidR="00EF484F">
              <w:rPr>
                <w:webHidden/>
              </w:rPr>
            </w:r>
            <w:r w:rsidR="00EF484F">
              <w:rPr>
                <w:webHidden/>
              </w:rPr>
              <w:fldChar w:fldCharType="separate"/>
            </w:r>
            <w:r w:rsidR="00EF484F">
              <w:rPr>
                <w:webHidden/>
              </w:rPr>
              <w:t>7-171</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49" w:history="1">
            <w:r w:rsidR="00EF484F" w:rsidRPr="00212190">
              <w:rPr>
                <w:rStyle w:val="Hyperlink"/>
              </w:rPr>
              <w:t>A.6.2</w:t>
            </w:r>
            <w:r w:rsidR="00EF484F">
              <w:rPr>
                <w:rFonts w:asciiTheme="minorHAnsi" w:eastAsiaTheme="minorEastAsia" w:hAnsiTheme="minorHAnsi"/>
                <w:lang w:eastAsia="en-AU"/>
              </w:rPr>
              <w:tab/>
            </w:r>
            <w:r w:rsidR="00EF484F" w:rsidRPr="00212190">
              <w:rPr>
                <w:rStyle w:val="Hyperlink"/>
              </w:rPr>
              <w:t>Draft decision</w:t>
            </w:r>
            <w:r w:rsidR="00EF484F">
              <w:rPr>
                <w:webHidden/>
              </w:rPr>
              <w:tab/>
            </w:r>
            <w:r w:rsidR="00EF484F">
              <w:rPr>
                <w:webHidden/>
              </w:rPr>
              <w:fldChar w:fldCharType="begin"/>
            </w:r>
            <w:r w:rsidR="00EF484F">
              <w:rPr>
                <w:webHidden/>
              </w:rPr>
              <w:instrText xml:space="preserve"> PAGEREF _Toc417719049 \h </w:instrText>
            </w:r>
            <w:r w:rsidR="00EF484F">
              <w:rPr>
                <w:webHidden/>
              </w:rPr>
            </w:r>
            <w:r w:rsidR="00EF484F">
              <w:rPr>
                <w:webHidden/>
              </w:rPr>
              <w:fldChar w:fldCharType="separate"/>
            </w:r>
            <w:r w:rsidR="00EF484F">
              <w:rPr>
                <w:webHidden/>
              </w:rPr>
              <w:t>7-173</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50" w:history="1">
            <w:r w:rsidR="00EF484F" w:rsidRPr="00212190">
              <w:rPr>
                <w:rStyle w:val="Hyperlink"/>
              </w:rPr>
              <w:t>A.6.3</w:t>
            </w:r>
            <w:r w:rsidR="00EF484F">
              <w:rPr>
                <w:rFonts w:asciiTheme="minorHAnsi" w:eastAsiaTheme="minorEastAsia" w:hAnsiTheme="minorHAnsi"/>
                <w:lang w:eastAsia="en-AU"/>
              </w:rPr>
              <w:tab/>
            </w:r>
            <w:r w:rsidR="00EF484F" w:rsidRPr="00212190">
              <w:rPr>
                <w:rStyle w:val="Hyperlink"/>
              </w:rPr>
              <w:t>Revised proposals and submissions</w:t>
            </w:r>
            <w:r w:rsidR="00EF484F">
              <w:rPr>
                <w:webHidden/>
              </w:rPr>
              <w:tab/>
            </w:r>
            <w:r w:rsidR="00EF484F">
              <w:rPr>
                <w:webHidden/>
              </w:rPr>
              <w:fldChar w:fldCharType="begin"/>
            </w:r>
            <w:r w:rsidR="00EF484F">
              <w:rPr>
                <w:webHidden/>
              </w:rPr>
              <w:instrText xml:space="preserve"> PAGEREF _Toc417719050 \h </w:instrText>
            </w:r>
            <w:r w:rsidR="00EF484F">
              <w:rPr>
                <w:webHidden/>
              </w:rPr>
            </w:r>
            <w:r w:rsidR="00EF484F">
              <w:rPr>
                <w:webHidden/>
              </w:rPr>
              <w:fldChar w:fldCharType="separate"/>
            </w:r>
            <w:r w:rsidR="00EF484F">
              <w:rPr>
                <w:webHidden/>
              </w:rPr>
              <w:t>7-174</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51" w:history="1">
            <w:r w:rsidR="00EF484F" w:rsidRPr="00212190">
              <w:rPr>
                <w:rStyle w:val="Hyperlink"/>
              </w:rPr>
              <w:t>A.6.4</w:t>
            </w:r>
            <w:r w:rsidR="00EF484F">
              <w:rPr>
                <w:rFonts w:asciiTheme="minorHAnsi" w:eastAsiaTheme="minorEastAsia" w:hAnsiTheme="minorHAnsi"/>
                <w:lang w:eastAsia="en-AU"/>
              </w:rPr>
              <w:tab/>
            </w:r>
            <w:r w:rsidR="00EF484F" w:rsidRPr="00212190">
              <w:rPr>
                <w:rStyle w:val="Hyperlink"/>
              </w:rPr>
              <w:t>Approach to operating environment factors</w:t>
            </w:r>
            <w:r w:rsidR="00EF484F">
              <w:rPr>
                <w:webHidden/>
              </w:rPr>
              <w:tab/>
            </w:r>
            <w:r w:rsidR="00EF484F">
              <w:rPr>
                <w:webHidden/>
              </w:rPr>
              <w:fldChar w:fldCharType="begin"/>
            </w:r>
            <w:r w:rsidR="00EF484F">
              <w:rPr>
                <w:webHidden/>
              </w:rPr>
              <w:instrText xml:space="preserve"> PAGEREF _Toc417719051 \h </w:instrText>
            </w:r>
            <w:r w:rsidR="00EF484F">
              <w:rPr>
                <w:webHidden/>
              </w:rPr>
            </w:r>
            <w:r w:rsidR="00EF484F">
              <w:rPr>
                <w:webHidden/>
              </w:rPr>
              <w:fldChar w:fldCharType="separate"/>
            </w:r>
            <w:r w:rsidR="00EF484F">
              <w:rPr>
                <w:webHidden/>
              </w:rPr>
              <w:t>7-177</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52" w:history="1">
            <w:r w:rsidR="00EF484F" w:rsidRPr="00212190">
              <w:rPr>
                <w:rStyle w:val="Hyperlink"/>
              </w:rPr>
              <w:t>A.6.5</w:t>
            </w:r>
            <w:r w:rsidR="00EF484F">
              <w:rPr>
                <w:rFonts w:asciiTheme="minorHAnsi" w:eastAsiaTheme="minorEastAsia" w:hAnsiTheme="minorHAnsi"/>
                <w:lang w:eastAsia="en-AU"/>
              </w:rPr>
              <w:tab/>
            </w:r>
            <w:r w:rsidR="00EF484F" w:rsidRPr="00212190">
              <w:rPr>
                <w:rStyle w:val="Hyperlink"/>
              </w:rPr>
              <w:t>Customer factors</w:t>
            </w:r>
            <w:r w:rsidR="00EF484F">
              <w:rPr>
                <w:webHidden/>
              </w:rPr>
              <w:tab/>
            </w:r>
            <w:r w:rsidR="00EF484F">
              <w:rPr>
                <w:webHidden/>
              </w:rPr>
              <w:fldChar w:fldCharType="begin"/>
            </w:r>
            <w:r w:rsidR="00EF484F">
              <w:rPr>
                <w:webHidden/>
              </w:rPr>
              <w:instrText xml:space="preserve"> PAGEREF _Toc417719052 \h </w:instrText>
            </w:r>
            <w:r w:rsidR="00EF484F">
              <w:rPr>
                <w:webHidden/>
              </w:rPr>
            </w:r>
            <w:r w:rsidR="00EF484F">
              <w:rPr>
                <w:webHidden/>
              </w:rPr>
              <w:fldChar w:fldCharType="separate"/>
            </w:r>
            <w:r w:rsidR="00EF484F">
              <w:rPr>
                <w:webHidden/>
              </w:rPr>
              <w:t>7-185</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53" w:history="1">
            <w:r w:rsidR="00EF484F" w:rsidRPr="00212190">
              <w:rPr>
                <w:rStyle w:val="Hyperlink"/>
              </w:rPr>
              <w:t>A.6.6</w:t>
            </w:r>
            <w:r w:rsidR="00EF484F">
              <w:rPr>
                <w:rFonts w:asciiTheme="minorHAnsi" w:eastAsiaTheme="minorEastAsia" w:hAnsiTheme="minorHAnsi"/>
                <w:lang w:eastAsia="en-AU"/>
              </w:rPr>
              <w:tab/>
            </w:r>
            <w:r w:rsidR="00EF484F" w:rsidRPr="00212190">
              <w:rPr>
                <w:rStyle w:val="Hyperlink"/>
              </w:rPr>
              <w:t>Endogenous factors</w:t>
            </w:r>
            <w:r w:rsidR="00EF484F">
              <w:rPr>
                <w:webHidden/>
              </w:rPr>
              <w:tab/>
            </w:r>
            <w:r w:rsidR="00EF484F">
              <w:rPr>
                <w:webHidden/>
              </w:rPr>
              <w:fldChar w:fldCharType="begin"/>
            </w:r>
            <w:r w:rsidR="00EF484F">
              <w:rPr>
                <w:webHidden/>
              </w:rPr>
              <w:instrText xml:space="preserve"> PAGEREF _Toc417719053 \h </w:instrText>
            </w:r>
            <w:r w:rsidR="00EF484F">
              <w:rPr>
                <w:webHidden/>
              </w:rPr>
            </w:r>
            <w:r w:rsidR="00EF484F">
              <w:rPr>
                <w:webHidden/>
              </w:rPr>
              <w:fldChar w:fldCharType="separate"/>
            </w:r>
            <w:r w:rsidR="00EF484F">
              <w:rPr>
                <w:webHidden/>
              </w:rPr>
              <w:t>7-189</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54" w:history="1">
            <w:r w:rsidR="00EF484F" w:rsidRPr="00212190">
              <w:rPr>
                <w:rStyle w:val="Hyperlink"/>
              </w:rPr>
              <w:t>A.6.7</w:t>
            </w:r>
            <w:r w:rsidR="00EF484F">
              <w:rPr>
                <w:rFonts w:asciiTheme="minorHAnsi" w:eastAsiaTheme="minorEastAsia" w:hAnsiTheme="minorHAnsi"/>
                <w:lang w:eastAsia="en-AU"/>
              </w:rPr>
              <w:tab/>
            </w:r>
            <w:r w:rsidR="00EF484F" w:rsidRPr="00212190">
              <w:rPr>
                <w:rStyle w:val="Hyperlink"/>
              </w:rPr>
              <w:t>Geographic factors</w:t>
            </w:r>
            <w:r w:rsidR="00EF484F">
              <w:rPr>
                <w:webHidden/>
              </w:rPr>
              <w:tab/>
            </w:r>
            <w:r w:rsidR="00EF484F">
              <w:rPr>
                <w:webHidden/>
              </w:rPr>
              <w:fldChar w:fldCharType="begin"/>
            </w:r>
            <w:r w:rsidR="00EF484F">
              <w:rPr>
                <w:webHidden/>
              </w:rPr>
              <w:instrText xml:space="preserve"> PAGEREF _Toc417719054 \h </w:instrText>
            </w:r>
            <w:r w:rsidR="00EF484F">
              <w:rPr>
                <w:webHidden/>
              </w:rPr>
            </w:r>
            <w:r w:rsidR="00EF484F">
              <w:rPr>
                <w:webHidden/>
              </w:rPr>
              <w:fldChar w:fldCharType="separate"/>
            </w:r>
            <w:r w:rsidR="00EF484F">
              <w:rPr>
                <w:webHidden/>
              </w:rPr>
              <w:t>7-213</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55" w:history="1">
            <w:r w:rsidR="00EF484F" w:rsidRPr="00212190">
              <w:rPr>
                <w:rStyle w:val="Hyperlink"/>
              </w:rPr>
              <w:t>A.6.8</w:t>
            </w:r>
            <w:r w:rsidR="00EF484F">
              <w:rPr>
                <w:rFonts w:asciiTheme="minorHAnsi" w:eastAsiaTheme="minorEastAsia" w:hAnsiTheme="minorHAnsi"/>
                <w:lang w:eastAsia="en-AU"/>
              </w:rPr>
              <w:tab/>
            </w:r>
            <w:r w:rsidR="00EF484F" w:rsidRPr="00212190">
              <w:rPr>
                <w:rStyle w:val="Hyperlink"/>
              </w:rPr>
              <w:t>Jurisdictional factors</w:t>
            </w:r>
            <w:r w:rsidR="00EF484F">
              <w:rPr>
                <w:webHidden/>
              </w:rPr>
              <w:tab/>
            </w:r>
            <w:r w:rsidR="00EF484F">
              <w:rPr>
                <w:webHidden/>
              </w:rPr>
              <w:fldChar w:fldCharType="begin"/>
            </w:r>
            <w:r w:rsidR="00EF484F">
              <w:rPr>
                <w:webHidden/>
              </w:rPr>
              <w:instrText xml:space="preserve"> PAGEREF _Toc417719055 \h </w:instrText>
            </w:r>
            <w:r w:rsidR="00EF484F">
              <w:rPr>
                <w:webHidden/>
              </w:rPr>
            </w:r>
            <w:r w:rsidR="00EF484F">
              <w:rPr>
                <w:webHidden/>
              </w:rPr>
              <w:fldChar w:fldCharType="separate"/>
            </w:r>
            <w:r w:rsidR="00EF484F">
              <w:rPr>
                <w:webHidden/>
              </w:rPr>
              <w:t>7-233</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56" w:history="1">
            <w:r w:rsidR="00EF484F" w:rsidRPr="00212190">
              <w:rPr>
                <w:rStyle w:val="Hyperlink"/>
              </w:rPr>
              <w:t>A.6.9</w:t>
            </w:r>
            <w:r w:rsidR="00EF484F">
              <w:rPr>
                <w:rFonts w:asciiTheme="minorHAnsi" w:eastAsiaTheme="minorEastAsia" w:hAnsiTheme="minorHAnsi"/>
                <w:lang w:eastAsia="en-AU"/>
              </w:rPr>
              <w:tab/>
            </w:r>
            <w:r w:rsidR="00EF484F" w:rsidRPr="00212190">
              <w:rPr>
                <w:rStyle w:val="Hyperlink"/>
              </w:rPr>
              <w:t>Network factors</w:t>
            </w:r>
            <w:r w:rsidR="00EF484F">
              <w:rPr>
                <w:webHidden/>
              </w:rPr>
              <w:tab/>
            </w:r>
            <w:r w:rsidR="00EF484F">
              <w:rPr>
                <w:webHidden/>
              </w:rPr>
              <w:fldChar w:fldCharType="begin"/>
            </w:r>
            <w:r w:rsidR="00EF484F">
              <w:rPr>
                <w:webHidden/>
              </w:rPr>
              <w:instrText xml:space="preserve"> PAGEREF _Toc417719056 \h </w:instrText>
            </w:r>
            <w:r w:rsidR="00EF484F">
              <w:rPr>
                <w:webHidden/>
              </w:rPr>
            </w:r>
            <w:r w:rsidR="00EF484F">
              <w:rPr>
                <w:webHidden/>
              </w:rPr>
              <w:fldChar w:fldCharType="separate"/>
            </w:r>
            <w:r w:rsidR="00EF484F">
              <w:rPr>
                <w:webHidden/>
              </w:rPr>
              <w:t>7-246</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57" w:history="1">
            <w:r w:rsidR="00EF484F" w:rsidRPr="00212190">
              <w:rPr>
                <w:rStyle w:val="Hyperlink"/>
              </w:rPr>
              <w:t>A.7</w:t>
            </w:r>
            <w:r w:rsidR="00EF484F">
              <w:rPr>
                <w:rFonts w:asciiTheme="minorHAnsi" w:eastAsiaTheme="minorEastAsia" w:hAnsiTheme="minorHAnsi"/>
                <w:b w:val="0"/>
                <w:color w:val="auto"/>
                <w:sz w:val="22"/>
                <w:lang w:eastAsia="en-AU"/>
              </w:rPr>
              <w:tab/>
            </w:r>
            <w:r w:rsidR="00EF484F" w:rsidRPr="00212190">
              <w:rPr>
                <w:rStyle w:val="Hyperlink"/>
              </w:rPr>
              <w:t>The benchmark comparison point and adjustments to base opex</w:t>
            </w:r>
            <w:r w:rsidR="00EF484F">
              <w:rPr>
                <w:webHidden/>
              </w:rPr>
              <w:tab/>
            </w:r>
            <w:r w:rsidR="00EF484F">
              <w:rPr>
                <w:webHidden/>
              </w:rPr>
              <w:fldChar w:fldCharType="begin"/>
            </w:r>
            <w:r w:rsidR="00EF484F">
              <w:rPr>
                <w:webHidden/>
              </w:rPr>
              <w:instrText xml:space="preserve"> PAGEREF _Toc417719057 \h </w:instrText>
            </w:r>
            <w:r w:rsidR="00EF484F">
              <w:rPr>
                <w:webHidden/>
              </w:rPr>
            </w:r>
            <w:r w:rsidR="00EF484F">
              <w:rPr>
                <w:webHidden/>
              </w:rPr>
              <w:fldChar w:fldCharType="separate"/>
            </w:r>
            <w:r w:rsidR="00EF484F">
              <w:rPr>
                <w:webHidden/>
              </w:rPr>
              <w:t>7-266</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58" w:history="1">
            <w:r w:rsidR="00EF484F" w:rsidRPr="00212190">
              <w:rPr>
                <w:rStyle w:val="Hyperlink"/>
              </w:rPr>
              <w:t>A.7.1</w:t>
            </w:r>
            <w:r w:rsidR="00EF484F">
              <w:rPr>
                <w:rFonts w:asciiTheme="minorHAnsi" w:eastAsiaTheme="minorEastAsia" w:hAnsiTheme="minorHAnsi"/>
                <w:lang w:eastAsia="en-AU"/>
              </w:rPr>
              <w:tab/>
            </w:r>
            <w:r w:rsidR="00EF484F" w:rsidRPr="00212190">
              <w:rPr>
                <w:rStyle w:val="Hyperlink"/>
              </w:rPr>
              <w:t>Position</w:t>
            </w:r>
            <w:r w:rsidR="00EF484F">
              <w:rPr>
                <w:webHidden/>
              </w:rPr>
              <w:tab/>
            </w:r>
            <w:r w:rsidR="00EF484F">
              <w:rPr>
                <w:webHidden/>
              </w:rPr>
              <w:fldChar w:fldCharType="begin"/>
            </w:r>
            <w:r w:rsidR="00EF484F">
              <w:rPr>
                <w:webHidden/>
              </w:rPr>
              <w:instrText xml:space="preserve"> PAGEREF _Toc417719058 \h </w:instrText>
            </w:r>
            <w:r w:rsidR="00EF484F">
              <w:rPr>
                <w:webHidden/>
              </w:rPr>
            </w:r>
            <w:r w:rsidR="00EF484F">
              <w:rPr>
                <w:webHidden/>
              </w:rPr>
              <w:fldChar w:fldCharType="separate"/>
            </w:r>
            <w:r w:rsidR="00EF484F">
              <w:rPr>
                <w:webHidden/>
              </w:rPr>
              <w:t>7-266</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59" w:history="1">
            <w:r w:rsidR="00EF484F" w:rsidRPr="00212190">
              <w:rPr>
                <w:rStyle w:val="Hyperlink"/>
              </w:rPr>
              <w:t>A.7.2</w:t>
            </w:r>
            <w:r w:rsidR="00EF484F">
              <w:rPr>
                <w:rFonts w:asciiTheme="minorHAnsi" w:eastAsiaTheme="minorEastAsia" w:hAnsiTheme="minorHAnsi"/>
                <w:lang w:eastAsia="en-AU"/>
              </w:rPr>
              <w:tab/>
            </w:r>
            <w:r w:rsidR="00EF484F" w:rsidRPr="00212190">
              <w:rPr>
                <w:rStyle w:val="Hyperlink"/>
              </w:rPr>
              <w:t>Draft position</w:t>
            </w:r>
            <w:r w:rsidR="00EF484F">
              <w:rPr>
                <w:webHidden/>
              </w:rPr>
              <w:tab/>
            </w:r>
            <w:r w:rsidR="00EF484F">
              <w:rPr>
                <w:webHidden/>
              </w:rPr>
              <w:fldChar w:fldCharType="begin"/>
            </w:r>
            <w:r w:rsidR="00EF484F">
              <w:rPr>
                <w:webHidden/>
              </w:rPr>
              <w:instrText xml:space="preserve"> PAGEREF _Toc417719059 \h </w:instrText>
            </w:r>
            <w:r w:rsidR="00EF484F">
              <w:rPr>
                <w:webHidden/>
              </w:rPr>
            </w:r>
            <w:r w:rsidR="00EF484F">
              <w:rPr>
                <w:webHidden/>
              </w:rPr>
              <w:fldChar w:fldCharType="separate"/>
            </w:r>
            <w:r w:rsidR="00EF484F">
              <w:rPr>
                <w:webHidden/>
              </w:rPr>
              <w:t>7-269</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60" w:history="1">
            <w:r w:rsidR="00EF484F" w:rsidRPr="00212190">
              <w:rPr>
                <w:rStyle w:val="Hyperlink"/>
              </w:rPr>
              <w:t>A.7.3</w:t>
            </w:r>
            <w:r w:rsidR="00EF484F">
              <w:rPr>
                <w:rFonts w:asciiTheme="minorHAnsi" w:eastAsiaTheme="minorEastAsia" w:hAnsiTheme="minorHAnsi"/>
                <w:lang w:eastAsia="en-AU"/>
              </w:rPr>
              <w:tab/>
            </w:r>
            <w:r w:rsidR="00EF484F" w:rsidRPr="00212190">
              <w:rPr>
                <w:rStyle w:val="Hyperlink"/>
              </w:rPr>
              <w:t>Revised proposal and submissions</w:t>
            </w:r>
            <w:r w:rsidR="00EF484F">
              <w:rPr>
                <w:webHidden/>
              </w:rPr>
              <w:tab/>
            </w:r>
            <w:r w:rsidR="00EF484F">
              <w:rPr>
                <w:webHidden/>
              </w:rPr>
              <w:fldChar w:fldCharType="begin"/>
            </w:r>
            <w:r w:rsidR="00EF484F">
              <w:rPr>
                <w:webHidden/>
              </w:rPr>
              <w:instrText xml:space="preserve"> PAGEREF _Toc417719060 \h </w:instrText>
            </w:r>
            <w:r w:rsidR="00EF484F">
              <w:rPr>
                <w:webHidden/>
              </w:rPr>
            </w:r>
            <w:r w:rsidR="00EF484F">
              <w:rPr>
                <w:webHidden/>
              </w:rPr>
              <w:fldChar w:fldCharType="separate"/>
            </w:r>
            <w:r w:rsidR="00EF484F">
              <w:rPr>
                <w:webHidden/>
              </w:rPr>
              <w:t>7-269</w:t>
            </w:r>
            <w:r w:rsidR="00EF484F">
              <w:rPr>
                <w:webHidden/>
              </w:rPr>
              <w:fldChar w:fldCharType="end"/>
            </w:r>
          </w:hyperlink>
        </w:p>
        <w:p w:rsidR="00EF484F" w:rsidRDefault="007A58F7">
          <w:pPr>
            <w:pStyle w:val="TOC1"/>
            <w:rPr>
              <w:rFonts w:asciiTheme="minorHAnsi" w:eastAsiaTheme="minorEastAsia" w:hAnsiTheme="minorHAnsi"/>
              <w:b w:val="0"/>
              <w:color w:val="auto"/>
              <w:sz w:val="22"/>
              <w:lang w:val="en-AU" w:eastAsia="en-AU"/>
            </w:rPr>
          </w:pPr>
          <w:hyperlink w:anchor="_Toc417719061" w:history="1">
            <w:r w:rsidR="00EF484F" w:rsidRPr="00212190">
              <w:rPr>
                <w:rStyle w:val="Hyperlink"/>
              </w:rPr>
              <w:t>B</w:t>
            </w:r>
            <w:r w:rsidR="00EF484F">
              <w:rPr>
                <w:rFonts w:asciiTheme="minorHAnsi" w:eastAsiaTheme="minorEastAsia" w:hAnsiTheme="minorHAnsi"/>
                <w:b w:val="0"/>
                <w:color w:val="auto"/>
                <w:sz w:val="22"/>
                <w:lang w:val="en-AU" w:eastAsia="en-AU"/>
              </w:rPr>
              <w:tab/>
            </w:r>
            <w:r w:rsidR="00EF484F" w:rsidRPr="00212190">
              <w:rPr>
                <w:rStyle w:val="Hyperlink"/>
              </w:rPr>
              <w:t>Rate of change</w:t>
            </w:r>
            <w:r w:rsidR="00EF484F">
              <w:rPr>
                <w:webHidden/>
              </w:rPr>
              <w:tab/>
            </w:r>
            <w:r w:rsidR="00EF484F">
              <w:rPr>
                <w:webHidden/>
              </w:rPr>
              <w:fldChar w:fldCharType="begin"/>
            </w:r>
            <w:r w:rsidR="00EF484F">
              <w:rPr>
                <w:webHidden/>
              </w:rPr>
              <w:instrText xml:space="preserve"> PAGEREF _Toc417719061 \h </w:instrText>
            </w:r>
            <w:r w:rsidR="00EF484F">
              <w:rPr>
                <w:webHidden/>
              </w:rPr>
            </w:r>
            <w:r w:rsidR="00EF484F">
              <w:rPr>
                <w:webHidden/>
              </w:rPr>
              <w:fldChar w:fldCharType="separate"/>
            </w:r>
            <w:r w:rsidR="00EF484F">
              <w:rPr>
                <w:webHidden/>
              </w:rPr>
              <w:t>7-280</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62" w:history="1">
            <w:r w:rsidR="00EF484F" w:rsidRPr="00212190">
              <w:rPr>
                <w:rStyle w:val="Hyperlink"/>
              </w:rPr>
              <w:t>B.1</w:t>
            </w:r>
            <w:r w:rsidR="00EF484F">
              <w:rPr>
                <w:rFonts w:asciiTheme="minorHAnsi" w:eastAsiaTheme="minorEastAsia" w:hAnsiTheme="minorHAnsi"/>
                <w:b w:val="0"/>
                <w:color w:val="auto"/>
                <w:sz w:val="22"/>
                <w:lang w:eastAsia="en-AU"/>
              </w:rPr>
              <w:tab/>
            </w:r>
            <w:r w:rsidR="00EF484F" w:rsidRPr="00212190">
              <w:rPr>
                <w:rStyle w:val="Hyperlink"/>
              </w:rPr>
              <w:t>Position</w:t>
            </w:r>
            <w:r w:rsidR="00EF484F">
              <w:rPr>
                <w:webHidden/>
              </w:rPr>
              <w:tab/>
            </w:r>
            <w:r w:rsidR="00EF484F">
              <w:rPr>
                <w:webHidden/>
              </w:rPr>
              <w:fldChar w:fldCharType="begin"/>
            </w:r>
            <w:r w:rsidR="00EF484F">
              <w:rPr>
                <w:webHidden/>
              </w:rPr>
              <w:instrText xml:space="preserve"> PAGEREF _Toc417719062 \h </w:instrText>
            </w:r>
            <w:r w:rsidR="00EF484F">
              <w:rPr>
                <w:webHidden/>
              </w:rPr>
            </w:r>
            <w:r w:rsidR="00EF484F">
              <w:rPr>
                <w:webHidden/>
              </w:rPr>
              <w:fldChar w:fldCharType="separate"/>
            </w:r>
            <w:r w:rsidR="00EF484F">
              <w:rPr>
                <w:webHidden/>
              </w:rPr>
              <w:t>7-280</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63" w:history="1">
            <w:r w:rsidR="00EF484F" w:rsidRPr="00212190">
              <w:rPr>
                <w:rStyle w:val="Hyperlink"/>
              </w:rPr>
              <w:t>B.2</w:t>
            </w:r>
            <w:r w:rsidR="00EF484F">
              <w:rPr>
                <w:rFonts w:asciiTheme="minorHAnsi" w:eastAsiaTheme="minorEastAsia" w:hAnsiTheme="minorHAnsi"/>
                <w:b w:val="0"/>
                <w:color w:val="auto"/>
                <w:sz w:val="22"/>
                <w:lang w:eastAsia="en-AU"/>
              </w:rPr>
              <w:tab/>
            </w:r>
            <w:r w:rsidR="00EF484F" w:rsidRPr="00212190">
              <w:rPr>
                <w:rStyle w:val="Hyperlink"/>
              </w:rPr>
              <w:t>Draft position</w:t>
            </w:r>
            <w:r w:rsidR="00EF484F">
              <w:rPr>
                <w:webHidden/>
              </w:rPr>
              <w:tab/>
            </w:r>
            <w:r w:rsidR="00EF484F">
              <w:rPr>
                <w:webHidden/>
              </w:rPr>
              <w:fldChar w:fldCharType="begin"/>
            </w:r>
            <w:r w:rsidR="00EF484F">
              <w:rPr>
                <w:webHidden/>
              </w:rPr>
              <w:instrText xml:space="preserve"> PAGEREF _Toc417719063 \h </w:instrText>
            </w:r>
            <w:r w:rsidR="00EF484F">
              <w:rPr>
                <w:webHidden/>
              </w:rPr>
            </w:r>
            <w:r w:rsidR="00EF484F">
              <w:rPr>
                <w:webHidden/>
              </w:rPr>
              <w:fldChar w:fldCharType="separate"/>
            </w:r>
            <w:r w:rsidR="00EF484F">
              <w:rPr>
                <w:webHidden/>
              </w:rPr>
              <w:t>7-281</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64" w:history="1">
            <w:r w:rsidR="00EF484F" w:rsidRPr="00212190">
              <w:rPr>
                <w:rStyle w:val="Hyperlink"/>
              </w:rPr>
              <w:t>B.3</w:t>
            </w:r>
            <w:r w:rsidR="00EF484F">
              <w:rPr>
                <w:rFonts w:asciiTheme="minorHAnsi" w:eastAsiaTheme="minorEastAsia" w:hAnsiTheme="minorHAnsi"/>
                <w:b w:val="0"/>
                <w:color w:val="auto"/>
                <w:sz w:val="22"/>
                <w:lang w:eastAsia="en-AU"/>
              </w:rPr>
              <w:tab/>
            </w:r>
            <w:r w:rsidR="00EF484F" w:rsidRPr="00212190">
              <w:rPr>
                <w:rStyle w:val="Hyperlink"/>
              </w:rPr>
              <w:t>Revised proposal and submissions</w:t>
            </w:r>
            <w:r w:rsidR="00EF484F">
              <w:rPr>
                <w:webHidden/>
              </w:rPr>
              <w:tab/>
            </w:r>
            <w:r w:rsidR="00EF484F">
              <w:rPr>
                <w:webHidden/>
              </w:rPr>
              <w:fldChar w:fldCharType="begin"/>
            </w:r>
            <w:r w:rsidR="00EF484F">
              <w:rPr>
                <w:webHidden/>
              </w:rPr>
              <w:instrText xml:space="preserve"> PAGEREF _Toc417719064 \h </w:instrText>
            </w:r>
            <w:r w:rsidR="00EF484F">
              <w:rPr>
                <w:webHidden/>
              </w:rPr>
            </w:r>
            <w:r w:rsidR="00EF484F">
              <w:rPr>
                <w:webHidden/>
              </w:rPr>
              <w:fldChar w:fldCharType="separate"/>
            </w:r>
            <w:r w:rsidR="00EF484F">
              <w:rPr>
                <w:webHidden/>
              </w:rPr>
              <w:t>7-281</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65" w:history="1">
            <w:r w:rsidR="00EF484F" w:rsidRPr="00212190">
              <w:rPr>
                <w:rStyle w:val="Hyperlink"/>
              </w:rPr>
              <w:t>B.4</w:t>
            </w:r>
            <w:r w:rsidR="00EF484F">
              <w:rPr>
                <w:rFonts w:asciiTheme="minorHAnsi" w:eastAsiaTheme="minorEastAsia" w:hAnsiTheme="minorHAnsi"/>
                <w:b w:val="0"/>
                <w:color w:val="auto"/>
                <w:sz w:val="22"/>
                <w:lang w:eastAsia="en-AU"/>
              </w:rPr>
              <w:tab/>
            </w:r>
            <w:r w:rsidR="00EF484F" w:rsidRPr="00212190">
              <w:rPr>
                <w:rStyle w:val="Hyperlink"/>
              </w:rPr>
              <w:t>Our estimate of the rate of change for 2013–14</w:t>
            </w:r>
            <w:r w:rsidR="00EF484F">
              <w:rPr>
                <w:webHidden/>
              </w:rPr>
              <w:tab/>
            </w:r>
            <w:r w:rsidR="00EF484F">
              <w:rPr>
                <w:webHidden/>
              </w:rPr>
              <w:fldChar w:fldCharType="begin"/>
            </w:r>
            <w:r w:rsidR="00EF484F">
              <w:rPr>
                <w:webHidden/>
              </w:rPr>
              <w:instrText xml:space="preserve"> PAGEREF _Toc417719065 \h </w:instrText>
            </w:r>
            <w:r w:rsidR="00EF484F">
              <w:rPr>
                <w:webHidden/>
              </w:rPr>
            </w:r>
            <w:r w:rsidR="00EF484F">
              <w:rPr>
                <w:webHidden/>
              </w:rPr>
              <w:fldChar w:fldCharType="separate"/>
            </w:r>
            <w:r w:rsidR="00EF484F">
              <w:rPr>
                <w:webHidden/>
              </w:rPr>
              <w:t>7-284</w:t>
            </w:r>
            <w:r w:rsidR="00EF484F">
              <w:rPr>
                <w:webHidden/>
              </w:rPr>
              <w:fldChar w:fldCharType="end"/>
            </w:r>
          </w:hyperlink>
        </w:p>
        <w:p w:rsidR="00EF484F" w:rsidRDefault="007A58F7">
          <w:pPr>
            <w:pStyle w:val="TOC1"/>
            <w:rPr>
              <w:rFonts w:asciiTheme="minorHAnsi" w:eastAsiaTheme="minorEastAsia" w:hAnsiTheme="minorHAnsi"/>
              <w:b w:val="0"/>
              <w:color w:val="auto"/>
              <w:sz w:val="22"/>
              <w:lang w:val="en-AU" w:eastAsia="en-AU"/>
            </w:rPr>
          </w:pPr>
          <w:hyperlink w:anchor="_Toc417719066" w:history="1">
            <w:r w:rsidR="00EF484F" w:rsidRPr="00212190">
              <w:rPr>
                <w:rStyle w:val="Hyperlink"/>
              </w:rPr>
              <w:t>C</w:t>
            </w:r>
            <w:r w:rsidR="00EF484F">
              <w:rPr>
                <w:rFonts w:asciiTheme="minorHAnsi" w:eastAsiaTheme="minorEastAsia" w:hAnsiTheme="minorHAnsi"/>
                <w:b w:val="0"/>
                <w:color w:val="auto"/>
                <w:sz w:val="22"/>
                <w:lang w:val="en-AU" w:eastAsia="en-AU"/>
              </w:rPr>
              <w:tab/>
            </w:r>
            <w:r w:rsidR="00EF484F" w:rsidRPr="00212190">
              <w:rPr>
                <w:rStyle w:val="Hyperlink"/>
              </w:rPr>
              <w:t>Step changes</w:t>
            </w:r>
            <w:r w:rsidR="00EF484F">
              <w:rPr>
                <w:webHidden/>
              </w:rPr>
              <w:tab/>
            </w:r>
            <w:r w:rsidR="00EF484F">
              <w:rPr>
                <w:webHidden/>
              </w:rPr>
              <w:fldChar w:fldCharType="begin"/>
            </w:r>
            <w:r w:rsidR="00EF484F">
              <w:rPr>
                <w:webHidden/>
              </w:rPr>
              <w:instrText xml:space="preserve"> PAGEREF _Toc417719066 \h </w:instrText>
            </w:r>
            <w:r w:rsidR="00EF484F">
              <w:rPr>
                <w:webHidden/>
              </w:rPr>
            </w:r>
            <w:r w:rsidR="00EF484F">
              <w:rPr>
                <w:webHidden/>
              </w:rPr>
              <w:fldChar w:fldCharType="separate"/>
            </w:r>
            <w:r w:rsidR="00EF484F">
              <w:rPr>
                <w:webHidden/>
              </w:rPr>
              <w:t>7-285</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67" w:history="1">
            <w:r w:rsidR="00EF484F" w:rsidRPr="00212190">
              <w:rPr>
                <w:rStyle w:val="Hyperlink"/>
              </w:rPr>
              <w:t>C.1</w:t>
            </w:r>
            <w:r w:rsidR="00EF484F">
              <w:rPr>
                <w:rFonts w:asciiTheme="minorHAnsi" w:eastAsiaTheme="minorEastAsia" w:hAnsiTheme="minorHAnsi"/>
                <w:b w:val="0"/>
                <w:color w:val="auto"/>
                <w:sz w:val="22"/>
                <w:lang w:eastAsia="en-AU"/>
              </w:rPr>
              <w:tab/>
            </w:r>
            <w:r w:rsidR="00EF484F" w:rsidRPr="00212190">
              <w:rPr>
                <w:rStyle w:val="Hyperlink"/>
              </w:rPr>
              <w:t>Final position</w:t>
            </w:r>
            <w:r w:rsidR="00EF484F">
              <w:rPr>
                <w:webHidden/>
              </w:rPr>
              <w:tab/>
            </w:r>
            <w:r w:rsidR="00EF484F">
              <w:rPr>
                <w:webHidden/>
              </w:rPr>
              <w:fldChar w:fldCharType="begin"/>
            </w:r>
            <w:r w:rsidR="00EF484F">
              <w:rPr>
                <w:webHidden/>
              </w:rPr>
              <w:instrText xml:space="preserve"> PAGEREF _Toc417719067 \h </w:instrText>
            </w:r>
            <w:r w:rsidR="00EF484F">
              <w:rPr>
                <w:webHidden/>
              </w:rPr>
            </w:r>
            <w:r w:rsidR="00EF484F">
              <w:rPr>
                <w:webHidden/>
              </w:rPr>
              <w:fldChar w:fldCharType="separate"/>
            </w:r>
            <w:r w:rsidR="00EF484F">
              <w:rPr>
                <w:webHidden/>
              </w:rPr>
              <w:t>7-285</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68" w:history="1">
            <w:r w:rsidR="00EF484F" w:rsidRPr="00212190">
              <w:rPr>
                <w:rStyle w:val="Hyperlink"/>
              </w:rPr>
              <w:t>C.2</w:t>
            </w:r>
            <w:r w:rsidR="00EF484F">
              <w:rPr>
                <w:rFonts w:asciiTheme="minorHAnsi" w:eastAsiaTheme="minorEastAsia" w:hAnsiTheme="minorHAnsi"/>
                <w:b w:val="0"/>
                <w:color w:val="auto"/>
                <w:sz w:val="22"/>
                <w:lang w:eastAsia="en-AU"/>
              </w:rPr>
              <w:tab/>
            </w:r>
            <w:r w:rsidR="00EF484F" w:rsidRPr="00212190">
              <w:rPr>
                <w:rStyle w:val="Hyperlink"/>
              </w:rPr>
              <w:t>Draft position</w:t>
            </w:r>
            <w:r w:rsidR="00EF484F">
              <w:rPr>
                <w:webHidden/>
              </w:rPr>
              <w:tab/>
            </w:r>
            <w:r w:rsidR="00EF484F">
              <w:rPr>
                <w:webHidden/>
              </w:rPr>
              <w:fldChar w:fldCharType="begin"/>
            </w:r>
            <w:r w:rsidR="00EF484F">
              <w:rPr>
                <w:webHidden/>
              </w:rPr>
              <w:instrText xml:space="preserve"> PAGEREF _Toc417719068 \h </w:instrText>
            </w:r>
            <w:r w:rsidR="00EF484F">
              <w:rPr>
                <w:webHidden/>
              </w:rPr>
            </w:r>
            <w:r w:rsidR="00EF484F">
              <w:rPr>
                <w:webHidden/>
              </w:rPr>
              <w:fldChar w:fldCharType="separate"/>
            </w:r>
            <w:r w:rsidR="00EF484F">
              <w:rPr>
                <w:webHidden/>
              </w:rPr>
              <w:t>7-285</w:t>
            </w:r>
            <w:r w:rsidR="00EF484F">
              <w:rPr>
                <w:webHidden/>
              </w:rPr>
              <w:fldChar w:fldCharType="end"/>
            </w:r>
          </w:hyperlink>
        </w:p>
        <w:p w:rsidR="00EF484F" w:rsidRDefault="007A58F7">
          <w:pPr>
            <w:pStyle w:val="TOC2"/>
            <w:rPr>
              <w:rFonts w:asciiTheme="minorHAnsi" w:eastAsiaTheme="minorEastAsia" w:hAnsiTheme="minorHAnsi"/>
              <w:b w:val="0"/>
              <w:color w:val="auto"/>
              <w:sz w:val="22"/>
              <w:lang w:eastAsia="en-AU"/>
            </w:rPr>
          </w:pPr>
          <w:hyperlink w:anchor="_Toc417719069" w:history="1">
            <w:r w:rsidR="00EF484F" w:rsidRPr="00212190">
              <w:rPr>
                <w:rStyle w:val="Hyperlink"/>
              </w:rPr>
              <w:t>C.3</w:t>
            </w:r>
            <w:r w:rsidR="00EF484F">
              <w:rPr>
                <w:rFonts w:asciiTheme="minorHAnsi" w:eastAsiaTheme="minorEastAsia" w:hAnsiTheme="minorHAnsi"/>
                <w:b w:val="0"/>
                <w:color w:val="auto"/>
                <w:sz w:val="22"/>
                <w:lang w:eastAsia="en-AU"/>
              </w:rPr>
              <w:tab/>
            </w:r>
            <w:r w:rsidR="00EF484F" w:rsidRPr="00212190">
              <w:rPr>
                <w:rStyle w:val="Hyperlink"/>
              </w:rPr>
              <w:t>Essential Energy's revised proposal and submissions</w:t>
            </w:r>
            <w:r w:rsidR="00EF484F">
              <w:rPr>
                <w:webHidden/>
              </w:rPr>
              <w:tab/>
            </w:r>
            <w:r w:rsidR="00EF484F">
              <w:rPr>
                <w:webHidden/>
              </w:rPr>
              <w:fldChar w:fldCharType="begin"/>
            </w:r>
            <w:r w:rsidR="00EF484F">
              <w:rPr>
                <w:webHidden/>
              </w:rPr>
              <w:instrText xml:space="preserve"> PAGEREF _Toc417719069 \h </w:instrText>
            </w:r>
            <w:r w:rsidR="00EF484F">
              <w:rPr>
                <w:webHidden/>
              </w:rPr>
            </w:r>
            <w:r w:rsidR="00EF484F">
              <w:rPr>
                <w:webHidden/>
              </w:rPr>
              <w:fldChar w:fldCharType="separate"/>
            </w:r>
            <w:r w:rsidR="00EF484F">
              <w:rPr>
                <w:webHidden/>
              </w:rPr>
              <w:t>7-287</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70" w:history="1">
            <w:r w:rsidR="00EF484F" w:rsidRPr="00212190">
              <w:rPr>
                <w:rStyle w:val="Hyperlink"/>
              </w:rPr>
              <w:t>C.3.1</w:t>
            </w:r>
            <w:r w:rsidR="00EF484F">
              <w:rPr>
                <w:rFonts w:asciiTheme="minorHAnsi" w:eastAsiaTheme="minorEastAsia" w:hAnsiTheme="minorHAnsi"/>
                <w:lang w:eastAsia="en-AU"/>
              </w:rPr>
              <w:tab/>
            </w:r>
            <w:r w:rsidR="00EF484F" w:rsidRPr="00212190">
              <w:rPr>
                <w:rStyle w:val="Hyperlink"/>
              </w:rPr>
              <w:t>Assessment approach</w:t>
            </w:r>
            <w:r w:rsidR="00EF484F">
              <w:rPr>
                <w:webHidden/>
              </w:rPr>
              <w:tab/>
            </w:r>
            <w:r w:rsidR="00EF484F">
              <w:rPr>
                <w:webHidden/>
              </w:rPr>
              <w:fldChar w:fldCharType="begin"/>
            </w:r>
            <w:r w:rsidR="00EF484F">
              <w:rPr>
                <w:webHidden/>
              </w:rPr>
              <w:instrText xml:space="preserve"> PAGEREF _Toc417719070 \h </w:instrText>
            </w:r>
            <w:r w:rsidR="00EF484F">
              <w:rPr>
                <w:webHidden/>
              </w:rPr>
            </w:r>
            <w:r w:rsidR="00EF484F">
              <w:rPr>
                <w:webHidden/>
              </w:rPr>
              <w:fldChar w:fldCharType="separate"/>
            </w:r>
            <w:r w:rsidR="00EF484F">
              <w:rPr>
                <w:webHidden/>
              </w:rPr>
              <w:t>7-288</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71" w:history="1">
            <w:r w:rsidR="00EF484F" w:rsidRPr="00212190">
              <w:rPr>
                <w:rStyle w:val="Hyperlink"/>
              </w:rPr>
              <w:t>C.3.2</w:t>
            </w:r>
            <w:r w:rsidR="00EF484F">
              <w:rPr>
                <w:rFonts w:asciiTheme="minorHAnsi" w:eastAsiaTheme="minorEastAsia" w:hAnsiTheme="minorHAnsi"/>
                <w:lang w:eastAsia="en-AU"/>
              </w:rPr>
              <w:tab/>
            </w:r>
            <w:r w:rsidR="00EF484F" w:rsidRPr="00212190">
              <w:rPr>
                <w:rStyle w:val="Hyperlink"/>
              </w:rPr>
              <w:t>Aerial patrol and analysis</w:t>
            </w:r>
            <w:r w:rsidR="00EF484F">
              <w:rPr>
                <w:webHidden/>
              </w:rPr>
              <w:tab/>
            </w:r>
            <w:r w:rsidR="00EF484F">
              <w:rPr>
                <w:webHidden/>
              </w:rPr>
              <w:fldChar w:fldCharType="begin"/>
            </w:r>
            <w:r w:rsidR="00EF484F">
              <w:rPr>
                <w:webHidden/>
              </w:rPr>
              <w:instrText xml:space="preserve"> PAGEREF _Toc417719071 \h </w:instrText>
            </w:r>
            <w:r w:rsidR="00EF484F">
              <w:rPr>
                <w:webHidden/>
              </w:rPr>
            </w:r>
            <w:r w:rsidR="00EF484F">
              <w:rPr>
                <w:webHidden/>
              </w:rPr>
              <w:fldChar w:fldCharType="separate"/>
            </w:r>
            <w:r w:rsidR="00EF484F">
              <w:rPr>
                <w:webHidden/>
              </w:rPr>
              <w:t>7-291</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72" w:history="1">
            <w:r w:rsidR="00EF484F" w:rsidRPr="00212190">
              <w:rPr>
                <w:rStyle w:val="Hyperlink"/>
              </w:rPr>
              <w:t>C.3.3</w:t>
            </w:r>
            <w:r w:rsidR="00EF484F">
              <w:rPr>
                <w:rFonts w:asciiTheme="minorHAnsi" w:eastAsiaTheme="minorEastAsia" w:hAnsiTheme="minorHAnsi"/>
                <w:lang w:eastAsia="en-AU"/>
              </w:rPr>
              <w:tab/>
            </w:r>
            <w:r w:rsidR="00EF484F" w:rsidRPr="00212190">
              <w:rPr>
                <w:rStyle w:val="Hyperlink"/>
              </w:rPr>
              <w:t>Redundancy costs</w:t>
            </w:r>
            <w:r w:rsidR="00EF484F">
              <w:rPr>
                <w:webHidden/>
              </w:rPr>
              <w:tab/>
            </w:r>
            <w:r w:rsidR="00EF484F">
              <w:rPr>
                <w:webHidden/>
              </w:rPr>
              <w:fldChar w:fldCharType="begin"/>
            </w:r>
            <w:r w:rsidR="00EF484F">
              <w:rPr>
                <w:webHidden/>
              </w:rPr>
              <w:instrText xml:space="preserve"> PAGEREF _Toc417719072 \h </w:instrText>
            </w:r>
            <w:r w:rsidR="00EF484F">
              <w:rPr>
                <w:webHidden/>
              </w:rPr>
            </w:r>
            <w:r w:rsidR="00EF484F">
              <w:rPr>
                <w:webHidden/>
              </w:rPr>
              <w:fldChar w:fldCharType="separate"/>
            </w:r>
            <w:r w:rsidR="00EF484F">
              <w:rPr>
                <w:webHidden/>
              </w:rPr>
              <w:t>7-294</w:t>
            </w:r>
            <w:r w:rsidR="00EF484F">
              <w:rPr>
                <w:webHidden/>
              </w:rPr>
              <w:fldChar w:fldCharType="end"/>
            </w:r>
          </w:hyperlink>
        </w:p>
        <w:p w:rsidR="00EF484F" w:rsidRDefault="007A58F7">
          <w:pPr>
            <w:pStyle w:val="TOC3"/>
            <w:rPr>
              <w:rFonts w:asciiTheme="minorHAnsi" w:eastAsiaTheme="minorEastAsia" w:hAnsiTheme="minorHAnsi"/>
              <w:lang w:eastAsia="en-AU"/>
            </w:rPr>
          </w:pPr>
          <w:hyperlink w:anchor="_Toc417719073" w:history="1">
            <w:r w:rsidR="00EF484F" w:rsidRPr="00212190">
              <w:rPr>
                <w:rStyle w:val="Hyperlink"/>
              </w:rPr>
              <w:t>C.3.4</w:t>
            </w:r>
            <w:r w:rsidR="00EF484F">
              <w:rPr>
                <w:rFonts w:asciiTheme="minorHAnsi" w:eastAsiaTheme="minorEastAsia" w:hAnsiTheme="minorHAnsi"/>
                <w:lang w:eastAsia="en-AU"/>
              </w:rPr>
              <w:tab/>
            </w:r>
            <w:r w:rsidR="00EF484F" w:rsidRPr="00212190">
              <w:rPr>
                <w:rStyle w:val="Hyperlink"/>
              </w:rPr>
              <w:t>Retail dis-synergies</w:t>
            </w:r>
            <w:r w:rsidR="00EF484F">
              <w:rPr>
                <w:webHidden/>
              </w:rPr>
              <w:tab/>
            </w:r>
            <w:r w:rsidR="00EF484F">
              <w:rPr>
                <w:webHidden/>
              </w:rPr>
              <w:fldChar w:fldCharType="begin"/>
            </w:r>
            <w:r w:rsidR="00EF484F">
              <w:rPr>
                <w:webHidden/>
              </w:rPr>
              <w:instrText xml:space="preserve"> PAGEREF _Toc417719073 \h </w:instrText>
            </w:r>
            <w:r w:rsidR="00EF484F">
              <w:rPr>
                <w:webHidden/>
              </w:rPr>
            </w:r>
            <w:r w:rsidR="00EF484F">
              <w:rPr>
                <w:webHidden/>
              </w:rPr>
              <w:fldChar w:fldCharType="separate"/>
            </w:r>
            <w:r w:rsidR="00EF484F">
              <w:rPr>
                <w:webHidden/>
              </w:rPr>
              <w:t>7-295</w:t>
            </w:r>
            <w:r w:rsidR="00EF484F">
              <w:rPr>
                <w:webHidden/>
              </w:rPr>
              <w:fldChar w:fldCharType="end"/>
            </w:r>
          </w:hyperlink>
        </w:p>
        <w:p w:rsidR="00DE563D" w:rsidRDefault="00507E65" w:rsidP="00507E65">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5136CC">
      <w:pPr>
        <w:pStyle w:val="UnnumberedHeading"/>
        <w:numPr>
          <w:ilvl w:val="0"/>
          <w:numId w:val="23"/>
        </w:numPr>
      </w:pPr>
      <w:bookmarkStart w:id="8" w:name="_Toc404700925"/>
      <w:bookmarkStart w:id="9" w:name="_Toc417719004"/>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E161C6">
        <w:trPr>
          <w:cnfStyle w:val="100000000000" w:firstRow="1" w:lastRow="0" w:firstColumn="0" w:lastColumn="0" w:oddVBand="0" w:evenVBand="0" w:oddHBand="0" w:evenHBand="0" w:firstRowFirstColumn="0" w:firstRowLastColumn="0" w:lastRowFirstColumn="0" w:lastRowLastColumn="0"/>
        </w:trPr>
        <w:tc>
          <w:tcPr>
            <w:tcW w:w="4349" w:type="dxa"/>
          </w:tcPr>
          <w:p w:rsidR="001F05A4" w:rsidRDefault="001F05A4" w:rsidP="005136CC">
            <w:pPr>
              <w:numPr>
                <w:ilvl w:val="0"/>
                <w:numId w:val="24"/>
              </w:numPr>
            </w:pPr>
            <w:r>
              <w:t>Shortened form</w:t>
            </w:r>
          </w:p>
        </w:tc>
        <w:tc>
          <w:tcPr>
            <w:tcW w:w="4344" w:type="dxa"/>
          </w:tcPr>
          <w:p w:rsidR="001F05A4" w:rsidRDefault="001F05A4" w:rsidP="005136CC">
            <w:pPr>
              <w:numPr>
                <w:ilvl w:val="0"/>
                <w:numId w:val="24"/>
              </w:numPr>
            </w:pPr>
            <w:r>
              <w:t>Extended form</w:t>
            </w:r>
          </w:p>
        </w:tc>
      </w:tr>
      <w:tr w:rsidR="00E161C6" w:rsidTr="00E161C6">
        <w:tc>
          <w:tcPr>
            <w:tcW w:w="4349" w:type="dxa"/>
          </w:tcPr>
          <w:p w:rsidR="00E161C6" w:rsidRPr="00E161C6" w:rsidRDefault="00E161C6" w:rsidP="005136CC">
            <w:pPr>
              <w:numPr>
                <w:ilvl w:val="0"/>
                <w:numId w:val="24"/>
              </w:numPr>
            </w:pPr>
            <w:r w:rsidRPr="00E161C6">
              <w:t>AEMC</w:t>
            </w:r>
          </w:p>
        </w:tc>
        <w:tc>
          <w:tcPr>
            <w:tcW w:w="4344" w:type="dxa"/>
          </w:tcPr>
          <w:p w:rsidR="00E161C6" w:rsidRPr="00E161C6" w:rsidRDefault="00E161C6" w:rsidP="005136CC">
            <w:pPr>
              <w:numPr>
                <w:ilvl w:val="0"/>
                <w:numId w:val="24"/>
              </w:numPr>
            </w:pPr>
            <w:r w:rsidRPr="00E161C6">
              <w:t>Australian Energy Market Commission</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AEMO</w:t>
            </w:r>
          </w:p>
        </w:tc>
        <w:tc>
          <w:tcPr>
            <w:tcW w:w="4344" w:type="dxa"/>
          </w:tcPr>
          <w:p w:rsidR="00E161C6" w:rsidRPr="00E161C6" w:rsidRDefault="00E161C6" w:rsidP="005136CC">
            <w:pPr>
              <w:numPr>
                <w:ilvl w:val="0"/>
                <w:numId w:val="24"/>
              </w:numPr>
            </w:pPr>
            <w:r w:rsidRPr="00E161C6">
              <w:t>Australian Energy Market Operator</w:t>
            </w:r>
          </w:p>
        </w:tc>
      </w:tr>
      <w:tr w:rsidR="00E161C6" w:rsidTr="00E161C6">
        <w:tc>
          <w:tcPr>
            <w:tcW w:w="4349" w:type="dxa"/>
          </w:tcPr>
          <w:p w:rsidR="00E161C6" w:rsidRPr="00E161C6" w:rsidRDefault="00E161C6" w:rsidP="005136CC">
            <w:pPr>
              <w:numPr>
                <w:ilvl w:val="0"/>
                <w:numId w:val="24"/>
              </w:numPr>
            </w:pPr>
            <w:r w:rsidRPr="00E161C6">
              <w:t>AER</w:t>
            </w:r>
          </w:p>
        </w:tc>
        <w:tc>
          <w:tcPr>
            <w:tcW w:w="4344" w:type="dxa"/>
          </w:tcPr>
          <w:p w:rsidR="00E161C6" w:rsidRPr="00E161C6" w:rsidRDefault="00E161C6" w:rsidP="005136CC">
            <w:pPr>
              <w:numPr>
                <w:ilvl w:val="0"/>
                <w:numId w:val="24"/>
              </w:numPr>
            </w:pPr>
            <w:r w:rsidRPr="00E161C6">
              <w:t>Australian Energy Regulator</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augex</w:t>
            </w:r>
          </w:p>
        </w:tc>
        <w:tc>
          <w:tcPr>
            <w:tcW w:w="4344" w:type="dxa"/>
          </w:tcPr>
          <w:p w:rsidR="00E161C6" w:rsidRPr="00E161C6" w:rsidRDefault="00E161C6" w:rsidP="005136CC">
            <w:pPr>
              <w:numPr>
                <w:ilvl w:val="0"/>
                <w:numId w:val="24"/>
              </w:numPr>
            </w:pPr>
            <w:r w:rsidRPr="00E161C6">
              <w:t>augmentation expenditure</w:t>
            </w:r>
          </w:p>
        </w:tc>
      </w:tr>
      <w:tr w:rsidR="00E161C6" w:rsidTr="00E161C6">
        <w:tc>
          <w:tcPr>
            <w:tcW w:w="4349" w:type="dxa"/>
          </w:tcPr>
          <w:p w:rsidR="00E161C6" w:rsidRPr="00E161C6" w:rsidRDefault="00E161C6" w:rsidP="005136CC">
            <w:pPr>
              <w:numPr>
                <w:ilvl w:val="0"/>
                <w:numId w:val="24"/>
              </w:numPr>
            </w:pPr>
            <w:r w:rsidRPr="00E161C6">
              <w:t>capex</w:t>
            </w:r>
          </w:p>
        </w:tc>
        <w:tc>
          <w:tcPr>
            <w:tcW w:w="4344" w:type="dxa"/>
          </w:tcPr>
          <w:p w:rsidR="00E161C6" w:rsidRPr="00E161C6" w:rsidRDefault="00E161C6" w:rsidP="005136CC">
            <w:pPr>
              <w:numPr>
                <w:ilvl w:val="0"/>
                <w:numId w:val="24"/>
              </w:numPr>
            </w:pPr>
            <w:r w:rsidRPr="00E161C6">
              <w:t>capital expenditure</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CCP</w:t>
            </w:r>
          </w:p>
        </w:tc>
        <w:tc>
          <w:tcPr>
            <w:tcW w:w="4344" w:type="dxa"/>
          </w:tcPr>
          <w:p w:rsidR="00E161C6" w:rsidRPr="00E161C6" w:rsidRDefault="00E161C6" w:rsidP="005136CC">
            <w:pPr>
              <w:numPr>
                <w:ilvl w:val="0"/>
                <w:numId w:val="24"/>
              </w:numPr>
            </w:pPr>
            <w:r w:rsidRPr="00E161C6">
              <w:t>Consumer Challenge Panel</w:t>
            </w:r>
          </w:p>
        </w:tc>
      </w:tr>
      <w:tr w:rsidR="00E161C6" w:rsidTr="00E161C6">
        <w:tc>
          <w:tcPr>
            <w:tcW w:w="4349" w:type="dxa"/>
          </w:tcPr>
          <w:p w:rsidR="00E161C6" w:rsidRPr="00E161C6" w:rsidRDefault="00E161C6" w:rsidP="005136CC">
            <w:pPr>
              <w:numPr>
                <w:ilvl w:val="0"/>
                <w:numId w:val="24"/>
              </w:numPr>
            </w:pPr>
            <w:r w:rsidRPr="00E161C6">
              <w:t>CESS</w:t>
            </w:r>
          </w:p>
        </w:tc>
        <w:tc>
          <w:tcPr>
            <w:tcW w:w="4344" w:type="dxa"/>
          </w:tcPr>
          <w:p w:rsidR="00E161C6" w:rsidRPr="00E161C6" w:rsidRDefault="00E161C6" w:rsidP="005136CC">
            <w:pPr>
              <w:numPr>
                <w:ilvl w:val="0"/>
                <w:numId w:val="24"/>
              </w:numPr>
            </w:pPr>
            <w:r w:rsidRPr="00E161C6">
              <w:t>capital expenditure sharing scheme</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CPI</w:t>
            </w:r>
          </w:p>
        </w:tc>
        <w:tc>
          <w:tcPr>
            <w:tcW w:w="4344" w:type="dxa"/>
          </w:tcPr>
          <w:p w:rsidR="00E161C6" w:rsidRPr="00E161C6" w:rsidRDefault="00E161C6" w:rsidP="005136CC">
            <w:pPr>
              <w:numPr>
                <w:ilvl w:val="0"/>
                <w:numId w:val="24"/>
              </w:numPr>
            </w:pPr>
            <w:r w:rsidRPr="00E161C6">
              <w:t>consumer price index</w:t>
            </w:r>
          </w:p>
        </w:tc>
      </w:tr>
      <w:tr w:rsidR="00E161C6" w:rsidTr="00E161C6">
        <w:tc>
          <w:tcPr>
            <w:tcW w:w="4349" w:type="dxa"/>
          </w:tcPr>
          <w:p w:rsidR="00E161C6" w:rsidRPr="00E161C6" w:rsidRDefault="00E161C6" w:rsidP="005136CC">
            <w:pPr>
              <w:numPr>
                <w:ilvl w:val="0"/>
                <w:numId w:val="24"/>
              </w:numPr>
            </w:pPr>
            <w:r w:rsidRPr="00E161C6">
              <w:t>DRP</w:t>
            </w:r>
          </w:p>
        </w:tc>
        <w:tc>
          <w:tcPr>
            <w:tcW w:w="4344" w:type="dxa"/>
          </w:tcPr>
          <w:p w:rsidR="00E161C6" w:rsidRPr="00E161C6" w:rsidRDefault="00E161C6" w:rsidP="005136CC">
            <w:pPr>
              <w:numPr>
                <w:ilvl w:val="0"/>
                <w:numId w:val="24"/>
              </w:numPr>
            </w:pPr>
            <w:r w:rsidRPr="00E161C6">
              <w:t>debt risk premium</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DMIA</w:t>
            </w:r>
          </w:p>
        </w:tc>
        <w:tc>
          <w:tcPr>
            <w:tcW w:w="4344" w:type="dxa"/>
          </w:tcPr>
          <w:p w:rsidR="00E161C6" w:rsidRPr="00E161C6" w:rsidRDefault="00E161C6" w:rsidP="005136CC">
            <w:pPr>
              <w:numPr>
                <w:ilvl w:val="0"/>
                <w:numId w:val="24"/>
              </w:numPr>
            </w:pPr>
            <w:r w:rsidRPr="00E161C6">
              <w:t>demand management innovation allowance</w:t>
            </w:r>
          </w:p>
        </w:tc>
      </w:tr>
      <w:tr w:rsidR="00E161C6" w:rsidTr="00E161C6">
        <w:tc>
          <w:tcPr>
            <w:tcW w:w="4349" w:type="dxa"/>
          </w:tcPr>
          <w:p w:rsidR="00E161C6" w:rsidRPr="00E161C6" w:rsidRDefault="00E161C6" w:rsidP="005136CC">
            <w:pPr>
              <w:numPr>
                <w:ilvl w:val="0"/>
                <w:numId w:val="24"/>
              </w:numPr>
            </w:pPr>
            <w:r w:rsidRPr="00E161C6">
              <w:t>DMIS</w:t>
            </w:r>
          </w:p>
        </w:tc>
        <w:tc>
          <w:tcPr>
            <w:tcW w:w="4344" w:type="dxa"/>
          </w:tcPr>
          <w:p w:rsidR="00E161C6" w:rsidRPr="00E161C6" w:rsidRDefault="00E161C6" w:rsidP="005136CC">
            <w:pPr>
              <w:numPr>
                <w:ilvl w:val="0"/>
                <w:numId w:val="24"/>
              </w:numPr>
            </w:pPr>
            <w:r w:rsidRPr="00E161C6">
              <w:t>demand management incentive scheme</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distributor</w:t>
            </w:r>
          </w:p>
        </w:tc>
        <w:tc>
          <w:tcPr>
            <w:tcW w:w="4344" w:type="dxa"/>
          </w:tcPr>
          <w:p w:rsidR="00E161C6" w:rsidRPr="00E161C6" w:rsidRDefault="00E161C6" w:rsidP="005136CC">
            <w:pPr>
              <w:numPr>
                <w:ilvl w:val="0"/>
                <w:numId w:val="24"/>
              </w:numPr>
            </w:pPr>
            <w:r w:rsidRPr="00E161C6">
              <w:t>distribution network service provider</w:t>
            </w:r>
          </w:p>
        </w:tc>
      </w:tr>
      <w:tr w:rsidR="00E161C6" w:rsidTr="00E161C6">
        <w:tc>
          <w:tcPr>
            <w:tcW w:w="4349" w:type="dxa"/>
          </w:tcPr>
          <w:p w:rsidR="00E161C6" w:rsidRPr="00E161C6" w:rsidRDefault="00E161C6" w:rsidP="005136CC">
            <w:pPr>
              <w:numPr>
                <w:ilvl w:val="0"/>
                <w:numId w:val="24"/>
              </w:numPr>
            </w:pPr>
            <w:r w:rsidRPr="00E161C6">
              <w:t>DUoS</w:t>
            </w:r>
          </w:p>
        </w:tc>
        <w:tc>
          <w:tcPr>
            <w:tcW w:w="4344" w:type="dxa"/>
          </w:tcPr>
          <w:p w:rsidR="00E161C6" w:rsidRPr="00E161C6" w:rsidRDefault="00E161C6" w:rsidP="005136CC">
            <w:pPr>
              <w:numPr>
                <w:ilvl w:val="0"/>
                <w:numId w:val="24"/>
              </w:numPr>
            </w:pPr>
            <w:r w:rsidRPr="00E161C6">
              <w:t>distribution use of system</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EBSS</w:t>
            </w:r>
          </w:p>
        </w:tc>
        <w:tc>
          <w:tcPr>
            <w:tcW w:w="4344" w:type="dxa"/>
          </w:tcPr>
          <w:p w:rsidR="00E161C6" w:rsidRPr="00E161C6" w:rsidRDefault="00E161C6" w:rsidP="005136CC">
            <w:pPr>
              <w:numPr>
                <w:ilvl w:val="0"/>
                <w:numId w:val="24"/>
              </w:numPr>
            </w:pPr>
            <w:r w:rsidRPr="00E161C6">
              <w:t>efficiency benefit sharing scheme</w:t>
            </w:r>
          </w:p>
        </w:tc>
      </w:tr>
      <w:tr w:rsidR="00E161C6" w:rsidTr="00E161C6">
        <w:tc>
          <w:tcPr>
            <w:tcW w:w="4349" w:type="dxa"/>
          </w:tcPr>
          <w:p w:rsidR="00E161C6" w:rsidRPr="00E161C6" w:rsidRDefault="00E161C6" w:rsidP="005136CC">
            <w:pPr>
              <w:numPr>
                <w:ilvl w:val="0"/>
                <w:numId w:val="24"/>
              </w:numPr>
            </w:pPr>
            <w:r w:rsidRPr="00E161C6">
              <w:t>ERP</w:t>
            </w:r>
          </w:p>
        </w:tc>
        <w:tc>
          <w:tcPr>
            <w:tcW w:w="4344" w:type="dxa"/>
          </w:tcPr>
          <w:p w:rsidR="00E161C6" w:rsidRPr="00E161C6" w:rsidRDefault="00E161C6" w:rsidP="005136CC">
            <w:pPr>
              <w:numPr>
                <w:ilvl w:val="0"/>
                <w:numId w:val="24"/>
              </w:numPr>
            </w:pPr>
            <w:r w:rsidRPr="00E161C6">
              <w:t>equity risk premium</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Expenditure Assessment Guideline</w:t>
            </w:r>
          </w:p>
        </w:tc>
        <w:tc>
          <w:tcPr>
            <w:tcW w:w="4344" w:type="dxa"/>
          </w:tcPr>
          <w:p w:rsidR="00E161C6" w:rsidRPr="00E161C6" w:rsidRDefault="00E161C6" w:rsidP="005136CC">
            <w:pPr>
              <w:numPr>
                <w:ilvl w:val="0"/>
                <w:numId w:val="24"/>
              </w:numPr>
            </w:pPr>
            <w:r w:rsidRPr="00E161C6">
              <w:t>expenditure forecast assessment Guideline for electricity distribution</w:t>
            </w:r>
          </w:p>
        </w:tc>
      </w:tr>
      <w:tr w:rsidR="00E161C6" w:rsidTr="00E161C6">
        <w:tc>
          <w:tcPr>
            <w:tcW w:w="4349" w:type="dxa"/>
          </w:tcPr>
          <w:p w:rsidR="00E161C6" w:rsidRPr="00E161C6" w:rsidRDefault="00E161C6" w:rsidP="005136CC">
            <w:pPr>
              <w:numPr>
                <w:ilvl w:val="0"/>
                <w:numId w:val="24"/>
              </w:numPr>
            </w:pPr>
            <w:r w:rsidRPr="00E161C6">
              <w:t>F&amp;A</w:t>
            </w:r>
          </w:p>
        </w:tc>
        <w:tc>
          <w:tcPr>
            <w:tcW w:w="4344" w:type="dxa"/>
          </w:tcPr>
          <w:p w:rsidR="00E161C6" w:rsidRPr="00E161C6" w:rsidRDefault="00E161C6" w:rsidP="005136CC">
            <w:pPr>
              <w:numPr>
                <w:ilvl w:val="0"/>
                <w:numId w:val="24"/>
              </w:numPr>
            </w:pPr>
            <w:r w:rsidRPr="00E161C6">
              <w:t>framework and approach</w:t>
            </w:r>
          </w:p>
        </w:tc>
      </w:tr>
      <w:tr w:rsidR="008D102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8D1026" w:rsidRPr="00E161C6" w:rsidRDefault="008D1026" w:rsidP="005136CC">
            <w:pPr>
              <w:numPr>
                <w:ilvl w:val="0"/>
                <w:numId w:val="24"/>
              </w:numPr>
            </w:pPr>
            <w:r>
              <w:t>MPFP</w:t>
            </w:r>
          </w:p>
        </w:tc>
        <w:tc>
          <w:tcPr>
            <w:tcW w:w="4344" w:type="dxa"/>
          </w:tcPr>
          <w:p w:rsidR="008D1026" w:rsidRPr="00E161C6" w:rsidRDefault="008D1026" w:rsidP="008D1026">
            <w:pPr>
              <w:numPr>
                <w:ilvl w:val="0"/>
                <w:numId w:val="24"/>
              </w:numPr>
            </w:pPr>
            <w:r>
              <w:t>multilateral partial factor productivity</w:t>
            </w:r>
          </w:p>
        </w:tc>
      </w:tr>
      <w:tr w:rsidR="00E161C6" w:rsidTr="00E161C6">
        <w:tc>
          <w:tcPr>
            <w:tcW w:w="4349" w:type="dxa"/>
          </w:tcPr>
          <w:p w:rsidR="00E161C6" w:rsidRPr="00E161C6" w:rsidRDefault="00E161C6" w:rsidP="005136CC">
            <w:pPr>
              <w:numPr>
                <w:ilvl w:val="0"/>
                <w:numId w:val="24"/>
              </w:numPr>
            </w:pPr>
            <w:r w:rsidRPr="00E161C6">
              <w:t>MRP</w:t>
            </w:r>
          </w:p>
        </w:tc>
        <w:tc>
          <w:tcPr>
            <w:tcW w:w="4344" w:type="dxa"/>
          </w:tcPr>
          <w:p w:rsidR="00E161C6" w:rsidRPr="00E161C6" w:rsidRDefault="00E161C6" w:rsidP="005136CC">
            <w:pPr>
              <w:numPr>
                <w:ilvl w:val="0"/>
                <w:numId w:val="24"/>
              </w:numPr>
            </w:pPr>
            <w:r w:rsidRPr="00E161C6">
              <w:t>market risk premium</w:t>
            </w:r>
          </w:p>
        </w:tc>
      </w:tr>
      <w:tr w:rsidR="008D102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8D1026" w:rsidRPr="00E161C6" w:rsidRDefault="008D1026" w:rsidP="005136CC">
            <w:pPr>
              <w:numPr>
                <w:ilvl w:val="0"/>
                <w:numId w:val="24"/>
              </w:numPr>
            </w:pPr>
            <w:r>
              <w:t>MTFP</w:t>
            </w:r>
          </w:p>
        </w:tc>
        <w:tc>
          <w:tcPr>
            <w:tcW w:w="4344" w:type="dxa"/>
          </w:tcPr>
          <w:p w:rsidR="008D1026" w:rsidRPr="00E161C6" w:rsidRDefault="008D1026" w:rsidP="005136CC">
            <w:pPr>
              <w:numPr>
                <w:ilvl w:val="0"/>
                <w:numId w:val="24"/>
              </w:numPr>
            </w:pPr>
            <w:r>
              <w:t>multilateral total factor productivity</w:t>
            </w:r>
          </w:p>
        </w:tc>
      </w:tr>
      <w:tr w:rsidR="00E161C6" w:rsidTr="00E161C6">
        <w:tc>
          <w:tcPr>
            <w:tcW w:w="4349" w:type="dxa"/>
          </w:tcPr>
          <w:p w:rsidR="00E161C6" w:rsidRPr="00E161C6" w:rsidRDefault="00E161C6" w:rsidP="005136CC">
            <w:pPr>
              <w:numPr>
                <w:ilvl w:val="0"/>
                <w:numId w:val="24"/>
              </w:numPr>
            </w:pPr>
            <w:r w:rsidRPr="00E161C6">
              <w:t>NEL</w:t>
            </w:r>
          </w:p>
        </w:tc>
        <w:tc>
          <w:tcPr>
            <w:tcW w:w="4344" w:type="dxa"/>
          </w:tcPr>
          <w:p w:rsidR="00E161C6" w:rsidRPr="00E161C6" w:rsidRDefault="00E161C6" w:rsidP="005136CC">
            <w:pPr>
              <w:numPr>
                <w:ilvl w:val="0"/>
                <w:numId w:val="24"/>
              </w:numPr>
            </w:pPr>
            <w:r w:rsidRPr="00E161C6">
              <w:t>national electricity law</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NEM</w:t>
            </w:r>
          </w:p>
        </w:tc>
        <w:tc>
          <w:tcPr>
            <w:tcW w:w="4344" w:type="dxa"/>
          </w:tcPr>
          <w:p w:rsidR="00E161C6" w:rsidRPr="00E161C6" w:rsidRDefault="00E161C6" w:rsidP="005136CC">
            <w:pPr>
              <w:numPr>
                <w:ilvl w:val="0"/>
                <w:numId w:val="24"/>
              </w:numPr>
            </w:pPr>
            <w:r w:rsidRPr="00E161C6">
              <w:t>national electricity market</w:t>
            </w:r>
          </w:p>
        </w:tc>
      </w:tr>
      <w:tr w:rsidR="00E161C6" w:rsidTr="00E161C6">
        <w:tc>
          <w:tcPr>
            <w:tcW w:w="4349" w:type="dxa"/>
          </w:tcPr>
          <w:p w:rsidR="00E161C6" w:rsidRPr="00E161C6" w:rsidRDefault="00E161C6" w:rsidP="005136CC">
            <w:pPr>
              <w:numPr>
                <w:ilvl w:val="0"/>
                <w:numId w:val="24"/>
              </w:numPr>
            </w:pPr>
            <w:r w:rsidRPr="00E161C6">
              <w:t>NEO</w:t>
            </w:r>
          </w:p>
        </w:tc>
        <w:tc>
          <w:tcPr>
            <w:tcW w:w="4344" w:type="dxa"/>
          </w:tcPr>
          <w:p w:rsidR="00E161C6" w:rsidRPr="00E161C6" w:rsidRDefault="00E161C6" w:rsidP="005136CC">
            <w:pPr>
              <w:numPr>
                <w:ilvl w:val="0"/>
                <w:numId w:val="24"/>
              </w:numPr>
            </w:pPr>
            <w:r w:rsidRPr="00E161C6">
              <w:t>national electricity objective</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NER</w:t>
            </w:r>
          </w:p>
        </w:tc>
        <w:tc>
          <w:tcPr>
            <w:tcW w:w="4344" w:type="dxa"/>
          </w:tcPr>
          <w:p w:rsidR="00E161C6" w:rsidRPr="00E161C6" w:rsidRDefault="00E161C6" w:rsidP="005136CC">
            <w:pPr>
              <w:numPr>
                <w:ilvl w:val="0"/>
                <w:numId w:val="24"/>
              </w:numPr>
            </w:pPr>
            <w:r w:rsidRPr="00E161C6">
              <w:t>national electricity rules</w:t>
            </w:r>
          </w:p>
        </w:tc>
      </w:tr>
      <w:tr w:rsidR="00E161C6" w:rsidTr="00E161C6">
        <w:tc>
          <w:tcPr>
            <w:tcW w:w="4349" w:type="dxa"/>
          </w:tcPr>
          <w:p w:rsidR="00E161C6" w:rsidRPr="00E161C6" w:rsidRDefault="00E161C6" w:rsidP="005136CC">
            <w:pPr>
              <w:numPr>
                <w:ilvl w:val="0"/>
                <w:numId w:val="24"/>
              </w:numPr>
            </w:pPr>
            <w:r w:rsidRPr="00E161C6">
              <w:t>NSP</w:t>
            </w:r>
          </w:p>
        </w:tc>
        <w:tc>
          <w:tcPr>
            <w:tcW w:w="4344" w:type="dxa"/>
          </w:tcPr>
          <w:p w:rsidR="00E161C6" w:rsidRPr="00E161C6" w:rsidRDefault="00E161C6" w:rsidP="005136CC">
            <w:pPr>
              <w:numPr>
                <w:ilvl w:val="0"/>
                <w:numId w:val="24"/>
              </w:numPr>
            </w:pPr>
            <w:r w:rsidRPr="00E161C6">
              <w:t>network service provider</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opex</w:t>
            </w:r>
          </w:p>
        </w:tc>
        <w:tc>
          <w:tcPr>
            <w:tcW w:w="4344" w:type="dxa"/>
          </w:tcPr>
          <w:p w:rsidR="00E161C6" w:rsidRPr="00E161C6" w:rsidRDefault="00E161C6" w:rsidP="005136CC">
            <w:pPr>
              <w:numPr>
                <w:ilvl w:val="0"/>
                <w:numId w:val="24"/>
              </w:numPr>
            </w:pPr>
            <w:r w:rsidRPr="00E161C6">
              <w:t>operating expenditure</w:t>
            </w:r>
          </w:p>
        </w:tc>
      </w:tr>
      <w:tr w:rsidR="00E161C6" w:rsidTr="00E161C6">
        <w:tc>
          <w:tcPr>
            <w:tcW w:w="4349" w:type="dxa"/>
          </w:tcPr>
          <w:p w:rsidR="00E161C6" w:rsidRPr="00E161C6" w:rsidRDefault="00E161C6" w:rsidP="005136CC">
            <w:pPr>
              <w:numPr>
                <w:ilvl w:val="0"/>
                <w:numId w:val="24"/>
              </w:numPr>
            </w:pPr>
            <w:r w:rsidRPr="00E161C6">
              <w:t>PPI</w:t>
            </w:r>
          </w:p>
        </w:tc>
        <w:tc>
          <w:tcPr>
            <w:tcW w:w="4344" w:type="dxa"/>
          </w:tcPr>
          <w:p w:rsidR="00E161C6" w:rsidRPr="00E161C6" w:rsidRDefault="00E161C6" w:rsidP="005136CC">
            <w:pPr>
              <w:numPr>
                <w:ilvl w:val="0"/>
                <w:numId w:val="24"/>
              </w:numPr>
            </w:pPr>
            <w:r w:rsidRPr="00E161C6">
              <w:t>partial performance indicators</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PTRM</w:t>
            </w:r>
          </w:p>
        </w:tc>
        <w:tc>
          <w:tcPr>
            <w:tcW w:w="4344" w:type="dxa"/>
          </w:tcPr>
          <w:p w:rsidR="00E161C6" w:rsidRPr="00E161C6" w:rsidRDefault="00E161C6" w:rsidP="005136CC">
            <w:pPr>
              <w:numPr>
                <w:ilvl w:val="0"/>
                <w:numId w:val="24"/>
              </w:numPr>
            </w:pPr>
            <w:r w:rsidRPr="00E161C6">
              <w:t>post-tax revenue model</w:t>
            </w:r>
          </w:p>
        </w:tc>
      </w:tr>
      <w:tr w:rsidR="00E161C6" w:rsidTr="00E161C6">
        <w:tc>
          <w:tcPr>
            <w:tcW w:w="4349" w:type="dxa"/>
          </w:tcPr>
          <w:p w:rsidR="00E161C6" w:rsidRPr="00E161C6" w:rsidRDefault="00E161C6" w:rsidP="005136CC">
            <w:pPr>
              <w:numPr>
                <w:ilvl w:val="0"/>
                <w:numId w:val="24"/>
              </w:numPr>
            </w:pPr>
            <w:r w:rsidRPr="00E161C6">
              <w:t>RAB</w:t>
            </w:r>
          </w:p>
        </w:tc>
        <w:tc>
          <w:tcPr>
            <w:tcW w:w="4344" w:type="dxa"/>
          </w:tcPr>
          <w:p w:rsidR="00E161C6" w:rsidRPr="00E161C6" w:rsidRDefault="00E161C6" w:rsidP="005136CC">
            <w:pPr>
              <w:numPr>
                <w:ilvl w:val="0"/>
                <w:numId w:val="24"/>
              </w:numPr>
            </w:pPr>
            <w:r w:rsidRPr="00E161C6">
              <w:t>regulatory asset base</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RBA</w:t>
            </w:r>
          </w:p>
        </w:tc>
        <w:tc>
          <w:tcPr>
            <w:tcW w:w="4344" w:type="dxa"/>
          </w:tcPr>
          <w:p w:rsidR="00E161C6" w:rsidRPr="00E161C6" w:rsidRDefault="00E161C6" w:rsidP="005136CC">
            <w:pPr>
              <w:numPr>
                <w:ilvl w:val="0"/>
                <w:numId w:val="24"/>
              </w:numPr>
            </w:pPr>
            <w:r w:rsidRPr="00E161C6">
              <w:t>Reserve Bank of Australia</w:t>
            </w:r>
          </w:p>
        </w:tc>
      </w:tr>
      <w:tr w:rsidR="00E161C6" w:rsidTr="00E161C6">
        <w:tc>
          <w:tcPr>
            <w:tcW w:w="4349" w:type="dxa"/>
          </w:tcPr>
          <w:p w:rsidR="00E161C6" w:rsidRPr="00E161C6" w:rsidRDefault="00E161C6" w:rsidP="005136CC">
            <w:pPr>
              <w:numPr>
                <w:ilvl w:val="0"/>
                <w:numId w:val="24"/>
              </w:numPr>
            </w:pPr>
            <w:r w:rsidRPr="00E161C6">
              <w:lastRenderedPageBreak/>
              <w:t>repex</w:t>
            </w:r>
          </w:p>
        </w:tc>
        <w:tc>
          <w:tcPr>
            <w:tcW w:w="4344" w:type="dxa"/>
          </w:tcPr>
          <w:p w:rsidR="00E161C6" w:rsidRPr="00E161C6" w:rsidRDefault="00E161C6" w:rsidP="005136CC">
            <w:pPr>
              <w:numPr>
                <w:ilvl w:val="0"/>
                <w:numId w:val="24"/>
              </w:numPr>
            </w:pPr>
            <w:r w:rsidRPr="00E161C6">
              <w:t>replacement expenditure</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RFM</w:t>
            </w:r>
          </w:p>
        </w:tc>
        <w:tc>
          <w:tcPr>
            <w:tcW w:w="4344" w:type="dxa"/>
          </w:tcPr>
          <w:p w:rsidR="00E161C6" w:rsidRPr="00E161C6" w:rsidRDefault="00E161C6" w:rsidP="005136CC">
            <w:pPr>
              <w:numPr>
                <w:ilvl w:val="0"/>
                <w:numId w:val="24"/>
              </w:numPr>
            </w:pPr>
            <w:r w:rsidRPr="00E161C6">
              <w:t>roll forward model</w:t>
            </w:r>
          </w:p>
        </w:tc>
      </w:tr>
      <w:tr w:rsidR="00E161C6" w:rsidTr="00E161C6">
        <w:tc>
          <w:tcPr>
            <w:tcW w:w="4349" w:type="dxa"/>
          </w:tcPr>
          <w:p w:rsidR="00E161C6" w:rsidRPr="00E161C6" w:rsidRDefault="00E161C6" w:rsidP="005136CC">
            <w:pPr>
              <w:numPr>
                <w:ilvl w:val="0"/>
                <w:numId w:val="24"/>
              </w:numPr>
            </w:pPr>
            <w:r w:rsidRPr="00E161C6">
              <w:t>RIN</w:t>
            </w:r>
          </w:p>
        </w:tc>
        <w:tc>
          <w:tcPr>
            <w:tcW w:w="4344" w:type="dxa"/>
          </w:tcPr>
          <w:p w:rsidR="00E161C6" w:rsidRPr="00E161C6" w:rsidRDefault="00E161C6" w:rsidP="005136CC">
            <w:pPr>
              <w:numPr>
                <w:ilvl w:val="0"/>
                <w:numId w:val="24"/>
              </w:numPr>
            </w:pPr>
            <w:r w:rsidRPr="00E161C6">
              <w:t>regulatory information notice</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RPP</w:t>
            </w:r>
          </w:p>
        </w:tc>
        <w:tc>
          <w:tcPr>
            <w:tcW w:w="4344" w:type="dxa"/>
          </w:tcPr>
          <w:p w:rsidR="00E161C6" w:rsidRPr="00E161C6" w:rsidRDefault="00E161C6" w:rsidP="005136CC">
            <w:pPr>
              <w:numPr>
                <w:ilvl w:val="0"/>
                <w:numId w:val="24"/>
              </w:numPr>
            </w:pPr>
            <w:r w:rsidRPr="00E161C6">
              <w:t>revenue and pricing principles</w:t>
            </w:r>
          </w:p>
        </w:tc>
      </w:tr>
      <w:tr w:rsidR="00E161C6" w:rsidTr="00E161C6">
        <w:tc>
          <w:tcPr>
            <w:tcW w:w="4349" w:type="dxa"/>
          </w:tcPr>
          <w:p w:rsidR="00E161C6" w:rsidRPr="00E161C6" w:rsidRDefault="00E161C6" w:rsidP="005136CC">
            <w:pPr>
              <w:numPr>
                <w:ilvl w:val="0"/>
                <w:numId w:val="24"/>
              </w:numPr>
            </w:pPr>
            <w:r w:rsidRPr="00E161C6">
              <w:t>SAIDI</w:t>
            </w:r>
          </w:p>
        </w:tc>
        <w:tc>
          <w:tcPr>
            <w:tcW w:w="4344" w:type="dxa"/>
          </w:tcPr>
          <w:p w:rsidR="00E161C6" w:rsidRPr="00E161C6" w:rsidRDefault="00E161C6" w:rsidP="005136CC">
            <w:pPr>
              <w:numPr>
                <w:ilvl w:val="0"/>
                <w:numId w:val="24"/>
              </w:numPr>
            </w:pPr>
            <w:r w:rsidRPr="00E161C6">
              <w:t>system average interruption duration index</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SAIFI</w:t>
            </w:r>
          </w:p>
        </w:tc>
        <w:tc>
          <w:tcPr>
            <w:tcW w:w="4344" w:type="dxa"/>
          </w:tcPr>
          <w:p w:rsidR="00E161C6" w:rsidRPr="00E161C6" w:rsidRDefault="00E161C6" w:rsidP="005136CC">
            <w:pPr>
              <w:numPr>
                <w:ilvl w:val="0"/>
                <w:numId w:val="24"/>
              </w:numPr>
            </w:pPr>
            <w:r w:rsidRPr="00E161C6">
              <w:t>system average interruption frequency index</w:t>
            </w:r>
          </w:p>
        </w:tc>
      </w:tr>
      <w:tr w:rsidR="00E161C6" w:rsidTr="00E161C6">
        <w:tc>
          <w:tcPr>
            <w:tcW w:w="4349" w:type="dxa"/>
          </w:tcPr>
          <w:p w:rsidR="00E161C6" w:rsidRPr="00E161C6" w:rsidRDefault="00E161C6" w:rsidP="005136CC">
            <w:pPr>
              <w:numPr>
                <w:ilvl w:val="0"/>
                <w:numId w:val="24"/>
              </w:numPr>
            </w:pPr>
            <w:r w:rsidRPr="00E161C6">
              <w:t>SLCAPM</w:t>
            </w:r>
          </w:p>
        </w:tc>
        <w:tc>
          <w:tcPr>
            <w:tcW w:w="4344" w:type="dxa"/>
          </w:tcPr>
          <w:p w:rsidR="00E161C6" w:rsidRPr="00E161C6" w:rsidRDefault="00E161C6" w:rsidP="005136CC">
            <w:pPr>
              <w:numPr>
                <w:ilvl w:val="0"/>
                <w:numId w:val="24"/>
              </w:numPr>
            </w:pPr>
            <w:r w:rsidRPr="00E161C6">
              <w:t>Sharpe-Lintner capital asset pricing model</w:t>
            </w:r>
          </w:p>
        </w:tc>
      </w:tr>
      <w:tr w:rsidR="00E161C6" w:rsidTr="00E161C6">
        <w:trPr>
          <w:cnfStyle w:val="000000010000" w:firstRow="0" w:lastRow="0" w:firstColumn="0" w:lastColumn="0" w:oddVBand="0" w:evenVBand="0" w:oddHBand="0" w:evenHBand="1" w:firstRowFirstColumn="0" w:firstRowLastColumn="0" w:lastRowFirstColumn="0" w:lastRowLastColumn="0"/>
        </w:trPr>
        <w:tc>
          <w:tcPr>
            <w:tcW w:w="4349" w:type="dxa"/>
          </w:tcPr>
          <w:p w:rsidR="00E161C6" w:rsidRPr="00E161C6" w:rsidRDefault="00E161C6" w:rsidP="005136CC">
            <w:pPr>
              <w:numPr>
                <w:ilvl w:val="0"/>
                <w:numId w:val="24"/>
              </w:numPr>
            </w:pPr>
            <w:r w:rsidRPr="00E161C6">
              <w:t>STPIS</w:t>
            </w:r>
          </w:p>
        </w:tc>
        <w:tc>
          <w:tcPr>
            <w:tcW w:w="4344" w:type="dxa"/>
          </w:tcPr>
          <w:p w:rsidR="00E161C6" w:rsidRPr="00E161C6" w:rsidRDefault="00E161C6" w:rsidP="005136CC">
            <w:pPr>
              <w:numPr>
                <w:ilvl w:val="0"/>
                <w:numId w:val="24"/>
              </w:numPr>
            </w:pPr>
            <w:r w:rsidRPr="00E161C6">
              <w:t>service target performance incentive scheme</w:t>
            </w:r>
          </w:p>
        </w:tc>
      </w:tr>
      <w:tr w:rsidR="00E161C6" w:rsidTr="00E161C6">
        <w:tc>
          <w:tcPr>
            <w:tcW w:w="4349" w:type="dxa"/>
          </w:tcPr>
          <w:p w:rsidR="00E161C6" w:rsidRPr="00E161C6" w:rsidRDefault="00E161C6" w:rsidP="005136CC">
            <w:pPr>
              <w:numPr>
                <w:ilvl w:val="0"/>
                <w:numId w:val="24"/>
              </w:numPr>
            </w:pPr>
            <w:r w:rsidRPr="00E161C6">
              <w:t>WACC</w:t>
            </w:r>
          </w:p>
        </w:tc>
        <w:tc>
          <w:tcPr>
            <w:tcW w:w="4344" w:type="dxa"/>
          </w:tcPr>
          <w:p w:rsidR="00E161C6" w:rsidRPr="00E161C6" w:rsidRDefault="00E161C6" w:rsidP="005136CC">
            <w:pPr>
              <w:numPr>
                <w:ilvl w:val="0"/>
                <w:numId w:val="24"/>
              </w:numPr>
            </w:pPr>
            <w:r w:rsidRPr="00E161C6">
              <w:t>weighted average cost of capital</w:t>
            </w:r>
          </w:p>
        </w:tc>
      </w:tr>
    </w:tbl>
    <w:p w:rsidR="00DE563D" w:rsidRPr="00436A39" w:rsidRDefault="00DE563D" w:rsidP="005136CC">
      <w:pPr>
        <w:numPr>
          <w:ilvl w:val="0"/>
          <w:numId w:val="24"/>
        </w:numPr>
      </w:pPr>
    </w:p>
    <w:p w:rsidR="00DE563D" w:rsidRDefault="00DE563D" w:rsidP="00DE563D"/>
    <w:p w:rsidR="00E75C6B" w:rsidRPr="007671F5" w:rsidRDefault="00E75C6B" w:rsidP="00E75C6B">
      <w:pPr>
        <w:pStyle w:val="Heading1"/>
      </w:pPr>
      <w:bookmarkStart w:id="10" w:name="_Toc404760937"/>
      <w:bookmarkStart w:id="11" w:name="_Toc415754583"/>
      <w:bookmarkStart w:id="12" w:name="_Toc417719005"/>
      <w:r w:rsidRPr="00E40A0B">
        <w:lastRenderedPageBreak/>
        <w:t xml:space="preserve">Operating </w:t>
      </w:r>
      <w:r w:rsidRPr="007671F5">
        <w:t>expenditure</w:t>
      </w:r>
      <w:bookmarkEnd w:id="10"/>
      <w:bookmarkEnd w:id="11"/>
      <w:bookmarkEnd w:id="12"/>
    </w:p>
    <w:p w:rsidR="00E75C6B" w:rsidRPr="00E37FBD" w:rsidRDefault="00E75C6B" w:rsidP="005136CC">
      <w:pPr>
        <w:numPr>
          <w:ilvl w:val="0"/>
          <w:numId w:val="24"/>
        </w:numPr>
      </w:pPr>
      <w:r w:rsidRPr="00E37FBD">
        <w:t xml:space="preserve">Operating expenditure (opex) refers to the operating, maintenance and other non-capital expenses incurred in the provision of network services. Forecast opex for standard control services is one of the building blocks we use to determine a service provider's total revenue requirement. </w:t>
      </w:r>
    </w:p>
    <w:p w:rsidR="00E75C6B" w:rsidRPr="00E37FBD" w:rsidRDefault="00E75C6B" w:rsidP="005136CC">
      <w:pPr>
        <w:numPr>
          <w:ilvl w:val="0"/>
          <w:numId w:val="24"/>
        </w:numPr>
      </w:pPr>
      <w:r w:rsidRPr="00E37FBD">
        <w:t>This attachment provides an overview of our assessment of opex. Detailed analysis of our assessment of opex are in the following appendices:</w:t>
      </w:r>
    </w:p>
    <w:p w:rsidR="00E75C6B" w:rsidRPr="005F08D3" w:rsidRDefault="00E75C6B" w:rsidP="00E75C6B">
      <w:pPr>
        <w:pStyle w:val="AERbulletlistfirststyle"/>
      </w:pPr>
      <w:r w:rsidRPr="00E37FBD">
        <w:t xml:space="preserve">Appendix </w:t>
      </w:r>
      <w:r>
        <w:t>A</w:t>
      </w:r>
      <w:r w:rsidRPr="00E37FBD">
        <w:t xml:space="preserve"> - Base opex</w:t>
      </w:r>
    </w:p>
    <w:p w:rsidR="00E75C6B" w:rsidRPr="005F08D3" w:rsidRDefault="00E75C6B" w:rsidP="00E75C6B">
      <w:pPr>
        <w:pStyle w:val="AERbulletlistfirststyle"/>
      </w:pPr>
      <w:r w:rsidRPr="00E37FBD">
        <w:t xml:space="preserve">Appendix </w:t>
      </w:r>
      <w:r>
        <w:t>B</w:t>
      </w:r>
      <w:r w:rsidRPr="00E37FBD">
        <w:t xml:space="preserve"> - Rate of change</w:t>
      </w:r>
    </w:p>
    <w:p w:rsidR="00E75C6B" w:rsidRPr="005F08D3" w:rsidRDefault="00E75C6B" w:rsidP="004E1719">
      <w:pPr>
        <w:pStyle w:val="AERbulletlistfirststyle"/>
      </w:pPr>
      <w:r w:rsidRPr="00E37FBD">
        <w:t xml:space="preserve">Appendix </w:t>
      </w:r>
      <w:r>
        <w:t>C</w:t>
      </w:r>
      <w:r w:rsidRPr="00E37FBD">
        <w:t xml:space="preserve"> - Step changes</w:t>
      </w:r>
      <w:r w:rsidR="00DA7479">
        <w:t>.</w:t>
      </w:r>
      <w:r w:rsidRPr="00E37FBD">
        <w:t xml:space="preserve"> </w:t>
      </w:r>
    </w:p>
    <w:p w:rsidR="00E75C6B" w:rsidRPr="00413EA6" w:rsidRDefault="00E75C6B" w:rsidP="00E75C6B">
      <w:pPr>
        <w:pStyle w:val="Heading2"/>
      </w:pPr>
      <w:bookmarkStart w:id="13" w:name="_Toc415754584"/>
      <w:bookmarkStart w:id="14" w:name="_Toc417719006"/>
      <w:r w:rsidRPr="00413EA6">
        <w:t>Final decision</w:t>
      </w:r>
      <w:bookmarkEnd w:id="13"/>
      <w:bookmarkEnd w:id="14"/>
    </w:p>
    <w:p w:rsidR="00E75C6B" w:rsidRPr="00E37FBD" w:rsidRDefault="00E75C6B" w:rsidP="005136CC">
      <w:pPr>
        <w:numPr>
          <w:ilvl w:val="0"/>
          <w:numId w:val="24"/>
        </w:numPr>
      </w:pPr>
      <w:r w:rsidRPr="00E37FBD">
        <w:t xml:space="preserve">We are not satisfied that </w:t>
      </w:r>
      <w:r w:rsidR="00BC10D5">
        <w:t>Essential Energy</w:t>
      </w:r>
      <w:r w:rsidRPr="00E37FBD">
        <w:t>'s forecast opex reasonably reflects the opex criteria.</w:t>
      </w:r>
      <w:r w:rsidRPr="00E37FBD">
        <w:rPr>
          <w:rStyle w:val="FootnoteReference"/>
        </w:rPr>
        <w:footnoteReference w:id="1"/>
      </w:r>
      <w:r w:rsidRPr="00E37FBD">
        <w:t xml:space="preserve"> We therefore do not accept the forecast opex </w:t>
      </w:r>
      <w:r w:rsidR="00BC10D5">
        <w:t>Essential Energy</w:t>
      </w:r>
      <w:r w:rsidRPr="00E37FBD">
        <w:t xml:space="preserve"> included in its building block proposal.</w:t>
      </w:r>
      <w:r w:rsidRPr="00E37FBD">
        <w:rPr>
          <w:rStyle w:val="FootnoteReference"/>
        </w:rPr>
        <w:footnoteReference w:id="2"/>
      </w:r>
      <w:r w:rsidRPr="00E37FBD">
        <w:t xml:space="preserve"> </w:t>
      </w:r>
      <w:r w:rsidR="00C71E9C" w:rsidRPr="00C71E9C">
        <w:t xml:space="preserve">We compare our alternative estimate of </w:t>
      </w:r>
      <w:r w:rsidR="00C71E9C">
        <w:t>Essential Energy's</w:t>
      </w:r>
      <w:r w:rsidR="00C71E9C" w:rsidRPr="00C71E9C">
        <w:t xml:space="preserve"> opex for the 2014–19 period, with </w:t>
      </w:r>
      <w:r w:rsidR="00B355F9">
        <w:t>Essential Energy's</w:t>
      </w:r>
      <w:r w:rsidR="00C71E9C" w:rsidRPr="00C71E9C">
        <w:t xml:space="preserve"> initial proposal, our draft decision and its revised proposal in </w:t>
      </w:r>
      <w:r>
        <w:fldChar w:fldCharType="begin"/>
      </w:r>
      <w:r>
        <w:instrText xml:space="preserve"> REF _Ref401761534 \h </w:instrText>
      </w:r>
      <w:r>
        <w:fldChar w:fldCharType="separate"/>
      </w:r>
      <w:r w:rsidR="00C74791" w:rsidRPr="00E37FBD">
        <w:t xml:space="preserve">Table </w:t>
      </w:r>
      <w:r w:rsidR="00C74791">
        <w:rPr>
          <w:noProof/>
        </w:rPr>
        <w:t>7</w:t>
      </w:r>
      <w:r w:rsidR="00C74791" w:rsidRPr="00E37FBD">
        <w:t>.</w:t>
      </w:r>
      <w:r w:rsidR="00C74791">
        <w:rPr>
          <w:noProof/>
        </w:rPr>
        <w:t>1</w:t>
      </w:r>
      <w:r>
        <w:fldChar w:fldCharType="end"/>
      </w:r>
      <w:r w:rsidRPr="00E37FBD">
        <w:t>.</w:t>
      </w:r>
      <w:r w:rsidRPr="00E37FBD">
        <w:rPr>
          <w:rStyle w:val="FootnoteReference"/>
        </w:rPr>
        <w:footnoteReference w:id="3"/>
      </w:r>
    </w:p>
    <w:p w:rsidR="00E75C6B" w:rsidRDefault="00E75C6B" w:rsidP="00E75C6B">
      <w:pPr>
        <w:pStyle w:val="Caption"/>
      </w:pPr>
      <w:bookmarkStart w:id="15" w:name="_Ref401761495"/>
      <w:bookmarkStart w:id="16" w:name="_Ref401761534"/>
      <w:bookmarkStart w:id="17" w:name="_Ref388280805"/>
      <w:r w:rsidRPr="00E37FBD">
        <w:t>Table</w:t>
      </w:r>
      <w:bookmarkEnd w:id="15"/>
      <w:r w:rsidRPr="00E37FBD">
        <w:t xml:space="preserve"> </w:t>
      </w:r>
      <w:r w:rsidRPr="00E75C6B">
        <w:fldChar w:fldCharType="begin"/>
      </w:r>
      <w:r>
        <w:instrText xml:space="preserve"> STYLEREF 1 \s </w:instrText>
      </w:r>
      <w:r w:rsidRPr="00E75C6B">
        <w:fldChar w:fldCharType="separate"/>
      </w:r>
      <w:r w:rsidR="00C74791">
        <w:rPr>
          <w:noProof/>
        </w:rPr>
        <w:t>7</w:t>
      </w:r>
      <w:r w:rsidRPr="00E75C6B">
        <w:fldChar w:fldCharType="end"/>
      </w:r>
      <w:r w:rsidRPr="00E37FBD">
        <w:t>.</w:t>
      </w:r>
      <w:r w:rsidRPr="00E75C6B">
        <w:fldChar w:fldCharType="begin"/>
      </w:r>
      <w:r>
        <w:instrText xml:space="preserve"> SEQ Table \* ARABIC \s 1 </w:instrText>
      </w:r>
      <w:r w:rsidRPr="00E75C6B">
        <w:fldChar w:fldCharType="separate"/>
      </w:r>
      <w:r w:rsidR="00C74791">
        <w:rPr>
          <w:noProof/>
        </w:rPr>
        <w:t>1</w:t>
      </w:r>
      <w:r w:rsidRPr="00E75C6B">
        <w:fldChar w:fldCharType="end"/>
      </w:r>
      <w:bookmarkEnd w:id="16"/>
      <w:r w:rsidRPr="00E37FBD">
        <w:tab/>
        <w:t xml:space="preserve">Our </w:t>
      </w:r>
      <w:r w:rsidR="00351B63">
        <w:t xml:space="preserve">draft and </w:t>
      </w:r>
      <w:r>
        <w:t>final</w:t>
      </w:r>
      <w:r w:rsidRPr="00E37FBD">
        <w:t xml:space="preserve"> decision</w:t>
      </w:r>
      <w:r w:rsidR="009664DF">
        <w:t>s</w:t>
      </w:r>
      <w:r w:rsidRPr="00E37FBD">
        <w:t xml:space="preserve"> on total opex ($</w:t>
      </w:r>
      <w:r w:rsidR="009B0844">
        <w:t xml:space="preserve"> </w:t>
      </w:r>
      <w:r w:rsidRPr="00E37FBD">
        <w:t>million</w:t>
      </w:r>
      <w:r>
        <w:t>,</w:t>
      </w:r>
      <w:r w:rsidRPr="00E37FBD">
        <w:t xml:space="preserve"> 2013–14)</w:t>
      </w:r>
      <w:bookmarkEnd w:id="17"/>
    </w:p>
    <w:tbl>
      <w:tblPr>
        <w:tblStyle w:val="AERtable-numbers"/>
        <w:tblW w:w="0" w:type="auto"/>
        <w:tblLook w:val="04A0" w:firstRow="1" w:lastRow="0" w:firstColumn="1" w:lastColumn="0" w:noHBand="0" w:noVBand="1"/>
      </w:tblPr>
      <w:tblGrid>
        <w:gridCol w:w="2538"/>
        <w:gridCol w:w="1027"/>
        <w:gridCol w:w="1027"/>
        <w:gridCol w:w="1028"/>
        <w:gridCol w:w="1027"/>
        <w:gridCol w:w="1027"/>
        <w:gridCol w:w="1019"/>
      </w:tblGrid>
      <w:tr w:rsidR="00E75C6B" w:rsidTr="00622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75C6B" w:rsidRPr="008E086D" w:rsidRDefault="00E75C6B" w:rsidP="00E75C6B"/>
        </w:tc>
        <w:tc>
          <w:tcPr>
            <w:tcW w:w="1027" w:type="dxa"/>
          </w:tcPr>
          <w:p w:rsidR="00E75C6B" w:rsidRPr="008E086D" w:rsidRDefault="00E75C6B" w:rsidP="00E75C6B">
            <w:pPr>
              <w:cnfStyle w:val="100000000000" w:firstRow="1" w:lastRow="0" w:firstColumn="0" w:lastColumn="0" w:oddVBand="0" w:evenVBand="0" w:oddHBand="0" w:evenHBand="0" w:firstRowFirstColumn="0" w:firstRowLastColumn="0" w:lastRowFirstColumn="0" w:lastRowLastColumn="0"/>
            </w:pPr>
            <w:r w:rsidRPr="008E086D">
              <w:t>2014–15</w:t>
            </w:r>
          </w:p>
        </w:tc>
        <w:tc>
          <w:tcPr>
            <w:tcW w:w="1027" w:type="dxa"/>
          </w:tcPr>
          <w:p w:rsidR="00E75C6B" w:rsidRPr="008E086D" w:rsidRDefault="00E75C6B" w:rsidP="00E75C6B">
            <w:pPr>
              <w:cnfStyle w:val="100000000000" w:firstRow="1" w:lastRow="0" w:firstColumn="0" w:lastColumn="0" w:oddVBand="0" w:evenVBand="0" w:oddHBand="0" w:evenHBand="0" w:firstRowFirstColumn="0" w:firstRowLastColumn="0" w:lastRowFirstColumn="0" w:lastRowLastColumn="0"/>
            </w:pPr>
            <w:r w:rsidRPr="008E086D">
              <w:t>2015–16</w:t>
            </w:r>
          </w:p>
        </w:tc>
        <w:tc>
          <w:tcPr>
            <w:tcW w:w="1028" w:type="dxa"/>
          </w:tcPr>
          <w:p w:rsidR="00E75C6B" w:rsidRPr="008E086D" w:rsidRDefault="00E75C6B" w:rsidP="00E75C6B">
            <w:pPr>
              <w:cnfStyle w:val="100000000000" w:firstRow="1" w:lastRow="0" w:firstColumn="0" w:lastColumn="0" w:oddVBand="0" w:evenVBand="0" w:oddHBand="0" w:evenHBand="0" w:firstRowFirstColumn="0" w:firstRowLastColumn="0" w:lastRowFirstColumn="0" w:lastRowLastColumn="0"/>
            </w:pPr>
            <w:r w:rsidRPr="008E086D">
              <w:t>2016–17</w:t>
            </w:r>
          </w:p>
        </w:tc>
        <w:tc>
          <w:tcPr>
            <w:tcW w:w="1027" w:type="dxa"/>
          </w:tcPr>
          <w:p w:rsidR="00E75C6B" w:rsidRPr="008E086D" w:rsidRDefault="00E75C6B" w:rsidP="00E75C6B">
            <w:pPr>
              <w:cnfStyle w:val="100000000000" w:firstRow="1" w:lastRow="0" w:firstColumn="0" w:lastColumn="0" w:oddVBand="0" w:evenVBand="0" w:oddHBand="0" w:evenHBand="0" w:firstRowFirstColumn="0" w:firstRowLastColumn="0" w:lastRowFirstColumn="0" w:lastRowLastColumn="0"/>
            </w:pPr>
            <w:r w:rsidRPr="008E086D">
              <w:t>2017–18</w:t>
            </w:r>
          </w:p>
        </w:tc>
        <w:tc>
          <w:tcPr>
            <w:tcW w:w="1027" w:type="dxa"/>
          </w:tcPr>
          <w:p w:rsidR="00E75C6B" w:rsidRPr="008E086D" w:rsidRDefault="00E75C6B" w:rsidP="00E75C6B">
            <w:pPr>
              <w:cnfStyle w:val="100000000000" w:firstRow="1" w:lastRow="0" w:firstColumn="0" w:lastColumn="0" w:oddVBand="0" w:evenVBand="0" w:oddHBand="0" w:evenHBand="0" w:firstRowFirstColumn="0" w:firstRowLastColumn="0" w:lastRowFirstColumn="0" w:lastRowLastColumn="0"/>
            </w:pPr>
            <w:r w:rsidRPr="008E086D">
              <w:t>2018–19</w:t>
            </w:r>
          </w:p>
        </w:tc>
        <w:tc>
          <w:tcPr>
            <w:tcW w:w="1019" w:type="dxa"/>
          </w:tcPr>
          <w:p w:rsidR="00E75C6B" w:rsidRPr="008E086D" w:rsidRDefault="00E75C6B" w:rsidP="00E75C6B">
            <w:pPr>
              <w:cnfStyle w:val="100000000000" w:firstRow="1" w:lastRow="0" w:firstColumn="0" w:lastColumn="0" w:oddVBand="0" w:evenVBand="0" w:oddHBand="0" w:evenHBand="0" w:firstRowFirstColumn="0" w:firstRowLastColumn="0" w:lastRowFirstColumn="0" w:lastRowLastColumn="0"/>
            </w:pPr>
            <w:r w:rsidRPr="008E086D">
              <w:t>Total</w:t>
            </w:r>
          </w:p>
        </w:tc>
      </w:tr>
      <w:tr w:rsidR="00EF63F8" w:rsidTr="005302FD">
        <w:trPr>
          <w:trHeight w:val="80"/>
        </w:trPr>
        <w:tc>
          <w:tcPr>
            <w:cnfStyle w:val="001000000000" w:firstRow="0" w:lastRow="0" w:firstColumn="1" w:lastColumn="0" w:oddVBand="0" w:evenVBand="0" w:oddHBand="0" w:evenHBand="0" w:firstRowFirstColumn="0" w:firstRowLastColumn="0" w:lastRowFirstColumn="0" w:lastRowLastColumn="0"/>
            <w:tcW w:w="2538" w:type="dxa"/>
          </w:tcPr>
          <w:p w:rsidR="00EF63F8" w:rsidRPr="00EF63F8" w:rsidRDefault="00EF63F8" w:rsidP="00EF63F8">
            <w:pPr>
              <w:pStyle w:val="AERtabletextleft"/>
              <w:rPr>
                <w:rStyle w:val="AERtextsize8"/>
              </w:rPr>
            </w:pPr>
            <w:r w:rsidRPr="00EF63F8">
              <w:rPr>
                <w:rStyle w:val="AERtextsize8"/>
              </w:rPr>
              <w:t>Essential Energy's initial proposal</w:t>
            </w:r>
          </w:p>
        </w:tc>
        <w:tc>
          <w:tcPr>
            <w:tcW w:w="1027"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459.2</w:t>
            </w:r>
          </w:p>
        </w:tc>
        <w:tc>
          <w:tcPr>
            <w:tcW w:w="1027"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460.8</w:t>
            </w:r>
          </w:p>
        </w:tc>
        <w:tc>
          <w:tcPr>
            <w:tcW w:w="1028"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456.4</w:t>
            </w:r>
          </w:p>
        </w:tc>
        <w:tc>
          <w:tcPr>
            <w:tcW w:w="1027"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462.5</w:t>
            </w:r>
          </w:p>
        </w:tc>
        <w:tc>
          <w:tcPr>
            <w:tcW w:w="1027"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471.9</w:t>
            </w:r>
          </w:p>
        </w:tc>
        <w:tc>
          <w:tcPr>
            <w:tcW w:w="1019"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2310.7</w:t>
            </w:r>
          </w:p>
        </w:tc>
      </w:tr>
      <w:tr w:rsidR="00EF63F8" w:rsidTr="005302F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38" w:type="dxa"/>
          </w:tcPr>
          <w:p w:rsidR="00EF63F8" w:rsidRPr="00EF63F8" w:rsidRDefault="00EF63F8" w:rsidP="00EF63F8">
            <w:pPr>
              <w:pStyle w:val="AERtabletextleft"/>
              <w:rPr>
                <w:rStyle w:val="AERtextsize8"/>
              </w:rPr>
            </w:pPr>
            <w:r w:rsidRPr="00EF63F8">
              <w:rPr>
                <w:rStyle w:val="AERtextsize8"/>
              </w:rPr>
              <w:t>AER draft decision</w:t>
            </w:r>
          </w:p>
        </w:tc>
        <w:tc>
          <w:tcPr>
            <w:tcW w:w="1027"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277.3</w:t>
            </w:r>
          </w:p>
        </w:tc>
        <w:tc>
          <w:tcPr>
            <w:tcW w:w="1027"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279.9</w:t>
            </w:r>
          </w:p>
        </w:tc>
        <w:tc>
          <w:tcPr>
            <w:tcW w:w="1028"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283.3</w:t>
            </w:r>
          </w:p>
        </w:tc>
        <w:tc>
          <w:tcPr>
            <w:tcW w:w="1027"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287.3</w:t>
            </w:r>
          </w:p>
        </w:tc>
        <w:tc>
          <w:tcPr>
            <w:tcW w:w="1027"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291.1</w:t>
            </w:r>
          </w:p>
        </w:tc>
        <w:tc>
          <w:tcPr>
            <w:tcW w:w="1019"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1418.8</w:t>
            </w:r>
          </w:p>
        </w:tc>
      </w:tr>
      <w:tr w:rsidR="00EF63F8" w:rsidTr="005302FD">
        <w:trPr>
          <w:trHeight w:val="80"/>
        </w:trPr>
        <w:tc>
          <w:tcPr>
            <w:cnfStyle w:val="001000000000" w:firstRow="0" w:lastRow="0" w:firstColumn="1" w:lastColumn="0" w:oddVBand="0" w:evenVBand="0" w:oddHBand="0" w:evenHBand="0" w:firstRowFirstColumn="0" w:firstRowLastColumn="0" w:lastRowFirstColumn="0" w:lastRowLastColumn="0"/>
            <w:tcW w:w="2538" w:type="dxa"/>
          </w:tcPr>
          <w:p w:rsidR="00EF63F8" w:rsidRPr="00EF63F8" w:rsidRDefault="00EF63F8" w:rsidP="00EF63F8">
            <w:pPr>
              <w:pStyle w:val="AERtabletextleft"/>
              <w:rPr>
                <w:rStyle w:val="AERtextsize8"/>
              </w:rPr>
            </w:pPr>
            <w:r w:rsidRPr="00EF63F8">
              <w:rPr>
                <w:rStyle w:val="AERtextsize8"/>
              </w:rPr>
              <w:t>Essential Energy's revised proposal</w:t>
            </w:r>
          </w:p>
        </w:tc>
        <w:tc>
          <w:tcPr>
            <w:tcW w:w="1027"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493.4</w:t>
            </w:r>
          </w:p>
        </w:tc>
        <w:tc>
          <w:tcPr>
            <w:tcW w:w="1027"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486.9</w:t>
            </w:r>
          </w:p>
        </w:tc>
        <w:tc>
          <w:tcPr>
            <w:tcW w:w="1028"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449.8</w:t>
            </w:r>
          </w:p>
        </w:tc>
        <w:tc>
          <w:tcPr>
            <w:tcW w:w="1027"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454.2</w:t>
            </w:r>
          </w:p>
        </w:tc>
        <w:tc>
          <w:tcPr>
            <w:tcW w:w="1027"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422.4</w:t>
            </w:r>
          </w:p>
        </w:tc>
        <w:tc>
          <w:tcPr>
            <w:tcW w:w="1019"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2306.6</w:t>
            </w:r>
          </w:p>
        </w:tc>
      </w:tr>
      <w:tr w:rsidR="00EF63F8" w:rsidTr="005302F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38" w:type="dxa"/>
          </w:tcPr>
          <w:p w:rsidR="00EF63F8" w:rsidRPr="00EF63F8" w:rsidRDefault="00EF63F8" w:rsidP="00EF63F8">
            <w:pPr>
              <w:pStyle w:val="AERtabletextleft"/>
              <w:rPr>
                <w:rStyle w:val="AERtextsize8"/>
              </w:rPr>
            </w:pPr>
            <w:r w:rsidRPr="00EF63F8">
              <w:rPr>
                <w:rStyle w:val="AERtextsize8"/>
              </w:rPr>
              <w:t>AER final decision</w:t>
            </w:r>
          </w:p>
        </w:tc>
        <w:tc>
          <w:tcPr>
            <w:tcW w:w="1027"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316.3</w:t>
            </w:r>
          </w:p>
        </w:tc>
        <w:tc>
          <w:tcPr>
            <w:tcW w:w="1027"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319.6</w:t>
            </w:r>
          </w:p>
        </w:tc>
        <w:tc>
          <w:tcPr>
            <w:tcW w:w="1028"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322.9</w:t>
            </w:r>
          </w:p>
        </w:tc>
        <w:tc>
          <w:tcPr>
            <w:tcW w:w="1027"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326.4</w:t>
            </w:r>
          </w:p>
        </w:tc>
        <w:tc>
          <w:tcPr>
            <w:tcW w:w="1027"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330.0</w:t>
            </w:r>
          </w:p>
        </w:tc>
        <w:tc>
          <w:tcPr>
            <w:tcW w:w="1019"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1615.3</w:t>
            </w:r>
          </w:p>
        </w:tc>
      </w:tr>
    </w:tbl>
    <w:p w:rsidR="00E75C6B" w:rsidRPr="00B47806" w:rsidRDefault="00E75C6B" w:rsidP="00E75C6B">
      <w:pPr>
        <w:pStyle w:val="AERtablesource"/>
      </w:pPr>
      <w:r w:rsidRPr="00B47806">
        <w:t>Source:</w:t>
      </w:r>
      <w:r w:rsidRPr="00B47806">
        <w:tab/>
        <w:t>AER analysis.</w:t>
      </w:r>
    </w:p>
    <w:p w:rsidR="00E75C6B" w:rsidRPr="00B47806" w:rsidRDefault="00E75C6B" w:rsidP="00E75C6B">
      <w:pPr>
        <w:pStyle w:val="AERtablesource"/>
      </w:pPr>
      <w:r w:rsidRPr="00B47806">
        <w:t>Note:</w:t>
      </w:r>
      <w:r w:rsidRPr="00B47806">
        <w:tab/>
        <w:t>Excludes debt raising costs</w:t>
      </w:r>
      <w:r w:rsidR="00837F60">
        <w:t xml:space="preserve"> and DMIA</w:t>
      </w:r>
      <w:r w:rsidRPr="00B47806">
        <w:t>.</w:t>
      </w:r>
    </w:p>
    <w:p w:rsidR="00E75C6B" w:rsidRDefault="00E75C6B" w:rsidP="00E75C6B">
      <w:pPr>
        <w:rPr>
          <w:rStyle w:val="AERbody"/>
        </w:rPr>
      </w:pPr>
      <w:r>
        <w:rPr>
          <w:rStyle w:val="AERbody"/>
        </w:rPr>
        <w:fldChar w:fldCharType="begin"/>
      </w:r>
      <w:r>
        <w:rPr>
          <w:rStyle w:val="AERbody"/>
        </w:rPr>
        <w:instrText xml:space="preserve"> REF _Ref403135101 \h </w:instrText>
      </w:r>
      <w:r>
        <w:rPr>
          <w:rStyle w:val="AERbody"/>
        </w:rPr>
      </w:r>
      <w:r>
        <w:rPr>
          <w:rStyle w:val="AERbody"/>
        </w:rPr>
        <w:fldChar w:fldCharType="separate"/>
      </w:r>
      <w:r w:rsidR="00C74791">
        <w:t xml:space="preserve">Figure </w:t>
      </w:r>
      <w:r w:rsidR="00C74791">
        <w:rPr>
          <w:noProof/>
        </w:rPr>
        <w:t>7</w:t>
      </w:r>
      <w:r w:rsidR="00C74791">
        <w:t>.</w:t>
      </w:r>
      <w:r w:rsidR="00C74791">
        <w:rPr>
          <w:noProof/>
        </w:rPr>
        <w:t>1</w:t>
      </w:r>
      <w:r>
        <w:rPr>
          <w:rStyle w:val="AERbody"/>
        </w:rPr>
        <w:fldChar w:fldCharType="end"/>
      </w:r>
      <w:r>
        <w:rPr>
          <w:rStyle w:val="AERbody"/>
        </w:rPr>
        <w:t xml:space="preserve"> </w:t>
      </w:r>
      <w:r w:rsidR="00515B75">
        <w:rPr>
          <w:rStyle w:val="AERbody"/>
        </w:rPr>
        <w:t xml:space="preserve">shows </w:t>
      </w:r>
      <w:r w:rsidR="00515B75" w:rsidRPr="00EA4AAE">
        <w:rPr>
          <w:rStyle w:val="AERbody"/>
        </w:rPr>
        <w:t xml:space="preserve">our </w:t>
      </w:r>
      <w:r w:rsidR="00515B75">
        <w:rPr>
          <w:rStyle w:val="AERbody"/>
        </w:rPr>
        <w:t>final</w:t>
      </w:r>
      <w:r w:rsidR="00515B75" w:rsidRPr="00EA4AAE">
        <w:rPr>
          <w:rStyle w:val="AERbody"/>
        </w:rPr>
        <w:t xml:space="preserve"> </w:t>
      </w:r>
      <w:r w:rsidR="00515B75">
        <w:rPr>
          <w:rStyle w:val="AERbody"/>
        </w:rPr>
        <w:t xml:space="preserve">and draft </w:t>
      </w:r>
      <w:r w:rsidR="00515B75" w:rsidRPr="00EA4AAE">
        <w:rPr>
          <w:rStyle w:val="AERbody"/>
        </w:rPr>
        <w:t>decision</w:t>
      </w:r>
      <w:r w:rsidR="009664DF">
        <w:rPr>
          <w:rStyle w:val="AERbody"/>
        </w:rPr>
        <w:t>s</w:t>
      </w:r>
      <w:r w:rsidR="00515B75" w:rsidRPr="00EA4AAE">
        <w:rPr>
          <w:rStyle w:val="AERbody"/>
        </w:rPr>
        <w:t xml:space="preserve"> compared to </w:t>
      </w:r>
      <w:r w:rsidR="00515B75">
        <w:rPr>
          <w:rStyle w:val="AERbody"/>
        </w:rPr>
        <w:t>Essential Energy's</w:t>
      </w:r>
      <w:r w:rsidR="00515B75" w:rsidRPr="00EA4AAE">
        <w:rPr>
          <w:rStyle w:val="AERbody"/>
        </w:rPr>
        <w:t xml:space="preserve"> past actual </w:t>
      </w:r>
      <w:r w:rsidR="00515B75">
        <w:rPr>
          <w:rStyle w:val="AERbody"/>
        </w:rPr>
        <w:t>opex,</w:t>
      </w:r>
      <w:r w:rsidR="00515B75" w:rsidRPr="00817DD2">
        <w:rPr>
          <w:rStyle w:val="AERbody"/>
        </w:rPr>
        <w:t xml:space="preserve"> </w:t>
      </w:r>
      <w:r w:rsidR="00515B75" w:rsidRPr="00EA4AAE">
        <w:rPr>
          <w:rStyle w:val="AERbody"/>
        </w:rPr>
        <w:t>p</w:t>
      </w:r>
      <w:r w:rsidR="00515B75">
        <w:rPr>
          <w:rStyle w:val="AERbody"/>
        </w:rPr>
        <w:t xml:space="preserve">revious regulatory decisions and its initial and revised </w:t>
      </w:r>
      <w:r w:rsidR="00515B75" w:rsidRPr="00EA4AAE">
        <w:rPr>
          <w:rStyle w:val="AERbody"/>
        </w:rPr>
        <w:t>proposal</w:t>
      </w:r>
      <w:r w:rsidR="00515B75">
        <w:rPr>
          <w:rStyle w:val="AERbody"/>
        </w:rPr>
        <w:t>s.</w:t>
      </w:r>
    </w:p>
    <w:p w:rsidR="00E75C6B" w:rsidRPr="00E37FBD" w:rsidRDefault="005727A4" w:rsidP="005727A4">
      <w:pPr>
        <w:pStyle w:val="Caption"/>
      </w:pPr>
      <w:bookmarkStart w:id="18" w:name="_Ref403135101"/>
      <w:r>
        <w:lastRenderedPageBreak/>
        <w:t xml:space="preserve">Figure </w:t>
      </w:r>
      <w:fldSimple w:instr=" STYLEREF 1 \s ">
        <w:r w:rsidR="00C74791">
          <w:rPr>
            <w:noProof/>
          </w:rPr>
          <w:t>7</w:t>
        </w:r>
      </w:fldSimple>
      <w:r w:rsidR="00A91FF1">
        <w:t>.</w:t>
      </w:r>
      <w:fldSimple w:instr=" SEQ Figure \* ARABIC \s 1 ">
        <w:r w:rsidR="00C74791">
          <w:rPr>
            <w:noProof/>
          </w:rPr>
          <w:t>1</w:t>
        </w:r>
      </w:fldSimple>
      <w:bookmarkEnd w:id="18"/>
      <w:r w:rsidR="00E75C6B" w:rsidRPr="00E37FBD">
        <w:tab/>
      </w:r>
      <w:r w:rsidR="00E75C6B" w:rsidRPr="00B020B6">
        <w:t xml:space="preserve">AER </w:t>
      </w:r>
      <w:r w:rsidR="00E75C6B">
        <w:t>final decision</w:t>
      </w:r>
      <w:r w:rsidR="00E75C6B" w:rsidRPr="00B020B6">
        <w:t xml:space="preserve"> compared to </w:t>
      </w:r>
      <w:r w:rsidR="00C71E9C">
        <w:t xml:space="preserve">draft decision and </w:t>
      </w:r>
      <w:r w:rsidR="00BC10D5">
        <w:t>Essential Energy</w:t>
      </w:r>
      <w:r w:rsidR="00E75C6B">
        <w:t>'s</w:t>
      </w:r>
      <w:r w:rsidR="00E75C6B" w:rsidRPr="00B020B6">
        <w:t xml:space="preserve"> pa</w:t>
      </w:r>
      <w:r w:rsidR="00E75C6B">
        <w:t>st and proposed opex ($</w:t>
      </w:r>
      <w:r w:rsidR="009B0844">
        <w:t xml:space="preserve"> </w:t>
      </w:r>
      <w:r w:rsidR="00E75C6B">
        <w:t>million, </w:t>
      </w:r>
      <w:r w:rsidR="00154224">
        <w:t>2013–</w:t>
      </w:r>
      <w:r w:rsidR="00E75C6B" w:rsidRPr="00B020B6">
        <w:t>14)</w:t>
      </w:r>
      <w:r w:rsidR="00634B74">
        <w:rPr>
          <w:rStyle w:val="FootnoteReference"/>
        </w:rPr>
        <w:footnoteReference w:id="4"/>
      </w:r>
    </w:p>
    <w:p w:rsidR="00E75C6B" w:rsidRDefault="00EF63F8" w:rsidP="00E75C6B">
      <w:pPr>
        <w:rPr>
          <w:rStyle w:val="AERbody"/>
        </w:rPr>
      </w:pPr>
      <w:r w:rsidRPr="00EF63F8">
        <w:rPr>
          <w:noProof/>
          <w:lang w:eastAsia="en-AU"/>
        </w:rPr>
        <w:drawing>
          <wp:inline distT="0" distB="0" distL="0" distR="0" wp14:anchorId="79DFA45C" wp14:editId="13B167F8">
            <wp:extent cx="5382895" cy="3421422"/>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3421422"/>
                    </a:xfrm>
                    <a:prstGeom prst="rect">
                      <a:avLst/>
                    </a:prstGeom>
                    <a:noFill/>
                    <a:ln>
                      <a:noFill/>
                    </a:ln>
                  </pic:spPr>
                </pic:pic>
              </a:graphicData>
            </a:graphic>
          </wp:inline>
        </w:drawing>
      </w:r>
    </w:p>
    <w:p w:rsidR="00E75C6B" w:rsidRPr="00E75C6B" w:rsidRDefault="00E75C6B" w:rsidP="00E75C6B">
      <w:pPr>
        <w:pStyle w:val="AERtablesource"/>
        <w:rPr>
          <w:rStyle w:val="AERbody"/>
          <w:rFonts w:eastAsiaTheme="minorHAnsi"/>
        </w:rPr>
      </w:pPr>
      <w:r w:rsidRPr="00E37FBD">
        <w:t>Source:</w:t>
      </w:r>
      <w:r w:rsidRPr="00E37FBD">
        <w:tab/>
      </w:r>
      <w:r w:rsidR="00C71E9C">
        <w:t>Essential Energy</w:t>
      </w:r>
      <w:r w:rsidR="00C71E9C" w:rsidRPr="00C71E9C">
        <w:t xml:space="preserve">, Regulatory accounts 2004–05; Essential Energy, Economic benchmarking - Regulatory Information Notice response 2005–06 to 2013–14; Essential Energy, </w:t>
      </w:r>
      <w:r w:rsidR="00C71E9C" w:rsidRPr="00C71E9C">
        <w:rPr>
          <w:rStyle w:val="AERtextitalic"/>
        </w:rPr>
        <w:t>Regulatory proposal for the 2014–19 period</w:t>
      </w:r>
      <w:r w:rsidR="00C71E9C" w:rsidRPr="00C71E9C">
        <w:t xml:space="preserve"> - Regulatory Information Notice; Essential Energy, </w:t>
      </w:r>
      <w:r w:rsidR="00C71E9C" w:rsidRPr="00C71E9C">
        <w:rPr>
          <w:rStyle w:val="AERtextitalic"/>
        </w:rPr>
        <w:t>PTRM for revised regulatory proposal for the 2014–19 period.</w:t>
      </w:r>
      <w:r w:rsidR="00C71E9C">
        <w:rPr>
          <w:rStyle w:val="AERtextitalic"/>
        </w:rPr>
        <w:t xml:space="preserve"> </w:t>
      </w:r>
      <w:r w:rsidR="00BC10D5">
        <w:t>Essential Energy</w:t>
      </w:r>
      <w:r w:rsidRPr="00E37FBD">
        <w:t xml:space="preserve">, Regulatory accounts 2004–05; </w:t>
      </w:r>
      <w:r w:rsidR="00BC10D5">
        <w:t>Essential Energy</w:t>
      </w:r>
      <w:r w:rsidRPr="00E37FBD">
        <w:t>, Economic benchmarking - Regulatory Information Notice response 2005–06 to 201</w:t>
      </w:r>
      <w:r>
        <w:t>3</w:t>
      </w:r>
      <w:r w:rsidRPr="00E37FBD">
        <w:t>–1</w:t>
      </w:r>
      <w:r>
        <w:t>4</w:t>
      </w:r>
      <w:r w:rsidR="00154224">
        <w:t>.</w:t>
      </w:r>
      <w:r w:rsidRPr="00E37FBD">
        <w:t xml:space="preserve"> </w:t>
      </w:r>
    </w:p>
    <w:p w:rsidR="00C71E9C" w:rsidRPr="00C71E9C" w:rsidRDefault="00C71E9C" w:rsidP="00C71E9C">
      <w:pPr>
        <w:rPr>
          <w:rStyle w:val="AERbody"/>
        </w:rPr>
      </w:pPr>
      <w:r w:rsidRPr="00C71E9C">
        <w:rPr>
          <w:rStyle w:val="AERbody"/>
        </w:rPr>
        <w:t xml:space="preserve">The primary reason for the difference between our forecast and </w:t>
      </w:r>
      <w:r>
        <w:rPr>
          <w:rStyle w:val="AERbody"/>
        </w:rPr>
        <w:t>Essential Energy</w:t>
      </w:r>
      <w:r w:rsidRPr="00C71E9C">
        <w:rPr>
          <w:rStyle w:val="AERbody"/>
        </w:rPr>
        <w:t>'s proposal reflects o</w:t>
      </w:r>
      <w:r w:rsidR="004E61CD">
        <w:rPr>
          <w:rStyle w:val="AERbody"/>
        </w:rPr>
        <w:t>ur views about Essential Energy</w:t>
      </w:r>
      <w:r w:rsidRPr="00C71E9C">
        <w:rPr>
          <w:rStyle w:val="AERbody"/>
        </w:rPr>
        <w:t>'s recent historical performance and whether it should be used as the basis f</w:t>
      </w:r>
      <w:r w:rsidR="00D92819">
        <w:rPr>
          <w:rStyle w:val="AERbody"/>
        </w:rPr>
        <w:t>or forecasting Essential Energy</w:t>
      </w:r>
      <w:r w:rsidRPr="00C71E9C">
        <w:rPr>
          <w:rStyle w:val="AERbody"/>
        </w:rPr>
        <w:t xml:space="preserve">'s opex in the 2014–19 period. This affects how we develop the starting point for </w:t>
      </w:r>
      <w:r w:rsidR="00154224">
        <w:rPr>
          <w:rStyle w:val="AERbody"/>
        </w:rPr>
        <w:t>the</w:t>
      </w:r>
      <w:r w:rsidR="00D92819">
        <w:rPr>
          <w:rStyle w:val="AERbody"/>
        </w:rPr>
        <w:t xml:space="preserve"> forecast of opex over the 2014–</w:t>
      </w:r>
      <w:r w:rsidRPr="00C71E9C">
        <w:rPr>
          <w:rStyle w:val="AERbody"/>
        </w:rPr>
        <w:t xml:space="preserve">19 period. </w:t>
      </w:r>
    </w:p>
    <w:p w:rsidR="00C71E9C" w:rsidRPr="00C71E9C" w:rsidRDefault="004E61CD" w:rsidP="00C71E9C">
      <w:pPr>
        <w:rPr>
          <w:rStyle w:val="AERbody"/>
        </w:rPr>
      </w:pPr>
      <w:r>
        <w:rPr>
          <w:rStyle w:val="AERbody"/>
        </w:rPr>
        <w:t>Essential Energy</w:t>
      </w:r>
      <w:r w:rsidR="00C71E9C" w:rsidRPr="00C71E9C">
        <w:rPr>
          <w:rStyle w:val="AERbody"/>
        </w:rPr>
        <w:t xml:space="preserve">'s proposal is based on the opex it incurred in 2012–13 (base year) in delivering standard control services. We assessed whether this is a reasonable starting point for forecasting Essential Energy's opex over the 2014–19 period. </w:t>
      </w:r>
    </w:p>
    <w:p w:rsidR="00C71E9C" w:rsidRPr="00C71E9C" w:rsidRDefault="004E61CD" w:rsidP="00C71E9C">
      <w:pPr>
        <w:rPr>
          <w:rStyle w:val="AERbody"/>
        </w:rPr>
      </w:pPr>
      <w:r>
        <w:rPr>
          <w:rStyle w:val="AERbody"/>
        </w:rPr>
        <w:t>We examined Essential Energy</w:t>
      </w:r>
      <w:r w:rsidR="00C71E9C" w:rsidRPr="00C71E9C">
        <w:rPr>
          <w:rStyle w:val="AERbody"/>
        </w:rPr>
        <w:t>'s proposal using a number of different techniques including:</w:t>
      </w:r>
    </w:p>
    <w:p w:rsidR="00C71E9C" w:rsidRPr="00C71E9C" w:rsidRDefault="00C71E9C" w:rsidP="00C71E9C">
      <w:pPr>
        <w:pStyle w:val="AERbulletlistfirststyle"/>
        <w:rPr>
          <w:rStyle w:val="AERbody"/>
        </w:rPr>
      </w:pPr>
      <w:r w:rsidRPr="00C71E9C">
        <w:rPr>
          <w:rStyle w:val="AERbody"/>
        </w:rPr>
        <w:lastRenderedPageBreak/>
        <w:t>detailed reviews of Essential Energy 's labour and workforce pract</w:t>
      </w:r>
      <w:r w:rsidR="004E61CD">
        <w:rPr>
          <w:rStyle w:val="AERbody"/>
        </w:rPr>
        <w:t>ices and vegetation management</w:t>
      </w:r>
    </w:p>
    <w:p w:rsidR="00C71E9C" w:rsidRPr="00C71E9C" w:rsidRDefault="00C71E9C" w:rsidP="00C71E9C">
      <w:pPr>
        <w:pStyle w:val="AERbulletlistfirststyle"/>
        <w:rPr>
          <w:rStyle w:val="AERbody"/>
        </w:rPr>
      </w:pPr>
      <w:r w:rsidRPr="00C71E9C">
        <w:rPr>
          <w:rStyle w:val="AERbody"/>
        </w:rPr>
        <w:t xml:space="preserve">top down benchmarking at both total opex and </w:t>
      </w:r>
      <w:r w:rsidR="009664DF">
        <w:rPr>
          <w:rStyle w:val="AERbody"/>
        </w:rPr>
        <w:t xml:space="preserve">opex </w:t>
      </w:r>
      <w:r w:rsidRPr="00C71E9C">
        <w:rPr>
          <w:rStyle w:val="AERbody"/>
        </w:rPr>
        <w:t>category level</w:t>
      </w:r>
      <w:r w:rsidR="009664DF">
        <w:rPr>
          <w:rStyle w:val="AERbody"/>
        </w:rPr>
        <w:t>s</w:t>
      </w:r>
      <w:r w:rsidRPr="00C71E9C">
        <w:rPr>
          <w:rStyle w:val="AERbody"/>
        </w:rPr>
        <w:t xml:space="preserve">. </w:t>
      </w:r>
    </w:p>
    <w:p w:rsidR="00C71E9C" w:rsidRPr="00C71E9C" w:rsidRDefault="00C71E9C" w:rsidP="00C71E9C">
      <w:pPr>
        <w:rPr>
          <w:rStyle w:val="AERbody"/>
        </w:rPr>
      </w:pPr>
      <w:r w:rsidRPr="00C71E9C">
        <w:rPr>
          <w:rStyle w:val="AERbody"/>
        </w:rPr>
        <w:t>This information provided convincing</w:t>
      </w:r>
      <w:r w:rsidR="00154224">
        <w:rPr>
          <w:rStyle w:val="AERbody"/>
        </w:rPr>
        <w:t xml:space="preserve"> evidence that Essential Energy</w:t>
      </w:r>
      <w:r w:rsidRPr="00C71E9C">
        <w:rPr>
          <w:rStyle w:val="AERbody"/>
        </w:rPr>
        <w:t xml:space="preserve">'s </w:t>
      </w:r>
      <w:r w:rsidR="00754560">
        <w:rPr>
          <w:rStyle w:val="AERbody"/>
        </w:rPr>
        <w:t>opex</w:t>
      </w:r>
      <w:r w:rsidRPr="00C71E9C">
        <w:rPr>
          <w:rStyle w:val="AERbody"/>
        </w:rPr>
        <w:t xml:space="preserve"> in its proposed base year </w:t>
      </w:r>
      <w:r w:rsidR="00754560">
        <w:rPr>
          <w:rStyle w:val="AERbody"/>
        </w:rPr>
        <w:t>was</w:t>
      </w:r>
      <w:r w:rsidR="00754560" w:rsidRPr="00C71E9C">
        <w:rPr>
          <w:rStyle w:val="AERbody"/>
        </w:rPr>
        <w:t xml:space="preserve"> </w:t>
      </w:r>
      <w:r w:rsidR="00754560">
        <w:rPr>
          <w:rStyle w:val="AERbody"/>
        </w:rPr>
        <w:t>materially inefficient</w:t>
      </w:r>
      <w:r w:rsidRPr="00C71E9C">
        <w:rPr>
          <w:rStyle w:val="AERbody"/>
        </w:rPr>
        <w:t xml:space="preserve">.  </w:t>
      </w:r>
      <w:r w:rsidR="00944955">
        <w:rPr>
          <w:rStyle w:val="AERbody"/>
        </w:rPr>
        <w:t>The</w:t>
      </w:r>
      <w:r w:rsidR="00944955" w:rsidRPr="00C71E9C">
        <w:rPr>
          <w:rStyle w:val="AERbody"/>
        </w:rPr>
        <w:t xml:space="preserve"> </w:t>
      </w:r>
      <w:r w:rsidRPr="00C71E9C">
        <w:rPr>
          <w:rStyle w:val="AERbody"/>
        </w:rPr>
        <w:t xml:space="preserve">evidence we received in response to our draft decision or in relation to Essential Energy's revised proposal </w:t>
      </w:r>
      <w:r w:rsidR="00944955">
        <w:rPr>
          <w:rStyle w:val="AERbody"/>
        </w:rPr>
        <w:t xml:space="preserve">did not </w:t>
      </w:r>
      <w:r w:rsidRPr="00C71E9C">
        <w:rPr>
          <w:rStyle w:val="AERbody"/>
        </w:rPr>
        <w:t xml:space="preserve">cause us to </w:t>
      </w:r>
      <w:r w:rsidR="00944955">
        <w:rPr>
          <w:rStyle w:val="AERbody"/>
        </w:rPr>
        <w:t>depart from</w:t>
      </w:r>
      <w:r w:rsidRPr="00C71E9C">
        <w:rPr>
          <w:rStyle w:val="AERbody"/>
        </w:rPr>
        <w:t xml:space="preserve"> this conclusion.</w:t>
      </w:r>
    </w:p>
    <w:p w:rsidR="00E75C6B" w:rsidRPr="00E75C6B" w:rsidRDefault="00C71E9C" w:rsidP="00C71E9C">
      <w:pPr>
        <w:rPr>
          <w:rStyle w:val="AERbody"/>
        </w:rPr>
      </w:pPr>
      <w:r w:rsidRPr="00C71E9C">
        <w:rPr>
          <w:rStyle w:val="AERbody"/>
        </w:rPr>
        <w:t>We have arrived at our alternative opex estimate by taking into account a wide range of cost drivers faced by Essential Energy. This includes (but is not limited to):</w:t>
      </w:r>
    </w:p>
    <w:p w:rsidR="00E75C6B" w:rsidRPr="00E75C6B" w:rsidRDefault="00E75C6B" w:rsidP="00E75C6B">
      <w:pPr>
        <w:pStyle w:val="AERbulletlistfirststyle"/>
        <w:rPr>
          <w:rStyle w:val="AERbody"/>
        </w:rPr>
      </w:pPr>
      <w:r>
        <w:rPr>
          <w:rStyle w:val="AERbody"/>
        </w:rPr>
        <w:t xml:space="preserve">the size of </w:t>
      </w:r>
      <w:r w:rsidR="00BC10D5">
        <w:rPr>
          <w:rStyle w:val="AERbody"/>
        </w:rPr>
        <w:t>Essential Energy</w:t>
      </w:r>
      <w:r>
        <w:rPr>
          <w:rStyle w:val="AERbody"/>
        </w:rPr>
        <w:t>'s network</w:t>
      </w:r>
    </w:p>
    <w:p w:rsidR="00E75C6B" w:rsidRPr="00E75C6B" w:rsidRDefault="00E75C6B" w:rsidP="00E75C6B">
      <w:pPr>
        <w:pStyle w:val="AERbulletlistfirststyle"/>
        <w:rPr>
          <w:rStyle w:val="AERbody"/>
        </w:rPr>
      </w:pPr>
      <w:r>
        <w:rPr>
          <w:rStyle w:val="AERbody"/>
        </w:rPr>
        <w:t xml:space="preserve">the number of customers </w:t>
      </w:r>
      <w:r w:rsidR="00BC10D5">
        <w:rPr>
          <w:rStyle w:val="AERbody"/>
        </w:rPr>
        <w:t>Essential Energy</w:t>
      </w:r>
      <w:r>
        <w:rPr>
          <w:rStyle w:val="AERbody"/>
        </w:rPr>
        <w:t xml:space="preserve"> delivers to</w:t>
      </w:r>
    </w:p>
    <w:p w:rsidR="00E75C6B" w:rsidRPr="00E75C6B" w:rsidRDefault="00E75C6B" w:rsidP="00E75C6B">
      <w:pPr>
        <w:pStyle w:val="AERbulletlistfirststyle"/>
        <w:rPr>
          <w:rStyle w:val="AERbody"/>
        </w:rPr>
      </w:pPr>
      <w:r>
        <w:rPr>
          <w:rStyle w:val="AERbody"/>
        </w:rPr>
        <w:t xml:space="preserve">the regulatory obligations </w:t>
      </w:r>
      <w:r w:rsidR="00BC10D5">
        <w:rPr>
          <w:rStyle w:val="AERbody"/>
        </w:rPr>
        <w:t>Essential Energy</w:t>
      </w:r>
      <w:r>
        <w:rPr>
          <w:rStyle w:val="AERbody"/>
        </w:rPr>
        <w:t xml:space="preserve"> faces</w:t>
      </w:r>
    </w:p>
    <w:p w:rsidR="00E75C6B" w:rsidRDefault="00E75C6B" w:rsidP="00E75C6B">
      <w:pPr>
        <w:pStyle w:val="AERbulletlistfirststyle"/>
        <w:rPr>
          <w:rStyle w:val="AERbody"/>
        </w:rPr>
      </w:pPr>
      <w:r>
        <w:rPr>
          <w:rStyle w:val="AERbody"/>
        </w:rPr>
        <w:t xml:space="preserve">the characteristics of </w:t>
      </w:r>
      <w:r w:rsidR="00BC10D5">
        <w:rPr>
          <w:rStyle w:val="AERbody"/>
        </w:rPr>
        <w:t>Essential Energy</w:t>
      </w:r>
      <w:r>
        <w:rPr>
          <w:rStyle w:val="AERbody"/>
        </w:rPr>
        <w:t>'s network such as asset age, percentage of assets underground and percentage of assets for subtransmission</w:t>
      </w:r>
    </w:p>
    <w:p w:rsidR="00E75C6B" w:rsidRPr="00E75C6B" w:rsidRDefault="00E75C6B" w:rsidP="00E75C6B">
      <w:pPr>
        <w:pStyle w:val="AERbulletlistfirststyle"/>
        <w:rPr>
          <w:rStyle w:val="AERbody"/>
        </w:rPr>
      </w:pPr>
      <w:r>
        <w:rPr>
          <w:rStyle w:val="AERbody"/>
        </w:rPr>
        <w:t>the expected growth in labour prices over the 2014–19 period</w:t>
      </w:r>
    </w:p>
    <w:p w:rsidR="00E75C6B" w:rsidRPr="00E75C6B" w:rsidRDefault="00BC10D5" w:rsidP="00E75C6B">
      <w:pPr>
        <w:pStyle w:val="AERbulletlistfirststyle"/>
        <w:rPr>
          <w:rStyle w:val="AERbody"/>
        </w:rPr>
      </w:pPr>
      <w:r>
        <w:rPr>
          <w:rStyle w:val="AERbody"/>
        </w:rPr>
        <w:t>Essential Energy</w:t>
      </w:r>
      <w:r w:rsidR="00E75C6B">
        <w:rPr>
          <w:rStyle w:val="AERbody"/>
        </w:rPr>
        <w:t>'s capitalisation practices</w:t>
      </w:r>
    </w:p>
    <w:p w:rsidR="00E75C6B" w:rsidRPr="00E75C6B" w:rsidRDefault="00E75C6B" w:rsidP="00E75C6B">
      <w:pPr>
        <w:pStyle w:val="AERbulletlistfirststyle"/>
        <w:rPr>
          <w:rStyle w:val="AERbody"/>
        </w:rPr>
      </w:pPr>
      <w:r>
        <w:rPr>
          <w:rStyle w:val="AERbody"/>
        </w:rPr>
        <w:t>safety and reliability outcomes.</w:t>
      </w:r>
    </w:p>
    <w:p w:rsidR="00C71E9C" w:rsidRPr="00C71E9C" w:rsidRDefault="00C71E9C" w:rsidP="00C71E9C">
      <w:pPr>
        <w:rPr>
          <w:rStyle w:val="AERbody"/>
        </w:rPr>
      </w:pPr>
      <w:r w:rsidRPr="00C71E9C">
        <w:rPr>
          <w:rStyle w:val="AERbody"/>
        </w:rPr>
        <w:t xml:space="preserve">To the extent that the operating environment faced by </w:t>
      </w:r>
      <w:r w:rsidR="00B355F9">
        <w:rPr>
          <w:rStyle w:val="AERbody"/>
        </w:rPr>
        <w:t>Essential Energy</w:t>
      </w:r>
      <w:r w:rsidRPr="00C71E9C">
        <w:rPr>
          <w:rStyle w:val="AERbody"/>
        </w:rPr>
        <w:t xml:space="preserve"> is not accounted for in our benchmarking model, where appropriate, we have adjusted our benchmark for the estimated cost of these operating environment factors.</w:t>
      </w:r>
    </w:p>
    <w:p w:rsidR="00E75C6B" w:rsidRPr="00C71E9C" w:rsidRDefault="00C71E9C" w:rsidP="00C71E9C">
      <w:pPr>
        <w:rPr>
          <w:rStyle w:val="AERbody"/>
        </w:rPr>
      </w:pPr>
      <w:r w:rsidRPr="00C71E9C">
        <w:rPr>
          <w:rStyle w:val="AERbody"/>
        </w:rPr>
        <w:t xml:space="preserve">Benchmarking is a well-developed tool which has already been used extensively by overseas regulators. There are a number of different ways in which service providers can be benchmarked.  We received a number of submissions from </w:t>
      </w:r>
      <w:r w:rsidR="00B355F9">
        <w:rPr>
          <w:rStyle w:val="AERbody"/>
        </w:rPr>
        <w:t>Essential Energy</w:t>
      </w:r>
      <w:r w:rsidR="00154224">
        <w:rPr>
          <w:rStyle w:val="AERbody"/>
        </w:rPr>
        <w:t>,</w:t>
      </w:r>
      <w:r w:rsidRPr="00C71E9C">
        <w:rPr>
          <w:rStyle w:val="AERbody"/>
        </w:rPr>
        <w:t xml:space="preserve"> other distributors a</w:t>
      </w:r>
      <w:r w:rsidR="00944955">
        <w:rPr>
          <w:rStyle w:val="AERbody"/>
        </w:rPr>
        <w:t>s well as</w:t>
      </w:r>
      <w:r w:rsidRPr="00C71E9C">
        <w:rPr>
          <w:rStyle w:val="AERbody"/>
        </w:rPr>
        <w:t xml:space="preserve"> other stakeholders which provided us with various expert reports critiquing our approach. We have con</w:t>
      </w:r>
      <w:r w:rsidR="00D92819">
        <w:rPr>
          <w:rStyle w:val="AERbody"/>
        </w:rPr>
        <w:t>sidered this material in detail.</w:t>
      </w:r>
      <w:r w:rsidRPr="00C71E9C">
        <w:rPr>
          <w:rStyle w:val="AERbody"/>
        </w:rPr>
        <w:t xml:space="preserve"> Our view is that the benchmarking we have relied upon in this final decision is more robust than the alternatives proposed by </w:t>
      </w:r>
      <w:r w:rsidR="00B355F9">
        <w:rPr>
          <w:rStyle w:val="AERbody"/>
        </w:rPr>
        <w:t>Essential Energy</w:t>
      </w:r>
      <w:r w:rsidRPr="00C71E9C">
        <w:rPr>
          <w:rStyle w:val="AERbody"/>
        </w:rPr>
        <w:t>, other service providers and their consultants in terms of model specification, data and estimation methods. However,</w:t>
      </w:r>
      <w:r w:rsidR="00944955">
        <w:rPr>
          <w:rStyle w:val="AERbody"/>
        </w:rPr>
        <w:t xml:space="preserve"> in response to submissions,</w:t>
      </w:r>
      <w:r w:rsidRPr="00C71E9C">
        <w:rPr>
          <w:rStyle w:val="AERbody"/>
        </w:rPr>
        <w:t xml:space="preserve"> we have modified our approach in this final decision. This modification has led to an increase in the total forecast we are satisfied reasonably reflects the opex criteria.</w:t>
      </w:r>
    </w:p>
    <w:p w:rsidR="00E75C6B" w:rsidRDefault="00E75C6B" w:rsidP="00E75C6B">
      <w:pPr>
        <w:rPr>
          <w:rStyle w:val="AERbody"/>
        </w:rPr>
      </w:pPr>
      <w:r>
        <w:rPr>
          <w:rStyle w:val="AERbody"/>
        </w:rPr>
        <w:t>In total we have increased our opex forecast by $</w:t>
      </w:r>
      <w:r w:rsidR="009B0844">
        <w:rPr>
          <w:rStyle w:val="AERbody"/>
        </w:rPr>
        <w:t>19</w:t>
      </w:r>
      <w:r w:rsidR="00EF63F8">
        <w:rPr>
          <w:rStyle w:val="AERbody"/>
        </w:rPr>
        <w:t>6</w:t>
      </w:r>
      <w:r w:rsidR="009B0844">
        <w:rPr>
          <w:rStyle w:val="AERbody"/>
        </w:rPr>
        <w:t>.</w:t>
      </w:r>
      <w:r w:rsidR="00EF63F8">
        <w:rPr>
          <w:rStyle w:val="AERbody"/>
        </w:rPr>
        <w:t>5</w:t>
      </w:r>
      <w:r>
        <w:rPr>
          <w:rStyle w:val="AERbody"/>
        </w:rPr>
        <w:t xml:space="preserve"> million (</w:t>
      </w:r>
      <w:r w:rsidR="00F1013F">
        <w:t>$</w:t>
      </w:r>
      <w:r w:rsidR="00F1013F" w:rsidRPr="0004210B">
        <w:t xml:space="preserve"> </w:t>
      </w:r>
      <w:r w:rsidRPr="0004210B">
        <w:t>2013–14</w:t>
      </w:r>
      <w:r>
        <w:t xml:space="preserve">) </w:t>
      </w:r>
      <w:r>
        <w:rPr>
          <w:rStyle w:val="AERbody"/>
        </w:rPr>
        <w:t>since our draft decision.</w:t>
      </w:r>
    </w:p>
    <w:p w:rsidR="00C71E9C" w:rsidRDefault="00154224" w:rsidP="00E75C6B">
      <w:pPr>
        <w:rPr>
          <w:rStyle w:val="AERbody"/>
        </w:rPr>
      </w:pPr>
      <w:r>
        <w:rPr>
          <w:rStyle w:val="AERbody"/>
        </w:rPr>
        <w:t xml:space="preserve">The difference between our draft decision and final decision amounts largely reflects </w:t>
      </w:r>
      <w:r w:rsidRPr="002D27E3">
        <w:rPr>
          <w:rStyle w:val="AERbody"/>
        </w:rPr>
        <w:t xml:space="preserve">a lower point of comparison in assessing </w:t>
      </w:r>
      <w:r>
        <w:rPr>
          <w:rStyle w:val="AERbody"/>
        </w:rPr>
        <w:t>Essential Energy's</w:t>
      </w:r>
      <w:r w:rsidRPr="002D27E3">
        <w:rPr>
          <w:rStyle w:val="AERbody"/>
        </w:rPr>
        <w:t xml:space="preserve"> relative efficiency to other service providers in the NEM in its benchmarking performance</w:t>
      </w:r>
      <w:r w:rsidR="00C71E9C">
        <w:rPr>
          <w:rStyle w:val="AERbody"/>
        </w:rPr>
        <w:t>.</w:t>
      </w:r>
    </w:p>
    <w:p w:rsidR="001B3260" w:rsidRDefault="00E75C6B" w:rsidP="00C74791">
      <w:r>
        <w:lastRenderedPageBreak/>
        <w:t xml:space="preserve">We note that </w:t>
      </w:r>
      <w:r w:rsidR="004C528F">
        <w:t>Essential Energy</w:t>
      </w:r>
      <w:r>
        <w:t xml:space="preserve"> considered </w:t>
      </w:r>
      <w:r w:rsidR="004C528F">
        <w:t>our draft decision,</w:t>
      </w:r>
      <w:r>
        <w:t xml:space="preserve"> i</w:t>
      </w:r>
      <w:r w:rsidRPr="006E5262">
        <w:t>f implemented, w</w:t>
      </w:r>
      <w:r>
        <w:t>ould</w:t>
      </w:r>
      <w:r w:rsidRPr="006E5262">
        <w:t xml:space="preserve"> adversely impact </w:t>
      </w:r>
      <w:r w:rsidR="004C528F">
        <w:t>its</w:t>
      </w:r>
      <w:r w:rsidRPr="006E5262">
        <w:t xml:space="preserve"> ability to provide </w:t>
      </w:r>
      <w:r w:rsidR="004C528F">
        <w:t xml:space="preserve">a </w:t>
      </w:r>
      <w:r w:rsidRPr="006E5262">
        <w:t>safe, reliable and secure supply at an efficient price.</w:t>
      </w:r>
      <w:r w:rsidR="00212F79">
        <w:rPr>
          <w:rStyle w:val="FootnoteReference"/>
        </w:rPr>
        <w:footnoteReference w:id="5"/>
      </w:r>
      <w:r w:rsidR="004C528F">
        <w:t xml:space="preserve"> </w:t>
      </w:r>
      <w:r w:rsidR="004C528F" w:rsidRPr="004C528F">
        <w:t xml:space="preserve">We do not agree. We consider the amount we have allowed </w:t>
      </w:r>
      <w:r w:rsidR="004C528F">
        <w:t>Essential Energy</w:t>
      </w:r>
      <w:r w:rsidR="004C528F" w:rsidRPr="004C528F">
        <w:t xml:space="preserve"> to recover from consumers will enable it continue to provide safe and reliable network service but will reflect the efficient costs of a prudent operator, given a realistic expectation of the </w:t>
      </w:r>
      <w:r w:rsidR="008C7016">
        <w:t>demand forecast and cost inputs</w:t>
      </w:r>
      <w:r>
        <w:t>.</w:t>
      </w:r>
      <w:r w:rsidR="00C74791">
        <w:t xml:space="preserve"> </w:t>
      </w:r>
    </w:p>
    <w:p w:rsidR="00E75C6B" w:rsidRPr="004C528F" w:rsidRDefault="00BC10D5" w:rsidP="004C528F">
      <w:pPr>
        <w:pStyle w:val="Heading2"/>
      </w:pPr>
      <w:bookmarkStart w:id="19" w:name="_Toc415754585"/>
      <w:bookmarkStart w:id="20" w:name="_Toc417719007"/>
      <w:r w:rsidRPr="004C528F">
        <w:rPr>
          <w:rStyle w:val="AERbody"/>
          <w:color w:val="70635A" w:themeColor="text2"/>
          <w:sz w:val="32"/>
        </w:rPr>
        <w:t>Essential Energy</w:t>
      </w:r>
      <w:r w:rsidR="00E75C6B" w:rsidRPr="004C528F">
        <w:rPr>
          <w:rStyle w:val="AERbody"/>
          <w:color w:val="70635A" w:themeColor="text2"/>
          <w:sz w:val="32"/>
        </w:rPr>
        <w:t xml:space="preserve">'s revised </w:t>
      </w:r>
      <w:r w:rsidR="00E75C6B" w:rsidRPr="004C528F">
        <w:t>proposal</w:t>
      </w:r>
      <w:bookmarkEnd w:id="19"/>
      <w:bookmarkEnd w:id="20"/>
    </w:p>
    <w:p w:rsidR="006E4C49" w:rsidRDefault="006E4C49" w:rsidP="005136CC">
      <w:pPr>
        <w:numPr>
          <w:ilvl w:val="0"/>
          <w:numId w:val="24"/>
        </w:numPr>
      </w:pPr>
      <w:r>
        <w:t>In its initial proposal, Essential Energy forecast opex of $2310.7 million (</w:t>
      </w:r>
      <w:r w:rsidR="009664DF">
        <w:t xml:space="preserve">$ </w:t>
      </w:r>
      <w:r>
        <w:t>2013–14) for the 2014–19 period.</w:t>
      </w:r>
      <w:r w:rsidR="00212F79">
        <w:rPr>
          <w:rStyle w:val="FootnoteReference"/>
        </w:rPr>
        <w:footnoteReference w:id="6"/>
      </w:r>
      <w:r>
        <w:t xml:space="preserve"> </w:t>
      </w:r>
    </w:p>
    <w:p w:rsidR="003F4154" w:rsidRPr="005E0C0C" w:rsidRDefault="003F4154" w:rsidP="005136CC">
      <w:pPr>
        <w:pStyle w:val="AERbulletlistfirststyle"/>
        <w:numPr>
          <w:ilvl w:val="0"/>
          <w:numId w:val="24"/>
        </w:numPr>
      </w:pPr>
      <w:r>
        <w:t>Essential Energy</w:t>
      </w:r>
      <w:r w:rsidRPr="005E0C0C">
        <w:t xml:space="preserve"> used the actual opex it incurred in 2012–13 as the base for forecasting its opex for the 2014–19 period</w:t>
      </w:r>
      <w:r>
        <w:t xml:space="preserve">. It adjusted this base year to remove reclassified services and to remove </w:t>
      </w:r>
      <w:r w:rsidRPr="005E0C0C">
        <w:t xml:space="preserve">the impact of an actuarial revaluation of its long service leave obligations. </w:t>
      </w:r>
      <w:r>
        <w:t>Essential Energy then:</w:t>
      </w:r>
    </w:p>
    <w:p w:rsidR="003F4154" w:rsidRPr="003F4154" w:rsidRDefault="003F4154" w:rsidP="003F4154">
      <w:pPr>
        <w:pStyle w:val="AERbulletlistfirststyle"/>
      </w:pPr>
      <w:r w:rsidRPr="003F4154">
        <w:t>accounted for forecast changes in prices related to labour price increases</w:t>
      </w:r>
    </w:p>
    <w:p w:rsidR="003F4154" w:rsidRPr="003F4154" w:rsidRDefault="003F4154" w:rsidP="003F4154">
      <w:pPr>
        <w:pStyle w:val="AERbulletlistfirststyle"/>
      </w:pPr>
      <w:r w:rsidRPr="003F4154">
        <w:t xml:space="preserve">forecast output change by applying an asset growth multiplier </w:t>
      </w:r>
    </w:p>
    <w:p w:rsidR="003F4154" w:rsidRPr="003F4154" w:rsidRDefault="003F4154" w:rsidP="003F4154">
      <w:pPr>
        <w:pStyle w:val="AERbulletlistfirststyle"/>
      </w:pPr>
      <w:r w:rsidRPr="003F4154">
        <w:t>adjusted its opex for step changes.</w:t>
      </w:r>
      <w:r w:rsidRPr="009664DF">
        <w:rPr>
          <w:rStyle w:val="AERbody"/>
          <w:vertAlign w:val="superscript"/>
        </w:rPr>
        <w:footnoteReference w:id="7"/>
      </w:r>
      <w:r w:rsidRPr="003F4154">
        <w:t xml:space="preserve"> This included increased forecast opex for the costs of implementing network reform, accounting treatment changes and increased allocation of overheads to opex. It included a decrease in forecast opex for vegetation management efficiencies. </w:t>
      </w:r>
    </w:p>
    <w:p w:rsidR="00314F9A" w:rsidRDefault="003F4154" w:rsidP="005136CC">
      <w:pPr>
        <w:numPr>
          <w:ilvl w:val="0"/>
          <w:numId w:val="24"/>
        </w:numPr>
      </w:pPr>
      <w:r>
        <w:t xml:space="preserve">In its revised proposal, </w:t>
      </w:r>
      <w:r w:rsidR="00314F9A">
        <w:t>Essential Energy proposed a forecast opex of $2306.6</w:t>
      </w:r>
      <w:r w:rsidR="00314F9A" w:rsidRPr="002500DC">
        <w:rPr>
          <w:rStyle w:val="AERbody"/>
        </w:rPr>
        <w:t xml:space="preserve"> million</w:t>
      </w:r>
      <w:r w:rsidR="00314F9A" w:rsidRPr="00E37FBD">
        <w:t xml:space="preserve"> (</w:t>
      </w:r>
      <w:r w:rsidR="009664DF">
        <w:t>$</w:t>
      </w:r>
      <w:r w:rsidR="009664DF" w:rsidRPr="00E37FBD">
        <w:t xml:space="preserve"> </w:t>
      </w:r>
      <w:r w:rsidR="00314F9A" w:rsidRPr="00E37FBD">
        <w:t>2013–14) for the 2014–19 period</w:t>
      </w:r>
      <w:r w:rsidR="00314F9A">
        <w:t>, excluding debt raising costs. This is a $4.1 million reduction from its original proposal.</w:t>
      </w:r>
    </w:p>
    <w:p w:rsidR="004E1719" w:rsidRDefault="004E1719" w:rsidP="004E1719">
      <w:r>
        <w:t>E</w:t>
      </w:r>
      <w:r w:rsidR="00F576D7">
        <w:t>ssential</w:t>
      </w:r>
      <w:r>
        <w:t xml:space="preserve"> Energy did not agree with our draft decision. It considered:</w:t>
      </w:r>
    </w:p>
    <w:p w:rsidR="004E1719" w:rsidRDefault="00CB0CF2" w:rsidP="004E1719">
      <w:pPr>
        <w:pStyle w:val="AERbulletlistfirststyle"/>
      </w:pPr>
      <w:r>
        <w:t>o</w:t>
      </w:r>
      <w:r w:rsidR="004E1719">
        <w:t>ur</w:t>
      </w:r>
      <w:r w:rsidR="004E1719" w:rsidRPr="002229D2">
        <w:t xml:space="preserve"> assessment </w:t>
      </w:r>
      <w:r w:rsidR="004E1719">
        <w:t>was based</w:t>
      </w:r>
      <w:r w:rsidR="004E1719" w:rsidRPr="002229D2">
        <w:t xml:space="preserve"> on deriving </w:t>
      </w:r>
      <w:r w:rsidR="004E1719">
        <w:t>our</w:t>
      </w:r>
      <w:r w:rsidR="004E1719" w:rsidRPr="002229D2">
        <w:t xml:space="preserve"> alternative estimate</w:t>
      </w:r>
      <w:r w:rsidR="004E1719">
        <w:t xml:space="preserve"> </w:t>
      </w:r>
      <w:r w:rsidR="004E1719" w:rsidRPr="002229D2">
        <w:t xml:space="preserve">rather than reviewing </w:t>
      </w:r>
      <w:r w:rsidR="004E1719">
        <w:t>its</w:t>
      </w:r>
      <w:r w:rsidR="004E1719" w:rsidRPr="002229D2">
        <w:t xml:space="preserve"> proposal</w:t>
      </w:r>
      <w:r w:rsidR="004E1719">
        <w:t>.</w:t>
      </w:r>
    </w:p>
    <w:p w:rsidR="004E1719" w:rsidRDefault="00CB0CF2" w:rsidP="004E1719">
      <w:pPr>
        <w:pStyle w:val="AERbulletlistfirststyle"/>
      </w:pPr>
      <w:r>
        <w:t>w</w:t>
      </w:r>
      <w:r w:rsidR="004E1719">
        <w:t xml:space="preserve">e had placed unreasonable weight on benchmarking analysis in rejecting and substituting </w:t>
      </w:r>
      <w:r w:rsidR="00DB54FA">
        <w:t xml:space="preserve">Essential </w:t>
      </w:r>
      <w:r w:rsidR="004E1719">
        <w:t>Energy's proposed opex</w:t>
      </w:r>
      <w:r w:rsidR="00DB54FA">
        <w:t xml:space="preserve"> forecast</w:t>
      </w:r>
      <w:r w:rsidR="004E1719">
        <w:t>. It considered that the benchmarking was subject to errors and limitations.</w:t>
      </w:r>
    </w:p>
    <w:p w:rsidR="00E75C6B" w:rsidRDefault="00CB0CF2" w:rsidP="004E1719">
      <w:pPr>
        <w:pStyle w:val="AERbulletlistfirststyle"/>
      </w:pPr>
      <w:r>
        <w:t>w</w:t>
      </w:r>
      <w:r w:rsidR="004E1719">
        <w:t>e had not considered safety and reliability risks in forming our substitute of base opex</w:t>
      </w:r>
      <w:r w:rsidR="00314F9A" w:rsidRPr="00314F9A">
        <w:t>.</w:t>
      </w:r>
      <w:r w:rsidR="00BF1D8D">
        <w:rPr>
          <w:rStyle w:val="FootnoteReference"/>
        </w:rPr>
        <w:footnoteReference w:id="8"/>
      </w:r>
      <w:r w:rsidR="00E75C6B">
        <w:t xml:space="preserve"> </w:t>
      </w:r>
    </w:p>
    <w:p w:rsidR="00484DAD" w:rsidRDefault="00BF1D8D" w:rsidP="00C74791">
      <w:pPr>
        <w:numPr>
          <w:ilvl w:val="0"/>
          <w:numId w:val="24"/>
        </w:numPr>
        <w:spacing w:line="240" w:lineRule="auto"/>
      </w:pPr>
      <w:r>
        <w:t xml:space="preserve">Essential Energy stated that </w:t>
      </w:r>
      <w:r w:rsidRPr="00BF1D8D">
        <w:t xml:space="preserve">latest data shows that </w:t>
      </w:r>
      <w:r>
        <w:t>its</w:t>
      </w:r>
      <w:r w:rsidRPr="00BF1D8D">
        <w:t xml:space="preserve"> efficiency programs will have a greater impact on </w:t>
      </w:r>
      <w:r>
        <w:t>its</w:t>
      </w:r>
      <w:r w:rsidRPr="00BF1D8D">
        <w:t xml:space="preserve"> op</w:t>
      </w:r>
      <w:r w:rsidR="00612A18">
        <w:t>erating expenditure in the 2014–</w:t>
      </w:r>
      <w:r w:rsidRPr="00BF1D8D">
        <w:t xml:space="preserve">19 period through higher </w:t>
      </w:r>
      <w:r w:rsidRPr="00BF1D8D">
        <w:lastRenderedPageBreak/>
        <w:t xml:space="preserve">labour productivity rates. This reduces </w:t>
      </w:r>
      <w:r w:rsidR="00A30901">
        <w:t>its opex</w:t>
      </w:r>
      <w:r w:rsidRPr="00BF1D8D">
        <w:t xml:space="preserve"> overall but has consequential impacts on exit costs.</w:t>
      </w:r>
      <w:r w:rsidR="00A30901">
        <w:rPr>
          <w:rStyle w:val="FootnoteReference"/>
        </w:rPr>
        <w:footnoteReference w:id="9"/>
      </w:r>
    </w:p>
    <w:p w:rsidR="00E75C6B" w:rsidRPr="00B10C1A" w:rsidRDefault="00E75C6B" w:rsidP="005B4441">
      <w:pPr>
        <w:pStyle w:val="Heading2"/>
      </w:pPr>
      <w:bookmarkStart w:id="21" w:name="_Toc415754586"/>
      <w:bookmarkStart w:id="22" w:name="_Ref417643926"/>
      <w:bookmarkStart w:id="23" w:name="_Toc417719008"/>
      <w:r w:rsidRPr="00E40A0B">
        <w:t>Assessment approach</w:t>
      </w:r>
      <w:bookmarkEnd w:id="21"/>
      <w:bookmarkEnd w:id="22"/>
      <w:bookmarkEnd w:id="23"/>
    </w:p>
    <w:p w:rsidR="004C528F" w:rsidRPr="004C528F" w:rsidRDefault="004C528F" w:rsidP="005136CC">
      <w:pPr>
        <w:numPr>
          <w:ilvl w:val="0"/>
          <w:numId w:val="24"/>
        </w:numPr>
      </w:pPr>
      <w:r w:rsidRPr="004C528F">
        <w:t>Our assessment approach, outlined below, is</w:t>
      </w:r>
      <w:r w:rsidR="00DE4925">
        <w:t>, for the most part</w:t>
      </w:r>
      <w:r w:rsidR="00484DAD">
        <w:rPr>
          <w:rStyle w:val="FootnoteReference"/>
        </w:rPr>
        <w:footnoteReference w:id="10"/>
      </w:r>
      <w:r w:rsidR="00DE4925">
        <w:t>,</w:t>
      </w:r>
      <w:r w:rsidRPr="004C528F">
        <w:t xml:space="preserve"> consistent with </w:t>
      </w:r>
      <w:r w:rsidR="00F92E4F">
        <w:t xml:space="preserve">the </w:t>
      </w:r>
      <w:r w:rsidR="00D118A0" w:rsidRPr="004C528F">
        <w:rPr>
          <w:rStyle w:val="AERbody"/>
        </w:rPr>
        <w:t>Expenditure forecast assessment guideline (</w:t>
      </w:r>
      <w:r w:rsidR="00F92E4F">
        <w:rPr>
          <w:rStyle w:val="AERbody"/>
        </w:rPr>
        <w:t>the</w:t>
      </w:r>
      <w:r w:rsidR="00F92E4F" w:rsidRPr="004C528F">
        <w:rPr>
          <w:rStyle w:val="AERbody"/>
        </w:rPr>
        <w:t xml:space="preserve"> </w:t>
      </w:r>
      <w:r w:rsidR="00D118A0" w:rsidRPr="004C528F">
        <w:rPr>
          <w:rStyle w:val="AERbody"/>
        </w:rPr>
        <w:t>Guideline)</w:t>
      </w:r>
      <w:r w:rsidRPr="004C528F">
        <w:t>.</w:t>
      </w:r>
      <w:r w:rsidR="00D118A0">
        <w:rPr>
          <w:rStyle w:val="FootnoteReference"/>
        </w:rPr>
        <w:footnoteReference w:id="11"/>
      </w:r>
      <w:r w:rsidRPr="004C528F">
        <w:t xml:space="preserve"> We decide whether or not to accept the service provider's total forecast opex. We accept the service provider's forecast if we are satisfied that it reasonably reflects the opex criteria.</w:t>
      </w:r>
      <w:r w:rsidRPr="004C528F">
        <w:rPr>
          <w:rStyle w:val="AERsuperscript"/>
        </w:rPr>
        <w:footnoteReference w:id="12"/>
      </w:r>
      <w:r w:rsidRPr="004C528F">
        <w:t xml:space="preserve"> If we are not satisfied, we replace it with a total forecast of opex that we are satisfied does reasonably reflect the opex criteria.</w:t>
      </w:r>
      <w:r w:rsidRPr="004C528F">
        <w:rPr>
          <w:rStyle w:val="AERsuperscript"/>
        </w:rPr>
        <w:footnoteReference w:id="13"/>
      </w:r>
      <w:r w:rsidRPr="004C528F">
        <w:t xml:space="preserve"> </w:t>
      </w:r>
    </w:p>
    <w:p w:rsidR="004C528F" w:rsidRPr="004C528F" w:rsidRDefault="004C528F" w:rsidP="005136CC">
      <w:pPr>
        <w:numPr>
          <w:ilvl w:val="0"/>
          <w:numId w:val="24"/>
        </w:numPr>
      </w:pPr>
      <w:r w:rsidRPr="004C528F">
        <w:t>It is important to note that we make our assessment about the total forecast opex and not about particular categories or projects in the opex forecast. The Australian Energy Market Commission (AEMC) has expressed our role in these terms:</w:t>
      </w:r>
      <w:r w:rsidRPr="004C528F">
        <w:rPr>
          <w:rStyle w:val="FootnoteReference"/>
        </w:rPr>
        <w:footnoteReference w:id="14"/>
      </w:r>
    </w:p>
    <w:p w:rsidR="004C528F" w:rsidRPr="004C528F" w:rsidRDefault="004C528F" w:rsidP="004C528F">
      <w:pPr>
        <w:pStyle w:val="AERquote"/>
      </w:pPr>
      <w:r w:rsidRPr="004C528F">
        <w:t>It should be noted here that what the AER approves in this context is expenditure allowances, not projects.</w:t>
      </w:r>
    </w:p>
    <w:p w:rsidR="004C528F" w:rsidRPr="004C528F" w:rsidRDefault="004C528F" w:rsidP="005136CC">
      <w:pPr>
        <w:numPr>
          <w:ilvl w:val="0"/>
          <w:numId w:val="24"/>
        </w:numPr>
      </w:pPr>
      <w:r w:rsidRPr="004C528F">
        <w:t>The service provider’s forecast is intended to cover the expenditure that will be needed to achieve the operating expenditure objectives.  These objectives are:</w:t>
      </w:r>
      <w:r w:rsidRPr="004C528F">
        <w:rPr>
          <w:rStyle w:val="FootnoteReference"/>
        </w:rPr>
        <w:footnoteReference w:id="15"/>
      </w:r>
    </w:p>
    <w:p w:rsidR="004C528F" w:rsidRPr="004C528F" w:rsidRDefault="004C528F" w:rsidP="005136CC">
      <w:pPr>
        <w:pStyle w:val="ListNumber"/>
        <w:numPr>
          <w:ilvl w:val="1"/>
          <w:numId w:val="24"/>
        </w:numPr>
      </w:pPr>
      <w:r w:rsidRPr="004C528F">
        <w:t>meeting or managing the expected demand for standard control services over the regulatory control period</w:t>
      </w:r>
    </w:p>
    <w:p w:rsidR="004C528F" w:rsidRPr="004C528F" w:rsidRDefault="004C528F" w:rsidP="005136CC">
      <w:pPr>
        <w:pStyle w:val="ListNumber"/>
        <w:numPr>
          <w:ilvl w:val="1"/>
          <w:numId w:val="24"/>
        </w:numPr>
      </w:pPr>
      <w:r w:rsidRPr="004C528F">
        <w:t>complying with all applicable regulatory obligations or requirements associated with providing standard control services</w:t>
      </w:r>
    </w:p>
    <w:p w:rsidR="004C528F" w:rsidRPr="004C528F" w:rsidRDefault="004C528F" w:rsidP="005136CC">
      <w:pPr>
        <w:pStyle w:val="ListNumber"/>
        <w:numPr>
          <w:ilvl w:val="1"/>
          <w:numId w:val="24"/>
        </w:numPr>
      </w:pPr>
      <w:r w:rsidRPr="004C528F">
        <w:t>where there is no regulatory obligation or requirement, maintaining the quality, reliability and security of supply of standard control services and maintaining the reliability and security of the distribution system</w:t>
      </w:r>
    </w:p>
    <w:p w:rsidR="004C528F" w:rsidRPr="004C528F" w:rsidRDefault="004C528F" w:rsidP="005136CC">
      <w:pPr>
        <w:pStyle w:val="ListNumber"/>
        <w:numPr>
          <w:ilvl w:val="1"/>
          <w:numId w:val="24"/>
        </w:numPr>
      </w:pPr>
      <w:r w:rsidRPr="004C528F">
        <w:t>maintaining the safety of the distribution system through the supply of standard control services.</w:t>
      </w:r>
    </w:p>
    <w:p w:rsidR="004C528F" w:rsidRPr="004C528F" w:rsidRDefault="004C528F" w:rsidP="005136CC">
      <w:pPr>
        <w:numPr>
          <w:ilvl w:val="0"/>
          <w:numId w:val="24"/>
        </w:numPr>
      </w:pPr>
      <w:r w:rsidRPr="004C528F">
        <w:t>We assess the proposed total forecast opex against the opex criteria set out in the NER. The opex criteria provide that the total forecast must reasonably reflect:</w:t>
      </w:r>
      <w:r w:rsidRPr="004C528F">
        <w:rPr>
          <w:rStyle w:val="AERsuperscript"/>
        </w:rPr>
        <w:footnoteReference w:id="16"/>
      </w:r>
    </w:p>
    <w:p w:rsidR="004C528F" w:rsidRPr="004C528F" w:rsidRDefault="004C528F" w:rsidP="005136CC">
      <w:pPr>
        <w:pStyle w:val="ListNumber"/>
        <w:numPr>
          <w:ilvl w:val="1"/>
          <w:numId w:val="24"/>
        </w:numPr>
      </w:pPr>
      <w:r w:rsidRPr="004C528F">
        <w:t>the efficient costs of achieving the operating expenditure objectives</w:t>
      </w:r>
    </w:p>
    <w:p w:rsidR="004C528F" w:rsidRPr="004C528F" w:rsidRDefault="004C528F" w:rsidP="005136CC">
      <w:pPr>
        <w:pStyle w:val="ListNumber"/>
        <w:numPr>
          <w:ilvl w:val="1"/>
          <w:numId w:val="24"/>
        </w:numPr>
      </w:pPr>
      <w:r w:rsidRPr="004C528F">
        <w:lastRenderedPageBreak/>
        <w:t>the costs that a prudent operator would require to achieve the operating expenditure objectives</w:t>
      </w:r>
    </w:p>
    <w:p w:rsidR="004C528F" w:rsidRDefault="004C528F" w:rsidP="005136CC">
      <w:pPr>
        <w:pStyle w:val="ListNumber"/>
        <w:numPr>
          <w:ilvl w:val="1"/>
          <w:numId w:val="24"/>
        </w:numPr>
      </w:pPr>
      <w:r w:rsidRPr="004C528F">
        <w:t xml:space="preserve">a realistic expectation of the demand forecast and cost inputs required to achieve the operating expenditure objectives. </w:t>
      </w:r>
    </w:p>
    <w:p w:rsidR="004C528F" w:rsidRPr="004C528F" w:rsidRDefault="004C528F" w:rsidP="004C528F">
      <w:r w:rsidRPr="004C528F">
        <w:rPr>
          <w:rStyle w:val="AERbody"/>
        </w:rPr>
        <w:t>The AEMC noted that '[t]hese criteria broadly reflect the NEO [National Electricity Objective]'</w:t>
      </w:r>
      <w:r w:rsidRPr="004C528F">
        <w:t>.</w:t>
      </w:r>
      <w:r w:rsidRPr="004C528F">
        <w:rPr>
          <w:rStyle w:val="FootnoteReference"/>
        </w:rPr>
        <w:footnoteReference w:id="17"/>
      </w:r>
    </w:p>
    <w:p w:rsidR="004C528F" w:rsidRPr="004C528F" w:rsidRDefault="004C528F" w:rsidP="005136CC">
      <w:pPr>
        <w:numPr>
          <w:ilvl w:val="0"/>
          <w:numId w:val="24"/>
        </w:numPr>
      </w:pPr>
      <w:r w:rsidRPr="004C528F">
        <w:t>In deciding whether or not we are satisfied the service provider's forecast reasonably reflects the opex criteria we have regard to the opex factors.</w:t>
      </w:r>
      <w:r w:rsidRPr="004C528F">
        <w:rPr>
          <w:rStyle w:val="FootnoteReference"/>
        </w:rPr>
        <w:footnoteReference w:id="18"/>
      </w:r>
      <w:r w:rsidRPr="004C528F">
        <w:t xml:space="preserve">  We attach different weight to different factors when making our decision to best achieve the NEO.  This approach has been summarised by the AEMC as follows:</w:t>
      </w:r>
      <w:r w:rsidRPr="004C528F">
        <w:rPr>
          <w:rStyle w:val="FootnoteReference"/>
        </w:rPr>
        <w:footnoteReference w:id="19"/>
      </w:r>
    </w:p>
    <w:p w:rsidR="004C528F" w:rsidRPr="004C528F" w:rsidRDefault="004C528F" w:rsidP="004C528F">
      <w:pPr>
        <w:pStyle w:val="AERquote"/>
      </w:pPr>
      <w:r w:rsidRPr="004C528F">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4C528F" w:rsidRPr="004C528F" w:rsidRDefault="004C528F" w:rsidP="005136CC">
      <w:pPr>
        <w:numPr>
          <w:ilvl w:val="0"/>
          <w:numId w:val="24"/>
        </w:numPr>
      </w:pPr>
      <w:r w:rsidRPr="004C528F">
        <w:t>The opex factors we have regard to are:</w:t>
      </w:r>
    </w:p>
    <w:p w:rsidR="004C528F" w:rsidRPr="004C528F" w:rsidRDefault="004C528F" w:rsidP="004C528F">
      <w:pPr>
        <w:pStyle w:val="AERbulletlistfirststyle"/>
      </w:pPr>
      <w:r w:rsidRPr="004C528F">
        <w:t>the most recent annual benchmarking report that has been published under clause 6.27 and the benchmark operating expenditure that would be incurred by an efficient distribution network service provider over the relevant regulatory control period</w:t>
      </w:r>
    </w:p>
    <w:p w:rsidR="004C528F" w:rsidRPr="004C528F" w:rsidRDefault="004C528F" w:rsidP="004C528F">
      <w:pPr>
        <w:pStyle w:val="AERbulletlistfirststyle"/>
      </w:pPr>
      <w:r w:rsidRPr="004C528F">
        <w:t>the actual and expected operating expenditure of the distribution network service provider during any preceding regulatory control periods</w:t>
      </w:r>
    </w:p>
    <w:p w:rsidR="004C528F" w:rsidRPr="004C528F" w:rsidRDefault="004C528F" w:rsidP="004C528F">
      <w:pPr>
        <w:pStyle w:val="AERbulletlistfirststyle"/>
      </w:pPr>
      <w:r w:rsidRPr="004C528F">
        <w:t>the extent to which the operating expenditure forecast includes expenditure to address the concerns of electricity consumers as identified by the distribution network service provider in the course of its engagement with electricity consumers</w:t>
      </w:r>
    </w:p>
    <w:p w:rsidR="004C528F" w:rsidRPr="004C528F" w:rsidRDefault="004C528F" w:rsidP="004C528F">
      <w:pPr>
        <w:pStyle w:val="AERbulletlistfirststyle"/>
      </w:pPr>
      <w:r w:rsidRPr="004C528F">
        <w:t>the relative prices of operating and capital inputs</w:t>
      </w:r>
    </w:p>
    <w:p w:rsidR="004C528F" w:rsidRPr="004C528F" w:rsidRDefault="004C528F" w:rsidP="004C528F">
      <w:pPr>
        <w:pStyle w:val="AERbulletlistfirststyle"/>
      </w:pPr>
      <w:r w:rsidRPr="004C528F">
        <w:t>the substitution possibilities between operating and capital expenditure</w:t>
      </w:r>
    </w:p>
    <w:p w:rsidR="004C528F" w:rsidRPr="004C528F" w:rsidRDefault="004C528F" w:rsidP="004C528F">
      <w:pPr>
        <w:pStyle w:val="AERbulletlistfirststyle"/>
      </w:pPr>
      <w:r w:rsidRPr="004C528F">
        <w:t>whether the operating expenditure forecast is consistent with any incentive scheme or schemes that apply to the distribution network service provider under clauses 6.5.8 or 6.6.2 to 6.6.4</w:t>
      </w:r>
    </w:p>
    <w:p w:rsidR="004C528F" w:rsidRPr="004C528F" w:rsidRDefault="004C528F" w:rsidP="004C528F">
      <w:pPr>
        <w:pStyle w:val="AERbulletlistfirststyle"/>
      </w:pPr>
      <w:r w:rsidRPr="004C528F">
        <w:t>the extent the operating expenditure forecast is referable to arrangements with a person other than the distribution network service provider that, in our opinion, do not reflect arm’s length terms</w:t>
      </w:r>
    </w:p>
    <w:p w:rsidR="004C528F" w:rsidRPr="004C528F" w:rsidRDefault="004C528F" w:rsidP="004C528F">
      <w:pPr>
        <w:pStyle w:val="AERbulletlistfirststyle"/>
      </w:pPr>
      <w:r w:rsidRPr="004C528F">
        <w:lastRenderedPageBreak/>
        <w:t>whether the operating expenditure forecast includes an amount relating to a project that should more appropriately be included as a contingent project under clause 6.6A.1(b)</w:t>
      </w:r>
    </w:p>
    <w:p w:rsidR="004C528F" w:rsidRPr="004C528F" w:rsidRDefault="004C528F" w:rsidP="004C528F">
      <w:pPr>
        <w:pStyle w:val="AERbulletlistfirststyle"/>
      </w:pPr>
      <w:r w:rsidRPr="004C528F">
        <w:t xml:space="preserve">the extent to which the distribution network service provider has considered and made provision for efficient and prudent non-network alternatives </w:t>
      </w:r>
    </w:p>
    <w:p w:rsidR="004C528F" w:rsidRPr="004C528F" w:rsidRDefault="004C528F" w:rsidP="004C528F">
      <w:pPr>
        <w:pStyle w:val="AERbulletlistfirststyle"/>
      </w:pPr>
      <w:r w:rsidRPr="004C528F">
        <w:t>any relevant final project assessment conclusions report published under 5.17.4(o),(p) or (s)</w:t>
      </w:r>
    </w:p>
    <w:p w:rsidR="004C528F" w:rsidRPr="004C528F" w:rsidRDefault="004C528F" w:rsidP="004C528F">
      <w:pPr>
        <w:pStyle w:val="AERbulletlistfirststyle"/>
      </w:pPr>
      <w:r w:rsidRPr="004C528F">
        <w:t xml:space="preserve">any other factor we consider relevant and which we have notified the distribution network service provider in writing, prior to the submission of its revised regulatory proposal under clause 6.10.3, is an operating expenditure factor. </w:t>
      </w:r>
    </w:p>
    <w:p w:rsidR="004C528F" w:rsidRPr="004C528F" w:rsidRDefault="004C528F" w:rsidP="005136CC">
      <w:pPr>
        <w:numPr>
          <w:ilvl w:val="0"/>
          <w:numId w:val="24"/>
        </w:numPr>
      </w:pPr>
      <w:r w:rsidRPr="004C528F">
        <w:t>For this determination, there are two additional operating expenditure factors that we will take into account under the last opex factor above:</w:t>
      </w:r>
    </w:p>
    <w:p w:rsidR="004C528F" w:rsidRPr="004C528F" w:rsidRDefault="004C528F" w:rsidP="004C528F">
      <w:pPr>
        <w:pStyle w:val="AERbulletlistfirststyle"/>
      </w:pPr>
      <w:r w:rsidRPr="004C528F">
        <w:t xml:space="preserve">our benchmarking data sets including, but not necessarily limited to: </w:t>
      </w:r>
    </w:p>
    <w:p w:rsidR="004C528F" w:rsidRPr="004C528F" w:rsidRDefault="004C528F" w:rsidP="005136CC">
      <w:pPr>
        <w:pStyle w:val="ListBullet2"/>
        <w:numPr>
          <w:ilvl w:val="5"/>
          <w:numId w:val="24"/>
        </w:numPr>
      </w:pPr>
      <w:r w:rsidRPr="004C528F">
        <w:t xml:space="preserve">data contained in any economic benchmarking RIN, category analysis RIN, reset RIN or annual reporting RIN </w:t>
      </w:r>
    </w:p>
    <w:p w:rsidR="004C528F" w:rsidRPr="004C528F" w:rsidRDefault="004C528F" w:rsidP="005136CC">
      <w:pPr>
        <w:pStyle w:val="ListBullet2"/>
        <w:numPr>
          <w:ilvl w:val="5"/>
          <w:numId w:val="24"/>
        </w:numPr>
      </w:pPr>
      <w:r w:rsidRPr="004C528F">
        <w:t>any relevant data from international sources</w:t>
      </w:r>
    </w:p>
    <w:p w:rsidR="004C528F" w:rsidRPr="004C528F" w:rsidRDefault="004C528F" w:rsidP="005136CC">
      <w:pPr>
        <w:pStyle w:val="ListBullet2"/>
        <w:numPr>
          <w:ilvl w:val="5"/>
          <w:numId w:val="24"/>
        </w:numPr>
      </w:pPr>
      <w:r w:rsidRPr="004C528F">
        <w:t xml:space="preserve">data sets that support econometric modelling and other assessment techniques consistent with the approach set out in </w:t>
      </w:r>
      <w:r w:rsidR="001C74C9">
        <w:t xml:space="preserve">the </w:t>
      </w:r>
      <w:r w:rsidRPr="004C528F">
        <w:t>Guideline</w:t>
      </w:r>
    </w:p>
    <w:p w:rsidR="004C528F" w:rsidRPr="004C528F" w:rsidRDefault="004C528F" w:rsidP="004C528F">
      <w:pPr>
        <w:pStyle w:val="ListContinue"/>
      </w:pPr>
      <w:r w:rsidRPr="004C528F">
        <w:t>as updated from time to time.</w:t>
      </w:r>
    </w:p>
    <w:p w:rsidR="004C528F" w:rsidRPr="004C528F" w:rsidRDefault="004C528F" w:rsidP="004C528F">
      <w:pPr>
        <w:pStyle w:val="AERbulletlistfirststyle"/>
      </w:pPr>
      <w:r w:rsidRPr="004C528F">
        <w:t>economic benchmarking techniques for assessing benchmark efficient expenditure including stochastic frontier analysis and regressions utilising functional forms such as Cobb Douglas and Translog.</w:t>
      </w:r>
      <w:r w:rsidRPr="004C528F">
        <w:rPr>
          <w:rStyle w:val="FootnoteReference"/>
        </w:rPr>
        <w:footnoteReference w:id="20"/>
      </w:r>
      <w:r w:rsidRPr="004C528F">
        <w:t xml:space="preserve"> </w:t>
      </w:r>
    </w:p>
    <w:p w:rsidR="004C528F" w:rsidRPr="004C528F" w:rsidRDefault="004C528F" w:rsidP="005136CC">
      <w:pPr>
        <w:numPr>
          <w:ilvl w:val="0"/>
          <w:numId w:val="24"/>
        </w:numPr>
      </w:pPr>
      <w:r w:rsidRPr="004C528F">
        <w:t xml:space="preserve">For transparency and ease of reference, we have included a summary of how we have had regard to each of the opex factors in our assessment at the end of this attachment. </w:t>
      </w:r>
    </w:p>
    <w:p w:rsidR="004C528F" w:rsidRPr="004C528F" w:rsidRDefault="004C528F" w:rsidP="005136CC">
      <w:pPr>
        <w:numPr>
          <w:ilvl w:val="0"/>
          <w:numId w:val="24"/>
        </w:numPr>
      </w:pPr>
      <w:r w:rsidRPr="004C528F">
        <w:t>More broadly, we also note in exercising our discretion, we take into account the revenue and pricing principles which are set out in the National Electricity Law.</w:t>
      </w:r>
      <w:r w:rsidRPr="004C528F">
        <w:rPr>
          <w:rStyle w:val="FootnoteReference"/>
        </w:rPr>
        <w:footnoteReference w:id="21"/>
      </w:r>
    </w:p>
    <w:p w:rsidR="004C528F" w:rsidRPr="004C528F" w:rsidRDefault="004C528F" w:rsidP="005136CC">
      <w:pPr>
        <w:numPr>
          <w:ilvl w:val="0"/>
          <w:numId w:val="24"/>
        </w:numPr>
      </w:pPr>
      <w:r w:rsidRPr="004C528F">
        <w:t xml:space="preserve">This attachment sets out our general approach to assessment.  Our approach to assessment of particular aspects of the opex forecast is also set out in more detail in the relevant appendices.  </w:t>
      </w:r>
    </w:p>
    <w:p w:rsidR="00E75C6B" w:rsidRPr="00654E80" w:rsidRDefault="00154224" w:rsidP="00E75C6B">
      <w:pPr>
        <w:pStyle w:val="HeadingBoldBlue"/>
      </w:pPr>
      <w:bookmarkStart w:id="24" w:name="_Toc417465406"/>
      <w:r>
        <w:t>Expenditure forecast assessment g</w:t>
      </w:r>
      <w:r w:rsidR="00E75C6B" w:rsidRPr="00654E80">
        <w:t>uideline</w:t>
      </w:r>
      <w:bookmarkEnd w:id="24"/>
    </w:p>
    <w:p w:rsidR="004C528F" w:rsidRPr="004C528F" w:rsidRDefault="004C528F" w:rsidP="004C528F">
      <w:pPr>
        <w:rPr>
          <w:rStyle w:val="AERbody"/>
        </w:rPr>
      </w:pPr>
      <w:r w:rsidRPr="004C528F">
        <w:rPr>
          <w:rStyle w:val="AERbody"/>
        </w:rPr>
        <w:t xml:space="preserve">After conducting an extensive consultation process with service providers, users, consumers and other interested stakeholders we issued </w:t>
      </w:r>
      <w:r w:rsidR="00E27C23">
        <w:rPr>
          <w:rStyle w:val="AERbody"/>
        </w:rPr>
        <w:t>the</w:t>
      </w:r>
      <w:r w:rsidR="00E27C23" w:rsidRPr="004C528F">
        <w:rPr>
          <w:rStyle w:val="AERbody"/>
        </w:rPr>
        <w:t xml:space="preserve"> </w:t>
      </w:r>
      <w:r w:rsidRPr="004C528F">
        <w:rPr>
          <w:rStyle w:val="AERbody"/>
        </w:rPr>
        <w:t xml:space="preserve">Guideline in November </w:t>
      </w:r>
      <w:r w:rsidRPr="004C528F">
        <w:rPr>
          <w:rStyle w:val="AERbody"/>
        </w:rPr>
        <w:lastRenderedPageBreak/>
        <w:t>2013 together with an explanatory statement.</w:t>
      </w:r>
      <w:r w:rsidRPr="004C528F">
        <w:rPr>
          <w:rStyle w:val="AERsuperscript"/>
        </w:rPr>
        <w:footnoteReference w:id="22"/>
      </w:r>
      <w:r w:rsidRPr="004C528F">
        <w:rPr>
          <w:rStyle w:val="AERsuperscript"/>
        </w:rPr>
        <w:t xml:space="preserve"> </w:t>
      </w:r>
      <w:r w:rsidRPr="004C528F">
        <w:rPr>
          <w:rStyle w:val="AERbody"/>
        </w:rPr>
        <w:t xml:space="preserve"> </w:t>
      </w:r>
      <w:r w:rsidR="00E27C23">
        <w:rPr>
          <w:rStyle w:val="AERbody"/>
        </w:rPr>
        <w:t>The</w:t>
      </w:r>
      <w:r w:rsidR="00E27C23" w:rsidRPr="004C528F">
        <w:rPr>
          <w:rStyle w:val="AERbody"/>
        </w:rPr>
        <w:t xml:space="preserve"> </w:t>
      </w:r>
      <w:r w:rsidRPr="004C528F">
        <w:rPr>
          <w:rStyle w:val="AERbody"/>
        </w:rPr>
        <w:t>Guideline sets out our intended approach to assessing operating expenditure in accordance with the NER.</w:t>
      </w:r>
      <w:r w:rsidRPr="004C528F">
        <w:rPr>
          <w:rStyle w:val="AERsuperscript"/>
        </w:rPr>
        <w:footnoteReference w:id="23"/>
      </w:r>
      <w:r w:rsidRPr="004C528F">
        <w:rPr>
          <w:rStyle w:val="AERbody"/>
        </w:rPr>
        <w:t xml:space="preserve">   </w:t>
      </w:r>
    </w:p>
    <w:p w:rsidR="004C528F" w:rsidRPr="004C528F" w:rsidRDefault="004C528F" w:rsidP="004C528F">
      <w:r w:rsidRPr="004C528F">
        <w:t xml:space="preserve">We may depart from the approach set out in </w:t>
      </w:r>
      <w:r w:rsidR="00E27C23">
        <w:t>the</w:t>
      </w:r>
      <w:r w:rsidRPr="004C528F">
        <w:t xml:space="preserve"> Guideline but if we do so we give reasons for doing so. In this determination for the most part we have not departed from the approach set out in </w:t>
      </w:r>
      <w:r w:rsidR="00E27C23">
        <w:t>the</w:t>
      </w:r>
      <w:r w:rsidR="00E27C23" w:rsidRPr="004C528F">
        <w:t xml:space="preserve"> </w:t>
      </w:r>
      <w:r w:rsidRPr="004C528F">
        <w:t>Guideline.</w:t>
      </w:r>
      <w:r w:rsidRPr="004C528F">
        <w:rPr>
          <w:rStyle w:val="FootnoteReference"/>
        </w:rPr>
        <w:footnoteReference w:id="24"/>
      </w:r>
      <w:r w:rsidRPr="004C528F">
        <w:t xml:space="preserve"> In our Framework and Approach paper for each service provider, we set out our intention to apply </w:t>
      </w:r>
      <w:r w:rsidR="00E27C23">
        <w:t>the</w:t>
      </w:r>
      <w:r w:rsidR="00E27C23" w:rsidRPr="004C528F">
        <w:t xml:space="preserve"> </w:t>
      </w:r>
      <w:r w:rsidRPr="004C528F">
        <w:t>guideline approach in making this determination.</w:t>
      </w:r>
      <w:r w:rsidR="00D118A0">
        <w:rPr>
          <w:rStyle w:val="FootnoteReference"/>
        </w:rPr>
        <w:footnoteReference w:id="25"/>
      </w:r>
    </w:p>
    <w:p w:rsidR="004C528F" w:rsidRPr="004C528F" w:rsidRDefault="004C528F" w:rsidP="004C528F">
      <w:r w:rsidRPr="004C528F">
        <w:t>Our approach is to compare the service provider's total forecast opex with an alternative estimate</w:t>
      </w:r>
      <w:r w:rsidR="00F7123E">
        <w:t xml:space="preserve"> that we develop</w:t>
      </w:r>
      <w:r w:rsidRPr="004C528F">
        <w:t>.</w:t>
      </w:r>
      <w:r w:rsidRPr="004C528F">
        <w:rPr>
          <w:rStyle w:val="FootnoteReference"/>
        </w:rPr>
        <w:footnoteReference w:id="26"/>
      </w:r>
      <w:r w:rsidRPr="004C528F">
        <w:t xml:space="preserve"> By doing this we form a view on whether we are satisfied that the service provider's proposed total forecast opex reasonably reflects the opex criteria. If we conclude the proposal does not reasonably reflect the opex criteria, we use our estimate as a substitute forecast. This approach was expressly endorsed by the AEMC in its decision on the major rule changes that were introduced in November 2012. The AEMC stated:</w:t>
      </w:r>
      <w:r w:rsidRPr="004C528F">
        <w:rPr>
          <w:rStyle w:val="FootnoteReference"/>
        </w:rPr>
        <w:footnoteReference w:id="27"/>
      </w:r>
    </w:p>
    <w:p w:rsidR="004C528F" w:rsidRPr="004C528F" w:rsidRDefault="004C528F" w:rsidP="004C528F">
      <w:pPr>
        <w:pStyle w:val="AERquote"/>
      </w:pPr>
      <w:r w:rsidRPr="004C528F">
        <w:t>While the AER must form a view as to whether a NSP's proposal is reasonable, this is not a separate exercise from determining an appropriate substitute in the event the AER decides the proposal is not reasonable. For example, benchmarking the NSP against others will provide an indication of both whether the proposal is reasonable and what a substitute should be. Both the consideration of "reasonable" and the determination of the substitute must be in respect of the total for capex and opex.</w:t>
      </w:r>
    </w:p>
    <w:p w:rsidR="004C528F" w:rsidRPr="004C528F" w:rsidRDefault="004C528F" w:rsidP="005136CC">
      <w:pPr>
        <w:numPr>
          <w:ilvl w:val="0"/>
          <w:numId w:val="24"/>
        </w:numPr>
      </w:pPr>
      <w:r w:rsidRPr="004C528F">
        <w:t xml:space="preserve">Our estimate is unlikely to exactly match the service provider's forecast because the service provider may not adopt the same forecasting method. However, if the service provider's inputs and assumptions are reasonable, its method should produce a forecast consistent with our estimate. </w:t>
      </w:r>
    </w:p>
    <w:p w:rsidR="00E75C6B" w:rsidRPr="00654E80" w:rsidRDefault="004C528F" w:rsidP="005136CC">
      <w:pPr>
        <w:numPr>
          <w:ilvl w:val="0"/>
          <w:numId w:val="24"/>
        </w:numPr>
      </w:pPr>
      <w:r w:rsidRPr="004C528F">
        <w:t>If a service provider's total forecast opex is materially different to our estimate and</w:t>
      </w:r>
      <w:r w:rsidR="00F7123E">
        <w:t xml:space="preserve"> we find</w:t>
      </w:r>
      <w:r w:rsidRPr="004C528F">
        <w:t xml:space="preserve"> no satisfactory explanation for this difference, we may form the view that the service provider's forecast does not reasonably reflect the opex criteria. Conversely, if our estimate demonstrates that the service provider's forecast reasonably reflects the opex criteria, we will accept the forecast.</w:t>
      </w:r>
      <w:r w:rsidRPr="004C528F">
        <w:rPr>
          <w:rStyle w:val="FootnoteReference"/>
        </w:rPr>
        <w:footnoteReference w:id="28"/>
      </w:r>
      <w:r w:rsidRPr="004C528F">
        <w:t xml:space="preserve"> Whether or not we accept a service provider's forecast, we must provide the reasons for our decision.</w:t>
      </w:r>
      <w:r w:rsidRPr="004C528F">
        <w:rPr>
          <w:rStyle w:val="FootnoteReference"/>
        </w:rPr>
        <w:footnoteReference w:id="29"/>
      </w:r>
    </w:p>
    <w:p w:rsidR="00E75C6B" w:rsidRPr="00654E80" w:rsidRDefault="00E75C6B" w:rsidP="00E75C6B">
      <w:pPr>
        <w:pStyle w:val="HeadingBoldBlue"/>
      </w:pPr>
      <w:bookmarkStart w:id="25" w:name="_Toc417465407"/>
      <w:r w:rsidRPr="00654E80">
        <w:lastRenderedPageBreak/>
        <w:t>Building an alternative estimate of total forecast opex</w:t>
      </w:r>
      <w:bookmarkEnd w:id="25"/>
    </w:p>
    <w:p w:rsidR="004C528F" w:rsidRPr="004C528F" w:rsidRDefault="004C528F" w:rsidP="005136CC">
      <w:pPr>
        <w:numPr>
          <w:ilvl w:val="0"/>
          <w:numId w:val="24"/>
        </w:numPr>
      </w:pPr>
      <w:r w:rsidRPr="004C528F">
        <w:t xml:space="preserve">Our approach to forming an alternative estimate of </w:t>
      </w:r>
      <w:r w:rsidR="00E42B71">
        <w:t>is</w:t>
      </w:r>
      <w:r w:rsidRPr="004C528F">
        <w:t xml:space="preserve"> outline</w:t>
      </w:r>
      <w:r w:rsidR="00E42B71">
        <w:t>d</w:t>
      </w:r>
      <w:r w:rsidRPr="004C528F">
        <w:t xml:space="preserve"> below in</w:t>
      </w:r>
      <w:r>
        <w:t xml:space="preserve"> </w:t>
      </w:r>
      <w:r>
        <w:fldChar w:fldCharType="begin"/>
      </w:r>
      <w:r>
        <w:instrText xml:space="preserve"> REF _Ref417037641 \h </w:instrText>
      </w:r>
      <w:r>
        <w:fldChar w:fldCharType="separate"/>
      </w:r>
      <w:r w:rsidR="00C74791">
        <w:t xml:space="preserve">Figure </w:t>
      </w:r>
      <w:r w:rsidR="00C74791">
        <w:rPr>
          <w:noProof/>
        </w:rPr>
        <w:t>7</w:t>
      </w:r>
      <w:r w:rsidR="00C74791">
        <w:t>.</w:t>
      </w:r>
      <w:r w:rsidR="00C74791">
        <w:rPr>
          <w:noProof/>
        </w:rPr>
        <w:t>2</w:t>
      </w:r>
      <w:r>
        <w:fldChar w:fldCharType="end"/>
      </w:r>
      <w:r w:rsidRPr="004C528F">
        <w:t>.</w:t>
      </w:r>
    </w:p>
    <w:p w:rsidR="004C528F" w:rsidRPr="004C528F" w:rsidRDefault="00A91FF1" w:rsidP="00A91FF1">
      <w:pPr>
        <w:pStyle w:val="Caption"/>
      </w:pPr>
      <w:bookmarkStart w:id="26" w:name="_Ref417037641"/>
      <w:r>
        <w:t xml:space="preserve">Figure </w:t>
      </w:r>
      <w:fldSimple w:instr=" STYLEREF 1 \s ">
        <w:r w:rsidR="00C74791">
          <w:rPr>
            <w:noProof/>
          </w:rPr>
          <w:t>7</w:t>
        </w:r>
      </w:fldSimple>
      <w:r>
        <w:t>.</w:t>
      </w:r>
      <w:fldSimple w:instr=" SEQ Figure \* ARABIC \s 1 ">
        <w:r w:rsidR="00C74791">
          <w:rPr>
            <w:noProof/>
          </w:rPr>
          <w:t>2</w:t>
        </w:r>
      </w:fldSimple>
      <w:bookmarkEnd w:id="26"/>
      <w:r w:rsidR="004C528F" w:rsidRPr="004C528F">
        <w:tab/>
      </w:r>
      <w:r w:rsidR="004C528F" w:rsidRPr="004C528F">
        <w:tab/>
        <w:t>Our assessment approach</w:t>
      </w:r>
    </w:p>
    <w:p w:rsidR="004C528F" w:rsidRPr="004C528F" w:rsidRDefault="00484DAD" w:rsidP="004C528F">
      <w:r w:rsidRPr="00484DAD">
        <w:rPr>
          <w:noProof/>
          <w:lang w:eastAsia="en-AU"/>
        </w:rPr>
        <w:drawing>
          <wp:inline distT="0" distB="0" distL="0" distR="0" wp14:anchorId="17EE4307" wp14:editId="2A8E2448">
            <wp:extent cx="5380075" cy="7453424"/>
            <wp:effectExtent l="76200" t="57150" r="68580" b="908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C528F" w:rsidRPr="004C528F" w:rsidRDefault="004C528F" w:rsidP="005136CC">
      <w:pPr>
        <w:numPr>
          <w:ilvl w:val="0"/>
          <w:numId w:val="24"/>
        </w:numPr>
      </w:pPr>
      <w:r w:rsidRPr="004C528F">
        <w:lastRenderedPageBreak/>
        <w:t>Underlying our approach are two general assumptions:</w:t>
      </w:r>
    </w:p>
    <w:p w:rsidR="004C528F" w:rsidRPr="004C528F" w:rsidRDefault="004C528F" w:rsidP="005136CC">
      <w:pPr>
        <w:pStyle w:val="ListNumber"/>
        <w:numPr>
          <w:ilvl w:val="1"/>
          <w:numId w:val="24"/>
        </w:numPr>
      </w:pPr>
      <w:r w:rsidRPr="004C528F">
        <w:t>the efficiency criterion and the prudency criterion in the NER are complementary</w:t>
      </w:r>
    </w:p>
    <w:p w:rsidR="004C528F" w:rsidRPr="004C528F" w:rsidRDefault="004C528F" w:rsidP="005136CC">
      <w:pPr>
        <w:pStyle w:val="ListNumber"/>
        <w:numPr>
          <w:ilvl w:val="1"/>
          <w:numId w:val="24"/>
        </w:numPr>
      </w:pPr>
      <w:r w:rsidRPr="004C528F">
        <w:t>actual expenditure was sufficient to achieve the</w:t>
      </w:r>
      <w:r>
        <w:t xml:space="preserve"> </w:t>
      </w:r>
      <w:r w:rsidRPr="004C528F">
        <w:t>opex objectives in the past.</w:t>
      </w:r>
    </w:p>
    <w:p w:rsidR="004C528F" w:rsidRPr="004C528F" w:rsidRDefault="004C528F" w:rsidP="005136CC">
      <w:pPr>
        <w:numPr>
          <w:ilvl w:val="0"/>
          <w:numId w:val="24"/>
        </w:numPr>
      </w:pPr>
      <w:r w:rsidRPr="004C528F">
        <w:t>We have used this general approach in our past decisions.  It is a well-regarded top</w:t>
      </w:r>
      <w:r w:rsidR="009664DF">
        <w:t xml:space="preserve"> </w:t>
      </w:r>
      <w:r w:rsidRPr="004C528F">
        <w:t xml:space="preserve">own forecasting model that has been employed by a number of Australian regulators over the last fifteen years. We refer to it as a ‘revealed cost method’ in </w:t>
      </w:r>
      <w:r w:rsidR="00E27C23">
        <w:t>the</w:t>
      </w:r>
      <w:r w:rsidR="00E27C23" w:rsidRPr="004C528F">
        <w:t xml:space="preserve"> </w:t>
      </w:r>
      <w:r w:rsidRPr="004C528F">
        <w:t>Guideline (and we have sometimes referred to it as the base-step-trend method in our past regulatory decisions).</w:t>
      </w:r>
      <w:r w:rsidR="00B72BDC">
        <w:rPr>
          <w:rStyle w:val="FootnoteReference"/>
        </w:rPr>
        <w:footnoteReference w:id="30"/>
      </w:r>
    </w:p>
    <w:p w:rsidR="004C528F" w:rsidRPr="004C528F" w:rsidRDefault="004C528F" w:rsidP="005136CC">
      <w:pPr>
        <w:numPr>
          <w:ilvl w:val="0"/>
          <w:numId w:val="24"/>
        </w:numPr>
      </w:pPr>
      <w:r w:rsidRPr="004C528F">
        <w:t>While these general steps are consistent with our past determinations, we have adopted a significant change in how we give effect to this approach, following the major changes to the NER made in November 2012. Those changes placed significant new emphasis on the use of benchmarking in our opex analysis. We will now issue benchmarking reports annually and have regard to those reports. These benchmarking reports provide us with one of a number of inputs for determining forecast opex.</w:t>
      </w:r>
    </w:p>
    <w:p w:rsidR="00E75C6B" w:rsidRPr="00654E80" w:rsidRDefault="004C528F" w:rsidP="005136CC">
      <w:pPr>
        <w:numPr>
          <w:ilvl w:val="0"/>
          <w:numId w:val="24"/>
        </w:numPr>
      </w:pPr>
      <w:r w:rsidRPr="004C528F">
        <w:t>We have set out more detail about each of the steps we follow in constructing our forecast below</w:t>
      </w:r>
      <w:r w:rsidR="00E75C6B" w:rsidRPr="00654E80">
        <w:t>.</w:t>
      </w:r>
    </w:p>
    <w:p w:rsidR="00E75C6B" w:rsidRPr="00654E80" w:rsidRDefault="00E75C6B" w:rsidP="005136CC">
      <w:pPr>
        <w:pStyle w:val="HeadingBoldItalic"/>
        <w:numPr>
          <w:ilvl w:val="0"/>
          <w:numId w:val="24"/>
        </w:numPr>
      </w:pPr>
      <w:r w:rsidRPr="00654E80">
        <w:t>Step 1 – Starting point - base year expenditure</w:t>
      </w:r>
    </w:p>
    <w:p w:rsidR="00E75C6B" w:rsidRPr="00654E80" w:rsidRDefault="00E75C6B" w:rsidP="005136CC">
      <w:pPr>
        <w:numPr>
          <w:ilvl w:val="0"/>
          <w:numId w:val="24"/>
        </w:numPr>
      </w:pPr>
      <w:r w:rsidRPr="00654E80">
        <w:t>We prefer to use a recent year for which audited figures are available as the starting point for our analysis. We call this the base year. This is for a number of reasons:</w:t>
      </w:r>
    </w:p>
    <w:p w:rsidR="00E75C6B" w:rsidRPr="00B10C1A" w:rsidRDefault="00E75C6B" w:rsidP="00E75C6B">
      <w:pPr>
        <w:pStyle w:val="AERbulletlistfirststyle"/>
      </w:pPr>
      <w:r w:rsidRPr="00654E80">
        <w:t xml:space="preserve">As total opex tends to be relatively recurrent, total opex in a recent year typically best reflects a service provider's current circumstances. </w:t>
      </w:r>
    </w:p>
    <w:p w:rsidR="00E75C6B" w:rsidRPr="00B10C1A" w:rsidRDefault="00E75C6B" w:rsidP="00E75C6B">
      <w:pPr>
        <w:pStyle w:val="AERbulletlistfirststyle"/>
      </w:pPr>
      <w:r w:rsidRPr="00654E80">
        <w:t xml:space="preserve">During the past regulatory control period, we have incentives in place to reward the service provider for making efficiency improvements by allowing it to retain a portion of the efficiency savings it makes. Similarly, we penalise the service provider when it is relatively less efficient. This gives us confidence that the service provider did not spend more in the proposed base year to try to inflate its opex forecast for the next regulatory control period. </w:t>
      </w:r>
    </w:p>
    <w:p w:rsidR="00E75C6B" w:rsidRPr="00B10C1A" w:rsidRDefault="00E75C6B" w:rsidP="00E75C6B">
      <w:pPr>
        <w:pStyle w:val="AERbulletlistfirststyle"/>
      </w:pPr>
      <w:r w:rsidRPr="00654E80">
        <w:t>Service providers also face many regulatory obligations in delivering se</w:t>
      </w:r>
      <w:r w:rsidR="00DB49AD">
        <w:t>rvices to consumers.</w:t>
      </w:r>
      <w:r w:rsidRPr="00654E80">
        <w:t xml:space="preserve"> These regulatory obligations ensure that the financial incentives a service provider faces to reduce its costs are balanced by obligations to deliver services safely and reliably. In general, this gives us confidence that recent historical opex will be at least enough to achieve the opex objectives.</w:t>
      </w:r>
    </w:p>
    <w:p w:rsidR="00E75C6B" w:rsidRPr="00654E80" w:rsidRDefault="00E75C6B" w:rsidP="005136CC">
      <w:pPr>
        <w:numPr>
          <w:ilvl w:val="0"/>
          <w:numId w:val="24"/>
        </w:numPr>
      </w:pPr>
      <w:r w:rsidRPr="00654E80">
        <w:t>In choosing a base year, we need to make a decision as to whether any categories of opex incurred in the base year should be removed. For instance:</w:t>
      </w:r>
    </w:p>
    <w:p w:rsidR="00E75C6B" w:rsidRPr="00B10C1A" w:rsidRDefault="00E75C6B" w:rsidP="00E75C6B">
      <w:pPr>
        <w:pStyle w:val="AERbulletlistfirststyle"/>
      </w:pPr>
      <w:r w:rsidRPr="00654E80">
        <w:lastRenderedPageBreak/>
        <w:t xml:space="preserve">If a material cost was incurred in the base year that is unrepresentative of a service provider's future opex we </w:t>
      </w:r>
      <w:r w:rsidR="00B72BDC">
        <w:t xml:space="preserve">may </w:t>
      </w:r>
      <w:r w:rsidRPr="00654E80">
        <w:t xml:space="preserve">remove it from the base year in undertaking our assessment. </w:t>
      </w:r>
    </w:p>
    <w:p w:rsidR="00E75C6B" w:rsidRPr="00B10C1A" w:rsidRDefault="00E75C6B" w:rsidP="00E75C6B">
      <w:pPr>
        <w:pStyle w:val="AERbulletlistfirststyle"/>
      </w:pPr>
      <w:r w:rsidRPr="00654E80">
        <w:t>Rather than use all opex in the base year, service providers also often forecast specific categories of opex using different methods. We must also assess these methods in deciding what the starting point should be. If we agree that these categories of opex should be assessed differently, we will also remove them from the base year.</w:t>
      </w:r>
    </w:p>
    <w:p w:rsidR="00E75C6B" w:rsidRPr="00654E80" w:rsidRDefault="00E75C6B" w:rsidP="005136CC">
      <w:pPr>
        <w:numPr>
          <w:ilvl w:val="0"/>
          <w:numId w:val="24"/>
        </w:numPr>
      </w:pPr>
      <w:r w:rsidRPr="00654E80">
        <w:t xml:space="preserve">As part of this step we also need to consider any interactions with the incentive scheme for opex, the Efficiency Benefit Sharing Scheme (EBSS). The EBSS is designed to achieve a fair sharing of efficiency gains and losses between a service provider and its consumers. Under the EBSS, service providers receive a financial reward for reducing their costs in the regulatory control period and a financial penalty for increasing their costs. The benefits of </w:t>
      </w:r>
      <w:r>
        <w:t>a reduction</w:t>
      </w:r>
      <w:r w:rsidRPr="00654E80">
        <w:t xml:space="preserve"> in opex flow through to consumers as long as base year opex is no higher than the opex incurred in that year. Similarly, the costs of an increase in opex flow through to consumers if base year opex is no lower than the opex incurred in that year. If the starting point is not consistent with the EBSS, service providers could be excessively rewarded for efficiency gains or excessively penalised for efficiency losses in the prior regulatory control period.</w:t>
      </w:r>
    </w:p>
    <w:p w:rsidR="00E75C6B" w:rsidRPr="00654E80" w:rsidRDefault="00E75C6B" w:rsidP="005136CC">
      <w:pPr>
        <w:pStyle w:val="HeadingBoldItalic"/>
        <w:numPr>
          <w:ilvl w:val="0"/>
          <w:numId w:val="24"/>
        </w:numPr>
      </w:pPr>
      <w:r w:rsidRPr="00654E80">
        <w:t>Step 2 - Assessing base year expenditure</w:t>
      </w:r>
    </w:p>
    <w:p w:rsidR="00E75C6B" w:rsidRPr="00654E80" w:rsidRDefault="00E75C6B" w:rsidP="005136CC">
      <w:pPr>
        <w:numPr>
          <w:ilvl w:val="0"/>
          <w:numId w:val="24"/>
        </w:numPr>
      </w:pPr>
      <w:r w:rsidRPr="00654E80">
        <w:t>Regardless of the base year we choose, the service provider's actual expenditure may not reflect the opex criteria. For example, it may not be efficient or management may not have acted prudently in its governance and decision-making processes. We must test whether actual expenditure in that year should be used to forecast efficient opex in the next regulatory control period.</w:t>
      </w:r>
    </w:p>
    <w:p w:rsidR="00E75C6B" w:rsidRPr="00654E80" w:rsidRDefault="00E75C6B" w:rsidP="005136CC">
      <w:pPr>
        <w:numPr>
          <w:ilvl w:val="0"/>
          <w:numId w:val="24"/>
        </w:numPr>
      </w:pPr>
      <w:r w:rsidRPr="00654E80">
        <w:t xml:space="preserve">As we set out in </w:t>
      </w:r>
      <w:r w:rsidR="00E27C23">
        <w:t xml:space="preserve">the </w:t>
      </w:r>
      <w:r w:rsidRPr="00654E80">
        <w:t>Guideline, to assess the efficiency of a service provider's actual expenditure, we use a number of different techniques.</w:t>
      </w:r>
      <w:r w:rsidRPr="00654E80">
        <w:rPr>
          <w:rStyle w:val="FootnoteReference"/>
        </w:rPr>
        <w:footnoteReference w:id="31"/>
      </w:r>
    </w:p>
    <w:p w:rsidR="006E4316" w:rsidRPr="006E4316" w:rsidRDefault="006E4316" w:rsidP="005136CC">
      <w:pPr>
        <w:numPr>
          <w:ilvl w:val="0"/>
          <w:numId w:val="24"/>
        </w:numPr>
      </w:pPr>
      <w:r w:rsidRPr="006E4316">
        <w:t xml:space="preserve">For instance, we may undertake a detailed review of a service provider's actual opex. For this final decision, we have </w:t>
      </w:r>
      <w:r w:rsidR="00154224">
        <w:t>reviewed</w:t>
      </w:r>
      <w:r w:rsidRPr="006E4316">
        <w:t xml:space="preserve"> </w:t>
      </w:r>
      <w:r w:rsidR="00154224">
        <w:t>Essential Energy's</w:t>
      </w:r>
      <w:r w:rsidRPr="006E4316">
        <w:t xml:space="preserve"> labour and workforce and vegetation management practices. </w:t>
      </w:r>
    </w:p>
    <w:p w:rsidR="006E4316" w:rsidRPr="006E4316" w:rsidRDefault="006E4316" w:rsidP="005136CC">
      <w:pPr>
        <w:numPr>
          <w:ilvl w:val="0"/>
          <w:numId w:val="24"/>
        </w:numPr>
      </w:pPr>
      <w:r w:rsidRPr="006E4316">
        <w:t>Benchmarking is particularly important in comparing the relative efficiency of different service providers. The AEMC highlighted the importance of benchmarking in its changes to the NER in November 2012:</w:t>
      </w:r>
      <w:r w:rsidRPr="006E4316">
        <w:rPr>
          <w:rStyle w:val="FootnoteReference"/>
        </w:rPr>
        <w:footnoteReference w:id="32"/>
      </w:r>
    </w:p>
    <w:p w:rsidR="006E4316" w:rsidRPr="006E4316" w:rsidRDefault="006E4316" w:rsidP="006E4316">
      <w:pPr>
        <w:pStyle w:val="AERquote"/>
      </w:pPr>
      <w:r w:rsidRPr="006E4316">
        <w:t>The Commission views benchmarking as an important exercise in assessing the efficiency of a NSP and informing the determination of the appropriate capex or opex allowance.</w:t>
      </w:r>
    </w:p>
    <w:p w:rsidR="006E4316" w:rsidRPr="006E4316" w:rsidRDefault="006E4316" w:rsidP="005136CC">
      <w:pPr>
        <w:numPr>
          <w:ilvl w:val="0"/>
          <w:numId w:val="24"/>
        </w:numPr>
      </w:pPr>
      <w:r w:rsidRPr="006E4316">
        <w:lastRenderedPageBreak/>
        <w:t>By benchmarking a service provider's expenditure we can compare its productivity over time, and to other service providers. For this decision we have used Multilateral Total Factor Productivity</w:t>
      </w:r>
      <w:r w:rsidR="0072060E">
        <w:t xml:space="preserve"> (MTFP)</w:t>
      </w:r>
      <w:r w:rsidRPr="006E4316">
        <w:t xml:space="preserve">, Multilateral Partial Factor Productivity and several opex cost function models to assess </w:t>
      </w:r>
      <w:r w:rsidR="00B355F9">
        <w:t>Essential Energy</w:t>
      </w:r>
      <w:r w:rsidRPr="006E4316">
        <w:t>'s efficiency.</w:t>
      </w:r>
      <w:r w:rsidR="007500E5">
        <w:rPr>
          <w:rStyle w:val="FootnoteReference"/>
        </w:rPr>
        <w:footnoteReference w:id="33"/>
      </w:r>
      <w:r w:rsidRPr="006E4316">
        <w:t xml:space="preserve"> </w:t>
      </w:r>
    </w:p>
    <w:p w:rsidR="006E4316" w:rsidRPr="006E4316" w:rsidRDefault="006E4316" w:rsidP="005136CC">
      <w:pPr>
        <w:numPr>
          <w:ilvl w:val="0"/>
          <w:numId w:val="24"/>
        </w:numPr>
      </w:pPr>
      <w:r w:rsidRPr="006E4316">
        <w:t>We also have regard to trends in total opex and category</w:t>
      </w:r>
      <w:r w:rsidR="0072060E">
        <w:t>-</w:t>
      </w:r>
      <w:r w:rsidRPr="006E4316">
        <w:t xml:space="preserve">specific data to construct category benchmarks. We have also used this information to inform our assessment of the efficiency of base year expenditure.  In particular, we can use this category analysis data to identify sources of spending that are unlikely to reflect the opex criteria over the forecast period. It may also lend support to, or identify potential inconsistencies with, our broader benchmark modelling. </w:t>
      </w:r>
    </w:p>
    <w:p w:rsidR="006E4316" w:rsidRPr="006E4316" w:rsidRDefault="006E4316" w:rsidP="005136CC">
      <w:pPr>
        <w:numPr>
          <w:ilvl w:val="0"/>
          <w:numId w:val="24"/>
        </w:numPr>
      </w:pPr>
      <w:r w:rsidRPr="006E4316">
        <w:t>If we determine that a service provider's base year expenditure does not reasonably reflect the opex criteria, we will not use it as our starting point for our estimate of total forecast opex. Rather, we will adjust it so it reflects an efficient, recurrent level of opex that does reflect the opex criteria. To arrive at an adjustment, we use the same techniques we used to assess the service provider's efficiency.</w:t>
      </w:r>
    </w:p>
    <w:p w:rsidR="006E4316" w:rsidRPr="006E4316" w:rsidRDefault="006E4316" w:rsidP="005136CC">
      <w:pPr>
        <w:pStyle w:val="HeadingBoldItalic"/>
        <w:numPr>
          <w:ilvl w:val="0"/>
          <w:numId w:val="24"/>
        </w:numPr>
      </w:pPr>
      <w:r w:rsidRPr="006E4316">
        <w:t>Step 3 - Rate of change</w:t>
      </w:r>
    </w:p>
    <w:p w:rsidR="006E4316" w:rsidRPr="006E4316" w:rsidRDefault="006E4316" w:rsidP="005136CC">
      <w:pPr>
        <w:numPr>
          <w:ilvl w:val="0"/>
          <w:numId w:val="24"/>
        </w:numPr>
      </w:pPr>
      <w:r w:rsidRPr="006E4316">
        <w:t xml:space="preserve">Once we have chosen a starting point that reflects the opex criteria, we apply an annual escalator to take account of the likely ongoing changes to opex over the forecast regulatory control period. Opex that reflects the opex criteria in the forecast regulatory control period could reasonably differ from the starting point due to changes in: </w:t>
      </w:r>
    </w:p>
    <w:p w:rsidR="006E4316" w:rsidRPr="006E4316" w:rsidRDefault="006E4316" w:rsidP="006E4316">
      <w:pPr>
        <w:pStyle w:val="AERbulletlistfirststyle"/>
      </w:pPr>
      <w:r w:rsidRPr="006E4316">
        <w:t>price growth</w:t>
      </w:r>
    </w:p>
    <w:p w:rsidR="006E4316" w:rsidRPr="006E4316" w:rsidRDefault="006E4316" w:rsidP="006E4316">
      <w:pPr>
        <w:pStyle w:val="AERbulletlistfirststyle"/>
      </w:pPr>
      <w:r w:rsidRPr="006E4316">
        <w:t xml:space="preserve">outputs growth </w:t>
      </w:r>
    </w:p>
    <w:p w:rsidR="006E4316" w:rsidRPr="006E4316" w:rsidRDefault="006E4316" w:rsidP="006E4316">
      <w:pPr>
        <w:pStyle w:val="AERbulletlistfirststyle"/>
      </w:pPr>
      <w:r w:rsidRPr="006E4316">
        <w:t xml:space="preserve">productivity growth. </w:t>
      </w:r>
    </w:p>
    <w:p w:rsidR="00E75C6B" w:rsidRPr="00654E80" w:rsidRDefault="006E4316" w:rsidP="005136CC">
      <w:pPr>
        <w:numPr>
          <w:ilvl w:val="0"/>
          <w:numId w:val="24"/>
        </w:numPr>
      </w:pPr>
      <w:r w:rsidRPr="006E4316">
        <w:t>We estimate the change by adding expected changes in prices (such as the price of labour and materials) and outputs (such as changes in customer numbers and demand for electricity). We then incorporate reasonable estimates of changes in productivity</w:t>
      </w:r>
      <w:r w:rsidR="00E75C6B" w:rsidRPr="00654E80">
        <w:t>.</w:t>
      </w:r>
    </w:p>
    <w:p w:rsidR="00E75C6B" w:rsidRPr="00654E80" w:rsidRDefault="00E75C6B" w:rsidP="005136CC">
      <w:pPr>
        <w:pStyle w:val="HeadingBoldItalic"/>
        <w:numPr>
          <w:ilvl w:val="0"/>
          <w:numId w:val="24"/>
        </w:numPr>
      </w:pPr>
      <w:r w:rsidRPr="00654E80">
        <w:t>Step 4 - Step changes</w:t>
      </w:r>
    </w:p>
    <w:p w:rsidR="00E75C6B" w:rsidRDefault="006E4316" w:rsidP="005136CC">
      <w:pPr>
        <w:numPr>
          <w:ilvl w:val="0"/>
          <w:numId w:val="24"/>
        </w:numPr>
      </w:pPr>
      <w:r w:rsidRPr="006E4316">
        <w:t xml:space="preserve">Next we consider if any other opex is required to achieve the opex objectives in the forecast period. We refer to these as ‘step changes’. Step changes may be for cost drivers such as new, changed or removed regulatory obligations, or efficient capex/opex trade-offs. </w:t>
      </w:r>
      <w:r w:rsidR="000F6778" w:rsidRPr="00654E80">
        <w:t xml:space="preserve">As </w:t>
      </w:r>
      <w:r w:rsidR="000F6778">
        <w:t>the Guideline</w:t>
      </w:r>
      <w:r w:rsidR="000F6778" w:rsidRPr="00654E80">
        <w:t xml:space="preserve"> explains, we will typically </w:t>
      </w:r>
      <w:r w:rsidR="000F6778">
        <w:t>include</w:t>
      </w:r>
      <w:r w:rsidR="000F6778" w:rsidRPr="00654E80">
        <w:t xml:space="preserve"> a step change only if efficient base year opex and the rate of change in opex of an efficient service provider do not already </w:t>
      </w:r>
      <w:r w:rsidR="000F6778">
        <w:t>include</w:t>
      </w:r>
      <w:r w:rsidR="000F6778" w:rsidRPr="00654E80">
        <w:t xml:space="preserve"> the proposed cost</w:t>
      </w:r>
      <w:r w:rsidRPr="006E4316">
        <w:t>.</w:t>
      </w:r>
      <w:r w:rsidR="00E75C6B" w:rsidRPr="00654E80">
        <w:rPr>
          <w:rStyle w:val="FootnoteReference"/>
        </w:rPr>
        <w:footnoteReference w:id="34"/>
      </w:r>
    </w:p>
    <w:p w:rsidR="00E75C6B" w:rsidRPr="00654E80" w:rsidRDefault="00E75C6B" w:rsidP="0072060E">
      <w:pPr>
        <w:pStyle w:val="HeadingBoldItalic"/>
        <w:keepNext/>
        <w:numPr>
          <w:ilvl w:val="0"/>
          <w:numId w:val="24"/>
        </w:numPr>
      </w:pPr>
      <w:r w:rsidRPr="00654E80">
        <w:lastRenderedPageBreak/>
        <w:t>Step 5 - Other costs that are not included in the base year</w:t>
      </w:r>
    </w:p>
    <w:p w:rsidR="00E75C6B" w:rsidRPr="00654E80" w:rsidRDefault="00E75C6B" w:rsidP="0072060E">
      <w:pPr>
        <w:keepNext/>
        <w:numPr>
          <w:ilvl w:val="0"/>
          <w:numId w:val="24"/>
        </w:numPr>
      </w:pPr>
      <w:r w:rsidRPr="00654E80">
        <w:t xml:space="preserve">In our final step, we make any further adjustments we need for our opex forecast to achieve the opex objectives. For instance, our approach is to forecast debt raising costs based on a benchmarking approach rather than a service provider’s actual costs. This is to be consistent with the forecast of the cost of debt in the rate of return building block. </w:t>
      </w:r>
    </w:p>
    <w:p w:rsidR="00E75C6B" w:rsidRPr="00654E80" w:rsidRDefault="00E75C6B" w:rsidP="005136CC">
      <w:pPr>
        <w:numPr>
          <w:ilvl w:val="0"/>
          <w:numId w:val="24"/>
        </w:numPr>
      </w:pPr>
      <w:r w:rsidRPr="00654E80">
        <w:t>After applying these five steps, we arrive at our total opex forecast.</w:t>
      </w:r>
    </w:p>
    <w:p w:rsidR="00E75C6B" w:rsidRPr="00654E80" w:rsidRDefault="00E75C6B" w:rsidP="00E75C6B">
      <w:pPr>
        <w:pStyle w:val="HeadingBoldBlue"/>
      </w:pPr>
      <w:bookmarkStart w:id="27" w:name="_Toc417465408"/>
      <w:r w:rsidRPr="00654E80">
        <w:t>Comparing the service provider's proposal with our estimate</w:t>
      </w:r>
      <w:bookmarkEnd w:id="27"/>
    </w:p>
    <w:p w:rsidR="00E75C6B" w:rsidRPr="00654E80" w:rsidRDefault="00E75C6B" w:rsidP="005136CC">
      <w:pPr>
        <w:numPr>
          <w:ilvl w:val="0"/>
          <w:numId w:val="24"/>
        </w:numPr>
      </w:pPr>
      <w:r w:rsidRPr="00654E80">
        <w:t xml:space="preserve">Having established our estimate of total forecast opex we can test the service provider's proposed total forecast opex. This includes comparing our alternative total with the service provider’s total forecast opex. However, we also assess whether the service provider's forecasting method, assumptions, inputs and models are reasonable, and assess the service provider's explanation of how that method results in a prudent and efficient forecast. </w:t>
      </w:r>
    </w:p>
    <w:p w:rsidR="00E75C6B" w:rsidRPr="00654E80" w:rsidRDefault="00E75C6B" w:rsidP="005136CC">
      <w:pPr>
        <w:numPr>
          <w:ilvl w:val="0"/>
          <w:numId w:val="24"/>
        </w:numPr>
      </w:pPr>
      <w:r w:rsidRPr="00654E80">
        <w:t xml:space="preserve">The service provider may be able to adequately explain any differences between its forecast and our estimate. We can only determine this on a case by case basis using our judgment. </w:t>
      </w:r>
    </w:p>
    <w:p w:rsidR="00E75C6B" w:rsidRPr="00654E80" w:rsidRDefault="00E75C6B" w:rsidP="005136CC">
      <w:pPr>
        <w:numPr>
          <w:ilvl w:val="0"/>
          <w:numId w:val="24"/>
        </w:numPr>
      </w:pPr>
      <w:r w:rsidRPr="00654E80">
        <w:t>This approach is supported by the AEMC’s decision when implementing the changes to the NER in November 2012.  The Commission stated:</w:t>
      </w:r>
      <w:r w:rsidRPr="00654E80">
        <w:rPr>
          <w:rStyle w:val="FootnoteReference"/>
        </w:rPr>
        <w:footnoteReference w:id="35"/>
      </w:r>
    </w:p>
    <w:p w:rsidR="00E75C6B" w:rsidRPr="00654E80" w:rsidRDefault="00E75C6B" w:rsidP="00E75C6B">
      <w:pPr>
        <w:pStyle w:val="AERquote"/>
      </w:pPr>
      <w:r w:rsidRPr="00654E80">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E75C6B" w:rsidRPr="00654E80" w:rsidRDefault="00E75C6B" w:rsidP="005136CC">
      <w:pPr>
        <w:numPr>
          <w:ilvl w:val="0"/>
          <w:numId w:val="24"/>
        </w:numPr>
      </w:pPr>
      <w:r w:rsidRPr="00654E80">
        <w:t xml:space="preserve">If we are not satisfied there is an adequate explanation for the difference between our opex forecast and the service provider's opex forecast, we will use our opex forecast in determining a service provider's total revenue requirement. </w:t>
      </w:r>
    </w:p>
    <w:p w:rsidR="00E75C6B" w:rsidRDefault="006E4316" w:rsidP="005136CC">
      <w:pPr>
        <w:numPr>
          <w:ilvl w:val="0"/>
          <w:numId w:val="24"/>
        </w:numPr>
      </w:pPr>
      <w:r w:rsidRPr="006E4316">
        <w:t xml:space="preserve">As outlined in </w:t>
      </w:r>
      <w:r w:rsidR="00E27C23">
        <w:t>the</w:t>
      </w:r>
      <w:r w:rsidRPr="006E4316">
        <w:t xml:space="preserve"> Guideline,</w:t>
      </w:r>
      <w:r w:rsidRPr="006E4316">
        <w:rPr>
          <w:rStyle w:val="AERbody"/>
        </w:rPr>
        <w:t xml:space="preserve"> </w:t>
      </w:r>
      <w:r w:rsidRPr="006E4316">
        <w:t xml:space="preserve">if the prudent and efficient opex allowance to achieve the opex objectives is lower than a service provider's current opex, we would expect a prudent operator would take the necessary action to improve its efficiency and prudency. We would expect a service provider (including its shareholders) to bear the cost of any inefficiency or imprudent actions. To do otherwise, would mean electricity </w:t>
      </w:r>
      <w:r w:rsidRPr="006E4316">
        <w:lastRenderedPageBreak/>
        <w:t>network consumers would fund some costs of a service provider's inefficiency or imprudent actions</w:t>
      </w:r>
      <w:r w:rsidR="00E75C6B">
        <w:t>.</w:t>
      </w:r>
    </w:p>
    <w:p w:rsidR="00F7123E" w:rsidRDefault="006E4316" w:rsidP="00C74791">
      <w:r w:rsidRPr="006E4316">
        <w:t>Accordingly, if our opex forecast is lower than a service provider's current opex we would generally not consider it open to us to provide a transition path to the efficient allowance. This approach is reflected in the NER, which provides that w</w:t>
      </w:r>
      <w:r w:rsidRPr="006E4316">
        <w:rPr>
          <w:rStyle w:val="AERbody"/>
        </w:rPr>
        <w:t>e must be satisfied that the opex forecast reasonably reflects the efficient costs of a prudent operator given reasonable expectations of the demand forecast and cost inputs to achieve the expenditure objectives</w:t>
      </w:r>
      <w:r w:rsidR="00E75C6B" w:rsidRPr="00654E80">
        <w:t>.</w:t>
      </w:r>
      <w:r w:rsidR="00E75C6B" w:rsidRPr="00654E80">
        <w:rPr>
          <w:rStyle w:val="FootnoteReference"/>
        </w:rPr>
        <w:footnoteReference w:id="36"/>
      </w:r>
      <w:r w:rsidR="00E75C6B" w:rsidRPr="00654E80">
        <w:t xml:space="preserve"> </w:t>
      </w:r>
      <w:r w:rsidR="00C74791">
        <w:t xml:space="preserve"> </w:t>
      </w:r>
    </w:p>
    <w:p w:rsidR="006E4316" w:rsidRPr="006E4316" w:rsidRDefault="006E4316" w:rsidP="006E4316">
      <w:pPr>
        <w:pStyle w:val="Heading2"/>
      </w:pPr>
      <w:bookmarkStart w:id="28" w:name="_Toc417719009"/>
      <w:r>
        <w:t>Summary of our</w:t>
      </w:r>
      <w:r w:rsidRPr="006E4316">
        <w:t xml:space="preserve"> decision</w:t>
      </w:r>
      <w:bookmarkEnd w:id="28"/>
    </w:p>
    <w:p w:rsidR="006E4316" w:rsidRPr="006E4316" w:rsidRDefault="006E4316" w:rsidP="005136CC">
      <w:pPr>
        <w:numPr>
          <w:ilvl w:val="0"/>
          <w:numId w:val="24"/>
        </w:numPr>
      </w:pPr>
      <w:r w:rsidRPr="006E4316">
        <w:t xml:space="preserve">We are not satisfied </w:t>
      </w:r>
      <w:r>
        <w:t>Essential Energy's</w:t>
      </w:r>
      <w:r w:rsidRPr="006E4316">
        <w:t xml:space="preserve"> total forecast opex reasonably reflects the opex criteria. We compared </w:t>
      </w:r>
      <w:r>
        <w:t>Essential Energy's</w:t>
      </w:r>
      <w:r w:rsidRPr="006E4316">
        <w:t xml:space="preserve"> opex forecast to an opex forecast we constructed </w:t>
      </w:r>
      <w:r w:rsidR="00484DAD">
        <w:t>using the method outlined above</w:t>
      </w:r>
      <w:r w:rsidRPr="006E4316">
        <w:t xml:space="preserve">. </w:t>
      </w:r>
      <w:r>
        <w:t>Essential Energy's</w:t>
      </w:r>
      <w:r w:rsidRPr="006E4316">
        <w:t xml:space="preserve"> proposal is higher than ours and we are satisfied that it does not reasonably reflect the opex criteria. For this reason, we have substituted </w:t>
      </w:r>
      <w:r>
        <w:t>Essential Energy's</w:t>
      </w:r>
      <w:r w:rsidRPr="006E4316">
        <w:t xml:space="preserve"> total opex forecast with our total opex forecast.</w:t>
      </w:r>
    </w:p>
    <w:p w:rsidR="006E4316" w:rsidRDefault="006E4316">
      <w:pPr>
        <w:numPr>
          <w:ilvl w:val="0"/>
          <w:numId w:val="24"/>
        </w:numPr>
      </w:pPr>
      <w:r w:rsidRPr="006E4316">
        <w:fldChar w:fldCharType="begin"/>
      </w:r>
      <w:r w:rsidRPr="006E4316">
        <w:instrText xml:space="preserve"> REF _Ref401668079 \h </w:instrText>
      </w:r>
      <w:r w:rsidRPr="006E4316">
        <w:fldChar w:fldCharType="separate"/>
      </w:r>
      <w:r w:rsidR="00C74791">
        <w:t xml:space="preserve">Figure </w:t>
      </w:r>
      <w:r w:rsidR="00C74791">
        <w:rPr>
          <w:noProof/>
        </w:rPr>
        <w:t>7</w:t>
      </w:r>
      <w:r w:rsidR="00C74791">
        <w:t>.</w:t>
      </w:r>
      <w:r w:rsidR="00C74791">
        <w:rPr>
          <w:noProof/>
        </w:rPr>
        <w:t>3</w:t>
      </w:r>
      <w:r w:rsidRPr="006E4316">
        <w:fldChar w:fldCharType="end"/>
      </w:r>
      <w:r w:rsidRPr="006E4316">
        <w:t xml:space="preserve"> illustrates how our forecast for the 2014–19 period has been constructed. he starting point on the left is what </w:t>
      </w:r>
      <w:r>
        <w:t>Essential Energy's</w:t>
      </w:r>
      <w:r w:rsidRPr="006E4316">
        <w:t xml:space="preserve"> opex would have been for the 2014–19 period if it was set based on </w:t>
      </w:r>
      <w:r>
        <w:t>Essential Energy's</w:t>
      </w:r>
      <w:r w:rsidRPr="006E4316">
        <w:t xml:space="preserve"> reported opex in 2012–13. We have set an opex forecast lower than this amount due to our assessment of </w:t>
      </w:r>
      <w:r>
        <w:t>Essential Energy's</w:t>
      </w:r>
      <w:r w:rsidRPr="006E4316">
        <w:t xml:space="preserve"> opex against the opex criteria (efficiency adjustment) as well as service classification changes. We have then added our forecast of output growth</w:t>
      </w:r>
      <w:r w:rsidR="007500E5">
        <w:t xml:space="preserve"> and </w:t>
      </w:r>
      <w:r w:rsidRPr="006E4316">
        <w:t>price growth to arrive at our total opex forecast for the 2014–19 period.</w:t>
      </w:r>
    </w:p>
    <w:p w:rsidR="006E4316" w:rsidRPr="006E4316" w:rsidRDefault="00A91FF1" w:rsidP="00A91FF1">
      <w:pPr>
        <w:pStyle w:val="Caption"/>
      </w:pPr>
      <w:bookmarkStart w:id="29" w:name="_Ref401668079"/>
      <w:r>
        <w:lastRenderedPageBreak/>
        <w:t xml:space="preserve">Figure </w:t>
      </w:r>
      <w:fldSimple w:instr=" STYLEREF 1 \s ">
        <w:r w:rsidR="00C74791">
          <w:rPr>
            <w:noProof/>
          </w:rPr>
          <w:t>7</w:t>
        </w:r>
      </w:fldSimple>
      <w:r>
        <w:t>.</w:t>
      </w:r>
      <w:fldSimple w:instr=" SEQ Figure \* ARABIC \s 1 ">
        <w:r w:rsidR="00C74791">
          <w:rPr>
            <w:noProof/>
          </w:rPr>
          <w:t>3</w:t>
        </w:r>
      </w:fldSimple>
      <w:bookmarkEnd w:id="29"/>
      <w:r w:rsidR="006E4316" w:rsidRPr="006E4316">
        <w:tab/>
        <w:t xml:space="preserve">Our final decision opex forecast </w:t>
      </w:r>
      <w:r w:rsidR="004B2265">
        <w:t>for the 2014–19 period</w:t>
      </w:r>
    </w:p>
    <w:p w:rsidR="006E4316" w:rsidRPr="006E4316" w:rsidRDefault="006E4316" w:rsidP="006E4316">
      <w:pPr>
        <w:pStyle w:val="AERbodytextnospace"/>
      </w:pPr>
      <w:r w:rsidRPr="006E4316">
        <w:t xml:space="preserve"> </w:t>
      </w:r>
      <w:r w:rsidR="00EF63F8" w:rsidRPr="00EF63F8">
        <w:rPr>
          <w:noProof/>
          <w:lang w:eastAsia="en-AU"/>
        </w:rPr>
        <w:drawing>
          <wp:inline distT="0" distB="0" distL="0" distR="0" wp14:anchorId="2A12B599" wp14:editId="2ACD8773">
            <wp:extent cx="4950373" cy="3731037"/>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1386" cy="3731801"/>
                    </a:xfrm>
                    <a:prstGeom prst="rect">
                      <a:avLst/>
                    </a:prstGeom>
                    <a:noFill/>
                    <a:ln>
                      <a:noFill/>
                    </a:ln>
                  </pic:spPr>
                </pic:pic>
              </a:graphicData>
            </a:graphic>
          </wp:inline>
        </w:drawing>
      </w:r>
    </w:p>
    <w:p w:rsidR="006E4316" w:rsidRDefault="006E4316" w:rsidP="006E4316">
      <w:pPr>
        <w:pStyle w:val="AERtablesource"/>
      </w:pPr>
      <w:r w:rsidRPr="006E4316">
        <w:t xml:space="preserve">Source: </w:t>
      </w:r>
      <w:r w:rsidRPr="006E4316">
        <w:tab/>
        <w:t>AER analysis.</w:t>
      </w:r>
    </w:p>
    <w:p w:rsidR="006E4316" w:rsidRPr="006E4316" w:rsidRDefault="006E4316" w:rsidP="005136CC">
      <w:pPr>
        <w:numPr>
          <w:ilvl w:val="0"/>
          <w:numId w:val="24"/>
        </w:numPr>
        <w:rPr>
          <w:rStyle w:val="AERbody"/>
        </w:rPr>
      </w:pPr>
      <w:r w:rsidRPr="006E4316">
        <w:fldChar w:fldCharType="begin"/>
      </w:r>
      <w:r w:rsidRPr="006E4316">
        <w:rPr>
          <w:rStyle w:val="AERbody"/>
        </w:rPr>
        <w:instrText xml:space="preserve"> REF _Ref401322687 \h </w:instrText>
      </w:r>
      <w:r w:rsidRPr="006E4316">
        <w:fldChar w:fldCharType="separate"/>
      </w:r>
      <w:r w:rsidR="00C74791" w:rsidRPr="006E4316">
        <w:t xml:space="preserve">Table </w:t>
      </w:r>
      <w:r w:rsidR="00C74791">
        <w:rPr>
          <w:noProof/>
        </w:rPr>
        <w:t>7</w:t>
      </w:r>
      <w:r w:rsidR="00C74791" w:rsidRPr="006E4316">
        <w:t>.</w:t>
      </w:r>
      <w:r w:rsidR="00C74791">
        <w:rPr>
          <w:noProof/>
        </w:rPr>
        <w:t>2</w:t>
      </w:r>
      <w:r w:rsidRPr="006E4316">
        <w:fldChar w:fldCharType="end"/>
      </w:r>
      <w:r w:rsidRPr="006E4316">
        <w:t xml:space="preserve"> </w:t>
      </w:r>
      <w:r w:rsidR="00D66FDC" w:rsidRPr="00D66FDC">
        <w:rPr>
          <w:rStyle w:val="AERbody"/>
        </w:rPr>
        <w:t>illustrates our forecast in each year of the 2014–19 period</w:t>
      </w:r>
      <w:r w:rsidRPr="006E4316">
        <w:rPr>
          <w:rStyle w:val="AERbody"/>
        </w:rPr>
        <w:t>.</w:t>
      </w:r>
    </w:p>
    <w:p w:rsidR="006E4316" w:rsidRPr="006E4316" w:rsidRDefault="006E4316" w:rsidP="006E4316">
      <w:pPr>
        <w:pStyle w:val="Caption"/>
      </w:pPr>
      <w:bookmarkStart w:id="30" w:name="_Ref401322687"/>
      <w:r w:rsidRPr="006E4316">
        <w:t xml:space="preserve">Table </w:t>
      </w:r>
      <w:fldSimple w:instr=" STYLEREF 1 \s ">
        <w:r w:rsidR="00C74791">
          <w:rPr>
            <w:noProof/>
          </w:rPr>
          <w:t>7</w:t>
        </w:r>
      </w:fldSimple>
      <w:r w:rsidRPr="006E4316">
        <w:t>.</w:t>
      </w:r>
      <w:fldSimple w:instr=" SEQ Table \* ARABIC \s 1 ">
        <w:r w:rsidR="00C74791">
          <w:rPr>
            <w:noProof/>
          </w:rPr>
          <w:t>2</w:t>
        </w:r>
      </w:fldSimple>
      <w:bookmarkEnd w:id="30"/>
      <w:r w:rsidRPr="006E4316">
        <w:tab/>
      </w:r>
      <w:r w:rsidR="00D66FDC" w:rsidRPr="00D66FDC">
        <w:t xml:space="preserve">Our final decision opex forecast </w:t>
      </w:r>
      <w:r w:rsidRPr="006E4316">
        <w:t>($ million, 2013–14)</w:t>
      </w:r>
    </w:p>
    <w:tbl>
      <w:tblPr>
        <w:tblStyle w:val="AERtable-numbers"/>
        <w:tblW w:w="0" w:type="auto"/>
        <w:tblLook w:val="04A0" w:firstRow="1" w:lastRow="0" w:firstColumn="1" w:lastColumn="0" w:noHBand="0" w:noVBand="1"/>
      </w:tblPr>
      <w:tblGrid>
        <w:gridCol w:w="2512"/>
        <w:gridCol w:w="1085"/>
        <w:gridCol w:w="1085"/>
        <w:gridCol w:w="1085"/>
        <w:gridCol w:w="1085"/>
        <w:gridCol w:w="1085"/>
        <w:gridCol w:w="756"/>
      </w:tblGrid>
      <w:tr w:rsidR="006E4316" w:rsidTr="004E6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2" w:type="dxa"/>
          </w:tcPr>
          <w:p w:rsidR="006E4316" w:rsidRPr="006E4316" w:rsidRDefault="006E4316" w:rsidP="006E4316"/>
        </w:tc>
        <w:tc>
          <w:tcPr>
            <w:tcW w:w="1085"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2014–15</w:t>
            </w:r>
          </w:p>
        </w:tc>
        <w:tc>
          <w:tcPr>
            <w:tcW w:w="1085"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2015–16</w:t>
            </w:r>
          </w:p>
        </w:tc>
        <w:tc>
          <w:tcPr>
            <w:tcW w:w="1085"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2016–17</w:t>
            </w:r>
          </w:p>
        </w:tc>
        <w:tc>
          <w:tcPr>
            <w:tcW w:w="1085"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2017–18</w:t>
            </w:r>
          </w:p>
        </w:tc>
        <w:tc>
          <w:tcPr>
            <w:tcW w:w="1085"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2018–19</w:t>
            </w:r>
          </w:p>
        </w:tc>
        <w:tc>
          <w:tcPr>
            <w:tcW w:w="756"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Total</w:t>
            </w:r>
          </w:p>
        </w:tc>
      </w:tr>
      <w:tr w:rsidR="00EF63F8" w:rsidTr="004E61CD">
        <w:trPr>
          <w:trHeight w:val="80"/>
        </w:trPr>
        <w:tc>
          <w:tcPr>
            <w:cnfStyle w:val="001000000000" w:firstRow="0" w:lastRow="0" w:firstColumn="1" w:lastColumn="0" w:oddVBand="0" w:evenVBand="0" w:oddHBand="0" w:evenHBand="0" w:firstRowFirstColumn="0" w:firstRowLastColumn="0" w:lastRowFirstColumn="0" w:lastRowLastColumn="0"/>
            <w:tcW w:w="2512" w:type="dxa"/>
          </w:tcPr>
          <w:p w:rsidR="00EF63F8" w:rsidRPr="00EF63F8" w:rsidRDefault="00EF63F8" w:rsidP="00EF63F8">
            <w:r w:rsidRPr="00EF63F8">
              <w:t>Base opex</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311.9</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311.9</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311.9</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311.9</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311.9</w:t>
            </w:r>
          </w:p>
        </w:tc>
        <w:tc>
          <w:tcPr>
            <w:tcW w:w="756"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1559.5</w:t>
            </w:r>
          </w:p>
        </w:tc>
      </w:tr>
      <w:tr w:rsidR="00EF63F8" w:rsidTr="004E61C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12" w:type="dxa"/>
          </w:tcPr>
          <w:p w:rsidR="00EF63F8" w:rsidRPr="00EF63F8" w:rsidRDefault="00EF63F8" w:rsidP="00EF63F8">
            <w:r w:rsidRPr="00EF63F8">
              <w:t>Output growth</w:t>
            </w:r>
          </w:p>
        </w:tc>
        <w:tc>
          <w:tcPr>
            <w:tcW w:w="1085"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1.9</w:t>
            </w:r>
          </w:p>
        </w:tc>
        <w:tc>
          <w:tcPr>
            <w:tcW w:w="1085"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3.2</w:t>
            </w:r>
          </w:p>
        </w:tc>
        <w:tc>
          <w:tcPr>
            <w:tcW w:w="1085"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4.4</w:t>
            </w:r>
          </w:p>
        </w:tc>
        <w:tc>
          <w:tcPr>
            <w:tcW w:w="1085"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5.6</w:t>
            </w:r>
          </w:p>
        </w:tc>
        <w:tc>
          <w:tcPr>
            <w:tcW w:w="1085"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7.1</w:t>
            </w:r>
          </w:p>
        </w:tc>
        <w:tc>
          <w:tcPr>
            <w:tcW w:w="756" w:type="dxa"/>
          </w:tcPr>
          <w:p w:rsidR="00EF63F8" w:rsidRPr="00EF63F8" w:rsidRDefault="00EF63F8" w:rsidP="00EF63F8">
            <w:pPr>
              <w:cnfStyle w:val="000000010000" w:firstRow="0" w:lastRow="0" w:firstColumn="0" w:lastColumn="0" w:oddVBand="0" w:evenVBand="0" w:oddHBand="0" w:evenHBand="1" w:firstRowFirstColumn="0" w:firstRowLastColumn="0" w:lastRowFirstColumn="0" w:lastRowLastColumn="0"/>
            </w:pPr>
            <w:r w:rsidRPr="00EF63F8">
              <w:t>22.1</w:t>
            </w:r>
          </w:p>
        </w:tc>
      </w:tr>
      <w:tr w:rsidR="00EF63F8" w:rsidTr="004E61CD">
        <w:trPr>
          <w:trHeight w:val="80"/>
        </w:trPr>
        <w:tc>
          <w:tcPr>
            <w:cnfStyle w:val="001000000000" w:firstRow="0" w:lastRow="0" w:firstColumn="1" w:lastColumn="0" w:oddVBand="0" w:evenVBand="0" w:oddHBand="0" w:evenHBand="0" w:firstRowFirstColumn="0" w:firstRowLastColumn="0" w:lastRowFirstColumn="0" w:lastRowLastColumn="0"/>
            <w:tcW w:w="2512" w:type="dxa"/>
          </w:tcPr>
          <w:p w:rsidR="00EF63F8" w:rsidRPr="00EF63F8" w:rsidRDefault="00EF63F8" w:rsidP="00EF63F8">
            <w:r w:rsidRPr="00EF63F8">
              <w:t>Price growth</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2.6</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4.6</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6.7</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8.9</w:t>
            </w:r>
          </w:p>
        </w:tc>
        <w:tc>
          <w:tcPr>
            <w:tcW w:w="1085"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11.1</w:t>
            </w:r>
          </w:p>
        </w:tc>
        <w:tc>
          <w:tcPr>
            <w:tcW w:w="756" w:type="dxa"/>
          </w:tcPr>
          <w:p w:rsidR="00EF63F8" w:rsidRPr="00EF63F8" w:rsidRDefault="00EF63F8" w:rsidP="00EF63F8">
            <w:pPr>
              <w:cnfStyle w:val="000000000000" w:firstRow="0" w:lastRow="0" w:firstColumn="0" w:lastColumn="0" w:oddVBand="0" w:evenVBand="0" w:oddHBand="0" w:evenHBand="0" w:firstRowFirstColumn="0" w:firstRowLastColumn="0" w:lastRowFirstColumn="0" w:lastRowLastColumn="0"/>
            </w:pPr>
            <w:r w:rsidRPr="00EF63F8">
              <w:t>33.8</w:t>
            </w:r>
          </w:p>
        </w:tc>
      </w:tr>
      <w:tr w:rsidR="00EF63F8" w:rsidTr="004E61C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12" w:type="dxa"/>
          </w:tcPr>
          <w:p w:rsidR="00EF63F8" w:rsidRPr="00165E00" w:rsidRDefault="00EF63F8" w:rsidP="00EF63F8">
            <w:pPr>
              <w:rPr>
                <w:rStyle w:val="Strong"/>
              </w:rPr>
            </w:pPr>
            <w:r w:rsidRPr="00165E00">
              <w:rPr>
                <w:rStyle w:val="Strong"/>
              </w:rPr>
              <w:t>Total opex forecast</w:t>
            </w:r>
          </w:p>
        </w:tc>
        <w:tc>
          <w:tcPr>
            <w:tcW w:w="1085" w:type="dxa"/>
          </w:tcPr>
          <w:p w:rsidR="00EF63F8" w:rsidRPr="00165E00" w:rsidRDefault="00EF63F8" w:rsidP="00EF63F8">
            <w:pPr>
              <w:cnfStyle w:val="000000010000" w:firstRow="0" w:lastRow="0" w:firstColumn="0" w:lastColumn="0" w:oddVBand="0" w:evenVBand="0" w:oddHBand="0" w:evenHBand="1" w:firstRowFirstColumn="0" w:firstRowLastColumn="0" w:lastRowFirstColumn="0" w:lastRowLastColumn="0"/>
              <w:rPr>
                <w:rStyle w:val="Strong"/>
              </w:rPr>
            </w:pPr>
            <w:r w:rsidRPr="00165E00">
              <w:rPr>
                <w:rStyle w:val="Strong"/>
              </w:rPr>
              <w:t>316.3</w:t>
            </w:r>
          </w:p>
        </w:tc>
        <w:tc>
          <w:tcPr>
            <w:tcW w:w="1085" w:type="dxa"/>
          </w:tcPr>
          <w:p w:rsidR="00EF63F8" w:rsidRPr="00165E00" w:rsidRDefault="00EF63F8" w:rsidP="00EF63F8">
            <w:pPr>
              <w:cnfStyle w:val="000000010000" w:firstRow="0" w:lastRow="0" w:firstColumn="0" w:lastColumn="0" w:oddVBand="0" w:evenVBand="0" w:oddHBand="0" w:evenHBand="1" w:firstRowFirstColumn="0" w:firstRowLastColumn="0" w:lastRowFirstColumn="0" w:lastRowLastColumn="0"/>
              <w:rPr>
                <w:rStyle w:val="Strong"/>
              </w:rPr>
            </w:pPr>
            <w:r w:rsidRPr="00165E00">
              <w:rPr>
                <w:rStyle w:val="Strong"/>
              </w:rPr>
              <w:t>319.6</w:t>
            </w:r>
          </w:p>
        </w:tc>
        <w:tc>
          <w:tcPr>
            <w:tcW w:w="1085" w:type="dxa"/>
          </w:tcPr>
          <w:p w:rsidR="00EF63F8" w:rsidRPr="00165E00" w:rsidRDefault="00EF63F8" w:rsidP="00EF63F8">
            <w:pPr>
              <w:cnfStyle w:val="000000010000" w:firstRow="0" w:lastRow="0" w:firstColumn="0" w:lastColumn="0" w:oddVBand="0" w:evenVBand="0" w:oddHBand="0" w:evenHBand="1" w:firstRowFirstColumn="0" w:firstRowLastColumn="0" w:lastRowFirstColumn="0" w:lastRowLastColumn="0"/>
              <w:rPr>
                <w:rStyle w:val="Strong"/>
              </w:rPr>
            </w:pPr>
            <w:r w:rsidRPr="00165E00">
              <w:rPr>
                <w:rStyle w:val="Strong"/>
              </w:rPr>
              <w:t>322.9</w:t>
            </w:r>
          </w:p>
        </w:tc>
        <w:tc>
          <w:tcPr>
            <w:tcW w:w="1085" w:type="dxa"/>
          </w:tcPr>
          <w:p w:rsidR="00EF63F8" w:rsidRPr="00165E00" w:rsidRDefault="00EF63F8" w:rsidP="00EF63F8">
            <w:pPr>
              <w:cnfStyle w:val="000000010000" w:firstRow="0" w:lastRow="0" w:firstColumn="0" w:lastColumn="0" w:oddVBand="0" w:evenVBand="0" w:oddHBand="0" w:evenHBand="1" w:firstRowFirstColumn="0" w:firstRowLastColumn="0" w:lastRowFirstColumn="0" w:lastRowLastColumn="0"/>
              <w:rPr>
                <w:rStyle w:val="Strong"/>
              </w:rPr>
            </w:pPr>
            <w:r w:rsidRPr="00165E00">
              <w:rPr>
                <w:rStyle w:val="Strong"/>
              </w:rPr>
              <w:t>326.4</w:t>
            </w:r>
          </w:p>
        </w:tc>
        <w:tc>
          <w:tcPr>
            <w:tcW w:w="1085" w:type="dxa"/>
          </w:tcPr>
          <w:p w:rsidR="00EF63F8" w:rsidRPr="00165E00" w:rsidRDefault="00EF63F8" w:rsidP="00EF63F8">
            <w:pPr>
              <w:cnfStyle w:val="000000010000" w:firstRow="0" w:lastRow="0" w:firstColumn="0" w:lastColumn="0" w:oddVBand="0" w:evenVBand="0" w:oddHBand="0" w:evenHBand="1" w:firstRowFirstColumn="0" w:firstRowLastColumn="0" w:lastRowFirstColumn="0" w:lastRowLastColumn="0"/>
              <w:rPr>
                <w:rStyle w:val="Strong"/>
              </w:rPr>
            </w:pPr>
            <w:r w:rsidRPr="00165E00">
              <w:rPr>
                <w:rStyle w:val="Strong"/>
              </w:rPr>
              <w:t>330.0</w:t>
            </w:r>
          </w:p>
        </w:tc>
        <w:tc>
          <w:tcPr>
            <w:tcW w:w="756" w:type="dxa"/>
          </w:tcPr>
          <w:p w:rsidR="00EF63F8" w:rsidRPr="00165E00" w:rsidRDefault="00EF63F8" w:rsidP="00EF63F8">
            <w:pPr>
              <w:cnfStyle w:val="000000010000" w:firstRow="0" w:lastRow="0" w:firstColumn="0" w:lastColumn="0" w:oddVBand="0" w:evenVBand="0" w:oddHBand="0" w:evenHBand="1" w:firstRowFirstColumn="0" w:firstRowLastColumn="0" w:lastRowFirstColumn="0" w:lastRowLastColumn="0"/>
              <w:rPr>
                <w:rStyle w:val="Strong"/>
              </w:rPr>
            </w:pPr>
            <w:r w:rsidRPr="00165E00">
              <w:rPr>
                <w:rStyle w:val="Strong"/>
              </w:rPr>
              <w:t>1615.3</w:t>
            </w:r>
          </w:p>
        </w:tc>
      </w:tr>
    </w:tbl>
    <w:p w:rsidR="006E4316" w:rsidRPr="006E4316" w:rsidRDefault="006E4316" w:rsidP="006E4316">
      <w:pPr>
        <w:pStyle w:val="AERtablesource"/>
      </w:pPr>
      <w:r w:rsidRPr="006E4316">
        <w:t>Source:</w:t>
      </w:r>
      <w:r w:rsidRPr="006E4316">
        <w:tab/>
        <w:t>AER analysis.</w:t>
      </w:r>
    </w:p>
    <w:p w:rsidR="006E4316" w:rsidRDefault="006E4316" w:rsidP="006E4316">
      <w:pPr>
        <w:pStyle w:val="AERtablesource"/>
      </w:pPr>
      <w:r w:rsidRPr="006E4316">
        <w:t>Note:</w:t>
      </w:r>
      <w:r w:rsidRPr="006E4316">
        <w:tab/>
        <w:t>Excludes debt raising costs</w:t>
      </w:r>
      <w:r w:rsidR="004B2265">
        <w:t xml:space="preserve">; </w:t>
      </w:r>
      <w:r w:rsidR="004B2265" w:rsidRPr="004B2265">
        <w:t>Numbers may not add due to rounding</w:t>
      </w:r>
      <w:r w:rsidR="004B2265">
        <w:t>.</w:t>
      </w:r>
    </w:p>
    <w:p w:rsidR="006E4316" w:rsidRDefault="00D66FDC" w:rsidP="005136CC">
      <w:pPr>
        <w:numPr>
          <w:ilvl w:val="0"/>
          <w:numId w:val="24"/>
        </w:numPr>
      </w:pPr>
      <w:r w:rsidRPr="00D66FDC">
        <w:t>A summary of the main steps of our assessment are outlined below</w:t>
      </w:r>
      <w:r w:rsidR="006E4316" w:rsidRPr="006E4316">
        <w:t>.</w:t>
      </w:r>
      <w:r w:rsidR="006E4316" w:rsidRPr="006E4316">
        <w:rPr>
          <w:rStyle w:val="FootnoteReference"/>
        </w:rPr>
        <w:footnoteReference w:id="37"/>
      </w:r>
    </w:p>
    <w:p w:rsidR="00C74791" w:rsidRDefault="00C74791" w:rsidP="005136CC">
      <w:pPr>
        <w:numPr>
          <w:ilvl w:val="0"/>
          <w:numId w:val="24"/>
        </w:numPr>
      </w:pPr>
    </w:p>
    <w:p w:rsidR="00DF0C71" w:rsidRDefault="00DF0C71" w:rsidP="00DF0C71">
      <w:pPr>
        <w:pStyle w:val="Heading3"/>
      </w:pPr>
      <w:bookmarkStart w:id="31" w:name="_Ref417644399"/>
      <w:bookmarkStart w:id="32" w:name="_Toc417719010"/>
      <w:bookmarkStart w:id="33" w:name="_Toc415754589"/>
      <w:r>
        <w:lastRenderedPageBreak/>
        <w:t>Forecasting method assessment</w:t>
      </w:r>
      <w:bookmarkEnd w:id="31"/>
      <w:bookmarkEnd w:id="32"/>
    </w:p>
    <w:p w:rsidR="00DF0C71" w:rsidRDefault="00DF0C71" w:rsidP="00DF0C71">
      <w:r>
        <w:t>As noted above, o</w:t>
      </w:r>
      <w:r w:rsidRPr="00194080">
        <w:t xml:space="preserve">ur estimate of total opex is unlikely to exactly match </w:t>
      </w:r>
      <w:r>
        <w:t>Essential Energy</w:t>
      </w:r>
      <w:r w:rsidRPr="00194080">
        <w:t xml:space="preserve">'s. Broadly, differences between the two forecasts can be explained by differences in the forecasting methods adopted and the inputs and assumptions used to apply the method. </w:t>
      </w:r>
      <w:r>
        <w:t>W</w:t>
      </w:r>
      <w:r w:rsidRPr="00194080">
        <w:t xml:space="preserve">e </w:t>
      </w:r>
      <w:r>
        <w:t xml:space="preserve">have </w:t>
      </w:r>
      <w:r w:rsidRPr="00194080">
        <w:t xml:space="preserve">reviewed </w:t>
      </w:r>
      <w:r>
        <w:t>Essential Energy</w:t>
      </w:r>
      <w:r w:rsidRPr="00194080">
        <w:t xml:space="preserve">'s forecast method to identify if and where </w:t>
      </w:r>
      <w:r>
        <w:t>Essential Energy</w:t>
      </w:r>
      <w:r w:rsidRPr="00194080">
        <w:t xml:space="preserve">'s forecasting method departed from the method set out in </w:t>
      </w:r>
      <w:r w:rsidR="00E27C23">
        <w:t>the Guideline.</w:t>
      </w:r>
      <w:r w:rsidRPr="00194080">
        <w:t xml:space="preserve"> Where </w:t>
      </w:r>
      <w:r>
        <w:t>Essential Energy's</w:t>
      </w:r>
      <w:r w:rsidRPr="00194080">
        <w:t xml:space="preserve"> forecasting method did depart from </w:t>
      </w:r>
      <w:r w:rsidR="00E27C23">
        <w:t>the Guideline</w:t>
      </w:r>
      <w:r w:rsidRPr="00194080">
        <w:t xml:space="preserve"> we considered whether this departure explained the difference between </w:t>
      </w:r>
      <w:r>
        <w:t>Essential Energy's</w:t>
      </w:r>
      <w:r w:rsidRPr="00194080">
        <w:t xml:space="preserve"> forecast of total opex and our own. We also considered whether adopting </w:t>
      </w:r>
      <w:r>
        <w:t>Essential Energy's</w:t>
      </w:r>
      <w:r w:rsidRPr="00194080">
        <w:t xml:space="preserve"> approach was required to produce an opex forecast that reasonably reflects the opex criteria, having regard to the opex factors.</w:t>
      </w:r>
    </w:p>
    <w:p w:rsidR="00DF0C71" w:rsidRDefault="00DF0C71" w:rsidP="00DF0C71">
      <w:r>
        <w:t>We provided reasons in our draft decision why adopting Essential Energy's forecasting method would not produce an opex forecast that better reflects the opex criteria.</w:t>
      </w:r>
      <w:r>
        <w:rPr>
          <w:rStyle w:val="FootnoteReference"/>
        </w:rPr>
        <w:footnoteReference w:id="38"/>
      </w:r>
      <w:r>
        <w:t xml:space="preserve"> However, Essential Energy adopted the same forecasting method to derive the opex forecast in its revised regulatory proposal. It did not address any of the concerns we raised with its forecasting method.</w:t>
      </w:r>
    </w:p>
    <w:p w:rsidR="00DF0C71" w:rsidRDefault="00DF0C71" w:rsidP="00DF0C71">
      <w:r>
        <w:t>For the reasons outlined in our draft decision, w</w:t>
      </w:r>
      <w:r w:rsidRPr="00263859">
        <w:t xml:space="preserve">e are not satisfied that </w:t>
      </w:r>
      <w:r>
        <w:t>Essential</w:t>
      </w:r>
      <w:r w:rsidRPr="00263859">
        <w:t xml:space="preserve"> Energy's forecasting method produces an opex forecast that reasonably reflects the opex criteria. </w:t>
      </w:r>
      <w:r>
        <w:t>For this final decision w</w:t>
      </w:r>
      <w:r w:rsidRPr="0068509C">
        <w:t>e have used our guideline forecasting method to derive our alternative estimate of opex as we did for our draft decision.</w:t>
      </w:r>
    </w:p>
    <w:p w:rsidR="006E4316" w:rsidRPr="006E4316" w:rsidRDefault="006E4316" w:rsidP="006E4316">
      <w:pPr>
        <w:pStyle w:val="Heading3"/>
      </w:pPr>
      <w:bookmarkStart w:id="34" w:name="_Toc417719011"/>
      <w:r w:rsidRPr="006E4316">
        <w:t>Base opex</w:t>
      </w:r>
      <w:bookmarkEnd w:id="33"/>
      <w:bookmarkEnd w:id="34"/>
    </w:p>
    <w:p w:rsidR="006E4316" w:rsidRPr="006E4316" w:rsidRDefault="006E4316" w:rsidP="005136CC">
      <w:pPr>
        <w:pStyle w:val="HeadingBoldItalic"/>
        <w:numPr>
          <w:ilvl w:val="0"/>
          <w:numId w:val="24"/>
        </w:numPr>
      </w:pPr>
      <w:r w:rsidRPr="006E4316">
        <w:t xml:space="preserve">Assessing Essential Energy's </w:t>
      </w:r>
      <w:r w:rsidR="00D66FDC">
        <w:t>base</w:t>
      </w:r>
      <w:r w:rsidRPr="006E4316">
        <w:t xml:space="preserve"> opex</w:t>
      </w:r>
    </w:p>
    <w:p w:rsidR="00D66FDC" w:rsidRPr="00D66FDC" w:rsidRDefault="00D66FDC" w:rsidP="005136CC">
      <w:pPr>
        <w:numPr>
          <w:ilvl w:val="0"/>
          <w:numId w:val="24"/>
        </w:numPr>
      </w:pPr>
      <w:r w:rsidRPr="00D66FDC">
        <w:t xml:space="preserve">We assessed </w:t>
      </w:r>
      <w:r>
        <w:t>Essential Energy's</w:t>
      </w:r>
      <w:r w:rsidRPr="00D66FDC">
        <w:t xml:space="preserve"> proposed base year of 2012–13. We tested </w:t>
      </w:r>
      <w:r>
        <w:t>Essential Energy's</w:t>
      </w:r>
      <w:r w:rsidRPr="00D66FDC">
        <w:t xml:space="preserve"> base opex in 2012–13 using overall benchmarking techniques. We then examined the drivers of the results of these benchmarking techniques by examining key components of opex. For </w:t>
      </w:r>
      <w:r>
        <w:t>Essential Energy</w:t>
      </w:r>
      <w:r w:rsidRPr="00D66FDC">
        <w:t xml:space="preserve">, we looked specifically at </w:t>
      </w:r>
      <w:r>
        <w:t>Essential Energy's</w:t>
      </w:r>
      <w:r w:rsidRPr="00D66FDC">
        <w:t xml:space="preserve"> labour and workforce practices and its vegetation management.  </w:t>
      </w:r>
    </w:p>
    <w:p w:rsidR="00D66FDC" w:rsidRPr="00D66FDC" w:rsidRDefault="00D66FDC" w:rsidP="005136CC">
      <w:pPr>
        <w:numPr>
          <w:ilvl w:val="0"/>
          <w:numId w:val="24"/>
        </w:numPr>
      </w:pPr>
      <w:r w:rsidRPr="00D66FDC">
        <w:t xml:space="preserve">The main techniques we used to test the efficiency of </w:t>
      </w:r>
      <w:r>
        <w:t>Essential Energy's</w:t>
      </w:r>
      <w:r w:rsidRPr="00D66FDC">
        <w:t xml:space="preserve"> base opex are outlined in </w:t>
      </w:r>
      <w:r w:rsidRPr="00D66FDC">
        <w:fldChar w:fldCharType="begin"/>
      </w:r>
      <w:r w:rsidRPr="00D66FDC">
        <w:instrText xml:space="preserve"> REF _Ref403135475 \h </w:instrText>
      </w:r>
      <w:r w:rsidRPr="00D66FDC">
        <w:fldChar w:fldCharType="separate"/>
      </w:r>
      <w:r w:rsidR="00C74791" w:rsidRPr="006E4316">
        <w:t xml:space="preserve">Table </w:t>
      </w:r>
      <w:r w:rsidR="00C74791">
        <w:rPr>
          <w:noProof/>
        </w:rPr>
        <w:t>7</w:t>
      </w:r>
      <w:r w:rsidR="00C74791" w:rsidRPr="006E4316">
        <w:t>.</w:t>
      </w:r>
      <w:r w:rsidR="00C74791">
        <w:rPr>
          <w:noProof/>
        </w:rPr>
        <w:t>3</w:t>
      </w:r>
      <w:r w:rsidRPr="00D66FDC">
        <w:fldChar w:fldCharType="end"/>
      </w:r>
      <w:r w:rsidRPr="00D66FDC">
        <w:t xml:space="preserve">. Our findings from our examination of </w:t>
      </w:r>
      <w:r>
        <w:t>Essential Energy's</w:t>
      </w:r>
      <w:r w:rsidRPr="00D66FDC">
        <w:t xml:space="preserve"> labour and workforce practices </w:t>
      </w:r>
      <w:r w:rsidR="009D3DCB">
        <w:t xml:space="preserve">and vegetation management expenditure </w:t>
      </w:r>
      <w:r w:rsidR="00484DAD">
        <w:t>support</w:t>
      </w:r>
      <w:r w:rsidRPr="00D66FDC">
        <w:t xml:space="preserve"> our overall benchmarking findings, which </w:t>
      </w:r>
      <w:r w:rsidR="00484DAD">
        <w:t>conclude</w:t>
      </w:r>
      <w:r w:rsidRPr="00D66FDC">
        <w:t xml:space="preserve"> that </w:t>
      </w:r>
      <w:r>
        <w:t>Essential Energy's</w:t>
      </w:r>
      <w:r w:rsidRPr="00D66FDC">
        <w:t xml:space="preserve"> actual base opex is materially inefficient. This is the same conclusion we reached in our draft decision. </w:t>
      </w:r>
    </w:p>
    <w:p w:rsidR="006E4316" w:rsidRPr="006E4316" w:rsidRDefault="00D66FDC" w:rsidP="005136CC">
      <w:pPr>
        <w:numPr>
          <w:ilvl w:val="0"/>
          <w:numId w:val="24"/>
        </w:numPr>
      </w:pPr>
      <w:r w:rsidRPr="00D66FDC">
        <w:t xml:space="preserve">The evidence put forward by </w:t>
      </w:r>
      <w:r>
        <w:t>Essential Energy</w:t>
      </w:r>
      <w:r w:rsidRPr="00D66FDC">
        <w:t xml:space="preserve"> in its revised proposal did not cause us to alter most of the findings in our draft decision. Therefore, without an efficiency </w:t>
      </w:r>
      <w:r w:rsidRPr="00D66FDC">
        <w:lastRenderedPageBreak/>
        <w:t xml:space="preserve">adjustment, we consider a forecast base opex based on </w:t>
      </w:r>
      <w:r>
        <w:t>Essential Energy's</w:t>
      </w:r>
      <w:r w:rsidRPr="00D66FDC">
        <w:t xml:space="preserve"> actual historical opex would not reasonably reflect the opex criteria.</w:t>
      </w:r>
    </w:p>
    <w:p w:rsidR="006E4316" w:rsidRPr="006E4316" w:rsidRDefault="006E4316" w:rsidP="006E4316">
      <w:pPr>
        <w:pStyle w:val="Caption"/>
      </w:pPr>
      <w:bookmarkStart w:id="35" w:name="_Ref403135475"/>
      <w:r w:rsidRPr="006E4316">
        <w:t xml:space="preserve">Table </w:t>
      </w:r>
      <w:fldSimple w:instr=" STYLEREF 1 \s ">
        <w:r w:rsidR="00C74791">
          <w:rPr>
            <w:noProof/>
          </w:rPr>
          <w:t>7</w:t>
        </w:r>
      </w:fldSimple>
      <w:r w:rsidRPr="006E4316">
        <w:t>.</w:t>
      </w:r>
      <w:fldSimple w:instr=" SEQ Table \* ARABIC \s 1 ">
        <w:r w:rsidR="00C74791">
          <w:rPr>
            <w:noProof/>
          </w:rPr>
          <w:t>3</w:t>
        </w:r>
      </w:fldSimple>
      <w:bookmarkEnd w:id="35"/>
      <w:r w:rsidRPr="006E4316">
        <w:tab/>
        <w:t xml:space="preserve">Assessment of Essential Energy's </w:t>
      </w:r>
      <w:r w:rsidR="007468AF">
        <w:t xml:space="preserve">base </w:t>
      </w:r>
      <w:r w:rsidRPr="006E4316">
        <w:t>opex</w:t>
      </w:r>
    </w:p>
    <w:tbl>
      <w:tblPr>
        <w:tblStyle w:val="AERtable-text0"/>
        <w:tblW w:w="8755" w:type="dxa"/>
        <w:tblLayout w:type="fixed"/>
        <w:tblLook w:val="04A0" w:firstRow="1" w:lastRow="0" w:firstColumn="1" w:lastColumn="0" w:noHBand="0" w:noVBand="1"/>
      </w:tblPr>
      <w:tblGrid>
        <w:gridCol w:w="1242"/>
        <w:gridCol w:w="3828"/>
        <w:gridCol w:w="3685"/>
      </w:tblGrid>
      <w:tr w:rsidR="006E4316" w:rsidRPr="00327764" w:rsidTr="00165E00">
        <w:trPr>
          <w:cnfStyle w:val="100000000000" w:firstRow="1" w:lastRow="0" w:firstColumn="0" w:lastColumn="0" w:oddVBand="0" w:evenVBand="0" w:oddHBand="0" w:evenHBand="0" w:firstRowFirstColumn="0" w:firstRowLastColumn="0" w:lastRowFirstColumn="0" w:lastRowLastColumn="0"/>
          <w:tblHeader/>
        </w:trPr>
        <w:tc>
          <w:tcPr>
            <w:tcW w:w="1242" w:type="dxa"/>
          </w:tcPr>
          <w:p w:rsidR="006E4316" w:rsidRPr="006E4316" w:rsidRDefault="006E4316" w:rsidP="006E4316">
            <w:r w:rsidRPr="006E4316">
              <w:t>Technique</w:t>
            </w:r>
          </w:p>
        </w:tc>
        <w:tc>
          <w:tcPr>
            <w:tcW w:w="3828" w:type="dxa"/>
          </w:tcPr>
          <w:p w:rsidR="006E4316" w:rsidRPr="006E4316" w:rsidRDefault="006E4316" w:rsidP="006E4316">
            <w:r w:rsidRPr="006E4316">
              <w:t>Description of technique</w:t>
            </w:r>
          </w:p>
        </w:tc>
        <w:tc>
          <w:tcPr>
            <w:tcW w:w="3685" w:type="dxa"/>
          </w:tcPr>
          <w:p w:rsidR="006E4316" w:rsidRPr="006E4316" w:rsidRDefault="006E4316" w:rsidP="006E4316">
            <w:r w:rsidRPr="006E4316">
              <w:t>Findings</w:t>
            </w:r>
          </w:p>
        </w:tc>
      </w:tr>
      <w:tr w:rsidR="00634B74" w:rsidRPr="00327764" w:rsidTr="006D59CE">
        <w:tc>
          <w:tcPr>
            <w:tcW w:w="1242" w:type="dxa"/>
          </w:tcPr>
          <w:p w:rsidR="00634B74" w:rsidRPr="00634B74" w:rsidRDefault="00634B74" w:rsidP="00634B74">
            <w:r w:rsidRPr="00327764">
              <w:t>Economic benchmarking</w:t>
            </w:r>
          </w:p>
        </w:tc>
        <w:tc>
          <w:tcPr>
            <w:tcW w:w="3828" w:type="dxa"/>
          </w:tcPr>
          <w:p w:rsidR="00634B74" w:rsidRPr="00634B74" w:rsidRDefault="00634B74" w:rsidP="00634B74">
            <w:r w:rsidRPr="00327764">
              <w:t>Economic benchmarking measures the efficiency of a service provider in the use of its inputs to produce outputs.</w:t>
            </w:r>
          </w:p>
          <w:p w:rsidR="00634B74" w:rsidRPr="00634B74" w:rsidRDefault="00634B74" w:rsidP="00634B74">
            <w:r w:rsidRPr="00327764">
              <w:t xml:space="preserve">The economic benchmarking techniques we used to test </w:t>
            </w:r>
            <w:r>
              <w:t>Essential Energy</w:t>
            </w:r>
            <w:r w:rsidRPr="00327764">
              <w:t xml:space="preserve">'s efficiency included Multilateral Total Factor Productivity, Multilateral Partial Factor Productivity and opex cost function modelling. We compared </w:t>
            </w:r>
            <w:r>
              <w:t>Essential Energy'</w:t>
            </w:r>
            <w:r w:rsidRPr="00327764">
              <w:t xml:space="preserve">s efficiency to other service providers in the NEM. </w:t>
            </w:r>
          </w:p>
        </w:tc>
        <w:tc>
          <w:tcPr>
            <w:tcW w:w="3685" w:type="dxa"/>
          </w:tcPr>
          <w:p w:rsidR="00634B74" w:rsidRPr="00634B74" w:rsidRDefault="00634B74" w:rsidP="00634B74">
            <w:r w:rsidRPr="00327764">
              <w:t xml:space="preserve">Despite differences in the techniques we used, all benchmarking techniques show </w:t>
            </w:r>
            <w:r>
              <w:t>Essential Energy</w:t>
            </w:r>
            <w:r w:rsidRPr="00327764">
              <w:t xml:space="preserve"> </w:t>
            </w:r>
            <w:r w:rsidRPr="00634B74">
              <w:t xml:space="preserve">does not perform as efficiently as most other service providers in the NEM. We consider that differences in </w:t>
            </w:r>
            <w:r>
              <w:t>Essential Energy</w:t>
            </w:r>
            <w:r w:rsidRPr="00634B74">
              <w:t xml:space="preserve">'s operating environment not captured in the benchmarking models do not adequately explain the different benchmarking results between </w:t>
            </w:r>
            <w:r>
              <w:t xml:space="preserve">Essential Energy </w:t>
            </w:r>
            <w:r w:rsidRPr="00634B74">
              <w:t>and other service providers.</w:t>
            </w:r>
          </w:p>
        </w:tc>
      </w:tr>
      <w:tr w:rsidR="006472D6" w:rsidRPr="00327764" w:rsidTr="006D59CE">
        <w:trPr>
          <w:cnfStyle w:val="000000010000" w:firstRow="0" w:lastRow="0" w:firstColumn="0" w:lastColumn="0" w:oddVBand="0" w:evenVBand="0" w:oddHBand="0" w:evenHBand="1" w:firstRowFirstColumn="0" w:firstRowLastColumn="0" w:lastRowFirstColumn="0" w:lastRowLastColumn="0"/>
        </w:trPr>
        <w:tc>
          <w:tcPr>
            <w:tcW w:w="1242" w:type="dxa"/>
          </w:tcPr>
          <w:p w:rsidR="006472D6" w:rsidRPr="006472D6" w:rsidRDefault="006472D6" w:rsidP="006472D6">
            <w:r w:rsidRPr="006472D6">
              <w:t>Review of labour and workforce practices</w:t>
            </w:r>
          </w:p>
        </w:tc>
        <w:tc>
          <w:tcPr>
            <w:tcW w:w="3828" w:type="dxa"/>
            <w:vAlign w:val="top"/>
          </w:tcPr>
          <w:p w:rsidR="006472D6" w:rsidRPr="006472D6" w:rsidRDefault="006472D6" w:rsidP="006472D6">
            <w:r w:rsidRPr="006472D6" w:rsidDel="00EC264B">
              <w:t>Labour costs represent a large proportion of all NSW service providers' opex. We engaged Deloitte Access</w:t>
            </w:r>
            <w:r w:rsidRPr="006472D6">
              <w:t xml:space="preserve"> Economics (Deloitte)</w:t>
            </w:r>
            <w:r w:rsidRPr="006472D6" w:rsidDel="00EC264B">
              <w:t xml:space="preserve"> to review the NSW service providers' labour and workforce practices</w:t>
            </w:r>
            <w:r w:rsidRPr="006472D6">
              <w:t>.</w:t>
            </w:r>
          </w:p>
        </w:tc>
        <w:tc>
          <w:tcPr>
            <w:tcW w:w="3685" w:type="dxa"/>
            <w:vAlign w:val="top"/>
          </w:tcPr>
          <w:p w:rsidR="006472D6" w:rsidRPr="006472D6" w:rsidRDefault="006472D6" w:rsidP="006472D6">
            <w:r w:rsidRPr="006472D6">
              <w:t xml:space="preserve">Deloitte found that because of labour and workforce management issues, </w:t>
            </w:r>
            <w:r>
              <w:t>Essential Energy's</w:t>
            </w:r>
            <w:r w:rsidRPr="006472D6">
              <w:t xml:space="preserve"> base year would not likely represent efficient costs.</w:t>
            </w:r>
          </w:p>
          <w:p w:rsidR="006472D6" w:rsidRPr="006472D6" w:rsidRDefault="006472D6" w:rsidP="006472D6">
            <w:r w:rsidRPr="006472D6">
              <w:t>Deloitte concludes that:</w:t>
            </w:r>
            <w:r w:rsidRPr="006472D6">
              <w:rPr>
                <w:rStyle w:val="FootnoteReference"/>
              </w:rPr>
              <w:footnoteReference w:id="39"/>
            </w:r>
          </w:p>
          <w:p w:rsidR="006472D6" w:rsidRPr="006472D6" w:rsidRDefault="006472D6" w:rsidP="006472D6">
            <w:pPr>
              <w:pStyle w:val="AERbulletlistfirststyle"/>
            </w:pPr>
            <w:r w:rsidRPr="006472D6">
              <w:t>the NSW service providers have high labour costs because they have too many employees. They all engaged permanent staff in preference to contractors over the 2009–14 period for transitory capex work. Now, due to EBA restrictions on redundancies, they have stranded labour</w:t>
            </w:r>
          </w:p>
          <w:p w:rsidR="006472D6" w:rsidRPr="006472D6" w:rsidRDefault="006472D6" w:rsidP="006472D6">
            <w:pPr>
              <w:pStyle w:val="AERbulletlistfirststyle"/>
            </w:pPr>
            <w:r w:rsidRPr="006472D6">
              <w:t>because the NSW service providers employ a high proportion of their employees through EBAs (more than 75 per cent) restrictive EBA clauses have a significant impact on workforce flexibility</w:t>
            </w:r>
          </w:p>
          <w:p w:rsidR="006472D6" w:rsidRPr="006472D6" w:rsidRDefault="006472D6" w:rsidP="006472D6">
            <w:pPr>
              <w:pStyle w:val="AERbulletlistfirststyle"/>
            </w:pPr>
            <w:r w:rsidRPr="006472D6">
              <w:t>the optimum level of outsourcing is likely to be higher than the level the NSW service providers outsourced at over the 2009–14 period; this is a key distinguishing factor from the Victorian service providers</w:t>
            </w:r>
          </w:p>
          <w:p w:rsidR="006472D6" w:rsidRPr="006472D6" w:rsidRDefault="006472D6" w:rsidP="006472D6">
            <w:pPr>
              <w:pStyle w:val="AERbulletlistfirststyle"/>
            </w:pPr>
            <w:r w:rsidRPr="006472D6">
              <w:t>while the NSW service provider</w:t>
            </w:r>
            <w:r w:rsidR="00F1013F">
              <w:t>s</w:t>
            </w:r>
            <w:r w:rsidRPr="006472D6">
              <w:t xml:space="preserve"> have been implementing efficiency improvements, many efficiencies have not been realised until after the 2012–13 base year.</w:t>
            </w:r>
          </w:p>
          <w:p w:rsidR="006472D6" w:rsidRPr="006472D6" w:rsidRDefault="000A0A1A" w:rsidP="006472D6">
            <w:r w:rsidRPr="000A0A1A">
              <w:t xml:space="preserve">Further, in response to submissions in its revised proposal about the adverse impact of the dispersed nature of its network on labour costs, Deloitte found that Essential Energy could potentially achieve significant cost savings by implementing a local service agent (LSA) model. Powercor achieved significant efficiencies from </w:t>
            </w:r>
            <w:r w:rsidR="009D3DCB" w:rsidRPr="000A0A1A">
              <w:lastRenderedPageBreak/>
              <w:t xml:space="preserve">implementing </w:t>
            </w:r>
            <w:r w:rsidR="009D3DCB">
              <w:t>an</w:t>
            </w:r>
            <w:r w:rsidRPr="000A0A1A">
              <w:t xml:space="preserve"> LSA model following privatisation.</w:t>
            </w:r>
            <w:r>
              <w:rPr>
                <w:rStyle w:val="FootnoteReference"/>
              </w:rPr>
              <w:footnoteReference w:id="40"/>
            </w:r>
            <w:r w:rsidRPr="000A0A1A">
              <w:t xml:space="preserve"> </w:t>
            </w:r>
          </w:p>
        </w:tc>
      </w:tr>
      <w:tr w:rsidR="009D3DCB" w:rsidRPr="00327764" w:rsidTr="006D59CE">
        <w:tc>
          <w:tcPr>
            <w:tcW w:w="1242" w:type="dxa"/>
          </w:tcPr>
          <w:p w:rsidR="009D3DCB" w:rsidRPr="006472D6" w:rsidRDefault="009D3DCB" w:rsidP="006472D6">
            <w:r>
              <w:lastRenderedPageBreak/>
              <w:t>Vegetation management</w:t>
            </w:r>
          </w:p>
        </w:tc>
        <w:tc>
          <w:tcPr>
            <w:tcW w:w="3828" w:type="dxa"/>
            <w:vAlign w:val="top"/>
          </w:tcPr>
          <w:p w:rsidR="00F43434" w:rsidRPr="00F43434" w:rsidRDefault="00F43434" w:rsidP="00F43434">
            <w:r w:rsidRPr="00F43434">
              <w:t>Essential Energy's vegetation management costs have increased significantly over the 2009–14 period. Category analysis showed Essential Energy has very high costs compared to most of its peers and Essential Energy’s regulatory proposal included a step down in vegetation management for the forecast period acknowledging that its 2009–14 practices required reform. Therefore, we decided to review Essential Energy’ vegetation management practices in detail.</w:t>
            </w:r>
          </w:p>
          <w:p w:rsidR="009D3DCB" w:rsidRPr="006472D6" w:rsidDel="00EC264B" w:rsidRDefault="009D3DCB" w:rsidP="00F43434"/>
        </w:tc>
        <w:tc>
          <w:tcPr>
            <w:tcW w:w="3685" w:type="dxa"/>
            <w:vAlign w:val="top"/>
          </w:tcPr>
          <w:p w:rsidR="009D3DCB" w:rsidRDefault="009D3DCB" w:rsidP="009D3DCB">
            <w:pPr>
              <w:numPr>
                <w:ilvl w:val="0"/>
                <w:numId w:val="24"/>
              </w:numPr>
            </w:pPr>
            <w:r w:rsidRPr="009D3DCB">
              <w:t>Our overall findings for vegetation management remain the same as those from our draft decision. That is, Essential Energy's own documentation, including a report it commissioned from Select Solutions, provide evidence that its vegetation management practices in the base year (2012–13) were inefficient.</w:t>
            </w:r>
            <w:r>
              <w:rPr>
                <w:rStyle w:val="FootnoteReference"/>
              </w:rPr>
              <w:footnoteReference w:id="41"/>
            </w:r>
            <w:r w:rsidRPr="009D3DCB">
              <w:t xml:space="preserve"> </w:t>
            </w:r>
          </w:p>
          <w:p w:rsidR="009D3DCB" w:rsidRPr="009D3DCB" w:rsidRDefault="009D3DCB" w:rsidP="009D3DCB">
            <w:pPr>
              <w:numPr>
                <w:ilvl w:val="0"/>
                <w:numId w:val="24"/>
              </w:numPr>
            </w:pPr>
            <w:r w:rsidRPr="009D3DCB">
              <w:t>Select Solutions' review found that Essential Energy must move to a "significantly more efficient" vegetation management model to reduce the impact of its expenditure on customer prices.</w:t>
            </w:r>
            <w:r>
              <w:rPr>
                <w:rStyle w:val="FootnoteReference"/>
              </w:rPr>
              <w:footnoteReference w:id="42"/>
            </w:r>
            <w:r w:rsidRPr="009D3DCB">
              <w:t xml:space="preserve"> Select Solutions found several causes of inefficiency, including:</w:t>
            </w:r>
          </w:p>
          <w:p w:rsidR="009D3DCB" w:rsidRPr="009D3DCB" w:rsidRDefault="009D3DCB" w:rsidP="009D3DCB">
            <w:pPr>
              <w:pStyle w:val="AERbulletlistfirststyle"/>
            </w:pPr>
            <w:r w:rsidRPr="009D3DCB">
              <w:t>attributing too much vegetation management effort to reactive spot clearing rather than proactive cyclic maintenance</w:t>
            </w:r>
          </w:p>
          <w:p w:rsidR="009D3DCB" w:rsidRPr="009D3DCB" w:rsidRDefault="009D3DCB" w:rsidP="009D3DCB">
            <w:pPr>
              <w:pStyle w:val="AERbulletlistfirststyle"/>
            </w:pPr>
            <w:r w:rsidRPr="009D3DCB">
              <w:t xml:space="preserve">primarily engaging contractors for cutting on a demonstrably less efficient hourly rate basis </w:t>
            </w:r>
          </w:p>
          <w:p w:rsidR="009D3DCB" w:rsidRPr="009D3DCB" w:rsidRDefault="009D3DCB" w:rsidP="009D3DCB">
            <w:pPr>
              <w:pStyle w:val="AERbulletlistfirststyle"/>
            </w:pPr>
            <w:r w:rsidRPr="009D3DCB">
              <w:t>less than optimal outsourcing.</w:t>
            </w:r>
          </w:p>
          <w:p w:rsidR="009D3DCB" w:rsidRPr="006472D6" w:rsidRDefault="009D3DCB">
            <w:r w:rsidRPr="009D3DCB">
              <w:t xml:space="preserve">We discuss our vegetation management findings in more detail in </w:t>
            </w:r>
            <w:r>
              <w:t>Appendix</w:t>
            </w:r>
            <w:r w:rsidRPr="009D3DCB">
              <w:t xml:space="preserve"> A.5.</w:t>
            </w:r>
          </w:p>
        </w:tc>
      </w:tr>
    </w:tbl>
    <w:p w:rsidR="006E4316" w:rsidRPr="006E4316" w:rsidRDefault="006E4316" w:rsidP="006E4316">
      <w:pPr>
        <w:pStyle w:val="AERtablesource"/>
      </w:pPr>
      <w:r w:rsidRPr="006E4316">
        <w:t xml:space="preserve">Source: </w:t>
      </w:r>
      <w:r w:rsidRPr="006E4316">
        <w:tab/>
        <w:t>AER analysis.</w:t>
      </w:r>
    </w:p>
    <w:p w:rsidR="006E4316" w:rsidRPr="006E4316" w:rsidRDefault="006E4316" w:rsidP="005136CC">
      <w:pPr>
        <w:pStyle w:val="HeadingBoldItalic"/>
        <w:numPr>
          <w:ilvl w:val="0"/>
          <w:numId w:val="24"/>
        </w:numPr>
      </w:pPr>
      <w:r w:rsidRPr="006E4316">
        <w:t>Arriving at an alternative estimate of base opex</w:t>
      </w:r>
    </w:p>
    <w:p w:rsidR="007468AF" w:rsidRPr="007468AF" w:rsidRDefault="007468AF" w:rsidP="005136CC">
      <w:pPr>
        <w:numPr>
          <w:ilvl w:val="0"/>
          <w:numId w:val="24"/>
        </w:numPr>
      </w:pPr>
      <w:bookmarkStart w:id="36" w:name="_Toc415754590"/>
      <w:r w:rsidRPr="007468AF">
        <w:t xml:space="preserve">We are unable to use </w:t>
      </w:r>
      <w:r>
        <w:t>Essential Energy's</w:t>
      </w:r>
      <w:r w:rsidRPr="007468AF">
        <w:t xml:space="preserve"> historical opex to prepare our alternative forecast of opex because basing our forecast on </w:t>
      </w:r>
      <w:r w:rsidR="00B355F9">
        <w:t>Essential Energy</w:t>
      </w:r>
      <w:r w:rsidRPr="007468AF">
        <w:t>'s historical opex would not result in a forecast opex that would reasonably reflect the opex criteria.</w:t>
      </w:r>
    </w:p>
    <w:p w:rsidR="007468AF" w:rsidRPr="007468AF" w:rsidRDefault="007468AF" w:rsidP="005136CC">
      <w:pPr>
        <w:numPr>
          <w:ilvl w:val="0"/>
          <w:numId w:val="24"/>
        </w:numPr>
      </w:pPr>
      <w:r w:rsidRPr="007468AF">
        <w:t xml:space="preserve">We therefore need to determine a starting point that would lead to a forecast opex that would reasonably reflect the opex criteria. </w:t>
      </w:r>
    </w:p>
    <w:p w:rsidR="00CB0CF2" w:rsidRPr="00CB0CF2" w:rsidRDefault="00CB0CF2" w:rsidP="00CB0CF2">
      <w:pPr>
        <w:pStyle w:val="ListParagraph"/>
        <w:numPr>
          <w:ilvl w:val="0"/>
          <w:numId w:val="24"/>
        </w:numPr>
      </w:pPr>
      <w:bookmarkStart w:id="37" w:name="_Ref415678567"/>
      <w:r w:rsidRPr="00CB0CF2">
        <w:t>We have used the results from our preferred benchmarking model</w:t>
      </w:r>
      <w:r w:rsidR="00506690">
        <w:t xml:space="preserve"> (Cobb Douglas SFA) to adjust</w:t>
      </w:r>
      <w:r w:rsidRPr="00CB0CF2">
        <w:t xml:space="preserve"> Essential Energy’s base opex to determine a starting point for our </w:t>
      </w:r>
      <w:r w:rsidRPr="00CB0CF2">
        <w:lastRenderedPageBreak/>
        <w:t>forecast of overall opex that would reasonably reflect the criteria.</w:t>
      </w:r>
      <w:r w:rsidRPr="00CB0CF2">
        <w:rPr>
          <w:rStyle w:val="FootnoteReference"/>
        </w:rPr>
        <w:footnoteReference w:id="43"/>
      </w:r>
      <w:r w:rsidRPr="00CB0CF2">
        <w:t xml:space="preserve">  </w:t>
      </w:r>
      <w:r w:rsidR="00225BC5" w:rsidRPr="00225BC5">
        <w:t>Our preferred benchmarking model measures the opex efficiency of all service providers in the NEM over the 2006 to 2013 period relative to a frontier service provider. The outputs in the model are customer numbers, line length and ratcheted maximum demand.</w:t>
      </w:r>
    </w:p>
    <w:p w:rsidR="00CB0CF2" w:rsidRDefault="00CB0CF2" w:rsidP="00CB0CF2">
      <w:pPr>
        <w:pStyle w:val="ListParagraph"/>
        <w:numPr>
          <w:ilvl w:val="0"/>
          <w:numId w:val="24"/>
        </w:numPr>
      </w:pPr>
      <w:r w:rsidRPr="00CB0CF2">
        <w:t>In doing this, we have not adjusted Essential Energy’s base opex relative to the efficiency of the frontier service provider. This is consistent with the preference in the Guideline to rely on revealed costs and only adjust base opex where it is materially inefficient.</w:t>
      </w:r>
    </w:p>
    <w:p w:rsidR="00CB0CF2" w:rsidRPr="00CB0CF2" w:rsidRDefault="00CB0CF2" w:rsidP="00CB0CF2">
      <w:pPr>
        <w:pStyle w:val="ListParagraph"/>
        <w:numPr>
          <w:ilvl w:val="0"/>
          <w:numId w:val="24"/>
        </w:numPr>
      </w:pPr>
      <w:r w:rsidRPr="00CB0CF2">
        <w:t>Instead, we have used a benchmark comparison point that is the lowest of the efficiency scores in the top quartile of possible scores. This is equivalent to the efficiency score for the business at the bottom of the upper third (top 33 per cent) of companies in the benchmark sample (represented by AusNet Services). We have done this because:</w:t>
      </w:r>
    </w:p>
    <w:p w:rsidR="00CB0CF2" w:rsidRPr="00CB0CF2" w:rsidRDefault="00CB0CF2" w:rsidP="00CB0CF2">
      <w:pPr>
        <w:pStyle w:val="AERbulletlistfirststyle"/>
      </w:pPr>
      <w:r w:rsidRPr="00CB0CF2">
        <w:t xml:space="preserve">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w:t>
      </w:r>
      <w:r w:rsidR="00225BC5">
        <w:t>material inefficiency</w:t>
      </w:r>
      <w:r w:rsidRPr="00CB0CF2">
        <w:t xml:space="preserve"> while still incorporating an appropriately wide margin for potential modelling and data errors for the purposes of forecasting</w:t>
      </w:r>
    </w:p>
    <w:p w:rsidR="00CB0CF2" w:rsidRPr="00CB0CF2" w:rsidRDefault="00CB0CF2" w:rsidP="00CB0CF2">
      <w:pPr>
        <w:pStyle w:val="AERbulletlistfirststyle"/>
      </w:pPr>
      <w:r w:rsidRPr="00CB0CF2">
        <w:t>given it is our first application of benchmarking, it is appropriate to adopt a cautious approach</w:t>
      </w:r>
    </w:p>
    <w:p w:rsidR="00CB0CF2" w:rsidRPr="00CB0CF2" w:rsidRDefault="00CB0CF2" w:rsidP="00CB0CF2">
      <w:pPr>
        <w:pStyle w:val="AERbulletlistfirststyle"/>
      </w:pPr>
      <w:r w:rsidRPr="00CB0CF2">
        <w:rPr>
          <w:rStyle w:val="AERbody"/>
        </w:rPr>
        <w:t xml:space="preserve">we consider this approach achieves the NEO and RPP because it is </w:t>
      </w:r>
      <w:r w:rsidRPr="00CB0CF2">
        <w:t>sufficiently conservative to avoid the risks associated with undercompensating the service provider but also promotes efficiency incentives.</w:t>
      </w:r>
    </w:p>
    <w:p w:rsidR="00CB0CF2" w:rsidRPr="00CB0CF2" w:rsidRDefault="00CB0CF2" w:rsidP="00CB0CF2">
      <w:pPr>
        <w:pStyle w:val="ListParagraph"/>
        <w:numPr>
          <w:ilvl w:val="0"/>
          <w:numId w:val="24"/>
        </w:numPr>
      </w:pPr>
      <w:r w:rsidRPr="00CB0CF2">
        <w:t>Our estimate of base opex is $311.9 million (</w:t>
      </w:r>
      <w:r w:rsidR="004D064A">
        <w:t>$</w:t>
      </w:r>
      <w:r w:rsidR="004D064A" w:rsidRPr="00CB0CF2">
        <w:t xml:space="preserve"> </w:t>
      </w:r>
      <w:r w:rsidRPr="00CB0CF2">
        <w:t>2013–14).</w:t>
      </w:r>
      <w:r>
        <w:fldChar w:fldCharType="begin"/>
      </w:r>
      <w:r>
        <w:instrText xml:space="preserve"> REF _Ref416769678 \h </w:instrText>
      </w:r>
      <w:r>
        <w:fldChar w:fldCharType="separate"/>
      </w:r>
      <w:r w:rsidR="00C74791" w:rsidRPr="007468AF">
        <w:t xml:space="preserve">Table </w:t>
      </w:r>
      <w:r w:rsidR="00C74791">
        <w:t>7.</w:t>
      </w:r>
      <w:r w:rsidR="00C74791">
        <w:rPr>
          <w:noProof/>
        </w:rPr>
        <w:t>4</w:t>
      </w:r>
      <w:r>
        <w:fldChar w:fldCharType="end"/>
      </w:r>
      <w:r w:rsidRPr="00CB0CF2">
        <w:t xml:space="preserve"> illustrates the steps we have undertaken to derive our estimate.</w:t>
      </w:r>
      <w:r>
        <w:t xml:space="preserve"> </w:t>
      </w:r>
      <w:r>
        <w:fldChar w:fldCharType="begin"/>
      </w:r>
      <w:r>
        <w:instrText xml:space="preserve"> REF _Ref416769678 \h </w:instrText>
      </w:r>
      <w:r>
        <w:fldChar w:fldCharType="separate"/>
      </w:r>
      <w:r w:rsidR="00C74791" w:rsidRPr="007468AF">
        <w:t xml:space="preserve">Table </w:t>
      </w:r>
      <w:r w:rsidR="00C74791">
        <w:t>7.</w:t>
      </w:r>
      <w:r w:rsidR="00C74791">
        <w:rPr>
          <w:noProof/>
        </w:rPr>
        <w:t>4</w:t>
      </w:r>
      <w:r>
        <w:fldChar w:fldCharType="end"/>
      </w:r>
      <w:r w:rsidRPr="00CB0CF2">
        <w:t xml:space="preserve"> shows that we start </w:t>
      </w:r>
      <w:r w:rsidR="00857EC6">
        <w:t xml:space="preserve">with </w:t>
      </w:r>
      <w:r w:rsidRPr="00CB0CF2">
        <w:t>average opex</w:t>
      </w:r>
      <w:r w:rsidR="00CE1FA4">
        <w:t xml:space="preserve"> in the 2006 to 2013 period</w:t>
      </w:r>
      <w:r w:rsidRPr="00CB0CF2">
        <w:t>. This is</w:t>
      </w:r>
      <w:r w:rsidR="00225BC5">
        <w:t xml:space="preserve"> because our preferred benchmarking model</w:t>
      </w:r>
      <w:r w:rsidRPr="00CB0CF2">
        <w:t xml:space="preserve"> compare</w:t>
      </w:r>
      <w:r w:rsidR="00225BC5">
        <w:t>s</w:t>
      </w:r>
      <w:r w:rsidRPr="00CB0CF2">
        <w:t xml:space="preserve"> average efficiency over the sample period.</w:t>
      </w:r>
    </w:p>
    <w:p w:rsidR="00CB0CF2" w:rsidRPr="00CB0CF2" w:rsidRDefault="00CB0CF2" w:rsidP="00CB0CF2">
      <w:pPr>
        <w:pStyle w:val="ListParagraph"/>
        <w:numPr>
          <w:ilvl w:val="0"/>
          <w:numId w:val="24"/>
        </w:numPr>
      </w:pPr>
      <w:r w:rsidRPr="00CB0CF2">
        <w:t xml:space="preserve">A key reason we use average period efficiency scores is because </w:t>
      </w:r>
      <w:r w:rsidR="00225BC5">
        <w:t>it</w:t>
      </w:r>
      <w:r w:rsidRPr="00CB0CF2">
        <w:t xml:space="preserve"> reduce</w:t>
      </w:r>
      <w:r w:rsidR="00225BC5">
        <w:t>s</w:t>
      </w:r>
      <w:r w:rsidRPr="00CB0CF2">
        <w:t xml:space="preserve"> the impact of year–specific fluctuations not under the control of the service provider (such as weather conditions). Average efficiency results also provide us with an estimate of underlying recurrent expenditure not influenced by year on year changes, which we require for the Guideline approach to estimating total forecast opex.</w:t>
      </w:r>
      <w:r w:rsidRPr="00CB0CF2">
        <w:rPr>
          <w:rStyle w:val="FootnoteReference"/>
        </w:rPr>
        <w:footnoteReference w:id="44"/>
      </w:r>
    </w:p>
    <w:p w:rsidR="001B3260" w:rsidRDefault="007468AF" w:rsidP="00C74791">
      <w:r w:rsidRPr="007468AF">
        <w:t xml:space="preserve">Our detailed assessment of base opex is outlined in appendix </w:t>
      </w:r>
      <w:r w:rsidR="00C72173">
        <w:t>A</w:t>
      </w:r>
      <w:r w:rsidRPr="007468AF">
        <w:t xml:space="preserve"> to this attachment.</w:t>
      </w:r>
      <w:r w:rsidR="001B3260">
        <w:br w:type="page"/>
      </w:r>
    </w:p>
    <w:p w:rsidR="007468AF" w:rsidRPr="007468AF" w:rsidRDefault="007468AF" w:rsidP="007468AF">
      <w:pPr>
        <w:pStyle w:val="Caption"/>
      </w:pPr>
      <w:bookmarkStart w:id="38" w:name="_Ref416769678"/>
      <w:r w:rsidRPr="007468AF">
        <w:lastRenderedPageBreak/>
        <w:t xml:space="preserve">Table </w:t>
      </w:r>
      <w:r w:rsidR="00165E00">
        <w:t>7.</w:t>
      </w:r>
      <w:fldSimple w:instr=" SEQ Table \* ARABIC ">
        <w:r w:rsidR="00C74791">
          <w:rPr>
            <w:noProof/>
          </w:rPr>
          <w:t>4</w:t>
        </w:r>
      </w:fldSimple>
      <w:bookmarkEnd w:id="38"/>
      <w:r w:rsidRPr="007468AF">
        <w:tab/>
        <w:t>Arriving at our alternative estimate of base opex</w:t>
      </w:r>
    </w:p>
    <w:tbl>
      <w:tblPr>
        <w:tblStyle w:val="AERtable-text0"/>
        <w:tblW w:w="0" w:type="auto"/>
        <w:tblLayout w:type="fixed"/>
        <w:tblLook w:val="04A0" w:firstRow="1" w:lastRow="0" w:firstColumn="1" w:lastColumn="0" w:noHBand="0" w:noVBand="1"/>
      </w:tblPr>
      <w:tblGrid>
        <w:gridCol w:w="1852"/>
        <w:gridCol w:w="3501"/>
        <w:gridCol w:w="1559"/>
        <w:gridCol w:w="1781"/>
      </w:tblGrid>
      <w:tr w:rsidR="007468AF" w:rsidTr="00165E00">
        <w:trPr>
          <w:cnfStyle w:val="100000000000" w:firstRow="1" w:lastRow="0" w:firstColumn="0" w:lastColumn="0" w:oddVBand="0" w:evenVBand="0" w:oddHBand="0" w:evenHBand="0" w:firstRowFirstColumn="0" w:firstRowLastColumn="0" w:lastRowFirstColumn="0" w:lastRowLastColumn="0"/>
          <w:tblHeader/>
        </w:trPr>
        <w:tc>
          <w:tcPr>
            <w:tcW w:w="1852" w:type="dxa"/>
          </w:tcPr>
          <w:p w:rsidR="007468AF" w:rsidRPr="007468AF" w:rsidRDefault="007468AF" w:rsidP="007468AF"/>
        </w:tc>
        <w:tc>
          <w:tcPr>
            <w:tcW w:w="3501" w:type="dxa"/>
          </w:tcPr>
          <w:p w:rsidR="007468AF" w:rsidRPr="007468AF" w:rsidRDefault="007468AF" w:rsidP="007468AF">
            <w:r w:rsidRPr="007468AF">
              <w:t>Description</w:t>
            </w:r>
          </w:p>
        </w:tc>
        <w:tc>
          <w:tcPr>
            <w:tcW w:w="1559" w:type="dxa"/>
          </w:tcPr>
          <w:p w:rsidR="007468AF" w:rsidRPr="007468AF" w:rsidRDefault="007468AF" w:rsidP="007468AF">
            <w:r w:rsidRPr="007468AF">
              <w:t>Output</w:t>
            </w:r>
          </w:p>
        </w:tc>
        <w:tc>
          <w:tcPr>
            <w:tcW w:w="1781" w:type="dxa"/>
          </w:tcPr>
          <w:p w:rsidR="007468AF" w:rsidRPr="007468AF" w:rsidRDefault="007468AF" w:rsidP="007468AF">
            <w:r w:rsidRPr="007468AF">
              <w:t>Calculation</w:t>
            </w:r>
          </w:p>
        </w:tc>
      </w:tr>
      <w:tr w:rsidR="007468AF" w:rsidTr="00165E00">
        <w:tc>
          <w:tcPr>
            <w:tcW w:w="1852" w:type="dxa"/>
          </w:tcPr>
          <w:p w:rsidR="007468AF" w:rsidRPr="007468AF" w:rsidRDefault="007468AF" w:rsidP="007468AF">
            <w:r w:rsidRPr="007468AF">
              <w:t xml:space="preserve">Step 1 – Start with </w:t>
            </w:r>
            <w:r w:rsidR="00584C69">
              <w:t>Essential Energy</w:t>
            </w:r>
            <w:r w:rsidRPr="007468AF">
              <w:t>'s average opex over the 2006 to 2013 period</w:t>
            </w:r>
          </w:p>
        </w:tc>
        <w:tc>
          <w:tcPr>
            <w:tcW w:w="3501" w:type="dxa"/>
          </w:tcPr>
          <w:p w:rsidR="007468AF" w:rsidRPr="007468AF" w:rsidRDefault="00584C69" w:rsidP="007468AF">
            <w:r>
              <w:t>Essential Energy</w:t>
            </w:r>
            <w:r w:rsidR="007468AF" w:rsidRPr="007468AF">
              <w:t>'s network services opex was, on average,</w:t>
            </w:r>
            <w:r w:rsidR="007468AF">
              <w:t xml:space="preserve"> $352.5</w:t>
            </w:r>
            <w:r w:rsidR="007468AF" w:rsidRPr="007468AF">
              <w:t xml:space="preserve"> million ($2013) over the 2006 to 2013 period.</w:t>
            </w:r>
          </w:p>
        </w:tc>
        <w:tc>
          <w:tcPr>
            <w:tcW w:w="1559" w:type="dxa"/>
          </w:tcPr>
          <w:p w:rsidR="007468AF" w:rsidRPr="007468AF" w:rsidRDefault="007468AF" w:rsidP="007468AF">
            <w:r>
              <w:t>$352.5</w:t>
            </w:r>
            <w:r w:rsidRPr="007468AF">
              <w:t xml:space="preserve"> million ($2013)</w:t>
            </w:r>
          </w:p>
        </w:tc>
        <w:tc>
          <w:tcPr>
            <w:tcW w:w="1781" w:type="dxa"/>
          </w:tcPr>
          <w:p w:rsidR="007468AF" w:rsidRPr="007468AF" w:rsidRDefault="007468AF" w:rsidP="007468AF">
            <w:pPr>
              <w:rPr>
                <w:rStyle w:val="AERtexthighlight"/>
              </w:rPr>
            </w:pPr>
          </w:p>
        </w:tc>
      </w:tr>
      <w:tr w:rsidR="007468AF" w:rsidTr="00165E00">
        <w:trPr>
          <w:cnfStyle w:val="000000010000" w:firstRow="0" w:lastRow="0" w:firstColumn="0" w:lastColumn="0" w:oddVBand="0" w:evenVBand="0" w:oddHBand="0" w:evenHBand="1" w:firstRowFirstColumn="0" w:firstRowLastColumn="0" w:lastRowFirstColumn="0" w:lastRowLastColumn="0"/>
        </w:trPr>
        <w:tc>
          <w:tcPr>
            <w:tcW w:w="1852" w:type="dxa"/>
          </w:tcPr>
          <w:p w:rsidR="007468AF" w:rsidRPr="007468AF" w:rsidRDefault="007468AF" w:rsidP="007468AF">
            <w:r w:rsidRPr="007468AF">
              <w:t>Step 2 —Calculate the raw efficiency scores using our preferred economic benchmarking model</w:t>
            </w:r>
          </w:p>
        </w:tc>
        <w:tc>
          <w:tcPr>
            <w:tcW w:w="3501" w:type="dxa"/>
          </w:tcPr>
          <w:p w:rsidR="007468AF" w:rsidRPr="007468AF" w:rsidRDefault="007468AF" w:rsidP="007468AF">
            <w:r w:rsidRPr="007468AF">
              <w:t xml:space="preserve">Our preferred economic benchmarking model is Economic Insights’ Cobb Douglas SFA model. We use it to determine all service providers' raw efficiency scores. </w:t>
            </w:r>
          </w:p>
          <w:p w:rsidR="007468AF" w:rsidRPr="007468AF" w:rsidRDefault="007468AF" w:rsidP="00584C69">
            <w:r w:rsidRPr="007468AF">
              <w:t xml:space="preserve">Based on </w:t>
            </w:r>
            <w:r w:rsidR="00584C69">
              <w:t>Essential Energy's</w:t>
            </w:r>
            <w:r w:rsidRPr="007468AF">
              <w:t xml:space="preserve"> customer numbers, line length, and ratcheted maximum demand over the 2</w:t>
            </w:r>
            <w:r w:rsidR="009E1FEF">
              <w:t>006 to 2013 period,</w:t>
            </w:r>
            <w:r w:rsidRPr="007468AF">
              <w:t xml:space="preserve"> </w:t>
            </w:r>
            <w:r w:rsidR="00584C69">
              <w:t>Essential Energy</w:t>
            </w:r>
            <w:r>
              <w:t>'s raw efficiency score is 54</w:t>
            </w:r>
            <w:r w:rsidRPr="007468AF">
              <w:t>.9 per cent.</w:t>
            </w:r>
          </w:p>
        </w:tc>
        <w:tc>
          <w:tcPr>
            <w:tcW w:w="1559" w:type="dxa"/>
          </w:tcPr>
          <w:p w:rsidR="007468AF" w:rsidRPr="007468AF" w:rsidRDefault="007468AF" w:rsidP="007468AF">
            <w:r>
              <w:t>54</w:t>
            </w:r>
            <w:r w:rsidRPr="007468AF">
              <w:t>.9 per cent</w:t>
            </w:r>
            <w:r w:rsidRPr="007468AF">
              <w:rPr>
                <w:rStyle w:val="FootnoteReference"/>
              </w:rPr>
              <w:footnoteReference w:id="45"/>
            </w:r>
          </w:p>
        </w:tc>
        <w:tc>
          <w:tcPr>
            <w:tcW w:w="1781" w:type="dxa"/>
          </w:tcPr>
          <w:p w:rsidR="007468AF" w:rsidRPr="007468AF" w:rsidRDefault="007468AF" w:rsidP="00FD3771">
            <w:pPr>
              <w:rPr>
                <w:rStyle w:val="AERtexthighlight"/>
              </w:rPr>
            </w:pPr>
          </w:p>
        </w:tc>
      </w:tr>
      <w:tr w:rsidR="007468AF" w:rsidTr="00165E00">
        <w:tc>
          <w:tcPr>
            <w:tcW w:w="1852" w:type="dxa"/>
          </w:tcPr>
          <w:p w:rsidR="007468AF" w:rsidRPr="007468AF" w:rsidRDefault="007468AF" w:rsidP="007468AF">
            <w:r w:rsidRPr="007468AF">
              <w:t>Step 3—Choose the comparison point</w:t>
            </w:r>
          </w:p>
        </w:tc>
        <w:tc>
          <w:tcPr>
            <w:tcW w:w="3501" w:type="dxa"/>
          </w:tcPr>
          <w:p w:rsidR="007468AF" w:rsidRPr="007468AF" w:rsidRDefault="007468AF" w:rsidP="007468AF">
            <w:r w:rsidRPr="007468AF">
              <w:t xml:space="preserve">For the purposes of determining our alternative estimate of base opex, we did not base our estimate on the efficient opex estimated by the model. </w:t>
            </w:r>
          </w:p>
          <w:p w:rsidR="007468AF" w:rsidRPr="007468AF" w:rsidRDefault="007468AF" w:rsidP="00584C69">
            <w:r w:rsidRPr="007468AF">
              <w:t>The comparison point we used was the lowest performing service provider in the top quartile</w:t>
            </w:r>
            <w:r w:rsidR="006C2F61">
              <w:t xml:space="preserve"> of possible scores</w:t>
            </w:r>
            <w:r w:rsidRPr="007468AF">
              <w:t>, AusNet Services. According to this model AusNet Services</w:t>
            </w:r>
            <w:r w:rsidR="009E1FEF">
              <w:t>'</w:t>
            </w:r>
            <w:r w:rsidRPr="007468AF">
              <w:t xml:space="preserve"> opex is 76.8 per cent efficient based on its performance over the 2006 to 2013 period. Therefore to determine our substitute base we have assumed a prudent and efficient </w:t>
            </w:r>
            <w:r w:rsidR="00584C69">
              <w:t>Essential Energy</w:t>
            </w:r>
            <w:r w:rsidRPr="007468AF">
              <w:t xml:space="preserve"> would be operating at an equivalent level of efficiency to AusNet Services.</w:t>
            </w:r>
          </w:p>
        </w:tc>
        <w:tc>
          <w:tcPr>
            <w:tcW w:w="1559" w:type="dxa"/>
          </w:tcPr>
          <w:p w:rsidR="007468AF" w:rsidRPr="007468AF" w:rsidRDefault="007468AF" w:rsidP="007468AF">
            <w:r w:rsidRPr="007468AF">
              <w:t>76.8 per cent</w:t>
            </w:r>
            <w:r w:rsidR="00456020">
              <w:rPr>
                <w:rStyle w:val="FootnoteReference"/>
              </w:rPr>
              <w:footnoteReference w:id="46"/>
            </w:r>
          </w:p>
        </w:tc>
        <w:tc>
          <w:tcPr>
            <w:tcW w:w="1781" w:type="dxa"/>
          </w:tcPr>
          <w:p w:rsidR="007468AF" w:rsidRPr="007468AF" w:rsidRDefault="007468AF" w:rsidP="00FD3771">
            <w:pPr>
              <w:rPr>
                <w:rStyle w:val="AERtexthighlight"/>
              </w:rPr>
            </w:pPr>
          </w:p>
        </w:tc>
      </w:tr>
      <w:tr w:rsidR="007468AF" w:rsidTr="00165E00">
        <w:trPr>
          <w:cnfStyle w:val="000000010000" w:firstRow="0" w:lastRow="0" w:firstColumn="0" w:lastColumn="0" w:oddVBand="0" w:evenVBand="0" w:oddHBand="0" w:evenHBand="1" w:firstRowFirstColumn="0" w:firstRowLastColumn="0" w:lastRowFirstColumn="0" w:lastRowLastColumn="0"/>
        </w:trPr>
        <w:tc>
          <w:tcPr>
            <w:tcW w:w="1852" w:type="dxa"/>
          </w:tcPr>
          <w:p w:rsidR="007468AF" w:rsidRPr="007468AF" w:rsidRDefault="007468AF" w:rsidP="007468AF">
            <w:r w:rsidRPr="007468AF">
              <w:t xml:space="preserve">Step 3— Adjust </w:t>
            </w:r>
            <w:r w:rsidR="00584C69">
              <w:t>Essential Energy</w:t>
            </w:r>
            <w:r w:rsidRPr="007468AF">
              <w:t>'s raw efficiency score for operating environment factors</w:t>
            </w:r>
          </w:p>
        </w:tc>
        <w:tc>
          <w:tcPr>
            <w:tcW w:w="3501" w:type="dxa"/>
          </w:tcPr>
          <w:p w:rsidR="007468AF" w:rsidRPr="007468AF" w:rsidRDefault="007468AF" w:rsidP="007468AF">
            <w:r w:rsidRPr="007468AF">
              <w:t xml:space="preserve">The economic benchmarking model does not capture all operating environment factors likely to affect opex incurred by a prudent and efficient </w:t>
            </w:r>
            <w:r w:rsidR="00584C69">
              <w:t>Essential Energy</w:t>
            </w:r>
            <w:r w:rsidRPr="007468AF">
              <w:t xml:space="preserve">. </w:t>
            </w:r>
          </w:p>
          <w:p w:rsidR="007468AF" w:rsidRPr="007468AF" w:rsidRDefault="007468AF" w:rsidP="007468AF">
            <w:r w:rsidRPr="007468AF">
              <w:t xml:space="preserve">We have estimated the effect of these factors and made a further </w:t>
            </w:r>
            <w:r w:rsidR="003443BD">
              <w:t>reduction</w:t>
            </w:r>
            <w:r w:rsidR="003443BD" w:rsidRPr="007468AF">
              <w:t xml:space="preserve"> </w:t>
            </w:r>
            <w:r w:rsidRPr="007468AF">
              <w:t xml:space="preserve">to our estimate where required. We have determined a </w:t>
            </w:r>
            <w:r>
              <w:t>10.</w:t>
            </w:r>
            <w:r w:rsidR="00F92E4F">
              <w:t>7</w:t>
            </w:r>
            <w:r w:rsidRPr="007468AF">
              <w:t xml:space="preserve"> per cent </w:t>
            </w:r>
            <w:r w:rsidR="003443BD">
              <w:t>reduction</w:t>
            </w:r>
            <w:r w:rsidR="003443BD" w:rsidRPr="007468AF">
              <w:t xml:space="preserve"> </w:t>
            </w:r>
            <w:r w:rsidRPr="007468AF">
              <w:t xml:space="preserve">to </w:t>
            </w:r>
            <w:r w:rsidR="00584C69">
              <w:t>Essential Energy</w:t>
            </w:r>
            <w:r w:rsidRPr="007468AF">
              <w:t xml:space="preserve">'s </w:t>
            </w:r>
            <w:r w:rsidR="003443BD">
              <w:t>comparison point</w:t>
            </w:r>
            <w:r w:rsidRPr="007468AF">
              <w:t xml:space="preserve"> based on our assessment of these factors. </w:t>
            </w:r>
          </w:p>
          <w:p w:rsidR="007468AF" w:rsidRPr="007468AF" w:rsidRDefault="00282FE6" w:rsidP="00F576D7">
            <w:r>
              <w:t>A m</w:t>
            </w:r>
            <w:r w:rsidR="007468AF" w:rsidRPr="007468AF">
              <w:t>ateri</w:t>
            </w:r>
            <w:r w:rsidR="00F576D7">
              <w:t>al operating environment factor</w:t>
            </w:r>
            <w:r w:rsidR="007468AF" w:rsidRPr="007468AF">
              <w:t xml:space="preserve"> we considered w</w:t>
            </w:r>
            <w:r w:rsidR="00F576D7">
              <w:t>as</w:t>
            </w:r>
            <w:r w:rsidR="007468AF" w:rsidRPr="007468AF">
              <w:t xml:space="preserve"> not accounted for in the model </w:t>
            </w:r>
            <w:r w:rsidR="00F576D7">
              <w:t xml:space="preserve">is the </w:t>
            </w:r>
            <w:r>
              <w:t>d</w:t>
            </w:r>
            <w:r w:rsidRPr="00BE4D61">
              <w:t>ifferen</w:t>
            </w:r>
            <w:r w:rsidR="00F576D7">
              <w:t xml:space="preserve">t </w:t>
            </w:r>
            <w:r w:rsidRPr="00BE4D61">
              <w:t>subtransmission configurations</w:t>
            </w:r>
            <w:r w:rsidR="00F576D7">
              <w:t xml:space="preserve"> in NSW.</w:t>
            </w:r>
          </w:p>
        </w:tc>
        <w:tc>
          <w:tcPr>
            <w:tcW w:w="1559" w:type="dxa"/>
          </w:tcPr>
          <w:p w:rsidR="007468AF" w:rsidRPr="007468AF" w:rsidRDefault="007468AF" w:rsidP="007468AF">
            <w:r>
              <w:t>6</w:t>
            </w:r>
            <w:r w:rsidR="003443BD">
              <w:t>9</w:t>
            </w:r>
            <w:r>
              <w:t>.</w:t>
            </w:r>
            <w:r w:rsidR="003443BD">
              <w:t>4</w:t>
            </w:r>
            <w:r w:rsidRPr="007468AF">
              <w:t> per cent</w:t>
            </w:r>
          </w:p>
        </w:tc>
        <w:tc>
          <w:tcPr>
            <w:tcW w:w="1781" w:type="dxa"/>
          </w:tcPr>
          <w:p w:rsidR="007468AF" w:rsidRPr="007468AF" w:rsidRDefault="007468AF" w:rsidP="003443BD">
            <w:r w:rsidRPr="007468AF">
              <w:t>= 0.</w:t>
            </w:r>
            <w:r w:rsidR="003443BD">
              <w:t>768</w:t>
            </w:r>
            <w:r w:rsidR="003443BD" w:rsidRPr="007468AF">
              <w:t xml:space="preserve"> </w:t>
            </w:r>
            <w:r w:rsidR="003443BD">
              <w:t xml:space="preserve">/ </w:t>
            </w:r>
            <w:r>
              <w:t>(1 + 0.10</w:t>
            </w:r>
            <w:r w:rsidR="00F92E4F">
              <w:t>7</w:t>
            </w:r>
            <w:r w:rsidRPr="007468AF">
              <w:t>)</w:t>
            </w:r>
          </w:p>
        </w:tc>
      </w:tr>
      <w:tr w:rsidR="007468AF" w:rsidTr="00165E00">
        <w:tc>
          <w:tcPr>
            <w:tcW w:w="1852" w:type="dxa"/>
          </w:tcPr>
          <w:p w:rsidR="007468AF" w:rsidRPr="007468AF" w:rsidRDefault="007468AF" w:rsidP="007468AF">
            <w:r w:rsidRPr="007468AF">
              <w:t>Step 4—Calculate the percentage reduction in opex</w:t>
            </w:r>
          </w:p>
        </w:tc>
        <w:tc>
          <w:tcPr>
            <w:tcW w:w="3501" w:type="dxa"/>
          </w:tcPr>
          <w:p w:rsidR="007468AF" w:rsidRPr="007468AF" w:rsidRDefault="007468AF" w:rsidP="003443BD">
            <w:r w:rsidRPr="007468AF">
              <w:t xml:space="preserve">We then calculate the opex reduction by comparing </w:t>
            </w:r>
            <w:r w:rsidR="00584C69">
              <w:t>Essential Energy</w:t>
            </w:r>
            <w:r w:rsidRPr="007468AF">
              <w:t xml:space="preserve">'s efficiency score with the </w:t>
            </w:r>
            <w:r w:rsidR="003443BD" w:rsidRPr="007468AF">
              <w:t xml:space="preserve">adjusted </w:t>
            </w:r>
            <w:r w:rsidRPr="007468AF">
              <w:t>comparison point score.</w:t>
            </w:r>
          </w:p>
        </w:tc>
        <w:tc>
          <w:tcPr>
            <w:tcW w:w="1559" w:type="dxa"/>
          </w:tcPr>
          <w:p w:rsidR="007468AF" w:rsidRPr="007468AF" w:rsidRDefault="00A46066" w:rsidP="007468AF">
            <w:r>
              <w:t>2</w:t>
            </w:r>
            <w:r w:rsidR="00F92E4F">
              <w:t>0</w:t>
            </w:r>
            <w:r>
              <w:t>.</w:t>
            </w:r>
            <w:r w:rsidR="00F92E4F">
              <w:t>9</w:t>
            </w:r>
            <w:r w:rsidR="007468AF" w:rsidRPr="007468AF">
              <w:t> per cent</w:t>
            </w:r>
          </w:p>
        </w:tc>
        <w:tc>
          <w:tcPr>
            <w:tcW w:w="1781" w:type="dxa"/>
          </w:tcPr>
          <w:p w:rsidR="007468AF" w:rsidRPr="007468AF" w:rsidRDefault="007468AF" w:rsidP="003443BD">
            <w:r w:rsidRPr="007468AF">
              <w:t>= 1 – (0.</w:t>
            </w:r>
            <w:r w:rsidR="003443BD">
              <w:t>549</w:t>
            </w:r>
            <w:r w:rsidR="003443BD" w:rsidRPr="007468AF">
              <w:t xml:space="preserve"> </w:t>
            </w:r>
            <w:r w:rsidRPr="007468AF">
              <w:t>/ 0.</w:t>
            </w:r>
            <w:r w:rsidR="003443BD">
              <w:t>694</w:t>
            </w:r>
            <w:r w:rsidRPr="007468AF">
              <w:t>)</w:t>
            </w:r>
          </w:p>
        </w:tc>
      </w:tr>
      <w:tr w:rsidR="007468AF" w:rsidTr="00165E00">
        <w:trPr>
          <w:cnfStyle w:val="000000010000" w:firstRow="0" w:lastRow="0" w:firstColumn="0" w:lastColumn="0" w:oddVBand="0" w:evenVBand="0" w:oddHBand="0" w:evenHBand="1" w:firstRowFirstColumn="0" w:firstRowLastColumn="0" w:lastRowFirstColumn="0" w:lastRowLastColumn="0"/>
        </w:trPr>
        <w:tc>
          <w:tcPr>
            <w:tcW w:w="1852" w:type="dxa"/>
          </w:tcPr>
          <w:p w:rsidR="007468AF" w:rsidRPr="007468AF" w:rsidRDefault="007468AF" w:rsidP="007468AF">
            <w:r w:rsidRPr="007468AF">
              <w:lastRenderedPageBreak/>
              <w:t>Step 5—Calculate the midpoint efficient opex</w:t>
            </w:r>
          </w:p>
        </w:tc>
        <w:tc>
          <w:tcPr>
            <w:tcW w:w="3501" w:type="dxa"/>
          </w:tcPr>
          <w:p w:rsidR="007468AF" w:rsidRPr="007468AF" w:rsidRDefault="007468AF" w:rsidP="007468AF">
            <w:r w:rsidRPr="007468AF">
              <w:t xml:space="preserve">We estimate efficient opex at the midpoint of the 2006 to 2013 period by applying the percentage reduction in opex to </w:t>
            </w:r>
            <w:r w:rsidR="00584C69">
              <w:t>Essential Energy</w:t>
            </w:r>
            <w:r w:rsidRPr="007468AF">
              <w:t>'s average opex over the period.</w:t>
            </w:r>
          </w:p>
          <w:p w:rsidR="007468AF" w:rsidRPr="007468AF" w:rsidRDefault="007468AF" w:rsidP="007468AF">
            <w:r w:rsidRPr="007468AF">
              <w:t>This represents our estimate of efficient opex at the midpoint of the 2006 to 2013 period.</w:t>
            </w:r>
          </w:p>
        </w:tc>
        <w:tc>
          <w:tcPr>
            <w:tcW w:w="1559" w:type="dxa"/>
          </w:tcPr>
          <w:p w:rsidR="007468AF" w:rsidRPr="007468AF" w:rsidRDefault="00A46066" w:rsidP="007468AF">
            <w:r>
              <w:t>278.</w:t>
            </w:r>
            <w:r w:rsidR="00F92E4F">
              <w:t>8</w:t>
            </w:r>
            <w:r w:rsidR="007468AF" w:rsidRPr="007468AF">
              <w:t xml:space="preserve"> million ($2013)</w:t>
            </w:r>
          </w:p>
        </w:tc>
        <w:tc>
          <w:tcPr>
            <w:tcW w:w="1781" w:type="dxa"/>
          </w:tcPr>
          <w:p w:rsidR="007468AF" w:rsidRPr="007468AF" w:rsidRDefault="00A46066" w:rsidP="00A46066">
            <w:r>
              <w:t>= (1 – 0.2</w:t>
            </w:r>
            <w:r w:rsidR="00F92E4F">
              <w:t>09</w:t>
            </w:r>
            <w:r w:rsidR="007468AF" w:rsidRPr="007468AF">
              <w:t xml:space="preserve">)* </w:t>
            </w:r>
            <w:r>
              <w:t>352.5</w:t>
            </w:r>
            <w:r w:rsidR="007468AF" w:rsidRPr="007468AF">
              <w:t xml:space="preserve"> million</w:t>
            </w:r>
          </w:p>
        </w:tc>
      </w:tr>
      <w:tr w:rsidR="007468AF" w:rsidTr="00165E00">
        <w:tc>
          <w:tcPr>
            <w:tcW w:w="1852" w:type="dxa"/>
          </w:tcPr>
          <w:p w:rsidR="007468AF" w:rsidRPr="007468AF" w:rsidRDefault="007468AF" w:rsidP="007468AF">
            <w:r w:rsidRPr="007468AF">
              <w:t>Step 6— Trend midpoint efficient opex forward to 2012–13</w:t>
            </w:r>
          </w:p>
        </w:tc>
        <w:tc>
          <w:tcPr>
            <w:tcW w:w="3501" w:type="dxa"/>
          </w:tcPr>
          <w:p w:rsidR="007468AF" w:rsidRPr="007468AF" w:rsidRDefault="007468AF" w:rsidP="007468AF">
            <w:r w:rsidRPr="007468AF">
              <w:t>Our forecasting approach is to use a 2012–13 base year. We have trended the midpoint efficient opex forward to a 2012–13 base year based on Economic Insights’ opex partial factor productivity growth model. It estimates the growth in efficient opex based on growth in customer numbers, line length, ratcheted maximum demand and share of undergrounding.</w:t>
            </w:r>
          </w:p>
          <w:p w:rsidR="007468AF" w:rsidRPr="007468AF" w:rsidRDefault="007468AF" w:rsidP="00282FE6">
            <w:r w:rsidRPr="007468AF">
              <w:t xml:space="preserve">It estimated the growth in efficient opex based on </w:t>
            </w:r>
            <w:r w:rsidR="00584C69">
              <w:t>Essential Energy</w:t>
            </w:r>
            <w:r w:rsidRPr="007468AF">
              <w:t xml:space="preserve">’s growth in these inputs in this period to be </w:t>
            </w:r>
            <w:r w:rsidR="00282FE6">
              <w:t>6.04</w:t>
            </w:r>
            <w:r w:rsidRPr="007468AF">
              <w:t xml:space="preserve"> per cent.</w:t>
            </w:r>
          </w:p>
        </w:tc>
        <w:tc>
          <w:tcPr>
            <w:tcW w:w="1559" w:type="dxa"/>
          </w:tcPr>
          <w:p w:rsidR="007468AF" w:rsidRPr="007468AF" w:rsidRDefault="00A46066" w:rsidP="007468AF">
            <w:r>
              <w:t>295.</w:t>
            </w:r>
            <w:r w:rsidR="00F92E4F">
              <w:t>7</w:t>
            </w:r>
            <w:r w:rsidR="007468AF" w:rsidRPr="007468AF">
              <w:t xml:space="preserve"> million ($2013)</w:t>
            </w:r>
          </w:p>
        </w:tc>
        <w:tc>
          <w:tcPr>
            <w:tcW w:w="1781" w:type="dxa"/>
          </w:tcPr>
          <w:p w:rsidR="007468AF" w:rsidRPr="007468AF" w:rsidRDefault="007468AF" w:rsidP="007468AF">
            <w:r w:rsidRPr="007468AF">
              <w:t xml:space="preserve">= </w:t>
            </w:r>
            <w:r w:rsidR="00A46066">
              <w:t>278.</w:t>
            </w:r>
            <w:r w:rsidR="00F92E4F">
              <w:t>8</w:t>
            </w:r>
            <w:r w:rsidRPr="007468AF">
              <w:t xml:space="preserve"> × (1+ </w:t>
            </w:r>
            <w:r w:rsidR="00A46066">
              <w:t>0.0604</w:t>
            </w:r>
            <w:r w:rsidRPr="007468AF">
              <w:t xml:space="preserve">) </w:t>
            </w:r>
          </w:p>
        </w:tc>
      </w:tr>
      <w:tr w:rsidR="007468AF" w:rsidTr="00165E00">
        <w:trPr>
          <w:cnfStyle w:val="000000010000" w:firstRow="0" w:lastRow="0" w:firstColumn="0" w:lastColumn="0" w:oddVBand="0" w:evenVBand="0" w:oddHBand="0" w:evenHBand="1" w:firstRowFirstColumn="0" w:firstRowLastColumn="0" w:lastRowFirstColumn="0" w:lastRowLastColumn="0"/>
        </w:trPr>
        <w:tc>
          <w:tcPr>
            <w:tcW w:w="1852" w:type="dxa"/>
          </w:tcPr>
          <w:p w:rsidR="007468AF" w:rsidRPr="007468AF" w:rsidRDefault="007468AF">
            <w:r w:rsidRPr="007468AF">
              <w:t>Step 7—</w:t>
            </w:r>
            <w:r w:rsidR="00DE4925" w:rsidRPr="00FF4541">
              <w:t xml:space="preserve"> Adjust</w:t>
            </w:r>
            <w:r w:rsidR="00DE4925" w:rsidRPr="00DE4925">
              <w:t xml:space="preserve"> our estimate of 2012–13 base year opex for CPI</w:t>
            </w:r>
          </w:p>
        </w:tc>
        <w:tc>
          <w:tcPr>
            <w:tcW w:w="3501" w:type="dxa"/>
          </w:tcPr>
          <w:p w:rsidR="007468AF" w:rsidRPr="007468AF" w:rsidRDefault="007468AF">
            <w:r w:rsidRPr="007468AF">
              <w:t>The output in step 6 is in real 2013 dollars. We need to convert it to real 2013–14 dollars</w:t>
            </w:r>
            <w:r w:rsidR="00712C76">
              <w:t>.</w:t>
            </w:r>
            <w:r w:rsidR="00F92E4F">
              <w:t xml:space="preserve"> </w:t>
            </w:r>
            <w:r w:rsidRPr="007468AF">
              <w:t xml:space="preserve">This reflects one and a half years of inflation. </w:t>
            </w:r>
          </w:p>
        </w:tc>
        <w:tc>
          <w:tcPr>
            <w:tcW w:w="1559" w:type="dxa"/>
          </w:tcPr>
          <w:p w:rsidR="007468AF" w:rsidRPr="007468AF" w:rsidRDefault="00A46066" w:rsidP="007468AF">
            <w:r>
              <w:t>30</w:t>
            </w:r>
            <w:r w:rsidR="00F92E4F">
              <w:t>8</w:t>
            </w:r>
            <w:r>
              <w:t>.</w:t>
            </w:r>
            <w:r w:rsidR="00F92E4F">
              <w:t>2</w:t>
            </w:r>
            <w:r w:rsidR="007468AF" w:rsidRPr="007468AF">
              <w:t xml:space="preserve"> million ($2013–14)</w:t>
            </w:r>
          </w:p>
        </w:tc>
        <w:tc>
          <w:tcPr>
            <w:tcW w:w="1781" w:type="dxa"/>
          </w:tcPr>
          <w:p w:rsidR="007468AF" w:rsidRPr="007468AF" w:rsidRDefault="007468AF" w:rsidP="007468AF">
            <w:r w:rsidRPr="007468AF">
              <w:t xml:space="preserve">= </w:t>
            </w:r>
            <w:r w:rsidR="00A46066">
              <w:t>295.</w:t>
            </w:r>
            <w:r w:rsidR="00F92E4F">
              <w:t>7</w:t>
            </w:r>
            <w:r w:rsidRPr="007468AF">
              <w:t xml:space="preserve"> × (1 + 0.042) </w:t>
            </w:r>
          </w:p>
        </w:tc>
      </w:tr>
      <w:tr w:rsidR="00237780" w:rsidTr="00165E00">
        <w:tc>
          <w:tcPr>
            <w:tcW w:w="1852" w:type="dxa"/>
          </w:tcPr>
          <w:p w:rsidR="00237780" w:rsidRPr="00237780" w:rsidRDefault="00237780" w:rsidP="00237780">
            <w:r>
              <w:t>Step 8 - Convert to final year estimate</w:t>
            </w:r>
          </w:p>
        </w:tc>
        <w:tc>
          <w:tcPr>
            <w:tcW w:w="3501" w:type="dxa"/>
          </w:tcPr>
          <w:p w:rsidR="00DE4925" w:rsidRDefault="002F3915" w:rsidP="00237780">
            <w:r>
              <w:t xml:space="preserve">The </w:t>
            </w:r>
            <w:r w:rsidR="00DE4925">
              <w:t>guideline specifies that we will convert our estimate of base year opex into a final year estimate.</w:t>
            </w:r>
          </w:p>
          <w:p w:rsidR="00DE4925" w:rsidRPr="00DE4925" w:rsidRDefault="00DE4925" w:rsidP="00DE4925">
            <w:r w:rsidRPr="00F1235F">
              <w:t xml:space="preserve">We used </w:t>
            </w:r>
            <w:r w:rsidR="002F3915">
              <w:t>the formula in the</w:t>
            </w:r>
            <w:r>
              <w:t xml:space="preserve"> guideline to</w:t>
            </w:r>
            <w:r w:rsidRPr="00DE4925">
              <w:t xml:space="preserve"> determine our unadjusted estimate of opex for 2013–14.</w:t>
            </w:r>
          </w:p>
          <w:p w:rsidR="00237780" w:rsidRPr="00237780" w:rsidRDefault="00237780" w:rsidP="00237780">
            <w:r>
              <w:t>We used the 2012–13 efficient opex value</w:t>
            </w:r>
            <w:r w:rsidR="009874C6">
              <w:t xml:space="preserve"> in step 7</w:t>
            </w:r>
            <w:r>
              <w:t xml:space="preserve"> to determine </w:t>
            </w:r>
            <w:r w:rsidR="00DE4925">
              <w:t>what the</w:t>
            </w:r>
            <w:r>
              <w:t xml:space="preserve"> efficiency adjustment </w:t>
            </w:r>
            <w:r w:rsidR="00DE4925">
              <w:t xml:space="preserve">would be for </w:t>
            </w:r>
            <w:r>
              <w:t>2012–13</w:t>
            </w:r>
            <w:r w:rsidR="00F92E4F">
              <w:t xml:space="preserve"> (–26.3</w:t>
            </w:r>
            <w:r>
              <w:t xml:space="preserve">%), taking into account changes to Essential Energy's </w:t>
            </w:r>
            <w:r w:rsidRPr="00237780">
              <w:t>service classification.</w:t>
            </w:r>
          </w:p>
          <w:p w:rsidR="00237780" w:rsidRPr="00237780" w:rsidRDefault="00DE4925">
            <w:r>
              <w:t>To arrive at our adjusted final year estimate, we</w:t>
            </w:r>
            <w:r w:rsidR="00237780">
              <w:t xml:space="preserve"> appl</w:t>
            </w:r>
            <w:r w:rsidR="00237780" w:rsidRPr="00237780">
              <w:t xml:space="preserve">ied the efficiency adjustment to our </w:t>
            </w:r>
            <w:r>
              <w:t xml:space="preserve">unadjusted </w:t>
            </w:r>
            <w:r w:rsidR="00237780" w:rsidRPr="00237780">
              <w:t>estimate of 2013–14 opex.</w:t>
            </w:r>
          </w:p>
        </w:tc>
        <w:tc>
          <w:tcPr>
            <w:tcW w:w="1559" w:type="dxa"/>
          </w:tcPr>
          <w:p w:rsidR="00237780" w:rsidRPr="00237780" w:rsidRDefault="00F92E4F" w:rsidP="00237780">
            <w:r>
              <w:t>311.9</w:t>
            </w:r>
            <w:r w:rsidR="00237780" w:rsidRPr="00237780">
              <w:t xml:space="preserve"> million ($2013–14)</w:t>
            </w:r>
          </w:p>
        </w:tc>
        <w:tc>
          <w:tcPr>
            <w:tcW w:w="1781" w:type="dxa"/>
          </w:tcPr>
          <w:p w:rsidR="00237780" w:rsidRPr="0051563B" w:rsidRDefault="00A70890" w:rsidP="00237780">
            <w:pPr>
              <w:rPr>
                <w:rStyle w:val="AERtextsize8"/>
              </w:rPr>
            </w:pPr>
            <w:r w:rsidRPr="0051563B">
              <w:rPr>
                <w:rStyle w:val="AERtextsize8"/>
              </w:rPr>
              <w:t xml:space="preserve">See AER opex model for </w:t>
            </w:r>
            <w:r w:rsidR="00456020">
              <w:rPr>
                <w:rStyle w:val="AERtextsize8"/>
              </w:rPr>
              <w:t>Essential Energy</w:t>
            </w:r>
          </w:p>
        </w:tc>
      </w:tr>
    </w:tbl>
    <w:p w:rsidR="007468AF" w:rsidRPr="007468AF" w:rsidRDefault="007468AF" w:rsidP="007468AF">
      <w:pPr>
        <w:pStyle w:val="AERtablesource"/>
      </w:pPr>
      <w:r w:rsidRPr="007468AF">
        <w:t>Source: AER analysis</w:t>
      </w:r>
      <w:bookmarkEnd w:id="37"/>
    </w:p>
    <w:p w:rsidR="006E4316" w:rsidRPr="006E4316" w:rsidRDefault="006E4316" w:rsidP="006E4316">
      <w:pPr>
        <w:pStyle w:val="Heading3"/>
      </w:pPr>
      <w:bookmarkStart w:id="39" w:name="_Toc417719012"/>
      <w:r w:rsidRPr="006E4316">
        <w:t>Rate of change</w:t>
      </w:r>
      <w:bookmarkEnd w:id="36"/>
      <w:bookmarkEnd w:id="39"/>
    </w:p>
    <w:p w:rsidR="002B1C36" w:rsidRPr="002B1C36" w:rsidRDefault="002B1C36" w:rsidP="005136CC">
      <w:pPr>
        <w:numPr>
          <w:ilvl w:val="0"/>
          <w:numId w:val="24"/>
        </w:numPr>
      </w:pPr>
      <w:r w:rsidRPr="002B1C36">
        <w:t>Our forecast rate of change in opex captures the forecast year on year change in our estimate of base opex. Specifically, it accounts for forecast growth in outputs, prices and productivity (such as economies of scale). Output growth and productivity growth captures the forecast change in the quantity of inputs required. Price growth captures the forecast change in the real prices of those inputs. These three opex drivers should account for the main sources of opex changes over time.</w:t>
      </w:r>
    </w:p>
    <w:p w:rsidR="0052029A" w:rsidRDefault="002B1C36" w:rsidP="0052029A">
      <w:pPr>
        <w:numPr>
          <w:ilvl w:val="0"/>
          <w:numId w:val="24"/>
        </w:numPr>
        <w:rPr>
          <w:rStyle w:val="AERbody"/>
        </w:rPr>
      </w:pPr>
      <w:r w:rsidRPr="00A62B05">
        <w:rPr>
          <w:rStyle w:val="AERbody"/>
        </w:rPr>
        <w:t xml:space="preserve">We have maintained our draft decision method for forecasting the rate of change. We have updated our labour forecasts to reflect the most recent forecasts from Deloitte Access Economics (DAE) and Independent Economics. </w:t>
      </w:r>
    </w:p>
    <w:p w:rsidR="009F1E0C" w:rsidRPr="009F1E0C" w:rsidRDefault="009F1E0C" w:rsidP="009F1E0C">
      <w:pPr>
        <w:pStyle w:val="ListParagraph"/>
        <w:numPr>
          <w:ilvl w:val="0"/>
          <w:numId w:val="24"/>
        </w:numPr>
      </w:pPr>
      <w:r w:rsidRPr="009F1E0C">
        <w:lastRenderedPageBreak/>
        <w:t>Essential Energy maintained its initial proposal approach to forecasting output growth and productivity growth in its revised proposal. However, Essential Energy adopted our price growth</w:t>
      </w:r>
      <w:r w:rsidR="0089490E">
        <w:t xml:space="preserve"> forecasting</w:t>
      </w:r>
      <w:r w:rsidRPr="009F1E0C">
        <w:t xml:space="preserve"> method. </w:t>
      </w:r>
    </w:p>
    <w:p w:rsidR="009F1E0C" w:rsidRDefault="009F1E0C" w:rsidP="009F1E0C">
      <w:pPr>
        <w:numPr>
          <w:ilvl w:val="0"/>
          <w:numId w:val="24"/>
        </w:numPr>
      </w:pPr>
      <w:r w:rsidRPr="00494E3F">
        <w:t xml:space="preserve">We consider our draft decision approach to forecasting output growth based on our economic benchmarking analysis </w:t>
      </w:r>
      <w:r>
        <w:t>produces a robust estimate</w:t>
      </w:r>
      <w:r w:rsidRPr="00494E3F">
        <w:t xml:space="preserve">. </w:t>
      </w:r>
      <w:r>
        <w:t xml:space="preserve">As outlined in our draft decision, we consider our output growth measure captures the key outputs of service providers, as valued by customers. </w:t>
      </w:r>
      <w:r w:rsidRPr="00494E3F">
        <w:t>Our use of economic benchmarking techn</w:t>
      </w:r>
      <w:r>
        <w:t>iques is detailed in appendix A</w:t>
      </w:r>
      <w:r w:rsidRPr="00494E3F">
        <w:t xml:space="preserve">. </w:t>
      </w:r>
    </w:p>
    <w:p w:rsidR="00A62B05" w:rsidRPr="00E02435" w:rsidRDefault="00CC165D" w:rsidP="005136CC">
      <w:pPr>
        <w:pStyle w:val="ListParagraph"/>
        <w:numPr>
          <w:ilvl w:val="0"/>
          <w:numId w:val="24"/>
        </w:numPr>
      </w:pPr>
      <w:r>
        <w:t xml:space="preserve">We have forecast zero productivity growth. </w:t>
      </w:r>
      <w:r w:rsidR="009F1E0C">
        <w:t>O</w:t>
      </w:r>
      <w:r w:rsidR="009F1E0C" w:rsidRPr="00494E3F">
        <w:t xml:space="preserve">ur productivity growth </w:t>
      </w:r>
      <w:r w:rsidR="009F1E0C">
        <w:t xml:space="preserve">forecast </w:t>
      </w:r>
      <w:r w:rsidR="009F1E0C" w:rsidRPr="00494E3F">
        <w:t>is based on our expectations of productivity for a benchmark service provider over the 201</w:t>
      </w:r>
      <w:r w:rsidR="0089490E">
        <w:t>4</w:t>
      </w:r>
      <w:r w:rsidR="009F1E0C" w:rsidRPr="00494E3F">
        <w:t>–</w:t>
      </w:r>
      <w:r w:rsidR="0089490E">
        <w:t>19</w:t>
      </w:r>
      <w:r w:rsidR="009F1E0C" w:rsidRPr="00494E3F">
        <w:t xml:space="preserve"> period.</w:t>
      </w:r>
      <w:r w:rsidR="009F1E0C">
        <w:t xml:space="preserve"> In estimating productivity growth we have had regard to a number of sources of evidence. This includes the results of our economic benchmarking analysis, the drivers of recent productivity trends for the distribution businesses and the productivity forecasts for the gas distribution and electricity transmission sectors.  </w:t>
      </w:r>
      <w:r w:rsidR="00A62B05">
        <w:fldChar w:fldCharType="begin"/>
      </w:r>
      <w:r w:rsidR="00A62B05">
        <w:instrText xml:space="preserve"> REF _Ref417050865 \h </w:instrText>
      </w:r>
      <w:r w:rsidR="00A62B05">
        <w:fldChar w:fldCharType="separate"/>
      </w:r>
      <w:r w:rsidR="00C74791" w:rsidRPr="006E4316">
        <w:t xml:space="preserve">Table </w:t>
      </w:r>
      <w:r w:rsidR="00C74791">
        <w:rPr>
          <w:noProof/>
        </w:rPr>
        <w:t>7</w:t>
      </w:r>
      <w:r w:rsidR="00C74791" w:rsidRPr="006E4316">
        <w:t>.</w:t>
      </w:r>
      <w:r w:rsidR="00C74791">
        <w:rPr>
          <w:noProof/>
        </w:rPr>
        <w:t>5</w:t>
      </w:r>
      <w:r w:rsidR="00A62B05">
        <w:fldChar w:fldCharType="end"/>
      </w:r>
      <w:r w:rsidR="00A62B05">
        <w:t xml:space="preserve"> compares the rate of change for Essential Energy's initial proposal, our draft decision and our final decision.</w:t>
      </w:r>
      <w:r w:rsidR="00A62B05">
        <w:rPr>
          <w:rStyle w:val="FootnoteReference"/>
        </w:rPr>
        <w:footnoteReference w:id="47"/>
      </w:r>
    </w:p>
    <w:p w:rsidR="006E4316" w:rsidRPr="006E4316" w:rsidRDefault="006E4316" w:rsidP="005136CC">
      <w:pPr>
        <w:pStyle w:val="Caption"/>
        <w:numPr>
          <w:ilvl w:val="0"/>
          <w:numId w:val="24"/>
        </w:numPr>
      </w:pPr>
      <w:bookmarkStart w:id="40" w:name="_Ref417050865"/>
      <w:r w:rsidRPr="006E4316">
        <w:t xml:space="preserve">Table </w:t>
      </w:r>
      <w:fldSimple w:instr=" STYLEREF 1 \s ">
        <w:r w:rsidR="00C74791">
          <w:rPr>
            <w:noProof/>
          </w:rPr>
          <w:t>7</w:t>
        </w:r>
      </w:fldSimple>
      <w:r w:rsidRPr="006E4316">
        <w:t>.</w:t>
      </w:r>
      <w:fldSimple w:instr=" SEQ Table \* ARABIC \s 1 ">
        <w:r w:rsidR="00C74791">
          <w:rPr>
            <w:noProof/>
          </w:rPr>
          <w:t>5</w:t>
        </w:r>
      </w:fldSimple>
      <w:bookmarkEnd w:id="40"/>
      <w:r w:rsidRPr="006E4316">
        <w:tab/>
        <w:t>Rate of change in opex (per cent)</w:t>
      </w:r>
    </w:p>
    <w:tbl>
      <w:tblPr>
        <w:tblStyle w:val="AERtable-numbers"/>
        <w:tblW w:w="0" w:type="auto"/>
        <w:tblLook w:val="04A0" w:firstRow="1" w:lastRow="0" w:firstColumn="1" w:lastColumn="0" w:noHBand="0" w:noVBand="1"/>
      </w:tblPr>
      <w:tblGrid>
        <w:gridCol w:w="2129"/>
        <w:gridCol w:w="1268"/>
        <w:gridCol w:w="1269"/>
        <w:gridCol w:w="1268"/>
        <w:gridCol w:w="1269"/>
        <w:gridCol w:w="1269"/>
      </w:tblGrid>
      <w:tr w:rsidR="006E4316" w:rsidRPr="0062476B" w:rsidTr="004E6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rsidR="006E4316" w:rsidRPr="006E4316" w:rsidRDefault="006E4316" w:rsidP="006E4316"/>
        </w:tc>
        <w:tc>
          <w:tcPr>
            <w:tcW w:w="1268"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2014–15</w:t>
            </w:r>
          </w:p>
        </w:tc>
        <w:tc>
          <w:tcPr>
            <w:tcW w:w="1269"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2015–16</w:t>
            </w:r>
          </w:p>
        </w:tc>
        <w:tc>
          <w:tcPr>
            <w:tcW w:w="1268"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2016–17</w:t>
            </w:r>
          </w:p>
        </w:tc>
        <w:tc>
          <w:tcPr>
            <w:tcW w:w="1269"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2017–18</w:t>
            </w:r>
          </w:p>
        </w:tc>
        <w:tc>
          <w:tcPr>
            <w:tcW w:w="1269" w:type="dxa"/>
          </w:tcPr>
          <w:p w:rsidR="006E4316" w:rsidRPr="006E4316" w:rsidRDefault="006E4316" w:rsidP="006E4316">
            <w:pPr>
              <w:cnfStyle w:val="100000000000" w:firstRow="1" w:lastRow="0" w:firstColumn="0" w:lastColumn="0" w:oddVBand="0" w:evenVBand="0" w:oddHBand="0" w:evenHBand="0" w:firstRowFirstColumn="0" w:firstRowLastColumn="0" w:lastRowFirstColumn="0" w:lastRowLastColumn="0"/>
            </w:pPr>
            <w:r w:rsidRPr="006E4316">
              <w:t>2018–19</w:t>
            </w:r>
          </w:p>
        </w:tc>
      </w:tr>
      <w:tr w:rsidR="006E4316" w:rsidRPr="0062476B" w:rsidTr="004E61CD">
        <w:tc>
          <w:tcPr>
            <w:cnfStyle w:val="001000000000" w:firstRow="0" w:lastRow="0" w:firstColumn="1" w:lastColumn="0" w:oddVBand="0" w:evenVBand="0" w:oddHBand="0" w:evenHBand="0" w:firstRowFirstColumn="0" w:firstRowLastColumn="0" w:lastRowFirstColumn="0" w:lastRowLastColumn="0"/>
            <w:tcW w:w="2129" w:type="dxa"/>
          </w:tcPr>
          <w:p w:rsidR="006E4316" w:rsidRPr="006E4316" w:rsidRDefault="006E4316" w:rsidP="006E4316">
            <w:r w:rsidRPr="006E4316">
              <w:t>Essential Energy initial proposal</w:t>
            </w:r>
          </w:p>
        </w:tc>
        <w:tc>
          <w:tcPr>
            <w:tcW w:w="1268" w:type="dxa"/>
            <w:vAlign w:val="bottom"/>
          </w:tcPr>
          <w:p w:rsidR="006E4316" w:rsidRPr="006E4316" w:rsidRDefault="006E4316" w:rsidP="006E4316">
            <w:pPr>
              <w:cnfStyle w:val="000000000000" w:firstRow="0" w:lastRow="0" w:firstColumn="0" w:lastColumn="0" w:oddVBand="0" w:evenVBand="0" w:oddHBand="0" w:evenHBand="0" w:firstRowFirstColumn="0" w:firstRowLastColumn="0" w:lastRowFirstColumn="0" w:lastRowLastColumn="0"/>
            </w:pPr>
            <w:r w:rsidRPr="006E4316">
              <w:t>0.28</w:t>
            </w:r>
          </w:p>
        </w:tc>
        <w:tc>
          <w:tcPr>
            <w:tcW w:w="1269" w:type="dxa"/>
            <w:vAlign w:val="bottom"/>
          </w:tcPr>
          <w:p w:rsidR="006E4316" w:rsidRPr="006E4316" w:rsidRDefault="006E4316" w:rsidP="006E4316">
            <w:pPr>
              <w:cnfStyle w:val="000000000000" w:firstRow="0" w:lastRow="0" w:firstColumn="0" w:lastColumn="0" w:oddVBand="0" w:evenVBand="0" w:oddHBand="0" w:evenHBand="0" w:firstRowFirstColumn="0" w:firstRowLastColumn="0" w:lastRowFirstColumn="0" w:lastRowLastColumn="0"/>
            </w:pPr>
            <w:r w:rsidRPr="006E4316">
              <w:t>1.24</w:t>
            </w:r>
          </w:p>
        </w:tc>
        <w:tc>
          <w:tcPr>
            <w:tcW w:w="1268" w:type="dxa"/>
            <w:vAlign w:val="bottom"/>
          </w:tcPr>
          <w:p w:rsidR="006E4316" w:rsidRPr="006E4316" w:rsidRDefault="006E4316" w:rsidP="006E4316">
            <w:pPr>
              <w:cnfStyle w:val="000000000000" w:firstRow="0" w:lastRow="0" w:firstColumn="0" w:lastColumn="0" w:oddVBand="0" w:evenVBand="0" w:oddHBand="0" w:evenHBand="0" w:firstRowFirstColumn="0" w:firstRowLastColumn="0" w:lastRowFirstColumn="0" w:lastRowLastColumn="0"/>
            </w:pPr>
            <w:r w:rsidRPr="006E4316">
              <w:t>1.85</w:t>
            </w:r>
          </w:p>
        </w:tc>
        <w:tc>
          <w:tcPr>
            <w:tcW w:w="1269" w:type="dxa"/>
            <w:vAlign w:val="bottom"/>
          </w:tcPr>
          <w:p w:rsidR="006E4316" w:rsidRPr="006E4316" w:rsidRDefault="006E4316" w:rsidP="006E4316">
            <w:pPr>
              <w:cnfStyle w:val="000000000000" w:firstRow="0" w:lastRow="0" w:firstColumn="0" w:lastColumn="0" w:oddVBand="0" w:evenVBand="0" w:oddHBand="0" w:evenHBand="0" w:firstRowFirstColumn="0" w:firstRowLastColumn="0" w:lastRowFirstColumn="0" w:lastRowLastColumn="0"/>
            </w:pPr>
            <w:r w:rsidRPr="006E4316">
              <w:t>1.88</w:t>
            </w:r>
          </w:p>
        </w:tc>
        <w:tc>
          <w:tcPr>
            <w:tcW w:w="1269" w:type="dxa"/>
            <w:vAlign w:val="bottom"/>
          </w:tcPr>
          <w:p w:rsidR="006E4316" w:rsidRPr="006E4316" w:rsidRDefault="006E4316" w:rsidP="006E4316">
            <w:pPr>
              <w:cnfStyle w:val="000000000000" w:firstRow="0" w:lastRow="0" w:firstColumn="0" w:lastColumn="0" w:oddVBand="0" w:evenVBand="0" w:oddHBand="0" w:evenHBand="0" w:firstRowFirstColumn="0" w:firstRowLastColumn="0" w:lastRowFirstColumn="0" w:lastRowLastColumn="0"/>
            </w:pPr>
            <w:r w:rsidRPr="006E4316">
              <w:t>1.95</w:t>
            </w:r>
          </w:p>
        </w:tc>
      </w:tr>
      <w:tr w:rsidR="006E4316" w:rsidRPr="0062476B" w:rsidTr="004E6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rsidR="006E4316" w:rsidRPr="006E4316" w:rsidRDefault="006E4316" w:rsidP="006E4316">
            <w:r w:rsidRPr="006E4316">
              <w:t>AER draft decision</w:t>
            </w:r>
          </w:p>
        </w:tc>
        <w:tc>
          <w:tcPr>
            <w:tcW w:w="1268" w:type="dxa"/>
            <w:vAlign w:val="bottom"/>
          </w:tcPr>
          <w:p w:rsidR="006E4316" w:rsidRPr="006E4316" w:rsidRDefault="006E4316" w:rsidP="006E4316">
            <w:pPr>
              <w:cnfStyle w:val="000000010000" w:firstRow="0" w:lastRow="0" w:firstColumn="0" w:lastColumn="0" w:oddVBand="0" w:evenVBand="0" w:oddHBand="0" w:evenHBand="1" w:firstRowFirstColumn="0" w:firstRowLastColumn="0" w:lastRowFirstColumn="0" w:lastRowLastColumn="0"/>
            </w:pPr>
            <w:r w:rsidRPr="006E4316">
              <w:t>1.14</w:t>
            </w:r>
          </w:p>
        </w:tc>
        <w:tc>
          <w:tcPr>
            <w:tcW w:w="1269" w:type="dxa"/>
            <w:vAlign w:val="bottom"/>
          </w:tcPr>
          <w:p w:rsidR="006E4316" w:rsidRPr="006E4316" w:rsidRDefault="006E4316" w:rsidP="006E4316">
            <w:pPr>
              <w:cnfStyle w:val="000000010000" w:firstRow="0" w:lastRow="0" w:firstColumn="0" w:lastColumn="0" w:oddVBand="0" w:evenVBand="0" w:oddHBand="0" w:evenHBand="1" w:firstRowFirstColumn="0" w:firstRowLastColumn="0" w:lastRowFirstColumn="0" w:lastRowLastColumn="0"/>
            </w:pPr>
            <w:r w:rsidRPr="006E4316">
              <w:t>0.95</w:t>
            </w:r>
          </w:p>
        </w:tc>
        <w:tc>
          <w:tcPr>
            <w:tcW w:w="1268" w:type="dxa"/>
            <w:vAlign w:val="bottom"/>
          </w:tcPr>
          <w:p w:rsidR="006E4316" w:rsidRPr="006E4316" w:rsidRDefault="006E4316" w:rsidP="006E4316">
            <w:pPr>
              <w:cnfStyle w:val="000000010000" w:firstRow="0" w:lastRow="0" w:firstColumn="0" w:lastColumn="0" w:oddVBand="0" w:evenVBand="0" w:oddHBand="0" w:evenHBand="1" w:firstRowFirstColumn="0" w:firstRowLastColumn="0" w:lastRowFirstColumn="0" w:lastRowLastColumn="0"/>
            </w:pPr>
            <w:r w:rsidRPr="006E4316">
              <w:t>1.23</w:t>
            </w:r>
          </w:p>
        </w:tc>
        <w:tc>
          <w:tcPr>
            <w:tcW w:w="1269" w:type="dxa"/>
            <w:vAlign w:val="bottom"/>
          </w:tcPr>
          <w:p w:rsidR="006E4316" w:rsidRPr="006E4316" w:rsidRDefault="006E4316" w:rsidP="006E4316">
            <w:pPr>
              <w:cnfStyle w:val="000000010000" w:firstRow="0" w:lastRow="0" w:firstColumn="0" w:lastColumn="0" w:oddVBand="0" w:evenVBand="0" w:oddHBand="0" w:evenHBand="1" w:firstRowFirstColumn="0" w:firstRowLastColumn="0" w:lastRowFirstColumn="0" w:lastRowLastColumn="0"/>
            </w:pPr>
            <w:r w:rsidRPr="006E4316">
              <w:t>1.39</w:t>
            </w:r>
          </w:p>
        </w:tc>
        <w:tc>
          <w:tcPr>
            <w:tcW w:w="1269" w:type="dxa"/>
            <w:vAlign w:val="bottom"/>
          </w:tcPr>
          <w:p w:rsidR="006E4316" w:rsidRPr="006E4316" w:rsidRDefault="006E4316" w:rsidP="006E4316">
            <w:pPr>
              <w:cnfStyle w:val="000000010000" w:firstRow="0" w:lastRow="0" w:firstColumn="0" w:lastColumn="0" w:oddVBand="0" w:evenVBand="0" w:oddHBand="0" w:evenHBand="1" w:firstRowFirstColumn="0" w:firstRowLastColumn="0" w:lastRowFirstColumn="0" w:lastRowLastColumn="0"/>
            </w:pPr>
            <w:r w:rsidRPr="006E4316">
              <w:t>1.32</w:t>
            </w:r>
          </w:p>
        </w:tc>
      </w:tr>
      <w:tr w:rsidR="003443BD" w:rsidRPr="0062476B" w:rsidTr="004E61CD">
        <w:tc>
          <w:tcPr>
            <w:cnfStyle w:val="001000000000" w:firstRow="0" w:lastRow="0" w:firstColumn="1" w:lastColumn="0" w:oddVBand="0" w:evenVBand="0" w:oddHBand="0" w:evenHBand="0" w:firstRowFirstColumn="0" w:firstRowLastColumn="0" w:lastRowFirstColumn="0" w:lastRowLastColumn="0"/>
            <w:tcW w:w="2129" w:type="dxa"/>
          </w:tcPr>
          <w:p w:rsidR="003443BD" w:rsidRPr="003443BD" w:rsidRDefault="003443BD" w:rsidP="003443BD">
            <w:r w:rsidRPr="003443BD">
              <w:t>AER final decision</w:t>
            </w:r>
          </w:p>
        </w:tc>
        <w:tc>
          <w:tcPr>
            <w:tcW w:w="1268" w:type="dxa"/>
            <w:vAlign w:val="bottom"/>
          </w:tcPr>
          <w:p w:rsidR="003443BD" w:rsidRPr="003443BD" w:rsidRDefault="003443BD" w:rsidP="003443BD">
            <w:pPr>
              <w:cnfStyle w:val="000000000000" w:firstRow="0" w:lastRow="0" w:firstColumn="0" w:lastColumn="0" w:oddVBand="0" w:evenVBand="0" w:oddHBand="0" w:evenHBand="0" w:firstRowFirstColumn="0" w:firstRowLastColumn="0" w:lastRowFirstColumn="0" w:lastRowLastColumn="0"/>
            </w:pPr>
            <w:r w:rsidRPr="003443BD">
              <w:t>1.43</w:t>
            </w:r>
          </w:p>
        </w:tc>
        <w:tc>
          <w:tcPr>
            <w:tcW w:w="1269" w:type="dxa"/>
            <w:vAlign w:val="bottom"/>
          </w:tcPr>
          <w:p w:rsidR="003443BD" w:rsidRPr="003443BD" w:rsidRDefault="003443BD" w:rsidP="003443BD">
            <w:pPr>
              <w:cnfStyle w:val="000000000000" w:firstRow="0" w:lastRow="0" w:firstColumn="0" w:lastColumn="0" w:oddVBand="0" w:evenVBand="0" w:oddHBand="0" w:evenHBand="0" w:firstRowFirstColumn="0" w:firstRowLastColumn="0" w:lastRowFirstColumn="0" w:lastRowLastColumn="0"/>
            </w:pPr>
            <w:r w:rsidRPr="003443BD">
              <w:t>1.04</w:t>
            </w:r>
          </w:p>
        </w:tc>
        <w:tc>
          <w:tcPr>
            <w:tcW w:w="1268" w:type="dxa"/>
            <w:vAlign w:val="bottom"/>
          </w:tcPr>
          <w:p w:rsidR="003443BD" w:rsidRPr="003443BD" w:rsidRDefault="003443BD" w:rsidP="003443BD">
            <w:pPr>
              <w:cnfStyle w:val="000000000000" w:firstRow="0" w:lastRow="0" w:firstColumn="0" w:lastColumn="0" w:oddVBand="0" w:evenVBand="0" w:oddHBand="0" w:evenHBand="0" w:firstRowFirstColumn="0" w:firstRowLastColumn="0" w:lastRowFirstColumn="0" w:lastRowLastColumn="0"/>
            </w:pPr>
            <w:r w:rsidRPr="003443BD">
              <w:t>1.03</w:t>
            </w:r>
          </w:p>
        </w:tc>
        <w:tc>
          <w:tcPr>
            <w:tcW w:w="1269" w:type="dxa"/>
            <w:vAlign w:val="bottom"/>
          </w:tcPr>
          <w:p w:rsidR="003443BD" w:rsidRPr="003443BD" w:rsidRDefault="003443BD" w:rsidP="003443BD">
            <w:pPr>
              <w:cnfStyle w:val="000000000000" w:firstRow="0" w:lastRow="0" w:firstColumn="0" w:lastColumn="0" w:oddVBand="0" w:evenVBand="0" w:oddHBand="0" w:evenHBand="0" w:firstRowFirstColumn="0" w:firstRowLastColumn="0" w:lastRowFirstColumn="0" w:lastRowLastColumn="0"/>
            </w:pPr>
            <w:r w:rsidRPr="003443BD">
              <w:t>1.07</w:t>
            </w:r>
          </w:p>
        </w:tc>
        <w:tc>
          <w:tcPr>
            <w:tcW w:w="1269" w:type="dxa"/>
            <w:vAlign w:val="bottom"/>
          </w:tcPr>
          <w:p w:rsidR="003443BD" w:rsidRPr="003443BD" w:rsidRDefault="003443BD" w:rsidP="003443BD">
            <w:pPr>
              <w:cnfStyle w:val="000000000000" w:firstRow="0" w:lastRow="0" w:firstColumn="0" w:lastColumn="0" w:oddVBand="0" w:evenVBand="0" w:oddHBand="0" w:evenHBand="0" w:firstRowFirstColumn="0" w:firstRowLastColumn="0" w:lastRowFirstColumn="0" w:lastRowLastColumn="0"/>
            </w:pPr>
            <w:r w:rsidRPr="003443BD">
              <w:t>1.11</w:t>
            </w:r>
          </w:p>
        </w:tc>
      </w:tr>
    </w:tbl>
    <w:p w:rsidR="006E4316" w:rsidRPr="006E4316" w:rsidRDefault="006E4316" w:rsidP="005136CC">
      <w:pPr>
        <w:pStyle w:val="AERtablesource"/>
        <w:numPr>
          <w:ilvl w:val="0"/>
          <w:numId w:val="24"/>
        </w:numPr>
      </w:pPr>
      <w:r w:rsidRPr="006E4316">
        <w:t>Source:</w:t>
      </w:r>
      <w:r w:rsidRPr="006E4316">
        <w:tab/>
        <w:t xml:space="preserve">AER analysis. </w:t>
      </w:r>
    </w:p>
    <w:p w:rsidR="006D14B7" w:rsidRDefault="006E4316" w:rsidP="00165E00">
      <w:r w:rsidRPr="006E4316">
        <w:t>Our detailed assessment of the rate of change is outlined in appendix B</w:t>
      </w:r>
      <w:r w:rsidR="002B1C36">
        <w:t xml:space="preserve"> to this attachment</w:t>
      </w:r>
      <w:r w:rsidRPr="006E4316">
        <w:t>.</w:t>
      </w:r>
      <w:bookmarkStart w:id="41" w:name="_Toc415754591"/>
    </w:p>
    <w:p w:rsidR="006E4316" w:rsidRPr="006E4316" w:rsidRDefault="006E4316" w:rsidP="006E4316">
      <w:pPr>
        <w:pStyle w:val="Heading3"/>
      </w:pPr>
      <w:bookmarkStart w:id="42" w:name="_Toc417719013"/>
      <w:r w:rsidRPr="006E4316">
        <w:t>Step changes</w:t>
      </w:r>
      <w:bookmarkEnd w:id="41"/>
      <w:bookmarkEnd w:id="42"/>
    </w:p>
    <w:p w:rsidR="000271BB" w:rsidRPr="000271BB" w:rsidRDefault="006E4316" w:rsidP="000271BB">
      <w:pPr>
        <w:numPr>
          <w:ilvl w:val="0"/>
          <w:numId w:val="24"/>
        </w:numPr>
      </w:pPr>
      <w:r w:rsidRPr="006E4316">
        <w:t>We have not included any step changes in our alternative opex forecast</w:t>
      </w:r>
      <w:r w:rsidR="000271BB">
        <w:t>.</w:t>
      </w:r>
      <w:r w:rsidR="000271BB" w:rsidRPr="000271BB">
        <w:t xml:space="preserve"> </w:t>
      </w:r>
      <w:r w:rsidR="000271BB">
        <w:t>W</w:t>
      </w:r>
      <w:r w:rsidR="000271BB" w:rsidRPr="000271BB">
        <w:t>e consider our estimate of opex already reasonably reflects the opex a prudent and efficient service provider, with realistic estimates of demand forecasts and cost inputs (including operating and environmental factors), would require to achieve the opex objectives.</w:t>
      </w:r>
    </w:p>
    <w:p w:rsidR="006E4316" w:rsidRDefault="006E4316" w:rsidP="005136CC">
      <w:pPr>
        <w:numPr>
          <w:ilvl w:val="0"/>
          <w:numId w:val="24"/>
        </w:numPr>
      </w:pPr>
      <w:r w:rsidRPr="006E4316">
        <w:t>Our final position on step changes is the same as our draft position. Our detailed assessment of step changes is outlined in appendix C</w:t>
      </w:r>
      <w:r w:rsidR="002B1C36">
        <w:t xml:space="preserve"> to this attachment</w:t>
      </w:r>
      <w:r w:rsidRPr="006E4316">
        <w:t>.</w:t>
      </w:r>
    </w:p>
    <w:p w:rsidR="000271BB" w:rsidRDefault="000271BB" w:rsidP="005136CC">
      <w:pPr>
        <w:numPr>
          <w:ilvl w:val="0"/>
          <w:numId w:val="24"/>
        </w:numPr>
      </w:pPr>
    </w:p>
    <w:p w:rsidR="000C07DC" w:rsidRDefault="000C07DC" w:rsidP="000C07DC">
      <w:pPr>
        <w:pStyle w:val="Heading3"/>
      </w:pPr>
      <w:bookmarkStart w:id="43" w:name="_Toc417719014"/>
      <w:r>
        <w:lastRenderedPageBreak/>
        <w:t>Inflation</w:t>
      </w:r>
      <w:bookmarkEnd w:id="43"/>
    </w:p>
    <w:p w:rsidR="001B3260" w:rsidRPr="001B3260" w:rsidRDefault="001B3260" w:rsidP="001B3260">
      <w:r w:rsidRPr="001B3260">
        <w:t>For our draft decision, we lagged the inflation index we used to convert nominal opex amounts to real 2013–14 dollar terms. The lag used was consistent with the treatment of inflation in the roll forward model. Based on submissions received on our draft decision, we have conducted further analysis and agree there is no need to lag the inflation index for opex forecasting purposes for all our decisions.</w:t>
      </w:r>
      <w:r w:rsidRPr="001B3260">
        <w:rPr>
          <w:rStyle w:val="FootnoteReference"/>
        </w:rPr>
        <w:footnoteReference w:id="48"/>
      </w:r>
      <w:r w:rsidRPr="001B3260">
        <w:t xml:space="preserve"> Consequently we amended our opex model to apply the inflation index without any lag.</w:t>
      </w:r>
    </w:p>
    <w:p w:rsidR="006E4316" w:rsidRPr="006E4316" w:rsidRDefault="006E4316" w:rsidP="006E4316">
      <w:pPr>
        <w:pStyle w:val="Heading3"/>
      </w:pPr>
      <w:bookmarkStart w:id="44" w:name="_Toc415754592"/>
      <w:bookmarkStart w:id="45" w:name="_Toc417719015"/>
      <w:r w:rsidRPr="006E4316">
        <w:t>Debt raising costs</w:t>
      </w:r>
      <w:bookmarkEnd w:id="44"/>
      <w:bookmarkEnd w:id="45"/>
    </w:p>
    <w:p w:rsidR="007E0650" w:rsidRDefault="006E4316" w:rsidP="00C74791">
      <w:pPr>
        <w:rPr>
          <w:rStyle w:val="AERbody"/>
        </w:rPr>
      </w:pPr>
      <w:r w:rsidRPr="006E4316">
        <w:rPr>
          <w:rStyle w:val="AERbody"/>
        </w:rPr>
        <w:t>Debt raising costs are transaction costs incurred each time debt is raised or refinanced. We forecast them using our standard forecasting approach for this category which sets the forecast equal to the costs incurred by a benchmark firm. Our assessment approach and the reasons for those forecasts are set out in appendix H to attachment</w:t>
      </w:r>
      <w:r w:rsidR="00A70890">
        <w:rPr>
          <w:rStyle w:val="AERbody"/>
        </w:rPr>
        <w:t xml:space="preserve"> 3</w:t>
      </w:r>
      <w:r w:rsidRPr="006E4316">
        <w:rPr>
          <w:rStyle w:val="AERbody"/>
        </w:rPr>
        <w:t>.</w:t>
      </w:r>
    </w:p>
    <w:p w:rsidR="00E75C6B" w:rsidRDefault="00E75C6B" w:rsidP="005B4441">
      <w:pPr>
        <w:pStyle w:val="Heading2"/>
      </w:pPr>
      <w:bookmarkStart w:id="46" w:name="_Toc417465416"/>
      <w:bookmarkStart w:id="47" w:name="_Toc417465417"/>
      <w:bookmarkStart w:id="48" w:name="_Ref417643948"/>
      <w:bookmarkStart w:id="49" w:name="_Toc417719016"/>
      <w:bookmarkStart w:id="50" w:name="_Toc415754587"/>
      <w:bookmarkEnd w:id="46"/>
      <w:bookmarkEnd w:id="47"/>
      <w:r>
        <w:t xml:space="preserve">The impact of our </w:t>
      </w:r>
      <w:r w:rsidR="002B1C36">
        <w:t>decision</w:t>
      </w:r>
      <w:bookmarkEnd w:id="48"/>
      <w:bookmarkEnd w:id="49"/>
      <w:r>
        <w:t xml:space="preserve"> </w:t>
      </w:r>
      <w:bookmarkEnd w:id="50"/>
    </w:p>
    <w:p w:rsidR="00507E65" w:rsidRPr="00507E65" w:rsidRDefault="00507E65" w:rsidP="00507E65">
      <w:bookmarkStart w:id="51" w:name="_Ref397956595"/>
      <w:bookmarkStart w:id="52" w:name="_Toc387916729"/>
      <w:bookmarkStart w:id="53" w:name="_Toc415754588"/>
      <w:r w:rsidRPr="00507E65">
        <w:t>In response to our draft decision, the service providers submitted that our approach will increase the safety, reliability and security risk of their networks because they will need to immediately restructure, reduce staff and stop certain expenditure programs. They also consider the associated revenue reductions will adversely affect their financial viability and pose a risk to investment.</w:t>
      </w:r>
      <w:r w:rsidRPr="00507E65">
        <w:rPr>
          <w:rStyle w:val="FootnoteReference"/>
        </w:rPr>
        <w:footnoteReference w:id="49"/>
      </w:r>
      <w:r w:rsidRPr="00507E65">
        <w:t xml:space="preserve"> </w:t>
      </w:r>
    </w:p>
    <w:p w:rsidR="00507E65" w:rsidRPr="00507E65" w:rsidRDefault="00507E65" w:rsidP="00507E65">
      <w:r w:rsidRPr="00507E65">
        <w:t>The distributors also submit that if we were to implement the opex reductions from the draft decision, the NEL and NER require that we provide a realistic forecast of their actual costs while incentivising efficiency reductions over time in a realistic manner.</w:t>
      </w:r>
      <w:r w:rsidRPr="00507E65">
        <w:rPr>
          <w:rStyle w:val="FootnoteReference"/>
        </w:rPr>
        <w:footnoteReference w:id="50"/>
      </w:r>
      <w:r w:rsidRPr="00507E65">
        <w:t xml:space="preserve"> This includes:</w:t>
      </w:r>
    </w:p>
    <w:p w:rsidR="00507E65" w:rsidRPr="00507E65" w:rsidRDefault="00507E65" w:rsidP="00507E65">
      <w:pPr>
        <w:pStyle w:val="AERbulletlistfirststyle"/>
      </w:pPr>
      <w:r w:rsidRPr="00507E65">
        <w:t>redundancy costs, which the service providers submit are legitimate and prudent in a time of transformation</w:t>
      </w:r>
      <w:r w:rsidRPr="00507E65">
        <w:rPr>
          <w:rStyle w:val="FootnoteReference"/>
        </w:rPr>
        <w:footnoteReference w:id="51"/>
      </w:r>
    </w:p>
    <w:p w:rsidR="00507E65" w:rsidRPr="00507E65" w:rsidRDefault="00507E65" w:rsidP="00507E65">
      <w:pPr>
        <w:pStyle w:val="AERbulletlistfirststyle"/>
      </w:pPr>
      <w:r w:rsidRPr="00507E65">
        <w:t>a transition to mitigate the consequences of requiring  service providers to immediately review, and substantially reduce, expenditure.</w:t>
      </w:r>
      <w:r w:rsidRPr="00507E65">
        <w:rPr>
          <w:rStyle w:val="FootnoteReference"/>
        </w:rPr>
        <w:footnoteReference w:id="52"/>
      </w:r>
    </w:p>
    <w:p w:rsidR="00507E65" w:rsidRPr="00507E65" w:rsidRDefault="00507E65" w:rsidP="00507E65">
      <w:r w:rsidRPr="00507E65">
        <w:t>This section clarifies our approach in light of these submissions.</w:t>
      </w:r>
    </w:p>
    <w:p w:rsidR="00507E65" w:rsidRPr="00507E65" w:rsidRDefault="00507E65" w:rsidP="00507E65">
      <w:pPr>
        <w:pStyle w:val="Heading3"/>
      </w:pPr>
      <w:bookmarkStart w:id="54" w:name="_Toc417646239"/>
      <w:bookmarkStart w:id="55" w:name="_Toc417649204"/>
      <w:bookmarkStart w:id="56" w:name="_Toc417719017"/>
      <w:r w:rsidRPr="00507E65">
        <w:lastRenderedPageBreak/>
        <w:t>Safety and reliability</w:t>
      </w:r>
      <w:bookmarkEnd w:id="54"/>
      <w:bookmarkEnd w:id="55"/>
      <w:bookmarkEnd w:id="56"/>
      <w:r w:rsidRPr="00507E65">
        <w:t xml:space="preserve"> </w:t>
      </w:r>
    </w:p>
    <w:p w:rsidR="00507E65" w:rsidRPr="00507E65" w:rsidRDefault="00507E65" w:rsidP="00507E65">
      <w:pPr>
        <w:rPr>
          <w:rStyle w:val="AERbody"/>
        </w:rPr>
      </w:pPr>
      <w:r w:rsidRPr="00507E65">
        <w:rPr>
          <w:rStyle w:val="AERbody"/>
        </w:rPr>
        <w:t>The service providers have submitted that the reductions we are making to revenue based on our assessments of opex and capex will lead to safety and reliability risks. In making this submission, they are assuming that they would continue to run their businesses the way they are currently, but with less funds. Therefore, the service providers submit, they would need to scale back activities and reduce staff.</w:t>
      </w:r>
      <w:r w:rsidRPr="00507E65">
        <w:rPr>
          <w:rStyle w:val="FootnoteReference"/>
        </w:rPr>
        <w:footnoteReference w:id="53"/>
      </w:r>
      <w:r w:rsidRPr="00507E65">
        <w:rPr>
          <w:rStyle w:val="AERbody"/>
        </w:rPr>
        <w:t xml:space="preserve"> This reflects their view that their proposed total opex forecast reasonably reflects the opex criteria so they cannot provide standard control services for any lower amount.</w:t>
      </w:r>
      <w:r w:rsidRPr="00507E65">
        <w:rPr>
          <w:rStyle w:val="FootnoteReference"/>
        </w:rPr>
        <w:footnoteReference w:id="54"/>
      </w:r>
      <w:r w:rsidRPr="00507E65">
        <w:rPr>
          <w:rStyle w:val="AERbody"/>
        </w:rPr>
        <w:t xml:space="preserve"> </w:t>
      </w:r>
    </w:p>
    <w:p w:rsidR="00507E65" w:rsidRPr="00507E65" w:rsidRDefault="00507E65" w:rsidP="00507E65">
      <w:pPr>
        <w:rPr>
          <w:rStyle w:val="AERbody"/>
        </w:rPr>
      </w:pPr>
      <w:r w:rsidRPr="00507E65">
        <w:rPr>
          <w:rStyle w:val="AERbody"/>
        </w:rPr>
        <w:t xml:space="preserve">We recognise that service providers must meet their safety and reliability obligations. However, we must consider how much consumers should pay for a service provider to do so. The NER require that we determine a total forecast opex that includes the </w:t>
      </w:r>
      <w:r w:rsidRPr="00507E65">
        <w:rPr>
          <w:rStyle w:val="AERtextitalic"/>
        </w:rPr>
        <w:t xml:space="preserve">efficient </w:t>
      </w:r>
      <w:r w:rsidRPr="00507E65">
        <w:rPr>
          <w:rStyle w:val="AERbody"/>
        </w:rPr>
        <w:t xml:space="preserve">costs that a </w:t>
      </w:r>
      <w:r w:rsidRPr="00507E65">
        <w:rPr>
          <w:rStyle w:val="AERtextitalic"/>
        </w:rPr>
        <w:t>prudent operator</w:t>
      </w:r>
      <w:r w:rsidRPr="00507E65">
        <w:rPr>
          <w:rStyle w:val="AERbody"/>
        </w:rPr>
        <w:t xml:space="preserve"> would require to achieve the opex objectives (which include safety and reliability obligations).</w:t>
      </w:r>
    </w:p>
    <w:p w:rsidR="00507E65" w:rsidRPr="00507E65" w:rsidRDefault="00507E65" w:rsidP="00507E65">
      <w:pPr>
        <w:rPr>
          <w:rStyle w:val="AERbody"/>
        </w:rPr>
      </w:pPr>
      <w:r w:rsidRPr="00507E65">
        <w:rPr>
          <w:rStyle w:val="AERbody"/>
        </w:rPr>
        <w:t xml:space="preserve">As we explain below, benchmarking enables us to determine the efficient costs that a prudent operator would require to achieve the opex objectives because we are comparing the NSW service providers to all other service providers in the NEM. As we explain in section </w:t>
      </w:r>
      <w:r w:rsidRPr="00507E65">
        <w:rPr>
          <w:rStyle w:val="AERbody"/>
        </w:rPr>
        <w:fldChar w:fldCharType="begin"/>
      </w:r>
      <w:r w:rsidRPr="00507E65">
        <w:rPr>
          <w:rStyle w:val="AERbody"/>
        </w:rPr>
        <w:instrText xml:space="preserve"> REF _Ref417551822 \r \h </w:instrText>
      </w:r>
      <w:r w:rsidRPr="00507E65">
        <w:rPr>
          <w:rStyle w:val="AERbody"/>
        </w:rPr>
      </w:r>
      <w:r w:rsidRPr="00507E65">
        <w:rPr>
          <w:rStyle w:val="AERbody"/>
        </w:rPr>
        <w:fldChar w:fldCharType="separate"/>
      </w:r>
      <w:r w:rsidR="00C74791">
        <w:rPr>
          <w:rStyle w:val="AERbody"/>
        </w:rPr>
        <w:t>A.6</w:t>
      </w:r>
      <w:r w:rsidRPr="00507E65">
        <w:rPr>
          <w:rStyle w:val="AERbody"/>
        </w:rPr>
        <w:fldChar w:fldCharType="end"/>
      </w:r>
      <w:r w:rsidRPr="00507E65">
        <w:rPr>
          <w:rStyle w:val="AERbody"/>
        </w:rPr>
        <w:t>, all the NEM service providers are operating safe and reliable networks. Further, many are doing so for less cost than the NSW service providers.</w:t>
      </w:r>
    </w:p>
    <w:p w:rsidR="00507E65" w:rsidRPr="00507E65" w:rsidRDefault="00507E65" w:rsidP="00507E65">
      <w:pPr>
        <w:rPr>
          <w:rStyle w:val="AERbody"/>
        </w:rPr>
      </w:pPr>
      <w:r w:rsidRPr="00507E65">
        <w:rPr>
          <w:rStyle w:val="AERbody"/>
        </w:rPr>
        <w:t>To the extent that differences between service providers may exist, we 'normalise' for these differences when we assess operating environment factors. Based on this assessment, we reduce the performance gap between the NSW service providers and the benchmark comparison point.</w:t>
      </w:r>
    </w:p>
    <w:p w:rsidR="00507E65" w:rsidRPr="00507E65" w:rsidRDefault="00507E65" w:rsidP="00507E65">
      <w:r w:rsidRPr="00507E65">
        <w:rPr>
          <w:rStyle w:val="AERbody"/>
        </w:rPr>
        <w:t xml:space="preserve">Importantly, </w:t>
      </w:r>
      <w:r w:rsidRPr="00507E65">
        <w:t xml:space="preserve">service providers have the flexibility (and indeed the responsibility) to reallocate funds and resources during the regulatory period in response to changing circumstances, events and risks. Service providers are not constrained to current plans and processes or by the assumptions and forecasts in either their proposals or the determinations we make. This may require a departure from a business as usual approach. </w:t>
      </w:r>
    </w:p>
    <w:p w:rsidR="00507E65" w:rsidRPr="00507E65" w:rsidRDefault="00507E65" w:rsidP="00507E65">
      <w:pPr>
        <w:rPr>
          <w:rStyle w:val="AERbody"/>
        </w:rPr>
      </w:pPr>
      <w:r w:rsidRPr="00507E65">
        <w:t>We recognise that the NSW service providers may continue to incur costs above efficient levels due to, for example, their EBAs or other practices they have in place that prevents them from easily reducing costs. However, their shareholders, not consumers, must bear these costs.</w:t>
      </w:r>
    </w:p>
    <w:p w:rsidR="00507E65" w:rsidRPr="00507E65" w:rsidRDefault="00507E65" w:rsidP="00507E65">
      <w:pPr>
        <w:rPr>
          <w:rStyle w:val="AERbody"/>
        </w:rPr>
      </w:pPr>
      <w:r w:rsidRPr="00507E65">
        <w:rPr>
          <w:rStyle w:val="AERbody"/>
        </w:rPr>
        <w:t xml:space="preserve">We are not satisfied that the service providers have provided sufficient evidence to support these claims such that we would change our approach to safety and reliability from the approach set out in our draft decision. We consider that our approach, </w:t>
      </w:r>
      <w:r w:rsidRPr="00507E65">
        <w:rPr>
          <w:rStyle w:val="AERbody"/>
        </w:rPr>
        <w:lastRenderedPageBreak/>
        <w:t>including our use of benchmarking, appropriately accounts for safety and reliability obligations because:</w:t>
      </w:r>
    </w:p>
    <w:p w:rsidR="00507E65" w:rsidRPr="00507E65" w:rsidRDefault="00507E65" w:rsidP="00507E65">
      <w:pPr>
        <w:pStyle w:val="AERbulletlistfirststyle"/>
        <w:rPr>
          <w:rStyle w:val="AERbody"/>
        </w:rPr>
      </w:pPr>
      <w:r w:rsidRPr="00507E65">
        <w:rPr>
          <w:rStyle w:val="AERbody"/>
        </w:rPr>
        <w:t>service providers at and above our benchmark comparison point are meeting their safety and reliability obligations at lower cost</w:t>
      </w:r>
    </w:p>
    <w:p w:rsidR="00507E65" w:rsidRPr="00507E65" w:rsidRDefault="00507E65" w:rsidP="00507E65">
      <w:pPr>
        <w:pStyle w:val="AERbulletlistfirststyle"/>
        <w:rPr>
          <w:rStyle w:val="AERbody"/>
        </w:rPr>
      </w:pPr>
      <w:r w:rsidRPr="00507E65">
        <w:rPr>
          <w:rStyle w:val="AERbody"/>
        </w:rPr>
        <w:t>our decisions set the revenue service providers can recover from consumers, but  do not direct or constrain the quantum or allocation of a service provider's spending</w:t>
      </w:r>
    </w:p>
    <w:p w:rsidR="00507E65" w:rsidRPr="00507E65" w:rsidRDefault="00507E65" w:rsidP="00507E65">
      <w:pPr>
        <w:pStyle w:val="AERbulletlistfirststyle"/>
        <w:rPr>
          <w:rStyle w:val="AERbody"/>
        </w:rPr>
      </w:pPr>
      <w:r w:rsidRPr="00507E65">
        <w:rPr>
          <w:rStyle w:val="AERbody"/>
        </w:rPr>
        <w:t>the enforcement of safety regulations is not determined by the quantum of regulatory revenue.</w:t>
      </w:r>
    </w:p>
    <w:p w:rsidR="00507E65" w:rsidRPr="00507E65" w:rsidRDefault="00507E65" w:rsidP="00507E65">
      <w:pPr>
        <w:rPr>
          <w:rStyle w:val="AERbody"/>
        </w:rPr>
      </w:pPr>
      <w:r w:rsidRPr="00507E65">
        <w:rPr>
          <w:rStyle w:val="AERbody"/>
        </w:rPr>
        <w:t xml:space="preserve">We also address some specific safety submissions the service providers have raised in relation to bushfire risk and insurance. </w:t>
      </w:r>
      <w:bookmarkStart w:id="57" w:name="_Toc417483309"/>
      <w:bookmarkStart w:id="58" w:name="_Toc417646240"/>
    </w:p>
    <w:p w:rsidR="00507E65" w:rsidRPr="00507E65" w:rsidRDefault="00507E65" w:rsidP="00507E65">
      <w:pPr>
        <w:pStyle w:val="HeadingBoldBlue"/>
      </w:pPr>
      <w:r w:rsidRPr="00507E65">
        <w:t>The effect of using benchmarking on safety and reliability</w:t>
      </w:r>
      <w:bookmarkEnd w:id="57"/>
      <w:bookmarkEnd w:id="58"/>
    </w:p>
    <w:p w:rsidR="00507E65" w:rsidRPr="00507E65" w:rsidRDefault="00507E65" w:rsidP="00507E65">
      <w:pPr>
        <w:rPr>
          <w:rStyle w:val="AERbody"/>
        </w:rPr>
      </w:pPr>
      <w:r w:rsidRPr="00507E65">
        <w:rPr>
          <w:rStyle w:val="AERbody"/>
        </w:rPr>
        <w:t xml:space="preserve">As we explain above, we use several assessment techniques—including benchmarking—to assess the efficiency of revealed opex and determine whether we need to adjust them before building up our alternative estimate. </w:t>
      </w:r>
    </w:p>
    <w:p w:rsidR="00507E65" w:rsidRPr="00507E65" w:rsidRDefault="00507E65" w:rsidP="00507E65">
      <w:pPr>
        <w:rPr>
          <w:rStyle w:val="AERbody"/>
        </w:rPr>
      </w:pPr>
      <w:r w:rsidRPr="00507E65">
        <w:rPr>
          <w:rStyle w:val="AERbody"/>
        </w:rPr>
        <w:t xml:space="preserve">In section </w:t>
      </w:r>
      <w:r w:rsidRPr="00507E65">
        <w:rPr>
          <w:rStyle w:val="AERbody"/>
        </w:rPr>
        <w:fldChar w:fldCharType="begin"/>
      </w:r>
      <w:r w:rsidRPr="00507E65">
        <w:rPr>
          <w:rStyle w:val="AERbody"/>
        </w:rPr>
        <w:instrText xml:space="preserve"> REF _Ref417551812 \n \h </w:instrText>
      </w:r>
      <w:r w:rsidRPr="00507E65">
        <w:rPr>
          <w:rStyle w:val="AERbody"/>
        </w:rPr>
      </w:r>
      <w:r w:rsidRPr="00507E65">
        <w:rPr>
          <w:rStyle w:val="AERbody"/>
        </w:rPr>
        <w:fldChar w:fldCharType="separate"/>
      </w:r>
      <w:r w:rsidR="00C74791">
        <w:rPr>
          <w:rStyle w:val="AERbody"/>
        </w:rPr>
        <w:t>A.4</w:t>
      </w:r>
      <w:r w:rsidRPr="00507E65">
        <w:rPr>
          <w:rStyle w:val="AERbody"/>
        </w:rPr>
        <w:fldChar w:fldCharType="end"/>
      </w:r>
      <w:r w:rsidRPr="00507E65">
        <w:rPr>
          <w:rStyle w:val="AERbody"/>
        </w:rPr>
        <w:t xml:space="preserve">, we explain that we do not apply any benchmarking techniques 'deterministically' or 'mechanically'. As foreshadowed in the Guideline, improved data and the development of  benchmarking has  improved our ability, over simply using revealed costs, to determine a total opex forecast that reasonably reflects the opex criteria. In section </w:t>
      </w:r>
      <w:r w:rsidRPr="00507E65">
        <w:rPr>
          <w:rStyle w:val="AERbody"/>
        </w:rPr>
        <w:fldChar w:fldCharType="begin"/>
      </w:r>
      <w:r w:rsidRPr="00507E65">
        <w:rPr>
          <w:rStyle w:val="AERbody"/>
        </w:rPr>
        <w:instrText xml:space="preserve"> REF _Ref416803943 \n \h </w:instrText>
      </w:r>
      <w:r w:rsidRPr="00507E65">
        <w:rPr>
          <w:rStyle w:val="AERbody"/>
        </w:rPr>
      </w:r>
      <w:r w:rsidRPr="00507E65">
        <w:rPr>
          <w:rStyle w:val="AERbody"/>
        </w:rPr>
        <w:fldChar w:fldCharType="separate"/>
      </w:r>
      <w:r w:rsidR="00C74791">
        <w:rPr>
          <w:rStyle w:val="AERbody"/>
        </w:rPr>
        <w:t>A.7</w:t>
      </w:r>
      <w:r w:rsidRPr="00507E65">
        <w:rPr>
          <w:rStyle w:val="AERbody"/>
        </w:rPr>
        <w:fldChar w:fldCharType="end"/>
      </w:r>
      <w:r w:rsidRPr="00507E65">
        <w:rPr>
          <w:rStyle w:val="AERbody"/>
        </w:rPr>
        <w:t xml:space="preserve"> we explain how we use benchmarking to set a 'comparison point', to which we compare the service provider's opex efficiency. </w:t>
      </w:r>
    </w:p>
    <w:p w:rsidR="00507E65" w:rsidRPr="00507E65" w:rsidRDefault="00507E65" w:rsidP="00507E65">
      <w:pPr>
        <w:rPr>
          <w:rStyle w:val="AERbody"/>
        </w:rPr>
      </w:pPr>
      <w:r w:rsidRPr="00507E65">
        <w:rPr>
          <w:rStyle w:val="AERbody"/>
        </w:rPr>
        <w:t>In doing this, we are appropriately determining an estimate of total forecast opex that is sufficient for a prudent and efficient service provider (facing the same exogenous circumstances as the service provider we are assessing) to meet its safety and reliability obligations, in light of realistic expectations of demand and cost inputs for such a service provider. This is because benchmarking enables us to compare the service provider we are assessing to the 'comparison' service providers that have efficiently achieved their legislated safety and reliability obligations over the benchmark period.</w:t>
      </w:r>
    </w:p>
    <w:p w:rsidR="00507E65" w:rsidRPr="00507E65" w:rsidRDefault="00507E65" w:rsidP="00507E65">
      <w:pPr>
        <w:rPr>
          <w:rStyle w:val="AERbody"/>
        </w:rPr>
      </w:pPr>
      <w:r w:rsidRPr="00507E65">
        <w:rPr>
          <w:rStyle w:val="AERbody"/>
        </w:rPr>
        <w:t xml:space="preserve">However, to the extent differences may exist, we consider whether they will have an impact on benchmarking performance as part of our assessment of operating environment factors. As we explain in section </w:t>
      </w:r>
      <w:r w:rsidRPr="00507E65">
        <w:rPr>
          <w:rStyle w:val="AERbody"/>
        </w:rPr>
        <w:fldChar w:fldCharType="begin"/>
      </w:r>
      <w:r w:rsidRPr="00507E65">
        <w:rPr>
          <w:rStyle w:val="AERbody"/>
        </w:rPr>
        <w:instrText xml:space="preserve"> REF _Ref417551822 \r \h </w:instrText>
      </w:r>
      <w:r w:rsidRPr="00507E65">
        <w:rPr>
          <w:rStyle w:val="AERbody"/>
        </w:rPr>
      </w:r>
      <w:r w:rsidRPr="00507E65">
        <w:rPr>
          <w:rStyle w:val="AERbody"/>
        </w:rPr>
        <w:fldChar w:fldCharType="separate"/>
      </w:r>
      <w:r w:rsidR="00C74791">
        <w:rPr>
          <w:rStyle w:val="AERbody"/>
        </w:rPr>
        <w:t>A.6</w:t>
      </w:r>
      <w:r w:rsidRPr="00507E65">
        <w:rPr>
          <w:rStyle w:val="AERbody"/>
        </w:rPr>
        <w:fldChar w:fldCharType="end"/>
      </w:r>
      <w:r w:rsidRPr="00507E65">
        <w:rPr>
          <w:rStyle w:val="AERbody"/>
        </w:rPr>
        <w:t xml:space="preserve">, we take into account all </w:t>
      </w:r>
      <w:r w:rsidR="006B7B34" w:rsidRPr="00507E65">
        <w:rPr>
          <w:rStyle w:val="AERbody"/>
        </w:rPr>
        <w:t>factors that</w:t>
      </w:r>
      <w:r w:rsidRPr="00507E65">
        <w:rPr>
          <w:rStyle w:val="AERbody"/>
        </w:rPr>
        <w:t xml:space="preserve"> we reasonably consider are exogenous and non-duplicative. These factors can result in substantial adjustments, providing additional opex to reflect the particular exogenous circumstances of each service provider. Several of these factors are directly relevant to safety and reliability, such as an allowance for different OH&amp;S regulations and licence conditions. We have adopted a conservative approach to factors which are individually immaterial but may have a collective impact. </w:t>
      </w:r>
    </w:p>
    <w:p w:rsidR="00507E65" w:rsidRPr="00507E65" w:rsidRDefault="006B7B34" w:rsidP="00507E65">
      <w:pPr>
        <w:rPr>
          <w:rStyle w:val="AERbody"/>
        </w:rPr>
      </w:pPr>
      <w:r w:rsidRPr="00507E65">
        <w:rPr>
          <w:rStyle w:val="AERbody"/>
        </w:rPr>
        <w:lastRenderedPageBreak/>
        <w:t xml:space="preserve">Otherwise, however, our examination in section </w:t>
      </w:r>
      <w:r w:rsidRPr="00507E65">
        <w:rPr>
          <w:rStyle w:val="AERbody"/>
        </w:rPr>
        <w:fldChar w:fldCharType="begin"/>
      </w:r>
      <w:r w:rsidRPr="00507E65">
        <w:rPr>
          <w:rStyle w:val="AERbody"/>
        </w:rPr>
        <w:instrText xml:space="preserve"> REF _Ref417551822 \r \h </w:instrText>
      </w:r>
      <w:r w:rsidRPr="00507E65">
        <w:rPr>
          <w:rStyle w:val="AERbody"/>
        </w:rPr>
      </w:r>
      <w:r w:rsidRPr="00507E65">
        <w:rPr>
          <w:rStyle w:val="AERbody"/>
        </w:rPr>
        <w:fldChar w:fldCharType="separate"/>
      </w:r>
      <w:r>
        <w:rPr>
          <w:rStyle w:val="AERbody"/>
        </w:rPr>
        <w:t>A.6</w:t>
      </w:r>
      <w:r w:rsidRPr="00507E65">
        <w:rPr>
          <w:rStyle w:val="AERbody"/>
        </w:rPr>
        <w:fldChar w:fldCharType="end"/>
      </w:r>
      <w:r w:rsidRPr="00507E65">
        <w:rPr>
          <w:rStyle w:val="AERbody"/>
        </w:rPr>
        <w:t xml:space="preserve"> of safety metrics for all service providers (including those who form part of our benchmark comparison point</w:t>
      </w:r>
      <w:r w:rsidRPr="00507E65">
        <w:rPr>
          <w:rStyle w:val="FootnoteReference"/>
        </w:rPr>
        <w:footnoteReference w:id="55"/>
      </w:r>
      <w:r w:rsidRPr="00507E65">
        <w:rPr>
          <w:rStyle w:val="AERbody"/>
        </w:rPr>
        <w:t xml:space="preserve">) demonstrates that the comparator providers have managed to safely meet the requirements to provide standard control services in the relevant period. </w:t>
      </w:r>
      <w:r w:rsidR="00507E65" w:rsidRPr="00507E65">
        <w:rPr>
          <w:rStyle w:val="AERbody"/>
        </w:rPr>
        <w:t>The comparator firms also operate reliable networks. Therefore, the service providers under assessment can operate safe and reliable networks but for a lower cost.</w:t>
      </w:r>
    </w:p>
    <w:p w:rsidR="00507E65" w:rsidRPr="00507E65" w:rsidRDefault="00507E65" w:rsidP="00507E65">
      <w:pPr>
        <w:rPr>
          <w:rStyle w:val="AERbody"/>
        </w:rPr>
      </w:pPr>
      <w:r w:rsidRPr="00507E65">
        <w:rPr>
          <w:rStyle w:val="AERbody"/>
        </w:rPr>
        <w:t>Further, reliability is also included in our MTFP and opex MPFP benchmarking, which we use to cross-check our preferred benchmarking technique. Given the consistency in results across our benchmarking techniques, we can consider that the benchmark opex amounts will not undercompensate for reliability.</w:t>
      </w:r>
    </w:p>
    <w:p w:rsidR="005B4441" w:rsidRPr="005B4441" w:rsidRDefault="005B4441" w:rsidP="005B4441">
      <w:pPr>
        <w:rPr>
          <w:rStyle w:val="AERbody"/>
        </w:rPr>
      </w:pPr>
      <w:r w:rsidRPr="005B4441">
        <w:t xml:space="preserve">In addition, in our final decision on total forecast capex, our alternative estimate of capex is greater than what we approved in our draft decision. </w:t>
      </w:r>
      <w:r w:rsidRPr="005B4441">
        <w:rPr>
          <w:rStyle w:val="AERbody"/>
        </w:rPr>
        <w:t xml:space="preserve"> In particular we have:</w:t>
      </w:r>
    </w:p>
    <w:p w:rsidR="005B4441" w:rsidRPr="005B4441" w:rsidRDefault="005B4441" w:rsidP="005B4441">
      <w:pPr>
        <w:pStyle w:val="AERbulletlistfirststyle"/>
        <w:rPr>
          <w:rStyle w:val="AERbody"/>
        </w:rPr>
      </w:pPr>
      <w:r w:rsidRPr="005B4441">
        <w:rPr>
          <w:rStyle w:val="AERbody"/>
        </w:rPr>
        <w:t xml:space="preserve">accepted a large portion of </w:t>
      </w:r>
      <w:r>
        <w:rPr>
          <w:rStyle w:val="AERbody"/>
        </w:rPr>
        <w:t>Essential Energy</w:t>
      </w:r>
      <w:r w:rsidRPr="005B4441">
        <w:rPr>
          <w:rStyle w:val="AERbody"/>
        </w:rPr>
        <w:t>'s proposed augex; and</w:t>
      </w:r>
    </w:p>
    <w:p w:rsidR="005B4441" w:rsidRPr="005B4441" w:rsidRDefault="005B4441" w:rsidP="005B4441">
      <w:pPr>
        <w:pStyle w:val="AERbulletlistfirststyle"/>
        <w:rPr>
          <w:rStyle w:val="AERbody"/>
        </w:rPr>
      </w:pPr>
      <w:r w:rsidRPr="005B4441">
        <w:t>taken into account recent replacement practices in conjunction with an engineering review of forecast repex requirements</w:t>
      </w:r>
      <w:r w:rsidRPr="005B4441">
        <w:rPr>
          <w:rStyle w:val="AERbody"/>
        </w:rPr>
        <w:t xml:space="preserve">. </w:t>
      </w:r>
    </w:p>
    <w:p w:rsidR="005B4441" w:rsidRPr="005B4441" w:rsidRDefault="005B4441" w:rsidP="005B4441">
      <w:r w:rsidRPr="005B4441">
        <w:rPr>
          <w:rStyle w:val="AERbody"/>
        </w:rPr>
        <w:t>While capex is the subject of a separate forecast, many service providers have made broad statements about the combined effect of opex and capex reductions on safety.</w:t>
      </w:r>
      <w:r w:rsidRPr="005B4441">
        <w:rPr>
          <w:rStyle w:val="FootnoteReference"/>
        </w:rPr>
        <w:footnoteReference w:id="56"/>
      </w:r>
      <w:r w:rsidRPr="005B4441">
        <w:rPr>
          <w:rStyle w:val="AERbody"/>
        </w:rPr>
        <w:t xml:space="preserve"> </w:t>
      </w:r>
      <w:r w:rsidRPr="005B4441">
        <w:t xml:space="preserve">In arriving at our substitute estimate of total forecast capex, we specifically took into </w:t>
      </w:r>
      <w:r w:rsidRPr="005B4441">
        <w:rPr>
          <w:rStyle w:val="AERbody"/>
        </w:rPr>
        <w:t xml:space="preserve">account </w:t>
      </w:r>
      <w:r>
        <w:rPr>
          <w:rStyle w:val="AERbody"/>
        </w:rPr>
        <w:t>Essential Energy</w:t>
      </w:r>
      <w:r w:rsidRPr="005B4441">
        <w:rPr>
          <w:rStyle w:val="AERbody"/>
        </w:rPr>
        <w:t>'s ability to meet</w:t>
      </w:r>
      <w:r w:rsidRPr="005B4441">
        <w:t xml:space="preserve"> safety and reliability requirements and obligations.  The higher total forecast capex in this final decision is sufficient to meets these requirements and obligations. We consider this should ameliorate the points raised about the implications for safety both in relation to the capex required to address safety and the impact of any overall reduction in capex and opex combined.</w:t>
      </w:r>
    </w:p>
    <w:p w:rsidR="005B4441" w:rsidRPr="005B4441" w:rsidRDefault="005B4441" w:rsidP="005B4441">
      <w:pPr>
        <w:pStyle w:val="HeadingBoldBlue"/>
        <w:rPr>
          <w:rStyle w:val="AERbody"/>
          <w:color w:val="70635A" w:themeColor="text2"/>
          <w:sz w:val="28"/>
        </w:rPr>
      </w:pPr>
      <w:bookmarkStart w:id="59" w:name="_Toc417465421"/>
      <w:r w:rsidRPr="005B4441">
        <w:rPr>
          <w:rStyle w:val="AERbody"/>
          <w:color w:val="70635A" w:themeColor="text2"/>
          <w:sz w:val="28"/>
        </w:rPr>
        <w:t>The AER does not direct or constrain service provider spending</w:t>
      </w:r>
      <w:bookmarkEnd w:id="59"/>
    </w:p>
    <w:p w:rsidR="00507E65" w:rsidRPr="00507E65" w:rsidRDefault="00507E65" w:rsidP="00507E65">
      <w:pPr>
        <w:rPr>
          <w:rStyle w:val="AERbody"/>
        </w:rPr>
      </w:pPr>
      <w:bookmarkStart w:id="60" w:name="_Toc415754593"/>
      <w:bookmarkEnd w:id="51"/>
      <w:bookmarkEnd w:id="52"/>
      <w:bookmarkEnd w:id="53"/>
      <w:r w:rsidRPr="00507E65">
        <w:rPr>
          <w:rStyle w:val="AERbody"/>
        </w:rPr>
        <w:t>The service provider's submissions also suggested that, in determining total forecast opex, we were setting a "constraint"</w:t>
      </w:r>
      <w:r w:rsidRPr="00507E65">
        <w:rPr>
          <w:rStyle w:val="FootnoteReference"/>
        </w:rPr>
        <w:footnoteReference w:id="57"/>
      </w:r>
      <w:r w:rsidRPr="00507E65">
        <w:rPr>
          <w:rStyle w:val="AERbody"/>
        </w:rPr>
        <w:t xml:space="preserve"> or requiring service providers to make "immediate job reductions."</w:t>
      </w:r>
      <w:r w:rsidRPr="00507E65">
        <w:rPr>
          <w:rStyle w:val="FootnoteReference"/>
        </w:rPr>
        <w:footnoteReference w:id="58"/>
      </w:r>
      <w:r w:rsidRPr="00507E65">
        <w:rPr>
          <w:rStyle w:val="AERbody"/>
        </w:rPr>
        <w:t xml:space="preserve"> Some submissions criticised us for failing to conduct "bottom up" reviews of expenditure.</w:t>
      </w:r>
      <w:r w:rsidRPr="00507E65">
        <w:rPr>
          <w:rStyle w:val="FootnoteReference"/>
        </w:rPr>
        <w:footnoteReference w:id="59"/>
      </w:r>
      <w:r w:rsidRPr="00507E65">
        <w:rPr>
          <w:rStyle w:val="AERbody"/>
        </w:rPr>
        <w:t xml:space="preserve"> Essential Energy also submits that our </w:t>
      </w:r>
      <w:r w:rsidRPr="00507E65">
        <w:rPr>
          <w:rStyle w:val="AERbody"/>
        </w:rPr>
        <w:lastRenderedPageBreak/>
        <w:t>assessment of its labour practices as inefficient means that we are attempting to unilaterally and retrospectively void its EBA obligations.</w:t>
      </w:r>
      <w:r w:rsidRPr="00507E65">
        <w:rPr>
          <w:rStyle w:val="FootnoteReference"/>
        </w:rPr>
        <w:footnoteReference w:id="60"/>
      </w:r>
      <w:r w:rsidRPr="00507E65">
        <w:rPr>
          <w:rStyle w:val="AERbody"/>
        </w:rPr>
        <w:t xml:space="preserve"> </w:t>
      </w:r>
    </w:p>
    <w:p w:rsidR="00507E65" w:rsidRPr="00507E65" w:rsidRDefault="00507E65" w:rsidP="00507E65">
      <w:pPr>
        <w:rPr>
          <w:rStyle w:val="AERbody"/>
        </w:rPr>
      </w:pPr>
      <w:r w:rsidRPr="00507E65">
        <w:rPr>
          <w:rStyle w:val="AERbody"/>
        </w:rPr>
        <w:t xml:space="preserve">The assumption inherent in these statements is that we determine, dictate and limit what service providers can spend. This assumption also appears in the consultant reports relied on by the service providers. For example: </w:t>
      </w:r>
    </w:p>
    <w:p w:rsidR="00507E65" w:rsidRPr="00507E65" w:rsidRDefault="00507E65" w:rsidP="00507E65">
      <w:pPr>
        <w:pStyle w:val="AERbulletlistfirststyle"/>
        <w:rPr>
          <w:rStyle w:val="AERbody"/>
        </w:rPr>
      </w:pPr>
      <w:r w:rsidRPr="00507E65">
        <w:rPr>
          <w:rStyle w:val="AERbody"/>
        </w:rPr>
        <w:t>CEPA assesses our adjustment as "an immediate and full change in the [price level]."</w:t>
      </w:r>
      <w:r w:rsidRPr="00507E65">
        <w:rPr>
          <w:rStyle w:val="FootnoteReference"/>
        </w:rPr>
        <w:footnoteReference w:id="61"/>
      </w:r>
    </w:p>
    <w:p w:rsidR="00507E65" w:rsidRPr="00507E65" w:rsidRDefault="00507E65" w:rsidP="00507E65">
      <w:pPr>
        <w:pStyle w:val="AERbulletlistfirststyle"/>
        <w:rPr>
          <w:rStyle w:val="AERbody"/>
        </w:rPr>
      </w:pPr>
      <w:r w:rsidRPr="00507E65">
        <w:rPr>
          <w:rStyle w:val="AERbody"/>
        </w:rPr>
        <w:t>R2A cites an "indication" from its client, Endeavour Energy, that our draft decision would result in "immediate job reductions" and have an "immediate and major impact" on inspections</w:t>
      </w:r>
      <w:r w:rsidRPr="00507E65">
        <w:rPr>
          <w:rStyle w:val="FootnoteReference"/>
        </w:rPr>
        <w:footnoteReference w:id="62"/>
      </w:r>
      <w:r w:rsidRPr="00507E65">
        <w:rPr>
          <w:rStyle w:val="AERbody"/>
        </w:rPr>
        <w:t xml:space="preserve"> (though the report also notes that the consequences of the latter would not really show up until the fifth year of the regulatory period).</w:t>
      </w:r>
      <w:r w:rsidRPr="00507E65">
        <w:rPr>
          <w:rStyle w:val="FootnoteReference"/>
        </w:rPr>
        <w:footnoteReference w:id="63"/>
      </w:r>
      <w:r w:rsidRPr="00507E65">
        <w:rPr>
          <w:rStyle w:val="AERbody"/>
        </w:rPr>
        <w:t xml:space="preserve"> </w:t>
      </w:r>
    </w:p>
    <w:p w:rsidR="00507E65" w:rsidRPr="00507E65" w:rsidRDefault="00507E65" w:rsidP="00507E65">
      <w:pPr>
        <w:pStyle w:val="AERbulletlistfirststyle"/>
        <w:rPr>
          <w:rStyle w:val="AERbody"/>
        </w:rPr>
      </w:pPr>
      <w:r w:rsidRPr="00507E65">
        <w:rPr>
          <w:rStyle w:val="AERbody"/>
        </w:rPr>
        <w:t>AON, in advising on increased insurance premiums and potential withdrawal of insurer support, proceeds from the assumption that service providers will maintain the same percentage of opex forecast allocation to vegetation management. AON therefore assumes the service providers have no flexibility to reallocate spending within the opex forecast and no capacity for a service provider to choose to fund its own additional spending.</w:t>
      </w:r>
      <w:r w:rsidRPr="00507E65">
        <w:rPr>
          <w:rStyle w:val="FootnoteReference"/>
        </w:rPr>
        <w:footnoteReference w:id="64"/>
      </w:r>
    </w:p>
    <w:p w:rsidR="00507E65" w:rsidRPr="00507E65" w:rsidRDefault="00507E65" w:rsidP="00507E65">
      <w:pPr>
        <w:rPr>
          <w:rStyle w:val="AERbody"/>
        </w:rPr>
      </w:pPr>
      <w:r w:rsidRPr="00507E65">
        <w:rPr>
          <w:rStyle w:val="AERbody"/>
        </w:rPr>
        <w:t>This assumption is incorrect. We do not determine, dictate or limit what service providers can spend. As the AEMC notes, we determine the revenue required by a prudent and efficient service provider in a workably competitive market.</w:t>
      </w:r>
      <w:r w:rsidRPr="00507E65">
        <w:rPr>
          <w:rStyle w:val="FootnoteReference"/>
        </w:rPr>
        <w:footnoteReference w:id="65"/>
      </w:r>
      <w:r w:rsidRPr="00507E65">
        <w:rPr>
          <w:rStyle w:val="AERbody"/>
        </w:rPr>
        <w:t xml:space="preserve"> We allow service providers to recover this revenue from consumers. It is for a service provider to take this revenue and direct it as it sees fit, including by changing its behaviour to meet new or changing circumstances.</w:t>
      </w:r>
      <w:r w:rsidRPr="00507E65">
        <w:rPr>
          <w:rStyle w:val="FootnoteReference"/>
        </w:rPr>
        <w:footnoteReference w:id="66"/>
      </w:r>
      <w:r w:rsidRPr="00507E65">
        <w:rPr>
          <w:rStyle w:val="AERbody"/>
        </w:rPr>
        <w:t xml:space="preserve"> </w:t>
      </w:r>
    </w:p>
    <w:p w:rsidR="00507E65" w:rsidRPr="00507E65" w:rsidRDefault="00507E65" w:rsidP="00507E65">
      <w:pPr>
        <w:rPr>
          <w:rStyle w:val="AERbody"/>
        </w:rPr>
      </w:pPr>
      <w:r w:rsidRPr="00507E65">
        <w:rPr>
          <w:rStyle w:val="AERbody"/>
        </w:rPr>
        <w:t>Accordingly if a service provider, for whatever reason, wishes to spend above what we have determined to be prudent, efficient and realistic costs to achieve the opex objectives (for example because it has entered into a particular contract or it has decided to maintain activities at a level which require resourcing above an efficient cost level), it could do so. Alternatively, if the service provider considered its opex forecast should be spent differently to our alternative estimate or to its own proposal, including to achieve longer term efficiencies, it is entitled to do so.</w:t>
      </w:r>
    </w:p>
    <w:p w:rsidR="00507E65" w:rsidRPr="00507E65" w:rsidRDefault="00507E65" w:rsidP="00507E65">
      <w:pPr>
        <w:rPr>
          <w:rStyle w:val="AERbody"/>
        </w:rPr>
      </w:pPr>
      <w:r w:rsidRPr="00507E65">
        <w:rPr>
          <w:rStyle w:val="AERbody"/>
        </w:rPr>
        <w:t>To the extent that service provider incurs costs above efficient levels, the service provider—not consumers—must bear these costs.</w:t>
      </w:r>
    </w:p>
    <w:p w:rsidR="00507E65" w:rsidRPr="00507E65" w:rsidRDefault="00507E65" w:rsidP="00507E65">
      <w:pPr>
        <w:rPr>
          <w:rStyle w:val="AERbody"/>
        </w:rPr>
      </w:pPr>
      <w:r w:rsidRPr="00507E65">
        <w:rPr>
          <w:rStyle w:val="AERbody"/>
        </w:rPr>
        <w:lastRenderedPageBreak/>
        <w:t>In assessing the proposals put to us by service providers our task is to assess efficient costs that can be recovered by the service provider from its customers. We acknowledge and accept that a service provider may choose to spend in excess of the revenue that we have determined would be required of a prudent and efficient service provider (facing the relevant NSW service provider's exogenous circumstances). However, as noted by the AEMC in the 2012 Rule Determination:</w:t>
      </w:r>
      <w:r w:rsidRPr="00507E65">
        <w:rPr>
          <w:rStyle w:val="FootnoteReference"/>
        </w:rPr>
        <w:footnoteReference w:id="67"/>
      </w:r>
    </w:p>
    <w:p w:rsidR="00507E65" w:rsidRPr="00507E65" w:rsidRDefault="00507E65" w:rsidP="00507E65">
      <w:pPr>
        <w:pStyle w:val="AERquote"/>
      </w:pPr>
      <w:r w:rsidRPr="00507E65">
        <w:t>If a service provider is run inefficiently then its shareholders, and not its customers, should bear the financial consequences of inefficient financing practices.</w:t>
      </w:r>
    </w:p>
    <w:p w:rsidR="00507E65" w:rsidRPr="00507E65" w:rsidRDefault="00507E65" w:rsidP="00507E65">
      <w:pPr>
        <w:rPr>
          <w:rStyle w:val="AERbody"/>
        </w:rPr>
      </w:pPr>
      <w:r w:rsidRPr="00507E65">
        <w:rPr>
          <w:rStyle w:val="AERbody"/>
        </w:rPr>
        <w:t>For example, Essential Energy has already committed to maintaining its current spending on vegetation management, regardless of our decision.</w:t>
      </w:r>
      <w:r w:rsidRPr="00507E65">
        <w:rPr>
          <w:rStyle w:val="FootnoteReference"/>
        </w:rPr>
        <w:footnoteReference w:id="68"/>
      </w:r>
      <w:r w:rsidRPr="00507E65">
        <w:rPr>
          <w:rStyle w:val="AERbody"/>
        </w:rPr>
        <w:t xml:space="preserve">  It is for Essential Energy to determine how to achieve this—whether funds can be reallocated, or whether its dividends should be reduced. </w:t>
      </w:r>
    </w:p>
    <w:p w:rsidR="00507E65" w:rsidRPr="00507E65" w:rsidRDefault="00507E65" w:rsidP="00507E65">
      <w:pPr>
        <w:rPr>
          <w:rStyle w:val="AERbody"/>
        </w:rPr>
      </w:pPr>
      <w:r w:rsidRPr="00507E65">
        <w:rPr>
          <w:rStyle w:val="AERbody"/>
        </w:rPr>
        <w:t>Jacobs' report for the NSW service providers notes:</w:t>
      </w:r>
      <w:r w:rsidRPr="00507E65">
        <w:rPr>
          <w:rStyle w:val="FootnoteReference"/>
        </w:rPr>
        <w:footnoteReference w:id="69"/>
      </w:r>
    </w:p>
    <w:p w:rsidR="00507E65" w:rsidRPr="00507E65" w:rsidRDefault="00507E65" w:rsidP="00507E65">
      <w:pPr>
        <w:pStyle w:val="AERquote"/>
      </w:pPr>
      <w:r w:rsidRPr="00507E65">
        <w:t xml:space="preserve">There are many strategies open to the distributor management teams to attempt to prepare the organisations for the reduced opex expenditures... (and) Corporate responses such as workplace reforms, restructures, renegotiation of contracts etc. will take time to implement. </w:t>
      </w:r>
    </w:p>
    <w:p w:rsidR="00507E65" w:rsidRPr="00507E65" w:rsidRDefault="00507E65" w:rsidP="00507E65">
      <w:pPr>
        <w:rPr>
          <w:rStyle w:val="AERbody"/>
        </w:rPr>
      </w:pPr>
      <w:r w:rsidRPr="00507E65">
        <w:rPr>
          <w:rStyle w:val="AERbody"/>
        </w:rPr>
        <w:t xml:space="preserve">How a service provider will respond in light of funded opex being reduced is a matter of corporate governance and for shareholders. Our role is to determine the revenue allowance that should be funded by consumers, which we base on an assessment of efficient costs. </w:t>
      </w:r>
    </w:p>
    <w:p w:rsidR="00507E65" w:rsidRPr="00756041" w:rsidRDefault="00507E65" w:rsidP="00507E65">
      <w:pPr>
        <w:pStyle w:val="HeadingBoldBlue"/>
      </w:pPr>
      <w:bookmarkStart w:id="61" w:name="_Toc417483311"/>
      <w:bookmarkStart w:id="62" w:name="_Toc417646242"/>
      <w:r w:rsidRPr="00756041">
        <w:t>Safety regulation and enforcement is unaffected by regulatory forecasts</w:t>
      </w:r>
      <w:bookmarkEnd w:id="61"/>
      <w:bookmarkEnd w:id="62"/>
    </w:p>
    <w:p w:rsidR="00507E65" w:rsidRPr="00507E65" w:rsidRDefault="00507E65" w:rsidP="00507E65">
      <w:pPr>
        <w:rPr>
          <w:rStyle w:val="AERbody"/>
        </w:rPr>
      </w:pPr>
      <w:r w:rsidRPr="00507E65">
        <w:rPr>
          <w:rStyle w:val="AERbody"/>
        </w:rPr>
        <w:t xml:space="preserve">Some service providers have suggested that we should have sought the advice of jurisdictional safety regulators in deciding on the appropriateness of our draft decision opex forecasts. Further, they submit that we would be in breach of our primary duty of care under the </w:t>
      </w:r>
      <w:r w:rsidRPr="00507E65">
        <w:rPr>
          <w:rStyle w:val="AERtextitalic"/>
        </w:rPr>
        <w:t>Work Health and Safety Act 2011</w:t>
      </w:r>
      <w:r w:rsidRPr="00507E65">
        <w:t xml:space="preserve"> (Cth) if, being aware of the safety impacts of the proposed opex forecast in the draft determination, we make the final determination allowing for the same level irrespective of the safety impacts</w:t>
      </w:r>
      <w:r w:rsidRPr="00507E65">
        <w:rPr>
          <w:rStyle w:val="AERbody"/>
        </w:rPr>
        <w:t>.</w:t>
      </w:r>
      <w:r w:rsidRPr="00507E65">
        <w:rPr>
          <w:rStyle w:val="FootnoteReference"/>
        </w:rPr>
        <w:footnoteReference w:id="70"/>
      </w:r>
    </w:p>
    <w:p w:rsidR="00507E65" w:rsidRPr="00507E65" w:rsidRDefault="00507E65" w:rsidP="00507E65">
      <w:pPr>
        <w:rPr>
          <w:rStyle w:val="AERbody"/>
        </w:rPr>
      </w:pPr>
      <w:r w:rsidRPr="00507E65">
        <w:rPr>
          <w:rStyle w:val="AERbody"/>
        </w:rPr>
        <w:t xml:space="preserve">We disagree with these submissions. Just as we do not constrain service providers' decisions about safety, safety regulators do not take account of regulatory forecasts when regulating or taking enforcement action. These activities are, quite properly, </w:t>
      </w:r>
      <w:r w:rsidRPr="00507E65">
        <w:rPr>
          <w:rStyle w:val="AERbody"/>
        </w:rPr>
        <w:lastRenderedPageBreak/>
        <w:t>carried out independently. For example</w:t>
      </w:r>
      <w:r w:rsidR="00F1013F">
        <w:rPr>
          <w:rStyle w:val="AERbody"/>
        </w:rPr>
        <w:t>,</w:t>
      </w:r>
      <w:r w:rsidRPr="00507E65">
        <w:rPr>
          <w:rStyle w:val="AERbody"/>
        </w:rPr>
        <w:t xml:space="preserve"> in NSW</w:t>
      </w:r>
      <w:r w:rsidR="00F1013F">
        <w:rPr>
          <w:rStyle w:val="AERbody"/>
        </w:rPr>
        <w:t>,</w:t>
      </w:r>
      <w:r w:rsidRPr="00507E65">
        <w:rPr>
          <w:rStyle w:val="AERbody"/>
        </w:rPr>
        <w:t xml:space="preserve"> the Operations and Programs Branch of the Department of Trade &amp; Investment, Resources and Energy administers safety and technical regulations, including the conduct of annual safety audits. Importantly, this Department does not undertake this work by reference to the financial outcomes of service providers or their shareholders. Nor does it consider the ability of a service provider to pay particular dividends.</w:t>
      </w:r>
      <w:r w:rsidRPr="00507E65">
        <w:rPr>
          <w:rStyle w:val="FootnoteReference"/>
        </w:rPr>
        <w:footnoteReference w:id="71"/>
      </w:r>
    </w:p>
    <w:p w:rsidR="00507E65" w:rsidRPr="00507E65" w:rsidRDefault="00507E65" w:rsidP="00507E65">
      <w:pPr>
        <w:rPr>
          <w:rStyle w:val="AERbody"/>
        </w:rPr>
      </w:pPr>
      <w:r w:rsidRPr="00507E65">
        <w:rPr>
          <w:rStyle w:val="AERbody"/>
        </w:rPr>
        <w:t>The legal advice by Norton Rose Fulbright (solicitors for ActewAGL) that we will be in breach of the WHS Act if we are warned about safety impacts and nevertheless reduce regulatory forecasts proceeds on the basis that it was instructed by ActewAGL to identify:</w:t>
      </w:r>
      <w:r w:rsidRPr="00507E65">
        <w:rPr>
          <w:rStyle w:val="FootnoteReference"/>
        </w:rPr>
        <w:t xml:space="preserve"> </w:t>
      </w:r>
      <w:r w:rsidRPr="00507E65">
        <w:rPr>
          <w:rStyle w:val="FootnoteReference"/>
        </w:rPr>
        <w:footnoteReference w:id="72"/>
      </w:r>
    </w:p>
    <w:p w:rsidR="00507E65" w:rsidRPr="00507E65" w:rsidRDefault="00507E65" w:rsidP="00507E65">
      <w:pPr>
        <w:pStyle w:val="AERquote"/>
        <w:rPr>
          <w:rStyle w:val="AERbody"/>
        </w:rPr>
      </w:pPr>
      <w:r w:rsidRPr="00507E65">
        <w:t>whether the AER has any obligation under the WHS Act which would preclude it from making a determination which would (sic) impeded ActewAGL's ability to operate safely.</w:t>
      </w:r>
      <w:r w:rsidRPr="00507E65">
        <w:rPr>
          <w:rStyle w:val="AERbody"/>
        </w:rPr>
        <w:t xml:space="preserve"> </w:t>
      </w:r>
    </w:p>
    <w:p w:rsidR="00507E65" w:rsidRPr="00507E65" w:rsidRDefault="00507E65" w:rsidP="00507E65">
      <w:pPr>
        <w:rPr>
          <w:rStyle w:val="AERbody"/>
        </w:rPr>
      </w:pPr>
      <w:r w:rsidRPr="00507E65">
        <w:rPr>
          <w:rStyle w:val="AERbody"/>
        </w:rPr>
        <w:t>We find that Norton Rose Fulbright's advice proceeds on two incorrect assumptions:</w:t>
      </w:r>
    </w:p>
    <w:p w:rsidR="00507E65" w:rsidRPr="00507E65" w:rsidRDefault="00507E65" w:rsidP="00507E65">
      <w:pPr>
        <w:pStyle w:val="AERbulletlistfirststyle"/>
        <w:rPr>
          <w:rStyle w:val="AERbody"/>
        </w:rPr>
      </w:pPr>
      <w:r w:rsidRPr="00507E65">
        <w:rPr>
          <w:rStyle w:val="AERbody"/>
        </w:rPr>
        <w:t>that our forecasts dictate spending; and, accordingly</w:t>
      </w:r>
    </w:p>
    <w:p w:rsidR="00507E65" w:rsidRPr="00507E65" w:rsidRDefault="00507E65" w:rsidP="00507E65">
      <w:pPr>
        <w:pStyle w:val="AERbulletlistfirststyle"/>
        <w:rPr>
          <w:rStyle w:val="AERbody"/>
        </w:rPr>
      </w:pPr>
      <w:r w:rsidRPr="00507E65">
        <w:rPr>
          <w:rStyle w:val="AERbody"/>
        </w:rPr>
        <w:t>that the reduction in opex forecasts will, inevitably, mean that service providers are unable to protect their workers.</w:t>
      </w:r>
    </w:p>
    <w:p w:rsidR="00507E65" w:rsidRPr="00507E65" w:rsidRDefault="00507E65" w:rsidP="00507E65">
      <w:pPr>
        <w:rPr>
          <w:rStyle w:val="AERbody"/>
        </w:rPr>
      </w:pPr>
      <w:r w:rsidRPr="00507E65">
        <w:rPr>
          <w:rStyle w:val="AERbody"/>
        </w:rPr>
        <w:t xml:space="preserve">As we explain above, we do not dictate how much a service provider can or will actually spend during the regulatory control period. Our assessment of the opex forecast required for a service provider to carry out its statutory obligations is based on our benchmarking work and factors specific to the service provider. We determine an amount that the service provider acting prudently and incurring only efficient costs would require to provide a safe and reliable service and to meet its regulatory obligations, including its responsibilities in relation to the health and safety of its workers. It is the responsibility of the service provider to decide </w:t>
      </w:r>
      <w:r w:rsidR="0072060E">
        <w:rPr>
          <w:rStyle w:val="AERbody"/>
        </w:rPr>
        <w:t>how</w:t>
      </w:r>
      <w:r w:rsidR="0072060E" w:rsidRPr="00507E65">
        <w:rPr>
          <w:rStyle w:val="AERbody"/>
        </w:rPr>
        <w:t xml:space="preserve"> </w:t>
      </w:r>
      <w:r w:rsidRPr="00507E65">
        <w:rPr>
          <w:rStyle w:val="AERbody"/>
        </w:rPr>
        <w:t xml:space="preserve">it will spend its </w:t>
      </w:r>
      <w:r w:rsidR="0072060E">
        <w:rPr>
          <w:rStyle w:val="AERbody"/>
        </w:rPr>
        <w:t xml:space="preserve">annual revenue requirement </w:t>
      </w:r>
      <w:r w:rsidRPr="00507E65">
        <w:rPr>
          <w:rStyle w:val="AERbody"/>
        </w:rPr>
        <w:t xml:space="preserve">to meet these obligations. </w:t>
      </w:r>
    </w:p>
    <w:p w:rsidR="00507E65" w:rsidRPr="00507E65" w:rsidRDefault="00507E65" w:rsidP="00507E65">
      <w:pPr>
        <w:rPr>
          <w:rStyle w:val="AERbody"/>
        </w:rPr>
      </w:pPr>
      <w:r w:rsidRPr="00507E65">
        <w:rPr>
          <w:rStyle w:val="AERbody"/>
        </w:rPr>
        <w:t xml:space="preserve">To the extent that the regulated forecast is less than that which the service provider proposed, it will need to consider factors such as reprioritising its spending programs or re-appraising the need for the level of activity it is considering. If the service provider incurs costs above the opex forecast we determine, it must seek alternative sources of funding as it will not be able to recover these additional expenditures from its customers. </w:t>
      </w:r>
    </w:p>
    <w:p w:rsidR="00507E65" w:rsidRPr="00507E65" w:rsidRDefault="00507E65" w:rsidP="00507E65">
      <w:pPr>
        <w:rPr>
          <w:rStyle w:val="AERbody"/>
        </w:rPr>
      </w:pPr>
      <w:r w:rsidRPr="00507E65">
        <w:rPr>
          <w:rStyle w:val="AERbody"/>
        </w:rPr>
        <w:t xml:space="preserve">As set out above, health and safety obligations are not enforced by reference to regulatory revenue. Regardless of regulatory revenue, service providers are obligated to protect their workers and other persons involved in their operations. Accordingly, we are not persuaded by Norton Rose Fulbright's interpretation of the WHS Act. </w:t>
      </w:r>
    </w:p>
    <w:p w:rsidR="00507E65" w:rsidRPr="00756041" w:rsidRDefault="00C74791" w:rsidP="00756041">
      <w:pPr>
        <w:pStyle w:val="HeadingBoldBlue"/>
      </w:pPr>
      <w:bookmarkStart w:id="63" w:name="_Toc417483312"/>
      <w:bookmarkStart w:id="64" w:name="_Toc417646243"/>
      <w:r>
        <w:br w:type="page"/>
      </w:r>
      <w:r w:rsidR="00507E65" w:rsidRPr="00756041">
        <w:lastRenderedPageBreak/>
        <w:t>Specific safety concerns</w:t>
      </w:r>
      <w:bookmarkEnd w:id="63"/>
      <w:bookmarkEnd w:id="64"/>
    </w:p>
    <w:p w:rsidR="00507E65" w:rsidRPr="00507E65" w:rsidRDefault="00507E65" w:rsidP="00507E65">
      <w:pPr>
        <w:rPr>
          <w:rStyle w:val="AERbody"/>
        </w:rPr>
      </w:pPr>
      <w:r w:rsidRPr="00507E65">
        <w:rPr>
          <w:rStyle w:val="AERbody"/>
        </w:rPr>
        <w:t>The service providers' proposals, submissions and consultant reports present some common issues with respect to the impact of our draft decision opex forecast regarding:</w:t>
      </w:r>
    </w:p>
    <w:p w:rsidR="00507E65" w:rsidRPr="00507E65" w:rsidRDefault="00507E65" w:rsidP="00507E65">
      <w:pPr>
        <w:pStyle w:val="AERbulletlistfirststyle"/>
        <w:rPr>
          <w:rStyle w:val="AERbody"/>
        </w:rPr>
      </w:pPr>
      <w:r w:rsidRPr="00507E65">
        <w:rPr>
          <w:rStyle w:val="AERbody"/>
        </w:rPr>
        <w:t>increased bushfire risk, particularly due to reduced vegetation management activities</w:t>
      </w:r>
    </w:p>
    <w:p w:rsidR="00507E65" w:rsidRPr="00507E65" w:rsidRDefault="00507E65" w:rsidP="00507E65">
      <w:pPr>
        <w:pStyle w:val="AERbulletlistfirststyle"/>
        <w:rPr>
          <w:rStyle w:val="AERbody"/>
        </w:rPr>
      </w:pPr>
      <w:r w:rsidRPr="00507E65">
        <w:rPr>
          <w:rStyle w:val="AERbody"/>
        </w:rPr>
        <w:t xml:space="preserve">the impact reduced vegetation management will have on insurance premiums.  </w:t>
      </w:r>
    </w:p>
    <w:p w:rsidR="00507E65" w:rsidRPr="00507E65" w:rsidRDefault="00507E65" w:rsidP="00507E65">
      <w:pPr>
        <w:pStyle w:val="HeadingBoldItalic"/>
      </w:pPr>
      <w:r w:rsidRPr="00507E65">
        <w:t>Bushfire risk</w:t>
      </w:r>
    </w:p>
    <w:p w:rsidR="00507E65" w:rsidRPr="00507E65" w:rsidRDefault="00507E65" w:rsidP="00507E65">
      <w:pPr>
        <w:rPr>
          <w:rStyle w:val="AERbody"/>
        </w:rPr>
      </w:pPr>
      <w:r w:rsidRPr="00507E65">
        <w:rPr>
          <w:rStyle w:val="AERbody"/>
        </w:rPr>
        <w:t>Networks NSW engaged R2A to conduct a safety risk assessment arising from "'implementing" our draft determination opex forecast. R2A considers safety risks to employees and the public would increase and the likelihood of catastrophic bushfires would more than double.</w:t>
      </w:r>
      <w:r w:rsidRPr="00507E65">
        <w:rPr>
          <w:rStyle w:val="FootnoteReference"/>
        </w:rPr>
        <w:footnoteReference w:id="73"/>
      </w:r>
      <w:r w:rsidRPr="00507E65">
        <w:rPr>
          <w:rStyle w:val="AERbody"/>
        </w:rPr>
        <w:t xml:space="preserve"> Likewise, statutory declarations by the service providers' Chief Operating Officers (COOs) identify the impact of opex reductions vis-à-vis the necessary opex requirement.</w:t>
      </w:r>
      <w:r w:rsidRPr="00507E65">
        <w:rPr>
          <w:rStyle w:val="FootnoteReference"/>
        </w:rPr>
        <w:footnoteReference w:id="74"/>
      </w:r>
      <w:r w:rsidRPr="00507E65">
        <w:rPr>
          <w:rStyle w:val="AERbody"/>
        </w:rPr>
        <w:t xml:space="preserve"> However, R2A and the service providers' COOs assume that each NSW service provider will face increased inspection cycles, shorter asset lives and increased fire risk on the basis that it:</w:t>
      </w:r>
      <w:r w:rsidRPr="00507E65">
        <w:rPr>
          <w:rStyle w:val="FootnoteReference"/>
        </w:rPr>
        <w:footnoteReference w:id="75"/>
      </w:r>
    </w:p>
    <w:p w:rsidR="00507E65" w:rsidRPr="00507E65" w:rsidRDefault="00507E65" w:rsidP="00507E65">
      <w:pPr>
        <w:pStyle w:val="AERbulletlistfirststyle"/>
        <w:rPr>
          <w:rStyle w:val="AERbody"/>
        </w:rPr>
      </w:pPr>
      <w:r w:rsidRPr="00507E65">
        <w:rPr>
          <w:rStyle w:val="AERbody"/>
        </w:rPr>
        <w:t>will spend the same proportion of its total opex on inspections as in its revised proposal, proportionally reduced to our draft decision (that is, will not reallocate or find additional efficiencies to enable it to spend more on inspections)</w:t>
      </w:r>
    </w:p>
    <w:p w:rsidR="00507E65" w:rsidRPr="00507E65" w:rsidRDefault="00507E65" w:rsidP="00507E65">
      <w:pPr>
        <w:pStyle w:val="AERbulletlistfirststyle"/>
        <w:rPr>
          <w:rStyle w:val="AERbody"/>
        </w:rPr>
      </w:pPr>
      <w:r w:rsidRPr="00507E65">
        <w:rPr>
          <w:rStyle w:val="AERbody"/>
        </w:rPr>
        <w:t>will not spend beyond its opex forecast under any circumstances</w:t>
      </w:r>
    </w:p>
    <w:p w:rsidR="00507E65" w:rsidRPr="00507E65" w:rsidRDefault="00507E65" w:rsidP="00507E65">
      <w:pPr>
        <w:pStyle w:val="AERbulletlistfirststyle"/>
        <w:rPr>
          <w:rStyle w:val="AERbody"/>
        </w:rPr>
      </w:pPr>
      <w:r w:rsidRPr="00507E65">
        <w:rPr>
          <w:rStyle w:val="AERbody"/>
        </w:rPr>
        <w:t>undertakes an identical program to what it would have undertaken, with reduced resources.</w:t>
      </w:r>
    </w:p>
    <w:p w:rsidR="00507E65" w:rsidRPr="00507E65" w:rsidRDefault="00507E65" w:rsidP="00507E65">
      <w:pPr>
        <w:rPr>
          <w:rStyle w:val="AERbody"/>
        </w:rPr>
      </w:pPr>
      <w:r w:rsidRPr="00507E65">
        <w:rPr>
          <w:rStyle w:val="AERbody"/>
        </w:rPr>
        <w:t>We do not agree that any of the above assumptions are a required result of our decision. We consider that this analysis is overly prescriptive of a service provider's expected behaviour. As stated above, we determine an amount that the service provider acting prudently and incurring only efficient costs would require to provide a safe and reliable service and to meet its regulatory obligations. It is the responsibility of the service provider to decide how it will spend the approved forecast including considering factors such as reprioritising its spending programs or re-appraising the need for the level of activity it is considering.</w:t>
      </w:r>
    </w:p>
    <w:p w:rsidR="00507E65" w:rsidRPr="00507E65" w:rsidRDefault="00507E65" w:rsidP="00507E65">
      <w:r w:rsidRPr="00507E65">
        <w:rPr>
          <w:rStyle w:val="AERbody"/>
        </w:rPr>
        <w:t xml:space="preserve">The service providers also rely on correspondence from the Commissioners of Fire and Rescue NSW and the NSW Rural Fire Service. The Commissioners indicate their concern regarding any reduction in vegetation management. While we acknowledge </w:t>
      </w:r>
      <w:r w:rsidRPr="00507E65">
        <w:rPr>
          <w:rStyle w:val="AERbody"/>
        </w:rPr>
        <w:lastRenderedPageBreak/>
        <w:t>that this concern is relevant to the task of the Commissioners, we do not consider that this view, of itself, provides any evidence of a difference in the risk faced by the NSW distributors and the benchmark service providers.</w:t>
      </w:r>
    </w:p>
    <w:p w:rsidR="00507E65" w:rsidRPr="00507E65" w:rsidRDefault="00507E65" w:rsidP="00507E65">
      <w:pPr>
        <w:pStyle w:val="HeadingBoldItalic"/>
      </w:pPr>
      <w:r w:rsidRPr="00507E65">
        <w:t>Insurance costs</w:t>
      </w:r>
    </w:p>
    <w:p w:rsidR="00507E65" w:rsidRPr="00507E65" w:rsidRDefault="00507E65" w:rsidP="00507E65">
      <w:pPr>
        <w:rPr>
          <w:rStyle w:val="AERbody"/>
        </w:rPr>
      </w:pPr>
      <w:r w:rsidRPr="00507E65">
        <w:rPr>
          <w:rStyle w:val="AERbody"/>
        </w:rPr>
        <w:t>The NSW service providers submitted that if they implemented our draft decision, their insurance costs would increase.</w:t>
      </w:r>
      <w:r w:rsidRPr="00507E65">
        <w:rPr>
          <w:rStyle w:val="FootnoteReference"/>
        </w:rPr>
        <w:footnoteReference w:id="76"/>
      </w:r>
      <w:r w:rsidRPr="00507E65">
        <w:rPr>
          <w:rStyle w:val="AERbody"/>
        </w:rPr>
        <w:t xml:space="preserve"> They rely on a partially confidential report prepared for Networks NSW by AON.</w:t>
      </w:r>
      <w:r w:rsidRPr="00507E65">
        <w:rPr>
          <w:rStyle w:val="FootnoteReference"/>
        </w:rPr>
        <w:footnoteReference w:id="77"/>
      </w:r>
      <w:r w:rsidRPr="00507E65">
        <w:rPr>
          <w:rStyle w:val="AERbody"/>
        </w:rPr>
        <w:t xml:space="preserve"> AON provide services to Ausgrid, Essential Energy and Endeavour Energy (amongst others). AON's report is therefore an informed, but not independent, perspective on the impact of our draft decision. AON's report proceeds on the following basis:</w:t>
      </w:r>
      <w:r w:rsidRPr="00507E65">
        <w:rPr>
          <w:rStyle w:val="FootnoteReference"/>
        </w:rPr>
        <w:footnoteReference w:id="78"/>
      </w:r>
    </w:p>
    <w:p w:rsidR="00507E65" w:rsidRPr="00507E65" w:rsidRDefault="00507E65" w:rsidP="00507E65">
      <w:pPr>
        <w:pStyle w:val="AERquote"/>
      </w:pPr>
      <w:r w:rsidRPr="00507E65">
        <w:t>Aon’s advice is supplied to assist NNSW assess the impact on insurance costs and coverage if the overall proposed AER operational expenditure percentage Opex and/or Capex cuts were applied in the same proportion to vegetation management expenditure (</w:t>
      </w:r>
      <w:r w:rsidR="002B1A23">
        <w:t>that is,</w:t>
      </w:r>
      <w:r w:rsidRPr="00507E65">
        <w:t xml:space="preserve"> Ausgrid (39%), Endeavour (23%), Essential (38%)) for the 2014–2019 regulatory period.</w:t>
      </w:r>
    </w:p>
    <w:p w:rsidR="00507E65" w:rsidRPr="00507E65" w:rsidRDefault="00507E65" w:rsidP="00507E65">
      <w:pPr>
        <w:rPr>
          <w:rStyle w:val="AERbody"/>
        </w:rPr>
      </w:pPr>
      <w:r w:rsidRPr="00507E65">
        <w:rPr>
          <w:rStyle w:val="AERbody"/>
        </w:rPr>
        <w:t>That is, AON assumes that each of its clients:</w:t>
      </w:r>
    </w:p>
    <w:p w:rsidR="00507E65" w:rsidRPr="00507E65" w:rsidRDefault="00507E65" w:rsidP="00507E65">
      <w:pPr>
        <w:pStyle w:val="AERbulletlistfirststyle"/>
        <w:rPr>
          <w:rStyle w:val="AERbody"/>
        </w:rPr>
      </w:pPr>
      <w:r w:rsidRPr="00507E65">
        <w:rPr>
          <w:rStyle w:val="AERbody"/>
        </w:rPr>
        <w:t>have only the amount we forecast an efficient and prudent provider would spend on vegetation management to spend on this activity</w:t>
      </w:r>
    </w:p>
    <w:p w:rsidR="00507E65" w:rsidRPr="00507E65" w:rsidRDefault="00507E65" w:rsidP="00507E65">
      <w:pPr>
        <w:pStyle w:val="AERbulletlistfirststyle"/>
        <w:rPr>
          <w:rStyle w:val="AERbody"/>
        </w:rPr>
      </w:pPr>
      <w:r w:rsidRPr="00507E65">
        <w:rPr>
          <w:rStyle w:val="AERbody"/>
        </w:rPr>
        <w:t xml:space="preserve">will make no adjustments or changes other than reducing their overall spending on vegetation management. </w:t>
      </w:r>
    </w:p>
    <w:p w:rsidR="00507E65" w:rsidRPr="00507E65" w:rsidRDefault="00507E65" w:rsidP="00507E65">
      <w:pPr>
        <w:rPr>
          <w:rStyle w:val="AERbody"/>
        </w:rPr>
      </w:pPr>
      <w:r w:rsidRPr="00507E65">
        <w:rPr>
          <w:rStyle w:val="AERbody"/>
        </w:rPr>
        <w:t>AON's findings are inconsistent with, for example, Essential Energy's announced commitment to maintaining its current spending on vegetation management, regardless of our decision.</w:t>
      </w:r>
      <w:r w:rsidRPr="00507E65">
        <w:rPr>
          <w:rStyle w:val="FootnoteReference"/>
        </w:rPr>
        <w:footnoteReference w:id="79"/>
      </w:r>
      <w:r w:rsidRPr="00507E65">
        <w:rPr>
          <w:rStyle w:val="AERbody"/>
        </w:rPr>
        <w:t xml:space="preserve">  AON also, quite unfairly, assumes that the management of service providers are mere conduits feeding regulatory forecasts into activities in the exact proportion we estimate. We regard the directors and executives of service providers as sophisticated, intelligent and capable. We expect them to take necessary steps to change their practices to take account of changing conditions, including regulatory forecasts. </w:t>
      </w:r>
    </w:p>
    <w:p w:rsidR="00507E65" w:rsidRDefault="00507E65" w:rsidP="00507E65">
      <w:pPr>
        <w:rPr>
          <w:rStyle w:val="AERbody"/>
        </w:rPr>
      </w:pPr>
      <w:r w:rsidRPr="00507E65">
        <w:rPr>
          <w:rStyle w:val="AERbody"/>
        </w:rPr>
        <w:t>Jacobs suggests what some of these steps may be,</w:t>
      </w:r>
      <w:r w:rsidRPr="00507E65">
        <w:rPr>
          <w:rStyle w:val="FootnoteReference"/>
        </w:rPr>
        <w:footnoteReference w:id="80"/>
      </w:r>
      <w:r w:rsidRPr="00507E65">
        <w:rPr>
          <w:rStyle w:val="AERbody"/>
        </w:rPr>
        <w:t xml:space="preserve"> but we are confident in the ability of service providers to determine appropriate responses to our decision—including ensuring that they maintain adequate external and self-insurance coverage. </w:t>
      </w:r>
    </w:p>
    <w:p w:rsidR="00C74791" w:rsidRPr="00507E65" w:rsidRDefault="00C74791" w:rsidP="00507E65">
      <w:pPr>
        <w:rPr>
          <w:rStyle w:val="AERbody"/>
        </w:rPr>
      </w:pPr>
    </w:p>
    <w:p w:rsidR="00507E65" w:rsidRPr="00507E65" w:rsidRDefault="00507E65" w:rsidP="00507E65">
      <w:pPr>
        <w:pStyle w:val="Heading3"/>
      </w:pPr>
      <w:bookmarkStart w:id="65" w:name="_Toc414450181"/>
      <w:bookmarkStart w:id="66" w:name="_Toc417483313"/>
      <w:bookmarkStart w:id="67" w:name="_Ref417645971"/>
      <w:bookmarkStart w:id="68" w:name="_Toc417646244"/>
      <w:bookmarkStart w:id="69" w:name="_Toc417649205"/>
      <w:bookmarkStart w:id="70" w:name="_Toc417719018"/>
      <w:r w:rsidRPr="00507E65">
        <w:t>Realistic outcomes</w:t>
      </w:r>
      <w:bookmarkEnd w:id="65"/>
      <w:bookmarkEnd w:id="66"/>
      <w:bookmarkEnd w:id="67"/>
      <w:bookmarkEnd w:id="68"/>
      <w:bookmarkEnd w:id="69"/>
      <w:bookmarkEnd w:id="70"/>
    </w:p>
    <w:p w:rsidR="00507E65" w:rsidRPr="00507E65" w:rsidRDefault="00507E65" w:rsidP="00507E65">
      <w:r w:rsidRPr="00507E65">
        <w:t>The NSW service providers submit that if they are to implement the opex reductions from the draft decision, the NEL and NER require that we provide a realistic forecast of their actual costs while incentivising efficiency reductions over time in a realistic manner.</w:t>
      </w:r>
      <w:r w:rsidRPr="00507E65">
        <w:rPr>
          <w:rStyle w:val="FootnoteReference"/>
        </w:rPr>
        <w:footnoteReference w:id="81"/>
      </w:r>
      <w:r w:rsidRPr="00507E65">
        <w:t xml:space="preserve"> This includes, they submit:</w:t>
      </w:r>
    </w:p>
    <w:p w:rsidR="00507E65" w:rsidRPr="00507E65" w:rsidRDefault="00507E65" w:rsidP="00507E65">
      <w:pPr>
        <w:pStyle w:val="AERbulletlistfirststyle"/>
      </w:pPr>
      <w:r w:rsidRPr="00507E65">
        <w:t>redundancy costs, which the service providers submit are legitimate and prudent in a time of transformation</w:t>
      </w:r>
      <w:r w:rsidRPr="00507E65">
        <w:rPr>
          <w:rStyle w:val="FootnoteReference"/>
        </w:rPr>
        <w:footnoteReference w:id="82"/>
      </w:r>
    </w:p>
    <w:p w:rsidR="00507E65" w:rsidRPr="00507E65" w:rsidRDefault="00507E65" w:rsidP="00507E65">
      <w:pPr>
        <w:pStyle w:val="AERbulletlistfirststyle"/>
      </w:pPr>
      <w:r w:rsidRPr="00507E65">
        <w:t>a transition to mitigate the consequences of requiring  service providers to immediately review, and substantially reduce, expenditure.</w:t>
      </w:r>
      <w:r w:rsidRPr="00507E65">
        <w:rPr>
          <w:rStyle w:val="FootnoteReference"/>
        </w:rPr>
        <w:footnoteReference w:id="83"/>
      </w:r>
    </w:p>
    <w:p w:rsidR="00507E65" w:rsidRPr="00507E65" w:rsidRDefault="00507E65" w:rsidP="00507E65">
      <w:r w:rsidRPr="00507E65">
        <w:t>The service providers point to the third opex criterion—"a realistic expectation of the demand forecast and cost inputs required to achieve the operating expenditure objectives"</w:t>
      </w:r>
      <w:r w:rsidRPr="00507E65">
        <w:rPr>
          <w:rStyle w:val="FootnoteReference"/>
        </w:rPr>
        <w:footnoteReference w:id="84"/>
      </w:r>
      <w:r w:rsidRPr="00507E65">
        <w:t xml:space="preserve">—as the driver of this apparent requirement. </w:t>
      </w:r>
    </w:p>
    <w:p w:rsidR="00507E65" w:rsidRPr="00507E65" w:rsidRDefault="00507E65" w:rsidP="00507E65">
      <w:r w:rsidRPr="00507E65">
        <w:t>We disagree with these submissions for two reasons. Firstly, our view is the service providers' interpretation of the 'realistic' criterion is incorrect. In our view, this criterion is concerned with ensuring that there is a proper basis for estimating the demand and cost inputs that a prudent and efficient service provider would incur over the forecast period.</w:t>
      </w:r>
      <w:r w:rsidRPr="00507E65">
        <w:rPr>
          <w:rStyle w:val="FootnoteReference"/>
        </w:rPr>
        <w:footnoteReference w:id="85"/>
      </w:r>
      <w:r w:rsidRPr="00507E65">
        <w:t xml:space="preserve"> The </w:t>
      </w:r>
      <w:r w:rsidRPr="00507E65">
        <w:rPr>
          <w:rStyle w:val="AERbody"/>
        </w:rPr>
        <w:t xml:space="preserve">demand forecast and cost inputs are for those of a prudent and efficient service provider operating the relevant service provider's network. They are not the cost inputs which result from previous inefficient decision making. </w:t>
      </w:r>
      <w:r w:rsidRPr="00507E65">
        <w:t>Such an approach would undermine the incentive based aims of the regulatory scheme when read as a whole, because a service provider that bound itself by less than efficient decisions would be rewarded with a forecast that includes increased cost inputs.</w:t>
      </w:r>
      <w:r w:rsidRPr="00507E65">
        <w:rPr>
          <w:rStyle w:val="AERbody"/>
        </w:rPr>
        <w:t xml:space="preserve"> </w:t>
      </w:r>
    </w:p>
    <w:p w:rsidR="00507E65" w:rsidRPr="00507E65" w:rsidRDefault="00507E65" w:rsidP="00507E65">
      <w:r w:rsidRPr="00507E65">
        <w:t xml:space="preserve">We consider, therefore, that the opex criteria do not impose a requirement for the AER to be satisfied as to how the service provider in question will actually operate its business with the efficient total forecast opex. Such an interpretation runs counter to the notion of a prudent and efficient service provider—albeit facing the same exogenous circumstances as the service provider in question—implied by the opex criteria. Consumers should not be required to fund the consequences of long-term inefficient contracts. This notion was affirmed by the AEMC's removal of "individual </w:t>
      </w:r>
      <w:r w:rsidRPr="00507E65">
        <w:lastRenderedPageBreak/>
        <w:t>circumstances" from the 'prudent' criterion. We are not persuaded by submissions to the effect that we must consider a service provider's actual cost inputs because the AEMC did not remove "individual circumstances" from the 'realistic' criterion.</w:t>
      </w:r>
      <w:r w:rsidRPr="00507E65">
        <w:rPr>
          <w:rStyle w:val="FootnoteReference"/>
        </w:rPr>
        <w:footnoteReference w:id="86"/>
      </w:r>
      <w:r w:rsidRPr="00507E65">
        <w:t xml:space="preserve"> The phrase "individual circumstances" does not form part of the criterion.</w:t>
      </w:r>
    </w:p>
    <w:p w:rsidR="00507E65" w:rsidRPr="00507E65" w:rsidRDefault="00507E65" w:rsidP="00507E65">
      <w:r w:rsidRPr="00507E65">
        <w:t>Secondly, the service providers' views are based upon the incorrect assumption that it is the AER's role to dictate how they must run their businesses. As we explained in our draft decision, w</w:t>
      </w:r>
      <w:r w:rsidRPr="00507E65">
        <w:rPr>
          <w:rStyle w:val="AERbody"/>
        </w:rPr>
        <w:t xml:space="preserve">e do not approve </w:t>
      </w:r>
      <w:r w:rsidRPr="00507E65">
        <w:t xml:space="preserve">specific projects or dictate the legal obligations a service provider enters into. Our task is to determine an efficient level of </w:t>
      </w:r>
      <w:r w:rsidRPr="00507E65">
        <w:rPr>
          <w:rStyle w:val="AERtextitalic"/>
        </w:rPr>
        <w:t>total</w:t>
      </w:r>
      <w:r w:rsidRPr="00507E65">
        <w:t xml:space="preserve"> opex for a prudent service provider to meet the opex objectives over a five year regulatory control period. As the AEMC notes, this underpins the incentive properties of the regulatory regime:</w:t>
      </w:r>
      <w:r w:rsidRPr="00507E65">
        <w:rPr>
          <w:rStyle w:val="FootnoteReference"/>
        </w:rPr>
        <w:footnoteReference w:id="87"/>
      </w:r>
    </w:p>
    <w:p w:rsidR="00507E65" w:rsidRPr="00507E65" w:rsidRDefault="00507E65" w:rsidP="00507E65">
      <w:pPr>
        <w:pStyle w:val="AERquote"/>
      </w:pPr>
      <w:r w:rsidRPr="00507E65">
        <w:t>The level, rather than the specific contents, of the approved expenditure allowances underpin the incentive properties of the regulatory regime in the NEM. That is, once a level of expenditure is set, it is locked in for a period of time, and it is up to the NSP to carry out its functions as it sees fit, subject to any service standards.</w:t>
      </w:r>
    </w:p>
    <w:p w:rsidR="00507E65" w:rsidRPr="00507E65" w:rsidRDefault="00507E65" w:rsidP="00507E65">
      <w:r w:rsidRPr="00507E65">
        <w:t xml:space="preserve">Therefore, as we stated in our draft decision and above, we are providing the service providers with a forecast that we are satisfied reasonably reflects the opex criteria. </w:t>
      </w:r>
      <w:r w:rsidRPr="00507E65">
        <w:rPr>
          <w:rStyle w:val="AERbody"/>
        </w:rPr>
        <w:t>It is the responsibility of the service provider to decide how it will spend the revenue it recovers from consumers. If the service provider decides to spend more than it recovers from consumers it must seek alternative sources of funding to do so.</w:t>
      </w:r>
    </w:p>
    <w:p w:rsidR="00507E65" w:rsidRPr="00507E65" w:rsidRDefault="00507E65" w:rsidP="00507E65">
      <w:pPr>
        <w:pStyle w:val="HeadingBoldBlue"/>
      </w:pPr>
      <w:bookmarkStart w:id="71" w:name="_Toc417483314"/>
      <w:bookmarkStart w:id="72" w:name="_Toc417646245"/>
      <w:r w:rsidRPr="00507E65">
        <w:t>Redundancy costs</w:t>
      </w:r>
      <w:bookmarkEnd w:id="71"/>
      <w:bookmarkEnd w:id="72"/>
    </w:p>
    <w:p w:rsidR="00507E65" w:rsidRPr="00507E65" w:rsidRDefault="00507E65" w:rsidP="00507E65">
      <w:r w:rsidRPr="00507E65">
        <w:t>The service providers submit that they are entitled to recover redundancy costs from consumers. They consider hiring staff is a legitimate cost so removing staff should be too.</w:t>
      </w:r>
      <w:r w:rsidRPr="00507E65">
        <w:rPr>
          <w:rStyle w:val="FootnoteReference"/>
        </w:rPr>
        <w:footnoteReference w:id="88"/>
      </w:r>
      <w:r w:rsidRPr="00507E65">
        <w:t xml:space="preserve"> The service providers also submit that incurring redundancy costs is no different to any other business undergoing necessary transformation to respond to changing circumstances and drivers. Such an approach, they contend, is prudent so to deny the transformation and costs will hinder the incentives to drive efficiencies when it is effective to do so.</w:t>
      </w:r>
      <w:r w:rsidRPr="00507E65">
        <w:rPr>
          <w:rStyle w:val="FootnoteReference"/>
        </w:rPr>
        <w:footnoteReference w:id="89"/>
      </w:r>
      <w:r w:rsidRPr="00507E65">
        <w:t xml:space="preserve"> They also reiterate their view that obligations under the </w:t>
      </w:r>
      <w:r w:rsidRPr="00507E65">
        <w:rPr>
          <w:rStyle w:val="AERtextitalic"/>
        </w:rPr>
        <w:t>Fair Work Act 2009</w:t>
      </w:r>
      <w:r w:rsidRPr="00507E65">
        <w:t xml:space="preserve"> fall within the definition of 'regulatory obligation or requirements' in the NEL.</w:t>
      </w:r>
      <w:r w:rsidRPr="00507E65">
        <w:rPr>
          <w:rStyle w:val="FootnoteReference"/>
        </w:rPr>
        <w:footnoteReference w:id="90"/>
      </w:r>
    </w:p>
    <w:p w:rsidR="00507E65" w:rsidRPr="00507E65" w:rsidRDefault="00507E65" w:rsidP="00507E65">
      <w:r w:rsidRPr="00507E65">
        <w:lastRenderedPageBreak/>
        <w:t xml:space="preserve">Consistent with our approach in our draft decision, we do not agree with these submissions. We are not denying the service providers the ability to transform their businesses and pay staff their entitlements. Recruitment and removal of staff are both 'legitimate costs' that the service providers would need to incur. However, we do not 'fund' the service providers for these (or any specific) activities. We assess a service provider's revealed opex in order to form a view on whether it reasonably reflects the opex a prudent and efficient (objective) service provider would require in the future to comply with its obligations. Service providers have broad discretion about all contractual arrangements and the manner in which they carry out those obligations. </w:t>
      </w:r>
    </w:p>
    <w:p w:rsidR="00507E65" w:rsidRPr="00507E65" w:rsidRDefault="00507E65" w:rsidP="00507E65">
      <w:pPr>
        <w:rPr>
          <w:rStyle w:val="AERbody"/>
        </w:rPr>
      </w:pPr>
      <w:r w:rsidRPr="00507E65">
        <w:t xml:space="preserve">Further, we reiterate our draft decision view that obligations under the </w:t>
      </w:r>
      <w:r w:rsidRPr="00507E65">
        <w:rPr>
          <w:rStyle w:val="AERtextitalic"/>
        </w:rPr>
        <w:t>Fair Work Act 2009</w:t>
      </w:r>
      <w:r w:rsidRPr="00507E65">
        <w:rPr>
          <w:rStyle w:val="AERbody"/>
        </w:rPr>
        <w:t xml:space="preserve"> fall outside the definition of 'regulatory obligations or requirements' in section 2D of the NEL. The service providers have not provided evidence supporting their view that enterprise agreement obligations fall within this NEL definition. Rather, they have simply stated that our draft decision opex forecasts were insufficient to cover their labour commitments arising from their enterprise agreements.</w:t>
      </w:r>
      <w:r w:rsidRPr="00507E65">
        <w:rPr>
          <w:rStyle w:val="FootnoteReference"/>
        </w:rPr>
        <w:footnoteReference w:id="91"/>
      </w:r>
    </w:p>
    <w:p w:rsidR="00507E65" w:rsidRPr="00507E65" w:rsidRDefault="00507E65" w:rsidP="00507E65">
      <w:r w:rsidRPr="00507E65">
        <w:t>While a contractual arrangement may have been entered it in the previous period, this does not mean the associated costs should form the basis for the opex forecast (and, hence, the overall revenue allowance) in the next period. The service providers received their revenue allowances for the previous period and we are not taking any of the allowances away. However, we are determining the appropriate starting point for the forecast period. New information and better assessment techniques reveal that Ausgrid's and Essential Energy's revealed opex is not the appropriate starting point.</w:t>
      </w:r>
    </w:p>
    <w:p w:rsidR="00507E65" w:rsidRPr="00507E65" w:rsidRDefault="00507E65" w:rsidP="00507E65">
      <w:r w:rsidRPr="00507E65">
        <w:t xml:space="preserve">If we estimated a forecast by reference to a provider in all the same circumstances as the service provider in question we would potentially need to make a decision that incorporated matters as specific as the service provider's staffing levels or car leasing arrangements, and other matters that are completely within the discretionary control of management.  If a service provider entered into a long term inefficient contract, we would be required to include the associated costs in our forecast. These decisions are not part of our role. Such an approach would be contrary to the incentive basis for the regulatory regime. Rather our role is to determine a forecast that we are satisfied reasonably reflects the opex criteria. </w:t>
      </w:r>
    </w:p>
    <w:p w:rsidR="00507E65" w:rsidRPr="00507E65" w:rsidRDefault="00507E65" w:rsidP="00507E65">
      <w:r w:rsidRPr="00507E65">
        <w:t>Deloitte's independent review of labour and workforce practices found that the service providers relied predominantly on hiring permanent staff employed under EBAs rather than contractors.</w:t>
      </w:r>
      <w:r w:rsidRPr="00507E65">
        <w:rPr>
          <w:rStyle w:val="FootnoteReference"/>
        </w:rPr>
        <w:footnoteReference w:id="92"/>
      </w:r>
      <w:r w:rsidRPr="00507E65">
        <w:t xml:space="preserve"> Many of these staff were hired on a full time basis to complete the service providers' large, but temporary, capex programs in the 2009–14 period.</w:t>
      </w:r>
      <w:r w:rsidRPr="00507E65">
        <w:rPr>
          <w:rStyle w:val="FootnoteReference"/>
        </w:rPr>
        <w:footnoteReference w:id="93"/>
      </w:r>
      <w:r w:rsidRPr="00507E65">
        <w:t xml:space="preserve"> This is due to EBA restrictions which make it difficult for the service providers to change </w:t>
      </w:r>
      <w:r w:rsidRPr="00507E65">
        <w:lastRenderedPageBreak/>
        <w:t>their resourcing arrangements quickly and flexibly. Now, due to EBA restrictions that do not allow for forced redundancies, the service providers have stranded resources.</w:t>
      </w:r>
    </w:p>
    <w:p w:rsidR="00507E65" w:rsidRPr="00507E65" w:rsidRDefault="00507E65" w:rsidP="00507E65">
      <w:r w:rsidRPr="00507E65">
        <w:t>Our view is that this would not have been an efficient practice for a prudent service provider.</w:t>
      </w:r>
    </w:p>
    <w:p w:rsidR="00507E65" w:rsidRPr="00507E65" w:rsidRDefault="00507E65" w:rsidP="00507E65">
      <w:r w:rsidRPr="00507E65">
        <w:t xml:space="preserve">In line with the incentive regime, it is for the service providers to determine the appropriate response to excess labour needs and to bear the costs associated with those earlier decisions. The service providers could do this either within their regulated forecast by prioritising expenditure programs or with alternative sources of funding not recovered from customers. </w:t>
      </w:r>
      <w:bookmarkStart w:id="73" w:name="_Toc417483315"/>
      <w:bookmarkStart w:id="74" w:name="_Toc417646246"/>
    </w:p>
    <w:p w:rsidR="00507E65" w:rsidRPr="00507E65" w:rsidRDefault="00507E65" w:rsidP="00507E65">
      <w:pPr>
        <w:pStyle w:val="HeadingBoldBlue"/>
      </w:pPr>
      <w:r w:rsidRPr="00507E65">
        <w:t>Transition path</w:t>
      </w:r>
      <w:bookmarkEnd w:id="73"/>
      <w:bookmarkEnd w:id="74"/>
    </w:p>
    <w:p w:rsidR="00507E65" w:rsidRPr="00507E65" w:rsidRDefault="00507E65" w:rsidP="00507E65">
      <w:r w:rsidRPr="00507E65">
        <w:t>Some service providers have submitted that the NEL and NER enable (and require) us to provide a transition to efficient expenditure in the event we make large reductions in opex.</w:t>
      </w:r>
      <w:r w:rsidRPr="00507E65">
        <w:rPr>
          <w:rStyle w:val="FootnoteReference"/>
        </w:rPr>
        <w:footnoteReference w:id="94"/>
      </w:r>
      <w:r w:rsidRPr="00507E65">
        <w:t xml:space="preserve"> Their opinion is the NER provide us with sufficient discretion to apply a transition or, in the alternative, the control mechanism provides a means of doing so. To not provide a transition would be unachievable and not 'realistic' because they would need to immediately review and substantially reduce their opex, jeopardising the safety of the network.</w:t>
      </w:r>
      <w:r w:rsidRPr="00507E65">
        <w:rPr>
          <w:rStyle w:val="FootnoteReference"/>
        </w:rPr>
        <w:footnoteReference w:id="95"/>
      </w:r>
      <w:r w:rsidRPr="00507E65">
        <w:t xml:space="preserve">  </w:t>
      </w:r>
    </w:p>
    <w:p w:rsidR="00507E65" w:rsidRPr="00507E65" w:rsidRDefault="00507E65" w:rsidP="00507E65">
      <w:r w:rsidRPr="00507E65">
        <w:t>The NSW service providers' position on transition path is unclear. In their revised proposals they submit that a transition path is unnecessary when the AER's "allowance" is sufficient to achieve the opex objectives.</w:t>
      </w:r>
      <w:r w:rsidRPr="00507E65">
        <w:rPr>
          <w:rStyle w:val="FootnoteReference"/>
        </w:rPr>
        <w:footnoteReference w:id="96"/>
      </w:r>
      <w:r w:rsidRPr="00507E65">
        <w:t xml:space="preserve"> However, they also submit that adjustments in opex must reflect the time it would realistically take to implement them and propose a control mechanism adjustment.</w:t>
      </w:r>
      <w:r w:rsidRPr="00507E65">
        <w:rPr>
          <w:rStyle w:val="FootnoteReference"/>
        </w:rPr>
        <w:footnoteReference w:id="97"/>
      </w:r>
    </w:p>
    <w:p w:rsidR="00507E65" w:rsidRPr="00507E65" w:rsidRDefault="00507E65" w:rsidP="00507E65">
      <w:r w:rsidRPr="00507E65">
        <w:t>We agree that a transition path is unnecessary when our forecast is sufficient to achieve the opex objectives. We have not been persuaded by any submissions that suggest it is more appropriate for the consumers, rather than service providers, to bear the cost of becoming more efficient. We have also received several submissions from stakeholders that argue the opposite.  That is, the type of approach advocated by service providers would be inconsistent with the NEL and NER.</w:t>
      </w:r>
      <w:r w:rsidRPr="00507E65">
        <w:rPr>
          <w:rStyle w:val="FootnoteReference"/>
        </w:rPr>
        <w:footnoteReference w:id="98"/>
      </w:r>
      <w:r w:rsidRPr="00507E65">
        <w:t xml:space="preserve"> </w:t>
      </w:r>
    </w:p>
    <w:p w:rsidR="00507E65" w:rsidRPr="00507E65" w:rsidRDefault="00507E65" w:rsidP="00507E65">
      <w:r w:rsidRPr="00507E65">
        <w:lastRenderedPageBreak/>
        <w:t xml:space="preserve">If a transition is a "premium" above the efficient costs that a prudent operator would require, we cannot include that premium in our estimate of total forecast opex that we are satisfied reasonably reflects these opex criteria. Conversely, if a transition is included as part of a forecast that does reasonably reflect the opex criteria, no further premium is required or possible. </w:t>
      </w:r>
    </w:p>
    <w:p w:rsidR="00507E65" w:rsidRPr="00507E65" w:rsidRDefault="00507E65" w:rsidP="00507E65">
      <w:r w:rsidRPr="00507E65">
        <w:t>We also note that legal advice provided to ActewAGL contradicts the service providers' view. That advice states that if we applied a transition path pursuant to clause 6.12.1(11) of the NER we would likely be in error:</w:t>
      </w:r>
      <w:r w:rsidRPr="00507E65">
        <w:rPr>
          <w:rStyle w:val="FootnoteReference"/>
        </w:rPr>
        <w:footnoteReference w:id="99"/>
      </w:r>
    </w:p>
    <w:p w:rsidR="00507E65" w:rsidRPr="00507E65" w:rsidRDefault="00507E65" w:rsidP="00507E65">
      <w:pPr>
        <w:pStyle w:val="AERquote"/>
      </w:pPr>
      <w:r w:rsidRPr="00507E65">
        <w:t>Although we think that the establishment of a “glide path” is open to the AER, having regard to the analysis above, there is a tension in this conclusion, in that it proceeds on the assumption that the NEO requires ActewAGL to be allowed forecast opex at a level which exceeds that which the AER has legitimately allowed to ActewAGL pursuant to clause 6.12.1(4)(ii) of the NER. In our view, it is difficult to imagine a circumstance in which that consequence might arise, without the AER’s decision under clause 6.12.1(4)(ii) involving errors of the kind specified in section 71C of the NEL.</w:t>
      </w:r>
    </w:p>
    <w:p w:rsidR="00507E65" w:rsidRPr="00507E65" w:rsidRDefault="00507E65" w:rsidP="00507E65">
      <w:r w:rsidRPr="00507E65">
        <w:t xml:space="preserve">This legal advice suggests, in the alternative, that clause 6.12.1(4)(ii) allows the AER to use its discretion to take endogenous circumstances (such as the actual business structure vis-á-vis the prudent service provider's structure) into account because it would be inconsistent with the NEO for us to "presume, from the outset, that [our] discretion is circumscribed so that [we] must </w:t>
      </w:r>
      <w:r w:rsidRPr="00507E65">
        <w:rPr>
          <w:rStyle w:val="AERtextitalic"/>
        </w:rPr>
        <w:t>only</w:t>
      </w:r>
      <w:r w:rsidRPr="00507E65">
        <w:t xml:space="preserve"> consider the efficient costs that an objectively prudent DNSP might incur. In particular, [it is asserted that] we have an obligation to consider the manner in which a service provider has structured its business in reliance on previous determinations made by [us], and its ability to transition to much lower levels of opex immediately."</w:t>
      </w:r>
      <w:r w:rsidRPr="00507E65">
        <w:rPr>
          <w:rStyle w:val="FootnoteReference"/>
        </w:rPr>
        <w:footnoteReference w:id="100"/>
      </w:r>
    </w:p>
    <w:p w:rsidR="00507E65" w:rsidRPr="00507E65" w:rsidRDefault="00507E65" w:rsidP="00507E65">
      <w:r w:rsidRPr="00507E65">
        <w:t>We have carefully considered this view and we are not convinced it is a sound interpretation of the NEO and the NER. It assumes that:</w:t>
      </w:r>
    </w:p>
    <w:p w:rsidR="00507E65" w:rsidRPr="00507E65" w:rsidRDefault="00507E65" w:rsidP="00507E65">
      <w:pPr>
        <w:pStyle w:val="AERbulletlistfirststyle"/>
      </w:pPr>
      <w:r w:rsidRPr="00507E65">
        <w:t xml:space="preserve">service providers should expect that opex forecasts for future regulatory periods will be of the same order as opex forecasts for previous regulatory periods </w:t>
      </w:r>
    </w:p>
    <w:p w:rsidR="00507E65" w:rsidRPr="00507E65" w:rsidRDefault="00507E65" w:rsidP="00507E65">
      <w:pPr>
        <w:pStyle w:val="AERbulletlistfirststyle"/>
      </w:pPr>
      <w:r w:rsidRPr="00507E65">
        <w:t xml:space="preserve">service providers are entitled to structure their business on that assumption.  </w:t>
      </w:r>
    </w:p>
    <w:p w:rsidR="00507E65" w:rsidRPr="00507E65" w:rsidRDefault="00507E65" w:rsidP="00507E65">
      <w:pPr>
        <w:pStyle w:val="AERbulletlistfirststyle"/>
      </w:pPr>
      <w:r w:rsidRPr="00507E65">
        <w:lastRenderedPageBreak/>
        <w:t xml:space="preserve">Neither of these assumptions is correct.  We determine the opex forecast (which forms part of the revenue which a service provider may recover from consumers) on the basis of the best information available to us at the time.  If new benchmarking data shows that efficient costs are lower than previously thought, this information will be reflected in our determination.  </w:t>
      </w:r>
    </w:p>
    <w:p w:rsidR="00507E65" w:rsidRPr="00507E65" w:rsidRDefault="00507E65" w:rsidP="00507E65">
      <w:r w:rsidRPr="00507E65">
        <w:t xml:space="preserve">The legal advice submitted by ActewAGL also assumes that we are requiring service providers to immediately change their circumstances. As set out above, this is not the case. </w:t>
      </w:r>
    </w:p>
    <w:p w:rsidR="00507E65" w:rsidRPr="00507E65" w:rsidRDefault="00507E65" w:rsidP="00507E65">
      <w:r w:rsidRPr="00507E65">
        <w:t>We consider that requiring service providers to bear their own transition costs is in both the short and long term interests of consumers. It will encourage service providers to make decisions that are prudent, reasonable and efficient in the long term. It will ensure consumers are not required to pay for inefficient expenditure or the consequences of inefficient expenditure. We consider that such incentives and consumer protections are likely to contribute substantially to the NEO.</w:t>
      </w:r>
    </w:p>
    <w:p w:rsidR="00507E65" w:rsidRPr="00507E65" w:rsidRDefault="00507E65" w:rsidP="00507E65">
      <w:r w:rsidRPr="00507E65">
        <w:t xml:space="preserve">This does not constrain service providers from taking time to transition to efficient levels or spend their opex forecasts on transition costs. As we explained in our draft decision, we do not prevent service providers from carrying out inefficient spending—including because of previous agreements, practices or arrangements. A service provider may have bound itself, contractually, to inefficient practices. However, the funds for inefficient spending should not be provided from a forecast which is assessed at the level of prudent and efficient spending. Accordingly, a service provider would need to fund any desired or required transition spending by: </w:t>
      </w:r>
    </w:p>
    <w:p w:rsidR="00507E65" w:rsidRPr="00507E65" w:rsidRDefault="00507E65" w:rsidP="00507E65">
      <w:pPr>
        <w:pStyle w:val="AERbulletlistfirststyle"/>
      </w:pPr>
      <w:r w:rsidRPr="00507E65">
        <w:t>achieving greater efficiencies elsewhere in its practices; or</w:t>
      </w:r>
    </w:p>
    <w:p w:rsidR="00507E65" w:rsidRPr="00507E65" w:rsidRDefault="00507E65" w:rsidP="00507E65">
      <w:pPr>
        <w:pStyle w:val="AERbulletlistfirststyle"/>
      </w:pPr>
      <w:r w:rsidRPr="00507E65">
        <w:t>paying lower dividends to shareholders.</w:t>
      </w:r>
    </w:p>
    <w:p w:rsidR="00507E65" w:rsidRPr="00507E65" w:rsidRDefault="00507E65" w:rsidP="00507E65">
      <w:r w:rsidRPr="00507E65">
        <w:rPr>
          <w:rStyle w:val="AERbody"/>
        </w:rPr>
        <w:t>These are the choices a competitive business must make, where efficiencies are revealed by a market.</w:t>
      </w:r>
      <w:r w:rsidRPr="00507E65">
        <w:rPr>
          <w:rStyle w:val="FootnoteReference"/>
        </w:rPr>
        <w:footnoteReference w:id="101"/>
      </w:r>
      <w:r w:rsidRPr="00507E65">
        <w:rPr>
          <w:rStyle w:val="AERbody"/>
        </w:rPr>
        <w:t xml:space="preserve"> These are the choices a regulated business, funded by consumers, should also make, where efficiencies are revealed by robust analysis. We consider that if this results in a disparity in profits between more and less efficient service providers, it indicates our approach is creating appropriate incentives and a better approximation of a workably competitive market.</w:t>
      </w:r>
    </w:p>
    <w:p w:rsidR="00C95865" w:rsidRPr="00C95865" w:rsidRDefault="00C95865" w:rsidP="00C95865">
      <w:pPr>
        <w:pStyle w:val="Heading3"/>
      </w:pPr>
      <w:bookmarkStart w:id="75" w:name="ProcessAllFootersStartPos"/>
      <w:bookmarkStart w:id="76" w:name="_Toc414434492"/>
      <w:bookmarkStart w:id="77" w:name="_Toc414438974"/>
      <w:bookmarkStart w:id="78" w:name="_Toc414439128"/>
      <w:bookmarkStart w:id="79" w:name="_Toc414450182"/>
      <w:bookmarkStart w:id="80" w:name="_Toc414434493"/>
      <w:bookmarkStart w:id="81" w:name="_Toc414438975"/>
      <w:bookmarkStart w:id="82" w:name="_Toc414439129"/>
      <w:bookmarkStart w:id="83" w:name="_Toc414450183"/>
      <w:bookmarkStart w:id="84" w:name="_Toc414434494"/>
      <w:bookmarkStart w:id="85" w:name="_Toc414438976"/>
      <w:bookmarkStart w:id="86" w:name="_Toc414439130"/>
      <w:bookmarkStart w:id="87" w:name="_Toc414450184"/>
      <w:bookmarkStart w:id="88" w:name="_Toc414434500"/>
      <w:bookmarkStart w:id="89" w:name="_Toc414438982"/>
      <w:bookmarkStart w:id="90" w:name="_Toc414439136"/>
      <w:bookmarkStart w:id="91" w:name="_Toc414450190"/>
      <w:bookmarkStart w:id="92" w:name="_Toc414434501"/>
      <w:bookmarkStart w:id="93" w:name="_Toc414438983"/>
      <w:bookmarkStart w:id="94" w:name="_Toc414439137"/>
      <w:bookmarkStart w:id="95" w:name="_Toc414450191"/>
      <w:bookmarkStart w:id="96" w:name="_Toc414450197"/>
      <w:bookmarkStart w:id="97" w:name="_Toc414450198"/>
      <w:bookmarkStart w:id="98" w:name="_Toc414450199"/>
      <w:bookmarkStart w:id="99" w:name="_Toc416792074"/>
      <w:bookmarkStart w:id="100" w:name="_Toc416792076"/>
      <w:bookmarkStart w:id="101" w:name="_Toc416792078"/>
      <w:bookmarkStart w:id="102" w:name="_Toc416792079"/>
      <w:bookmarkStart w:id="103" w:name="_Toc416792080"/>
      <w:bookmarkStart w:id="104" w:name="_Toc416792081"/>
      <w:bookmarkStart w:id="105" w:name="_Toc416792082"/>
      <w:bookmarkStart w:id="106" w:name="_Toc417483316"/>
      <w:bookmarkStart w:id="107" w:name="_Toc417719019"/>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C95865">
        <w:t>Financeability</w:t>
      </w:r>
      <w:bookmarkEnd w:id="106"/>
      <w:bookmarkEnd w:id="107"/>
    </w:p>
    <w:p w:rsidR="00C95865" w:rsidRPr="00C95865" w:rsidRDefault="00C95865" w:rsidP="00C95865">
      <w:r w:rsidRPr="00C95865">
        <w:rPr>
          <w:rStyle w:val="AERbody"/>
        </w:rPr>
        <w:t>With their revised regulatory proposals, the NSW service providers submitted reports by CEPA.</w:t>
      </w:r>
      <w:r w:rsidRPr="00C95865">
        <w:rPr>
          <w:rStyle w:val="FootnoteReference"/>
        </w:rPr>
        <w:footnoteReference w:id="102"/>
      </w:r>
      <w:r w:rsidRPr="00C95865">
        <w:rPr>
          <w:rStyle w:val="AERbody"/>
        </w:rPr>
        <w:t xml:space="preserve"> CEPA considered our draft decision alternative opex forecasts and the </w:t>
      </w:r>
      <w:r w:rsidRPr="00C95865">
        <w:rPr>
          <w:rStyle w:val="AERbody"/>
        </w:rPr>
        <w:lastRenderedPageBreak/>
        <w:t>'speed to reduce the efficiency gap' would put at risk the achievement of the NEO because it could impact on the service providers' financial viability.</w:t>
      </w:r>
      <w:r w:rsidRPr="00C95865">
        <w:rPr>
          <w:rStyle w:val="FootnoteReference"/>
        </w:rPr>
        <w:footnoteReference w:id="103"/>
      </w:r>
    </w:p>
    <w:p w:rsidR="00C95865" w:rsidRPr="00C95865" w:rsidRDefault="00C95865" w:rsidP="00C95865">
      <w:pPr>
        <w:rPr>
          <w:rStyle w:val="AERbody"/>
        </w:rPr>
      </w:pPr>
      <w:r w:rsidRPr="00C95865">
        <w:t xml:space="preserve">The financeability implications of our decisions do not form part of our obligations under the NER. CEPA acknowledges this, but suggests that such an obligation may </w:t>
      </w:r>
      <w:r w:rsidR="00DB31AC">
        <w:t xml:space="preserve">be </w:t>
      </w:r>
      <w:r w:rsidRPr="00C95865">
        <w:t>implied in the NEO.</w:t>
      </w:r>
      <w:r w:rsidRPr="00C95865">
        <w:rPr>
          <w:rStyle w:val="FootnoteReference"/>
        </w:rPr>
        <w:footnoteReference w:id="104"/>
      </w:r>
      <w:r w:rsidRPr="00C95865">
        <w:t xml:space="preserve"> Financeability is an underlying theme of the service providers’ revised regulatory proposals. In particular, they raise the magnitude of our draft decision </w:t>
      </w:r>
      <w:r w:rsidRPr="00C95865">
        <w:rPr>
          <w:rStyle w:val="AERbody"/>
        </w:rPr>
        <w:t>opex and capex adjustments as a driver of financeability concerns.</w:t>
      </w:r>
      <w:r w:rsidRPr="00051BDB">
        <w:rPr>
          <w:rStyle w:val="AERsuperscript"/>
        </w:rPr>
        <w:footnoteReference w:id="105"/>
      </w:r>
      <w:r w:rsidRPr="00051BDB">
        <w:rPr>
          <w:rStyle w:val="AERsuperscript"/>
        </w:rPr>
        <w:t xml:space="preserve"> </w:t>
      </w:r>
      <w:r w:rsidRPr="00C95865">
        <w:rPr>
          <w:rStyle w:val="AERbody"/>
        </w:rPr>
        <w:t>As a result, we have examined CEPA’s submissions in the overview to this final decision and in Attachment 20.</w:t>
      </w:r>
    </w:p>
    <w:p w:rsidR="00C95865" w:rsidRPr="00C95865" w:rsidRDefault="00C95865" w:rsidP="00C95865">
      <w:pPr>
        <w:rPr>
          <w:rStyle w:val="AERbody"/>
        </w:rPr>
      </w:pPr>
      <w:r w:rsidRPr="00C95865">
        <w:rPr>
          <w:rStyle w:val="AERbody"/>
        </w:rPr>
        <w:t>We do not dispute CEPA's findings that the service providers may face financeability concerns under the restrictive assumptions that are used by CEPA in their analysis.  CEPA undertook its analysis under the assumptions that the service providers will not make any changes to its level of opex or capex in response to our decision.  The analysis also assumes that inefficient costs should be funded by consumers and not by shareholders through reduced returns. We do not find this to be appropriate.</w:t>
      </w:r>
    </w:p>
    <w:p w:rsidR="00C95865" w:rsidRPr="00C95865" w:rsidRDefault="00C95865" w:rsidP="00C95865">
      <w:r w:rsidRPr="00C95865">
        <w:rPr>
          <w:rStyle w:val="AERbody"/>
        </w:rPr>
        <w:t xml:space="preserve">In order to arrive at a more realistic conclusion on financeability we conducted our own analysis and tested various assumptions of the NSW service providers achieving efficiencies over the regulatory period. </w:t>
      </w:r>
      <w:r w:rsidRPr="00C95865">
        <w:t>In summary, our analysis demonstrates that, for each service provider, our estimate of the total forecast opex that reasonably reflects the opex criteria will not adversely affect its financial viability.</w:t>
      </w:r>
    </w:p>
    <w:p w:rsidR="00E75C6B" w:rsidRPr="00B10C1A" w:rsidRDefault="00E75C6B">
      <w:pPr>
        <w:pStyle w:val="Heading2"/>
      </w:pPr>
      <w:bookmarkStart w:id="108" w:name="_Toc417719020"/>
      <w:r w:rsidRPr="00E40A0B">
        <w:t>Interrelationships</w:t>
      </w:r>
      <w:bookmarkEnd w:id="60"/>
      <w:bookmarkEnd w:id="108"/>
    </w:p>
    <w:p w:rsidR="00E75C6B" w:rsidRPr="00DA1745" w:rsidRDefault="00E75C6B" w:rsidP="005136CC">
      <w:pPr>
        <w:numPr>
          <w:ilvl w:val="0"/>
          <w:numId w:val="24"/>
        </w:numPr>
      </w:pPr>
      <w:r w:rsidRPr="00DA1745">
        <w:t xml:space="preserve">In assessing </w:t>
      </w:r>
      <w:r w:rsidR="00BC10D5">
        <w:t>Essential Energy</w:t>
      </w:r>
      <w:r>
        <w:t>'s</w:t>
      </w:r>
      <w:r w:rsidRPr="00DA1745">
        <w:t xml:space="preserve"> total forecast opex we took into account other compon</w:t>
      </w:r>
      <w:r w:rsidR="001B7F5A">
        <w:t>ents of its regulatory proposal</w:t>
      </w:r>
      <w:r w:rsidRPr="00DA1745">
        <w:t>:</w:t>
      </w:r>
    </w:p>
    <w:p w:rsidR="00E75C6B" w:rsidRPr="00B10C1A" w:rsidRDefault="001B7F5A" w:rsidP="00E75C6B">
      <w:pPr>
        <w:pStyle w:val="AERbulletlistfirststyle"/>
      </w:pPr>
      <w:r>
        <w:t>T</w:t>
      </w:r>
      <w:r w:rsidR="00E75C6B" w:rsidRPr="00B10C1A">
        <w:t>he impact of cost drivers that affect both forecast opex and forecast capex. For instance forecast maximum demand affects forecast augmentation capex and forecast output growth used in estimating the rate of change in opex.</w:t>
      </w:r>
    </w:p>
    <w:p w:rsidR="00E75C6B" w:rsidRPr="00B10C1A" w:rsidRDefault="001B7F5A" w:rsidP="00E75C6B">
      <w:pPr>
        <w:pStyle w:val="AERbulletlistfirststyle"/>
      </w:pPr>
      <w:r>
        <w:t>T</w:t>
      </w:r>
      <w:r w:rsidR="00E75C6B" w:rsidRPr="00B10C1A">
        <w:t xml:space="preserve">he approach to assessing rate of return, to ensure there is consistency between our determination of debt raising costs and the rate of return building block. </w:t>
      </w:r>
    </w:p>
    <w:p w:rsidR="00E75C6B" w:rsidRPr="00B10C1A" w:rsidRDefault="001B7F5A" w:rsidP="00E75C6B">
      <w:pPr>
        <w:pStyle w:val="AERbulletlistfirststyle"/>
      </w:pPr>
      <w:r>
        <w:t>C</w:t>
      </w:r>
      <w:r w:rsidR="00E75C6B" w:rsidRPr="00B10C1A">
        <w:t>hanges to the classification of services from standard control services to alternative control services.</w:t>
      </w:r>
    </w:p>
    <w:p w:rsidR="00E75C6B" w:rsidRPr="00B10C1A" w:rsidRDefault="001B7F5A" w:rsidP="00E75C6B">
      <w:pPr>
        <w:pStyle w:val="AERbulletlistfirststyle"/>
      </w:pPr>
      <w:r>
        <w:t>C</w:t>
      </w:r>
      <w:r w:rsidR="00E75C6B" w:rsidRPr="00B10C1A">
        <w:t>onsistency with the application of incentive schemes - in particular our decision not to subject any expenditure to the EBSS during the 2015–19 regulatory control period.</w:t>
      </w:r>
    </w:p>
    <w:p w:rsidR="00E75C6B" w:rsidRDefault="001B7F5A" w:rsidP="00E75C6B">
      <w:pPr>
        <w:pStyle w:val="AERbulletlistfirststyle"/>
      </w:pPr>
      <w:r>
        <w:lastRenderedPageBreak/>
        <w:t>C</w:t>
      </w:r>
      <w:r w:rsidR="00E75C6B" w:rsidRPr="00B10C1A">
        <w:t>oncerns of electricity consumers identified in the course of its engagement with consumers.</w:t>
      </w:r>
    </w:p>
    <w:p w:rsidR="00E75C6B" w:rsidRDefault="000B6E4A" w:rsidP="00E75C6B">
      <w:pPr>
        <w:rPr>
          <w:rStyle w:val="AERbody"/>
        </w:rPr>
      </w:pPr>
      <w:r w:rsidRPr="000B6E4A">
        <w:rPr>
          <w:rStyle w:val="AERbody"/>
        </w:rPr>
        <w:t>While capex is the subject of a separate forecast, many service providers have made broad statements about the combined effect of opex and capex reductions on safety.</w:t>
      </w:r>
      <w:r w:rsidRPr="000B6E4A">
        <w:rPr>
          <w:rStyle w:val="FootnoteReference"/>
        </w:rPr>
        <w:footnoteReference w:id="106"/>
      </w:r>
      <w:r w:rsidRPr="000B6E4A">
        <w:rPr>
          <w:rStyle w:val="AERbody"/>
        </w:rPr>
        <w:t xml:space="preserve"> In addition, the extent to which costs are expensed or capitalised by a service provider, or the extent to which there may be appropriate substitution between capex and opex when developing forecasts, are important interrelationships that we take into account when making our decision. </w:t>
      </w:r>
    </w:p>
    <w:p w:rsidR="00E75C6B" w:rsidRPr="00B10C1A" w:rsidRDefault="00E75C6B" w:rsidP="001B7F5A">
      <w:pPr>
        <w:pStyle w:val="Heading2"/>
      </w:pPr>
      <w:bookmarkStart w:id="109" w:name="_Toc415754594"/>
      <w:bookmarkStart w:id="110" w:name="_Toc417719021"/>
      <w:r>
        <w:t>Assessment of opex factors</w:t>
      </w:r>
      <w:bookmarkEnd w:id="109"/>
      <w:bookmarkEnd w:id="110"/>
    </w:p>
    <w:p w:rsidR="00E75C6B" w:rsidRDefault="00E75C6B" w:rsidP="005136CC">
      <w:pPr>
        <w:numPr>
          <w:ilvl w:val="0"/>
          <w:numId w:val="24"/>
        </w:numPr>
      </w:pPr>
      <w:r>
        <w:t xml:space="preserve">In deciding </w:t>
      </w:r>
      <w:r w:rsidR="006B7B34">
        <w:t>whether</w:t>
      </w:r>
      <w:r>
        <w:t xml:space="preserve"> we are satisfied </w:t>
      </w:r>
      <w:r w:rsidRPr="008F796D">
        <w:t>the service provider's forecast reasonably reflects the opex criteria we have regard to the opex factors.</w:t>
      </w:r>
      <w:r w:rsidRPr="008F796D">
        <w:rPr>
          <w:rStyle w:val="FootnoteReference"/>
        </w:rPr>
        <w:footnoteReference w:id="107"/>
      </w:r>
      <w:r w:rsidRPr="008F796D">
        <w:t xml:space="preserve"> </w:t>
      </w:r>
      <w:r>
        <w:fldChar w:fldCharType="begin"/>
      </w:r>
      <w:r>
        <w:instrText xml:space="preserve"> REF _Ref401756014 \h </w:instrText>
      </w:r>
      <w:r>
        <w:fldChar w:fldCharType="separate"/>
      </w:r>
      <w:r w:rsidR="00C74791">
        <w:t xml:space="preserve">Table </w:t>
      </w:r>
      <w:r w:rsidR="00C74791">
        <w:rPr>
          <w:noProof/>
        </w:rPr>
        <w:t>7</w:t>
      </w:r>
      <w:r w:rsidR="00C74791">
        <w:t>.</w:t>
      </w:r>
      <w:r w:rsidR="00C74791">
        <w:rPr>
          <w:noProof/>
        </w:rPr>
        <w:t>6</w:t>
      </w:r>
      <w:r>
        <w:fldChar w:fldCharType="end"/>
      </w:r>
      <w:r>
        <w:t xml:space="preserve"> summarises how we have taken the opex factors into account in making our </w:t>
      </w:r>
      <w:r w:rsidR="00785A0E">
        <w:t>final</w:t>
      </w:r>
      <w:r>
        <w:t xml:space="preserve"> decision.</w:t>
      </w:r>
    </w:p>
    <w:p w:rsidR="00E75C6B" w:rsidRDefault="00E75C6B" w:rsidP="00E75C6B">
      <w:pPr>
        <w:pStyle w:val="Caption"/>
      </w:pPr>
      <w:bookmarkStart w:id="111" w:name="_Ref401756014"/>
      <w:r>
        <w:t xml:space="preserve">Table </w:t>
      </w:r>
      <w:r w:rsidRPr="000D0625">
        <w:fldChar w:fldCharType="begin"/>
      </w:r>
      <w:r>
        <w:instrText xml:space="preserve"> STYLEREF 1 \s </w:instrText>
      </w:r>
      <w:r w:rsidRPr="000D0625">
        <w:fldChar w:fldCharType="separate"/>
      </w:r>
      <w:r w:rsidR="00C74791">
        <w:rPr>
          <w:noProof/>
        </w:rPr>
        <w:t>7</w:t>
      </w:r>
      <w:r w:rsidRPr="000D0625">
        <w:fldChar w:fldCharType="end"/>
      </w:r>
      <w:r>
        <w:t>.</w:t>
      </w:r>
      <w:r w:rsidRPr="000D0625">
        <w:fldChar w:fldCharType="begin"/>
      </w:r>
      <w:r>
        <w:instrText xml:space="preserve"> SEQ Table \* ARABIC \s 1 </w:instrText>
      </w:r>
      <w:r w:rsidRPr="000D0625">
        <w:fldChar w:fldCharType="separate"/>
      </w:r>
      <w:r w:rsidR="00C74791">
        <w:rPr>
          <w:noProof/>
        </w:rPr>
        <w:t>6</w:t>
      </w:r>
      <w:r w:rsidRPr="000D0625">
        <w:fldChar w:fldCharType="end"/>
      </w:r>
      <w:bookmarkEnd w:id="111"/>
      <w:r>
        <w:tab/>
        <w:t>Our consideration of opex factors</w:t>
      </w:r>
    </w:p>
    <w:tbl>
      <w:tblPr>
        <w:tblStyle w:val="AERtable-text0"/>
        <w:tblW w:w="0" w:type="auto"/>
        <w:tblLook w:val="04A0" w:firstRow="1" w:lastRow="0" w:firstColumn="1" w:lastColumn="0" w:noHBand="0" w:noVBand="1"/>
      </w:tblPr>
      <w:tblGrid>
        <w:gridCol w:w="4219"/>
        <w:gridCol w:w="4474"/>
      </w:tblGrid>
      <w:tr w:rsidR="00E75C6B" w:rsidRPr="00327764" w:rsidTr="00165E00">
        <w:trPr>
          <w:cnfStyle w:val="100000000000" w:firstRow="1" w:lastRow="0" w:firstColumn="0" w:lastColumn="0" w:oddVBand="0" w:evenVBand="0" w:oddHBand="0" w:evenHBand="0" w:firstRowFirstColumn="0" w:firstRowLastColumn="0" w:lastRowFirstColumn="0" w:lastRowLastColumn="0"/>
          <w:tblHeader/>
        </w:trPr>
        <w:tc>
          <w:tcPr>
            <w:tcW w:w="4219" w:type="dxa"/>
          </w:tcPr>
          <w:p w:rsidR="00E75C6B" w:rsidRPr="00327764" w:rsidRDefault="00E75C6B" w:rsidP="00E75C6B">
            <w:r w:rsidRPr="00327764">
              <w:t>Opex factor</w:t>
            </w:r>
          </w:p>
        </w:tc>
        <w:tc>
          <w:tcPr>
            <w:tcW w:w="4474" w:type="dxa"/>
          </w:tcPr>
          <w:p w:rsidR="00E75C6B" w:rsidRPr="00327764" w:rsidRDefault="00E75C6B" w:rsidP="00E75C6B">
            <w:r w:rsidRPr="00327764">
              <w:t>Consideration</w:t>
            </w:r>
          </w:p>
        </w:tc>
      </w:tr>
      <w:tr w:rsidR="00E75C6B" w:rsidRPr="00327764" w:rsidTr="00165E00">
        <w:tc>
          <w:tcPr>
            <w:tcW w:w="4219" w:type="dxa"/>
          </w:tcPr>
          <w:p w:rsidR="00E75C6B" w:rsidRPr="00327764" w:rsidRDefault="00E75C6B" w:rsidP="00E75C6B">
            <w:r w:rsidRPr="00327764">
              <w:t>The most recent annual benchmarking report that has been published under rule 6.27 and the benchmark operating expenditure that would be incurred by an efficient Distribution Network Service Provider over the relevant regulatory control period.</w:t>
            </w:r>
          </w:p>
        </w:tc>
        <w:tc>
          <w:tcPr>
            <w:tcW w:w="4474" w:type="dxa"/>
          </w:tcPr>
          <w:p w:rsidR="001C231C" w:rsidRPr="001C231C" w:rsidRDefault="001C231C" w:rsidP="001C231C">
            <w:r w:rsidRPr="001C231C">
              <w:t xml:space="preserve">There are two elements to this factor. First, we must have regard to the most recent annual benchmarking report. Second, we must have regard to the benchmark operating expenditure that would be incurred by an efficient distribution network service provider over the period.  The annual benchmarking report is intended to provide an annual snapshot of the relative efficiency of each service provider.  </w:t>
            </w:r>
          </w:p>
          <w:p w:rsidR="001C231C" w:rsidRPr="001C231C" w:rsidRDefault="001C231C" w:rsidP="001C231C">
            <w:r w:rsidRPr="001C231C">
              <w:t>The second element, that is, the benchmark operating expenditure that would be incurred an efficient provider during the forecast period, necessarily provides a different focus.  This is because this second element requires us to construct the benchmark opex that would be incurred by a hypothetically efficient provider for that particular network over the relevant period.</w:t>
            </w:r>
          </w:p>
          <w:p w:rsidR="00E75C6B" w:rsidRPr="00327764" w:rsidRDefault="001C231C" w:rsidP="001C231C">
            <w:r w:rsidRPr="001C231C">
              <w:t>We have used several assessment techniques that enable us to estimate the benchmark opex that an efficient service provider would require over the forecast period. These techniques include economic benchmarking, opex cost function modelling, category analysis and a detailed review of Essential Energy's labour and workforce practices and vegetation management. We have used our judgment based on the results from all of these techniques to holistically form a view on the efficiency of Essential Energy's proposed total forecast opex compared to the benchmark efficient opex that would be incurred over the relevant regulatory control period.</w:t>
            </w:r>
            <w:r w:rsidR="00E75C6B" w:rsidRPr="00327764">
              <w:t xml:space="preserve">.  </w:t>
            </w:r>
          </w:p>
        </w:tc>
      </w:tr>
      <w:tr w:rsidR="00E75C6B" w:rsidRPr="00327764" w:rsidTr="00165E00">
        <w:trPr>
          <w:cnfStyle w:val="000000010000" w:firstRow="0" w:lastRow="0" w:firstColumn="0" w:lastColumn="0" w:oddVBand="0" w:evenVBand="0" w:oddHBand="0" w:evenHBand="1" w:firstRowFirstColumn="0" w:firstRowLastColumn="0" w:lastRowFirstColumn="0" w:lastRowLastColumn="0"/>
        </w:trPr>
        <w:tc>
          <w:tcPr>
            <w:tcW w:w="4219" w:type="dxa"/>
          </w:tcPr>
          <w:p w:rsidR="00E75C6B" w:rsidRPr="00327764" w:rsidRDefault="00E75C6B" w:rsidP="00E75C6B">
            <w:r w:rsidRPr="00327764">
              <w:t xml:space="preserve">The actual and expected operating expenditure of the </w:t>
            </w:r>
            <w:r w:rsidRPr="00327764">
              <w:lastRenderedPageBreak/>
              <w:t>distribution network service provider during any proceeding regulatory control periods.</w:t>
            </w:r>
          </w:p>
        </w:tc>
        <w:tc>
          <w:tcPr>
            <w:tcW w:w="4474" w:type="dxa"/>
          </w:tcPr>
          <w:p w:rsidR="00E75C6B" w:rsidRPr="00327764" w:rsidRDefault="00E75C6B" w:rsidP="00E75C6B">
            <w:r w:rsidRPr="00327764">
              <w:lastRenderedPageBreak/>
              <w:t xml:space="preserve">Our forecasting approach uses the service provider's actual </w:t>
            </w:r>
            <w:r w:rsidRPr="00327764">
              <w:lastRenderedPageBreak/>
              <w:t xml:space="preserve">opex as the starting point. We have compared several years of </w:t>
            </w:r>
            <w:r w:rsidR="00BC10D5">
              <w:t>Essential Energy</w:t>
            </w:r>
            <w:r w:rsidRPr="00327764">
              <w:t>'s actual past opex with that of other service providers to form a view about whether or not its revealed expenditure is sufficiently efficient to rely on it as the basis for forecasting required opex in the forthcoming period.</w:t>
            </w:r>
          </w:p>
        </w:tc>
      </w:tr>
      <w:tr w:rsidR="00E75C6B" w:rsidRPr="00327764" w:rsidTr="00165E00">
        <w:tc>
          <w:tcPr>
            <w:tcW w:w="4219" w:type="dxa"/>
          </w:tcPr>
          <w:p w:rsidR="00E75C6B" w:rsidRPr="00327764" w:rsidRDefault="00E75C6B" w:rsidP="00E75C6B">
            <w:r w:rsidRPr="00327764">
              <w:lastRenderedPageBreak/>
              <w:t>The extent to which the operating expenditure forecast includes expenditure to address the concerns of electricity consumers as identified by the distribution network service provider in the course of its engagement with electricity consumers.</w:t>
            </w:r>
          </w:p>
        </w:tc>
        <w:tc>
          <w:tcPr>
            <w:tcW w:w="4474" w:type="dxa"/>
          </w:tcPr>
          <w:p w:rsidR="00E75C6B" w:rsidRPr="00E75C6B" w:rsidRDefault="00E75C6B" w:rsidP="00E75C6B">
            <w:r w:rsidRPr="00327764">
              <w:t>We understand the intention of this particular factor is to require us to have regard to the extent to which service providers have engaged with consumers in preparing their regulatory proposals, such that they factor in the needs of consumers.</w:t>
            </w:r>
            <w:r w:rsidRPr="00E75C6B">
              <w:rPr>
                <w:rStyle w:val="AERsuperscript"/>
              </w:rPr>
              <w:footnoteReference w:id="108"/>
            </w:r>
            <w:r w:rsidRPr="00E75C6B">
              <w:rPr>
                <w:rStyle w:val="AERsuperscript"/>
              </w:rPr>
              <w:t xml:space="preserve"> </w:t>
            </w:r>
          </w:p>
          <w:p w:rsidR="00E75C6B" w:rsidRPr="00327764" w:rsidRDefault="00E75C6B" w:rsidP="00E75C6B">
            <w:r w:rsidRPr="00327764">
              <w:t xml:space="preserve">We have considered the concerns of electricity consumers as identified by </w:t>
            </w:r>
            <w:r w:rsidR="00BC10D5">
              <w:t>Essential Energy</w:t>
            </w:r>
            <w:r w:rsidRPr="00327764">
              <w:t xml:space="preserve"> in assessing its proposal.</w:t>
            </w:r>
          </w:p>
        </w:tc>
      </w:tr>
      <w:tr w:rsidR="00E75C6B" w:rsidRPr="00327764" w:rsidTr="00165E00">
        <w:trPr>
          <w:cnfStyle w:val="000000010000" w:firstRow="0" w:lastRow="0" w:firstColumn="0" w:lastColumn="0" w:oddVBand="0" w:evenVBand="0" w:oddHBand="0" w:evenHBand="1" w:firstRowFirstColumn="0" w:firstRowLastColumn="0" w:lastRowFirstColumn="0" w:lastRowLastColumn="0"/>
        </w:trPr>
        <w:tc>
          <w:tcPr>
            <w:tcW w:w="4219" w:type="dxa"/>
          </w:tcPr>
          <w:p w:rsidR="00E75C6B" w:rsidRPr="00327764" w:rsidRDefault="00E75C6B" w:rsidP="00E75C6B">
            <w:r w:rsidRPr="00327764">
              <w:t>The relative prices of capital and operating inputs</w:t>
            </w:r>
          </w:p>
        </w:tc>
        <w:tc>
          <w:tcPr>
            <w:tcW w:w="4474" w:type="dxa"/>
          </w:tcPr>
          <w:p w:rsidR="00E75C6B" w:rsidRPr="00327764" w:rsidRDefault="00E75C6B" w:rsidP="00E75C6B">
            <w:r w:rsidRPr="00327764">
              <w:t>We have had regard to multilateral total factor productivity benchmarking when deciding whether or not forecast opex reflects the opex criteria. Our multilateral total factor productivity analysis considers the overall efficiency of networks with in the use of both capital and operating inputs with respect to the prices of capital and operating inputs.</w:t>
            </w:r>
          </w:p>
        </w:tc>
      </w:tr>
      <w:tr w:rsidR="00E75C6B" w:rsidRPr="00327764" w:rsidTr="00165E00">
        <w:tc>
          <w:tcPr>
            <w:tcW w:w="4219" w:type="dxa"/>
          </w:tcPr>
          <w:p w:rsidR="00E75C6B" w:rsidRPr="00327764" w:rsidRDefault="00E75C6B" w:rsidP="00E75C6B">
            <w:r w:rsidRPr="00327764">
              <w:t>The substitution possibilities between operating and capital expenditure.</w:t>
            </w:r>
          </w:p>
        </w:tc>
        <w:tc>
          <w:tcPr>
            <w:tcW w:w="4474" w:type="dxa"/>
          </w:tcPr>
          <w:p w:rsidR="00E75C6B" w:rsidRPr="00327764" w:rsidRDefault="00E75C6B" w:rsidP="00E75C6B">
            <w:r w:rsidRPr="00327764">
              <w:t xml:space="preserve">Some of our assessment techniques examine opex in isolation – either at the total level or by category. Other techniques consider service providers' overall efficiency, including their capital efficiency. We have relied on several metrics when assessing efficiency to ensure we appropriately capture capex and opex substitutability. </w:t>
            </w:r>
          </w:p>
          <w:p w:rsidR="00E75C6B" w:rsidRPr="00327764" w:rsidRDefault="00E75C6B" w:rsidP="00E75C6B">
            <w:r w:rsidRPr="00327764">
              <w:t>In developing our benchmarking models we have had regard to the relationship between capital, opex and outputs.</w:t>
            </w:r>
          </w:p>
          <w:p w:rsidR="00E75C6B" w:rsidRPr="00327764" w:rsidRDefault="00E75C6B" w:rsidP="00E75C6B">
            <w:r w:rsidRPr="00327764">
              <w:t>We also had regard to multilateral total factor productivity benchmarking when deciding whether or not forecast opex reflects the opex criteria. Our multilateral total factor productivity analysis considers the overall efficiency of networks in the use of both capital and operating inputs.</w:t>
            </w:r>
          </w:p>
          <w:p w:rsidR="00E75C6B" w:rsidRPr="00327764" w:rsidRDefault="00E75C6B" w:rsidP="00E75C6B">
            <w:r w:rsidRPr="00327764">
              <w:t>Further, we considered the different capitalisation policies of the service providers' and how this may affect opex performance under benchmarking.</w:t>
            </w:r>
          </w:p>
        </w:tc>
      </w:tr>
      <w:tr w:rsidR="00E75C6B" w:rsidRPr="00327764" w:rsidTr="00165E00">
        <w:trPr>
          <w:cnfStyle w:val="000000010000" w:firstRow="0" w:lastRow="0" w:firstColumn="0" w:lastColumn="0" w:oddVBand="0" w:evenVBand="0" w:oddHBand="0" w:evenHBand="1" w:firstRowFirstColumn="0" w:firstRowLastColumn="0" w:lastRowFirstColumn="0" w:lastRowLastColumn="0"/>
        </w:trPr>
        <w:tc>
          <w:tcPr>
            <w:tcW w:w="4219" w:type="dxa"/>
          </w:tcPr>
          <w:p w:rsidR="00E75C6B" w:rsidRPr="00327764" w:rsidRDefault="00E75C6B" w:rsidP="00E75C6B">
            <w:r w:rsidRPr="00327764">
              <w:t>Whether the operating expenditure forecast is consistent with any incentive scheme or schemes that apply to the distribution network service provider under clauses 6.5.8 or 6.6.2 to 6.6.4.</w:t>
            </w:r>
          </w:p>
        </w:tc>
        <w:tc>
          <w:tcPr>
            <w:tcW w:w="4474" w:type="dxa"/>
          </w:tcPr>
          <w:p w:rsidR="00E75C6B" w:rsidRPr="00327764" w:rsidRDefault="00E75C6B" w:rsidP="00E75C6B">
            <w:r w:rsidRPr="00327764">
              <w:t xml:space="preserve">The incentive scheme that applied to </w:t>
            </w:r>
            <w:r w:rsidR="00BC10D5">
              <w:t>Essential Energy</w:t>
            </w:r>
            <w:r w:rsidRPr="00327764">
              <w:t>'s opex in the 2009–14 regulatory control period, the EBSS, was intended to work in conjunction with a revealed cost forecasting approach.</w:t>
            </w:r>
          </w:p>
          <w:p w:rsidR="00E75C6B" w:rsidRPr="00327764" w:rsidRDefault="00E75C6B" w:rsidP="00E75C6B">
            <w:r w:rsidRPr="00327764">
              <w:t xml:space="preserve">In this instance, we have forecast efficient opex based on benchmark efficient service provider. We have considered this in deciding how the EBSS should apply to </w:t>
            </w:r>
            <w:r w:rsidR="00BC10D5">
              <w:t>Essential Energy</w:t>
            </w:r>
            <w:r w:rsidRPr="00327764">
              <w:t xml:space="preserve"> in the 2009–14 regulatory control period and the 2014–19 period.</w:t>
            </w:r>
          </w:p>
        </w:tc>
      </w:tr>
      <w:tr w:rsidR="00E75C6B" w:rsidRPr="00327764" w:rsidTr="00165E00">
        <w:tc>
          <w:tcPr>
            <w:tcW w:w="4219" w:type="dxa"/>
          </w:tcPr>
          <w:p w:rsidR="00E75C6B" w:rsidRPr="00327764" w:rsidRDefault="00E75C6B" w:rsidP="00E75C6B">
            <w:r w:rsidRPr="00327764">
              <w:t>The extent the operating expenditure forecast is referable to arrangements with a person other than the distribution network service provider that, in our opinion, do not reflect arm's length terms.</w:t>
            </w:r>
          </w:p>
        </w:tc>
        <w:tc>
          <w:tcPr>
            <w:tcW w:w="4474" w:type="dxa"/>
          </w:tcPr>
          <w:p w:rsidR="00E75C6B" w:rsidRPr="00327764" w:rsidRDefault="00E75C6B" w:rsidP="00E75C6B">
            <w:r w:rsidRPr="00327764">
              <w:t xml:space="preserve">Some of our techniques assess the total expenditure efficiency of service providers and some assess the total opex efficiency. Given this, we are not necessarily concerned whether arrangements do or do not reflect arm's </w:t>
            </w:r>
            <w:r w:rsidRPr="00327764">
              <w:lastRenderedPageBreak/>
              <w:t>length terms. A service provider which uses related party providers could be efficient or it could be inefficient. Likewise, for a service provider who does not use related party providers. If a service provider is inefficient, we adjust their total forecast opex proposal, regardless of their arrangements with related providers.</w:t>
            </w:r>
          </w:p>
        </w:tc>
      </w:tr>
      <w:tr w:rsidR="00E75C6B" w:rsidRPr="00327764" w:rsidTr="00165E00">
        <w:trPr>
          <w:cnfStyle w:val="000000010000" w:firstRow="0" w:lastRow="0" w:firstColumn="0" w:lastColumn="0" w:oddVBand="0" w:evenVBand="0" w:oddHBand="0" w:evenHBand="1" w:firstRowFirstColumn="0" w:firstRowLastColumn="0" w:lastRowFirstColumn="0" w:lastRowLastColumn="0"/>
        </w:trPr>
        <w:tc>
          <w:tcPr>
            <w:tcW w:w="4219" w:type="dxa"/>
          </w:tcPr>
          <w:p w:rsidR="00E75C6B" w:rsidRPr="00327764" w:rsidRDefault="00E75C6B" w:rsidP="00E75C6B">
            <w:r w:rsidRPr="00327764">
              <w:lastRenderedPageBreak/>
              <w:t>Whether the operating expenditure forecast includes an amount relating to a project that should more appropriately be included as a contingent project under clause 6.6A.1(b).</w:t>
            </w:r>
          </w:p>
        </w:tc>
        <w:tc>
          <w:tcPr>
            <w:tcW w:w="4474" w:type="dxa"/>
          </w:tcPr>
          <w:p w:rsidR="00E75C6B" w:rsidRPr="00327764" w:rsidRDefault="00E75C6B" w:rsidP="00F43434">
            <w:r w:rsidRPr="00327764">
              <w:t xml:space="preserve">This factor is only relevant in the context of assessing proposed step changes (which may be explicit projects or programs). We did not identify any contingent projects in reaching our </w:t>
            </w:r>
            <w:r w:rsidR="00895956">
              <w:t>final</w:t>
            </w:r>
            <w:r w:rsidR="004F38E0">
              <w:t xml:space="preserve"> </w:t>
            </w:r>
            <w:r w:rsidRPr="00327764">
              <w:t>decision.</w:t>
            </w:r>
          </w:p>
        </w:tc>
      </w:tr>
      <w:tr w:rsidR="00E75C6B" w:rsidRPr="00327764" w:rsidTr="00165E00">
        <w:tc>
          <w:tcPr>
            <w:tcW w:w="4219" w:type="dxa"/>
          </w:tcPr>
          <w:p w:rsidR="00E75C6B" w:rsidRPr="00327764" w:rsidRDefault="00E75C6B" w:rsidP="00E75C6B">
            <w:r w:rsidRPr="00327764">
              <w:t>The extent the distribution network service provider has considered, and made provision for, efficient and prudent non-network alternatives.</w:t>
            </w:r>
          </w:p>
        </w:tc>
        <w:tc>
          <w:tcPr>
            <w:tcW w:w="4474" w:type="dxa"/>
          </w:tcPr>
          <w:p w:rsidR="00E75C6B" w:rsidRPr="00327764" w:rsidRDefault="00E75C6B" w:rsidP="004F38E0">
            <w:r w:rsidRPr="00327764">
              <w:t xml:space="preserve">We have not found this factor to be significant in reaching our </w:t>
            </w:r>
            <w:r w:rsidR="004F38E0">
              <w:t>final</w:t>
            </w:r>
            <w:r w:rsidR="004F38E0" w:rsidRPr="00327764">
              <w:t xml:space="preserve"> </w:t>
            </w:r>
            <w:r w:rsidRPr="00327764">
              <w:t>decision.</w:t>
            </w:r>
          </w:p>
        </w:tc>
      </w:tr>
    </w:tbl>
    <w:p w:rsidR="007E0650" w:rsidRDefault="006D14B7" w:rsidP="00C74791">
      <w:pPr>
        <w:pStyle w:val="AERtablesource"/>
      </w:pPr>
      <w:r w:rsidRPr="006D14B7">
        <w:t xml:space="preserve">Source: </w:t>
      </w:r>
      <w:r w:rsidRPr="006D14B7">
        <w:tab/>
        <w:t>AER analysis.</w:t>
      </w:r>
    </w:p>
    <w:p w:rsidR="00E75C6B" w:rsidRPr="000D0625" w:rsidRDefault="00E75C6B" w:rsidP="005136CC">
      <w:pPr>
        <w:numPr>
          <w:ilvl w:val="0"/>
          <w:numId w:val="24"/>
        </w:numPr>
      </w:pPr>
      <w:r>
        <w:t xml:space="preserve">The NER require that we </w:t>
      </w:r>
      <w:r w:rsidRPr="000D0625">
        <w:t>notify the service provider in writing of any other factor we identify as relevant to our assessment, prior to the service provider submitting its revised regulatory proposal.</w:t>
      </w:r>
      <w:r w:rsidRPr="000D0625">
        <w:rPr>
          <w:rStyle w:val="FootnoteReference"/>
        </w:rPr>
        <w:footnoteReference w:id="109"/>
      </w:r>
      <w:r w:rsidRPr="000D0625">
        <w:t xml:space="preserve"> </w:t>
      </w:r>
      <w:r w:rsidRPr="000D0625">
        <w:fldChar w:fldCharType="begin"/>
      </w:r>
      <w:r w:rsidRPr="000D0625">
        <w:instrText xml:space="preserve"> REF _Ref400721048 \h </w:instrText>
      </w:r>
      <w:r w:rsidRPr="000D0625">
        <w:fldChar w:fldCharType="separate"/>
      </w:r>
      <w:r w:rsidR="00C74791">
        <w:t xml:space="preserve">Table </w:t>
      </w:r>
      <w:r w:rsidR="00C74791">
        <w:rPr>
          <w:noProof/>
        </w:rPr>
        <w:t>7</w:t>
      </w:r>
      <w:r w:rsidR="00C74791">
        <w:t>.</w:t>
      </w:r>
      <w:r w:rsidR="00C74791">
        <w:rPr>
          <w:noProof/>
        </w:rPr>
        <w:t>7</w:t>
      </w:r>
      <w:r w:rsidRPr="000D0625">
        <w:fldChar w:fldCharType="end"/>
      </w:r>
      <w:r w:rsidRPr="000D0625">
        <w:t xml:space="preserve"> identifies these factors.</w:t>
      </w:r>
    </w:p>
    <w:p w:rsidR="00E75C6B" w:rsidRDefault="00E75C6B" w:rsidP="00E75C6B">
      <w:pPr>
        <w:pStyle w:val="Caption"/>
      </w:pPr>
      <w:bookmarkStart w:id="112" w:name="_Ref400721048"/>
      <w:r>
        <w:t xml:space="preserve">Table </w:t>
      </w:r>
      <w:r w:rsidRPr="000D0625">
        <w:fldChar w:fldCharType="begin"/>
      </w:r>
      <w:r>
        <w:instrText xml:space="preserve"> STYLEREF 1 \s </w:instrText>
      </w:r>
      <w:r w:rsidRPr="000D0625">
        <w:fldChar w:fldCharType="separate"/>
      </w:r>
      <w:r w:rsidR="00C74791">
        <w:rPr>
          <w:noProof/>
        </w:rPr>
        <w:t>7</w:t>
      </w:r>
      <w:r w:rsidRPr="000D0625">
        <w:fldChar w:fldCharType="end"/>
      </w:r>
      <w:r>
        <w:t>.</w:t>
      </w:r>
      <w:r w:rsidRPr="000D0625">
        <w:fldChar w:fldCharType="begin"/>
      </w:r>
      <w:r>
        <w:instrText xml:space="preserve"> SEQ Table \* ARABIC \s 1 </w:instrText>
      </w:r>
      <w:r w:rsidRPr="000D0625">
        <w:fldChar w:fldCharType="separate"/>
      </w:r>
      <w:r w:rsidR="00C74791">
        <w:rPr>
          <w:noProof/>
        </w:rPr>
        <w:t>7</w:t>
      </w:r>
      <w:r w:rsidRPr="000D0625">
        <w:fldChar w:fldCharType="end"/>
      </w:r>
      <w:bookmarkEnd w:id="112"/>
      <w:r>
        <w:tab/>
        <w:t>Other factors we have had regard to</w:t>
      </w:r>
    </w:p>
    <w:tbl>
      <w:tblPr>
        <w:tblStyle w:val="AERtable-text0"/>
        <w:tblW w:w="0" w:type="auto"/>
        <w:tblLook w:val="04A0" w:firstRow="1" w:lastRow="0" w:firstColumn="1" w:lastColumn="0" w:noHBand="0" w:noVBand="1"/>
      </w:tblPr>
      <w:tblGrid>
        <w:gridCol w:w="4344"/>
        <w:gridCol w:w="4349"/>
      </w:tblGrid>
      <w:tr w:rsidR="00E75C6B" w:rsidRPr="00327764" w:rsidTr="0062224A">
        <w:trPr>
          <w:cnfStyle w:val="100000000000" w:firstRow="1" w:lastRow="0" w:firstColumn="0" w:lastColumn="0" w:oddVBand="0" w:evenVBand="0" w:oddHBand="0" w:evenHBand="0" w:firstRowFirstColumn="0" w:firstRowLastColumn="0" w:lastRowFirstColumn="0" w:lastRowLastColumn="0"/>
        </w:trPr>
        <w:tc>
          <w:tcPr>
            <w:tcW w:w="4621" w:type="dxa"/>
          </w:tcPr>
          <w:p w:rsidR="00E75C6B" w:rsidRPr="00327764" w:rsidRDefault="00E75C6B" w:rsidP="00E75C6B">
            <w:r w:rsidRPr="00327764">
              <w:t>Opex factor</w:t>
            </w:r>
          </w:p>
        </w:tc>
        <w:tc>
          <w:tcPr>
            <w:tcW w:w="4621" w:type="dxa"/>
          </w:tcPr>
          <w:p w:rsidR="00E75C6B" w:rsidRPr="00327764" w:rsidRDefault="00E75C6B" w:rsidP="00E75C6B">
            <w:r w:rsidRPr="00327764">
              <w:t>Consideration</w:t>
            </w:r>
          </w:p>
        </w:tc>
      </w:tr>
      <w:tr w:rsidR="00E75C6B" w:rsidRPr="00327764" w:rsidTr="0062224A">
        <w:tc>
          <w:tcPr>
            <w:tcW w:w="4621" w:type="dxa"/>
          </w:tcPr>
          <w:p w:rsidR="00E75C6B" w:rsidRPr="00327764" w:rsidRDefault="00E75C6B" w:rsidP="00E75C6B">
            <w:r w:rsidRPr="00327764">
              <w:t>Our benchmarking data sets, including, but not necessarily limited to:</w:t>
            </w:r>
          </w:p>
          <w:p w:rsidR="00E75C6B" w:rsidRPr="00327764" w:rsidRDefault="00E75C6B" w:rsidP="00CF0EEB">
            <w:pPr>
              <w:pStyle w:val="ListNumber"/>
            </w:pPr>
            <w:r w:rsidRPr="00327764">
              <w:t>data contained in any economic benchmarking RIN, category analysis RIN, reset RIN or annual reporting RIN</w:t>
            </w:r>
          </w:p>
          <w:p w:rsidR="00E75C6B" w:rsidRPr="00327764" w:rsidRDefault="00E75C6B" w:rsidP="00CF0EEB">
            <w:pPr>
              <w:pStyle w:val="ListNumber"/>
            </w:pPr>
            <w:r w:rsidRPr="00327764">
              <w:t xml:space="preserve"> any relevant data from international sources</w:t>
            </w:r>
          </w:p>
          <w:p w:rsidR="00E75C6B" w:rsidRPr="00327764" w:rsidRDefault="00E75C6B" w:rsidP="00CF0EEB">
            <w:pPr>
              <w:pStyle w:val="ListNumber"/>
            </w:pPr>
            <w:r w:rsidRPr="00327764">
              <w:t xml:space="preserve">data sets that support econometric modelling and other assessment techniques consistent with the approach set out in </w:t>
            </w:r>
            <w:r w:rsidR="002F3915">
              <w:t>the</w:t>
            </w:r>
            <w:r w:rsidRPr="00327764">
              <w:t xml:space="preserve"> Guideline</w:t>
            </w:r>
          </w:p>
          <w:p w:rsidR="00E75C6B" w:rsidRPr="00327764" w:rsidRDefault="00E75C6B" w:rsidP="00E75C6B">
            <w:r w:rsidRPr="00327764">
              <w:t>as updated from time to time.</w:t>
            </w:r>
          </w:p>
        </w:tc>
        <w:tc>
          <w:tcPr>
            <w:tcW w:w="4621" w:type="dxa"/>
          </w:tcPr>
          <w:p w:rsidR="00E75C6B" w:rsidRPr="00327764" w:rsidRDefault="00E75C6B" w:rsidP="00E75C6B">
            <w:r w:rsidRPr="00327764">
              <w:t>This information may potentially fall within opex factor (4). However, for absolute clarity, we are using data we gather from NEM service providers, and data from service providers in other countries to provide insight into the benchmark operating expenditure that would be incurred by an efficient and prudent distribution network service provider over the relevant regulatory period.</w:t>
            </w:r>
          </w:p>
        </w:tc>
      </w:tr>
      <w:tr w:rsidR="00E75C6B" w:rsidRPr="00327764" w:rsidTr="0062224A">
        <w:trPr>
          <w:cnfStyle w:val="000000010000" w:firstRow="0" w:lastRow="0" w:firstColumn="0" w:lastColumn="0" w:oddVBand="0" w:evenVBand="0" w:oddHBand="0" w:evenHBand="1" w:firstRowFirstColumn="0" w:firstRowLastColumn="0" w:lastRowFirstColumn="0" w:lastRowLastColumn="0"/>
        </w:trPr>
        <w:tc>
          <w:tcPr>
            <w:tcW w:w="4621" w:type="dxa"/>
          </w:tcPr>
          <w:p w:rsidR="00E75C6B" w:rsidRPr="00327764" w:rsidRDefault="00E75C6B" w:rsidP="00E75C6B">
            <w:r w:rsidRPr="00327764">
              <w:t>Economic benchmarking techniques for assessing benchmark efficient expenditure including stochastic frontier analysis and regressions utilising functional forms such as Cobb Douglas and Translog.</w:t>
            </w:r>
          </w:p>
        </w:tc>
        <w:tc>
          <w:tcPr>
            <w:tcW w:w="4621" w:type="dxa"/>
          </w:tcPr>
          <w:p w:rsidR="00E75C6B" w:rsidRPr="00327764" w:rsidRDefault="00E75C6B" w:rsidP="00E75C6B">
            <w:r w:rsidRPr="00327764">
              <w:t xml:space="preserve">This information may potentially fall within opex factor (4). For clarity, and consistent with our approach to assessment set out in </w:t>
            </w:r>
            <w:r w:rsidR="002F3915">
              <w:t>the</w:t>
            </w:r>
            <w:r w:rsidRPr="00327764">
              <w:t xml:space="preserve"> Guideline, we are have regard to a range of assessment techniques to provide insight into the benchmark operating expenditure that an efficient and prudent service provider would incur over the relevant regulatory control period.</w:t>
            </w:r>
          </w:p>
        </w:tc>
      </w:tr>
    </w:tbl>
    <w:p w:rsidR="00E75C6B" w:rsidRDefault="00E75C6B" w:rsidP="00E75C6B">
      <w:pPr>
        <w:pStyle w:val="AERtablesource"/>
      </w:pPr>
      <w:r>
        <w:t xml:space="preserve">Source: </w:t>
      </w:r>
      <w:r>
        <w:tab/>
        <w:t>AER analysis.</w:t>
      </w:r>
    </w:p>
    <w:p w:rsidR="00091B15" w:rsidRDefault="005302FD" w:rsidP="00091B15">
      <w:pPr>
        <w:pStyle w:val="Heading7"/>
      </w:pPr>
      <w:bookmarkStart w:id="113" w:name="_Toc417719022"/>
      <w:r w:rsidRPr="005302FD">
        <w:lastRenderedPageBreak/>
        <w:t>Base opex</w:t>
      </w:r>
      <w:bookmarkEnd w:id="113"/>
    </w:p>
    <w:p w:rsidR="00051BDB" w:rsidRPr="00402441" w:rsidRDefault="00051BDB" w:rsidP="00051BDB">
      <w:pPr>
        <w:numPr>
          <w:ilvl w:val="0"/>
          <w:numId w:val="24"/>
        </w:numPr>
      </w:pPr>
      <w:r w:rsidRPr="00402441">
        <w:t xml:space="preserve">In this appendix, we present our detailed analysis of the NSW service providers' base year </w:t>
      </w:r>
      <w:r>
        <w:t>opex</w:t>
      </w:r>
      <w:r w:rsidRPr="00402441">
        <w:t xml:space="preserve">. </w:t>
      </w:r>
      <w:r>
        <w:t>B</w:t>
      </w:r>
      <w:r w:rsidRPr="00402441">
        <w:t>ase year opex is the starting point for our approach to developing an estimate of the total forecast opex we consider</w:t>
      </w:r>
      <w:r>
        <w:t xml:space="preserve"> meets the requirements of the NER.</w:t>
      </w:r>
      <w:r>
        <w:rPr>
          <w:rStyle w:val="FootnoteReference"/>
        </w:rPr>
        <w:footnoteReference w:id="110"/>
      </w:r>
      <w:r>
        <w:t xml:space="preserve"> </w:t>
      </w:r>
      <w:r w:rsidRPr="00402441">
        <w:t xml:space="preserve">We use this approach to assess each of the service providers' total forecast opex proposals. </w:t>
      </w:r>
      <w:r>
        <w:t>I</w:t>
      </w:r>
      <w:r w:rsidRPr="00402441">
        <w:t xml:space="preserve">f we are not satisfied the service providers' opex proposals reasonably reflect the opex criteria, our estimates form the basis </w:t>
      </w:r>
      <w:r>
        <w:t xml:space="preserve">of </w:t>
      </w:r>
      <w:r w:rsidRPr="00402441">
        <w:t>any adjustments we will make.</w:t>
      </w:r>
      <w:r>
        <w:rPr>
          <w:rStyle w:val="FootnoteReference"/>
        </w:rPr>
        <w:footnoteReference w:id="111"/>
      </w:r>
      <w:r w:rsidRPr="00402441">
        <w:t xml:space="preserve"> </w:t>
      </w:r>
      <w:r>
        <w:t xml:space="preserve">This approach is set out in the </w:t>
      </w:r>
      <w:r>
        <w:rPr>
          <w:rStyle w:val="AERbody"/>
        </w:rPr>
        <w:t xml:space="preserve">Guideline and is in accordance with principles that have been </w:t>
      </w:r>
      <w:r>
        <w:t>endorsed by the AEMC.</w:t>
      </w:r>
      <w:r>
        <w:rPr>
          <w:rStyle w:val="FootnoteReference"/>
        </w:rPr>
        <w:footnoteReference w:id="112"/>
      </w:r>
      <w:r>
        <w:t xml:space="preserve"> </w:t>
      </w:r>
    </w:p>
    <w:p w:rsidR="00051BDB" w:rsidRDefault="00051BDB" w:rsidP="00051BDB">
      <w:pPr>
        <w:numPr>
          <w:ilvl w:val="0"/>
          <w:numId w:val="24"/>
        </w:numPr>
      </w:pPr>
      <w:r w:rsidRPr="00402441">
        <w:t xml:space="preserve">To ensure our estimates of total forecast opex reasonably reflect the opex criteria, we must be satisfied the starting point is </w:t>
      </w:r>
      <w:r>
        <w:t xml:space="preserve">an appropriate reflection of the ongoing </w:t>
      </w:r>
      <w:r w:rsidRPr="00402441">
        <w:t>efficient</w:t>
      </w:r>
      <w:r>
        <w:t xml:space="preserve"> costs a prudent operator would require in the forecast period</w:t>
      </w:r>
      <w:r w:rsidRPr="00402441">
        <w:t>. If we use</w:t>
      </w:r>
      <w:r>
        <w:t xml:space="preserve"> the service provider's</w:t>
      </w:r>
      <w:r w:rsidRPr="00402441">
        <w:t xml:space="preserve"> revealed expenditure </w:t>
      </w:r>
      <w:r>
        <w:t>that includes, for example,</w:t>
      </w:r>
      <w:r w:rsidRPr="00402441">
        <w:t xml:space="preserve"> inherent inefficiencies as the basis for a forecast, the forecast will also contain these inefficiencies. Therefore, if </w:t>
      </w:r>
      <w:r>
        <w:t xml:space="preserve">we find that the </w:t>
      </w:r>
      <w:r w:rsidRPr="00402441">
        <w:t>base year expenditure is inefficient</w:t>
      </w:r>
      <w:r>
        <w:t xml:space="preserve"> or in some other way unrepresentative of the expenditure needed to achieve the opex objectives in the forecast period</w:t>
      </w:r>
      <w:r w:rsidRPr="00402441">
        <w:t xml:space="preserve">, we adjust it. </w:t>
      </w:r>
    </w:p>
    <w:p w:rsidR="00051BDB" w:rsidRPr="00402441" w:rsidRDefault="00051BDB" w:rsidP="00051BDB">
      <w:pPr>
        <w:numPr>
          <w:ilvl w:val="0"/>
          <w:numId w:val="24"/>
        </w:numPr>
      </w:pPr>
      <w:r>
        <w:t>When presenting our detailed analysis of base opex in this appendix, we explain how we have taken account of the issues raised in the revised proposals and the submissions made by various stakeholders on our draft decision and the revised proposals. To the extent this involves additional analysis, we present it. The structure of this appendix is:</w:t>
      </w:r>
    </w:p>
    <w:p w:rsidR="00051BDB" w:rsidRPr="00F17196" w:rsidRDefault="00051BDB" w:rsidP="00051BDB">
      <w:pPr>
        <w:pStyle w:val="AERbulletlistfirststyle"/>
      </w:pPr>
      <w:r w:rsidRPr="00402441">
        <w:t xml:space="preserve">Section </w:t>
      </w:r>
      <w:r>
        <w:fldChar w:fldCharType="begin"/>
      </w:r>
      <w:r>
        <w:instrText xml:space="preserve"> REF _Ref414439321 \n \h </w:instrText>
      </w:r>
      <w:r>
        <w:fldChar w:fldCharType="separate"/>
      </w:r>
      <w:r w:rsidR="00C74791">
        <w:t>A.1</w:t>
      </w:r>
      <w:r>
        <w:fldChar w:fldCharType="end"/>
      </w:r>
      <w:r w:rsidRPr="00F17196">
        <w:t xml:space="preserve"> sets out a summary of our findings and base year adjustments</w:t>
      </w:r>
      <w:r>
        <w:t xml:space="preserve"> and the extent to which they have changed since our draft decision </w:t>
      </w:r>
    </w:p>
    <w:p w:rsidR="00051BDB" w:rsidRDefault="00051BDB" w:rsidP="00051BDB">
      <w:pPr>
        <w:pStyle w:val="AERbulletlistfirststyle"/>
      </w:pPr>
      <w:r>
        <w:t>S</w:t>
      </w:r>
      <w:r w:rsidRPr="00F17196">
        <w:t xml:space="preserve">ection </w:t>
      </w:r>
      <w:r>
        <w:fldChar w:fldCharType="begin"/>
      </w:r>
      <w:r>
        <w:instrText xml:space="preserve"> REF _Ref417384454 \n \h </w:instrText>
      </w:r>
      <w:r>
        <w:fldChar w:fldCharType="separate"/>
      </w:r>
      <w:r w:rsidR="00C74791">
        <w:t>A.2</w:t>
      </w:r>
      <w:r>
        <w:fldChar w:fldCharType="end"/>
      </w:r>
      <w:r>
        <w:t xml:space="preserve"> provides an exposition of ex ante incentive regulation and the role of benchmarking</w:t>
      </w:r>
    </w:p>
    <w:p w:rsidR="00051BDB" w:rsidRPr="00F17196" w:rsidRDefault="00051BDB" w:rsidP="00051BDB">
      <w:pPr>
        <w:pStyle w:val="AERbulletlistfirststyle"/>
      </w:pPr>
      <w:r w:rsidRPr="00402441">
        <w:t xml:space="preserve">Section </w:t>
      </w:r>
      <w:r>
        <w:fldChar w:fldCharType="begin"/>
      </w:r>
      <w:r>
        <w:instrText xml:space="preserve"> REF _Ref415580420 \n \h </w:instrText>
      </w:r>
      <w:r>
        <w:fldChar w:fldCharType="separate"/>
      </w:r>
      <w:r w:rsidR="00C74791">
        <w:t>A.3</w:t>
      </w:r>
      <w:r>
        <w:fldChar w:fldCharType="end"/>
      </w:r>
      <w:r>
        <w:t xml:space="preserve"> outlines our approach to assessing base opex</w:t>
      </w:r>
    </w:p>
    <w:p w:rsidR="00051BDB" w:rsidRPr="00F17196" w:rsidRDefault="00051BDB" w:rsidP="00051BDB">
      <w:pPr>
        <w:pStyle w:val="AERbulletlistfirststyle"/>
      </w:pPr>
      <w:r>
        <w:t xml:space="preserve">Section </w:t>
      </w:r>
      <w:r>
        <w:fldChar w:fldCharType="begin"/>
      </w:r>
      <w:r>
        <w:instrText xml:space="preserve"> REF _Ref417551812 \n \h </w:instrText>
      </w:r>
      <w:r>
        <w:fldChar w:fldCharType="separate"/>
      </w:r>
      <w:r w:rsidR="00C74791">
        <w:t>A.4</w:t>
      </w:r>
      <w:r>
        <w:fldChar w:fldCharType="end"/>
      </w:r>
      <w:r>
        <w:t xml:space="preserve"> presents the results of our benchmarking  </w:t>
      </w:r>
    </w:p>
    <w:p w:rsidR="00051BDB" w:rsidRPr="00F17196" w:rsidRDefault="00051BDB" w:rsidP="00051BDB">
      <w:pPr>
        <w:pStyle w:val="AERbulletlistfirststyle"/>
      </w:pPr>
      <w:r w:rsidRPr="001260A0">
        <w:t xml:space="preserve">Section </w:t>
      </w:r>
      <w:r>
        <w:fldChar w:fldCharType="begin"/>
      </w:r>
      <w:r>
        <w:instrText xml:space="preserve"> REF _Ref415580439 \n \h </w:instrText>
      </w:r>
      <w:r>
        <w:fldChar w:fldCharType="separate"/>
      </w:r>
      <w:r w:rsidR="00C74791">
        <w:t>A.5</w:t>
      </w:r>
      <w:r>
        <w:fldChar w:fldCharType="end"/>
      </w:r>
      <w:r w:rsidRPr="00F17196">
        <w:t xml:space="preserve"> </w:t>
      </w:r>
      <w:r>
        <w:t xml:space="preserve">presents the results of our category analysis and qualitative review </w:t>
      </w:r>
    </w:p>
    <w:p w:rsidR="00051BDB" w:rsidRDefault="00051BDB" w:rsidP="00051BDB">
      <w:pPr>
        <w:pStyle w:val="AERbulletlistfirststyle"/>
      </w:pPr>
      <w:r>
        <w:t xml:space="preserve">Section </w:t>
      </w:r>
      <w:r>
        <w:fldChar w:fldCharType="begin"/>
      </w:r>
      <w:r>
        <w:instrText xml:space="preserve"> REF _Ref417551822 \n \h </w:instrText>
      </w:r>
      <w:r>
        <w:fldChar w:fldCharType="separate"/>
      </w:r>
      <w:r w:rsidR="00C74791">
        <w:t>A.6</w:t>
      </w:r>
      <w:r>
        <w:fldChar w:fldCharType="end"/>
      </w:r>
      <w:r w:rsidRPr="00F17196">
        <w:t xml:space="preserve"> </w:t>
      </w:r>
      <w:r>
        <w:t xml:space="preserve">contains our assessment of </w:t>
      </w:r>
      <w:r w:rsidRPr="00F17196">
        <w:t xml:space="preserve">operating environment </w:t>
      </w:r>
      <w:r>
        <w:t xml:space="preserve">factors </w:t>
      </w:r>
    </w:p>
    <w:p w:rsidR="00051BDB" w:rsidRPr="00F17196" w:rsidRDefault="00051BDB" w:rsidP="00051BDB">
      <w:pPr>
        <w:pStyle w:val="AERbulletlistfirststyle"/>
      </w:pPr>
      <w:r>
        <w:t xml:space="preserve">Section </w:t>
      </w:r>
      <w:r>
        <w:fldChar w:fldCharType="begin"/>
      </w:r>
      <w:r>
        <w:instrText xml:space="preserve"> REF _Ref415737208 \n \h </w:instrText>
      </w:r>
      <w:r>
        <w:fldChar w:fldCharType="separate"/>
      </w:r>
      <w:r w:rsidR="00C74791">
        <w:t>A.7</w:t>
      </w:r>
      <w:r>
        <w:fldChar w:fldCharType="end"/>
      </w:r>
      <w:r w:rsidRPr="001F6ECE">
        <w:t xml:space="preserve"> </w:t>
      </w:r>
      <w:r w:rsidRPr="00F17196">
        <w:t xml:space="preserve">explains </w:t>
      </w:r>
      <w:r>
        <w:t>our conclusions on base opex and whether we propose to make any</w:t>
      </w:r>
      <w:r w:rsidRPr="00F17196">
        <w:t xml:space="preserve"> adjustment</w:t>
      </w:r>
      <w:r>
        <w:t>s to base year opex for the purpose of constructing an alternative total opex forecast</w:t>
      </w:r>
      <w:r w:rsidRPr="00F17196">
        <w:t>.</w:t>
      </w:r>
    </w:p>
    <w:p w:rsidR="00051BDB" w:rsidRDefault="00051BDB" w:rsidP="00051BDB">
      <w:pPr>
        <w:pStyle w:val="Heading8"/>
      </w:pPr>
      <w:bookmarkStart w:id="114" w:name="_Ref414439321"/>
      <w:bookmarkStart w:id="115" w:name="_Toc415230974"/>
      <w:bookmarkStart w:id="116" w:name="_Toc417719023"/>
      <w:bookmarkStart w:id="117" w:name="_Ref400554986"/>
      <w:bookmarkStart w:id="118" w:name="_Toc404697038"/>
      <w:bookmarkStart w:id="119" w:name="_Toc410292993"/>
      <w:r>
        <w:lastRenderedPageBreak/>
        <w:t>Summary</w:t>
      </w:r>
      <w:bookmarkEnd w:id="114"/>
      <w:bookmarkEnd w:id="115"/>
      <w:bookmarkEnd w:id="116"/>
    </w:p>
    <w:p w:rsidR="00051BDB" w:rsidRPr="00817584" w:rsidRDefault="00051BDB" w:rsidP="00051BDB">
      <w:r w:rsidRPr="00317A1C">
        <w:rPr>
          <w:rStyle w:val="AERbody"/>
        </w:rPr>
        <w:t xml:space="preserve">In this section we provide a summary of our findings and our view of the </w:t>
      </w:r>
      <w:r>
        <w:rPr>
          <w:rStyle w:val="AERbody"/>
        </w:rPr>
        <w:t xml:space="preserve">base year opex that we are satisfied represents a starting point for total forecast opex that reasonably reflects the opex criteria. We have carefully considered all material before us, including our own analysis, the service providers' revised regulatory proposals and submissions in forming our view on base year opex </w:t>
      </w:r>
      <w:r w:rsidRPr="00317A1C">
        <w:rPr>
          <w:rStyle w:val="AERbody"/>
        </w:rPr>
        <w:t>for each service provider.</w:t>
      </w:r>
    </w:p>
    <w:p w:rsidR="00051BDB" w:rsidRDefault="00051BDB" w:rsidP="00051BDB">
      <w:pPr>
        <w:pStyle w:val="Heading9"/>
      </w:pPr>
      <w:bookmarkStart w:id="120" w:name="_Toc417719024"/>
      <w:bookmarkStart w:id="121" w:name="_Toc415230975"/>
      <w:r>
        <w:t>Final decision adjustments</w:t>
      </w:r>
      <w:bookmarkEnd w:id="120"/>
    </w:p>
    <w:bookmarkStart w:id="122" w:name="_Ref414451620"/>
    <w:p w:rsidR="00051BDB" w:rsidRDefault="006D5C35" w:rsidP="00051BDB">
      <w:pPr>
        <w:rPr>
          <w:rStyle w:val="AERbody"/>
        </w:rPr>
      </w:pPr>
      <w:r>
        <w:rPr>
          <w:rStyle w:val="AERbody"/>
        </w:rPr>
        <w:fldChar w:fldCharType="begin"/>
      </w:r>
      <w:r>
        <w:rPr>
          <w:rStyle w:val="AERbody"/>
        </w:rPr>
        <w:instrText xml:space="preserve"> REF _Ref417651599 \h </w:instrText>
      </w:r>
      <w:r>
        <w:rPr>
          <w:rStyle w:val="AERbody"/>
        </w:rPr>
      </w:r>
      <w:r>
        <w:rPr>
          <w:rStyle w:val="AERbody"/>
        </w:rPr>
        <w:fldChar w:fldCharType="separate"/>
      </w:r>
      <w:r w:rsidR="00C74791">
        <w:t xml:space="preserve">Table </w:t>
      </w:r>
      <w:r w:rsidR="00C74791">
        <w:rPr>
          <w:noProof/>
        </w:rPr>
        <w:t>A</w:t>
      </w:r>
      <w:r w:rsidR="00C74791">
        <w:t>.</w:t>
      </w:r>
      <w:r w:rsidR="00C74791">
        <w:rPr>
          <w:noProof/>
        </w:rPr>
        <w:t>1</w:t>
      </w:r>
      <w:r>
        <w:rPr>
          <w:rStyle w:val="AERbody"/>
        </w:rPr>
        <w:fldChar w:fldCharType="end"/>
      </w:r>
      <w:r>
        <w:rPr>
          <w:rStyle w:val="AERbody"/>
        </w:rPr>
        <w:t xml:space="preserve"> </w:t>
      </w:r>
      <w:r w:rsidR="00051BDB" w:rsidRPr="00317A1C">
        <w:rPr>
          <w:rStyle w:val="AERbody"/>
        </w:rPr>
        <w:t xml:space="preserve">contains </w:t>
      </w:r>
      <w:r w:rsidR="00051BDB">
        <w:rPr>
          <w:rStyle w:val="AERbody"/>
        </w:rPr>
        <w:t>our final</w:t>
      </w:r>
      <w:r w:rsidR="00051BDB" w:rsidRPr="00317A1C">
        <w:rPr>
          <w:rStyle w:val="AERbody"/>
        </w:rPr>
        <w:t xml:space="preserve"> determination estimates of base year opex.</w:t>
      </w:r>
    </w:p>
    <w:p w:rsidR="00051BDB" w:rsidRPr="006B511A" w:rsidRDefault="00051BDB" w:rsidP="00051BDB">
      <w:pPr>
        <w:pStyle w:val="Caption"/>
      </w:pPr>
      <w:bookmarkStart w:id="123" w:name="_Ref417651599"/>
      <w:r>
        <w:t xml:space="preserve">Table </w:t>
      </w:r>
      <w:fldSimple w:instr=" STYLEREF 7 \s ">
        <w:r w:rsidR="00CF2125">
          <w:rPr>
            <w:noProof/>
          </w:rPr>
          <w:t>A</w:t>
        </w:r>
      </w:fldSimple>
      <w:r w:rsidR="00CF2125">
        <w:t>.</w:t>
      </w:r>
      <w:fldSimple w:instr=" SEQ ATable \* ARABIC \s 7 ">
        <w:r w:rsidR="00CF2125">
          <w:rPr>
            <w:noProof/>
          </w:rPr>
          <w:t>1</w:t>
        </w:r>
      </w:fldSimple>
      <w:bookmarkEnd w:id="122"/>
      <w:bookmarkEnd w:id="123"/>
      <w:r w:rsidRPr="006B511A">
        <w:tab/>
      </w:r>
      <w:r>
        <w:t>Final determination</w:t>
      </w:r>
      <w:r w:rsidRPr="006B511A">
        <w:t xml:space="preserve"> </w:t>
      </w:r>
      <w:r>
        <w:t>estimates of efficient</w:t>
      </w:r>
      <w:r w:rsidRPr="006B511A">
        <w:t xml:space="preserve"> base year opex ($million 201</w:t>
      </w:r>
      <w:r>
        <w:t>3–14</w:t>
      </w:r>
      <w:r w:rsidRPr="006B511A">
        <w:t>)</w:t>
      </w:r>
    </w:p>
    <w:tbl>
      <w:tblPr>
        <w:tblStyle w:val="AERtable-numbers"/>
        <w:tblW w:w="5000" w:type="pct"/>
        <w:tblLook w:val="04A0" w:firstRow="1" w:lastRow="0" w:firstColumn="1" w:lastColumn="0" w:noHBand="0" w:noVBand="1"/>
      </w:tblPr>
      <w:tblGrid>
        <w:gridCol w:w="3489"/>
        <w:gridCol w:w="1768"/>
        <w:gridCol w:w="1763"/>
        <w:gridCol w:w="1673"/>
      </w:tblGrid>
      <w:tr w:rsidR="00051BDB" w:rsidTr="00051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vAlign w:val="top"/>
          </w:tcPr>
          <w:p w:rsidR="00051BDB" w:rsidRPr="006B511A" w:rsidRDefault="00051BDB" w:rsidP="00051BDB">
            <w:pPr>
              <w:pStyle w:val="AERtabletextleft"/>
            </w:pPr>
          </w:p>
        </w:tc>
        <w:tc>
          <w:tcPr>
            <w:tcW w:w="1017" w:type="pct"/>
            <w:vAlign w:val="top"/>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tab/>
            </w:r>
            <w:r w:rsidRPr="00051BDB">
              <w:t>Ausgrid</w:t>
            </w:r>
          </w:p>
        </w:tc>
        <w:tc>
          <w:tcPr>
            <w:tcW w:w="1014" w:type="pct"/>
            <w:vAlign w:val="top"/>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6B511A">
              <w:t>Endeavour</w:t>
            </w:r>
          </w:p>
        </w:tc>
        <w:tc>
          <w:tcPr>
            <w:tcW w:w="962" w:type="pct"/>
            <w:vAlign w:val="top"/>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6B511A">
              <w:t>Essential</w:t>
            </w:r>
          </w:p>
        </w:tc>
      </w:tr>
      <w:tr w:rsidR="00051BDB" w:rsidTr="00051BDB">
        <w:tc>
          <w:tcPr>
            <w:cnfStyle w:val="001000000000" w:firstRow="0" w:lastRow="0" w:firstColumn="1" w:lastColumn="0" w:oddVBand="0" w:evenVBand="0" w:oddHBand="0" w:evenHBand="0" w:firstRowFirstColumn="0" w:firstRowLastColumn="0" w:lastRowFirstColumn="0" w:lastRowLastColumn="0"/>
            <w:tcW w:w="2007" w:type="pct"/>
            <w:vAlign w:val="top"/>
          </w:tcPr>
          <w:p w:rsidR="00051BDB" w:rsidRPr="00051BDB" w:rsidRDefault="00051BDB" w:rsidP="00051BDB">
            <w:pPr>
              <w:pStyle w:val="AERtabletextleft"/>
            </w:pPr>
            <w:r>
              <w:t xml:space="preserve">Revealed base </w:t>
            </w:r>
            <w:r w:rsidRPr="00051BDB">
              <w:t>opex (adjusted)</w:t>
            </w:r>
            <w:r w:rsidRPr="00051BDB">
              <w:rPr>
                <w:rStyle w:val="AERsuperscript"/>
              </w:rPr>
              <w:t>a</w:t>
            </w:r>
          </w:p>
        </w:tc>
        <w:tc>
          <w:tcPr>
            <w:tcW w:w="1017" w:type="pct"/>
            <w:vAlign w:val="top"/>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492.2</w:t>
            </w:r>
          </w:p>
        </w:tc>
        <w:tc>
          <w:tcPr>
            <w:tcW w:w="1014" w:type="pct"/>
            <w:vAlign w:val="top"/>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225.7</w:t>
            </w:r>
          </w:p>
        </w:tc>
        <w:tc>
          <w:tcPr>
            <w:tcW w:w="962" w:type="pct"/>
            <w:vAlign w:val="top"/>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418.0</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vAlign w:val="top"/>
          </w:tcPr>
          <w:p w:rsidR="00051BDB" w:rsidRPr="00051BDB" w:rsidRDefault="00051BDB" w:rsidP="00051BDB">
            <w:pPr>
              <w:pStyle w:val="AERtabletextleft"/>
              <w:rPr>
                <w:rStyle w:val="Strong"/>
              </w:rPr>
            </w:pPr>
            <w:r w:rsidRPr="00981A64">
              <w:rPr>
                <w:rStyle w:val="Strong"/>
              </w:rPr>
              <w:t>AER base opex</w:t>
            </w:r>
          </w:p>
        </w:tc>
        <w:tc>
          <w:tcPr>
            <w:tcW w:w="1017" w:type="pct"/>
            <w:vAlign w:val="top"/>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374.2</w:t>
            </w:r>
          </w:p>
        </w:tc>
        <w:tc>
          <w:tcPr>
            <w:tcW w:w="1014" w:type="pct"/>
            <w:vAlign w:val="top"/>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233.3</w:t>
            </w:r>
          </w:p>
        </w:tc>
        <w:tc>
          <w:tcPr>
            <w:tcW w:w="962" w:type="pct"/>
            <w:vAlign w:val="top"/>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rsidRPr="00981A64">
              <w:t>30</w:t>
            </w:r>
            <w:r w:rsidRPr="00051BDB">
              <w:t>8.2</w:t>
            </w:r>
          </w:p>
        </w:tc>
      </w:tr>
      <w:tr w:rsidR="00051BDB" w:rsidTr="00051BDB">
        <w:tc>
          <w:tcPr>
            <w:cnfStyle w:val="001000000000" w:firstRow="0" w:lastRow="0" w:firstColumn="1" w:lastColumn="0" w:oddVBand="0" w:evenVBand="0" w:oddHBand="0" w:evenHBand="0" w:firstRowFirstColumn="0" w:firstRowLastColumn="0" w:lastRowFirstColumn="0" w:lastRowLastColumn="0"/>
            <w:tcW w:w="2007" w:type="pct"/>
            <w:vAlign w:val="top"/>
          </w:tcPr>
          <w:p w:rsidR="00051BDB" w:rsidRPr="00051BDB" w:rsidRDefault="00051BDB" w:rsidP="00051BDB">
            <w:pPr>
              <w:pStyle w:val="AERtabletextleft"/>
            </w:pPr>
            <w:r w:rsidRPr="00981A64">
              <w:t>Difference</w:t>
            </w:r>
          </w:p>
        </w:tc>
        <w:tc>
          <w:tcPr>
            <w:tcW w:w="1017" w:type="pct"/>
            <w:vAlign w:val="top"/>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118.0</w:t>
            </w:r>
          </w:p>
        </w:tc>
        <w:tc>
          <w:tcPr>
            <w:tcW w:w="1014" w:type="pct"/>
            <w:vAlign w:val="top"/>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rsidRPr="00981A64">
              <w:t>-</w:t>
            </w:r>
            <w:r w:rsidRPr="00051BDB">
              <w:t>7.6</w:t>
            </w:r>
            <w:r w:rsidRPr="00051BDB">
              <w:rPr>
                <w:rStyle w:val="AERsuperscript"/>
              </w:rPr>
              <w:t>b</w:t>
            </w:r>
          </w:p>
        </w:tc>
        <w:tc>
          <w:tcPr>
            <w:tcW w:w="962" w:type="pct"/>
            <w:vAlign w:val="top"/>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109.8</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vAlign w:val="top"/>
          </w:tcPr>
          <w:p w:rsidR="00051BDB" w:rsidRPr="00051BDB" w:rsidRDefault="00051BDB" w:rsidP="00051BDB">
            <w:pPr>
              <w:pStyle w:val="AERtabletextleft"/>
              <w:rPr>
                <w:rStyle w:val="Strong"/>
              </w:rPr>
            </w:pPr>
            <w:r w:rsidRPr="00981A64">
              <w:rPr>
                <w:rStyle w:val="Strong"/>
              </w:rPr>
              <w:t xml:space="preserve">Percentage </w:t>
            </w:r>
            <w:r w:rsidRPr="00051BDB">
              <w:rPr>
                <w:rStyle w:val="Strong"/>
              </w:rPr>
              <w:t>base opex reduction</w:t>
            </w:r>
          </w:p>
        </w:tc>
        <w:tc>
          <w:tcPr>
            <w:tcW w:w="1017" w:type="pct"/>
            <w:vAlign w:val="top"/>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24.0</w:t>
            </w:r>
            <w:r w:rsidRPr="00051BDB">
              <w:t>%</w:t>
            </w:r>
          </w:p>
        </w:tc>
        <w:tc>
          <w:tcPr>
            <w:tcW w:w="1014" w:type="pct"/>
            <w:vAlign w:val="top"/>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N/A</w:t>
            </w:r>
          </w:p>
        </w:tc>
        <w:tc>
          <w:tcPr>
            <w:tcW w:w="962" w:type="pct"/>
            <w:vAlign w:val="top"/>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26.3</w:t>
            </w:r>
            <w:r w:rsidRPr="00051BDB">
              <w:t>%</w:t>
            </w:r>
          </w:p>
        </w:tc>
      </w:tr>
    </w:tbl>
    <w:p w:rsidR="00051BDB" w:rsidRDefault="00051BDB" w:rsidP="00051BDB">
      <w:pPr>
        <w:pStyle w:val="AERtablesource"/>
      </w:pPr>
      <w:r>
        <w:t>Note:</w:t>
      </w:r>
      <w:r>
        <w:tab/>
        <w:t>(a) This number is the revealed 2012–13 opex, so it differs from the starting number in Table 7.4, which is average opex over 2006–13. We have adjusted the service providers’ revealed opex for debt raising costs, new CAM (if applicable) and new service classifications.</w:t>
      </w:r>
    </w:p>
    <w:p w:rsidR="00051BDB" w:rsidRPr="00924393" w:rsidRDefault="00051BDB" w:rsidP="00051BDB">
      <w:pPr>
        <w:pStyle w:val="AERtablesource"/>
      </w:pPr>
      <w:r w:rsidRPr="00924393">
        <w:tab/>
        <w:t xml:space="preserve">(b) </w:t>
      </w:r>
      <w:r>
        <w:t xml:space="preserve">Our estimate of base opex for Endeavour is slightly higher than Endeavour's because the reduced benchmark comparison point means its revealed costs are lower than the efficiency target. </w:t>
      </w:r>
    </w:p>
    <w:p w:rsidR="00051BDB" w:rsidRDefault="00051BDB" w:rsidP="00051BDB">
      <w:pPr>
        <w:pStyle w:val="AERtablesource"/>
        <w:rPr>
          <w:rStyle w:val="AERbody"/>
        </w:rPr>
      </w:pPr>
      <w:r w:rsidRPr="006B511A">
        <w:t>Source:</w:t>
      </w:r>
      <w:r w:rsidRPr="006B511A">
        <w:tab/>
        <w:t>AER analysis.</w:t>
      </w:r>
    </w:p>
    <w:p w:rsidR="00051BDB" w:rsidRDefault="00051BDB" w:rsidP="00051BDB">
      <w:pPr>
        <w:rPr>
          <w:rStyle w:val="AERbody"/>
        </w:rPr>
      </w:pPr>
      <w:r>
        <w:rPr>
          <w:rStyle w:val="AERbody"/>
        </w:rPr>
        <w:t>We are not satisfied that Ausgrid's and Essential Energy's revealed expenditure in 2012–13 are appropriate starting points for determining our estimates of total forecast opex. However, we are satisfied that Endeavour Energy's revealed expenditure in 2012–13 is an appropriate starting point for determining our estimate of total forecast opex. We take this view based on quantitative and qualitative analysis using several assessment techniques, which included:</w:t>
      </w:r>
    </w:p>
    <w:p w:rsidR="00051BDB" w:rsidRPr="00992DA5" w:rsidRDefault="00051BDB" w:rsidP="00051BDB">
      <w:pPr>
        <w:pStyle w:val="AERbulletlistfirststyle"/>
        <w:rPr>
          <w:rStyle w:val="AERbody"/>
        </w:rPr>
      </w:pPr>
      <w:r>
        <w:rPr>
          <w:rStyle w:val="AERbody"/>
        </w:rPr>
        <w:t>review of the service providers' regulatory proposals</w:t>
      </w:r>
    </w:p>
    <w:p w:rsidR="00051BDB" w:rsidRDefault="00051BDB" w:rsidP="00051BDB">
      <w:pPr>
        <w:pStyle w:val="AERbulletlistfirststyle"/>
        <w:rPr>
          <w:rStyle w:val="AERbody"/>
        </w:rPr>
      </w:pPr>
      <w:r>
        <w:rPr>
          <w:rStyle w:val="AERbody"/>
        </w:rPr>
        <w:t>four economic benchmarking techniques—three econometric and one index-based—including consideration of operating environment factors</w:t>
      </w:r>
    </w:p>
    <w:p w:rsidR="00051BDB" w:rsidRPr="00992DA5" w:rsidRDefault="00051BDB" w:rsidP="00051BDB">
      <w:pPr>
        <w:pStyle w:val="AERbulletlistfirststyle"/>
        <w:rPr>
          <w:rStyle w:val="AERbody"/>
        </w:rPr>
      </w:pPr>
      <w:r>
        <w:rPr>
          <w:rStyle w:val="AERbody"/>
        </w:rPr>
        <w:t>p</w:t>
      </w:r>
      <w:r w:rsidRPr="00992DA5">
        <w:rPr>
          <w:rStyle w:val="AERbody"/>
        </w:rPr>
        <w:t>artial performance indicators</w:t>
      </w:r>
    </w:p>
    <w:p w:rsidR="00051BDB" w:rsidRPr="00992DA5" w:rsidRDefault="00051BDB" w:rsidP="00051BDB">
      <w:pPr>
        <w:pStyle w:val="AERbulletlistfirststyle"/>
        <w:rPr>
          <w:rStyle w:val="AERbody"/>
        </w:rPr>
      </w:pPr>
      <w:r>
        <w:rPr>
          <w:rStyle w:val="AERbody"/>
        </w:rPr>
        <w:t>category analysis</w:t>
      </w:r>
    </w:p>
    <w:p w:rsidR="00051BDB" w:rsidRPr="00992DA5" w:rsidRDefault="00051BDB" w:rsidP="00051BDB">
      <w:pPr>
        <w:pStyle w:val="AERbulletlistfirststyle"/>
        <w:rPr>
          <w:rStyle w:val="AERbody"/>
        </w:rPr>
      </w:pPr>
      <w:r>
        <w:rPr>
          <w:rStyle w:val="AERbody"/>
        </w:rPr>
        <w:t>targeted detailed review of certain types of expenditure.</w:t>
      </w:r>
    </w:p>
    <w:p w:rsidR="00051BDB" w:rsidRDefault="00051BDB" w:rsidP="00051BDB">
      <w:pPr>
        <w:rPr>
          <w:rStyle w:val="AERbody"/>
        </w:rPr>
      </w:pPr>
      <w:r>
        <w:rPr>
          <w:rStyle w:val="AERbody"/>
        </w:rPr>
        <w:t xml:space="preserve">All of these techniques suggested that material inefficiency existed in the service providers' revealed expenditure. Therefore, and in accordance with the process we </w:t>
      </w:r>
      <w:r>
        <w:rPr>
          <w:rStyle w:val="AERbody"/>
        </w:rPr>
        <w:lastRenderedPageBreak/>
        <w:t xml:space="preserve">outlined in the Guideline, we reduced the service providers' revealed expenditure to estimate base year opex amounts that we were satisfied reasonably reflected the opex criteria and would therefore represent an appropriate starting point for developing a total opex forecast. </w:t>
      </w:r>
    </w:p>
    <w:p w:rsidR="00051BDB" w:rsidRDefault="00051BDB" w:rsidP="00051BDB">
      <w:pPr>
        <w:rPr>
          <w:rStyle w:val="AERbody"/>
        </w:rPr>
      </w:pPr>
      <w:r>
        <w:rPr>
          <w:rStyle w:val="AERbody"/>
        </w:rPr>
        <w:t>Our reduction to Endeavour Energy's revealed opex was lower than that for Essential Energy and Ausgrid. Our analysis showed that Endeavour Energy had implemented efficiency programs earlier and to a greater extent than its two peers. However, we considered that as at 2012–13 (the base year), Endeavour Energy had further efficiency improvements to realise.</w:t>
      </w:r>
    </w:p>
    <w:p w:rsidR="00051BDB" w:rsidRDefault="00051BDB" w:rsidP="00051BDB">
      <w:pPr>
        <w:rPr>
          <w:rStyle w:val="AERbody"/>
        </w:rPr>
      </w:pPr>
      <w:r>
        <w:rPr>
          <w:rStyle w:val="AERbody"/>
        </w:rPr>
        <w:t xml:space="preserve">In this final decision, we have made two changes to our approach since our draft decision, which impact on the base year reductions we have made in developing our alternative forecasts. </w:t>
      </w:r>
    </w:p>
    <w:p w:rsidR="00051BDB" w:rsidRDefault="00051BDB" w:rsidP="00051BDB">
      <w:pPr>
        <w:rPr>
          <w:rStyle w:val="AERbody"/>
        </w:rPr>
      </w:pPr>
      <w:r>
        <w:rPr>
          <w:rStyle w:val="AERbody"/>
        </w:rPr>
        <w:t xml:space="preserve">First, we have adjusted the benchmark comparison point for determining whether a service provider's revealed opex is materially inefficient. We explain our reasons for this change below and in detail in section </w:t>
      </w:r>
      <w:r>
        <w:rPr>
          <w:rStyle w:val="AERbody"/>
        </w:rPr>
        <w:fldChar w:fldCharType="begin"/>
      </w:r>
      <w:r>
        <w:rPr>
          <w:rStyle w:val="AERbody"/>
        </w:rPr>
        <w:instrText xml:space="preserve"> REF _Ref415585317 \n \h </w:instrText>
      </w:r>
      <w:r>
        <w:rPr>
          <w:rStyle w:val="AERbody"/>
        </w:rPr>
      </w:r>
      <w:r>
        <w:rPr>
          <w:rStyle w:val="AERbody"/>
        </w:rPr>
        <w:fldChar w:fldCharType="separate"/>
      </w:r>
      <w:r w:rsidR="00C74791">
        <w:rPr>
          <w:rStyle w:val="AERbody"/>
        </w:rPr>
        <w:t>A.7</w:t>
      </w:r>
      <w:r>
        <w:rPr>
          <w:rStyle w:val="AERbody"/>
        </w:rPr>
        <w:fldChar w:fldCharType="end"/>
      </w:r>
      <w:r>
        <w:rPr>
          <w:rStyle w:val="AERbody"/>
        </w:rPr>
        <w:t>.</w:t>
      </w:r>
    </w:p>
    <w:p w:rsidR="00051BDB" w:rsidRDefault="00051BDB" w:rsidP="00051BDB">
      <w:pPr>
        <w:rPr>
          <w:rStyle w:val="AERbody"/>
        </w:rPr>
      </w:pPr>
      <w:r>
        <w:rPr>
          <w:rStyle w:val="AERbody"/>
        </w:rPr>
        <w:t xml:space="preserve">Second, we have modified our approach to determining the operating environment factor adjustments. This increases the allowance for exogenous differences between service providers and the benchmark comparison point for Ausgrid and Endeavour Energy from 10 per cent to 12 per cent. Essential Energy's allowance has increased from 10 per cent to 11 per cent. We explain our reasons for this change in section </w:t>
      </w:r>
      <w:r>
        <w:rPr>
          <w:rStyle w:val="AERbody"/>
        </w:rPr>
        <w:fldChar w:fldCharType="begin"/>
      </w:r>
      <w:r>
        <w:rPr>
          <w:rStyle w:val="AERbody"/>
        </w:rPr>
        <w:instrText xml:space="preserve"> REF _Ref417551822 \n \h </w:instrText>
      </w:r>
      <w:r>
        <w:rPr>
          <w:rStyle w:val="AERbody"/>
        </w:rPr>
      </w:r>
      <w:r>
        <w:rPr>
          <w:rStyle w:val="AERbody"/>
        </w:rPr>
        <w:fldChar w:fldCharType="separate"/>
      </w:r>
      <w:r w:rsidR="00C74791">
        <w:rPr>
          <w:rStyle w:val="AERbody"/>
        </w:rPr>
        <w:t>A.6</w:t>
      </w:r>
      <w:r>
        <w:rPr>
          <w:rStyle w:val="AERbody"/>
        </w:rPr>
        <w:fldChar w:fldCharType="end"/>
      </w:r>
      <w:r>
        <w:rPr>
          <w:rStyle w:val="AERbody"/>
        </w:rPr>
        <w:t>.</w:t>
      </w:r>
    </w:p>
    <w:p w:rsidR="00051BDB" w:rsidRDefault="00051BDB" w:rsidP="00051BDB">
      <w:pPr>
        <w:rPr>
          <w:rStyle w:val="AERbody"/>
        </w:rPr>
      </w:pPr>
      <w:r>
        <w:rPr>
          <w:rStyle w:val="AERbody"/>
        </w:rPr>
        <w:t xml:space="preserve">These changes result in smaller reductions to revealed opex than those from the draft decisions. For Endeavour Energy the lower benchmark comparison point results in a slightly lower efficiency target than its revealed costs. Therefore, an adjustment to Endeavour Energy's base year opex is unnecessary and we can rely on its revealed expenditure in 2012–13 as the starting point for determining our estimate of total forecast opex. </w:t>
      </w:r>
    </w:p>
    <w:p w:rsidR="00051BDB" w:rsidRDefault="00051BDB" w:rsidP="00051BDB">
      <w:r>
        <w:rPr>
          <w:rStyle w:val="AERbody"/>
        </w:rPr>
        <w:t xml:space="preserve">While Endeavour Energy's revealed opex still includes inefficiencies, the change in our approach means we have determined it is not </w:t>
      </w:r>
      <w:r w:rsidRPr="002D31BF">
        <w:rPr>
          <w:rStyle w:val="AERtextitalic"/>
        </w:rPr>
        <w:t>materially</w:t>
      </w:r>
      <w:r>
        <w:rPr>
          <w:rStyle w:val="AERbody"/>
        </w:rPr>
        <w:t xml:space="preserve"> inefficient for the purposes of developing an alternative forecast that we are satisfied reasonably reflects the opex criteria. </w:t>
      </w:r>
    </w:p>
    <w:p w:rsidR="00051BDB" w:rsidRDefault="00051BDB" w:rsidP="00051BDB">
      <w:pPr>
        <w:pStyle w:val="Heading9"/>
      </w:pPr>
      <w:bookmarkStart w:id="124" w:name="_Toc417719025"/>
      <w:r>
        <w:t>Why Ausgrid's and Essential Energy's revealed opex are not appropriate starting points for estimating total forecast opex</w:t>
      </w:r>
      <w:bookmarkEnd w:id="124"/>
    </w:p>
    <w:p w:rsidR="00051BDB" w:rsidRPr="002D5424" w:rsidRDefault="00051BDB" w:rsidP="00051BDB">
      <w:pPr>
        <w:rPr>
          <w:rStyle w:val="AERbody"/>
        </w:rPr>
      </w:pPr>
      <w:r w:rsidRPr="002D5424">
        <w:rPr>
          <w:rStyle w:val="AERbody"/>
        </w:rPr>
        <w:t>Our analysis shows that</w:t>
      </w:r>
      <w:r>
        <w:rPr>
          <w:rStyle w:val="AERbody"/>
        </w:rPr>
        <w:t xml:space="preserve"> </w:t>
      </w:r>
      <w:r w:rsidRPr="002D5424">
        <w:rPr>
          <w:rStyle w:val="AERbody"/>
        </w:rPr>
        <w:t xml:space="preserve">it would not be appropriate to rely on </w:t>
      </w:r>
      <w:r>
        <w:rPr>
          <w:rStyle w:val="AERbody"/>
        </w:rPr>
        <w:t xml:space="preserve">Ausgrid's or Essential Energy's </w:t>
      </w:r>
      <w:r w:rsidRPr="002D5424">
        <w:rPr>
          <w:rStyle w:val="AERbody"/>
        </w:rPr>
        <w:t>revealed opex as starting point</w:t>
      </w:r>
      <w:r>
        <w:rPr>
          <w:rStyle w:val="AERbody"/>
        </w:rPr>
        <w:t>s</w:t>
      </w:r>
      <w:r w:rsidRPr="002D5424">
        <w:rPr>
          <w:rStyle w:val="AERbody"/>
        </w:rPr>
        <w:t xml:space="preserve"> for estimating total forecast opex that reasonably reflects the opex criteria. Our benchmarking demonstrates that the </w:t>
      </w:r>
      <w:r>
        <w:rPr>
          <w:rStyle w:val="AERbody"/>
        </w:rPr>
        <w:t>service provider</w:t>
      </w:r>
      <w:r w:rsidRPr="002D5424">
        <w:rPr>
          <w:rStyle w:val="AERbody"/>
        </w:rPr>
        <w:t>s' revealed opex is inefficient</w:t>
      </w:r>
      <w:r>
        <w:rPr>
          <w:rStyle w:val="AERbody"/>
        </w:rPr>
        <w:t>.</w:t>
      </w:r>
      <w:r w:rsidRPr="002D5424">
        <w:rPr>
          <w:rStyle w:val="AERbody"/>
        </w:rPr>
        <w:t xml:space="preserve"> </w:t>
      </w:r>
      <w:r>
        <w:rPr>
          <w:rStyle w:val="AERbody"/>
        </w:rPr>
        <w:t>O</w:t>
      </w:r>
      <w:r w:rsidRPr="002D5424">
        <w:rPr>
          <w:rStyle w:val="AERbody"/>
        </w:rPr>
        <w:t>ther quantitative techniques as well as</w:t>
      </w:r>
      <w:r>
        <w:rPr>
          <w:rStyle w:val="AERbody"/>
        </w:rPr>
        <w:t xml:space="preserve"> the</w:t>
      </w:r>
      <w:r w:rsidRPr="002D5424">
        <w:rPr>
          <w:rStyle w:val="AERbody"/>
        </w:rPr>
        <w:t xml:space="preserve"> qualitative review of labour costs by Deloitte Access Economics</w:t>
      </w:r>
      <w:r>
        <w:rPr>
          <w:rStyle w:val="AERbody"/>
        </w:rPr>
        <w:t xml:space="preserve"> (Deloitte) support the benchmarking findings</w:t>
      </w:r>
      <w:r w:rsidRPr="002D5424">
        <w:rPr>
          <w:rStyle w:val="AERbody"/>
        </w:rPr>
        <w:t>.</w:t>
      </w:r>
    </w:p>
    <w:p w:rsidR="00C74791" w:rsidRDefault="00C74791">
      <w:pPr>
        <w:spacing w:line="240" w:lineRule="auto"/>
        <w:rPr>
          <w:rFonts w:eastAsiaTheme="majorEastAsia" w:cstheme="majorBidi"/>
          <w:b/>
          <w:bCs/>
          <w:color w:val="70635A" w:themeColor="text2"/>
          <w:sz w:val="28"/>
        </w:rPr>
      </w:pPr>
      <w:r>
        <w:br w:type="page"/>
      </w:r>
    </w:p>
    <w:p w:rsidR="00051BDB" w:rsidRDefault="00051BDB" w:rsidP="00051BDB">
      <w:pPr>
        <w:pStyle w:val="HeadingBoldBlue"/>
      </w:pPr>
      <w:r>
        <w:lastRenderedPageBreak/>
        <w:t>Our review</w:t>
      </w:r>
    </w:p>
    <w:p w:rsidR="00051BDB" w:rsidRDefault="00051BDB" w:rsidP="00051BDB">
      <w:r>
        <w:t>As set out in the Guideline, our preference is to rely on revealed expenditure as the basis for determining our estimate of total forecast opex that reasonably reflects the opex criteria. However, we cannot simply assume that revealed expenditure for 2012-13 is reflective of the opex criteria for the 2014-19 period. We use benchmarking to test the service providers' revealed expenditure against that of their peers.</w:t>
      </w:r>
      <w:r>
        <w:rPr>
          <w:rStyle w:val="FootnoteReference"/>
        </w:rPr>
        <w:footnoteReference w:id="113"/>
      </w:r>
      <w:r>
        <w:t xml:space="preserve"> We then use category analysis and detailed review of significant cost categories to see if they are consistent with our benchmarking findings.  This approach is set out in the Guideline and in section </w:t>
      </w:r>
      <w:r>
        <w:fldChar w:fldCharType="begin"/>
      </w:r>
      <w:r>
        <w:instrText xml:space="preserve"> REF _Ref415580420 \n \h </w:instrText>
      </w:r>
      <w:r>
        <w:fldChar w:fldCharType="separate"/>
      </w:r>
      <w:r w:rsidR="00C74791">
        <w:t>A.3</w:t>
      </w:r>
      <w:r>
        <w:fldChar w:fldCharType="end"/>
      </w:r>
      <w:r>
        <w:t xml:space="preserve"> (which details our assessment approach for base opex).</w:t>
      </w:r>
    </w:p>
    <w:p w:rsidR="00051BDB" w:rsidRDefault="00051BDB" w:rsidP="00051BDB">
      <w:pPr>
        <w:pStyle w:val="HeadingBoldItalic"/>
      </w:pPr>
      <w:r>
        <w:t>Benchmarking</w:t>
      </w:r>
    </w:p>
    <w:p w:rsidR="00051BDB" w:rsidRDefault="00051BDB" w:rsidP="00051BDB">
      <w:pPr>
        <w:pStyle w:val="ListParagraph"/>
        <w:numPr>
          <w:ilvl w:val="0"/>
          <w:numId w:val="24"/>
        </w:numPr>
      </w:pPr>
      <w:r w:rsidRPr="00FD7965">
        <w:t xml:space="preserve">In the draft decision, we </w:t>
      </w:r>
      <w:r>
        <w:t>assessed the service providers' revealed expenditure using</w:t>
      </w:r>
      <w:r w:rsidRPr="00FD7965">
        <w:t xml:space="preserve"> economic benchmarking and partial performance indicators (PPIs). </w:t>
      </w:r>
      <w:r>
        <w:t>We have not changed o</w:t>
      </w:r>
      <w:r w:rsidRPr="00FD7965">
        <w:t>ur</w:t>
      </w:r>
      <w:r>
        <w:t xml:space="preserve"> approach to using</w:t>
      </w:r>
      <w:r w:rsidRPr="00FD7965">
        <w:t xml:space="preserve"> benchmarking </w:t>
      </w:r>
      <w:r>
        <w:t xml:space="preserve">since </w:t>
      </w:r>
      <w:r w:rsidRPr="00FD7965">
        <w:t>the draft decision</w:t>
      </w:r>
      <w:r>
        <w:t>s so the benchmarking techniques we rely on in this final decision are the same</w:t>
      </w:r>
      <w:r w:rsidRPr="00FD7965">
        <w:t>.</w:t>
      </w:r>
      <w:r>
        <w:t xml:space="preserve"> </w:t>
      </w:r>
    </w:p>
    <w:p w:rsidR="00051BDB" w:rsidRDefault="00051BDB" w:rsidP="00051BDB">
      <w:pPr>
        <w:pStyle w:val="HeadingItalic"/>
      </w:pPr>
      <w:r>
        <w:t>Economic benchmarking</w:t>
      </w:r>
    </w:p>
    <w:p w:rsidR="00051BDB" w:rsidRDefault="00051BDB" w:rsidP="00051BDB">
      <w:r>
        <w:t>For this final decision, we continue to rely on the economic benchmarking techniques developed by Economic Insights for assessing the relative efficiency of service providers compared to their peers. Economic Insights developed four benchmarking techniques that specifically compare opex performance, using data submitted by all service providers, over the period 2006 to 2013.</w:t>
      </w:r>
    </w:p>
    <w:p w:rsidR="00051BDB" w:rsidRDefault="00051BDB" w:rsidP="00051BDB">
      <w:pPr>
        <w:rPr>
          <w:rStyle w:val="AERbody"/>
        </w:rPr>
      </w:pPr>
      <w:r>
        <w:rPr>
          <w:rStyle w:val="AERbody"/>
        </w:rPr>
        <w:fldChar w:fldCharType="begin"/>
      </w:r>
      <w:r>
        <w:rPr>
          <w:rStyle w:val="AERbody"/>
        </w:rPr>
        <w:instrText xml:space="preserve"> REF _Ref401669052 \h  \* MERGEFORMAT </w:instrText>
      </w:r>
      <w:r>
        <w:rPr>
          <w:rStyle w:val="AERbody"/>
        </w:rPr>
      </w:r>
      <w:r>
        <w:rPr>
          <w:rStyle w:val="AERbody"/>
        </w:rPr>
        <w:fldChar w:fldCharType="separate"/>
      </w:r>
      <w:r w:rsidR="00C74791">
        <w:t>Figure A.1</w:t>
      </w:r>
      <w:r>
        <w:rPr>
          <w:rStyle w:val="AERbody"/>
        </w:rPr>
        <w:fldChar w:fldCharType="end"/>
      </w:r>
      <w:r>
        <w:rPr>
          <w:rStyle w:val="AERbody"/>
        </w:rPr>
        <w:t xml:space="preserve"> presents the results of each of Economic Insights' opex models (stochastic frontier analysis (SFA), econometric regressions and opex MPFP for each service provider in the NEM. </w:t>
      </w:r>
    </w:p>
    <w:p w:rsidR="00051BDB" w:rsidRDefault="00051BDB" w:rsidP="00051BDB">
      <w:pPr>
        <w:pStyle w:val="Caption"/>
      </w:pPr>
      <w:bookmarkStart w:id="125" w:name="_Ref401669052"/>
      <w:r>
        <w:lastRenderedPageBreak/>
        <w:t xml:space="preserve">Figure </w:t>
      </w:r>
      <w:fldSimple w:instr=" STYLEREF 7 \s ">
        <w:r w:rsidR="00C74791">
          <w:rPr>
            <w:noProof/>
          </w:rPr>
          <w:t>A</w:t>
        </w:r>
      </w:fldSimple>
      <w:r w:rsidR="00A409CB">
        <w:t>.</w:t>
      </w:r>
      <w:fldSimple w:instr=" SEQ AFigure \* ARABIC \s 7 ">
        <w:r w:rsidR="00C74791">
          <w:rPr>
            <w:noProof/>
          </w:rPr>
          <w:t>1</w:t>
        </w:r>
      </w:fldSimple>
      <w:bookmarkEnd w:id="125"/>
      <w:r>
        <w:tab/>
      </w:r>
      <w:bookmarkStart w:id="126" w:name="_Ref417641006"/>
      <w:r>
        <w:t>Econometric modelling and opex MPFP results (average efficiency scores for 2006 to 2013)</w:t>
      </w:r>
      <w:bookmarkEnd w:id="126"/>
    </w:p>
    <w:p w:rsidR="00051BDB" w:rsidRDefault="00051BDB" w:rsidP="00051BDB">
      <w:pPr>
        <w:numPr>
          <w:ilvl w:val="0"/>
          <w:numId w:val="24"/>
        </w:numPr>
      </w:pPr>
      <w:r w:rsidRPr="00051BDB">
        <w:rPr>
          <w:noProof/>
          <w:lang w:eastAsia="en-AU"/>
        </w:rPr>
        <w:drawing>
          <wp:inline distT="0" distB="0" distL="0" distR="0" wp14:anchorId="29D20A97" wp14:editId="79ED0517">
            <wp:extent cx="5316280" cy="32363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8814" cy="3237906"/>
                    </a:xfrm>
                    <a:prstGeom prst="rect">
                      <a:avLst/>
                    </a:prstGeom>
                    <a:noFill/>
                    <a:ln>
                      <a:noFill/>
                    </a:ln>
                  </pic:spPr>
                </pic:pic>
              </a:graphicData>
            </a:graphic>
          </wp:inline>
        </w:drawing>
      </w:r>
    </w:p>
    <w:p w:rsidR="00051BDB" w:rsidRDefault="00051BDB" w:rsidP="00051BDB">
      <w:pPr>
        <w:pStyle w:val="AERtablesource"/>
      </w:pPr>
      <w:r w:rsidRPr="006B511A">
        <w:t>Source:</w:t>
      </w:r>
      <w:r w:rsidRPr="006B511A">
        <w:tab/>
      </w:r>
      <w:r>
        <w:t>Economic Insights, 2014</w:t>
      </w:r>
      <w:r w:rsidRPr="006B511A">
        <w:t>.</w:t>
      </w:r>
    </w:p>
    <w:p w:rsidR="00051BDB" w:rsidRPr="002D5424" w:rsidRDefault="00051BDB" w:rsidP="00051BDB">
      <w:pPr>
        <w:rPr>
          <w:rStyle w:val="AERbody"/>
        </w:rPr>
      </w:pPr>
      <w:r w:rsidRPr="002D5424">
        <w:rPr>
          <w:rStyle w:val="AERbody"/>
        </w:rPr>
        <w:t>Each model differ</w:t>
      </w:r>
      <w:r>
        <w:rPr>
          <w:rStyle w:val="AERbody"/>
        </w:rPr>
        <w:t>s</w:t>
      </w:r>
      <w:r w:rsidRPr="002D5424">
        <w:rPr>
          <w:rStyle w:val="AERbody"/>
        </w:rPr>
        <w:t xml:space="preserve"> in terms of estimation method or model specification and accounts for </w:t>
      </w:r>
      <w:r>
        <w:rPr>
          <w:rStyle w:val="AERbody"/>
        </w:rPr>
        <w:t xml:space="preserve">key </w:t>
      </w:r>
      <w:r w:rsidRPr="002D5424">
        <w:rPr>
          <w:rStyle w:val="AERbody"/>
        </w:rPr>
        <w:t xml:space="preserve">operating environment </w:t>
      </w:r>
      <w:r>
        <w:rPr>
          <w:rStyle w:val="AERbody"/>
        </w:rPr>
        <w:t xml:space="preserve">factors </w:t>
      </w:r>
      <w:r w:rsidRPr="002D5424">
        <w:rPr>
          <w:rStyle w:val="AERbody"/>
        </w:rPr>
        <w:t>(</w:t>
      </w:r>
      <w:r>
        <w:rPr>
          <w:rStyle w:val="AERbody"/>
        </w:rPr>
        <w:t xml:space="preserve">such as differences in customer density and degree of network undergrounding </w:t>
      </w:r>
      <w:r w:rsidRPr="002D5424">
        <w:rPr>
          <w:rStyle w:val="AERbody"/>
        </w:rPr>
        <w:t xml:space="preserve">that may differentiate service providers) to differing degrees. Accordingly, the results will never be identical. However, </w:t>
      </w:r>
      <w:r w:rsidRPr="002D5424">
        <w:rPr>
          <w:rStyle w:val="AERbody"/>
        </w:rPr>
        <w:fldChar w:fldCharType="begin"/>
      </w:r>
      <w:r w:rsidRPr="002D5424">
        <w:rPr>
          <w:rStyle w:val="AERbody"/>
        </w:rPr>
        <w:instrText xml:space="preserve"> REF _Ref401669052 \h </w:instrText>
      </w:r>
      <w:r>
        <w:rPr>
          <w:rStyle w:val="AERbody"/>
        </w:rPr>
        <w:instrText xml:space="preserve"> \* MERGEFORMAT </w:instrText>
      </w:r>
      <w:r w:rsidRPr="002D5424">
        <w:rPr>
          <w:rStyle w:val="AERbody"/>
        </w:rPr>
      </w:r>
      <w:r w:rsidRPr="002D5424">
        <w:rPr>
          <w:rStyle w:val="AERbody"/>
        </w:rPr>
        <w:fldChar w:fldCharType="separate"/>
      </w:r>
      <w:r w:rsidR="00C74791" w:rsidRPr="00C74791">
        <w:rPr>
          <w:rStyle w:val="AERbody"/>
        </w:rPr>
        <w:t>Figure A.1</w:t>
      </w:r>
      <w:r w:rsidRPr="002D5424">
        <w:rPr>
          <w:rStyle w:val="AERbody"/>
        </w:rPr>
        <w:fldChar w:fldCharType="end"/>
      </w:r>
      <w:r w:rsidRPr="002D5424">
        <w:rPr>
          <w:rStyle w:val="AERbody"/>
        </w:rPr>
        <w:t xml:space="preserve"> demonstrates that the results of the four models are consistent. All models show that the efficiency of the NSW service providers' revealed expenditure does not compare favourably with that of many of their peers. </w:t>
      </w:r>
      <w:r>
        <w:rPr>
          <w:rStyle w:val="AERbody"/>
        </w:rPr>
        <w:t xml:space="preserve">Ausgrid performs more poorly than </w:t>
      </w:r>
      <w:r w:rsidRPr="002D5424">
        <w:rPr>
          <w:rStyle w:val="AERbody"/>
        </w:rPr>
        <w:t xml:space="preserve">Endeavour Energy </w:t>
      </w:r>
      <w:r>
        <w:rPr>
          <w:rStyle w:val="AERbody"/>
        </w:rPr>
        <w:t xml:space="preserve">and Essential Energy on each measure. Essential Energy </w:t>
      </w:r>
      <w:r w:rsidRPr="002D5424">
        <w:rPr>
          <w:rStyle w:val="AERbody"/>
        </w:rPr>
        <w:t xml:space="preserve">performs more </w:t>
      </w:r>
      <w:r>
        <w:rPr>
          <w:rStyle w:val="AERbody"/>
        </w:rPr>
        <w:t xml:space="preserve">poorly </w:t>
      </w:r>
      <w:r w:rsidRPr="002D5424">
        <w:rPr>
          <w:rStyle w:val="AERbody"/>
        </w:rPr>
        <w:t>than Endeavour Energy</w:t>
      </w:r>
      <w:r>
        <w:rPr>
          <w:rStyle w:val="AERbody"/>
        </w:rPr>
        <w:t xml:space="preserve"> on two of the four measures</w:t>
      </w:r>
      <w:r w:rsidRPr="002D5424">
        <w:rPr>
          <w:rStyle w:val="AERbody"/>
        </w:rPr>
        <w:t>.</w:t>
      </w:r>
    </w:p>
    <w:p w:rsidR="00051BDB" w:rsidRDefault="00051BDB" w:rsidP="00051BDB">
      <w:r>
        <w:t xml:space="preserve">Our preferred model is SFA (in red on </w:t>
      </w:r>
      <w:r w:rsidR="0073522A">
        <w:t>the figure</w:t>
      </w:r>
      <w:r>
        <w:t xml:space="preserve"> above) because it can directly estimate efficiency scores and has superior statistical properties.</w:t>
      </w:r>
      <w:r>
        <w:rPr>
          <w:rStyle w:val="FootnoteReference"/>
        </w:rPr>
        <w:footnoteReference w:id="114"/>
      </w:r>
      <w:r>
        <w:t xml:space="preserve">  The best performing business under this model is </w:t>
      </w:r>
      <w:r w:rsidR="0073522A">
        <w:t>CitiPower</w:t>
      </w:r>
      <w:r>
        <w:t>, with a score of 0.95.  We refer to CitiPower as the 'frontier' firm throughout this appendix.</w:t>
      </w:r>
    </w:p>
    <w:p w:rsidR="00051BDB" w:rsidRDefault="00051BDB" w:rsidP="00051BDB">
      <w:r>
        <w:t xml:space="preserve">Section </w:t>
      </w:r>
      <w:r>
        <w:fldChar w:fldCharType="begin"/>
      </w:r>
      <w:r>
        <w:instrText xml:space="preserve"> REF _Ref417551812 \n \h </w:instrText>
      </w:r>
      <w:r>
        <w:fldChar w:fldCharType="separate"/>
      </w:r>
      <w:r w:rsidR="00C74791">
        <w:t>A.4</w:t>
      </w:r>
      <w:r>
        <w:fldChar w:fldCharType="end"/>
      </w:r>
      <w:r>
        <w:t xml:space="preserve"> discusses economic benchmarking in more detail.  Our benchmarking techniques and benchmarking results were the subject of many submissions filed in response to our draft decisions.  In considering the various points raised in submissions, we have been able to further test the robustness of our approach.  The </w:t>
      </w:r>
      <w:r>
        <w:lastRenderedPageBreak/>
        <w:t xml:space="preserve">submissions we received on benchmarking and the manner in which we have taken those submissions into account in our final decisions are also discussed in section </w:t>
      </w:r>
      <w:r>
        <w:fldChar w:fldCharType="begin"/>
      </w:r>
      <w:r>
        <w:instrText xml:space="preserve"> REF _Ref417551812 \n \h </w:instrText>
      </w:r>
      <w:r>
        <w:fldChar w:fldCharType="separate"/>
      </w:r>
      <w:r w:rsidR="00C74791">
        <w:t>A.4</w:t>
      </w:r>
      <w:r>
        <w:fldChar w:fldCharType="end"/>
      </w:r>
      <w:r>
        <w:t>. Economic Insights' final decision report provides further detail, including analysis of the positions and alternative models advanced by the service providers' consultants.</w:t>
      </w:r>
      <w:r>
        <w:rPr>
          <w:rStyle w:val="FootnoteReference"/>
        </w:rPr>
        <w:footnoteReference w:id="115"/>
      </w:r>
    </w:p>
    <w:p w:rsidR="00051BDB" w:rsidRDefault="00051BDB" w:rsidP="00051BDB">
      <w:pPr>
        <w:pStyle w:val="HeadingItalic"/>
      </w:pPr>
      <w:r>
        <w:t>Partial performance indicators</w:t>
      </w:r>
    </w:p>
    <w:p w:rsidR="00051BDB" w:rsidRDefault="00051BDB" w:rsidP="00051BDB">
      <w:pPr>
        <w:numPr>
          <w:ilvl w:val="0"/>
          <w:numId w:val="24"/>
        </w:numPr>
      </w:pPr>
      <w:r>
        <w:t>PPIs are a simplistic form</w:t>
      </w:r>
      <w:r w:rsidRPr="006B511A">
        <w:t xml:space="preserve"> of benchmarking</w:t>
      </w:r>
      <w:r>
        <w:t>. They measure the ratio of total output and one input factor.  They are often used as they are easy to calculate and understand. However when used in isolation their results should be interpreted with caution because they are not as robust as our economic benchmarking techniques that relate inputs to multiple outputs using a cost function.</w:t>
      </w:r>
    </w:p>
    <w:p w:rsidR="00051BDB" w:rsidRDefault="00051BDB" w:rsidP="00051BDB">
      <w:pPr>
        <w:numPr>
          <w:ilvl w:val="0"/>
          <w:numId w:val="24"/>
        </w:numPr>
      </w:pPr>
      <w:r>
        <w:t>When examined in conjunction with other indicators they can provide supporting evidence of efficiency. We consider the PPI results do provide further evidence to support the results of our</w:t>
      </w:r>
      <w:r w:rsidRPr="006B511A">
        <w:t xml:space="preserve"> </w:t>
      </w:r>
      <w:r>
        <w:t xml:space="preserve">economic </w:t>
      </w:r>
      <w:r w:rsidRPr="006B511A">
        <w:t>benchmark</w:t>
      </w:r>
      <w:r>
        <w:t>ing technique</w:t>
      </w:r>
      <w:r w:rsidRPr="006B511A">
        <w:t xml:space="preserve">s. </w:t>
      </w:r>
      <w:r>
        <w:fldChar w:fldCharType="begin"/>
      </w:r>
      <w:r>
        <w:instrText xml:space="preserve"> REF _Ref401582012 \h </w:instrText>
      </w:r>
      <w:r>
        <w:fldChar w:fldCharType="separate"/>
      </w:r>
      <w:r w:rsidR="00C74791" w:rsidRPr="00877DA3">
        <w:t xml:space="preserve">Figure </w:t>
      </w:r>
      <w:r w:rsidR="00C74791">
        <w:rPr>
          <w:noProof/>
        </w:rPr>
        <w:t>A</w:t>
      </w:r>
      <w:r w:rsidR="00C74791">
        <w:t>.</w:t>
      </w:r>
      <w:r w:rsidR="00C74791">
        <w:rPr>
          <w:noProof/>
        </w:rPr>
        <w:t>2</w:t>
      </w:r>
      <w:r>
        <w:fldChar w:fldCharType="end"/>
      </w:r>
      <w:r>
        <w:t xml:space="preserve">, a key metric, compares average annual opex per customer for each service provider. </w:t>
      </w:r>
    </w:p>
    <w:p w:rsidR="00051BDB" w:rsidRPr="00877DA3" w:rsidRDefault="00051BDB" w:rsidP="00051BDB">
      <w:pPr>
        <w:pStyle w:val="Caption"/>
      </w:pPr>
      <w:bookmarkStart w:id="127" w:name="_Ref401582012"/>
      <w:r w:rsidRPr="00877DA3">
        <w:t xml:space="preserve">Figure </w:t>
      </w:r>
      <w:fldSimple w:instr=" STYLEREF 7 \s ">
        <w:r w:rsidR="00C74791">
          <w:rPr>
            <w:noProof/>
          </w:rPr>
          <w:t>A</w:t>
        </w:r>
      </w:fldSimple>
      <w:r w:rsidR="00A409CB">
        <w:t>.</w:t>
      </w:r>
      <w:fldSimple w:instr=" SEQ AFigure \* ARABIC \s 7 ">
        <w:r w:rsidR="00C74791">
          <w:rPr>
            <w:noProof/>
          </w:rPr>
          <w:t>2</w:t>
        </w:r>
      </w:fldSimple>
      <w:bookmarkEnd w:id="127"/>
      <w:r w:rsidRPr="00877DA3">
        <w:tab/>
        <w:t>Average annual opex</w:t>
      </w:r>
      <w:r>
        <w:t xml:space="preserve"> per customer</w:t>
      </w:r>
      <w:r w:rsidRPr="00877DA3">
        <w:t xml:space="preserve"> for 2009 to 2013</w:t>
      </w:r>
      <w:r>
        <w:t xml:space="preserve"> against customer density ($2013-14)</w:t>
      </w:r>
    </w:p>
    <w:p w:rsidR="00051BDB" w:rsidRPr="00877DA3" w:rsidRDefault="00051BDB" w:rsidP="00051BDB">
      <w:pPr>
        <w:pStyle w:val="AERtablesource"/>
      </w:pPr>
      <w:r w:rsidRPr="00051BDB">
        <w:rPr>
          <w:noProof/>
          <w:lang w:eastAsia="en-AU"/>
        </w:rPr>
        <w:drawing>
          <wp:inline distT="0" distB="0" distL="0" distR="0" wp14:anchorId="14E93314" wp14:editId="51593326">
            <wp:extent cx="4956725" cy="344384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5703" cy="3450082"/>
                    </a:xfrm>
                    <a:prstGeom prst="rect">
                      <a:avLst/>
                    </a:prstGeom>
                    <a:noFill/>
                    <a:ln>
                      <a:noFill/>
                    </a:ln>
                  </pic:spPr>
                </pic:pic>
              </a:graphicData>
            </a:graphic>
          </wp:inline>
        </w:drawing>
      </w:r>
      <w:r w:rsidRPr="00877DA3">
        <w:t xml:space="preserve"> </w:t>
      </w:r>
    </w:p>
    <w:p w:rsidR="00051BDB" w:rsidRDefault="00051BDB" w:rsidP="00051BDB">
      <w:pPr>
        <w:pStyle w:val="AERtablesource"/>
      </w:pPr>
      <w:r w:rsidRPr="00877DA3">
        <w:t>Source:</w:t>
      </w:r>
      <w:r>
        <w:t xml:space="preserve"> Economic benchmarking RIN data.</w:t>
      </w:r>
    </w:p>
    <w:p w:rsidR="00051BDB" w:rsidRPr="00FB57DC" w:rsidRDefault="00051BDB" w:rsidP="00051BDB">
      <w:pPr>
        <w:pStyle w:val="AERtablesource"/>
      </w:pPr>
      <w:r>
        <w:t>Note:</w:t>
      </w:r>
      <w:r>
        <w:tab/>
        <w:t xml:space="preserve">ACT = ActewAGL, AGD = Ausgrid, CIT = </w:t>
      </w:r>
      <w:r w:rsidR="006B7B34">
        <w:t>CitiPower</w:t>
      </w:r>
      <w:r>
        <w:t>, END = Endeavour, ENX = Energex, ERG = Ergon, ESS = Essential, JEN = Jemena, PCR = Powercor, SAP = SA PowerNetworks, SPD = AusNet, TND = TasNetworks, UED = United Energy.</w:t>
      </w:r>
    </w:p>
    <w:p w:rsidR="00051BDB" w:rsidRDefault="00051BDB" w:rsidP="00051BDB">
      <w:pPr>
        <w:numPr>
          <w:ilvl w:val="0"/>
          <w:numId w:val="24"/>
        </w:numPr>
      </w:pPr>
      <w:r w:rsidRPr="00877DA3">
        <w:lastRenderedPageBreak/>
        <w:fldChar w:fldCharType="begin"/>
      </w:r>
      <w:r w:rsidRPr="00877DA3">
        <w:instrText xml:space="preserve"> REF _Ref401582012 \h </w:instrText>
      </w:r>
      <w:r w:rsidRPr="00877DA3">
        <w:fldChar w:fldCharType="separate"/>
      </w:r>
      <w:r w:rsidR="00C74791" w:rsidRPr="00877DA3">
        <w:t xml:space="preserve">Figure </w:t>
      </w:r>
      <w:r w:rsidR="00C74791">
        <w:rPr>
          <w:noProof/>
        </w:rPr>
        <w:t>A</w:t>
      </w:r>
      <w:r w:rsidR="00C74791">
        <w:t>.</w:t>
      </w:r>
      <w:r w:rsidR="00C74791">
        <w:rPr>
          <w:noProof/>
        </w:rPr>
        <w:t>2</w:t>
      </w:r>
      <w:r w:rsidRPr="00877DA3">
        <w:fldChar w:fldCharType="end"/>
      </w:r>
      <w:r>
        <w:t xml:space="preserve"> demonstrates </w:t>
      </w:r>
      <w:r w:rsidRPr="00877DA3">
        <w:t xml:space="preserve">a clear demarcation between </w:t>
      </w:r>
      <w:r>
        <w:t>Ausgrid, Essential Energy and the majority of their peers (predominantly the Victorian and South Australian service providers but also TasNetworks and Energex. Based on this measure, Endeavour Energy performs somewhat more favourably than Ausgrid and Essential Energy because it appears comparatively lower (which is better) and is almost comparable to AusNet Services. This is consistent with the economic benchmarking results which generally indicate that Endeavour Energy performs better than the two other NSW service providers.</w:t>
      </w:r>
    </w:p>
    <w:p w:rsidR="00051BDB" w:rsidRDefault="00051BDB" w:rsidP="00051BDB">
      <w:pPr>
        <w:numPr>
          <w:ilvl w:val="0"/>
          <w:numId w:val="24"/>
        </w:numPr>
      </w:pPr>
      <w:r>
        <w:t xml:space="preserve">'Per customer' PPIs tend to be less favourable towards rural service providers who typically operate more assets per customer. We must bear this in mind when we consider the results in </w:t>
      </w:r>
      <w:r w:rsidRPr="00877DA3">
        <w:fldChar w:fldCharType="begin"/>
      </w:r>
      <w:r w:rsidRPr="00877DA3">
        <w:instrText xml:space="preserve"> REF _Ref401582012 \h </w:instrText>
      </w:r>
      <w:r w:rsidRPr="00877DA3">
        <w:fldChar w:fldCharType="separate"/>
      </w:r>
      <w:r w:rsidR="00C74791" w:rsidRPr="00877DA3">
        <w:t xml:space="preserve">Figure </w:t>
      </w:r>
      <w:r w:rsidR="00C74791">
        <w:rPr>
          <w:noProof/>
        </w:rPr>
        <w:t>A</w:t>
      </w:r>
      <w:r w:rsidR="00C74791">
        <w:t>.</w:t>
      </w:r>
      <w:r w:rsidR="00C74791">
        <w:rPr>
          <w:noProof/>
        </w:rPr>
        <w:t>2</w:t>
      </w:r>
      <w:r w:rsidRPr="00877DA3">
        <w:fldChar w:fldCharType="end"/>
      </w:r>
      <w:r>
        <w:t>. In particular, Essential Energy has a low density network so it will appear to perform worse on PPIs than it does on the economic benchmarking models – particularly when compared to frontier performers CitiPower and Powercor</w:t>
      </w:r>
      <w:r w:rsidRPr="004859E2">
        <w:t>.</w:t>
      </w:r>
      <w:r>
        <w:t xml:space="preserve"> We would expect </w:t>
      </w:r>
      <w:r w:rsidRPr="004859E2">
        <w:t>Ausgrid</w:t>
      </w:r>
      <w:r>
        <w:t xml:space="preserve"> and</w:t>
      </w:r>
      <w:r w:rsidRPr="004859E2">
        <w:t xml:space="preserve"> Endeavour </w:t>
      </w:r>
      <w:r>
        <w:t>Energy to compare more favourably to Powercor due to their higher customer densities, but less favourably to CitiPower because CitiPower is very dense</w:t>
      </w:r>
      <w:r w:rsidRPr="004859E2">
        <w:t>.</w:t>
      </w:r>
    </w:p>
    <w:p w:rsidR="00051BDB" w:rsidRPr="00877DA3" w:rsidRDefault="00051BDB" w:rsidP="00051BDB">
      <w:pPr>
        <w:numPr>
          <w:ilvl w:val="0"/>
          <w:numId w:val="24"/>
        </w:numPr>
      </w:pPr>
      <w:r w:rsidRPr="00742439">
        <w:t>PPIs do not explicitly account for operating environment differences</w:t>
      </w:r>
      <w:r>
        <w:t xml:space="preserve"> and examine only one output</w:t>
      </w:r>
      <w:r w:rsidRPr="00742439">
        <w:t xml:space="preserve">. </w:t>
      </w:r>
      <w:r>
        <w:t xml:space="preserve">However, bearing </w:t>
      </w:r>
      <w:r w:rsidRPr="00742439">
        <w:t>these limitations in mind</w:t>
      </w:r>
      <w:r>
        <w:t xml:space="preserve">, our PPI metrics (opex per customer and total user cost per customer) </w:t>
      </w:r>
      <w:r w:rsidRPr="00742439">
        <w:t>support the economic benchmarking results</w:t>
      </w:r>
      <w:r>
        <w:t>. We consider these PPIs remain useful tools of comparison if their limitations are understood. Further, our first annual benchmarking report contains additional PPIs that examine different outputs. These PPIs similarly show the NSW service providers generally perform poorly compared to their peers.</w:t>
      </w:r>
      <w:r>
        <w:rPr>
          <w:rStyle w:val="FootnoteReference"/>
        </w:rPr>
        <w:footnoteReference w:id="116"/>
      </w:r>
      <w:r>
        <w:t xml:space="preserve"> PPIs were the subject of some submissions from stakeholders. </w:t>
      </w:r>
      <w:r w:rsidRPr="00742439">
        <w:t xml:space="preserve">We consider </w:t>
      </w:r>
      <w:r>
        <w:t>PPIs in more detail</w:t>
      </w:r>
      <w:r w:rsidRPr="00742439">
        <w:t xml:space="preserve"> </w:t>
      </w:r>
      <w:r w:rsidRPr="00F20596">
        <w:rPr>
          <w:rStyle w:val="AERbody"/>
        </w:rPr>
        <w:t xml:space="preserve">in section </w:t>
      </w:r>
      <w:r>
        <w:rPr>
          <w:rStyle w:val="AERbody"/>
        </w:rPr>
        <w:fldChar w:fldCharType="begin"/>
      </w:r>
      <w:r>
        <w:rPr>
          <w:rStyle w:val="AERbody"/>
        </w:rPr>
        <w:instrText xml:space="preserve"> REF _Ref417551812 \n \h </w:instrText>
      </w:r>
      <w:r>
        <w:rPr>
          <w:rStyle w:val="AERbody"/>
        </w:rPr>
      </w:r>
      <w:r>
        <w:rPr>
          <w:rStyle w:val="AERbody"/>
        </w:rPr>
        <w:fldChar w:fldCharType="separate"/>
      </w:r>
      <w:r w:rsidR="00C74791">
        <w:rPr>
          <w:rStyle w:val="AERbody"/>
        </w:rPr>
        <w:t>A.4</w:t>
      </w:r>
      <w:r>
        <w:rPr>
          <w:rStyle w:val="AERbody"/>
        </w:rPr>
        <w:fldChar w:fldCharType="end"/>
      </w:r>
      <w:r w:rsidRPr="00F20596">
        <w:rPr>
          <w:rStyle w:val="AERbody"/>
        </w:rPr>
        <w:t>.</w:t>
      </w:r>
    </w:p>
    <w:p w:rsidR="00051BDB" w:rsidRDefault="00051BDB" w:rsidP="00051BDB">
      <w:pPr>
        <w:pStyle w:val="HeadingItalic"/>
      </w:pPr>
      <w:r>
        <w:t>Incorporating differences between service providers</w:t>
      </w:r>
    </w:p>
    <w:p w:rsidR="00051BDB" w:rsidRDefault="00051BDB" w:rsidP="00051BDB">
      <w:r>
        <w:t xml:space="preserve">While Economic Insights' benchmarking models account for key differences between service providers—customer density, network line length and degree of network undergrounding, for example—they do not account for all differences. This is because accounting for too many differences in the model can lead to unstable results. The available data on operating environment differences is also a limiting factor. </w:t>
      </w:r>
    </w:p>
    <w:p w:rsidR="00051BDB" w:rsidRPr="00D37A55" w:rsidRDefault="00051BDB" w:rsidP="00051BDB">
      <w:pPr>
        <w:rPr>
          <w:rStyle w:val="AERbody"/>
        </w:rPr>
      </w:pPr>
      <w:r>
        <w:t xml:space="preserve">Accordingly, in our draft decision, we conducted a detailed examination of the </w:t>
      </w:r>
      <w:r w:rsidRPr="00D37A55">
        <w:rPr>
          <w:rStyle w:val="AERbody"/>
        </w:rPr>
        <w:t>operating environment factors</w:t>
      </w:r>
      <w:r>
        <w:rPr>
          <w:rStyle w:val="AERbody"/>
        </w:rPr>
        <w:t xml:space="preserve"> (OEFs)</w:t>
      </w:r>
      <w:r w:rsidRPr="00D37A55">
        <w:rPr>
          <w:rStyle w:val="AERbody"/>
        </w:rPr>
        <w:t xml:space="preserve"> </w:t>
      </w:r>
      <w:r>
        <w:rPr>
          <w:rStyle w:val="AERbody"/>
        </w:rPr>
        <w:t>that might impact the benchmark performance of service providers</w:t>
      </w:r>
      <w:r w:rsidRPr="00D37A55">
        <w:rPr>
          <w:rStyle w:val="AERbody"/>
        </w:rPr>
        <w:t xml:space="preserve">. </w:t>
      </w:r>
      <w:r>
        <w:rPr>
          <w:rStyle w:val="AERbody"/>
        </w:rPr>
        <w:t>In the draft decision</w:t>
      </w:r>
      <w:r w:rsidRPr="00D37A55">
        <w:rPr>
          <w:rStyle w:val="AERbody"/>
        </w:rPr>
        <w:t xml:space="preserve">, we concluded that we needed to increase the NSW </w:t>
      </w:r>
      <w:r>
        <w:rPr>
          <w:rStyle w:val="AERbody"/>
        </w:rPr>
        <w:t>service provider</w:t>
      </w:r>
      <w:r w:rsidRPr="00D37A55">
        <w:rPr>
          <w:rStyle w:val="AERbody"/>
        </w:rPr>
        <w:t xml:space="preserve">s' efficiency scores by 10 per cent to account for exogenous differences particular to their networks. </w:t>
      </w:r>
      <w:r>
        <w:rPr>
          <w:rStyle w:val="AERbody"/>
        </w:rPr>
        <w:t>The most</w:t>
      </w:r>
      <w:r w:rsidRPr="00D37A55">
        <w:rPr>
          <w:rStyle w:val="AERbody"/>
        </w:rPr>
        <w:t xml:space="preserve"> significant exogenous difference between the best performing </w:t>
      </w:r>
      <w:r>
        <w:rPr>
          <w:rStyle w:val="AERbody"/>
        </w:rPr>
        <w:t>service provider</w:t>
      </w:r>
      <w:r w:rsidRPr="00D37A55">
        <w:rPr>
          <w:rStyle w:val="AERbody"/>
        </w:rPr>
        <w:t xml:space="preserve">s and the NSW service providers </w:t>
      </w:r>
      <w:r>
        <w:rPr>
          <w:rStyle w:val="AERbody"/>
        </w:rPr>
        <w:t>is</w:t>
      </w:r>
      <w:r w:rsidRPr="00D37A55">
        <w:rPr>
          <w:rStyle w:val="AERbody"/>
        </w:rPr>
        <w:t xml:space="preserve"> the proportion of subtransmission network over 66kV. We consider</w:t>
      </w:r>
      <w:r>
        <w:rPr>
          <w:rStyle w:val="AERbody"/>
        </w:rPr>
        <w:t>ed</w:t>
      </w:r>
      <w:r w:rsidRPr="00D37A55">
        <w:rPr>
          <w:rStyle w:val="AERbody"/>
        </w:rPr>
        <w:t xml:space="preserve"> these differences would adversely impact on the NSW </w:t>
      </w:r>
      <w:r>
        <w:rPr>
          <w:rStyle w:val="AERbody"/>
        </w:rPr>
        <w:t>service provider</w:t>
      </w:r>
      <w:r w:rsidRPr="00D37A55">
        <w:rPr>
          <w:rStyle w:val="AERbody"/>
        </w:rPr>
        <w:t>s' efficiency scores</w:t>
      </w:r>
      <w:r>
        <w:rPr>
          <w:rStyle w:val="AERbody"/>
        </w:rPr>
        <w:t xml:space="preserve"> and should not be interpreted as inefficiency</w:t>
      </w:r>
      <w:r w:rsidRPr="00D37A55">
        <w:rPr>
          <w:rStyle w:val="AERbody"/>
        </w:rPr>
        <w:t>.</w:t>
      </w:r>
    </w:p>
    <w:p w:rsidR="00051BDB" w:rsidRPr="00D37A55" w:rsidRDefault="00051BDB" w:rsidP="00051BDB">
      <w:pPr>
        <w:rPr>
          <w:rStyle w:val="AERbody"/>
        </w:rPr>
      </w:pPr>
      <w:r w:rsidRPr="00D37A55">
        <w:rPr>
          <w:rStyle w:val="AERbody"/>
        </w:rPr>
        <w:lastRenderedPageBreak/>
        <w:t xml:space="preserve">Following further analysis, in this final decision, we have </w:t>
      </w:r>
      <w:r>
        <w:rPr>
          <w:rStyle w:val="AERbody"/>
        </w:rPr>
        <w:t>reviewed which factors we will adjust for and as a result of this analysis have</w:t>
      </w:r>
      <w:r w:rsidRPr="00D37A55">
        <w:rPr>
          <w:rStyle w:val="AERbody"/>
        </w:rPr>
        <w:t xml:space="preserve"> increased the </w:t>
      </w:r>
      <w:r>
        <w:rPr>
          <w:rStyle w:val="AERbody"/>
        </w:rPr>
        <w:t>adjustment</w:t>
      </w:r>
      <w:r w:rsidRPr="00D37A55">
        <w:rPr>
          <w:rStyle w:val="AERbody"/>
        </w:rPr>
        <w:t xml:space="preserve"> </w:t>
      </w:r>
      <w:r>
        <w:rPr>
          <w:rStyle w:val="AERbody"/>
        </w:rPr>
        <w:t xml:space="preserve">from 10 per cent </w:t>
      </w:r>
      <w:r w:rsidRPr="00D37A55">
        <w:rPr>
          <w:rStyle w:val="AERbody"/>
        </w:rPr>
        <w:t>to</w:t>
      </w:r>
      <w:r>
        <w:rPr>
          <w:rStyle w:val="AERbody"/>
        </w:rPr>
        <w:t xml:space="preserve"> 12 per cent for Ausgrid</w:t>
      </w:r>
      <w:r w:rsidR="00202F01">
        <w:rPr>
          <w:rStyle w:val="AERbody"/>
        </w:rPr>
        <w:t>, 13 per cent</w:t>
      </w:r>
      <w:r>
        <w:rPr>
          <w:rStyle w:val="AERbody"/>
        </w:rPr>
        <w:t xml:space="preserve"> </w:t>
      </w:r>
      <w:r w:rsidR="00202F01">
        <w:rPr>
          <w:rStyle w:val="AERbody"/>
        </w:rPr>
        <w:t>for</w:t>
      </w:r>
      <w:r>
        <w:rPr>
          <w:rStyle w:val="AERbody"/>
        </w:rPr>
        <w:t xml:space="preserve"> Endeavour Energy and 11 per cent for Essential Energy. Our assessment of operating environment factors and how it contributes to a 12 per cent</w:t>
      </w:r>
      <w:r w:rsidR="00202F01">
        <w:rPr>
          <w:rStyle w:val="AERbody"/>
        </w:rPr>
        <w:t>, 13 per cent or 11 per cent adjustment</w:t>
      </w:r>
      <w:r>
        <w:rPr>
          <w:rStyle w:val="AERbody"/>
        </w:rPr>
        <w:t xml:space="preserve"> is set out in detail in section A.5.</w:t>
      </w:r>
      <w:r w:rsidRPr="00D37A55">
        <w:rPr>
          <w:rStyle w:val="AERbody"/>
        </w:rPr>
        <w:t xml:space="preserve"> </w:t>
      </w:r>
    </w:p>
    <w:p w:rsidR="00051BDB" w:rsidRDefault="00051BDB" w:rsidP="00051BDB">
      <w:pPr>
        <w:rPr>
          <w:rStyle w:val="AERbody"/>
        </w:rPr>
      </w:pPr>
      <w:r>
        <w:rPr>
          <w:rStyle w:val="AERbody"/>
        </w:rPr>
        <w:fldChar w:fldCharType="begin"/>
      </w:r>
      <w:r>
        <w:rPr>
          <w:rStyle w:val="AERbody"/>
        </w:rPr>
        <w:instrText xml:space="preserve"> REF _Ref415495221 \h </w:instrText>
      </w:r>
      <w:r>
        <w:rPr>
          <w:rStyle w:val="AERbody"/>
        </w:rPr>
      </w:r>
      <w:r>
        <w:rPr>
          <w:rStyle w:val="AERbody"/>
        </w:rPr>
        <w:fldChar w:fldCharType="separate"/>
      </w:r>
      <w:r w:rsidR="003E4D71" w:rsidRPr="008E211C">
        <w:t xml:space="preserve">Figure </w:t>
      </w:r>
      <w:r w:rsidR="003E4D71">
        <w:rPr>
          <w:noProof/>
        </w:rPr>
        <w:t>A</w:t>
      </w:r>
      <w:r w:rsidR="003E4D71">
        <w:t>.</w:t>
      </w:r>
      <w:r w:rsidR="003E4D71">
        <w:rPr>
          <w:noProof/>
        </w:rPr>
        <w:t>3</w:t>
      </w:r>
      <w:r>
        <w:rPr>
          <w:rStyle w:val="AERbody"/>
        </w:rPr>
        <w:fldChar w:fldCharType="end"/>
      </w:r>
      <w:r>
        <w:rPr>
          <w:rStyle w:val="AERbody"/>
        </w:rPr>
        <w:t xml:space="preserve"> shows the efficiency scores for the NSW service providers compared to the frontier service provider (CitiPower):</w:t>
      </w:r>
    </w:p>
    <w:p w:rsidR="00051BDB" w:rsidRDefault="00051BDB" w:rsidP="00051BDB">
      <w:pPr>
        <w:pStyle w:val="AERbulletlistfirststyle"/>
        <w:rPr>
          <w:rStyle w:val="AERbody"/>
        </w:rPr>
      </w:pPr>
      <w:r>
        <w:rPr>
          <w:rStyle w:val="AERbody"/>
        </w:rPr>
        <w:t>using the Cobb Douglas SFA model (Economic Insights' recommended model for quantifying an adjustment to revealed opex) and</w:t>
      </w:r>
    </w:p>
    <w:p w:rsidR="00051BDB" w:rsidRDefault="00051BDB" w:rsidP="00051BDB">
      <w:pPr>
        <w:pStyle w:val="AERbulletlistfirststyle"/>
        <w:rPr>
          <w:rStyle w:val="AERbody"/>
        </w:rPr>
      </w:pPr>
      <w:r>
        <w:rPr>
          <w:rStyle w:val="AERbody"/>
        </w:rPr>
        <w:t xml:space="preserve">incorporating the allowance for exogenous differences in operating environments. </w:t>
      </w:r>
    </w:p>
    <w:p w:rsidR="00051BDB" w:rsidRPr="00E54462" w:rsidRDefault="00051BDB" w:rsidP="00051BDB">
      <w:r w:rsidRPr="00E54462">
        <w:t xml:space="preserve">Our operating environment factor adjustments are percentage adjustments relative to the </w:t>
      </w:r>
      <w:r>
        <w:t>frontier</w:t>
      </w:r>
      <w:r w:rsidRPr="00E54462">
        <w:t xml:space="preserve">. Therefore, the operating environment factor adjustments in </w:t>
      </w:r>
      <w:r w:rsidRPr="00E54462">
        <w:rPr>
          <w:rStyle w:val="AERbody"/>
        </w:rPr>
        <w:fldChar w:fldCharType="begin"/>
      </w:r>
      <w:r w:rsidRPr="00E54462">
        <w:rPr>
          <w:rStyle w:val="AERbody"/>
        </w:rPr>
        <w:instrText xml:space="preserve"> REF _Ref415495221 \h </w:instrText>
      </w:r>
      <w:r>
        <w:rPr>
          <w:rStyle w:val="AERbody"/>
        </w:rPr>
        <w:instrText xml:space="preserve"> \* MERGEFORMAT </w:instrText>
      </w:r>
      <w:r w:rsidRPr="00E54462">
        <w:rPr>
          <w:rStyle w:val="AERbody"/>
        </w:rPr>
      </w:r>
      <w:r w:rsidRPr="00E54462">
        <w:rPr>
          <w:rStyle w:val="AERbody"/>
        </w:rPr>
        <w:fldChar w:fldCharType="separate"/>
      </w:r>
      <w:r w:rsidR="003E4D71" w:rsidRPr="008E211C">
        <w:t xml:space="preserve">Figure </w:t>
      </w:r>
      <w:r w:rsidR="003E4D71">
        <w:t>A.3</w:t>
      </w:r>
      <w:r w:rsidRPr="00E54462">
        <w:rPr>
          <w:rStyle w:val="AERbody"/>
        </w:rPr>
        <w:fldChar w:fldCharType="end"/>
      </w:r>
      <w:r w:rsidRPr="00E54462">
        <w:rPr>
          <w:rStyle w:val="AERbody"/>
        </w:rPr>
        <w:t xml:space="preserve"> will not reflect the absolute percentages reported above. That is, the dark blue pro</w:t>
      </w:r>
      <w:r w:rsidR="00DB042D">
        <w:rPr>
          <w:rStyle w:val="AERbody"/>
        </w:rPr>
        <w:t xml:space="preserve">portion represents 12 per cent for </w:t>
      </w:r>
      <w:r w:rsidRPr="00E54462">
        <w:rPr>
          <w:rStyle w:val="AERbody"/>
        </w:rPr>
        <w:t>Ausgrid</w:t>
      </w:r>
      <w:r w:rsidR="00DB042D">
        <w:rPr>
          <w:rStyle w:val="AERbody"/>
        </w:rPr>
        <w:t>, 13 per cent</w:t>
      </w:r>
      <w:r w:rsidRPr="00E54462">
        <w:rPr>
          <w:rStyle w:val="AERbody"/>
        </w:rPr>
        <w:t xml:space="preserve"> </w:t>
      </w:r>
      <w:r w:rsidR="00DB042D">
        <w:rPr>
          <w:rStyle w:val="AERbody"/>
        </w:rPr>
        <w:t>for Endeavour Energy, and 11 per cent for Essential Energy</w:t>
      </w:r>
      <w:r w:rsidRPr="00E54462">
        <w:rPr>
          <w:rStyle w:val="AERbody"/>
        </w:rPr>
        <w:t xml:space="preserve"> of the </w:t>
      </w:r>
      <w:r>
        <w:rPr>
          <w:rStyle w:val="AERbody"/>
        </w:rPr>
        <w:t>frontier</w:t>
      </w:r>
      <w:r w:rsidRPr="00E54462">
        <w:rPr>
          <w:rStyle w:val="AERbody"/>
        </w:rPr>
        <w:t xml:space="preserve"> efficiency score rather than an addition of 11</w:t>
      </w:r>
      <w:r w:rsidR="00DB042D">
        <w:rPr>
          <w:rStyle w:val="AERbody"/>
        </w:rPr>
        <w:t>, 13</w:t>
      </w:r>
      <w:r w:rsidRPr="00E54462">
        <w:rPr>
          <w:rStyle w:val="AERbody"/>
        </w:rPr>
        <w:t xml:space="preserve"> or 12 percentage points on top of the SFA opex efficiency score.</w:t>
      </w:r>
    </w:p>
    <w:p w:rsidR="00051BDB" w:rsidRDefault="00051BDB" w:rsidP="00051BDB">
      <w:pPr>
        <w:pStyle w:val="Caption"/>
      </w:pPr>
      <w:bookmarkStart w:id="128" w:name="_Ref415495221"/>
      <w:r w:rsidRPr="008E211C">
        <w:t xml:space="preserve">Figure </w:t>
      </w:r>
      <w:fldSimple w:instr=" STYLEREF 7 \s ">
        <w:r w:rsidR="003E4D71">
          <w:rPr>
            <w:noProof/>
          </w:rPr>
          <w:t>A</w:t>
        </w:r>
      </w:fldSimple>
      <w:r w:rsidR="00A409CB">
        <w:t>.</w:t>
      </w:r>
      <w:fldSimple w:instr=" SEQ AFigure \* ARABIC \s 7 ">
        <w:r w:rsidR="003E4D71">
          <w:rPr>
            <w:noProof/>
          </w:rPr>
          <w:t>3</w:t>
        </w:r>
      </w:fldSimple>
      <w:bookmarkEnd w:id="128"/>
      <w:r w:rsidRPr="008E211C">
        <w:tab/>
      </w:r>
      <w:r>
        <w:t>Comparison of raw SFA efficiency scores to the frontier, adjusted for operating environment factors</w:t>
      </w:r>
    </w:p>
    <w:p w:rsidR="00051BDB" w:rsidRPr="008E211C" w:rsidRDefault="00051BDB" w:rsidP="00051BDB">
      <w:r w:rsidRPr="00051BDB">
        <w:rPr>
          <w:noProof/>
          <w:lang w:eastAsia="en-AU"/>
        </w:rPr>
        <w:drawing>
          <wp:inline distT="0" distB="0" distL="0" distR="0" wp14:anchorId="660C0B13" wp14:editId="7711C2AC">
            <wp:extent cx="4980940" cy="290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0940" cy="2901950"/>
                    </a:xfrm>
                    <a:prstGeom prst="rect">
                      <a:avLst/>
                    </a:prstGeom>
                    <a:noFill/>
                  </pic:spPr>
                </pic:pic>
              </a:graphicData>
            </a:graphic>
          </wp:inline>
        </w:drawing>
      </w:r>
    </w:p>
    <w:p w:rsidR="00051BDB" w:rsidRDefault="00051BDB" w:rsidP="00051BDB">
      <w:pPr>
        <w:pStyle w:val="AERtablesource"/>
      </w:pPr>
      <w:r w:rsidRPr="00877DA3">
        <w:t xml:space="preserve">Source: </w:t>
      </w:r>
      <w:r>
        <w:tab/>
        <w:t>AER analysis.</w:t>
      </w:r>
    </w:p>
    <w:p w:rsidR="00051BDB" w:rsidRPr="00EF1A07" w:rsidRDefault="00051BDB" w:rsidP="00051BDB">
      <w:pPr>
        <w:pStyle w:val="AERtablesource"/>
      </w:pPr>
      <w:r>
        <w:t>Note:</w:t>
      </w:r>
      <w:r>
        <w:tab/>
        <w:t>The raw SFA efficiency scores displayed are</w:t>
      </w:r>
      <w:r w:rsidRPr="006C5941">
        <w:t xml:space="preserve"> 'roll</w:t>
      </w:r>
      <w:r>
        <w:t>ed</w:t>
      </w:r>
      <w:r w:rsidRPr="006C5941">
        <w:t xml:space="preserve"> forward' </w:t>
      </w:r>
      <w:r>
        <w:t xml:space="preserve">from a </w:t>
      </w:r>
      <w:r w:rsidRPr="006C5941">
        <w:t>period</w:t>
      </w:r>
      <w:r>
        <w:t>-average</w:t>
      </w:r>
      <w:r w:rsidRPr="006C5941">
        <w:t xml:space="preserve"> </w:t>
      </w:r>
      <w:r>
        <w:t xml:space="preserve">basis </w:t>
      </w:r>
      <w:r w:rsidRPr="006C5941">
        <w:t xml:space="preserve">(for 2006-2013) to the 2012–13 base year. We explain this </w:t>
      </w:r>
      <w:r>
        <w:t xml:space="preserve">in section </w:t>
      </w:r>
      <w:r>
        <w:fldChar w:fldCharType="begin"/>
      </w:r>
      <w:r>
        <w:instrText xml:space="preserve"> REF _Ref416803943 \n \h </w:instrText>
      </w:r>
      <w:r>
        <w:fldChar w:fldCharType="separate"/>
      </w:r>
      <w:r w:rsidR="003E4D71">
        <w:t>A.7</w:t>
      </w:r>
      <w:r>
        <w:fldChar w:fldCharType="end"/>
      </w:r>
      <w:r w:rsidRPr="006C5941">
        <w:t xml:space="preserve"> in our discussion of the adjustment process.</w:t>
      </w:r>
    </w:p>
    <w:p w:rsidR="00051BDB" w:rsidRPr="00051BDB" w:rsidRDefault="00051BDB" w:rsidP="00051BDB">
      <w:pPr>
        <w:rPr>
          <w:rStyle w:val="AERbody"/>
        </w:rPr>
      </w:pPr>
      <w:r w:rsidRPr="00051BDB">
        <w:rPr>
          <w:rStyle w:val="AERbody"/>
        </w:rPr>
        <w:fldChar w:fldCharType="begin"/>
      </w:r>
      <w:r w:rsidRPr="00051BDB">
        <w:rPr>
          <w:rStyle w:val="AERbody"/>
        </w:rPr>
        <w:instrText xml:space="preserve"> REF _Ref415495221 \h  \* MERGEFORMAT </w:instrText>
      </w:r>
      <w:r w:rsidRPr="00051BDB">
        <w:rPr>
          <w:rStyle w:val="AERbody"/>
        </w:rPr>
      </w:r>
      <w:r w:rsidRPr="00051BDB">
        <w:rPr>
          <w:rStyle w:val="AERbody"/>
        </w:rPr>
        <w:fldChar w:fldCharType="separate"/>
      </w:r>
      <w:r w:rsidR="003E4D71" w:rsidRPr="003E4D71">
        <w:rPr>
          <w:rStyle w:val="AERbody"/>
        </w:rPr>
        <w:t>Figure A.3</w:t>
      </w:r>
      <w:r w:rsidRPr="00051BDB">
        <w:rPr>
          <w:rStyle w:val="AERbody"/>
        </w:rPr>
        <w:fldChar w:fldCharType="end"/>
      </w:r>
      <w:r w:rsidRPr="00051BDB">
        <w:rPr>
          <w:rStyle w:val="AERbody"/>
        </w:rPr>
        <w:t xml:space="preserve"> demonstrates that, even allowing for operating environment factors, Ausgrid and Essential Energy have efficiency scores well below the frontier efficiency score of 95 per cent using our SFA benchmark model. Endeavour Energy, even with its </w:t>
      </w:r>
      <w:r w:rsidRPr="00051BDB">
        <w:rPr>
          <w:rStyle w:val="AERbody"/>
        </w:rPr>
        <w:lastRenderedPageBreak/>
        <w:t>comparatively higher score of 78 per cent, remains almost 20 percentage points below the frontier.</w:t>
      </w:r>
    </w:p>
    <w:p w:rsidR="00051BDB" w:rsidRPr="00051BDB" w:rsidRDefault="00051BDB" w:rsidP="00051BDB">
      <w:r>
        <w:rPr>
          <w:rStyle w:val="AERbody"/>
        </w:rPr>
        <w:t>We</w:t>
      </w:r>
      <w:r w:rsidRPr="00051BDB">
        <w:rPr>
          <w:rStyle w:val="AERbody"/>
        </w:rPr>
        <w:t xml:space="preserve"> used additional assessment techniques to see if they supported the benchmarking results and to help us understand what might be driving differences in benchmark performance.</w:t>
      </w:r>
    </w:p>
    <w:p w:rsidR="00051BDB" w:rsidRDefault="00051BDB" w:rsidP="00051BDB">
      <w:pPr>
        <w:pStyle w:val="HeadingBoldItalic"/>
      </w:pPr>
      <w:r>
        <w:t>Category analysis and qualitative assessment</w:t>
      </w:r>
    </w:p>
    <w:p w:rsidR="00051BDB" w:rsidRDefault="00051BDB" w:rsidP="00051BDB">
      <w:r>
        <w:t>In our draft decisions, we used more granular assessment techniques in two stages as a means of understanding what drives the benchmarking results. In the first stage, we examined the service providers' regulatory proposals and conducted category analysis of key opex categories. We have also applied this assessment technique in making our final decision.</w:t>
      </w:r>
    </w:p>
    <w:p w:rsidR="00051BDB" w:rsidRDefault="00051BDB" w:rsidP="00051BDB">
      <w:r>
        <w:t>A</w:t>
      </w:r>
      <w:r w:rsidRPr="003234F2">
        <w:t>ll three service providers</w:t>
      </w:r>
      <w:r>
        <w:t xml:space="preserve"> stated in their proposals that they</w:t>
      </w:r>
      <w:r w:rsidRPr="003234F2">
        <w:t xml:space="preserve"> </w:t>
      </w:r>
      <w:r>
        <w:t>we</w:t>
      </w:r>
      <w:r w:rsidRPr="003234F2">
        <w:t>re facing stranded labour problems due to reductions in capex</w:t>
      </w:r>
      <w:r>
        <w:t>, resulting in a need to incur voluntary redundancy costs</w:t>
      </w:r>
      <w:r w:rsidRPr="003234F2">
        <w:t>.</w:t>
      </w:r>
      <w:r>
        <w:rPr>
          <w:rStyle w:val="FootnoteReference"/>
        </w:rPr>
        <w:footnoteReference w:id="117"/>
      </w:r>
      <w:r>
        <w:t xml:space="preserve"> This suggested labour costs could be one of the drivers of the NSW service providers' benchmarking performance. Essential Energy also submitted a step down in vegetation management expenditure in the forecast period. This suggested vegetation management practices may also be a driver of Essential Energy's benchmarking performance.</w:t>
      </w:r>
      <w:r w:rsidRPr="00C11F20">
        <w:rPr>
          <w:rStyle w:val="AERsuperscript"/>
        </w:rPr>
        <w:footnoteReference w:id="118"/>
      </w:r>
    </w:p>
    <w:p w:rsidR="00051BDB" w:rsidRDefault="00051BDB" w:rsidP="00051BDB">
      <w:r>
        <w:t xml:space="preserve">Further, category analysis showed the NSW service providers </w:t>
      </w:r>
      <w:r w:rsidRPr="004429D9">
        <w:t xml:space="preserve">had </w:t>
      </w:r>
      <w:r>
        <w:t xml:space="preserve">'high' or </w:t>
      </w:r>
      <w:r w:rsidRPr="004429D9">
        <w:t xml:space="preserve">'very high' costs on labour and </w:t>
      </w:r>
      <w:r>
        <w:t>overheads</w:t>
      </w:r>
      <w:r w:rsidRPr="004429D9">
        <w:t xml:space="preserve"> metrics</w:t>
      </w:r>
      <w:r>
        <w:t xml:space="preserve"> compared to most of their peers</w:t>
      </w:r>
      <w:r w:rsidRPr="004429D9">
        <w:t>.</w:t>
      </w:r>
      <w:r>
        <w:t xml:space="preserve"> Essential Energy also showed 'very high' costs on the vegetation management metrics, and a significant increase in vegetation costs over the 2009–13 period.</w:t>
      </w:r>
    </w:p>
    <w:p w:rsidR="00051BDB" w:rsidRDefault="00051BDB" w:rsidP="00051BDB">
      <w:r w:rsidRPr="004429D9">
        <w:t xml:space="preserve">Accordingly </w:t>
      </w:r>
      <w:r>
        <w:t>(and because these categories account for a significant proportion of the NSW service providers' opex—labour is approximately 70 per cent</w:t>
      </w:r>
      <w:r>
        <w:rPr>
          <w:rStyle w:val="FootnoteReference"/>
        </w:rPr>
        <w:footnoteReference w:id="119"/>
      </w:r>
      <w:r>
        <w:t xml:space="preserve">) for the second stage, </w:t>
      </w:r>
      <w:r w:rsidRPr="004429D9">
        <w:t xml:space="preserve">we </w:t>
      </w:r>
      <w:r>
        <w:t>engaged Deloitte to conduct an independent detailed review of each of the NSW service providers'</w:t>
      </w:r>
      <w:r w:rsidRPr="004429D9">
        <w:t xml:space="preserve"> labour </w:t>
      </w:r>
      <w:r>
        <w:t>practices</w:t>
      </w:r>
      <w:r w:rsidRPr="004429D9">
        <w:t xml:space="preserve">. </w:t>
      </w:r>
      <w:r>
        <w:t xml:space="preserve">We also conducted a review of Essential Energy's vegetation management opex. </w:t>
      </w:r>
      <w:r w:rsidRPr="004429D9">
        <w:t xml:space="preserve">Through </w:t>
      </w:r>
      <w:r>
        <w:t xml:space="preserve">the </w:t>
      </w:r>
      <w:r w:rsidRPr="004429D9">
        <w:t>detailed review</w:t>
      </w:r>
      <w:r>
        <w:t>s</w:t>
      </w:r>
      <w:r w:rsidRPr="004429D9">
        <w:t xml:space="preserve">, we found significant issues in these categories </w:t>
      </w:r>
      <w:r>
        <w:t>of the NSW service providers'</w:t>
      </w:r>
      <w:r w:rsidRPr="004429D9">
        <w:t xml:space="preserve"> opex, which we considered was evidence of base year inefficiency, supporting our benchmarking results.</w:t>
      </w:r>
    </w:p>
    <w:p w:rsidR="00051BDB" w:rsidRDefault="00051BDB" w:rsidP="00051BDB">
      <w:pPr>
        <w:pStyle w:val="HeadingItalic"/>
      </w:pPr>
      <w:r>
        <w:t>Deloitte's detailed review findings</w:t>
      </w:r>
    </w:p>
    <w:p w:rsidR="00051BDB" w:rsidRDefault="00051BDB" w:rsidP="00051BDB">
      <w:r>
        <w:t xml:space="preserve">For our final decisions, we engaged Deloitte to provide an addendum to its draft decision findings, which includes a response to the service providers' revised </w:t>
      </w:r>
      <w:r>
        <w:lastRenderedPageBreak/>
        <w:t>proposals and related consultants' reports. After taking into account the new information, Deloitte's overall findings remain the same as those in its earlier report.</w:t>
      </w:r>
      <w:r>
        <w:rPr>
          <w:rStyle w:val="FootnoteReference"/>
        </w:rPr>
        <w:footnoteReference w:id="120"/>
      </w:r>
    </w:p>
    <w:p w:rsidR="00051BDB" w:rsidRDefault="00051BDB" w:rsidP="00051BDB">
      <w:r>
        <w:t>Deloitte's overall findings for labour costs are:</w:t>
      </w:r>
      <w:r>
        <w:rPr>
          <w:rStyle w:val="FootnoteReference"/>
        </w:rPr>
        <w:footnoteReference w:id="121"/>
      </w:r>
    </w:p>
    <w:p w:rsidR="00051BDB" w:rsidRPr="0016105D" w:rsidRDefault="00051BDB" w:rsidP="00051BDB">
      <w:pPr>
        <w:pStyle w:val="AERbulletlistfirststyle"/>
      </w:pPr>
      <w:r w:rsidRPr="0016105D">
        <w:t>the NSW service providers have high labour costs because they have too many employees. They all engaged permanent staff in preference to contractors over the 2009–14 period for transitory capex work. Now, due to EBA restrictions on redundancies, they have stranded labour</w:t>
      </w:r>
    </w:p>
    <w:p w:rsidR="00051BDB" w:rsidRPr="0016105D" w:rsidRDefault="00051BDB" w:rsidP="00051BDB">
      <w:pPr>
        <w:pStyle w:val="AERbulletlistfirststyle"/>
      </w:pPr>
      <w:r w:rsidRPr="0016105D">
        <w:t>because the NSW service providers employ a high proportion of their employees through EBAs (more than 75 per cent) restrictive EBA clauses have a significant impact on workforce flexibility</w:t>
      </w:r>
    </w:p>
    <w:p w:rsidR="00051BDB" w:rsidRPr="0016105D" w:rsidRDefault="00051BDB" w:rsidP="00051BDB">
      <w:pPr>
        <w:pStyle w:val="AERbulletlistfirststyle"/>
      </w:pPr>
      <w:r w:rsidRPr="0016105D">
        <w:t>the optimum level of outsourcing is likely to be higher than the level the NSW service providers outsourced at over the 2009–14 period; this is a key distinguishing factor from the Victorian service providers</w:t>
      </w:r>
    </w:p>
    <w:p w:rsidR="00051BDB" w:rsidRPr="0016105D" w:rsidRDefault="00051BDB" w:rsidP="00051BDB">
      <w:pPr>
        <w:pStyle w:val="AERbulletlistfirststyle"/>
      </w:pPr>
      <w:r w:rsidRPr="0016105D">
        <w:t>while the NSW service provider have been implementing efficiency improvements, many efficiencies have not been realised until after the 2012–13 base year.</w:t>
      </w:r>
    </w:p>
    <w:p w:rsidR="00051BDB" w:rsidRDefault="00051BDB" w:rsidP="00051BDB">
      <w:r>
        <w:t xml:space="preserve">Deloitte considered that Endeavour Energy's base year opex was likely more efficient than Ausgrid's and Essential Energy's because it had commenced implementing efficiency improvements earlier. However, all NSW service providers (including </w:t>
      </w:r>
      <w:r w:rsidR="00172EA0">
        <w:t xml:space="preserve">Essential </w:t>
      </w:r>
      <w:r>
        <w:t>Energy) had efficiencies they were yet to realise because the reforms they had implemented to date did not consider potential opportunities to improve efficiency outside of the three NSW businesses. That is, they compared efficiency among themselves, but not to businesses in other jurisdictions.</w:t>
      </w:r>
      <w:r>
        <w:rPr>
          <w:rStyle w:val="FootnoteReference"/>
        </w:rPr>
        <w:footnoteReference w:id="122"/>
      </w:r>
      <w:r>
        <w:t xml:space="preserve"> </w:t>
      </w:r>
    </w:p>
    <w:p w:rsidR="00051BDB" w:rsidRDefault="00051BDB" w:rsidP="00051BDB">
      <w:r>
        <w:t>Deloitte's findings align with statements reportedly made by Networks NSW CEO and chairman.</w:t>
      </w:r>
      <w:r>
        <w:rPr>
          <w:rStyle w:val="FootnoteReference"/>
        </w:rPr>
        <w:footnoteReference w:id="123"/>
      </w:r>
      <w:r>
        <w:t xml:space="preserve"> </w:t>
      </w:r>
    </w:p>
    <w:p w:rsidR="00051BDB" w:rsidRPr="00051BDB" w:rsidRDefault="00051BDB" w:rsidP="00051BDB">
      <w:r>
        <w:t xml:space="preserve">We discuss our labour review findings in more detail in section </w:t>
      </w:r>
      <w:r>
        <w:fldChar w:fldCharType="begin"/>
      </w:r>
      <w:r>
        <w:instrText xml:space="preserve"> REF _Ref417310513 \n \h </w:instrText>
      </w:r>
      <w:r>
        <w:fldChar w:fldCharType="separate"/>
      </w:r>
      <w:r w:rsidR="00C74791">
        <w:t>A.5</w:t>
      </w:r>
      <w:r>
        <w:fldChar w:fldCharType="end"/>
      </w:r>
      <w:r>
        <w:t>.</w:t>
      </w:r>
      <w:r>
        <w:br w:type="page"/>
      </w:r>
    </w:p>
    <w:p w:rsidR="00051BDB" w:rsidRDefault="00051BDB" w:rsidP="00051BDB">
      <w:pPr>
        <w:pStyle w:val="HeadingItalic"/>
      </w:pPr>
      <w:r>
        <w:lastRenderedPageBreak/>
        <w:t>Essential Energy's vegetation management detailed review findings</w:t>
      </w:r>
      <w:r>
        <w:rPr>
          <w:rStyle w:val="FootnoteReference"/>
        </w:rPr>
        <w:footnoteReference w:id="124"/>
      </w:r>
    </w:p>
    <w:p w:rsidR="00051BDB" w:rsidRDefault="00051BDB" w:rsidP="00051BDB">
      <w:pPr>
        <w:numPr>
          <w:ilvl w:val="0"/>
          <w:numId w:val="24"/>
        </w:numPr>
      </w:pPr>
      <w:r>
        <w:t>Our overall findings for vegetation management remain the same as those from our draft decision. That is, Essential Energy's own documentation, including a report it commissioned from Select Solutions, provide evidence that its vegetation management practices in the base year (2012–13) were inefficient.</w:t>
      </w:r>
      <w:r>
        <w:rPr>
          <w:rStyle w:val="FootnoteReference"/>
        </w:rPr>
        <w:footnoteReference w:id="125"/>
      </w:r>
      <w:r>
        <w:t xml:space="preserve">  Select Solutions' review found that Essential Energy must </w:t>
      </w:r>
      <w:r w:rsidRPr="005A1C74">
        <w:t xml:space="preserve">move to a </w:t>
      </w:r>
      <w:r>
        <w:t>"</w:t>
      </w:r>
      <w:r w:rsidRPr="005A1C74">
        <w:t>significantly more efficient</w:t>
      </w:r>
      <w:r>
        <w:t>"</w:t>
      </w:r>
      <w:r w:rsidRPr="005A1C74">
        <w:t xml:space="preserve"> </w:t>
      </w:r>
      <w:r>
        <w:t>v</w:t>
      </w:r>
      <w:r w:rsidRPr="005A1C74">
        <w:t xml:space="preserve">egetation </w:t>
      </w:r>
      <w:r>
        <w:t>m</w:t>
      </w:r>
      <w:r w:rsidRPr="005A1C74">
        <w:t>anagement model</w:t>
      </w:r>
      <w:r>
        <w:t xml:space="preserve"> to reduce the impact of its expenditure on customer prices.</w:t>
      </w:r>
      <w:r w:rsidRPr="00C11F20">
        <w:rPr>
          <w:rStyle w:val="AERsuperscript"/>
        </w:rPr>
        <w:footnoteReference w:id="126"/>
      </w:r>
      <w:r>
        <w:t xml:space="preserve"> Select Solutions found several causes of inefficiency, including:</w:t>
      </w:r>
    </w:p>
    <w:p w:rsidR="00051BDB" w:rsidRPr="00CB5190" w:rsidRDefault="00051BDB" w:rsidP="00051BDB">
      <w:pPr>
        <w:pStyle w:val="AERbulletlistfirststyle"/>
      </w:pPr>
      <w:r w:rsidRPr="00CB5190">
        <w:t>attributing too much vegetation management e</w:t>
      </w:r>
      <w:r>
        <w:t>ffort to reactive spot clearing rather than proactive cyclic maintenance</w:t>
      </w:r>
    </w:p>
    <w:p w:rsidR="00051BDB" w:rsidRDefault="00051BDB" w:rsidP="00051BDB">
      <w:pPr>
        <w:pStyle w:val="AERbulletlistfirststyle"/>
      </w:pPr>
      <w:r>
        <w:t xml:space="preserve">primarily engaging </w:t>
      </w:r>
      <w:r w:rsidRPr="00CB5190">
        <w:t>contract</w:t>
      </w:r>
      <w:r>
        <w:t>or</w:t>
      </w:r>
      <w:r w:rsidRPr="00CB5190">
        <w:t xml:space="preserve">s for cutting </w:t>
      </w:r>
      <w:r>
        <w:t xml:space="preserve">on a demonstrably less efficient </w:t>
      </w:r>
      <w:r w:rsidRPr="00CB5190">
        <w:t xml:space="preserve">hourly rate </w:t>
      </w:r>
      <w:r>
        <w:t xml:space="preserve">basis </w:t>
      </w:r>
    </w:p>
    <w:p w:rsidR="00051BDB" w:rsidRPr="00F402A7" w:rsidRDefault="00051BDB" w:rsidP="00051BDB">
      <w:pPr>
        <w:pStyle w:val="AERbulletlistfirststyle"/>
      </w:pPr>
      <w:r>
        <w:t>less than optimal outsourcing.</w:t>
      </w:r>
    </w:p>
    <w:p w:rsidR="00051BDB" w:rsidRPr="00051BDB" w:rsidRDefault="00051BDB" w:rsidP="00051BDB">
      <w:r w:rsidRPr="00793980">
        <w:t xml:space="preserve">We </w:t>
      </w:r>
      <w:r>
        <w:t xml:space="preserve">discuss our vegetation management findings </w:t>
      </w:r>
      <w:r w:rsidRPr="00793980">
        <w:t xml:space="preserve">in more detail in section </w:t>
      </w:r>
      <w:r>
        <w:fldChar w:fldCharType="begin"/>
      </w:r>
      <w:r>
        <w:instrText xml:space="preserve"> REF _Ref417310513 \n \h </w:instrText>
      </w:r>
      <w:r>
        <w:fldChar w:fldCharType="separate"/>
      </w:r>
      <w:r w:rsidR="00C74791">
        <w:t>A.5</w:t>
      </w:r>
      <w:r>
        <w:fldChar w:fldCharType="end"/>
      </w:r>
      <w:r w:rsidRPr="00793980">
        <w:t>.</w:t>
      </w:r>
    </w:p>
    <w:p w:rsidR="00051BDB" w:rsidRDefault="00051BDB" w:rsidP="00051BDB">
      <w:pPr>
        <w:pStyle w:val="HeadingBoldBlue"/>
      </w:pPr>
      <w:r>
        <w:t>Adjustments to revealed opex</w:t>
      </w:r>
    </w:p>
    <w:p w:rsidR="00051BDB" w:rsidRPr="000D5DE4" w:rsidRDefault="00051BDB" w:rsidP="00051BDB">
      <w:pPr>
        <w:pStyle w:val="ListParagraph"/>
        <w:numPr>
          <w:ilvl w:val="0"/>
          <w:numId w:val="24"/>
        </w:numPr>
      </w:pPr>
      <w:r>
        <w:t xml:space="preserve">For each of the NSW providers, </w:t>
      </w:r>
      <w:r w:rsidRPr="000D5DE4">
        <w:t>the evidence shows that there is a gap between the revealed costs in the base year and the benchmark opex that an efficient provider would incur</w:t>
      </w:r>
      <w:r>
        <w:t>. This gap is larger for Ausgrid and Essential Energy than it is for En</w:t>
      </w:r>
      <w:r w:rsidR="00D75A1C">
        <w:t>d</w:t>
      </w:r>
      <w:r>
        <w:t xml:space="preserve">eavour Energy. </w:t>
      </w:r>
      <w:r w:rsidRPr="000D5DE4">
        <w:t xml:space="preserve">In these circumstances we may need to make an adjustment to the </w:t>
      </w:r>
      <w:r>
        <w:t xml:space="preserve">revealed </w:t>
      </w:r>
      <w:r w:rsidRPr="000D5DE4">
        <w:t xml:space="preserve">base opex. </w:t>
      </w:r>
      <w:r w:rsidRPr="000D5DE4">
        <w:rPr>
          <w:rStyle w:val="AERbody"/>
        </w:rPr>
        <w:t>Making an adjustment involves consideration of the appropriate technique, the appropriate benchmark comparison point and the appropriate manner in which to make the adjustment.</w:t>
      </w:r>
      <w:r>
        <w:rPr>
          <w:rStyle w:val="AERbody"/>
        </w:rPr>
        <w:t xml:space="preserve"> </w:t>
      </w:r>
      <w:r>
        <w:t>Our approach of using benchmarking as a basis for making adjustments to opex is consistent with Ofgem's approach.</w:t>
      </w:r>
      <w:r w:rsidRPr="007C6D16">
        <w:rPr>
          <w:rStyle w:val="FootnoteReference"/>
        </w:rPr>
        <w:footnoteReference w:id="127"/>
      </w:r>
    </w:p>
    <w:p w:rsidR="00051BDB" w:rsidRPr="00756041" w:rsidRDefault="00051BDB" w:rsidP="00051BDB">
      <w:pPr>
        <w:pStyle w:val="HeadingBoldItalic"/>
      </w:pPr>
      <w:r w:rsidRPr="00756041">
        <w:t>The best technique for the adjustment</w:t>
      </w:r>
    </w:p>
    <w:p w:rsidR="00051BDB" w:rsidRPr="00051BDB" w:rsidRDefault="00051BDB" w:rsidP="00051BDB">
      <w:pPr>
        <w:pStyle w:val="ListParagraph"/>
        <w:numPr>
          <w:ilvl w:val="0"/>
          <w:numId w:val="24"/>
        </w:numPr>
      </w:pPr>
      <w:r w:rsidRPr="000D5DE4">
        <w:rPr>
          <w:rStyle w:val="AERbody"/>
        </w:rPr>
        <w:t xml:space="preserve">Consistent with our draft decision approach, we continue to adopt Economic Insights' recommendation to rely on the Cobb Douglas SFA model as the preferred technique upon which we base an adjustment to revealed opex. </w:t>
      </w:r>
      <w:r>
        <w:rPr>
          <w:rStyle w:val="AERbody"/>
        </w:rPr>
        <w:t>This technique</w:t>
      </w:r>
      <w:r w:rsidRPr="000D5DE4">
        <w:rPr>
          <w:rStyle w:val="AERbody"/>
        </w:rPr>
        <w:t xml:space="preserve"> </w:t>
      </w:r>
      <w:r>
        <w:rPr>
          <w:rStyle w:val="AERbody"/>
        </w:rPr>
        <w:t>directly estimates efficiency scores and has superior statistical properties</w:t>
      </w:r>
      <w:r w:rsidRPr="000D5DE4">
        <w:t>.</w:t>
      </w:r>
      <w:r w:rsidRPr="000D5DE4">
        <w:rPr>
          <w:rStyle w:val="FootnoteReference"/>
        </w:rPr>
        <w:footnoteReference w:id="128"/>
      </w:r>
      <w:r>
        <w:t xml:space="preserve"> </w:t>
      </w:r>
      <w:r>
        <w:br w:type="page"/>
      </w:r>
    </w:p>
    <w:p w:rsidR="00051BDB" w:rsidRPr="000D5DE4" w:rsidRDefault="00051BDB" w:rsidP="00051BDB">
      <w:pPr>
        <w:pStyle w:val="HeadingBoldItalic"/>
      </w:pPr>
      <w:r w:rsidRPr="000D5DE4">
        <w:lastRenderedPageBreak/>
        <w:t>The benchmark comparison point</w:t>
      </w:r>
    </w:p>
    <w:p w:rsidR="00051BDB" w:rsidRPr="000D5DE4" w:rsidRDefault="00051BDB" w:rsidP="00051BDB">
      <w:pPr>
        <w:pStyle w:val="ListParagraph"/>
        <w:numPr>
          <w:ilvl w:val="0"/>
          <w:numId w:val="24"/>
        </w:numPr>
      </w:pPr>
      <w:r w:rsidRPr="000D5DE4">
        <w:t>In our draft decision</w:t>
      </w:r>
      <w:r>
        <w:t>s</w:t>
      </w:r>
      <w:r w:rsidRPr="000D5DE4">
        <w:t>, we adopted a benchmark comparison point based on the weighted average efficiency scores of all service providers with efficiency scores greater than 0.75</w:t>
      </w:r>
      <w:r>
        <w:t xml:space="preserve"> to account for potential data and modelling issues</w:t>
      </w:r>
      <w:r w:rsidRPr="000D5DE4">
        <w:t xml:space="preserve">. This </w:t>
      </w:r>
      <w:r>
        <w:t xml:space="preserve">weighted </w:t>
      </w:r>
      <w:r w:rsidRPr="000D5DE4">
        <w:t>average reduced the efficiency target from 0.95 (the frontier firm) to 0.86.</w:t>
      </w:r>
    </w:p>
    <w:p w:rsidR="00051BDB" w:rsidRDefault="00051BDB" w:rsidP="00051BDB">
      <w:pPr>
        <w:pStyle w:val="ListParagraph"/>
        <w:numPr>
          <w:ilvl w:val="0"/>
          <w:numId w:val="24"/>
        </w:numPr>
      </w:pPr>
      <w:r w:rsidRPr="000D5DE4">
        <w:t xml:space="preserve">For the reasons we outline in detail in section </w:t>
      </w:r>
      <w:r>
        <w:fldChar w:fldCharType="begin"/>
      </w:r>
      <w:r>
        <w:instrText xml:space="preserve"> REF _Ref415737208 \n \h </w:instrText>
      </w:r>
      <w:r>
        <w:fldChar w:fldCharType="separate"/>
      </w:r>
      <w:r w:rsidR="00C74791">
        <w:t>A.7</w:t>
      </w:r>
      <w:r>
        <w:fldChar w:fldCharType="end"/>
      </w:r>
      <w:r>
        <w:t>,</w:t>
      </w:r>
      <w:r w:rsidRPr="000D5DE4">
        <w:t xml:space="preserve"> we have reconsidered the benchmark comparison point</w:t>
      </w:r>
      <w:r>
        <w:t xml:space="preserve"> in our final decisions</w:t>
      </w:r>
      <w:r w:rsidRPr="000D5DE4">
        <w:t xml:space="preserve">. We have decided that, on balance, </w:t>
      </w:r>
      <w:r>
        <w:t>a more</w:t>
      </w:r>
      <w:r w:rsidRPr="000D5DE4">
        <w:t xml:space="preserve"> appropriate benchmark comparison point is the efficiency score for the business at the upper third (top 33 per cent) of companies in the benchmark sample (represented by AusNet Services</w:t>
      </w:r>
      <w:r>
        <w:t>). It</w:t>
      </w:r>
      <w:r w:rsidRPr="000D5DE4">
        <w:t xml:space="preserve"> reduces the benchmark comparison point from 0.86 </w:t>
      </w:r>
      <w:r>
        <w:t xml:space="preserve">(used in the draft decisions) </w:t>
      </w:r>
      <w:r w:rsidRPr="000D5DE4">
        <w:t xml:space="preserve">to 0.77. </w:t>
      </w:r>
      <w:r>
        <w:t>We have done this because:</w:t>
      </w:r>
    </w:p>
    <w:p w:rsidR="00051BDB" w:rsidRDefault="00051BDB" w:rsidP="00051BDB">
      <w:pPr>
        <w:pStyle w:val="AERbulletlistfirststyle"/>
      </w:pPr>
      <w:r>
        <w:t>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the material over-expenditure in the revealed costs while still incorporating an appropriately wide margin for potential modelling and data errors for the purposes of forecasting</w:t>
      </w:r>
    </w:p>
    <w:p w:rsidR="00051BDB" w:rsidRDefault="00051BDB" w:rsidP="00051BDB">
      <w:pPr>
        <w:pStyle w:val="AERbulletlistfirststyle"/>
      </w:pPr>
      <w:r w:rsidRPr="007C6D16">
        <w:t>given it is our first application of benchmarking, it is appropriate to adopt a cautious approach</w:t>
      </w:r>
    </w:p>
    <w:p w:rsidR="00051BDB" w:rsidRDefault="00051BDB" w:rsidP="00051BDB">
      <w:pPr>
        <w:pStyle w:val="AERbulletlistfirststyle"/>
        <w:rPr>
          <w:rStyle w:val="AERbody"/>
        </w:rPr>
      </w:pPr>
      <w:r w:rsidRPr="007C6D16">
        <w:rPr>
          <w:rStyle w:val="AERbody"/>
        </w:rPr>
        <w:t>our draft decision averaging approach produced an unusual result for service providers ranked in the top quartile of efficiency scores, but below the average of that top quartile. These service providers would require an efficiency adjustment to reach the average benchmark comparison point (because their scores are below the average) despite being efficient enough to be ranked in the top quartile and, hence, included in the average</w:t>
      </w:r>
    </w:p>
    <w:p w:rsidR="00051BDB" w:rsidRPr="000D5DE4" w:rsidRDefault="00051BDB" w:rsidP="00051BDB">
      <w:pPr>
        <w:pStyle w:val="AERbulletlistfirststyle"/>
      </w:pPr>
      <w:r w:rsidRPr="007C6D16">
        <w:rPr>
          <w:rStyle w:val="AERbody"/>
        </w:rPr>
        <w:t xml:space="preserve">we consider this approach </w:t>
      </w:r>
      <w:r>
        <w:rPr>
          <w:rStyle w:val="AERbody"/>
        </w:rPr>
        <w:t>better achieves</w:t>
      </w:r>
      <w:r w:rsidRPr="007C6D16">
        <w:rPr>
          <w:rStyle w:val="AERbody"/>
        </w:rPr>
        <w:t xml:space="preserve"> the NEO and RPP because it is </w:t>
      </w:r>
      <w:r w:rsidRPr="007C6D16">
        <w:t xml:space="preserve">sufficiently conservative to avoid the risks associated with undercompensating the service provider but also promotes efficiency incentives. </w:t>
      </w:r>
    </w:p>
    <w:p w:rsidR="00051BDB" w:rsidRPr="00C708CD" w:rsidRDefault="00051BDB" w:rsidP="00051BDB">
      <w:pPr>
        <w:pStyle w:val="ListParagraph"/>
        <w:numPr>
          <w:ilvl w:val="0"/>
          <w:numId w:val="24"/>
        </w:numPr>
      </w:pPr>
      <w:r w:rsidRPr="00C708CD">
        <w:fldChar w:fldCharType="begin"/>
      </w:r>
      <w:r w:rsidRPr="00C708CD">
        <w:instrText xml:space="preserve"> REF _Ref415557737 \h </w:instrText>
      </w:r>
      <w:r w:rsidRPr="00C708CD">
        <w:fldChar w:fldCharType="separate"/>
      </w:r>
      <w:r w:rsidR="00C74791" w:rsidRPr="006C5941">
        <w:t xml:space="preserve">Figure </w:t>
      </w:r>
      <w:r w:rsidR="00C74791">
        <w:rPr>
          <w:noProof/>
        </w:rPr>
        <w:t>A</w:t>
      </w:r>
      <w:r w:rsidR="00C74791">
        <w:t>.</w:t>
      </w:r>
      <w:r w:rsidR="00C74791">
        <w:rPr>
          <w:noProof/>
        </w:rPr>
        <w:t>29</w:t>
      </w:r>
      <w:r w:rsidRPr="00C708CD">
        <w:fldChar w:fldCharType="end"/>
      </w:r>
      <w:r w:rsidRPr="00C708CD">
        <w:t xml:space="preserve"> shows the </w:t>
      </w:r>
      <w:r w:rsidRPr="00C708CD">
        <w:rPr>
          <w:rStyle w:val="AERbody"/>
        </w:rPr>
        <w:t xml:space="preserve">efficiency scores </w:t>
      </w:r>
      <w:r>
        <w:rPr>
          <w:rStyle w:val="AERbody"/>
        </w:rPr>
        <w:t xml:space="preserve">using our SFA model </w:t>
      </w:r>
      <w:r w:rsidRPr="00C708CD">
        <w:rPr>
          <w:rStyle w:val="AERbody"/>
        </w:rPr>
        <w:t xml:space="preserve">for the NSW </w:t>
      </w:r>
      <w:r>
        <w:rPr>
          <w:rStyle w:val="AERbody"/>
        </w:rPr>
        <w:t xml:space="preserve">service providers </w:t>
      </w:r>
      <w:r w:rsidRPr="00C708CD">
        <w:rPr>
          <w:rStyle w:val="AERbody"/>
        </w:rPr>
        <w:t xml:space="preserve">compared to the modified benchmark comparison point, represented by the red line (AusNet Services). The blue line represents the frontier </w:t>
      </w:r>
      <w:r>
        <w:rPr>
          <w:rStyle w:val="AERbody"/>
        </w:rPr>
        <w:t xml:space="preserve">firm </w:t>
      </w:r>
      <w:r w:rsidRPr="00C708CD">
        <w:rPr>
          <w:rStyle w:val="AERbody"/>
        </w:rPr>
        <w:t>(CitiPower).</w:t>
      </w:r>
    </w:p>
    <w:p w:rsidR="00051BDB" w:rsidRDefault="00051BDB" w:rsidP="00051BDB">
      <w:pPr>
        <w:pStyle w:val="Caption"/>
        <w:numPr>
          <w:ilvl w:val="0"/>
          <w:numId w:val="24"/>
        </w:numPr>
      </w:pPr>
      <w:r w:rsidRPr="008E211C">
        <w:lastRenderedPageBreak/>
        <w:t xml:space="preserve">Figure </w:t>
      </w:r>
      <w:fldSimple w:instr=" STYLEREF 7 \s ">
        <w:r w:rsidR="00C74791">
          <w:rPr>
            <w:noProof/>
          </w:rPr>
          <w:t>A</w:t>
        </w:r>
      </w:fldSimple>
      <w:r w:rsidR="00A409CB">
        <w:t>.</w:t>
      </w:r>
      <w:fldSimple w:instr=" SEQ AFigure \* ARABIC \s 7 ">
        <w:r w:rsidR="00C74791">
          <w:rPr>
            <w:noProof/>
          </w:rPr>
          <w:t>4</w:t>
        </w:r>
      </w:fldSimple>
      <w:r w:rsidRPr="008E211C">
        <w:tab/>
      </w:r>
      <w:r>
        <w:t>Comparison of raw SFA efficiency scores to the revised benchmark comparison point, adjusted for operating environment factors</w:t>
      </w:r>
    </w:p>
    <w:p w:rsidR="00051BDB" w:rsidRPr="00C708CD" w:rsidRDefault="00051BDB" w:rsidP="00051BDB">
      <w:pPr>
        <w:pStyle w:val="ListParagraph"/>
        <w:numPr>
          <w:ilvl w:val="0"/>
          <w:numId w:val="24"/>
        </w:numPr>
      </w:pPr>
      <w:r w:rsidRPr="00051BDB">
        <w:rPr>
          <w:noProof/>
          <w:lang w:eastAsia="en-AU"/>
        </w:rPr>
        <w:drawing>
          <wp:inline distT="0" distB="0" distL="0" distR="0" wp14:anchorId="7F663A77" wp14:editId="0FDDDC59">
            <wp:extent cx="4980940" cy="2908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051BDB" w:rsidRDefault="00051BDB" w:rsidP="00051BDB">
      <w:pPr>
        <w:pStyle w:val="AERtablesource"/>
        <w:numPr>
          <w:ilvl w:val="0"/>
          <w:numId w:val="24"/>
        </w:numPr>
      </w:pPr>
      <w:r w:rsidRPr="00877DA3">
        <w:t xml:space="preserve">Source: </w:t>
      </w:r>
      <w:r>
        <w:tab/>
        <w:t>AER analysis.</w:t>
      </w:r>
    </w:p>
    <w:p w:rsidR="00051BDB" w:rsidRDefault="00051BDB" w:rsidP="00051BDB">
      <w:pPr>
        <w:pStyle w:val="AERtablesource"/>
      </w:pPr>
      <w:r>
        <w:t>Note:</w:t>
      </w:r>
      <w:r>
        <w:tab/>
        <w:t>(1)</w:t>
      </w:r>
      <w:r>
        <w:tab/>
        <w:t>The raw SFA efficiency scores displayed are</w:t>
      </w:r>
      <w:r w:rsidRPr="006C5941">
        <w:t xml:space="preserve"> 'roll</w:t>
      </w:r>
      <w:r>
        <w:t>ed</w:t>
      </w:r>
      <w:r w:rsidRPr="006C5941">
        <w:t xml:space="preserve"> forward' </w:t>
      </w:r>
      <w:r>
        <w:t xml:space="preserve">from a </w:t>
      </w:r>
      <w:r w:rsidRPr="006C5941">
        <w:t>period</w:t>
      </w:r>
      <w:r>
        <w:t>-average</w:t>
      </w:r>
      <w:r w:rsidRPr="006C5941">
        <w:t xml:space="preserve"> </w:t>
      </w:r>
      <w:r>
        <w:t xml:space="preserve">basis </w:t>
      </w:r>
      <w:r w:rsidRPr="006C5941">
        <w:t xml:space="preserve">(for 2006-2013) to the 2012–13 base year. We explain this </w:t>
      </w:r>
      <w:r>
        <w:t xml:space="preserve">in section </w:t>
      </w:r>
      <w:r>
        <w:fldChar w:fldCharType="begin"/>
      </w:r>
      <w:r>
        <w:instrText xml:space="preserve"> REF _Ref416803943 \n \h </w:instrText>
      </w:r>
      <w:r>
        <w:fldChar w:fldCharType="separate"/>
      </w:r>
      <w:r w:rsidR="00C74791">
        <w:t>A.7</w:t>
      </w:r>
      <w:r>
        <w:fldChar w:fldCharType="end"/>
      </w:r>
      <w:r w:rsidRPr="006C5941">
        <w:t xml:space="preserve"> in our discussion of the adjustment process.</w:t>
      </w:r>
    </w:p>
    <w:p w:rsidR="00051BDB" w:rsidRPr="00EF1A07" w:rsidRDefault="00051BDB" w:rsidP="00051BDB">
      <w:pPr>
        <w:pStyle w:val="AERtablesource"/>
      </w:pPr>
      <w:r>
        <w:tab/>
        <w:t>(2)</w:t>
      </w:r>
      <w:r>
        <w:tab/>
        <w:t>As explained above, o</w:t>
      </w:r>
      <w:r w:rsidRPr="00FA3D9C">
        <w:t>ur operating environment factor adjustments are percentage adjustment</w:t>
      </w:r>
      <w:r>
        <w:t>s</w:t>
      </w:r>
      <w:r w:rsidRPr="00FA3D9C">
        <w:t xml:space="preserve"> </w:t>
      </w:r>
      <w:r>
        <w:t xml:space="preserve">relative </w:t>
      </w:r>
      <w:r w:rsidRPr="00FA3D9C">
        <w:t xml:space="preserve">to the </w:t>
      </w:r>
      <w:r>
        <w:t>frontier</w:t>
      </w:r>
      <w:r w:rsidRPr="00FA3D9C">
        <w:t xml:space="preserve">. Therefore, the operating environment factor adjustments in </w:t>
      </w:r>
      <w:r w:rsidRPr="00C708CD">
        <w:fldChar w:fldCharType="begin"/>
      </w:r>
      <w:r w:rsidRPr="00C708CD">
        <w:instrText xml:space="preserve"> REF _Ref415557737 \h </w:instrText>
      </w:r>
      <w:r w:rsidRPr="00C708CD">
        <w:fldChar w:fldCharType="separate"/>
      </w:r>
      <w:r w:rsidR="00C74791" w:rsidRPr="006C5941">
        <w:t xml:space="preserve">Figure </w:t>
      </w:r>
      <w:r w:rsidR="00C74791">
        <w:rPr>
          <w:noProof/>
        </w:rPr>
        <w:t>A</w:t>
      </w:r>
      <w:r w:rsidR="00C74791">
        <w:t>.</w:t>
      </w:r>
      <w:r w:rsidR="00C74791">
        <w:rPr>
          <w:noProof/>
        </w:rPr>
        <w:t>29</w:t>
      </w:r>
      <w:r w:rsidRPr="00C708CD">
        <w:fldChar w:fldCharType="end"/>
      </w:r>
      <w:r w:rsidRPr="00FA3D9C">
        <w:t xml:space="preserve"> </w:t>
      </w:r>
      <w:r>
        <w:t xml:space="preserve">(in dark blue) </w:t>
      </w:r>
      <w:r w:rsidRPr="00FA3D9C">
        <w:t xml:space="preserve">will not reflect the </w:t>
      </w:r>
      <w:r>
        <w:t xml:space="preserve">absolute </w:t>
      </w:r>
      <w:r w:rsidRPr="00FA3D9C">
        <w:t xml:space="preserve">percentages </w:t>
      </w:r>
      <w:r>
        <w:t>(12% for Ausgrid and Endeavour Energy, 11% for Essential Energy)</w:t>
      </w:r>
      <w:r w:rsidRPr="00FA3D9C">
        <w:t xml:space="preserve">. </w:t>
      </w:r>
    </w:p>
    <w:p w:rsidR="00051BDB" w:rsidRDefault="00051BDB" w:rsidP="00051BDB">
      <w:pPr>
        <w:pStyle w:val="ListParagraph"/>
        <w:numPr>
          <w:ilvl w:val="0"/>
          <w:numId w:val="24"/>
        </w:numPr>
        <w:rPr>
          <w:rStyle w:val="AERbody"/>
        </w:rPr>
      </w:pPr>
      <w:r w:rsidRPr="00C708CD">
        <w:fldChar w:fldCharType="begin"/>
      </w:r>
      <w:r w:rsidRPr="00C708CD">
        <w:instrText xml:space="preserve"> REF _Ref415557737 \h  \* MERGEFORMAT </w:instrText>
      </w:r>
      <w:r w:rsidRPr="00C708CD">
        <w:fldChar w:fldCharType="separate"/>
      </w:r>
      <w:r w:rsidR="00C74791" w:rsidRPr="006C5941">
        <w:t xml:space="preserve">Figure </w:t>
      </w:r>
      <w:r w:rsidR="00C74791">
        <w:t>A.29</w:t>
      </w:r>
      <w:r w:rsidRPr="00C708CD">
        <w:fldChar w:fldCharType="end"/>
      </w:r>
      <w:r w:rsidRPr="00C708CD">
        <w:t xml:space="preserve"> demonstrates the </w:t>
      </w:r>
      <w:r>
        <w:t>difference</w:t>
      </w:r>
      <w:r w:rsidRPr="00C708CD">
        <w:t xml:space="preserve"> between the frontier </w:t>
      </w:r>
      <w:r>
        <w:t xml:space="preserve">firm </w:t>
      </w:r>
      <w:r w:rsidRPr="00C708CD">
        <w:t xml:space="preserve">and our modified benchmark comparison point. Due to the lower </w:t>
      </w:r>
      <w:r>
        <w:t>benchmark comparison point</w:t>
      </w:r>
      <w:r w:rsidRPr="00C708CD">
        <w:t>, Endeavour Energy</w:t>
      </w:r>
      <w:r>
        <w:t>'s result is</w:t>
      </w:r>
      <w:r w:rsidRPr="00C708CD">
        <w:t xml:space="preserve"> </w:t>
      </w:r>
      <w:r>
        <w:t xml:space="preserve">now </w:t>
      </w:r>
      <w:r>
        <w:rPr>
          <w:rStyle w:val="AERbody"/>
        </w:rPr>
        <w:t>above</w:t>
      </w:r>
      <w:r>
        <w:t xml:space="preserve"> it. This means we are able to rely on Endeavour Energy's revealed opex because it is not materially inefficient. However, </w:t>
      </w:r>
      <w:r w:rsidRPr="00300F80">
        <w:fldChar w:fldCharType="begin"/>
      </w:r>
      <w:r w:rsidRPr="00300F80">
        <w:instrText xml:space="preserve"> REF _Ref415557737 \h  \* MERGEFORMAT </w:instrText>
      </w:r>
      <w:r w:rsidRPr="00300F80">
        <w:fldChar w:fldCharType="separate"/>
      </w:r>
      <w:r w:rsidR="00C74791" w:rsidRPr="006C5941">
        <w:t xml:space="preserve">Figure </w:t>
      </w:r>
      <w:r w:rsidR="00C74791">
        <w:t>A.29</w:t>
      </w:r>
      <w:r w:rsidRPr="00300F80">
        <w:fldChar w:fldCharType="end"/>
      </w:r>
      <w:r>
        <w:t xml:space="preserve"> </w:t>
      </w:r>
      <w:r w:rsidRPr="00300F80">
        <w:rPr>
          <w:rStyle w:val="AERbody"/>
        </w:rPr>
        <w:t xml:space="preserve">also shows that Endeavour Energy is still inefficient when compared to the frontier. </w:t>
      </w:r>
    </w:p>
    <w:p w:rsidR="00051BDB" w:rsidRPr="00C708CD" w:rsidRDefault="00051BDB" w:rsidP="00051BDB">
      <w:pPr>
        <w:pStyle w:val="ListParagraph"/>
        <w:numPr>
          <w:ilvl w:val="0"/>
          <w:numId w:val="24"/>
        </w:numPr>
      </w:pPr>
      <w:r>
        <w:t xml:space="preserve">In addition, a substantial gap remains between Ausgrid's and Essential Energy's efficiency scores, adjusted for operating environment factors, and the benchmark comparison point. </w:t>
      </w:r>
      <w:r>
        <w:rPr>
          <w:rStyle w:val="AERbody"/>
        </w:rPr>
        <w:t xml:space="preserve">This is explained in more detail in section </w:t>
      </w:r>
      <w:r>
        <w:rPr>
          <w:rStyle w:val="AERbody"/>
        </w:rPr>
        <w:fldChar w:fldCharType="begin"/>
      </w:r>
      <w:r>
        <w:rPr>
          <w:rStyle w:val="AERbody"/>
        </w:rPr>
        <w:instrText xml:space="preserve"> REF _Ref415737208 \n \h </w:instrText>
      </w:r>
      <w:r>
        <w:rPr>
          <w:rStyle w:val="AERbody"/>
        </w:rPr>
      </w:r>
      <w:r>
        <w:rPr>
          <w:rStyle w:val="AERbody"/>
        </w:rPr>
        <w:fldChar w:fldCharType="separate"/>
      </w:r>
      <w:r w:rsidR="00C74791">
        <w:rPr>
          <w:rStyle w:val="AERbody"/>
        </w:rPr>
        <w:t>A.7</w:t>
      </w:r>
      <w:r>
        <w:rPr>
          <w:rStyle w:val="AERbody"/>
        </w:rPr>
        <w:fldChar w:fldCharType="end"/>
      </w:r>
      <w:r>
        <w:rPr>
          <w:rStyle w:val="AERbody"/>
        </w:rPr>
        <w:t>.</w:t>
      </w:r>
    </w:p>
    <w:p w:rsidR="00051BDB" w:rsidRPr="009757AB" w:rsidRDefault="00051BDB" w:rsidP="00051BDB">
      <w:pPr>
        <w:pStyle w:val="HeadingBoldItalic"/>
      </w:pPr>
      <w:r>
        <w:t>The adjustment process</w:t>
      </w:r>
    </w:p>
    <w:p w:rsidR="00051BDB" w:rsidRDefault="00051BDB" w:rsidP="00051BDB">
      <w:pPr>
        <w:pStyle w:val="ListParagraph"/>
        <w:numPr>
          <w:ilvl w:val="0"/>
          <w:numId w:val="24"/>
        </w:numPr>
      </w:pPr>
      <w:r w:rsidRPr="00C708CD">
        <w:t xml:space="preserve">The </w:t>
      </w:r>
      <w:r>
        <w:t>adjustment process</w:t>
      </w:r>
      <w:r w:rsidRPr="00C708CD">
        <w:t xml:space="preserve"> involves using the SFA model </w:t>
      </w:r>
      <w:r>
        <w:t xml:space="preserve">(our most robust benchmarking technique) </w:t>
      </w:r>
      <w:r w:rsidRPr="00C708CD">
        <w:t>to estimate average efficiency</w:t>
      </w:r>
      <w:r>
        <w:t xml:space="preserve"> over the 2006–13 period. W</w:t>
      </w:r>
      <w:r w:rsidRPr="00C708CD">
        <w:t xml:space="preserve">e </w:t>
      </w:r>
      <w:r>
        <w:t xml:space="preserve">then </w:t>
      </w:r>
      <w:r w:rsidRPr="00C708CD">
        <w:t xml:space="preserve">adjust </w:t>
      </w:r>
      <w:r>
        <w:t xml:space="preserve">the SFA results </w:t>
      </w:r>
      <w:r w:rsidRPr="00C708CD">
        <w:t xml:space="preserve">to take into account the reduced </w:t>
      </w:r>
      <w:r>
        <w:t>benchmark comparison point</w:t>
      </w:r>
      <w:r w:rsidRPr="00C708CD">
        <w:t xml:space="preserve"> and operating environment factor allowances </w:t>
      </w:r>
      <w:r>
        <w:t xml:space="preserve">that </w:t>
      </w:r>
      <w:r w:rsidRPr="00C708CD">
        <w:t xml:space="preserve">we discussed </w:t>
      </w:r>
      <w:r>
        <w:t>above</w:t>
      </w:r>
      <w:r w:rsidRPr="00C708CD">
        <w:t xml:space="preserve">. </w:t>
      </w:r>
      <w:r w:rsidRPr="00300F80">
        <w:t xml:space="preserve">Because we compare average efficiency, we must 'roll forward' the average efficient opex to the 2012–13 base year, because that is the relevant starting point for estimating total </w:t>
      </w:r>
      <w:r w:rsidRPr="00300F80">
        <w:lastRenderedPageBreak/>
        <w:t>forecast opex that reasonably reflects the opex criteria. We do this by applying the measured rate of change, which accounts for the difference between output, price and productivity in the 2012–13 base year and at the period average (2006 to 2013).</w:t>
      </w:r>
      <w:r w:rsidRPr="00300F80">
        <w:rPr>
          <w:rStyle w:val="FootnoteReference"/>
        </w:rPr>
        <w:footnoteReference w:id="129"/>
      </w:r>
    </w:p>
    <w:p w:rsidR="00051BDB" w:rsidRPr="00C708CD" w:rsidRDefault="00051BDB" w:rsidP="00051BDB">
      <w:pPr>
        <w:pStyle w:val="ListParagraph"/>
        <w:numPr>
          <w:ilvl w:val="0"/>
          <w:numId w:val="24"/>
        </w:numPr>
      </w:pPr>
      <w:r>
        <w:t xml:space="preserve">A key </w:t>
      </w:r>
      <w:r w:rsidRPr="00C708CD">
        <w:t xml:space="preserve">reason we use average period efficiency scores is because they reduce the impact of year–specific fluctuations not under the control of the </w:t>
      </w:r>
      <w:r>
        <w:t>service provider</w:t>
      </w:r>
      <w:r w:rsidRPr="00C708CD">
        <w:t xml:space="preserve"> (such as weather conditions). Given the sample period is only eight years, Economic Insights considers the average is sufficiently recent to avoid potential loss of current relevance.</w:t>
      </w:r>
      <w:r w:rsidRPr="00C708CD">
        <w:rPr>
          <w:rStyle w:val="FootnoteReference"/>
        </w:rPr>
        <w:footnoteReference w:id="130"/>
      </w:r>
    </w:p>
    <w:p w:rsidR="00051BDB" w:rsidRDefault="00051BDB" w:rsidP="00051BDB">
      <w:pPr>
        <w:pStyle w:val="ListParagraph"/>
        <w:numPr>
          <w:ilvl w:val="0"/>
          <w:numId w:val="24"/>
        </w:numPr>
      </w:pPr>
      <w:r w:rsidRPr="00C708CD">
        <w:t xml:space="preserve">Average efficiency results also provide us with an estimate of underlying recurrent expenditure not influenced by year on year changes, which we require for </w:t>
      </w:r>
      <w:r>
        <w:t>the Guideline</w:t>
      </w:r>
      <w:r w:rsidRPr="00C708CD">
        <w:t xml:space="preserve"> approach to estimating total forecast opex. </w:t>
      </w:r>
    </w:p>
    <w:p w:rsidR="00051BDB" w:rsidRPr="00C708CD" w:rsidRDefault="00051BDB" w:rsidP="00051BDB">
      <w:pPr>
        <w:pStyle w:val="ListParagraph"/>
        <w:numPr>
          <w:ilvl w:val="0"/>
          <w:numId w:val="24"/>
        </w:numPr>
      </w:pPr>
      <w:r>
        <w:t xml:space="preserve">We discuss our adjustment in detail in section </w:t>
      </w:r>
      <w:r>
        <w:rPr>
          <w:rStyle w:val="AERbody"/>
        </w:rPr>
        <w:fldChar w:fldCharType="begin"/>
      </w:r>
      <w:r>
        <w:rPr>
          <w:rStyle w:val="AERbody"/>
        </w:rPr>
        <w:instrText xml:space="preserve"> REF _Ref415737208 \n \h </w:instrText>
      </w:r>
      <w:r>
        <w:rPr>
          <w:rStyle w:val="AERbody"/>
        </w:rPr>
      </w:r>
      <w:r>
        <w:rPr>
          <w:rStyle w:val="AERbody"/>
        </w:rPr>
        <w:fldChar w:fldCharType="separate"/>
      </w:r>
      <w:r w:rsidR="00C74791">
        <w:rPr>
          <w:rStyle w:val="AERbody"/>
        </w:rPr>
        <w:t>A.7</w:t>
      </w:r>
      <w:r>
        <w:rPr>
          <w:rStyle w:val="AERbody"/>
        </w:rPr>
        <w:fldChar w:fldCharType="end"/>
      </w:r>
      <w:r>
        <w:t>.</w:t>
      </w:r>
    </w:p>
    <w:p w:rsidR="00051BDB" w:rsidRDefault="00051BDB" w:rsidP="00051BDB">
      <w:pPr>
        <w:pStyle w:val="Heading9"/>
      </w:pPr>
      <w:bookmarkStart w:id="129" w:name="_Toc417719026"/>
      <w:r>
        <w:t>Summary</w:t>
      </w:r>
      <w:r w:rsidRPr="00144B9F">
        <w:t xml:space="preserve"> responses to the </w:t>
      </w:r>
      <w:r>
        <w:t>service provider</w:t>
      </w:r>
      <w:r w:rsidRPr="00144B9F">
        <w:t>s' submissions</w:t>
      </w:r>
      <w:bookmarkEnd w:id="129"/>
    </w:p>
    <w:p w:rsidR="00051BDB" w:rsidRDefault="00051BDB" w:rsidP="00051BDB">
      <w:pPr>
        <w:rPr>
          <w:rStyle w:val="AERbody"/>
        </w:rPr>
      </w:pPr>
      <w:r>
        <w:rPr>
          <w:rStyle w:val="AERbody"/>
        </w:rPr>
        <w:t>In their revised regulatory proposals, the service providers submitted a large amount of material commenting on our draft decision approach to assessing opex. Key submissions made by the service providers that are relevant to base year opex include:</w:t>
      </w:r>
    </w:p>
    <w:p w:rsidR="00051BDB" w:rsidRDefault="00051BDB" w:rsidP="00051BDB">
      <w:pPr>
        <w:pStyle w:val="AERbulletlistfirststyle"/>
        <w:rPr>
          <w:rStyle w:val="AERbody"/>
        </w:rPr>
      </w:pPr>
      <w:r>
        <w:rPr>
          <w:rStyle w:val="AERbody"/>
        </w:rPr>
        <w:t>our approach "placed unreasonable weight on…benchmarking results" and, therefore, is inconsistent with the NEL and the NER</w:t>
      </w:r>
    </w:p>
    <w:p w:rsidR="00051BDB" w:rsidRDefault="00051BDB" w:rsidP="00051BDB">
      <w:pPr>
        <w:pStyle w:val="AERbulletlistfirststyle"/>
        <w:rPr>
          <w:rStyle w:val="AERbody"/>
        </w:rPr>
      </w:pPr>
      <w:r>
        <w:rPr>
          <w:rStyle w:val="AERbody"/>
        </w:rPr>
        <w:t>our benchmarking is "fundamentally flawed" and not supported by our other assessment techniques</w:t>
      </w:r>
    </w:p>
    <w:p w:rsidR="00051BDB" w:rsidRDefault="00051BDB" w:rsidP="00051BDB">
      <w:pPr>
        <w:pStyle w:val="AERbulletlistfirststyle"/>
        <w:rPr>
          <w:rStyle w:val="AERbody"/>
        </w:rPr>
      </w:pPr>
      <w:r>
        <w:rPr>
          <w:rStyle w:val="AERbody"/>
        </w:rPr>
        <w:t>we did not adequately consider the service providers' regulatory proposals or their individual circumstances.</w:t>
      </w:r>
    </w:p>
    <w:p w:rsidR="00051BDB" w:rsidRDefault="00051BDB" w:rsidP="00051BDB">
      <w:r>
        <w:rPr>
          <w:rStyle w:val="AERbody"/>
        </w:rPr>
        <w:t>Throughout this appendix, we respond to the submissions put forward by the service providers and other stakeholders in the course of explaining our approach and findings. This section provides an overview of our response to the above three key submissions.</w:t>
      </w:r>
    </w:p>
    <w:p w:rsidR="00051BDB" w:rsidRDefault="00051BDB" w:rsidP="00051BDB">
      <w:pPr>
        <w:pStyle w:val="HeadingBoldBlue"/>
      </w:pPr>
      <w:r>
        <w:t>Reasonable weight placed on benchmarking</w:t>
      </w:r>
    </w:p>
    <w:p w:rsidR="00051BDB" w:rsidRDefault="00051BDB" w:rsidP="00051BDB">
      <w:r>
        <w:t xml:space="preserve">The service providers submit that </w:t>
      </w:r>
      <w:r w:rsidRPr="00196CC2">
        <w:t>our decision</w:t>
      </w:r>
      <w:r>
        <w:t>s</w:t>
      </w:r>
      <w:r w:rsidRPr="00196CC2">
        <w:t xml:space="preserve"> on forecast opex rel</w:t>
      </w:r>
      <w:r>
        <w:t>y</w:t>
      </w:r>
      <w:r w:rsidRPr="00196CC2">
        <w:t xml:space="preserve"> exclusively on benchmarking to both reject the companies' proposed forecast opex and as the basis for substituted opex. In so doing, </w:t>
      </w:r>
      <w:r>
        <w:t>the NSW service providers submit</w:t>
      </w:r>
      <w:r w:rsidRPr="00196CC2">
        <w:t xml:space="preserve"> that our draft </w:t>
      </w:r>
      <w:r w:rsidRPr="00196CC2">
        <w:lastRenderedPageBreak/>
        <w:t xml:space="preserve">decisions have not properly addressed the requirements of the </w:t>
      </w:r>
      <w:r>
        <w:t>opex</w:t>
      </w:r>
      <w:r w:rsidRPr="00196CC2">
        <w:t xml:space="preserve"> criteria, </w:t>
      </w:r>
      <w:r>
        <w:t>having regard</w:t>
      </w:r>
      <w:r w:rsidRPr="00196CC2">
        <w:t xml:space="preserve"> to the 11 opex factors under the NER.</w:t>
      </w:r>
      <w:r>
        <w:t xml:space="preserve"> Additionally, they consider t</w:t>
      </w:r>
      <w:r w:rsidRPr="009520B1">
        <w:t xml:space="preserve">he </w:t>
      </w:r>
      <w:r>
        <w:t xml:space="preserve">NER "seek </w:t>
      </w:r>
      <w:r w:rsidRPr="009520B1">
        <w:t>the AER to undertake a broader ex</w:t>
      </w:r>
      <w:r>
        <w:t>amination of a DNSP's proposal", but that we have not done this. This, they submit, amounts to effectively disregarding our 2009–14 distribution determination of efficient forecast opex.</w:t>
      </w:r>
      <w:r w:rsidRPr="002624A9">
        <w:rPr>
          <w:rStyle w:val="FootnoteReference"/>
        </w:rPr>
        <w:footnoteReference w:id="131"/>
      </w:r>
      <w:r>
        <w:t xml:space="preserve"> </w:t>
      </w:r>
    </w:p>
    <w:p w:rsidR="00051BDB" w:rsidRDefault="00051BDB" w:rsidP="00051BDB">
      <w:pPr>
        <w:rPr>
          <w:rStyle w:val="AERbody"/>
        </w:rPr>
      </w:pPr>
      <w:r>
        <w:t>We do not agree. As outlined in the Guideline, in our draft decisions and in this final decision, we have relied on</w:t>
      </w:r>
      <w:r>
        <w:rPr>
          <w:rStyle w:val="AERbody"/>
        </w:rPr>
        <w:t xml:space="preserve"> several assessment techniques, both quantitative and qualitative to assess the service providers' proposed forecast opex. In doing so, we have used the same techniques as the basis for determining substitute opex. W</w:t>
      </w:r>
      <w:r w:rsidRPr="00CD32CE">
        <w:rPr>
          <w:rStyle w:val="AERbody"/>
        </w:rPr>
        <w:t xml:space="preserve">e have used our discretion to give </w:t>
      </w:r>
      <w:r>
        <w:rPr>
          <w:rStyle w:val="AERbody"/>
        </w:rPr>
        <w:t>benchmarking</w:t>
      </w:r>
      <w:r w:rsidRPr="00CD32CE">
        <w:rPr>
          <w:rStyle w:val="AERbody"/>
        </w:rPr>
        <w:t xml:space="preserve"> prominent, but </w:t>
      </w:r>
      <w:r>
        <w:rPr>
          <w:rStyle w:val="AERbody"/>
        </w:rPr>
        <w:t>appropriate</w:t>
      </w:r>
      <w:r w:rsidRPr="00CD32CE">
        <w:rPr>
          <w:rStyle w:val="AERbody"/>
        </w:rPr>
        <w:t xml:space="preserve"> weight based </w:t>
      </w:r>
      <w:r>
        <w:rPr>
          <w:rStyle w:val="AERbody"/>
        </w:rPr>
        <w:t xml:space="preserve">on its robustness and utility. </w:t>
      </w:r>
    </w:p>
    <w:p w:rsidR="00051BDB" w:rsidRDefault="00051BDB" w:rsidP="00051BDB">
      <w:pPr>
        <w:rPr>
          <w:rStyle w:val="AERbody"/>
        </w:rPr>
      </w:pPr>
      <w:r>
        <w:rPr>
          <w:rStyle w:val="AERbody"/>
        </w:rPr>
        <w:t>We have assessed the service providers' proposals using the techniques outlined in the Guideline. We have engaged with the details of the service providers' proposals to the extent they are relevant to our assessment of base opex. They were the starting point for our assessment. Ultimately, however, we must form a view on the amount of a service provider's forecast, not the specific contents of the proposal.</w:t>
      </w:r>
      <w:r w:rsidRPr="00CF5BA9">
        <w:rPr>
          <w:rStyle w:val="FootnoteReference"/>
        </w:rPr>
        <w:footnoteReference w:id="132"/>
      </w:r>
    </w:p>
    <w:p w:rsidR="00051BDB" w:rsidRPr="00382272" w:rsidRDefault="00051BDB" w:rsidP="00051BDB">
      <w:r>
        <w:rPr>
          <w:rStyle w:val="AERbody"/>
        </w:rPr>
        <w:t>Further, since our 2009–14 determination, we have developed new techniques that give us better insight into assessing expenditure</w:t>
      </w:r>
      <w:r w:rsidRPr="002931D6">
        <w:rPr>
          <w:rStyle w:val="AERbody"/>
        </w:rPr>
        <w:t xml:space="preserve"> </w:t>
      </w:r>
      <w:r>
        <w:rPr>
          <w:rStyle w:val="AERbody"/>
        </w:rPr>
        <w:t xml:space="preserve">and have new information that we are able to take into account. </w:t>
      </w:r>
      <w:r w:rsidRPr="00382272">
        <w:t>All stakeholders should expect us to use new techniques and information when they become available.</w:t>
      </w:r>
      <w:r w:rsidRPr="00382272">
        <w:rPr>
          <w:rStyle w:val="FootnoteReference"/>
        </w:rPr>
        <w:footnoteReference w:id="133"/>
      </w:r>
      <w:r w:rsidRPr="00382272">
        <w:t xml:space="preserve"> </w:t>
      </w:r>
      <w:r>
        <w:t>This new information demonstrates that the service providers' revealed costs are inefficient. However, w</w:t>
      </w:r>
      <w:r w:rsidRPr="00382272">
        <w:t>e have not moved away from revealed costs</w:t>
      </w:r>
      <w:r>
        <w:t>—we use them when it is appropriate to do so</w:t>
      </w:r>
      <w:r w:rsidRPr="00382272">
        <w:t xml:space="preserve">. Rather, we have used new techniques to ensure that we are better able to make a decision that reasonably reflects the opex criteria for the future. Our approach represents a refinement of our longstanding approach to assessing opex. </w:t>
      </w:r>
    </w:p>
    <w:p w:rsidR="00051BDB" w:rsidRDefault="00051BDB" w:rsidP="00051BDB">
      <w:pPr>
        <w:rPr>
          <w:rStyle w:val="AERbody"/>
        </w:rPr>
      </w:pPr>
      <w:r>
        <w:rPr>
          <w:rStyle w:val="AERbody"/>
        </w:rPr>
        <w:t xml:space="preserve">We discuss these issues in detail in section </w:t>
      </w:r>
      <w:r>
        <w:rPr>
          <w:rStyle w:val="AERbody"/>
        </w:rPr>
        <w:fldChar w:fldCharType="begin"/>
      </w:r>
      <w:r>
        <w:rPr>
          <w:rStyle w:val="AERbody"/>
        </w:rPr>
        <w:instrText xml:space="preserve"> REF _Ref415580420 \n \h </w:instrText>
      </w:r>
      <w:r>
        <w:rPr>
          <w:rStyle w:val="AERbody"/>
        </w:rPr>
      </w:r>
      <w:r>
        <w:rPr>
          <w:rStyle w:val="AERbody"/>
        </w:rPr>
        <w:fldChar w:fldCharType="separate"/>
      </w:r>
      <w:r w:rsidR="00C74791">
        <w:rPr>
          <w:rStyle w:val="AERbody"/>
        </w:rPr>
        <w:t>A.3</w:t>
      </w:r>
      <w:r>
        <w:rPr>
          <w:rStyle w:val="AERbody"/>
        </w:rPr>
        <w:fldChar w:fldCharType="end"/>
      </w:r>
      <w:r>
        <w:rPr>
          <w:rStyle w:val="AERbody"/>
        </w:rPr>
        <w:t>.</w:t>
      </w:r>
    </w:p>
    <w:p w:rsidR="00051BDB" w:rsidRDefault="00051BDB" w:rsidP="00051BDB">
      <w:pPr>
        <w:pStyle w:val="HeadingBoldBlue"/>
      </w:pPr>
      <w:r>
        <w:t>Benchmarking is robust, reliable and reasonable</w:t>
      </w:r>
    </w:p>
    <w:p w:rsidR="00051BDB" w:rsidRDefault="00051BDB" w:rsidP="00051BDB">
      <w:r>
        <w:t>The service providers have all submitted (and used consultants to support their view) that our benchmarking is fundamentally flawed due to, for example:</w:t>
      </w:r>
      <w:r>
        <w:rPr>
          <w:rStyle w:val="FootnoteReference"/>
        </w:rPr>
        <w:footnoteReference w:id="134"/>
      </w:r>
    </w:p>
    <w:p w:rsidR="00051BDB" w:rsidRDefault="00051BDB" w:rsidP="00051BDB">
      <w:pPr>
        <w:pStyle w:val="AERbulletlistfirststyle"/>
      </w:pPr>
      <w:r>
        <w:t>conceptual limitations</w:t>
      </w:r>
    </w:p>
    <w:p w:rsidR="00051BDB" w:rsidRDefault="00051BDB" w:rsidP="00051BDB">
      <w:pPr>
        <w:pStyle w:val="AERbulletlistfirststyle"/>
      </w:pPr>
      <w:r>
        <w:lastRenderedPageBreak/>
        <w:t>variable selection</w:t>
      </w:r>
    </w:p>
    <w:p w:rsidR="00051BDB" w:rsidRDefault="00051BDB" w:rsidP="00051BDB">
      <w:pPr>
        <w:pStyle w:val="AERbulletlistfirststyle"/>
      </w:pPr>
      <w:r>
        <w:t>data comparability and reliability</w:t>
      </w:r>
    </w:p>
    <w:p w:rsidR="00051BDB" w:rsidRDefault="00051BDB" w:rsidP="00051BDB">
      <w:pPr>
        <w:pStyle w:val="AERbulletlistfirststyle"/>
      </w:pPr>
      <w:r>
        <w:t>lack of a reasonableness check.</w:t>
      </w:r>
    </w:p>
    <w:p w:rsidR="00051BDB" w:rsidRDefault="00051BDB" w:rsidP="00051BDB">
      <w:r>
        <w:t>Our view is that Economic Insights' benchmarking is robust and reliable. The model specification and estimation methods are superior to the alternatives proposed by the service providers and their consultants. In addition, the Australian data we are using are robust because we have gathered, tested and validated it over three years of consultation with service providers and other interested stakeholders. The international data Economic Insights has u</w:t>
      </w:r>
      <w:r w:rsidRPr="002E486C">
        <w:t xml:space="preserve">sed </w:t>
      </w:r>
      <w:r>
        <w:t xml:space="preserve">(to improve the precision of the models) has been used </w:t>
      </w:r>
      <w:r w:rsidRPr="002E486C">
        <w:t xml:space="preserve">by the electricity regulators in </w:t>
      </w:r>
      <w:r>
        <w:t xml:space="preserve">the respective jurisdictions in </w:t>
      </w:r>
      <w:r w:rsidRPr="002E486C">
        <w:t>recent regulatory decisions</w:t>
      </w:r>
      <w:r>
        <w:t>.</w:t>
      </w:r>
      <w:r>
        <w:rPr>
          <w:rStyle w:val="FootnoteReference"/>
        </w:rPr>
        <w:footnoteReference w:id="135"/>
      </w:r>
    </w:p>
    <w:p w:rsidR="00051BDB" w:rsidRDefault="00051BDB" w:rsidP="00051BDB">
      <w:r>
        <w:t>Economic Insights responds to the service providers' submissions in detail in its final decision report.</w:t>
      </w:r>
      <w:r>
        <w:rPr>
          <w:rStyle w:val="FootnoteReference"/>
        </w:rPr>
        <w:footnoteReference w:id="136"/>
      </w:r>
      <w:r>
        <w:t xml:space="preserve"> We also discuss this further in section </w:t>
      </w:r>
      <w:r>
        <w:fldChar w:fldCharType="begin"/>
      </w:r>
      <w:r>
        <w:instrText xml:space="preserve"> REF _Ref417551812 \n \h </w:instrText>
      </w:r>
      <w:r>
        <w:fldChar w:fldCharType="separate"/>
      </w:r>
      <w:r w:rsidR="00C74791">
        <w:t>A.4</w:t>
      </w:r>
      <w:r>
        <w:fldChar w:fldCharType="end"/>
      </w:r>
      <w:r>
        <w:t>.</w:t>
      </w:r>
    </w:p>
    <w:p w:rsidR="00051BDB" w:rsidRDefault="00051BDB" w:rsidP="00051BDB">
      <w:pPr>
        <w:pStyle w:val="HeadingBoldBlue"/>
      </w:pPr>
      <w:r>
        <w:t>Regulatory proposals and individual circumstances are considered</w:t>
      </w:r>
    </w:p>
    <w:p w:rsidR="00051BDB" w:rsidRDefault="00051BDB" w:rsidP="00051BDB">
      <w:r>
        <w:t>Broadly, the service providers submit that by relying on benchmarking as part of our assessment approach, we have:</w:t>
      </w:r>
      <w:r w:rsidR="00756041">
        <w:rPr>
          <w:rStyle w:val="FootnoteReference"/>
        </w:rPr>
        <w:footnoteReference w:id="137"/>
      </w:r>
    </w:p>
    <w:p w:rsidR="00051BDB" w:rsidRDefault="00051BDB" w:rsidP="00051BDB">
      <w:pPr>
        <w:pStyle w:val="AERbulletlistfirststyle"/>
      </w:pPr>
      <w:r>
        <w:t>not started our assessment with their regulatory proposals or examined which aspects of their proposals involve inefficient expenditure in any level of detail</w:t>
      </w:r>
    </w:p>
    <w:p w:rsidR="00051BDB" w:rsidRDefault="00051BDB" w:rsidP="00051BDB">
      <w:pPr>
        <w:pStyle w:val="AERbulletlistfirststyle"/>
      </w:pPr>
      <w:r>
        <w:t>failed to comply with the NER requirements to have regard to their individual circumstances.</w:t>
      </w:r>
    </w:p>
    <w:p w:rsidR="00051BDB" w:rsidRDefault="00051BDB" w:rsidP="00051BDB">
      <w:r>
        <w:t xml:space="preserve">Benchmarking is a tool we use to assess regulatory proposals. We also use it in setting a substitute forecast if we are not satisfied that a service provider's proposed forecast reasonably reflects the opex criteria. We have considered the service providers' proposals in significant detail in conducting our assessments.  We have conducted detailed reviews and analysed the service providers' forecasting approaches. We also have had regard to the service providers' individual circumstances through our review of operating environment factors (see section </w:t>
      </w:r>
      <w:r>
        <w:fldChar w:fldCharType="begin"/>
      </w:r>
      <w:r>
        <w:instrText xml:space="preserve"> REF _Ref417551822 \n \h </w:instrText>
      </w:r>
      <w:r>
        <w:fldChar w:fldCharType="separate"/>
      </w:r>
      <w:r w:rsidR="00C74791">
        <w:t>A.6</w:t>
      </w:r>
      <w:r>
        <w:fldChar w:fldCharType="end"/>
      </w:r>
      <w:r>
        <w:t xml:space="preserve">) to the extent required by the NER and in accordance with the intent of the AEMC. </w:t>
      </w:r>
    </w:p>
    <w:p w:rsidR="00051BDB" w:rsidRDefault="00051BDB" w:rsidP="00051BDB">
      <w:r>
        <w:t xml:space="preserve">We disagree with the service providers' view that the NER require us to consider their endogenous circumstances. The AEMC is clear that while exogenous circumstances </w:t>
      </w:r>
      <w:r>
        <w:lastRenderedPageBreak/>
        <w:t>are relevant and should be accounted for, endogenous circumstances should not be considered.</w:t>
      </w:r>
      <w:r w:rsidRPr="00E25EF6">
        <w:rPr>
          <w:rStyle w:val="FootnoteReference"/>
        </w:rPr>
        <w:t xml:space="preserve"> </w:t>
      </w:r>
      <w:r>
        <w:rPr>
          <w:rStyle w:val="FootnoteReference"/>
        </w:rPr>
        <w:footnoteReference w:id="138"/>
      </w:r>
    </w:p>
    <w:p w:rsidR="00051BDB" w:rsidRDefault="00051BDB" w:rsidP="00051BDB">
      <w:pPr>
        <w:rPr>
          <w:rStyle w:val="AERbody"/>
        </w:rPr>
      </w:pPr>
      <w:r>
        <w:rPr>
          <w:rStyle w:val="AERbody"/>
        </w:rPr>
        <w:t xml:space="preserve">We discuss these issues in detail in section </w:t>
      </w:r>
      <w:r>
        <w:rPr>
          <w:rStyle w:val="AERbody"/>
        </w:rPr>
        <w:fldChar w:fldCharType="begin"/>
      </w:r>
      <w:r>
        <w:rPr>
          <w:rStyle w:val="AERbody"/>
        </w:rPr>
        <w:instrText xml:space="preserve"> REF _Ref415580420 \n \h </w:instrText>
      </w:r>
      <w:r>
        <w:rPr>
          <w:rStyle w:val="AERbody"/>
        </w:rPr>
      </w:r>
      <w:r>
        <w:rPr>
          <w:rStyle w:val="AERbody"/>
        </w:rPr>
        <w:fldChar w:fldCharType="separate"/>
      </w:r>
      <w:r w:rsidR="00C74791">
        <w:rPr>
          <w:rStyle w:val="AERbody"/>
        </w:rPr>
        <w:t>A.3</w:t>
      </w:r>
      <w:r>
        <w:rPr>
          <w:rStyle w:val="AERbody"/>
        </w:rPr>
        <w:fldChar w:fldCharType="end"/>
      </w:r>
      <w:r>
        <w:rPr>
          <w:rStyle w:val="AERbody"/>
        </w:rPr>
        <w:t>.</w:t>
      </w:r>
    </w:p>
    <w:p w:rsidR="00051BDB" w:rsidRPr="00051BDB" w:rsidRDefault="00051BDB" w:rsidP="00051BDB">
      <w:bookmarkStart w:id="130" w:name="_Ref415580406"/>
      <w:r>
        <w:br w:type="page"/>
      </w:r>
    </w:p>
    <w:p w:rsidR="00051BDB" w:rsidRDefault="00051BDB" w:rsidP="00051BDB">
      <w:pPr>
        <w:pStyle w:val="Heading8"/>
      </w:pPr>
      <w:bookmarkStart w:id="131" w:name="_Ref417384454"/>
      <w:bookmarkStart w:id="132" w:name="_Toc417719027"/>
      <w:r w:rsidRPr="002E1808">
        <w:lastRenderedPageBreak/>
        <w:t>Ex ante incentive regulation and the role of benchmarking</w:t>
      </w:r>
      <w:bookmarkEnd w:id="121"/>
      <w:bookmarkEnd w:id="130"/>
      <w:bookmarkEnd w:id="131"/>
      <w:bookmarkEnd w:id="132"/>
    </w:p>
    <w:p w:rsidR="00051BDB" w:rsidRDefault="00051BDB" w:rsidP="00051BDB">
      <w:bookmarkStart w:id="133" w:name="_Toc415230976"/>
      <w:r>
        <w:t xml:space="preserve">In their revised proposals, </w:t>
      </w:r>
      <w:r w:rsidRPr="00EE2B04">
        <w:t xml:space="preserve">the </w:t>
      </w:r>
      <w:r>
        <w:t xml:space="preserve">network businesses </w:t>
      </w:r>
      <w:r w:rsidRPr="00EE2B04">
        <w:t>have questioned our approach and our interpretation of our role under the NEL and NER. This section explains ex ante regulation</w:t>
      </w:r>
      <w:r>
        <w:t>,</w:t>
      </w:r>
      <w:r w:rsidRPr="00EE2B04">
        <w:t xml:space="preserve"> and how our approach to benchmarking fits appropriately within </w:t>
      </w:r>
      <w:r>
        <w:t>the</w:t>
      </w:r>
      <w:r w:rsidRPr="00EE2B04">
        <w:t xml:space="preserve"> legal and regulatory framework.</w:t>
      </w:r>
      <w:r>
        <w:t xml:space="preserve"> </w:t>
      </w:r>
    </w:p>
    <w:p w:rsidR="00051BDB" w:rsidRPr="00C74791" w:rsidRDefault="00051BDB" w:rsidP="00051BDB">
      <w:pPr>
        <w:pStyle w:val="Heading9"/>
      </w:pPr>
      <w:bookmarkStart w:id="134" w:name="_Toc417719028"/>
      <w:r w:rsidRPr="00C74791">
        <w:t>Ex ante incentive regulation</w:t>
      </w:r>
      <w:bookmarkEnd w:id="134"/>
    </w:p>
    <w:p w:rsidR="00051BDB" w:rsidRDefault="00051BDB" w:rsidP="00051BDB">
      <w:r w:rsidRPr="00827780">
        <w:t>Network services are ‘natural’ monopolies</w:t>
      </w:r>
      <w:r>
        <w:t xml:space="preserve"> </w:t>
      </w:r>
      <w:r w:rsidRPr="00827780">
        <w:t>with little scope in any given location for a competitor to duplicate the network efficiently.</w:t>
      </w:r>
      <w:r>
        <w:rPr>
          <w:rStyle w:val="FootnoteReference"/>
        </w:rPr>
        <w:footnoteReference w:id="139"/>
      </w:r>
      <w:r w:rsidRPr="00827780">
        <w:t xml:space="preserve"> </w:t>
      </w:r>
      <w:r>
        <w:t>Monopoly businesses do</w:t>
      </w:r>
      <w:r w:rsidRPr="00727A4E">
        <w:t xml:space="preserve"> not have an incentive to set prices at an efficient level because there is</w:t>
      </w:r>
      <w:r>
        <w:t xml:space="preserve"> </w:t>
      </w:r>
      <w:r w:rsidRPr="00727A4E">
        <w:t>no com</w:t>
      </w:r>
      <w:r>
        <w:t>petitive discipline on their</w:t>
      </w:r>
      <w:r w:rsidRPr="00727A4E">
        <w:t xml:space="preserve"> decisions. </w:t>
      </w:r>
      <w:r>
        <w:t>They do</w:t>
      </w:r>
      <w:r w:rsidRPr="00727A4E">
        <w:t xml:space="preserve"> not need to consider</w:t>
      </w:r>
      <w:r>
        <w:t xml:space="preserve"> </w:t>
      </w:r>
      <w:r w:rsidRPr="00727A4E">
        <w:t xml:space="preserve">how and whether or not </w:t>
      </w:r>
      <w:r>
        <w:t>rivals</w:t>
      </w:r>
      <w:r w:rsidRPr="00727A4E">
        <w:t xml:space="preserve"> will respond to </w:t>
      </w:r>
      <w:r>
        <w:t>their</w:t>
      </w:r>
      <w:r w:rsidRPr="00727A4E">
        <w:t xml:space="preserve"> prices. </w:t>
      </w:r>
      <w:r>
        <w:t xml:space="preserve">Monopolies' </w:t>
      </w:r>
      <w:r w:rsidRPr="00727A4E">
        <w:t>profits depend</w:t>
      </w:r>
      <w:r>
        <w:t xml:space="preserve"> </w:t>
      </w:r>
      <w:r w:rsidRPr="00727A4E">
        <w:t xml:space="preserve">only on the behaviour of consumers, </w:t>
      </w:r>
      <w:r>
        <w:t>their</w:t>
      </w:r>
      <w:r w:rsidRPr="00727A4E">
        <w:t xml:space="preserve"> cost function</w:t>
      </w:r>
      <w:r>
        <w:t>s</w:t>
      </w:r>
      <w:r w:rsidRPr="00727A4E">
        <w:t xml:space="preserve">, and </w:t>
      </w:r>
      <w:r>
        <w:t>their</w:t>
      </w:r>
      <w:r w:rsidRPr="00727A4E">
        <w:t xml:space="preserve"> prices or the amount</w:t>
      </w:r>
      <w:r>
        <w:t xml:space="preserve"> supplied.</w:t>
      </w:r>
      <w:r>
        <w:rPr>
          <w:rStyle w:val="FootnoteReference"/>
        </w:rPr>
        <w:footnoteReference w:id="140"/>
      </w:r>
    </w:p>
    <w:p w:rsidR="00051BDB" w:rsidRDefault="00051BDB" w:rsidP="00051BDB">
      <w:r w:rsidRPr="00827780">
        <w:t xml:space="preserve">Without regulation, the resulting market power would lead to high prices and probably insufficient investment. Accordingly, </w:t>
      </w:r>
      <w:r>
        <w:t>we</w:t>
      </w:r>
      <w:r w:rsidRPr="00827780">
        <w:t xml:space="preserve"> must regulate the prices and other aspects of these services to ensure reliable and affordable electricity.</w:t>
      </w:r>
      <w:r>
        <w:rPr>
          <w:rStyle w:val="FootnoteReference"/>
        </w:rPr>
        <w:footnoteReference w:id="141"/>
      </w:r>
    </w:p>
    <w:p w:rsidR="00051BDB" w:rsidRDefault="00051BDB" w:rsidP="00051BDB">
      <w:r>
        <w:t>Information asymmetries make it difficult for the AER to accurately assess the efficiency of the network businesses’ proposals. We need to make judgements about ‘efficient’ costs.</w:t>
      </w:r>
      <w:r>
        <w:rPr>
          <w:rStyle w:val="FootnoteReference"/>
        </w:rPr>
        <w:footnoteReference w:id="142"/>
      </w:r>
      <w:r>
        <w:t xml:space="preserve"> </w:t>
      </w:r>
    </w:p>
    <w:p w:rsidR="00051BDB" w:rsidRDefault="00051BDB" w:rsidP="00051BDB">
      <w:r w:rsidRPr="00D51A06">
        <w:t>Incentive regulation is used to partially overcome information asymmetries</w:t>
      </w:r>
      <w:r>
        <w:t>. We apply incentive-based regulation across all energy networks we regulate—consistent with the NER.</w:t>
      </w:r>
      <w:r>
        <w:rPr>
          <w:rStyle w:val="FootnoteReference"/>
        </w:rPr>
        <w:footnoteReference w:id="143"/>
      </w:r>
      <w:r>
        <w:t xml:space="preserve"> This is a fundamental aspect of the regime. As stated by the AEMC:</w:t>
      </w:r>
    </w:p>
    <w:p w:rsidR="00051BDB" w:rsidRDefault="00051BDB" w:rsidP="00051BDB">
      <w:pPr>
        <w:pStyle w:val="AERquote"/>
      </w:pPr>
      <w:r>
        <w:t>Set out in Chapter 6 of the NER, the incentive regulation framework is designed to encourage distribution businesses to spend efficiently and to share the benefits of efficiency gains with consumers. Specifically, it is designed to encourage distribution businesses to make efficient decisions on when and what type of expenditure to incur in order to meet their network reliability, safety, security and quality requirements.</w:t>
      </w:r>
      <w:r>
        <w:rPr>
          <w:rStyle w:val="FootnoteReference"/>
        </w:rPr>
        <w:footnoteReference w:id="144"/>
      </w:r>
    </w:p>
    <w:p w:rsidR="00051BDB" w:rsidRDefault="00051BDB" w:rsidP="00051BDB">
      <w:r>
        <w:lastRenderedPageBreak/>
        <w:t>Broadly speaking, incentive regulation is designed to align the commercial goals of the business to the goals of society or, in the case of energy regulation, the NEO.</w:t>
      </w:r>
      <w:r>
        <w:rPr>
          <w:rStyle w:val="FootnoteReference"/>
        </w:rPr>
        <w:footnoteReference w:id="145"/>
      </w:r>
      <w:r>
        <w:t xml:space="preserve"> It relies on the principle</w:t>
      </w:r>
      <w:r w:rsidRPr="00A167AA">
        <w:t xml:space="preserve"> </w:t>
      </w:r>
      <w:r>
        <w:t>that the network businesses’ objective is to maximise profits.</w:t>
      </w:r>
      <w:r>
        <w:rPr>
          <w:rStyle w:val="FootnoteReference"/>
        </w:rPr>
        <w:footnoteReference w:id="146"/>
      </w:r>
      <w:r>
        <w:t xml:space="preserve"> Businesses that are able to improve their efficiency are rewarded with higher profits.</w:t>
      </w:r>
      <w:r>
        <w:rPr>
          <w:rStyle w:val="FootnoteReference"/>
        </w:rPr>
        <w:footnoteReference w:id="147"/>
      </w:r>
      <w:r>
        <w:t xml:space="preserve"> Businesses that allow their efficiency to deteriorate earn lower-than-expected profits. The actual revenue allowance set by the regulator should not influence the basic incentive of network businesses to minimise costs and, thereby, maximise profits.</w:t>
      </w:r>
    </w:p>
    <w:p w:rsidR="00051BDB" w:rsidRDefault="00051BDB" w:rsidP="00051BDB">
      <w:r w:rsidRPr="00A25048">
        <w:t>To elaborate, the regime requires the AER to forecast and lock-in opex at the start of each five-year regulatory period that an efficient and</w:t>
      </w:r>
      <w:r>
        <w:t xml:space="preserve"> prudent business would require.</w:t>
      </w:r>
      <w:r>
        <w:rPr>
          <w:rStyle w:val="FootnoteReference"/>
        </w:rPr>
        <w:footnoteReference w:id="148"/>
      </w:r>
      <w:r>
        <w:t xml:space="preserve"> The business</w:t>
      </w:r>
      <w:r w:rsidRPr="00A25048">
        <w:t xml:space="preserve"> </w:t>
      </w:r>
      <w:r>
        <w:t>is</w:t>
      </w:r>
      <w:r w:rsidRPr="00A25048">
        <w:t xml:space="preserve"> then given financial rewards when </w:t>
      </w:r>
      <w:r>
        <w:t>it</w:t>
      </w:r>
      <w:r w:rsidRPr="00A25048">
        <w:t xml:space="preserve"> improve</w:t>
      </w:r>
      <w:r>
        <w:t>s</w:t>
      </w:r>
      <w:r w:rsidRPr="00A25048">
        <w:t xml:space="preserve"> </w:t>
      </w:r>
      <w:r>
        <w:t xml:space="preserve">its </w:t>
      </w:r>
      <w:r w:rsidRPr="00A25048">
        <w:t>efficiency and spend</w:t>
      </w:r>
      <w:r>
        <w:t>s</w:t>
      </w:r>
      <w:r w:rsidRPr="00A25048">
        <w:t xml:space="preserve"> less than the forecast during the regulatory period—while maintaining or improving </w:t>
      </w:r>
      <w:r>
        <w:t>its</w:t>
      </w:r>
      <w:r w:rsidRPr="00A25048">
        <w:t xml:space="preserve"> service standards. If the business spends less than the forecast it will still earn revenue to cover the total forecast amount. Hence it can ‘keep the difference’ between the forecast and its actual expenditure until the end of the regulatory control period. Conversely, if its spending exceeds the forecast, it must carry the difference itself until the end of the period.</w:t>
      </w:r>
    </w:p>
    <w:p w:rsidR="00051BDB" w:rsidRDefault="00051BDB" w:rsidP="00051BDB">
      <w:r>
        <w:t>Over time, incentive regulation should in theory allow the regulator to use the information revealed by businesses to develop better forecasts of efficient expenditure—consistent with the opex criteria. This will reduce the scope for the businesses to earn excessive rents and allow the regulator to apply stronger incentives for further cost reduction.</w:t>
      </w:r>
      <w:r>
        <w:rPr>
          <w:rStyle w:val="FootnoteReference"/>
        </w:rPr>
        <w:footnoteReference w:id="149"/>
      </w:r>
    </w:p>
    <w:p w:rsidR="00051BDB" w:rsidRDefault="00051BDB" w:rsidP="00051BDB">
      <w:r>
        <w:t>However, using a network business’ past information to set future targets can reduce the incentives of the business to lower costs since the business knows that any cut in its expenditure will decrease its revenue allowance in the future. Although t</w:t>
      </w:r>
      <w:r w:rsidRPr="00E66DCC">
        <w:t xml:space="preserve">he current regulatory approach allows the business to retain the benefit of </w:t>
      </w:r>
      <w:r>
        <w:t xml:space="preserve">any </w:t>
      </w:r>
      <w:r w:rsidRPr="00E66DCC">
        <w:t>reduction</w:t>
      </w:r>
      <w:r>
        <w:t>s</w:t>
      </w:r>
      <w:r w:rsidRPr="00E66DCC">
        <w:t xml:space="preserve"> in expenditure for a period of time</w:t>
      </w:r>
      <w:r>
        <w:t>, setting the appropriate level of incentive is difficult as it involves judgments about businesses’ reactions to the incentive regime.</w:t>
      </w:r>
      <w:r>
        <w:rPr>
          <w:rStyle w:val="FootnoteReference"/>
        </w:rPr>
        <w:footnoteReference w:id="150"/>
      </w:r>
      <w:r>
        <w:t xml:space="preserve"> Moreover, the achievement of best-practice can be costly from the standpoint of managerial effort.</w:t>
      </w:r>
      <w:r>
        <w:rPr>
          <w:rStyle w:val="FootnoteReference"/>
        </w:rPr>
        <w:footnoteReference w:id="151"/>
      </w:r>
    </w:p>
    <w:p w:rsidR="00051BDB" w:rsidRDefault="00051BDB" w:rsidP="00051BDB">
      <w:r>
        <w:lastRenderedPageBreak/>
        <w:t>Therefore, the incentives created by the regime can be somewhat mixed.</w:t>
      </w:r>
      <w:r>
        <w:rPr>
          <w:rStyle w:val="FootnoteReference"/>
        </w:rPr>
        <w:footnoteReference w:id="152"/>
      </w:r>
      <w:r>
        <w:t xml:space="preserve"> But, a</w:t>
      </w:r>
      <w:r w:rsidRPr="00B41C66">
        <w:t xml:space="preserve">s a first principle, </w:t>
      </w:r>
      <w:r>
        <w:t>energy regulation in Australia is intended to</w:t>
      </w:r>
      <w:r w:rsidRPr="00B41C66">
        <w:t xml:space="preserve"> be incentive-based</w:t>
      </w:r>
      <w:r>
        <w:t xml:space="preserve"> </w:t>
      </w:r>
      <w:r w:rsidRPr="002258CF">
        <w:t>where possible</w:t>
      </w:r>
      <w:r w:rsidRPr="00B41C66">
        <w:t>.</w:t>
      </w:r>
      <w:r>
        <w:rPr>
          <w:rStyle w:val="FootnoteReference"/>
        </w:rPr>
        <w:footnoteReference w:id="153"/>
      </w:r>
      <w:r>
        <w:t xml:space="preserve"> This can be contrasted with a </w:t>
      </w:r>
      <w:r w:rsidRPr="00EF7C83">
        <w:t>pure</w:t>
      </w:r>
      <w:r>
        <w:t xml:space="preserve"> cost of service model.</w:t>
      </w:r>
    </w:p>
    <w:p w:rsidR="00051BDB" w:rsidRPr="00C74791" w:rsidRDefault="00051BDB" w:rsidP="00051BDB">
      <w:pPr>
        <w:pStyle w:val="Heading9"/>
      </w:pPr>
      <w:bookmarkStart w:id="135" w:name="_Toc414628194"/>
      <w:bookmarkStart w:id="136" w:name="_Toc417719029"/>
      <w:r w:rsidRPr="00C74791">
        <w:t>Contrast with a cost of service regime</w:t>
      </w:r>
      <w:bookmarkEnd w:id="135"/>
      <w:bookmarkEnd w:id="136"/>
    </w:p>
    <w:p w:rsidR="00051BDB" w:rsidRDefault="00051BDB" w:rsidP="00051BDB">
      <w:r>
        <w:t>Cost of service regulation, as its name implies, compensates businesses for the costs incurred to provide services. If a business reduces its costs, the benefits of cost efficiency accrue to consumers in the form of lower prices, not to the business as profits. On the other hand if costs increase then so do prices.</w:t>
      </w:r>
    </w:p>
    <w:p w:rsidR="00051BDB" w:rsidRDefault="00051BDB" w:rsidP="00051BDB">
      <w:r>
        <w:t xml:space="preserve">Cost of service regulation creates an environment that provides greater assurance to businesses that investments in sunk assets will be recovered. However, a </w:t>
      </w:r>
      <w:r w:rsidRPr="00B41C66">
        <w:t>pure</w:t>
      </w:r>
      <w:r>
        <w:t xml:space="preserve"> cost of service approach provides low-powered incentives for cost reductions because actual costs are fully passed through to consumers. Joskow states:</w:t>
      </w:r>
    </w:p>
    <w:p w:rsidR="00051BDB" w:rsidRDefault="00051BDB" w:rsidP="00051BDB">
      <w:pPr>
        <w:pStyle w:val="AERquote"/>
      </w:pPr>
      <w:r>
        <w:t xml:space="preserve">Since the regulator compensates the firm for all of its costs, there is no “rent” left to the firm as excess profits. This solves the adverse selection problem. However, this kind of cost of service recovery mechanism does not provide any incentives for the management to exert optimal (any) effort. If the firm’s profitability is not sensitive to managerial effort, the managers will exert the minimum effort that they can get away with. While there are no “excess profits” left on the table since revenues are equal to the actual costs the firm incurs, consumers are now paying higher prices than they would have to pay if the firm were better managed and some rent were left with the firm and its managers. </w:t>
      </w:r>
      <w:r>
        <w:rPr>
          <w:rStyle w:val="FootnoteReference"/>
        </w:rPr>
        <w:footnoteReference w:id="154"/>
      </w:r>
    </w:p>
    <w:p w:rsidR="00051BDB" w:rsidRDefault="00051BDB" w:rsidP="00051BDB">
      <w:r>
        <w:t xml:space="preserve">Such low-powered incentives created by a pure cost of service model are typically not observed in competitive markets. This is an important distinction between incentive and cost of service regulation. </w:t>
      </w:r>
    </w:p>
    <w:p w:rsidR="00051BDB" w:rsidRDefault="00051BDB" w:rsidP="00051BDB">
      <w:r>
        <w:t>In our view, the NEO and the supporting incentive-based regime seek to emulate workably competitive market outcomes.</w:t>
      </w:r>
      <w:r w:rsidRPr="00736C3D">
        <w:t xml:space="preserve"> </w:t>
      </w:r>
      <w:r>
        <w:t>Incentive regulation is designed to impose</w:t>
      </w:r>
      <w:r w:rsidRPr="00736C3D">
        <w:t xml:space="preserve"> the pressures of competition on natural monopolies</w:t>
      </w:r>
      <w:r>
        <w:t>.</w:t>
      </w:r>
      <w:r w:rsidRPr="00736C3D">
        <w:t xml:space="preserve"> </w:t>
      </w:r>
      <w:r>
        <w:t>The AEMC states:</w:t>
      </w:r>
    </w:p>
    <w:p w:rsidR="00051BDB" w:rsidRDefault="00051BDB" w:rsidP="00051BDB">
      <w:pPr>
        <w:pStyle w:val="AERquote"/>
      </w:pPr>
      <w:r>
        <w:t xml:space="preserve">The role of incentives in regulation can be traced to the fundamental objective of regulation. That is, to reproduce, to the extent possible, the production and </w:t>
      </w:r>
      <w:r>
        <w:lastRenderedPageBreak/>
        <w:t>pricing outcomes that would occur in a workably competitive market in circumstances where the development of a competitive market is not economically feasible.</w:t>
      </w:r>
      <w:r>
        <w:rPr>
          <w:rStyle w:val="FootnoteReference"/>
        </w:rPr>
        <w:footnoteReference w:id="155"/>
      </w:r>
    </w:p>
    <w:p w:rsidR="00051BDB" w:rsidRDefault="00051BDB" w:rsidP="00051BDB">
      <w:r>
        <w:t xml:space="preserve">Competition generally places downward pressure on prices and can act as an impetus for cost reductions and quality improvements. </w:t>
      </w:r>
      <w:r w:rsidRPr="00736C3D">
        <w:t xml:space="preserve">In a competitive market, </w:t>
      </w:r>
      <w:r>
        <w:t xml:space="preserve">businesses </w:t>
      </w:r>
      <w:r w:rsidRPr="00736C3D">
        <w:t>ha</w:t>
      </w:r>
      <w:r>
        <w:t>ve</w:t>
      </w:r>
      <w:r w:rsidRPr="00736C3D">
        <w:t xml:space="preserve"> a continuous incentive to respond to con</w:t>
      </w:r>
      <w:r>
        <w:t>sumer needs at the lowest cost to increase demand for their services and, thereby, maximise shareholder returns</w:t>
      </w:r>
      <w:r w:rsidRPr="00736C3D">
        <w:t>.</w:t>
      </w:r>
      <w:r>
        <w:rPr>
          <w:rStyle w:val="FootnoteReference"/>
        </w:rPr>
        <w:footnoteReference w:id="156"/>
      </w:r>
      <w:r w:rsidRPr="00736C3D">
        <w:t xml:space="preserve"> </w:t>
      </w:r>
      <w:r>
        <w:t>Businesses that are less efficient are unable to pass their full costs onto consumers and ultimately pay lower returns to their shareholders.</w:t>
      </w:r>
    </w:p>
    <w:p w:rsidR="00051BDB" w:rsidRDefault="00051BDB" w:rsidP="00051BDB">
      <w:r>
        <w:t>Consistent with competitive market outcomes, the AEMC considers shareholders, by seeking a commercial return on investment, create incentives within the business to encourage efficient outcomes.</w:t>
      </w:r>
      <w:r>
        <w:rPr>
          <w:rStyle w:val="FootnoteReference"/>
        </w:rPr>
        <w:footnoteReference w:id="157"/>
      </w:r>
      <w:r>
        <w:t xml:space="preserve"> Moreover, the AEMC finds that shareholders should ultimately bear the risk of business inefficiencies:</w:t>
      </w:r>
    </w:p>
    <w:p w:rsidR="00051BDB" w:rsidRDefault="00051BDB" w:rsidP="00051BDB">
      <w:pPr>
        <w:pStyle w:val="AERquote"/>
      </w:pPr>
      <w:r>
        <w:t>… the return on debt estimate should reflect the efficient financing costs of a benchmark efficient service provider. It should try to create an incentive for service providers to adopt efficient financing practices and minimise the risk of creating distortions in the service provider's investment decisions. If a service provider is run inefficiently then its shareholders, and not its customers, should bear the financial consequences of inefficient financing practices.</w:t>
      </w:r>
      <w:r>
        <w:rPr>
          <w:rStyle w:val="FootnoteReference"/>
        </w:rPr>
        <w:footnoteReference w:id="158"/>
      </w:r>
    </w:p>
    <w:p w:rsidR="00051BDB" w:rsidRDefault="00051BDB" w:rsidP="00051BDB">
      <w:r>
        <w:t>Although the AEMC is referring to return on debt in the above quote, the same principle applies to opex.</w:t>
      </w:r>
      <w:r w:rsidRPr="00F93739">
        <w:t xml:space="preserve"> </w:t>
      </w:r>
      <w:r>
        <w:t>R</w:t>
      </w:r>
      <w:r w:rsidRPr="00F93739">
        <w:t>isk should generally be borne by the part</w:t>
      </w:r>
      <w:r>
        <w:t>y</w:t>
      </w:r>
      <w:r w:rsidRPr="00F93739">
        <w:t xml:space="preserve"> that is best able to </w:t>
      </w:r>
      <w:r>
        <w:t xml:space="preserve">manage </w:t>
      </w:r>
      <w:r w:rsidRPr="00F93739">
        <w:t>it</w:t>
      </w:r>
      <w:r>
        <w:t>. Consumers of network energy services are not in a position to influence the network businesses strategy to manage opex, such as staffing decisions. And they do not have the choice of changing energy suppliers. Shifting the risk of business inefficiencies away from the managers and shareholders of the networks would create negative incentives:</w:t>
      </w:r>
    </w:p>
    <w:p w:rsidR="00051BDB" w:rsidRPr="00C72FC2" w:rsidRDefault="00051BDB" w:rsidP="00051BDB">
      <w:pPr>
        <w:pStyle w:val="AERquote"/>
      </w:pPr>
      <w:r w:rsidRPr="006D33EF">
        <w:t xml:space="preserve">It is also in present and future consumers’ interests that the regulatory framework does not provide excess returns, reward inefficiency or effectively </w:t>
      </w:r>
      <w:r>
        <w:t>‘</w:t>
      </w:r>
      <w:r w:rsidRPr="006D33EF">
        <w:t>bail out</w:t>
      </w:r>
      <w:r>
        <w:t>’</w:t>
      </w:r>
      <w:r w:rsidRPr="006D33EF">
        <w:t xml:space="preserve"> a network company that has encountered financial difficulty as a result of its own actions (or inaction); for example because of an inappropriate financial structure or poor management. To do so would weaken or even remove the disciplines that capital markets place on all companies, reducing or removing the effectiveness of the incentives we place on network companies under the regulatory regime to the detriment of consumers. The primary </w:t>
      </w:r>
      <w:r w:rsidRPr="006D33EF">
        <w:lastRenderedPageBreak/>
        <w:t>responsibility for the financial integrity of a network company lies firmly with that company’s management and owners.</w:t>
      </w:r>
      <w:r>
        <w:rPr>
          <w:rStyle w:val="FootnoteReference"/>
        </w:rPr>
        <w:footnoteReference w:id="159"/>
      </w:r>
    </w:p>
    <w:p w:rsidR="00051BDB" w:rsidRPr="00C74791" w:rsidRDefault="00051BDB" w:rsidP="00051BDB">
      <w:pPr>
        <w:pStyle w:val="Heading9"/>
      </w:pPr>
      <w:bookmarkStart w:id="137" w:name="_Toc414628195"/>
      <w:bookmarkStart w:id="138" w:name="_Toc417719030"/>
      <w:r w:rsidRPr="00C74791">
        <w:t>How benchmarking helps manage incomplete information about efficient costs</w:t>
      </w:r>
      <w:bookmarkEnd w:id="137"/>
      <w:bookmarkEnd w:id="138"/>
    </w:p>
    <w:p w:rsidR="00051BDB" w:rsidRPr="00EE2B04" w:rsidRDefault="00051BDB" w:rsidP="00051BDB">
      <w:r w:rsidRPr="007E78CA">
        <w:t>Incentive regulation relies on effective assessment tools to overcome information asymmetries. The 'revealed cost approach'</w:t>
      </w:r>
      <w:r>
        <w:t xml:space="preserve"> and benchmarking are our two main tools. </w:t>
      </w:r>
    </w:p>
    <w:p w:rsidR="00051BDB" w:rsidRDefault="00051BDB" w:rsidP="00051BDB">
      <w:r>
        <w:t xml:space="preserve">As outlined in the Guideline, the AER typically uses the ‘base-step-trend’ forecasting approach to assess most opex categories. That is, we: </w:t>
      </w:r>
    </w:p>
    <w:p w:rsidR="00051BDB" w:rsidRPr="00916D7C" w:rsidRDefault="00051BDB" w:rsidP="00051BDB">
      <w:pPr>
        <w:pStyle w:val="AERbulletlistfirststyle"/>
      </w:pPr>
      <w:r>
        <w:t>assess whether base opex reasonably reflects the opex criteria</w:t>
      </w:r>
    </w:p>
    <w:p w:rsidR="00051BDB" w:rsidRPr="00916D7C" w:rsidRDefault="00051BDB" w:rsidP="00051BDB">
      <w:pPr>
        <w:pStyle w:val="AERbulletlistfirststyle"/>
      </w:pPr>
      <w:r>
        <w:t xml:space="preserve">assess the prudency and efficiency of forecast cost increases or </w:t>
      </w:r>
      <w:r w:rsidRPr="00916D7C">
        <w:t>decreases associated with new regulatory obligations and capex/opex trade-offs (step changes)</w:t>
      </w:r>
    </w:p>
    <w:p w:rsidR="00051BDB" w:rsidRPr="00916D7C" w:rsidRDefault="00051BDB" w:rsidP="00051BDB">
      <w:pPr>
        <w:pStyle w:val="AERbulletlistfirststyle"/>
      </w:pPr>
      <w:r>
        <w:t>apply trend analysis to forecast future expenditure levels.</w:t>
      </w:r>
      <w:r w:rsidRPr="00916D7C">
        <w:rPr>
          <w:rStyle w:val="FootnoteReference"/>
        </w:rPr>
        <w:footnoteReference w:id="160"/>
      </w:r>
      <w:r w:rsidRPr="00916D7C">
        <w:t xml:space="preserve"> </w:t>
      </w:r>
    </w:p>
    <w:p w:rsidR="00051BDB" w:rsidRDefault="00051BDB" w:rsidP="00051BDB">
      <w:r>
        <w:t xml:space="preserve">The revealed cost approach is a way to determine an efficient base. It relies on the principle that </w:t>
      </w:r>
      <w:r w:rsidRPr="006E74C0">
        <w:t xml:space="preserve">the primary objective of a business is to maximise </w:t>
      </w:r>
      <w:r>
        <w:t>its</w:t>
      </w:r>
      <w:r w:rsidRPr="006E74C0">
        <w:t xml:space="preserve"> profits</w:t>
      </w:r>
      <w:r>
        <w:t xml:space="preserve">. The </w:t>
      </w:r>
      <w:r w:rsidRPr="00377C53">
        <w:t>regulatory framework allow</w:t>
      </w:r>
      <w:r>
        <w:t>s</w:t>
      </w:r>
      <w:r w:rsidRPr="00377C53">
        <w:t xml:space="preserve"> </w:t>
      </w:r>
      <w:r>
        <w:t xml:space="preserve">network </w:t>
      </w:r>
      <w:r w:rsidRPr="00377C53">
        <w:t>business</w:t>
      </w:r>
      <w:r>
        <w:t>es</w:t>
      </w:r>
      <w:r w:rsidRPr="00377C53">
        <w:t xml:space="preserve"> to keep the benefit of any cost </w:t>
      </w:r>
      <w:r>
        <w:t>reductions for a period of time (as discussed above).</w:t>
      </w:r>
      <w:r w:rsidRPr="00377C53">
        <w:t xml:space="preserve"> </w:t>
      </w:r>
      <w:r>
        <w:t>The AER may apply various incentive schemes, such as the EBSS in conjunction with the STPIS, to provide the business with a continuous incentive to improve its efficiency in supplying electricity services—while maintaining or improving service standards.</w:t>
      </w:r>
    </w:p>
    <w:p w:rsidR="00051BDB" w:rsidRDefault="00051BDB" w:rsidP="00051BDB">
      <w:r>
        <w:t>T</w:t>
      </w:r>
      <w:r w:rsidRPr="00377C53">
        <w:t xml:space="preserve">he drive to maximise </w:t>
      </w:r>
      <w:r>
        <w:t>shareholder returns should in theory push</w:t>
      </w:r>
      <w:r w:rsidRPr="00377C53">
        <w:t xml:space="preserve"> the </w:t>
      </w:r>
      <w:r>
        <w:t xml:space="preserve">businesses </w:t>
      </w:r>
      <w:r w:rsidRPr="00377C53">
        <w:t xml:space="preserve">to </w:t>
      </w:r>
      <w:r>
        <w:t>become more efficient and productive over time</w:t>
      </w:r>
      <w:r w:rsidRPr="00377C53">
        <w:t>.</w:t>
      </w:r>
      <w:r>
        <w:t xml:space="preserve"> Actual past expenditure should therefore be a good indicator of the efficient expenditure the business requires in the future.</w:t>
      </w:r>
    </w:p>
    <w:p w:rsidR="00051BDB" w:rsidRDefault="00051BDB" w:rsidP="00051BDB">
      <w:r>
        <w:t>So, where incentive regulation is effective, the revealed cost approach can at least partially overcome information asymmetries that exist between the business and relevant stakeholders about the efficient opex base. We prefer to use revealed (past actual) costs as the starting point for assessing and determining efficient forecasts.</w:t>
      </w:r>
      <w:r>
        <w:rPr>
          <w:rStyle w:val="FootnoteReference"/>
        </w:rPr>
        <w:footnoteReference w:id="161"/>
      </w:r>
      <w:r>
        <w:t xml:space="preserve"> It allows us to leave the minutiae of input and output decision-making to the businesses.</w:t>
      </w:r>
      <w:r>
        <w:rPr>
          <w:rStyle w:val="FootnoteReference"/>
        </w:rPr>
        <w:footnoteReference w:id="162"/>
      </w:r>
    </w:p>
    <w:p w:rsidR="00051BDB" w:rsidRDefault="00051BDB" w:rsidP="00051BDB">
      <w:r>
        <w:lastRenderedPageBreak/>
        <w:t>However, we cannot automatically assume the network businesses will respond to the efficiency incentives.</w:t>
      </w:r>
      <w:r>
        <w:rPr>
          <w:rStyle w:val="FootnoteReference"/>
        </w:rPr>
        <w:footnoteReference w:id="163"/>
      </w:r>
      <w:r>
        <w:t xml:space="preserve"> T</w:t>
      </w:r>
      <w:r w:rsidRPr="001C7285">
        <w:t xml:space="preserve">he </w:t>
      </w:r>
      <w:r>
        <w:t>businesses' objectives may not align with the incentives of the regime.</w:t>
      </w:r>
      <w:r>
        <w:rPr>
          <w:rStyle w:val="FootnoteReference"/>
        </w:rPr>
        <w:footnoteReference w:id="164"/>
      </w:r>
      <w:r>
        <w:t xml:space="preserve"> W</w:t>
      </w:r>
      <w:r w:rsidRPr="009C11C8">
        <w:t xml:space="preserve">e </w:t>
      </w:r>
      <w:r>
        <w:t xml:space="preserve">undertake an </w:t>
      </w:r>
      <w:r w:rsidRPr="009C11C8">
        <w:t>assess</w:t>
      </w:r>
      <w:r>
        <w:t>ment of</w:t>
      </w:r>
      <w:r w:rsidRPr="009C11C8">
        <w:t xml:space="preserve"> </w:t>
      </w:r>
      <w:r>
        <w:t>whether the</w:t>
      </w:r>
      <w:r w:rsidRPr="009C11C8">
        <w:t xml:space="preserve"> base year </w:t>
      </w:r>
      <w:r>
        <w:t>opex reasonably reflects the opex criteria</w:t>
      </w:r>
      <w:r w:rsidRPr="009C11C8">
        <w:t xml:space="preserve"> to determine if it is appropriate for us to rely on a </w:t>
      </w:r>
      <w:r>
        <w:t>business’</w:t>
      </w:r>
      <w:r w:rsidRPr="009C11C8">
        <w:t xml:space="preserve"> revealed costs</w:t>
      </w:r>
      <w:r>
        <w:t xml:space="preserve"> to forecast future expenditure needs</w:t>
      </w:r>
      <w:r w:rsidRPr="009C11C8">
        <w:t>.</w:t>
      </w:r>
      <w:r>
        <w:t xml:space="preserve"> </w:t>
      </w:r>
    </w:p>
    <w:p w:rsidR="00051BDB" w:rsidRDefault="00051BDB" w:rsidP="00051BDB">
      <w:r>
        <w:t>In recent years, w</w:t>
      </w:r>
      <w:r w:rsidRPr="00AB1048">
        <w:t xml:space="preserve">e </w:t>
      </w:r>
      <w:r>
        <w:t>have expanded</w:t>
      </w:r>
      <w:r w:rsidRPr="00AB1048">
        <w:t xml:space="preserve"> our regulatory toolkit to make greater use of </w:t>
      </w:r>
      <w:r w:rsidRPr="00FF0B17">
        <w:t>benchmarking</w:t>
      </w:r>
      <w:r>
        <w:t xml:space="preserve">, which </w:t>
      </w:r>
      <w:r w:rsidRPr="001177F3">
        <w:t>is a way of determining how well a network business is performing against its peers</w:t>
      </w:r>
      <w:r>
        <w:t xml:space="preserve"> and over time</w:t>
      </w:r>
      <w:r w:rsidRPr="001177F3">
        <w:t>, and provides valuable information on what is ‘best practice’</w:t>
      </w:r>
      <w:r>
        <w:t xml:space="preserve"> (see Box 1)</w:t>
      </w:r>
      <w:r w:rsidRPr="00FF0B17">
        <w:t>.</w:t>
      </w:r>
      <w:r>
        <w:t xml:space="preserve"> </w:t>
      </w:r>
      <w:r w:rsidRPr="00FF0B17">
        <w:t>Benchmarking</w:t>
      </w:r>
      <w:r>
        <w:t>:</w:t>
      </w:r>
      <w:r w:rsidRPr="00FF0B17">
        <w:t xml:space="preserve"> </w:t>
      </w:r>
    </w:p>
    <w:p w:rsidR="00051BDB" w:rsidRPr="002258CF" w:rsidRDefault="00051BDB" w:rsidP="00051BDB">
      <w:pPr>
        <w:pStyle w:val="AERbulletlistfirststyle"/>
      </w:pPr>
      <w:r w:rsidRPr="00FF0B17">
        <w:t>improves the effectiveness of the regulatory process by enhancing the information available to us</w:t>
      </w:r>
    </w:p>
    <w:p w:rsidR="00051BDB" w:rsidRPr="002258CF" w:rsidRDefault="00051BDB" w:rsidP="00051BDB">
      <w:pPr>
        <w:pStyle w:val="AERbulletlistfirststyle"/>
      </w:pPr>
      <w:r>
        <w:t xml:space="preserve">gives us an alternative source of </w:t>
      </w:r>
      <w:r w:rsidRPr="002258CF">
        <w:t>comparative information about the costs of operating a business in the national electricity market to test the businesses’ proposals</w:t>
      </w:r>
    </w:p>
    <w:p w:rsidR="00051BDB" w:rsidRPr="002258CF" w:rsidRDefault="00051BDB" w:rsidP="00051BDB">
      <w:pPr>
        <w:pStyle w:val="AERbulletlistfirststyle"/>
      </w:pPr>
      <w:r>
        <w:t xml:space="preserve">allows us to </w:t>
      </w:r>
      <w:r w:rsidRPr="002258CF">
        <w:t>gain some insight into whether or not there are material inefficiencies in a business’ base opex and, therefore, represent a good basis for forecasting future opex</w:t>
      </w:r>
      <w:r>
        <w:t>.</w:t>
      </w:r>
      <w:r w:rsidRPr="002258CF">
        <w:t xml:space="preserve"> </w:t>
      </w:r>
    </w:p>
    <w:p w:rsidR="00051BDB" w:rsidRDefault="00051BDB" w:rsidP="00051BDB">
      <w:r>
        <w:t xml:space="preserve">We use benchmarking to </w:t>
      </w:r>
      <w:r w:rsidRPr="00827362">
        <w:t xml:space="preserve">investigate </w:t>
      </w:r>
      <w:r>
        <w:t>whether an adjustment to base opex is required—that is, we look for evidence of 'material inefficiencies' in a network business' base opex. If the business</w:t>
      </w:r>
      <w:r w:rsidRPr="00055237">
        <w:t xml:space="preserve"> is materially in</w:t>
      </w:r>
      <w:r>
        <w:t xml:space="preserve">efficient compared to its peers, </w:t>
      </w:r>
      <w:r w:rsidRPr="00055237">
        <w:t>the revealed cost approach may not be appropriat</w:t>
      </w:r>
      <w:r>
        <w:t>e.</w:t>
      </w:r>
      <w:r>
        <w:rPr>
          <w:rStyle w:val="FootnoteReference"/>
        </w:rPr>
        <w:footnoteReference w:id="165"/>
      </w:r>
      <w:r>
        <w:t xml:space="preserve"> Reliance on historic costs in these circumstances could yield an outcome inconsistent with the opex criteria and, more broadly, the NEO and RPPs which give effect to incentive regulation.</w:t>
      </w:r>
    </w:p>
    <w:p w:rsidR="00051BDB" w:rsidRPr="006A139D" w:rsidRDefault="00051BDB" w:rsidP="00051BDB">
      <w:pPr>
        <w:rPr>
          <w:rStyle w:val="Strong"/>
        </w:rPr>
      </w:pPr>
      <w:r>
        <w:rPr>
          <w:rStyle w:val="Strong"/>
        </w:rPr>
        <w:br w:type="page"/>
      </w:r>
    </w:p>
    <w:p w:rsidR="00051BDB" w:rsidRPr="00EE2B04" w:rsidRDefault="00051BDB" w:rsidP="00051BDB">
      <w:pPr>
        <w:pStyle w:val="AERrevisionbox"/>
        <w:rPr>
          <w:rStyle w:val="Strong"/>
        </w:rPr>
      </w:pPr>
      <w:r w:rsidRPr="00EE2B04">
        <w:rPr>
          <w:rStyle w:val="Strong"/>
        </w:rPr>
        <w:lastRenderedPageBreak/>
        <w:t xml:space="preserve">Box </w:t>
      </w:r>
      <w:r>
        <w:rPr>
          <w:rStyle w:val="Strong"/>
        </w:rPr>
        <w:t>1</w:t>
      </w:r>
      <w:r w:rsidRPr="00EE2B04">
        <w:rPr>
          <w:rStyle w:val="Strong"/>
        </w:rPr>
        <w:t xml:space="preserve"> AER benchmarking </w:t>
      </w:r>
      <w:r>
        <w:rPr>
          <w:rStyle w:val="Strong"/>
        </w:rPr>
        <w:t>techniques</w:t>
      </w:r>
    </w:p>
    <w:p w:rsidR="00051BDB" w:rsidRPr="00EE2B04" w:rsidRDefault="00051BDB" w:rsidP="00051BDB">
      <w:pPr>
        <w:pStyle w:val="AERrevisionbox"/>
        <w:rPr>
          <w:rStyle w:val="AERtextsize10"/>
        </w:rPr>
      </w:pPr>
      <w:r w:rsidRPr="006F089F">
        <w:rPr>
          <w:rStyle w:val="AERtextsize10"/>
        </w:rPr>
        <w:t>Benchmarking is just one way of assessing whether a business’ expenditure proposal is efficient.</w:t>
      </w:r>
      <w:r w:rsidRPr="00EE2B04">
        <w:rPr>
          <w:rStyle w:val="AERsuperscript"/>
        </w:rPr>
        <w:footnoteReference w:id="166"/>
      </w:r>
      <w:r w:rsidRPr="00EE2B04">
        <w:rPr>
          <w:rStyle w:val="AERsuperscript"/>
        </w:rPr>
        <w:t xml:space="preserve"> </w:t>
      </w:r>
      <w:r w:rsidRPr="00EE2B04">
        <w:rPr>
          <w:rStyle w:val="AERtextsize10"/>
        </w:rPr>
        <w:t>We use multiple benchmarking techniques to inform our assessment of efficient opex. This includes ‘economic benchmarking’, partial performance indicator</w:t>
      </w:r>
      <w:r>
        <w:rPr>
          <w:rStyle w:val="AERtextsize10"/>
        </w:rPr>
        <w:t xml:space="preserve">s and category-based techniques. In addition, we undertake </w:t>
      </w:r>
      <w:r w:rsidRPr="00EE2B04">
        <w:rPr>
          <w:rStyle w:val="AERtextsize10"/>
        </w:rPr>
        <w:t>detailed review</w:t>
      </w:r>
      <w:r>
        <w:rPr>
          <w:rStyle w:val="AERtextsize10"/>
        </w:rPr>
        <w:t>s</w:t>
      </w:r>
      <w:r w:rsidRPr="00EE2B04">
        <w:rPr>
          <w:rStyle w:val="AERtextsize10"/>
        </w:rPr>
        <w:t xml:space="preserve"> to investigate the drivers of, or potential explanations for, high expenditure indicators. </w:t>
      </w:r>
    </w:p>
    <w:p w:rsidR="00051BDB" w:rsidRPr="006F089F" w:rsidRDefault="00051BDB" w:rsidP="00051BDB">
      <w:pPr>
        <w:pStyle w:val="AERrevisionbox"/>
        <w:rPr>
          <w:rStyle w:val="AERtextsize10"/>
        </w:rPr>
      </w:pPr>
      <w:r>
        <w:rPr>
          <w:rStyle w:val="AERtextsize10"/>
        </w:rPr>
        <w:t>S</w:t>
      </w:r>
      <w:r w:rsidRPr="006F089F">
        <w:rPr>
          <w:rStyle w:val="AERtextsize10"/>
        </w:rPr>
        <w:t>pecifically, our consultant, Economic Insights used a stochastic frontier analysis (SFA) model to estimate efficient base year opex and calculate the trend in opex going forward. Economic Insights</w:t>
      </w:r>
      <w:r>
        <w:rPr>
          <w:rStyle w:val="AERtextsize10"/>
        </w:rPr>
        <w:t xml:space="preserve"> used</w:t>
      </w:r>
      <w:r w:rsidRPr="006F089F">
        <w:rPr>
          <w:rStyle w:val="AERtextsize10"/>
        </w:rPr>
        <w:t xml:space="preserve"> </w:t>
      </w:r>
      <w:r>
        <w:rPr>
          <w:rStyle w:val="AERtextsize10"/>
        </w:rPr>
        <w:t xml:space="preserve">two other econometric models as well as </w:t>
      </w:r>
      <w:r w:rsidRPr="006F089F">
        <w:rPr>
          <w:rStyle w:val="AERtextsize10"/>
        </w:rPr>
        <w:t>multilateral total factor productivity (MTFP) and multilateral partial factor productivity (MPFP)</w:t>
      </w:r>
      <w:r>
        <w:rPr>
          <w:rStyle w:val="AERtextsize10"/>
        </w:rPr>
        <w:t xml:space="preserve"> indexes</w:t>
      </w:r>
      <w:r w:rsidRPr="006F089F">
        <w:rPr>
          <w:rStyle w:val="AERtextsize10"/>
        </w:rPr>
        <w:t xml:space="preserve"> to cross-check the findings of the SFA model. Further, Economic Insights used international data to improve the robustness and precision of the models, but not to benchmark Australian networks against those operating overseas.</w:t>
      </w:r>
    </w:p>
    <w:p w:rsidR="00051BDB" w:rsidRPr="006F089F" w:rsidRDefault="00051BDB" w:rsidP="00051BDB">
      <w:pPr>
        <w:pStyle w:val="AERrevisionbox"/>
        <w:rPr>
          <w:rStyle w:val="AERtextitalic"/>
        </w:rPr>
      </w:pPr>
      <w:r w:rsidRPr="006F089F">
        <w:rPr>
          <w:rStyle w:val="AERtextitalic"/>
        </w:rPr>
        <w:t>Stochastic frontier analysis</w:t>
      </w:r>
    </w:p>
    <w:p w:rsidR="00051BDB" w:rsidRPr="006F089F" w:rsidRDefault="00051BDB" w:rsidP="00051BDB">
      <w:pPr>
        <w:pStyle w:val="AERrevisionbox"/>
        <w:rPr>
          <w:rStyle w:val="AERtextsize10"/>
        </w:rPr>
      </w:pPr>
      <w:r w:rsidRPr="006F089F">
        <w:rPr>
          <w:rStyle w:val="AERtextsize10"/>
        </w:rPr>
        <w:t xml:space="preserve">SFA is an extended econometric method that can be used in cost benchmarking analysis. SFA enables the estimation of a cost frontier, from which actual costs incurred by businesses can be compared. SFA is similar to other econometric cost models in that it specifies a </w:t>
      </w:r>
      <w:r>
        <w:rPr>
          <w:rStyle w:val="AERtextsize10"/>
        </w:rPr>
        <w:t>cost function</w:t>
      </w:r>
      <w:r w:rsidRPr="006F089F">
        <w:rPr>
          <w:rStyle w:val="AERtextsize10"/>
        </w:rPr>
        <w:t xml:space="preserve"> that relates costs to outputs, input prices, and environmental factors.  </w:t>
      </w:r>
    </w:p>
    <w:p w:rsidR="00051BDB" w:rsidRPr="006F089F" w:rsidRDefault="00051BDB" w:rsidP="00051BDB">
      <w:pPr>
        <w:pStyle w:val="AERrevisionbox"/>
        <w:rPr>
          <w:rStyle w:val="AERtextsize10"/>
        </w:rPr>
      </w:pPr>
      <w:r w:rsidRPr="006F089F">
        <w:rPr>
          <w:rStyle w:val="AERtextsize10"/>
        </w:rPr>
        <w:t xml:space="preserve">However, it differs from traditional econometric approaches in two main ways. First, SFA focuses on estimating the cost frontier representing the minimum costs (‘best practice’) rather than estimating the cost function representing the ‘average’ business. Second, SFA aims to separate the presence of random statistical noise from the estimation of inefficiency. SFA also has the advantage that it allows for economies and diseconomies of scale and can include environmental factors.  </w:t>
      </w:r>
    </w:p>
    <w:p w:rsidR="00051BDB" w:rsidRPr="00C74791" w:rsidRDefault="00051BDB" w:rsidP="00051BDB">
      <w:pPr>
        <w:pStyle w:val="Heading9"/>
      </w:pPr>
      <w:bookmarkStart w:id="139" w:name="_Toc417719031"/>
      <w:bookmarkStart w:id="140" w:name="_Toc414628196"/>
      <w:r w:rsidRPr="00C74791">
        <w:t>Benchmarking is part of the regulatory framework</w:t>
      </w:r>
      <w:bookmarkEnd w:id="139"/>
      <w:r w:rsidRPr="00C74791">
        <w:t xml:space="preserve"> </w:t>
      </w:r>
      <w:bookmarkEnd w:id="140"/>
    </w:p>
    <w:p w:rsidR="00051BDB" w:rsidRDefault="00051BDB" w:rsidP="00051BDB">
      <w:r>
        <w:t>The NER has always required us to have regard to b</w:t>
      </w:r>
      <w:r w:rsidRPr="00186556">
        <w:t xml:space="preserve">enchmark </w:t>
      </w:r>
      <w:r>
        <w:t xml:space="preserve">opex </w:t>
      </w:r>
      <w:r w:rsidRPr="00186556">
        <w:t xml:space="preserve">that would be incurred by an efficient </w:t>
      </w:r>
      <w:r>
        <w:t xml:space="preserve">network business (cl. 6.5.6(e)(4)). The AEMC’s November 2012 network regulation rule changes promote the AER’s use of benchmarking for assessing and determining opex </w:t>
      </w:r>
      <w:r w:rsidRPr="004B4FCE">
        <w:t xml:space="preserve">forecasts. The new </w:t>
      </w:r>
      <w:r w:rsidR="002B1A23">
        <w:t>NER</w:t>
      </w:r>
      <w:r w:rsidR="002B1A23" w:rsidRPr="004B4FCE">
        <w:t xml:space="preserve"> </w:t>
      </w:r>
      <w:r w:rsidRPr="004B4FCE">
        <w:t>stipulate that the AER will undertake and publish regular benchmarking reports</w:t>
      </w:r>
      <w:r>
        <w:t>, and that we must have regard to these reports in assessing whether networks’ proposed opex forecasts reasonably reflect the opex criteria. Further, the AEMC removed potential constraints in the NER on the way the AER may use benchmarking.</w:t>
      </w:r>
      <w:r>
        <w:rPr>
          <w:rStyle w:val="FootnoteReference"/>
        </w:rPr>
        <w:footnoteReference w:id="167"/>
      </w:r>
    </w:p>
    <w:p w:rsidR="00051BDB" w:rsidRDefault="00051BDB" w:rsidP="00051BDB">
      <w:r>
        <w:t>Benchmarking promotes t</w:t>
      </w:r>
      <w:r w:rsidRPr="00FD7D44">
        <w:t xml:space="preserve">he </w:t>
      </w:r>
      <w:r>
        <w:t xml:space="preserve">revenue and pricing principles (RPPs), which we are required to take into account when making our decisions. The principles include that a service provider should be provided with: (1) a reasonable opportunity to recover at </w:t>
      </w:r>
      <w:r>
        <w:lastRenderedPageBreak/>
        <w:t>least its efficient costs; and (2) effective</w:t>
      </w:r>
      <w:r w:rsidRPr="00FD7D44">
        <w:t xml:space="preserve"> incentives to promote economic efficiency</w:t>
      </w:r>
      <w:r>
        <w:t xml:space="preserve"> in the provision of its direct control services</w:t>
      </w:r>
      <w:r w:rsidRPr="00FD7D44">
        <w:t>.</w:t>
      </w:r>
      <w:r>
        <w:t xml:space="preserve"> </w:t>
      </w:r>
    </w:p>
    <w:p w:rsidR="00051BDB" w:rsidRDefault="00051BDB" w:rsidP="00051BDB">
      <w:r>
        <w:t xml:space="preserve">First, benchmarking allows us to more accurately assess whether networks’ proposed opex forecasts are efficient. It gives us an additional source of evidence about the networks’ performance. Indeed, </w:t>
      </w:r>
      <w:r w:rsidRPr="00CB2B6F">
        <w:t>the AEMC considered that benchmarking is a critical exercise in assessing the efficien</w:t>
      </w:r>
      <w:r>
        <w:t>t costs</w:t>
      </w:r>
      <w:r w:rsidRPr="00CB2B6F">
        <w:t xml:space="preserve"> of a network business and approving its opex </w:t>
      </w:r>
      <w:r>
        <w:t>forecast</w:t>
      </w:r>
      <w:r w:rsidRPr="00CB2B6F">
        <w:t>.</w:t>
      </w:r>
      <w:r>
        <w:rPr>
          <w:rStyle w:val="FootnoteReference"/>
        </w:rPr>
        <w:footnoteReference w:id="168"/>
      </w:r>
    </w:p>
    <w:p w:rsidR="00051BDB" w:rsidRDefault="00051BDB" w:rsidP="00051BDB">
      <w:r>
        <w:t xml:space="preserve">Our use of benchmarking may mean we forecast a business' future opex requirements at a lower level compared to its historical costs to reflect the opex criteria. A prudent operator would not discount the possibility that we could better detect inefficient costs over time. </w:t>
      </w:r>
      <w:r w:rsidRPr="00467779">
        <w:t xml:space="preserve">Each network knows that their </w:t>
      </w:r>
      <w:r>
        <w:t>revenue</w:t>
      </w:r>
      <w:r w:rsidRPr="00467779">
        <w:t xml:space="preserve"> allowance may be reduced if it is shown that other networks are operating more efficiently.</w:t>
      </w:r>
    </w:p>
    <w:p w:rsidR="00051BDB" w:rsidRDefault="00051BDB" w:rsidP="00051BDB">
      <w:r>
        <w:t xml:space="preserve">The revenue allowance determined by the AER </w:t>
      </w:r>
      <w:r w:rsidRPr="005F0449">
        <w:t>do</w:t>
      </w:r>
      <w:r>
        <w:t>es</w:t>
      </w:r>
      <w:r w:rsidRPr="005F0449">
        <w:t xml:space="preserve"> not set </w:t>
      </w:r>
      <w:r>
        <w:t>a business' actual</w:t>
      </w:r>
      <w:r w:rsidRPr="005F0449">
        <w:t xml:space="preserve"> operating budget. We predict the operating </w:t>
      </w:r>
      <w:r>
        <w:t>expenditure required for each network business acting as a prudent operator, incurring efficient costs. T</w:t>
      </w:r>
      <w:r w:rsidRPr="005F0449">
        <w:t xml:space="preserve">he business should attempt to outperform it. </w:t>
      </w:r>
      <w:r>
        <w:t>T</w:t>
      </w:r>
      <w:r w:rsidRPr="005F0449">
        <w:t xml:space="preserve">he business </w:t>
      </w:r>
      <w:r>
        <w:t>is expected to organise itself efficiently to make the most efficient use of its resources.</w:t>
      </w:r>
      <w:r>
        <w:rPr>
          <w:rStyle w:val="FootnoteReference"/>
        </w:rPr>
        <w:footnoteReference w:id="169"/>
      </w:r>
      <w:r>
        <w:t xml:space="preserve"> Management should attempt to minimise costs in an effort to maximise shareholder value.</w:t>
      </w:r>
    </w:p>
    <w:p w:rsidR="00051BDB" w:rsidRDefault="00051BDB" w:rsidP="00051BDB">
      <w:r>
        <w:t>That is, a prudent operator is expected to respond to the incentives of the regime—consistent with the NEO and competitive market outcomes.</w:t>
      </w:r>
      <w:r>
        <w:rPr>
          <w:rStyle w:val="FootnoteReference"/>
        </w:rPr>
        <w:footnoteReference w:id="170"/>
      </w:r>
      <w:r>
        <w:t xml:space="preserve"> The incentive regime is designed to provide the impetus for the business to deliver safe, reliable and secure services to its customers. </w:t>
      </w:r>
    </w:p>
    <w:p w:rsidR="00051BDB" w:rsidRDefault="00051BDB" w:rsidP="00051BDB">
      <w:r>
        <w:t>Second, energy regulation in Australia is intended to be incentive-based where possible. Benchmarking strengthens incentives for network businesses to minimise costs—it creates effective incentives to promote: efficient investment, the efficient provision of services and the efficient use of the distribution system, consistent with the NEO.</w:t>
      </w:r>
    </w:p>
    <w:p w:rsidR="00051BDB" w:rsidRDefault="00051BDB" w:rsidP="00051BDB">
      <w:r>
        <w:t>Benchmarking creates</w:t>
      </w:r>
      <w:r w:rsidRPr="001478A0">
        <w:t xml:space="preserve"> a form of competitive pressure on</w:t>
      </w:r>
      <w:r>
        <w:t xml:space="preserve"> the networks, whereby information about the relative performance of a business can be an important incentive for improvement.</w:t>
      </w:r>
      <w:r>
        <w:rPr>
          <w:rStyle w:val="FootnoteReference"/>
        </w:rPr>
        <w:footnoteReference w:id="171"/>
      </w:r>
      <w:r>
        <w:t xml:space="preserve"> Benchmarking is widely used by private sector firms to identify opportunities for operational efficiencies and other improvements.</w:t>
      </w:r>
    </w:p>
    <w:p w:rsidR="00051BDB" w:rsidRPr="000B6D10" w:rsidRDefault="00051BDB" w:rsidP="00051BDB">
      <w:pPr>
        <w:rPr>
          <w:rStyle w:val="Strong"/>
        </w:rPr>
      </w:pPr>
      <w:bookmarkStart w:id="141" w:name="_Toc414628197"/>
      <w:r>
        <w:rPr>
          <w:rStyle w:val="Strong"/>
        </w:rPr>
        <w:br w:type="page"/>
      </w:r>
    </w:p>
    <w:p w:rsidR="00051BDB" w:rsidRPr="00C74791" w:rsidRDefault="00051BDB" w:rsidP="00051BDB">
      <w:pPr>
        <w:pStyle w:val="Heading9"/>
      </w:pPr>
      <w:bookmarkStart w:id="142" w:name="_Toc417719032"/>
      <w:r w:rsidRPr="00C74791">
        <w:lastRenderedPageBreak/>
        <w:t>Benchmarking is a common regulatory tool</w:t>
      </w:r>
      <w:bookmarkEnd w:id="141"/>
      <w:bookmarkEnd w:id="142"/>
    </w:p>
    <w:p w:rsidR="00051BDB" w:rsidRDefault="00051BDB" w:rsidP="00051BDB">
      <w:r>
        <w:t>The use of benchmarking in economic regulation of energy networks is well-established. The AER/ACCC undertook</w:t>
      </w:r>
      <w:r w:rsidRPr="00B7571F">
        <w:t xml:space="preserve"> </w:t>
      </w:r>
      <w:r>
        <w:t xml:space="preserve">two studies in 2012 on how benchmarking is applied around the world. These studies cover </w:t>
      </w:r>
      <w:r w:rsidRPr="00F946D7">
        <w:t>the key methods, relevant literature and regulatory practices, as well as the major technical and implementation issues in benchmarking energy networks</w:t>
      </w:r>
      <w:r w:rsidRPr="00B7571F">
        <w:t>.</w:t>
      </w:r>
      <w:r>
        <w:rPr>
          <w:rStyle w:val="FootnoteReference"/>
        </w:rPr>
        <w:footnoteReference w:id="172"/>
      </w:r>
      <w:r>
        <w:rPr>
          <w:rStyle w:val="FootnoteReference"/>
        </w:rPr>
        <w:footnoteReference w:id="173"/>
      </w:r>
      <w:r w:rsidRPr="00B7571F">
        <w:t xml:space="preserve"> </w:t>
      </w:r>
      <w:r w:rsidRPr="00F946D7">
        <w:t xml:space="preserve">The </w:t>
      </w:r>
      <w:r>
        <w:t>studies carefully list</w:t>
      </w:r>
      <w:r w:rsidRPr="00F946D7">
        <w:t xml:space="preserve"> the advantages and disadvantages of each benchmarking method in the context of </w:t>
      </w:r>
      <w:r>
        <w:t xml:space="preserve">energy network </w:t>
      </w:r>
      <w:r w:rsidRPr="00F946D7">
        <w:t>regulation.</w:t>
      </w:r>
      <w:r>
        <w:t xml:space="preserve"> We </w:t>
      </w:r>
      <w:r w:rsidRPr="00B7571F">
        <w:t xml:space="preserve">also commissioned a thorough analysis of </w:t>
      </w:r>
      <w:r>
        <w:t xml:space="preserve">benchmarking </w:t>
      </w:r>
      <w:r w:rsidRPr="00B7571F">
        <w:t>approaches</w:t>
      </w:r>
      <w:r>
        <w:t xml:space="preserve"> in some European countries</w:t>
      </w:r>
      <w:r w:rsidRPr="00B7571F">
        <w:t>.</w:t>
      </w:r>
      <w:r>
        <w:rPr>
          <w:rStyle w:val="FootnoteReference"/>
        </w:rPr>
        <w:footnoteReference w:id="174"/>
      </w:r>
    </w:p>
    <w:p w:rsidR="00051BDB" w:rsidRDefault="00051BDB" w:rsidP="00051BDB">
      <w:r>
        <w:t>The Productivity Commission found utility regulators around the world use static (and dynamic) benchmarking to encourage regulated businesses to achieve the long-run efficiency outcomes of decentralised, workably competitive, markets.</w:t>
      </w:r>
      <w:r>
        <w:rPr>
          <w:rStyle w:val="FootnoteReference"/>
        </w:rPr>
        <w:footnoteReference w:id="175"/>
      </w:r>
      <w:r>
        <w:t xml:space="preserve"> Benchmarking has been used by:</w:t>
      </w:r>
    </w:p>
    <w:p w:rsidR="00051BDB" w:rsidRPr="000B527B" w:rsidRDefault="00051BDB" w:rsidP="00051BDB">
      <w:pPr>
        <w:pStyle w:val="AERbulletlistfirststyle"/>
      </w:pPr>
      <w:r>
        <w:t xml:space="preserve">Australian regulators, including state based electricity regulators </w:t>
      </w:r>
      <w:r w:rsidRPr="000B527B">
        <w:t>and the AER</w:t>
      </w:r>
    </w:p>
    <w:p w:rsidR="00051BDB" w:rsidRPr="000B527B" w:rsidRDefault="00051BDB" w:rsidP="00051BDB">
      <w:pPr>
        <w:pStyle w:val="AERbulletlistfirststyle"/>
      </w:pPr>
      <w:r>
        <w:t>international regulators such as OFGEM (United Kingdom), CER (Ireland), NZCC (New Zealand), and OEB (Ontario Canada)</w:t>
      </w:r>
      <w:r w:rsidRPr="000B527B">
        <w:t xml:space="preserve"> </w:t>
      </w:r>
    </w:p>
    <w:p w:rsidR="00051BDB" w:rsidRPr="000B527B" w:rsidRDefault="00051BDB" w:rsidP="00051BDB">
      <w:pPr>
        <w:pStyle w:val="AERbulletlistfirststyle"/>
      </w:pPr>
      <w:r>
        <w:t>various academics in the Australian, European, American and other contexts.</w:t>
      </w:r>
      <w:r w:rsidRPr="000B527B">
        <w:rPr>
          <w:rStyle w:val="FootnoteReference"/>
        </w:rPr>
        <w:footnoteReference w:id="176"/>
      </w:r>
    </w:p>
    <w:p w:rsidR="00051BDB" w:rsidRDefault="00051BDB" w:rsidP="00051BDB">
      <w:r>
        <w:t xml:space="preserve">Unlike some industries, electricity network distribution businesses are good candidates for benchmarking opex. </w:t>
      </w:r>
      <w:r w:rsidRPr="00484D0D">
        <w:t xml:space="preserve">All </w:t>
      </w:r>
      <w:r>
        <w:t xml:space="preserve">network businesses </w:t>
      </w:r>
      <w:r w:rsidRPr="00484D0D">
        <w:t xml:space="preserve">use </w:t>
      </w:r>
      <w:r>
        <w:t>a similar set of assets, such as poles, wires, transformers and</w:t>
      </w:r>
      <w:r w:rsidRPr="002F0A4E">
        <w:t xml:space="preserve"> cables</w:t>
      </w:r>
      <w:r>
        <w:t>,</w:t>
      </w:r>
      <w:r w:rsidRPr="00484D0D">
        <w:t xml:space="preserve"> to </w:t>
      </w:r>
      <w:r>
        <w:t>provide network services to customers</w:t>
      </w:r>
      <w:r w:rsidRPr="00484D0D">
        <w:t xml:space="preserve">. </w:t>
      </w:r>
      <w:r>
        <w:t xml:space="preserve">Indeed, Bain &amp; Company states '… </w:t>
      </w:r>
      <w:r w:rsidRPr="007C156B">
        <w:t>in some</w:t>
      </w:r>
      <w:r>
        <w:t xml:space="preserve"> </w:t>
      </w:r>
      <w:r w:rsidRPr="007C156B">
        <w:t>ways, utilities are one of the most straightforward industries</w:t>
      </w:r>
      <w:r>
        <w:t xml:space="preserve"> </w:t>
      </w:r>
      <w:r w:rsidRPr="007C156B">
        <w:t>to benchmark because they perform essentially the</w:t>
      </w:r>
      <w:r>
        <w:t xml:space="preserve"> </w:t>
      </w:r>
      <w:r w:rsidRPr="007C156B">
        <w:t>same tasks wherever they are.</w:t>
      </w:r>
      <w:r>
        <w:t>'</w:t>
      </w:r>
      <w:r>
        <w:rPr>
          <w:rStyle w:val="FootnoteReference"/>
        </w:rPr>
        <w:footnoteReference w:id="177"/>
      </w:r>
    </w:p>
    <w:p w:rsidR="00051BDB" w:rsidRDefault="00051BDB" w:rsidP="00051BDB">
      <w:r w:rsidRPr="00484D0D">
        <w:t>This commonality means that economic benchmarking of costs can be used to measu</w:t>
      </w:r>
      <w:r>
        <w:t>re the economic efficiency of a network</w:t>
      </w:r>
      <w:r w:rsidRPr="00484D0D">
        <w:t xml:space="preserve"> </w:t>
      </w:r>
      <w:r>
        <w:t xml:space="preserve">business </w:t>
      </w:r>
      <w:r w:rsidRPr="00484D0D">
        <w:t xml:space="preserve">by comparing its performance not only to other </w:t>
      </w:r>
      <w:r>
        <w:t xml:space="preserve">businesses, </w:t>
      </w:r>
      <w:r w:rsidRPr="00484D0D">
        <w:t>but also to its own past performance.</w:t>
      </w:r>
      <w:r>
        <w:rPr>
          <w:rStyle w:val="FootnoteReference"/>
        </w:rPr>
        <w:footnoteReference w:id="178"/>
      </w:r>
      <w:r w:rsidRPr="00484D0D">
        <w:t xml:space="preserve"> </w:t>
      </w:r>
      <w:r>
        <w:t xml:space="preserve">Historically, </w:t>
      </w:r>
      <w:r w:rsidRPr="00734722">
        <w:t xml:space="preserve">electricity distribution has </w:t>
      </w:r>
      <w:r>
        <w:t xml:space="preserve">exhibited </w:t>
      </w:r>
      <w:r w:rsidRPr="00734722">
        <w:t>low technology change in comparison to</w:t>
      </w:r>
      <w:r>
        <w:t>, for example,</w:t>
      </w:r>
      <w:r w:rsidRPr="00734722">
        <w:t xml:space="preserve"> communications where the pace of technology change is </w:t>
      </w:r>
      <w:r>
        <w:t>more dynamic</w:t>
      </w:r>
      <w:r w:rsidRPr="00734722">
        <w:t>.</w:t>
      </w:r>
      <w:r>
        <w:rPr>
          <w:rStyle w:val="FootnoteReference"/>
        </w:rPr>
        <w:footnoteReference w:id="179"/>
      </w:r>
    </w:p>
    <w:p w:rsidR="00051BDB" w:rsidRDefault="00051BDB" w:rsidP="00051BDB">
      <w:r w:rsidRPr="00484D0D">
        <w:t xml:space="preserve">However, it is important to recognise that </w:t>
      </w:r>
      <w:r>
        <w:t xml:space="preserve">network businesses </w:t>
      </w:r>
      <w:r w:rsidRPr="00484D0D">
        <w:t xml:space="preserve">do not operate under exactly the same </w:t>
      </w:r>
      <w:r>
        <w:t xml:space="preserve">operating </w:t>
      </w:r>
      <w:r w:rsidRPr="00484D0D">
        <w:t xml:space="preserve">environment conditions. </w:t>
      </w:r>
      <w:r>
        <w:t xml:space="preserve">Further, distribution businesses </w:t>
      </w:r>
      <w:r>
        <w:lastRenderedPageBreak/>
        <w:t>can vary in the scope of electricity distribution services they provide. Benchmarking</w:t>
      </w:r>
      <w:r w:rsidRPr="00484D0D">
        <w:t xml:space="preserve"> need</w:t>
      </w:r>
      <w:r>
        <w:t>s</w:t>
      </w:r>
      <w:r w:rsidRPr="00484D0D">
        <w:t xml:space="preserve"> to </w:t>
      </w:r>
      <w:r>
        <w:t xml:space="preserve">properly </w:t>
      </w:r>
      <w:r w:rsidRPr="00484D0D">
        <w:t xml:space="preserve">account for </w:t>
      </w:r>
      <w:r>
        <w:t>these</w:t>
      </w:r>
      <w:r w:rsidRPr="00484D0D">
        <w:t xml:space="preserve"> differences </w:t>
      </w:r>
      <w:r>
        <w:t xml:space="preserve">so </w:t>
      </w:r>
      <w:r w:rsidRPr="00484D0D">
        <w:t xml:space="preserve">that when comparisons are made across </w:t>
      </w:r>
      <w:r>
        <w:t>networks, we are comparing ‘like-with-</w:t>
      </w:r>
      <w:r w:rsidRPr="00484D0D">
        <w:t>like</w:t>
      </w:r>
      <w:r>
        <w:t>’</w:t>
      </w:r>
      <w:r w:rsidRPr="00484D0D">
        <w:t xml:space="preserve"> to the greatest extent possible.</w:t>
      </w:r>
      <w:r>
        <w:rPr>
          <w:rStyle w:val="FootnoteReference"/>
        </w:rPr>
        <w:footnoteReference w:id="180"/>
      </w:r>
      <w:r>
        <w:t xml:space="preserve"> As stated by the AEMC: </w:t>
      </w:r>
    </w:p>
    <w:p w:rsidR="00051BDB" w:rsidRDefault="00051BDB" w:rsidP="00051BDB">
      <w:pPr>
        <w:pStyle w:val="AERquote"/>
      </w:pPr>
      <w:r>
        <w:t xml:space="preserve">...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 </w:t>
      </w:r>
    </w:p>
    <w:p w:rsidR="00051BDB" w:rsidRDefault="00051BDB" w:rsidP="00051BDB">
      <w:pPr>
        <w:pStyle w:val="AERquote"/>
      </w:pPr>
      <w:r>
        <w:t>…</w:t>
      </w:r>
    </w:p>
    <w:p w:rsidR="00051BDB" w:rsidRDefault="00051BDB" w:rsidP="00051BDB">
      <w:pPr>
        <w:pStyle w:val="AERquote"/>
      </w:pPr>
      <w:r>
        <w:t>If there are some exogenous factors that the AER has difficulty taking adequate account of when undertaking benchmarking, then the use to which it puts the results and the weight it attaches the results can reflect the confidence it has in the robustness of its analysis.</w:t>
      </w:r>
    </w:p>
    <w:p w:rsidR="00051BDB" w:rsidRDefault="00051BDB" w:rsidP="00051BDB">
      <w:r w:rsidRPr="00DB2F2D">
        <w:t>Our benchmarking models account for key differences in operating environment factors</w:t>
      </w:r>
      <w:r>
        <w:t xml:space="preserve"> (section </w:t>
      </w:r>
      <w:r w:rsidR="00C74791">
        <w:fldChar w:fldCharType="begin"/>
      </w:r>
      <w:r w:rsidR="00C74791">
        <w:instrText xml:space="preserve"> REF _Ref417551822 \n \h </w:instrText>
      </w:r>
      <w:r w:rsidR="00C74791">
        <w:fldChar w:fldCharType="separate"/>
      </w:r>
      <w:r w:rsidR="00C74791">
        <w:t>A.6</w:t>
      </w:r>
      <w:r w:rsidR="00C74791">
        <w:fldChar w:fldCharType="end"/>
      </w:r>
      <w:r>
        <w:t>)</w:t>
      </w:r>
      <w:r w:rsidRPr="00DB2F2D">
        <w:t xml:space="preserve">. </w:t>
      </w:r>
      <w:r>
        <w:t xml:space="preserve">This is followed by our review of a large set of operating environment factors to determine whether it is necessary to provide further allowance for operating environment differences.  </w:t>
      </w:r>
    </w:p>
    <w:p w:rsidR="00051BDB" w:rsidRPr="006A139D" w:rsidRDefault="00051BDB" w:rsidP="00051BDB">
      <w:r w:rsidRPr="00CE1A10">
        <w:t xml:space="preserve">We undertook an extensive research and consultation process to develop the benchmarking used in the annual benchmarking report and in the determinations. </w:t>
      </w:r>
      <w:r>
        <w:t>This has been in conjunction with Economic Insights, which is an internationally recognised expert consultant on benchmarking. As discussed in section </w:t>
      </w:r>
      <w:r>
        <w:rPr>
          <w:highlight w:val="yellow"/>
        </w:rPr>
        <w:fldChar w:fldCharType="begin"/>
      </w:r>
      <w:r>
        <w:instrText xml:space="preserve"> REF _Ref415580420 \n \h </w:instrText>
      </w:r>
      <w:r>
        <w:rPr>
          <w:highlight w:val="yellow"/>
        </w:rPr>
      </w:r>
      <w:r>
        <w:rPr>
          <w:highlight w:val="yellow"/>
        </w:rPr>
        <w:fldChar w:fldCharType="separate"/>
      </w:r>
      <w:r w:rsidR="00C74791">
        <w:t>A.3</w:t>
      </w:r>
      <w:r>
        <w:rPr>
          <w:highlight w:val="yellow"/>
        </w:rPr>
        <w:fldChar w:fldCharType="end"/>
      </w:r>
      <w:r>
        <w:t>, we released a significant benchmarking study in 2012 and consulted heavily on both the Guideline (including through an issues paper, draft guideline and workshops) and regulatory information notices. We have further developed our benchmarking models through this determination process.</w:t>
      </w:r>
    </w:p>
    <w:p w:rsidR="00051BDB" w:rsidRPr="00051BDB" w:rsidRDefault="00051BDB" w:rsidP="00051BDB">
      <w:r>
        <w:br w:type="page"/>
      </w:r>
    </w:p>
    <w:p w:rsidR="00051BDB" w:rsidRDefault="00051BDB" w:rsidP="00051BDB">
      <w:pPr>
        <w:pStyle w:val="Heading8"/>
      </w:pPr>
      <w:bookmarkStart w:id="143" w:name="_Ref415580420"/>
      <w:bookmarkStart w:id="144" w:name="_Toc417719033"/>
      <w:r w:rsidRPr="00FF1D41">
        <w:lastRenderedPageBreak/>
        <w:t>Assessment approach</w:t>
      </w:r>
      <w:bookmarkEnd w:id="117"/>
      <w:bookmarkEnd w:id="118"/>
      <w:bookmarkEnd w:id="119"/>
      <w:bookmarkEnd w:id="133"/>
      <w:bookmarkEnd w:id="143"/>
      <w:bookmarkEnd w:id="144"/>
    </w:p>
    <w:p w:rsidR="00051BDB" w:rsidRDefault="00051BDB" w:rsidP="00051BDB">
      <w:r w:rsidRPr="00051BDB">
        <w:rPr>
          <w:noProof/>
          <w:lang w:eastAsia="en-AU"/>
        </w:rPr>
        <w:drawing>
          <wp:anchor distT="0" distB="0" distL="114300" distR="114300" simplePos="0" relativeHeight="251661312" behindDoc="0" locked="0" layoutInCell="1" allowOverlap="1" wp14:anchorId="4D5AF236" wp14:editId="350ADE14">
            <wp:simplePos x="0" y="0"/>
            <wp:positionH relativeFrom="column">
              <wp:posOffset>3509010</wp:posOffset>
            </wp:positionH>
            <wp:positionV relativeFrom="paragraph">
              <wp:posOffset>237490</wp:posOffset>
            </wp:positionV>
            <wp:extent cx="1923415" cy="4322445"/>
            <wp:effectExtent l="0" t="0" r="0" b="20955"/>
            <wp:wrapSquare wrapText="bothSides"/>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t xml:space="preserve">In section </w:t>
      </w:r>
      <w:r w:rsidR="008F5606">
        <w:fldChar w:fldCharType="begin"/>
      </w:r>
      <w:r w:rsidR="008F5606">
        <w:instrText xml:space="preserve"> REF _Ref417643926 \r \h </w:instrText>
      </w:r>
      <w:r w:rsidR="008F5606">
        <w:fldChar w:fldCharType="separate"/>
      </w:r>
      <w:r w:rsidR="00C74791">
        <w:t>7.3</w:t>
      </w:r>
      <w:r w:rsidR="008F5606">
        <w:fldChar w:fldCharType="end"/>
      </w:r>
      <w:r>
        <w:t xml:space="preserve">, we presented a diagram explaining the five steps in our approach to assessing a service provider's total forecast opex. </w:t>
      </w:r>
    </w:p>
    <w:p w:rsidR="00051BDB" w:rsidRDefault="00051BDB" w:rsidP="00051BDB">
      <w:r>
        <w:t xml:space="preserve">This section explains our approach to assessing base opex, which covers Step 1 and Step 2 of this overall approach. </w:t>
      </w:r>
    </w:p>
    <w:p w:rsidR="00051BDB" w:rsidRDefault="00051BDB" w:rsidP="00051BDB">
      <w:r>
        <w:t>Assessing base opex is a crucial part of our overall assessment approach because it is the foundation upon which we build our own estimate of total forecast opex</w:t>
      </w:r>
      <w:r w:rsidRPr="00A42B65">
        <w:t xml:space="preserve"> </w:t>
      </w:r>
      <w:r>
        <w:t>that</w:t>
      </w:r>
      <w:r w:rsidRPr="00822963">
        <w:t xml:space="preserve"> we consider reasonably reflects the opex criteria</w:t>
      </w:r>
      <w:r>
        <w:t xml:space="preserve">. We use our estimate to: </w:t>
      </w:r>
    </w:p>
    <w:p w:rsidR="00051BDB" w:rsidRPr="00822963" w:rsidRDefault="00051BDB" w:rsidP="00051BDB">
      <w:pPr>
        <w:pStyle w:val="AERbulletlistfirststyle"/>
      </w:pPr>
      <w:r>
        <w:t xml:space="preserve">determine whether to either accept or not accept </w:t>
      </w:r>
      <w:r w:rsidRPr="00822963">
        <w:t xml:space="preserve">a service provider's </w:t>
      </w:r>
      <w:r>
        <w:t xml:space="preserve">total forecast </w:t>
      </w:r>
      <w:r w:rsidRPr="00822963">
        <w:t>opex proposal by reference to the opex criteria;</w:t>
      </w:r>
      <w:r w:rsidRPr="00822963">
        <w:rPr>
          <w:rStyle w:val="FootnoteReference"/>
        </w:rPr>
        <w:footnoteReference w:id="181"/>
      </w:r>
      <w:r w:rsidRPr="00822963">
        <w:t xml:space="preserve"> and</w:t>
      </w:r>
    </w:p>
    <w:p w:rsidR="00051BDB" w:rsidRPr="00822963" w:rsidRDefault="00051BDB" w:rsidP="00051BDB">
      <w:pPr>
        <w:pStyle w:val="AERbulletlistfirststyle"/>
      </w:pPr>
      <w:r w:rsidRPr="00822963">
        <w:t xml:space="preserve">in the event </w:t>
      </w:r>
      <w:r>
        <w:t xml:space="preserve">we must </w:t>
      </w:r>
      <w:r w:rsidRPr="00822963">
        <w:t>reject a service provider's proposal</w:t>
      </w:r>
      <w:r w:rsidRPr="00822963">
        <w:rPr>
          <w:rStyle w:val="FootnoteReference"/>
        </w:rPr>
        <w:footnoteReference w:id="182"/>
      </w:r>
      <w:r>
        <w:t xml:space="preserve"> (that is, if it does not reasonably reflect the opex criteria)</w:t>
      </w:r>
      <w:r w:rsidRPr="00822963">
        <w:t xml:space="preserve"> replac</w:t>
      </w:r>
      <w:r>
        <w:t>e</w:t>
      </w:r>
      <w:r w:rsidRPr="00822963">
        <w:t xml:space="preserve"> that </w:t>
      </w:r>
      <w:r>
        <w:t>proposed forecast.</w:t>
      </w:r>
    </w:p>
    <w:p w:rsidR="00051BDB" w:rsidRPr="00FC2D75" w:rsidRDefault="00051BDB" w:rsidP="00051BDB">
      <w:r>
        <w:t>The starting point for developing our estimate is the service provider's revealed costs (in this case, opex for the 2012–13 financial year). This is base opex, represented by Step 1, above. Base opex has been audited, and is used by the service providers as an agreed starting point.</w:t>
      </w:r>
      <w:r>
        <w:rPr>
          <w:rStyle w:val="FootnoteReference"/>
        </w:rPr>
        <w:footnoteReference w:id="183"/>
      </w:r>
    </w:p>
    <w:p w:rsidR="00051BDB" w:rsidRDefault="00051BDB" w:rsidP="00051BDB">
      <w:r w:rsidRPr="00FC2D75">
        <w:t xml:space="preserve">As foreshadowed in </w:t>
      </w:r>
      <w:r>
        <w:t>the</w:t>
      </w:r>
      <w:r w:rsidRPr="00FC2D75">
        <w:t xml:space="preserve"> Guideline</w:t>
      </w:r>
      <w:r w:rsidRPr="00FC2D75">
        <w:rPr>
          <w:rStyle w:val="FootnoteReference"/>
        </w:rPr>
        <w:footnoteReference w:id="184"/>
      </w:r>
      <w:r w:rsidRPr="00FC2D75">
        <w:t xml:space="preserve">, we use the following techniques to assess </w:t>
      </w:r>
      <w:r>
        <w:t>whether the base opex is suitable as a starting point for determining an estimate of total forecast opex that</w:t>
      </w:r>
      <w:r w:rsidRPr="00FC2D75">
        <w:t xml:space="preserve"> reasonably reflect</w:t>
      </w:r>
      <w:r>
        <w:t>s</w:t>
      </w:r>
      <w:r w:rsidRPr="00FC2D75">
        <w:t xml:space="preserve"> the opex criteria</w:t>
      </w:r>
      <w:r>
        <w:t xml:space="preserve"> (represented by Step 2, above)</w:t>
      </w:r>
      <w:r w:rsidRPr="00FC2D75">
        <w:t>:</w:t>
      </w:r>
    </w:p>
    <w:p w:rsidR="00051BDB" w:rsidRDefault="00051BDB" w:rsidP="00051BDB">
      <w:pPr>
        <w:pStyle w:val="AERbulletlistfirststyle"/>
      </w:pPr>
      <w:r w:rsidRPr="00FC2D75">
        <w:t>economic benchmarking—</w:t>
      </w:r>
      <w:r>
        <w:t xml:space="preserve">more complex techniques that use </w:t>
      </w:r>
      <w:r w:rsidRPr="00715488">
        <w:t xml:space="preserve">applies economic theory to measure the efficiency of a </w:t>
      </w:r>
      <w:r>
        <w:t>distributor</w:t>
      </w:r>
      <w:r w:rsidRPr="00715488">
        <w:t xml:space="preserve">'s use of inputs to produce </w:t>
      </w:r>
      <w:r>
        <w:t xml:space="preserve">a number of different </w:t>
      </w:r>
      <w:r w:rsidRPr="00715488">
        <w:t xml:space="preserve">outputs, having regard to </w:t>
      </w:r>
      <w:r>
        <w:t>operating environment factors</w:t>
      </w:r>
    </w:p>
    <w:p w:rsidR="00051BDB" w:rsidRPr="00FC2D75" w:rsidRDefault="00051BDB" w:rsidP="00051BDB">
      <w:pPr>
        <w:pStyle w:val="AERbulletlistfirststyle"/>
      </w:pPr>
      <w:r w:rsidRPr="00FC2D75">
        <w:t>partial performance indicators—</w:t>
      </w:r>
      <w:r>
        <w:t xml:space="preserve">simplistic techniques that relate total opex and total user cost to one cost driver, such as line length or customer density (known as aggregated category benchmarks in the Guideline) </w:t>
      </w:r>
    </w:p>
    <w:p w:rsidR="00051BDB" w:rsidRPr="00FC2D75" w:rsidRDefault="00051BDB" w:rsidP="00051BDB">
      <w:pPr>
        <w:pStyle w:val="AERbulletlistfirststyle"/>
      </w:pPr>
      <w:r w:rsidRPr="00FC2D75">
        <w:lastRenderedPageBreak/>
        <w:t>category analysis—</w:t>
      </w:r>
      <w:r>
        <w:t xml:space="preserve">that compares, across service providers, the cost of delivering a particular category of opex (such as maintenance, vegetation management, </w:t>
      </w:r>
      <w:r w:rsidR="0073522A">
        <w:t>etc.</w:t>
      </w:r>
      <w:r>
        <w:t xml:space="preserve">) to identify areas for detailed review </w:t>
      </w:r>
    </w:p>
    <w:p w:rsidR="00051BDB" w:rsidRPr="00FC2D75" w:rsidRDefault="00051BDB" w:rsidP="00051BDB">
      <w:pPr>
        <w:pStyle w:val="AERbulletlistfirststyle"/>
      </w:pPr>
      <w:r>
        <w:t xml:space="preserve">detailed review—targeted, qualitative, </w:t>
      </w:r>
      <w:r w:rsidRPr="00FC2D75">
        <w:t>examination of</w:t>
      </w:r>
      <w:r>
        <w:t xml:space="preserve"> particular</w:t>
      </w:r>
      <w:r w:rsidRPr="00FC2D75">
        <w:t xml:space="preserve"> </w:t>
      </w:r>
      <w:r>
        <w:t>categories of expenditure, such as labour costs</w:t>
      </w:r>
      <w:r w:rsidRPr="00AD6526">
        <w:t xml:space="preserve"> </w:t>
      </w:r>
      <w:r>
        <w:t>and vegetation management, conducted with the assistance of industry experts.</w:t>
      </w:r>
    </w:p>
    <w:p w:rsidR="00051BDB" w:rsidRDefault="00051BDB" w:rsidP="00051BDB">
      <w:r w:rsidRPr="00DC520C">
        <w:t xml:space="preserve">Benchmarking is particularly important in </w:t>
      </w:r>
      <w:r>
        <w:t xml:space="preserve">Step 2 of </w:t>
      </w:r>
      <w:r w:rsidRPr="00DC520C">
        <w:t>our approach because it enables us to compare the relative efficiency of the total opex of different service providers.</w:t>
      </w:r>
      <w:r w:rsidRPr="00DC520C">
        <w:rPr>
          <w:rStyle w:val="FootnoteReference"/>
        </w:rPr>
        <w:footnoteReference w:id="185"/>
      </w:r>
      <w:r w:rsidRPr="00DC520C">
        <w:t xml:space="preserve"> The NER give us discretion as to how we use benchmarking </w:t>
      </w:r>
      <w:r>
        <w:t>in our assessment</w:t>
      </w:r>
      <w:r w:rsidRPr="00DC520C">
        <w:t>.</w:t>
      </w:r>
      <w:r w:rsidRPr="00DC520C">
        <w:rPr>
          <w:rStyle w:val="FootnoteReference"/>
        </w:rPr>
        <w:footnoteReference w:id="186"/>
      </w:r>
    </w:p>
    <w:p w:rsidR="00051BDB" w:rsidRPr="00DC520C" w:rsidRDefault="00051BDB" w:rsidP="00051BDB">
      <w:r>
        <w:t>As part of our application of economic benchmarking, we consider differences in service providers' operating environments that could account for some differences in the relative efficiency scores. Based on this review we make appropriate adjustments to efficiency scores.</w:t>
      </w:r>
    </w:p>
    <w:p w:rsidR="00051BDB" w:rsidRDefault="00051BDB" w:rsidP="00051BDB">
      <w:r w:rsidRPr="00BD2BF0">
        <w:rPr>
          <w:rStyle w:val="AERbody"/>
        </w:rPr>
        <w:t xml:space="preserve">We have a preferred </w:t>
      </w:r>
      <w:r w:rsidRPr="00BD2BF0">
        <w:t>benchmarking model, which is Cobb Douglas stochastic frontier analysis (SFA).</w:t>
      </w:r>
      <w:r w:rsidRPr="00BD2BF0">
        <w:rPr>
          <w:rStyle w:val="FootnoteReference"/>
        </w:rPr>
        <w:footnoteReference w:id="187"/>
      </w:r>
      <w:r w:rsidRPr="00BD2BF0">
        <w:t xml:space="preserve"> This model creates an efficiency score for all service providers in the NEM. </w:t>
      </w:r>
      <w:r>
        <w:t>In the event we make an adjustment to base opex, we use this model as the starting point.</w:t>
      </w:r>
    </w:p>
    <w:p w:rsidR="00051BDB" w:rsidRDefault="00051BDB" w:rsidP="00051BDB">
      <w:r>
        <w:t xml:space="preserve">If a service provider performs well on our economic benchmarking techniques, we consider it is unnecessary for us to review base opex in further detail. No adjustment is required because we consider the service provider's base opex is not materially inefficient and, therefore, an appropriate starting point for our estimate of total forecast opex that reasonably reflects the opex criteria.  Conversely, if our economic benchmarking techniques indicate that a service provider's opex is not efficient, we then review base opex in further detail and consider whether it is necessary to adjust base opex. </w:t>
      </w:r>
      <w:r w:rsidRPr="003851B8">
        <w:t xml:space="preserve"> </w:t>
      </w:r>
      <w:r>
        <w:t xml:space="preserve"> </w:t>
      </w:r>
    </w:p>
    <w:p w:rsidR="00051BDB" w:rsidRDefault="00051BDB" w:rsidP="00051BDB">
      <w:r>
        <w:t>Theoretically, all service providers who rank below the service provider with the highest efficiency score on our preferred technique could be considered inefficient. If we decided to apply benchmarking deterministically, we could simply determine the degree of a service provider's inefficiency against the efficiency score of the most efficient service provider and adjust their opex accordingly.</w:t>
      </w:r>
    </w:p>
    <w:p w:rsidR="00051BDB" w:rsidRDefault="00051BDB" w:rsidP="00051BDB">
      <w:r>
        <w:t xml:space="preserve">However, we are not applying benchmarking deterministically. As we demonstrate in the diagram below, we have regard to a number of sources of evidence in forming a view on base opex efficiency, consistent with the approach we outlined in the Guideline. If it is clear that base opex is inefficient, we depart from revealed costs. When we do so, we rely on the most robust benchmarking model as the basis for adjustment. </w:t>
      </w:r>
    </w:p>
    <w:p w:rsidR="00051BDB" w:rsidRDefault="00051BDB" w:rsidP="00051BDB">
      <w:r>
        <w:lastRenderedPageBreak/>
        <w:t xml:space="preserve">In doing so, however, we rely on the concept of material inefficiency introduced in the Guideline. Because our preference (as stated in the Guideline) is to rely on the revealed cost approach to determine the starting point for our estimate of total forecast opex, we depart from revealed costs only when we consider base opex is </w:t>
      </w:r>
      <w:r w:rsidRPr="001C0B08">
        <w:rPr>
          <w:rStyle w:val="AERtextitalic"/>
        </w:rPr>
        <w:t>materially</w:t>
      </w:r>
      <w:r>
        <w:t xml:space="preserve"> inefficient.</w:t>
      </w:r>
      <w:r w:rsidRPr="007729F7">
        <w:rPr>
          <w:rStyle w:val="FootnoteReference"/>
        </w:rPr>
        <w:t xml:space="preserve"> </w:t>
      </w:r>
      <w:r>
        <w:rPr>
          <w:rStyle w:val="FootnoteReference"/>
        </w:rPr>
        <w:footnoteReference w:id="188"/>
      </w:r>
      <w:r>
        <w:t xml:space="preserve"> The concept of material efficiency recognises that efficiency is a relative term, and one which properly does not adjust a service provider's revealed costs for immaterial inefficiency. </w:t>
      </w:r>
    </w:p>
    <w:p w:rsidR="00051BDB" w:rsidRDefault="00051BDB" w:rsidP="00051BDB">
      <w:r>
        <w:rPr>
          <w:rStyle w:val="AERbody"/>
        </w:rPr>
        <w:t xml:space="preserve">Therefore, in deciding what is materially inefficient, we consider </w:t>
      </w:r>
      <w:r w:rsidRPr="007A6129">
        <w:t xml:space="preserve">it </w:t>
      </w:r>
      <w:r>
        <w:t>i</w:t>
      </w:r>
      <w:r w:rsidRPr="007A6129">
        <w:t>s appropriate to provide a margin for the effect of potential modelling and data</w:t>
      </w:r>
      <w:r>
        <w:t xml:space="preserve"> limitations</w:t>
      </w:r>
      <w:r w:rsidRPr="007A6129">
        <w:t>.</w:t>
      </w:r>
      <w:r>
        <w:t xml:space="preserve"> To give effect to this consideration, we do not compare service providers to the frontier business. </w:t>
      </w:r>
      <w:r>
        <w:rPr>
          <w:rStyle w:val="AERbody"/>
        </w:rPr>
        <w:t xml:space="preserve">We consider the appropriate "benchmark comparison point" is the </w:t>
      </w:r>
      <w:r w:rsidRPr="00120A86">
        <w:t>lowest of the efficiency scores</w:t>
      </w:r>
      <w:r>
        <w:t xml:space="preserve"> for service providers</w:t>
      </w:r>
      <w:r w:rsidRPr="00120A86">
        <w:t xml:space="preserve"> in the top quartile of possible scores</w:t>
      </w:r>
      <w:r>
        <w:t xml:space="preserve"> on our preferred SFA model. This is equivalent to the</w:t>
      </w:r>
      <w:r w:rsidRPr="00120A86">
        <w:t xml:space="preserve"> </w:t>
      </w:r>
      <w:r>
        <w:t xml:space="preserve">efficiency score for the business at the bottom of the </w:t>
      </w:r>
      <w:r w:rsidRPr="00310DE8">
        <w:t>upper third (top 33 per cent</w:t>
      </w:r>
      <w:r>
        <w:t>)</w:t>
      </w:r>
      <w:r w:rsidRPr="00310DE8">
        <w:t xml:space="preserve"> of companies</w:t>
      </w:r>
      <w:r>
        <w:t xml:space="preserve"> in the benchmark sample </w:t>
      </w:r>
      <w:r w:rsidRPr="006C5941">
        <w:t>(</w:t>
      </w:r>
      <w:r>
        <w:t xml:space="preserve">represented by </w:t>
      </w:r>
      <w:r w:rsidRPr="006C5941">
        <w:t>AusNet Services)</w:t>
      </w:r>
      <w:r>
        <w:t>.</w:t>
      </w:r>
      <w:r>
        <w:rPr>
          <w:rStyle w:val="FootnoteReference"/>
        </w:rPr>
        <w:footnoteReference w:id="189"/>
      </w:r>
      <w:r>
        <w:t xml:space="preserve"> Our approach of using benchmarking as a basis for making adjustments to opex is consistent with Ofgem's approach.</w:t>
      </w:r>
      <w:r w:rsidRPr="007C6D16">
        <w:rPr>
          <w:rStyle w:val="FootnoteReference"/>
        </w:rPr>
        <w:footnoteReference w:id="190"/>
      </w:r>
      <w:r>
        <w:t xml:space="preserve"> </w:t>
      </w:r>
    </w:p>
    <w:p w:rsidR="00051BDB" w:rsidRDefault="00051BDB" w:rsidP="00051BDB">
      <w:r w:rsidRPr="00051BDB">
        <w:rPr>
          <w:noProof/>
          <w:lang w:eastAsia="en-AU"/>
        </w:rPr>
        <w:drawing>
          <wp:anchor distT="0" distB="0" distL="114300" distR="114300" simplePos="0" relativeHeight="251662336" behindDoc="0" locked="0" layoutInCell="1" allowOverlap="1" wp14:anchorId="7CF684A5" wp14:editId="184BB6EA">
            <wp:simplePos x="0" y="0"/>
            <wp:positionH relativeFrom="column">
              <wp:posOffset>2049780</wp:posOffset>
            </wp:positionH>
            <wp:positionV relativeFrom="paragraph">
              <wp:posOffset>85090</wp:posOffset>
            </wp:positionV>
            <wp:extent cx="3538220" cy="3550285"/>
            <wp:effectExtent l="0" t="0" r="43180" b="0"/>
            <wp:wrapSquare wrapText="bothSides"/>
            <wp:docPr id="35"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Pr="003851B8">
        <w:rPr>
          <w:rStyle w:val="AERbody"/>
        </w:rPr>
        <w:t xml:space="preserve">This means that we will not adjust the base year opex of a service provider unless its efficiency score (taking into account operating environment factors) is below the service provider with the lowest of the efficiency scores in the top quartile of possible scores. </w:t>
      </w:r>
      <w:r>
        <w:t>We have done this because:</w:t>
      </w:r>
    </w:p>
    <w:p w:rsidR="00051BDB" w:rsidRDefault="00051BDB" w:rsidP="00051BDB">
      <w:pPr>
        <w:pStyle w:val="AERbulletlistfirststyle"/>
      </w:pPr>
      <w:r w:rsidRPr="00A30343">
        <w:t>given it is our first application of benchmarking, it is appropriate to adopt a cautious approach</w:t>
      </w:r>
      <w:r>
        <w:t>, allowing a margin for potential modelling and data issues and other uncertainties</w:t>
      </w:r>
    </w:p>
    <w:p w:rsidR="00051BDB" w:rsidRDefault="00051BDB" w:rsidP="00051BDB">
      <w:pPr>
        <w:pStyle w:val="AERbulletlistfirststyle"/>
        <w:rPr>
          <w:rStyle w:val="AERbody"/>
        </w:rPr>
      </w:pPr>
      <w:r>
        <w:rPr>
          <w:rStyle w:val="AERbody"/>
        </w:rPr>
        <w:lastRenderedPageBreak/>
        <w:t xml:space="preserve">we consider this approach is consistent with the NEO and RPP because it is </w:t>
      </w:r>
      <w:r>
        <w:t xml:space="preserve">sufficiently conservative to avoid the risks associated with undercompensating the service provider but also promotes efficiency incentives. </w:t>
      </w:r>
    </w:p>
    <w:p w:rsidR="00051BDB" w:rsidRDefault="00051BDB" w:rsidP="00051BDB">
      <w:pPr>
        <w:rPr>
          <w:rStyle w:val="AERbody"/>
        </w:rPr>
      </w:pPr>
      <w:r w:rsidRPr="00BD2BF0">
        <w:rPr>
          <w:rStyle w:val="AERbody"/>
        </w:rPr>
        <w:t>Th</w:t>
      </w:r>
      <w:r>
        <w:rPr>
          <w:rStyle w:val="AERbody"/>
        </w:rPr>
        <w:t>is</w:t>
      </w:r>
      <w:r w:rsidRPr="00BD2BF0">
        <w:rPr>
          <w:rStyle w:val="AERbody"/>
        </w:rPr>
        <w:t xml:space="preserve"> has the effect of significantly reducing the target against which we compare </w:t>
      </w:r>
      <w:r>
        <w:rPr>
          <w:rStyle w:val="AERbody"/>
        </w:rPr>
        <w:t xml:space="preserve">and (if necessary) adjust </w:t>
      </w:r>
      <w:r w:rsidRPr="00BD2BF0">
        <w:rPr>
          <w:rStyle w:val="AERbody"/>
        </w:rPr>
        <w:t>service providers</w:t>
      </w:r>
      <w:r>
        <w:rPr>
          <w:rStyle w:val="AERbody"/>
        </w:rPr>
        <w:t>'</w:t>
      </w:r>
      <w:r w:rsidRPr="00BD2BF0">
        <w:rPr>
          <w:rStyle w:val="AERbody"/>
        </w:rPr>
        <w:t xml:space="preserve"> </w:t>
      </w:r>
      <w:r>
        <w:rPr>
          <w:rStyle w:val="AERbody"/>
        </w:rPr>
        <w:t xml:space="preserve">base </w:t>
      </w:r>
      <w:r w:rsidRPr="00BD2BF0">
        <w:rPr>
          <w:rStyle w:val="AERbody"/>
        </w:rPr>
        <w:t>opex.</w:t>
      </w:r>
      <w:r>
        <w:rPr>
          <w:rStyle w:val="AERbody"/>
        </w:rPr>
        <w:t xml:space="preserve"> </w:t>
      </w:r>
      <w:r w:rsidRPr="00823165">
        <w:rPr>
          <w:rStyle w:val="AERbody"/>
        </w:rPr>
        <w:t xml:space="preserve">Our detailed </w:t>
      </w:r>
      <w:r>
        <w:rPr>
          <w:rStyle w:val="AERbody"/>
        </w:rPr>
        <w:t>consideration of adjustments to</w:t>
      </w:r>
      <w:r w:rsidRPr="00823165">
        <w:rPr>
          <w:rStyle w:val="AERbody"/>
        </w:rPr>
        <w:t xml:space="preserve"> base opex is set out in </w:t>
      </w:r>
      <w:r w:rsidRPr="00823165">
        <w:t xml:space="preserve">section </w:t>
      </w:r>
      <w:r>
        <w:fldChar w:fldCharType="begin"/>
      </w:r>
      <w:r>
        <w:instrText xml:space="preserve"> REF _Ref416803943 \n \h </w:instrText>
      </w:r>
      <w:r>
        <w:fldChar w:fldCharType="separate"/>
      </w:r>
      <w:r w:rsidR="00C74791">
        <w:t>A.7</w:t>
      </w:r>
      <w:r>
        <w:fldChar w:fldCharType="end"/>
      </w:r>
      <w:r w:rsidRPr="00823165">
        <w:rPr>
          <w:rStyle w:val="AERbody"/>
        </w:rPr>
        <w:t>.</w:t>
      </w:r>
    </w:p>
    <w:p w:rsidR="00051BDB" w:rsidRPr="00756041" w:rsidRDefault="00051BDB" w:rsidP="00051BDB">
      <w:pPr>
        <w:pStyle w:val="Heading9"/>
      </w:pPr>
      <w:bookmarkStart w:id="145" w:name="_Toc417719034"/>
      <w:r w:rsidRPr="00756041">
        <w:t>Our approach to benchmarking since May 2012</w:t>
      </w:r>
      <w:bookmarkEnd w:id="145"/>
    </w:p>
    <w:p w:rsidR="00051BDB" w:rsidRDefault="00051BDB" w:rsidP="00051BDB">
      <w:pPr>
        <w:rPr>
          <w:rStyle w:val="AERbody"/>
        </w:rPr>
      </w:pPr>
      <w:bookmarkStart w:id="146" w:name="_Ref416804483"/>
      <w:r w:rsidRPr="00081B8A">
        <w:rPr>
          <w:rStyle w:val="AERbody"/>
        </w:rPr>
        <w:t xml:space="preserve">We released a working paper on benchmarking in May 2012, and commenced work on </w:t>
      </w:r>
      <w:r>
        <w:rPr>
          <w:rStyle w:val="AERbody"/>
        </w:rPr>
        <w:t>the Guideline</w:t>
      </w:r>
      <w:r w:rsidRPr="00081B8A">
        <w:rPr>
          <w:rStyle w:val="AERbody"/>
        </w:rPr>
        <w:t xml:space="preserve"> in December 2012</w:t>
      </w:r>
      <w:r>
        <w:rPr>
          <w:rStyle w:val="AERbody"/>
        </w:rPr>
        <w:t>, following the November 2012 Rule change</w:t>
      </w:r>
      <w:r w:rsidRPr="00081B8A">
        <w:rPr>
          <w:rStyle w:val="AERbody"/>
        </w:rPr>
        <w:t xml:space="preserve">. We finalised </w:t>
      </w:r>
      <w:r>
        <w:rPr>
          <w:rStyle w:val="AERbody"/>
        </w:rPr>
        <w:t>the Guideline</w:t>
      </w:r>
      <w:r w:rsidRPr="00081B8A">
        <w:rPr>
          <w:rStyle w:val="AERbody"/>
        </w:rPr>
        <w:t xml:space="preserve"> in November 2013. </w:t>
      </w:r>
      <w:r>
        <w:rPr>
          <w:rStyle w:val="AERbody"/>
        </w:rPr>
        <w:t>We subsequently engaged in an extensive  process of information gathering that culminated in our first Annual Benchmarking Report</w:t>
      </w:r>
      <w:r w:rsidRPr="00EC6F14">
        <w:rPr>
          <w:rStyle w:val="AERbody"/>
        </w:rPr>
        <w:t xml:space="preserve"> </w:t>
      </w:r>
      <w:r>
        <w:rPr>
          <w:rStyle w:val="AERbody"/>
        </w:rPr>
        <w:t xml:space="preserve">in November 2014. Service providers and any other interested parties have had access to the benchmarking RIN data since we published it on our website in May 2014. </w:t>
      </w:r>
      <w:r w:rsidRPr="00081B8A">
        <w:rPr>
          <w:rStyle w:val="AERbody"/>
        </w:rPr>
        <w:t xml:space="preserve">For the past three years, we have consulted widely with service providers and other stakeholders on our approach and </w:t>
      </w:r>
      <w:r>
        <w:rPr>
          <w:rStyle w:val="AERbody"/>
        </w:rPr>
        <w:t>its</w:t>
      </w:r>
      <w:r w:rsidRPr="00081B8A">
        <w:rPr>
          <w:rStyle w:val="AERbody"/>
        </w:rPr>
        <w:t xml:space="preserve"> legal and economic </w:t>
      </w:r>
      <w:r>
        <w:rPr>
          <w:rStyle w:val="AERbody"/>
        </w:rPr>
        <w:t>underpinnings</w:t>
      </w:r>
      <w:r w:rsidRPr="00081B8A">
        <w:rPr>
          <w:rStyle w:val="AERbody"/>
        </w:rPr>
        <w:t xml:space="preserve">. </w:t>
      </w:r>
      <w:r>
        <w:rPr>
          <w:rStyle w:val="AERbody"/>
        </w:rPr>
        <w:t>S</w:t>
      </w:r>
      <w:r w:rsidRPr="00081B8A">
        <w:rPr>
          <w:rStyle w:val="AERbody"/>
        </w:rPr>
        <w:t xml:space="preserve">takeholders also participated in the rule change process. </w:t>
      </w:r>
      <w:r w:rsidRPr="003E5765">
        <w:rPr>
          <w:rStyle w:val="AERbody"/>
        </w:rPr>
        <w:fldChar w:fldCharType="begin"/>
      </w:r>
      <w:r w:rsidRPr="003E5765">
        <w:rPr>
          <w:rStyle w:val="AERbody"/>
        </w:rPr>
        <w:instrText xml:space="preserve"> REF _Ref414616809 \h </w:instrText>
      </w:r>
      <w:r w:rsidRPr="003E5765">
        <w:rPr>
          <w:rStyle w:val="AERbody"/>
        </w:rPr>
      </w:r>
      <w:r w:rsidRPr="003E5765">
        <w:rPr>
          <w:rStyle w:val="AERbody"/>
        </w:rPr>
        <w:fldChar w:fldCharType="separate"/>
      </w:r>
      <w:r w:rsidR="00C74791">
        <w:t xml:space="preserve">Table </w:t>
      </w:r>
      <w:r w:rsidR="00C74791">
        <w:rPr>
          <w:noProof/>
        </w:rPr>
        <w:t>A</w:t>
      </w:r>
      <w:r w:rsidR="00C74791">
        <w:t>.</w:t>
      </w:r>
      <w:r w:rsidR="00C74791">
        <w:rPr>
          <w:noProof/>
        </w:rPr>
        <w:t>2</w:t>
      </w:r>
      <w:r w:rsidRPr="003E5765">
        <w:rPr>
          <w:rStyle w:val="AERbody"/>
        </w:rPr>
        <w:fldChar w:fldCharType="end"/>
      </w:r>
      <w:r>
        <w:rPr>
          <w:rStyle w:val="AERbody"/>
        </w:rPr>
        <w:t xml:space="preserve"> (further below) sets out this consultation process.</w:t>
      </w:r>
    </w:p>
    <w:p w:rsidR="00051BDB" w:rsidRDefault="00051BDB" w:rsidP="00051BDB">
      <w:pPr>
        <w:rPr>
          <w:rStyle w:val="AERbody"/>
        </w:rPr>
      </w:pPr>
      <w:r w:rsidRPr="00081B8A">
        <w:rPr>
          <w:rStyle w:val="AERbody"/>
        </w:rPr>
        <w:t>We have</w:t>
      </w:r>
      <w:r>
        <w:rPr>
          <w:rStyle w:val="AERbody"/>
        </w:rPr>
        <w:t>,</w:t>
      </w:r>
      <w:r w:rsidRPr="00081B8A">
        <w:rPr>
          <w:rStyle w:val="AERbody"/>
        </w:rPr>
        <w:t xml:space="preserve"> </w:t>
      </w:r>
      <w:r>
        <w:rPr>
          <w:rStyle w:val="AERbody"/>
        </w:rPr>
        <w:t xml:space="preserve">therefore, </w:t>
      </w:r>
      <w:r w:rsidRPr="00081B8A">
        <w:rPr>
          <w:rStyle w:val="AERbody"/>
        </w:rPr>
        <w:t xml:space="preserve">consulted </w:t>
      </w:r>
      <w:r>
        <w:rPr>
          <w:rStyle w:val="AERbody"/>
        </w:rPr>
        <w:t xml:space="preserve">widely </w:t>
      </w:r>
      <w:r w:rsidRPr="00081B8A">
        <w:rPr>
          <w:rStyle w:val="AERbody"/>
        </w:rPr>
        <w:t xml:space="preserve">with stakeholders regarding our approach </w:t>
      </w:r>
      <w:r>
        <w:rPr>
          <w:rStyle w:val="AERbody"/>
        </w:rPr>
        <w:t>to assessing expenditure forecasts. These consultations have included discussions on how we should use benchmarking in our analysis.  During this process, some service providers raised</w:t>
      </w:r>
      <w:r w:rsidRPr="00081B8A">
        <w:rPr>
          <w:rStyle w:val="AERbody"/>
        </w:rPr>
        <w:t xml:space="preserve"> concerns </w:t>
      </w:r>
      <w:r>
        <w:rPr>
          <w:rStyle w:val="AERbody"/>
        </w:rPr>
        <w:t xml:space="preserve">similar to those filed in their responses to our draft decisions. These include submissions that: </w:t>
      </w:r>
    </w:p>
    <w:p w:rsidR="00051BDB" w:rsidRDefault="00051BDB" w:rsidP="00051BDB">
      <w:pPr>
        <w:pStyle w:val="AERbulletlistfirststyle"/>
        <w:rPr>
          <w:rStyle w:val="AERbody"/>
        </w:rPr>
      </w:pPr>
      <w:r>
        <w:rPr>
          <w:rStyle w:val="AERbody"/>
        </w:rPr>
        <w:t>our approach is inconsistent with the NEL and NER</w:t>
      </w:r>
    </w:p>
    <w:p w:rsidR="00051BDB" w:rsidRDefault="00051BDB" w:rsidP="00051BDB">
      <w:pPr>
        <w:pStyle w:val="AERbulletlistfirststyle"/>
        <w:rPr>
          <w:rStyle w:val="AERbody"/>
        </w:rPr>
      </w:pPr>
      <w:r>
        <w:rPr>
          <w:rStyle w:val="AERbody"/>
        </w:rPr>
        <w:t>we have placed excessive weight on benchmarking in our approach</w:t>
      </w:r>
      <w:r>
        <w:rPr>
          <w:rStyle w:val="FootnoteReference"/>
        </w:rPr>
        <w:footnoteReference w:id="191"/>
      </w:r>
    </w:p>
    <w:p w:rsidR="00051BDB" w:rsidRDefault="00051BDB" w:rsidP="00051BDB">
      <w:pPr>
        <w:pStyle w:val="AERbulletlistfirststyle"/>
        <w:rPr>
          <w:rStyle w:val="AERbody"/>
        </w:rPr>
      </w:pPr>
      <w:r>
        <w:rPr>
          <w:rStyle w:val="AERbody"/>
        </w:rPr>
        <w:t>we must give primacy to service provider's regulatory proposals in assessing or determining an opex forecast</w:t>
      </w:r>
    </w:p>
    <w:p w:rsidR="00051BDB" w:rsidRDefault="00051BDB" w:rsidP="00051BDB">
      <w:pPr>
        <w:pStyle w:val="AERbulletlistfirststyle"/>
        <w:rPr>
          <w:rStyle w:val="AERbody"/>
        </w:rPr>
      </w:pPr>
      <w:r>
        <w:rPr>
          <w:rStyle w:val="AERbody"/>
        </w:rPr>
        <w:t>we are required to (and have not) had regard to the service providers' individual circumstances</w:t>
      </w:r>
    </w:p>
    <w:p w:rsidR="00051BDB" w:rsidRDefault="00051BDB" w:rsidP="00051BDB">
      <w:pPr>
        <w:pStyle w:val="AERbulletlistfirststyle"/>
        <w:rPr>
          <w:rStyle w:val="AERbody"/>
        </w:rPr>
      </w:pPr>
      <w:r>
        <w:rPr>
          <w:rStyle w:val="AERbody"/>
        </w:rPr>
        <w:t>our benchmarking approach is flawed</w:t>
      </w:r>
    </w:p>
    <w:p w:rsidR="00051BDB" w:rsidRDefault="00051BDB" w:rsidP="00051BDB">
      <w:pPr>
        <w:pStyle w:val="AERbulletlistfirststyle"/>
        <w:rPr>
          <w:rStyle w:val="AERbody"/>
        </w:rPr>
      </w:pPr>
      <w:r>
        <w:rPr>
          <w:rStyle w:val="AERbody"/>
        </w:rPr>
        <w:t>our approach ignores the constraints and obligations the distributors face so the result is unrealistic.</w:t>
      </w:r>
    </w:p>
    <w:p w:rsidR="00051BDB" w:rsidRDefault="00051BDB" w:rsidP="00051BDB">
      <w:pPr>
        <w:rPr>
          <w:rStyle w:val="AERbody"/>
        </w:rPr>
      </w:pPr>
      <w:r>
        <w:rPr>
          <w:rStyle w:val="AERbody"/>
        </w:rPr>
        <w:t>Some</w:t>
      </w:r>
      <w:r w:rsidRPr="00081B8A">
        <w:rPr>
          <w:rStyle w:val="AERbody"/>
        </w:rPr>
        <w:t xml:space="preserve"> </w:t>
      </w:r>
      <w:r>
        <w:rPr>
          <w:rStyle w:val="AERbody"/>
        </w:rPr>
        <w:t>s</w:t>
      </w:r>
      <w:r w:rsidRPr="00081B8A">
        <w:rPr>
          <w:rStyle w:val="AERbody"/>
        </w:rPr>
        <w:t xml:space="preserve">ervice </w:t>
      </w:r>
      <w:r>
        <w:rPr>
          <w:rStyle w:val="AERbody"/>
        </w:rPr>
        <w:t>p</w:t>
      </w:r>
      <w:r w:rsidRPr="00081B8A">
        <w:rPr>
          <w:rStyle w:val="AERbody"/>
        </w:rPr>
        <w:t xml:space="preserve">roviders have </w:t>
      </w:r>
      <w:r>
        <w:rPr>
          <w:rStyle w:val="AERbody"/>
        </w:rPr>
        <w:t xml:space="preserve">also </w:t>
      </w:r>
      <w:r w:rsidRPr="00081B8A">
        <w:rPr>
          <w:rStyle w:val="AERbody"/>
        </w:rPr>
        <w:t xml:space="preserve">raised additional issues </w:t>
      </w:r>
      <w:r>
        <w:rPr>
          <w:rStyle w:val="AERbody"/>
        </w:rPr>
        <w:t>subsequent to the consultation process, the RINs, our annual benchmarking report and the draft decisions.</w:t>
      </w:r>
      <w:r>
        <w:rPr>
          <w:rStyle w:val="FootnoteReference"/>
        </w:rPr>
        <w:footnoteReference w:id="192"/>
      </w:r>
      <w:r>
        <w:rPr>
          <w:rStyle w:val="AERbody"/>
        </w:rPr>
        <w:t xml:space="preserve"> This includes material prepared as early as 2012 which was, </w:t>
      </w:r>
      <w:r>
        <w:rPr>
          <w:rStyle w:val="AERbody"/>
        </w:rPr>
        <w:lastRenderedPageBreak/>
        <w:t>unfortunately, not provided to us by service providers until after we had published our draft decisions.</w:t>
      </w:r>
      <w:r>
        <w:rPr>
          <w:rStyle w:val="FootnoteReference"/>
        </w:rPr>
        <w:footnoteReference w:id="193"/>
      </w:r>
      <w:r>
        <w:rPr>
          <w:rStyle w:val="AERbody"/>
        </w:rPr>
        <w:t xml:space="preserve"> Issues raised in this material include: </w:t>
      </w:r>
    </w:p>
    <w:p w:rsidR="00051BDB" w:rsidRDefault="00051BDB" w:rsidP="00051BDB">
      <w:pPr>
        <w:pStyle w:val="AERbulletlistfirststyle"/>
      </w:pPr>
      <w:r w:rsidRPr="003C2DA7">
        <w:rPr>
          <w:rStyle w:val="AERbody"/>
        </w:rPr>
        <w:t>the sensitivity of data envelopment analysis to input and output specifications and sample size</w:t>
      </w:r>
    </w:p>
    <w:p w:rsidR="00051BDB" w:rsidRPr="004566E9" w:rsidRDefault="00051BDB" w:rsidP="00051BDB">
      <w:pPr>
        <w:pStyle w:val="AERbulletlistfirststyle"/>
        <w:rPr>
          <w:rStyle w:val="AERtexthighlight"/>
        </w:rPr>
      </w:pPr>
      <w:r>
        <w:rPr>
          <w:rStyle w:val="AERbody"/>
        </w:rPr>
        <w:t>there is additional benchmarking data and variables that should be considered by us in making our assessments.</w:t>
      </w:r>
    </w:p>
    <w:p w:rsidR="00051BDB" w:rsidRPr="0039725C" w:rsidRDefault="00051BDB" w:rsidP="00051BDB">
      <w:r>
        <w:t>We acknowledge that many aspects of our decision making relate to forward looking, technical and difficult matters, on which reasonable minds can differ. However, it is important to distinguish different decisions</w:t>
      </w:r>
      <w:r w:rsidRPr="00081B8A">
        <w:t xml:space="preserve"> which we </w:t>
      </w:r>
      <w:r>
        <w:t xml:space="preserve">potentially </w:t>
      </w:r>
      <w:r w:rsidRPr="00081B8A">
        <w:t>could have ma</w:t>
      </w:r>
      <w:r>
        <w:t>de in exercising our discretion</w:t>
      </w:r>
      <w:r w:rsidRPr="00081B8A">
        <w:t xml:space="preserve"> </w:t>
      </w:r>
      <w:r>
        <w:t xml:space="preserve">from a substantive reason </w:t>
      </w:r>
      <w:r w:rsidRPr="00081B8A">
        <w:t xml:space="preserve">why our decision is or would be unreasonable or incorrect. </w:t>
      </w:r>
      <w:r>
        <w:t xml:space="preserve">As the </w:t>
      </w:r>
      <w:r w:rsidR="003F3860">
        <w:t xml:space="preserve">Australian Competition </w:t>
      </w:r>
      <w:r>
        <w:t>Tribunal has noted:</w:t>
      </w:r>
      <w:r w:rsidRPr="0039725C">
        <w:rPr>
          <w:rStyle w:val="FootnoteReference"/>
        </w:rPr>
        <w:footnoteReference w:id="194"/>
      </w:r>
    </w:p>
    <w:p w:rsidR="00051BDB" w:rsidRPr="00081B8A" w:rsidRDefault="00051BDB" w:rsidP="00051BDB">
      <w:pPr>
        <w:pStyle w:val="AERquoteindent2"/>
      </w:pPr>
      <w:r w:rsidRPr="004B76D8">
        <w:t xml:space="preserve">It is axiomatic that there will be no one correct or best figure derived from a forecast that in terms of cl 6.5.6(c) ‘reasonably reflects’ the opex criteria – the very nature of forecasting means that there can be no one absolute or perfect figure. Different forecasting methods are more likely than not to produce different results. Simply because there is a range of forecasts and a </w:t>
      </w:r>
      <w:r>
        <w:t>distributor</w:t>
      </w:r>
      <w:r w:rsidRPr="004B76D8">
        <w:t>’s forecast falls within the range does not mean it must be accepted when, as here, the AER has sound reason for rejecting the forecast.</w:t>
      </w:r>
    </w:p>
    <w:p w:rsidR="00051BDB" w:rsidRPr="00B94527" w:rsidRDefault="00051BDB" w:rsidP="00051BDB">
      <w:pPr>
        <w:rPr>
          <w:rStyle w:val="AERbody"/>
        </w:rPr>
      </w:pPr>
      <w:r w:rsidRPr="00B94527">
        <w:rPr>
          <w:rStyle w:val="AERbody"/>
        </w:rPr>
        <w:t xml:space="preserve">We </w:t>
      </w:r>
      <w:r>
        <w:rPr>
          <w:rStyle w:val="AERbody"/>
        </w:rPr>
        <w:t>have had careful regard to the</w:t>
      </w:r>
      <w:r w:rsidRPr="00B94527">
        <w:rPr>
          <w:rStyle w:val="AERbody"/>
        </w:rPr>
        <w:t xml:space="preserve"> </w:t>
      </w:r>
      <w:r>
        <w:rPr>
          <w:rStyle w:val="AERbody"/>
        </w:rPr>
        <w:t xml:space="preserve">new </w:t>
      </w:r>
      <w:r w:rsidRPr="00B94527">
        <w:rPr>
          <w:rStyle w:val="AERbody"/>
        </w:rPr>
        <w:t>submissions and concerns</w:t>
      </w:r>
      <w:r>
        <w:rPr>
          <w:rStyle w:val="AERbody"/>
        </w:rPr>
        <w:t xml:space="preserve"> raised by service providers</w:t>
      </w:r>
      <w:r w:rsidRPr="00B94527">
        <w:rPr>
          <w:rStyle w:val="AERbody"/>
        </w:rPr>
        <w:t xml:space="preserve">. </w:t>
      </w:r>
      <w:r w:rsidRPr="0066706A">
        <w:rPr>
          <w:rStyle w:val="AERbody"/>
        </w:rPr>
        <w:t>We</w:t>
      </w:r>
      <w:r>
        <w:rPr>
          <w:rStyle w:val="AERbody"/>
        </w:rPr>
        <w:t xml:space="preserve"> encourage all stakeholders to actively, transparently and cooperatively participate in our consultation processes as that assists all stakeholders in delivering the best outcomes in accordance with the legislative framework.</w:t>
      </w:r>
    </w:p>
    <w:p w:rsidR="00051BDB" w:rsidRPr="0039725C" w:rsidRDefault="00051BDB" w:rsidP="00051BDB">
      <w:pPr>
        <w:pStyle w:val="Heading9"/>
      </w:pPr>
      <w:bookmarkStart w:id="147" w:name="_Toc417719035"/>
      <w:r>
        <w:t>How our approach is consistent with NER requirements</w:t>
      </w:r>
      <w:bookmarkEnd w:id="146"/>
      <w:bookmarkEnd w:id="147"/>
      <w:r w:rsidRPr="0039725C">
        <w:t xml:space="preserve"> </w:t>
      </w:r>
    </w:p>
    <w:p w:rsidR="00051BDB" w:rsidRDefault="00051BDB" w:rsidP="00051BDB">
      <w:r>
        <w:t>We consider that our assessment approach is consistent with the requirements of the NER. That is, we consider that our approach to assessing and, if required, substituting a service provider's proposal is consistent with:</w:t>
      </w:r>
    </w:p>
    <w:p w:rsidR="00051BDB" w:rsidRDefault="00051BDB" w:rsidP="00051BDB">
      <w:pPr>
        <w:pStyle w:val="AERbulletlistfirststyle"/>
      </w:pPr>
      <w:r>
        <w:t>the opex criteria</w:t>
      </w:r>
      <w:r>
        <w:rPr>
          <w:rStyle w:val="FootnoteReference"/>
        </w:rPr>
        <w:footnoteReference w:id="195"/>
      </w:r>
    </w:p>
    <w:p w:rsidR="00051BDB" w:rsidRDefault="00051BDB" w:rsidP="00051BDB">
      <w:pPr>
        <w:pStyle w:val="AERbulletlistfirststyle"/>
      </w:pPr>
      <w:r>
        <w:t>the opex objectives</w:t>
      </w:r>
    </w:p>
    <w:p w:rsidR="00051BDB" w:rsidRDefault="00051BDB" w:rsidP="00051BDB">
      <w:pPr>
        <w:pStyle w:val="AERbulletlistfirststyle"/>
      </w:pPr>
      <w:r>
        <w:t xml:space="preserve">the opex factors </w:t>
      </w:r>
    </w:p>
    <w:p w:rsidR="00051BDB" w:rsidRDefault="00051BDB" w:rsidP="00051BDB">
      <w:pPr>
        <w:pStyle w:val="AERbulletlistfirststyle"/>
      </w:pPr>
      <w:r>
        <w:t>the revenue and pricing principles.</w:t>
      </w:r>
    </w:p>
    <w:p w:rsidR="00051BDB" w:rsidRPr="00823165" w:rsidRDefault="00051BDB" w:rsidP="00051BDB">
      <w:r>
        <w:lastRenderedPageBreak/>
        <w:t xml:space="preserve">Fundamentally, we consider that our decision is likely to contribute to the achievement of the NEO by incentivising and funding efficient, prudent and realistic expenditures. </w:t>
      </w:r>
      <w:r w:rsidRPr="00823165">
        <w:t>We take this view because our approach:</w:t>
      </w:r>
    </w:p>
    <w:p w:rsidR="00051BDB" w:rsidRPr="00823165" w:rsidRDefault="00051BDB" w:rsidP="00051BDB">
      <w:pPr>
        <w:pStyle w:val="AERbulletlistfirststyle"/>
      </w:pPr>
      <w:r w:rsidRPr="00823165">
        <w:t xml:space="preserve">ensures that </w:t>
      </w:r>
      <w:r>
        <w:t>the opex forecast reasonably reflects the</w:t>
      </w:r>
      <w:r w:rsidRPr="00823165">
        <w:t xml:space="preserve"> efficient </w:t>
      </w:r>
      <w:r>
        <w:t xml:space="preserve">costs a prudent </w:t>
      </w:r>
      <w:r w:rsidRPr="00823165">
        <w:t xml:space="preserve">service provider requires to safely and reliably provide electricity services; </w:t>
      </w:r>
      <w:r>
        <w:t>and</w:t>
      </w:r>
      <w:r w:rsidRPr="00823165">
        <w:t xml:space="preserve"> </w:t>
      </w:r>
    </w:p>
    <w:p w:rsidR="00051BDB" w:rsidRPr="00823165" w:rsidRDefault="00051BDB" w:rsidP="00051BDB">
      <w:pPr>
        <w:pStyle w:val="AERbulletlistfirststyle"/>
        <w:rPr>
          <w:rStyle w:val="Strong"/>
        </w:rPr>
      </w:pPr>
      <w:r w:rsidRPr="00823165">
        <w:t>encourages service providers to efficiently invest and operate electricity services, by ensuring that service providers (and not consumers) bear the cost of expenditure in excess of prudent</w:t>
      </w:r>
      <w:r>
        <w:t xml:space="preserve"> and </w:t>
      </w:r>
      <w:r w:rsidRPr="00823165">
        <w:t>efficient levels.</w:t>
      </w:r>
      <w:r w:rsidRPr="00823165">
        <w:rPr>
          <w:rStyle w:val="FootnoteReference"/>
        </w:rPr>
        <w:footnoteReference w:id="196"/>
      </w:r>
    </w:p>
    <w:p w:rsidR="00051BDB" w:rsidRDefault="00051BDB" w:rsidP="00051BDB">
      <w:r>
        <w:t>Incentives can only be effective if the service providers, rather than consumers, bear the burden of funding spending that does not reasonably reflect the opex criteria.</w:t>
      </w:r>
    </w:p>
    <w:p w:rsidR="00051BDB" w:rsidRPr="0039725C" w:rsidRDefault="00051BDB" w:rsidP="00051BDB">
      <w:pPr>
        <w:pStyle w:val="HeadingBoldBlue"/>
      </w:pPr>
      <w:r w:rsidRPr="00FC50E5">
        <w:t xml:space="preserve">Opex </w:t>
      </w:r>
      <w:r w:rsidRPr="0039725C">
        <w:t>criteria</w:t>
      </w:r>
    </w:p>
    <w:p w:rsidR="00051BDB" w:rsidRDefault="00051BDB" w:rsidP="00051BDB">
      <w:r>
        <w:t>The opex criteria in clause 6.5.6(c) of the NER require the AER to assess a service provider's proposal to decide whether it reasonably reflects:</w:t>
      </w:r>
    </w:p>
    <w:p w:rsidR="00051BDB" w:rsidRDefault="00051BDB" w:rsidP="00051BDB">
      <w:pPr>
        <w:pStyle w:val="AERbulletlistfirststyle"/>
      </w:pPr>
      <w:r w:rsidRPr="00153F20">
        <w:t xml:space="preserve">the efficient costs of achieving the operating expenditure objectives; </w:t>
      </w:r>
    </w:p>
    <w:p w:rsidR="00051BDB" w:rsidRDefault="00051BDB" w:rsidP="00051BDB">
      <w:pPr>
        <w:pStyle w:val="AERbulletlistfirststyle"/>
      </w:pPr>
      <w:r w:rsidRPr="00153F20">
        <w:t>the costs that a prudent operator would require to achieve the operating expenditure objectives; and</w:t>
      </w:r>
    </w:p>
    <w:p w:rsidR="00051BDB" w:rsidRDefault="00051BDB" w:rsidP="00051BDB">
      <w:pPr>
        <w:pStyle w:val="AERbulletlistfirststyle"/>
      </w:pPr>
      <w:r w:rsidRPr="00153F20">
        <w:t>a realistic expectation of the demand forecast and cost inputs required to achieve the operating expenditure objectives.</w:t>
      </w:r>
    </w:p>
    <w:p w:rsidR="00051BDB" w:rsidRDefault="00051BDB" w:rsidP="00051BDB">
      <w:r>
        <w:t>We consider that the opex criteria work together as a single overall requirement.</w:t>
      </w:r>
      <w:r>
        <w:rPr>
          <w:rStyle w:val="FootnoteReference"/>
        </w:rPr>
        <w:footnoteReference w:id="197"/>
      </w:r>
      <w:r>
        <w:t xml:space="preserve"> Prudency and efficiency are complementary.</w:t>
      </w:r>
      <w:r>
        <w:rPr>
          <w:rStyle w:val="FootnoteReference"/>
        </w:rPr>
        <w:footnoteReference w:id="198"/>
      </w:r>
      <w:r>
        <w:t xml:space="preserve"> The Australian Competition Tribunal refers to them as a unified concept, and has described them as a single </w:t>
      </w:r>
      <w:r w:rsidRPr="00507920">
        <w:t>“</w:t>
      </w:r>
      <w:r>
        <w:t>prudent and efficient</w:t>
      </w:r>
      <w:r w:rsidRPr="00507920">
        <w:t xml:space="preserve"> requirement</w:t>
      </w:r>
      <w:r>
        <w:t>".</w:t>
      </w:r>
      <w:r>
        <w:rPr>
          <w:rStyle w:val="FootnoteReference"/>
        </w:rPr>
        <w:footnoteReference w:id="199"/>
      </w:r>
      <w:r w:rsidRPr="00507920">
        <w:t xml:space="preserve"> </w:t>
      </w:r>
    </w:p>
    <w:p w:rsidR="00051BDB" w:rsidRDefault="00051BDB" w:rsidP="00051BDB">
      <w:r>
        <w:t xml:space="preserve">In turn, "prudent and efficient" costs can only be sensibly given meaning by reference to the demand forecast for the services the service provider provides and the realistic cost inputs that a prudent and efficient provider would require to achieve its opex objectives.. When we refer to prudent and efficient costs, we mean costs that a prudent </w:t>
      </w:r>
      <w:r>
        <w:lastRenderedPageBreak/>
        <w:t>and efficient provider would require, having regard to realistic expectations of cost inputs and the demand forecast to achieve its objectives.</w:t>
      </w:r>
    </w:p>
    <w:p w:rsidR="00051BDB" w:rsidRDefault="00051BDB" w:rsidP="00051BDB">
      <w:r w:rsidRPr="00BB5617">
        <w:rPr>
          <w:rStyle w:val="AERbody"/>
        </w:rPr>
        <w:t xml:space="preserve">Importantly, the demand forecast and cost inputs are for those of a prudent and efficient service provider operating that network. They are not the cost inputs which result from previous inefficient decision making.  </w:t>
      </w:r>
      <w:r>
        <w:rPr>
          <w:rStyle w:val="AERbody"/>
        </w:rPr>
        <w:t xml:space="preserve">This does not mean that we do not take account of circumstances or factors which are beyond the control of a service provider when making our assessment. </w:t>
      </w:r>
    </w:p>
    <w:p w:rsidR="00051BDB" w:rsidRDefault="00051BDB" w:rsidP="00051BDB">
      <w:r>
        <w:t>It is inherent in the opex criteria, each criterion being concerned with the costs of achieving the opex objectives, that we must have regard to an objective prudent and efficient service provider. However, in doing so, we must also have regard to the differing exogenous circumstances of the service provider we are assessing when making our decisions. This includes costs that arise due to the individual circumstances affecting the manner in which the service provider operates, but over which it does not have control. Such circumstances include geographic factors, customer factors, network factors and jurisdictional factors.</w:t>
      </w:r>
      <w:r>
        <w:rPr>
          <w:rStyle w:val="FootnoteReference"/>
        </w:rPr>
        <w:footnoteReference w:id="200"/>
      </w:r>
    </w:p>
    <w:p w:rsidR="00051BDB" w:rsidRDefault="00051BDB" w:rsidP="00051BDB">
      <w:r>
        <w:t>However, the costs that reasonably reflect the opex criteria do not include costs that result from prior inefficient or imprudent spending. These costs may relate to the quality of management or financial decisions. Such factors are within a service provider's control and are inconsistent with costs that a prudent and efficient service provider would incur. This remains the case where a service provider has used revenue recovered by consumers in previous regulatory periods, consistent with our previous decisions, to make such decisions. This view is consistent with the incentive based aims of the regulatory scheme when read as a whole.</w:t>
      </w:r>
    </w:p>
    <w:p w:rsidR="00051BDB" w:rsidRDefault="00051BDB" w:rsidP="00051BDB">
      <w:r>
        <w:t>It is also consistent with the rationale provided by the AEMC for removing the phrase "individual circumstances" from the opex criteria.</w:t>
      </w:r>
      <w:r>
        <w:rPr>
          <w:rStyle w:val="FootnoteReference"/>
        </w:rPr>
        <w:footnoteReference w:id="201"/>
      </w:r>
      <w:r>
        <w:t xml:space="preserve"> Accordingly, we disagree with an interpretation of the opex criteria that a forecast which reflects a "realistic expectation of cost inputs" must take account of past discretionary decisions made by a service provider that bind the service provider, but do not reflect the efficient costs that an objectively prudent operator would incur. This is the case even if, as discussed below, those costs are contractually fixed. </w:t>
      </w:r>
    </w:p>
    <w:p w:rsidR="00051BDB" w:rsidRDefault="00051BDB" w:rsidP="00051BDB">
      <w:r>
        <w:t xml:space="preserve">Our approach also satisfies the requirement in the opex criteria that we determine a </w:t>
      </w:r>
      <w:r w:rsidRPr="008D0101">
        <w:rPr>
          <w:rStyle w:val="AERtextitalic"/>
        </w:rPr>
        <w:t>total</w:t>
      </w:r>
      <w:r w:rsidRPr="008825A2">
        <w:t xml:space="preserve"> forecast </w:t>
      </w:r>
      <w:r>
        <w:t>opex.</w:t>
      </w:r>
      <w:r>
        <w:rPr>
          <w:rStyle w:val="FootnoteReference"/>
        </w:rPr>
        <w:footnoteReference w:id="202"/>
      </w:r>
      <w:r>
        <w:t xml:space="preserve">  We are not required to assess individual projects or components of a forecast because such an approach would de-incentivise efficient and prudent discretionary spending and  would effectively result in a cost of service regime.</w:t>
      </w:r>
      <w:r w:rsidRPr="00196E52">
        <w:rPr>
          <w:rStyle w:val="FootnoteReference"/>
        </w:rPr>
        <w:footnoteReference w:id="203"/>
      </w:r>
      <w:r>
        <w:t xml:space="preserve"> </w:t>
      </w:r>
    </w:p>
    <w:p w:rsidR="00051BDB" w:rsidRDefault="00051BDB" w:rsidP="00051BDB">
      <w:r>
        <w:lastRenderedPageBreak/>
        <w:t>The total forecast opex is forward looking and directed towards the requirements of an objectively efficient and prudent operator in the future, which will then be funded by consumers through the building block revenue model established under the NER.</w:t>
      </w:r>
      <w:r w:rsidRPr="00EA3687">
        <w:t xml:space="preserve"> </w:t>
      </w:r>
    </w:p>
    <w:p w:rsidR="00051BDB" w:rsidRDefault="00051BDB" w:rsidP="00051BDB">
      <w:r>
        <w:t xml:space="preserve">We must estimate a total forecast which we are satisfied </w:t>
      </w:r>
      <w:r w:rsidRPr="005A469A">
        <w:rPr>
          <w:rStyle w:val="AERtextitalic"/>
        </w:rPr>
        <w:t>reasonably reflects</w:t>
      </w:r>
      <w:r>
        <w:t xml:space="preserve"> the opex criteria. We use this estimate as a comparator for the service provider's proposal and as a substitute if required. As the AEMC and the Tribunal have identified, the NER gives us broad discretion in how we perform this task.</w:t>
      </w:r>
      <w:r>
        <w:rPr>
          <w:rStyle w:val="FootnoteReference"/>
        </w:rPr>
        <w:footnoteReference w:id="204"/>
      </w:r>
      <w:r>
        <w:t xml:space="preserve"> </w:t>
      </w:r>
    </w:p>
    <w:p w:rsidR="00051BDB" w:rsidRDefault="00051BDB" w:rsidP="00051BDB">
      <w:r>
        <w:t>In this context, we take the view that the opex criteria should be understood as applying an objective test—albeit a test that applies to a particular network and must therefore incorporate certain individual circumstances of that network. The intention behind the regulatory regime is to determine an objective forecast for the operating costs of the network that should be funded by consumers.  If a service provider can better this forecast in its actual spending it is rewarded with the cost savings. If it overspends the forecast it bears the costs.</w:t>
      </w:r>
    </w:p>
    <w:p w:rsidR="00051BDB" w:rsidRDefault="00051BDB" w:rsidP="00051BDB">
      <w:r>
        <w:t>We therefore consider that an appropriate application of the opex criteria involves us making an assessment about what objectively would be:</w:t>
      </w:r>
    </w:p>
    <w:p w:rsidR="00051BDB" w:rsidRDefault="00051BDB" w:rsidP="00051BDB">
      <w:pPr>
        <w:pStyle w:val="AERbulletlistfirststyle"/>
      </w:pPr>
      <w:r>
        <w:t>the</w:t>
      </w:r>
      <w:r w:rsidRPr="00B550A4">
        <w:t xml:space="preserve"> efficient </w:t>
      </w:r>
      <w:r>
        <w:t>costs of achieving the opex objectives, rather than the actual costs a service provider has spent or intends to spend</w:t>
      </w:r>
    </w:p>
    <w:p w:rsidR="00051BDB" w:rsidRDefault="00051BDB" w:rsidP="00051BDB">
      <w:pPr>
        <w:pStyle w:val="AERbulletlistfirststyle"/>
      </w:pPr>
      <w:r>
        <w:t>the</w:t>
      </w:r>
      <w:r w:rsidRPr="00B550A4">
        <w:t xml:space="preserve"> </w:t>
      </w:r>
      <w:r>
        <w:t xml:space="preserve">costs that a </w:t>
      </w:r>
      <w:r w:rsidRPr="00B550A4">
        <w:t>prudent service provider</w:t>
      </w:r>
      <w:r>
        <w:t xml:space="preserve"> for that network</w:t>
      </w:r>
      <w:r w:rsidRPr="00B550A4">
        <w:t xml:space="preserve"> </w:t>
      </w:r>
      <w:r>
        <w:t>would require (rather than the actual costs the actual service provider in question intends or is contractually obliged to provide given all their circumstances and past decision making)</w:t>
      </w:r>
    </w:p>
    <w:p w:rsidR="00051BDB" w:rsidRDefault="00051BDB" w:rsidP="00051BDB">
      <w:pPr>
        <w:pStyle w:val="AERbulletlistfirststyle"/>
      </w:pPr>
      <w:r>
        <w:t>a realistic expectation of the demand forecast (rather than the service provider's own demand forecast) and</w:t>
      </w:r>
    </w:p>
    <w:p w:rsidR="00051BDB" w:rsidRDefault="00051BDB" w:rsidP="00051BDB">
      <w:pPr>
        <w:pStyle w:val="AERbulletlistfirststyle"/>
      </w:pPr>
      <w:r>
        <w:t xml:space="preserve">a realistic expectation of the cost inputs to achieve the objectives (not the actual cost inputs that the provider might incur, or have committed itself to spend money on, </w:t>
      </w:r>
      <w:r w:rsidRPr="00B550A4">
        <w:t xml:space="preserve">to achieve </w:t>
      </w:r>
      <w:r>
        <w:t xml:space="preserve">the opex </w:t>
      </w:r>
      <w:r w:rsidRPr="00B550A4">
        <w:t>objectives</w:t>
      </w:r>
      <w:r>
        <w:t xml:space="preserve">). </w:t>
      </w:r>
    </w:p>
    <w:p w:rsidR="00051BDB" w:rsidRPr="0013027D" w:rsidRDefault="00051BDB" w:rsidP="00051BDB">
      <w:r>
        <w:t>It follows</w:t>
      </w:r>
      <w:r w:rsidRPr="009A5C4A">
        <w:t xml:space="preserve">, as the </w:t>
      </w:r>
      <w:r w:rsidR="003F3860">
        <w:t xml:space="preserve">Australian Competition </w:t>
      </w:r>
      <w:r w:rsidRPr="009A5C4A">
        <w:t xml:space="preserve">Tribunal has noted, </w:t>
      </w:r>
      <w:r>
        <w:t xml:space="preserve">there is </w:t>
      </w:r>
      <w:r w:rsidRPr="009A5C4A">
        <w:t xml:space="preserve">unlikely ever to be one unique "correct" </w:t>
      </w:r>
      <w:r>
        <w:t>total forecast.</w:t>
      </w:r>
      <w:r w:rsidRPr="009A5C4A">
        <w:t xml:space="preserve"> </w:t>
      </w:r>
      <w:r>
        <w:t>R</w:t>
      </w:r>
      <w:r w:rsidRPr="009A5C4A">
        <w:t xml:space="preserve">easonable minds </w:t>
      </w:r>
      <w:r>
        <w:t>may</w:t>
      </w:r>
      <w:r w:rsidRPr="009A5C4A">
        <w:t xml:space="preserve"> differ</w:t>
      </w:r>
      <w:r>
        <w:t xml:space="preserve"> as to the data and techniques.</w:t>
      </w:r>
      <w:r>
        <w:rPr>
          <w:rStyle w:val="FootnoteReference"/>
        </w:rPr>
        <w:footnoteReference w:id="205"/>
      </w:r>
      <w:r w:rsidRPr="009A5C4A">
        <w:t xml:space="preserve"> </w:t>
      </w:r>
      <w:r>
        <w:t>The AEMC has also recognised this.</w:t>
      </w:r>
      <w:r>
        <w:rPr>
          <w:rStyle w:val="FootnoteReference"/>
        </w:rPr>
        <w:footnoteReference w:id="206"/>
      </w:r>
      <w:r>
        <w:t xml:space="preserve"> We expect and observe service providers and their consultants to disagree with aspects of our decision. </w:t>
      </w:r>
    </w:p>
    <w:p w:rsidR="00051BDB" w:rsidRDefault="00051BDB" w:rsidP="00051BDB">
      <w:pPr>
        <w:pStyle w:val="HeadingBoldBlue"/>
      </w:pPr>
      <w:r>
        <w:t>Opex objectives</w:t>
      </w:r>
    </w:p>
    <w:p w:rsidR="00051BDB" w:rsidRDefault="00051BDB" w:rsidP="00051BDB">
      <w:r>
        <w:t xml:space="preserve">Our assessment approach ascertains the total forecast opex for a prudent and efficient service provider, informed by </w:t>
      </w:r>
      <w:r w:rsidRPr="00153F20">
        <w:t xml:space="preserve">a realistic expectation of </w:t>
      </w:r>
      <w:r>
        <w:t xml:space="preserve">the </w:t>
      </w:r>
      <w:r w:rsidRPr="00153F20">
        <w:t xml:space="preserve">demand forecast and cost </w:t>
      </w:r>
      <w:r w:rsidRPr="00153F20">
        <w:lastRenderedPageBreak/>
        <w:t>inputs</w:t>
      </w:r>
      <w:r>
        <w:t xml:space="preserve">, to achieve the opex objectives. </w:t>
      </w:r>
      <w:r w:rsidRPr="00B550A4">
        <w:t>One of these objectives is the applicable 'regulatory obligations or requirements' that the service provider must meet that are associated with the provision of standard control services.</w:t>
      </w:r>
      <w:r>
        <w:rPr>
          <w:rStyle w:val="FootnoteReference"/>
        </w:rPr>
        <w:footnoteReference w:id="207"/>
      </w:r>
      <w:r w:rsidRPr="00B550A4">
        <w:t xml:space="preserve"> </w:t>
      </w:r>
      <w:r>
        <w:t>Service providers are also expected to comply with regulatory obligations under the RPP in the NEL.</w:t>
      </w:r>
      <w:r>
        <w:rPr>
          <w:rStyle w:val="FootnoteReference"/>
        </w:rPr>
        <w:footnoteReference w:id="208"/>
      </w:r>
      <w:r>
        <w:t xml:space="preserve"> The other opex objectives relate to safety, demand and, to the extent they are not regulatory obligations, reliability and security levels. We discuss the service providers' concerns with safety and reliability separately in section</w:t>
      </w:r>
      <w:r w:rsidR="008F5606">
        <w:t xml:space="preserve"> </w:t>
      </w:r>
      <w:r w:rsidR="008F5606">
        <w:fldChar w:fldCharType="begin"/>
      </w:r>
      <w:r w:rsidR="008F5606">
        <w:instrText xml:space="preserve"> REF _Ref417643948 \r \h </w:instrText>
      </w:r>
      <w:r w:rsidR="008F5606">
        <w:fldChar w:fldCharType="separate"/>
      </w:r>
      <w:r w:rsidR="00C74791">
        <w:t>7.5</w:t>
      </w:r>
      <w:r w:rsidR="008F5606">
        <w:fldChar w:fldCharType="end"/>
      </w:r>
      <w:r>
        <w:t>.</w:t>
      </w:r>
    </w:p>
    <w:p w:rsidR="00051BDB" w:rsidRDefault="00051BDB" w:rsidP="00051BDB">
      <w:r>
        <w:t xml:space="preserve">In acting to fulfil the opex objectives and having regard to the RPP, we therefore have close regard to the definition of </w:t>
      </w:r>
      <w:r w:rsidRPr="00B550A4">
        <w:t xml:space="preserve">‘regulatory obligation or requirement’ </w:t>
      </w:r>
      <w:r>
        <w:t>in the NEL.</w:t>
      </w:r>
      <w:r>
        <w:rPr>
          <w:rStyle w:val="FootnoteReference"/>
        </w:rPr>
        <w:footnoteReference w:id="209"/>
      </w:r>
      <w:r>
        <w:t xml:space="preserve"> This definition is exhaustive. That is, only matters within the terms of the definition constitute 'regulatory obligations or requirements'. </w:t>
      </w:r>
    </w:p>
    <w:p w:rsidR="00051BDB" w:rsidRDefault="00051BDB" w:rsidP="00051BDB">
      <w:r w:rsidRPr="00073337">
        <w:t xml:space="preserve"> </w:t>
      </w:r>
      <w:r>
        <w:t xml:space="preserve">To fall within the NEL definition, a regulatory obligation or requirement must be attributable to one of the following categories: </w:t>
      </w:r>
    </w:p>
    <w:p w:rsidR="00051BDB" w:rsidRPr="00B550A4" w:rsidRDefault="00051BDB" w:rsidP="00051BDB">
      <w:pPr>
        <w:pStyle w:val="AERbulletlistfirststyle"/>
      </w:pPr>
      <w:r w:rsidRPr="00B550A4">
        <w:t xml:space="preserve">distribution system safety duties </w:t>
      </w:r>
    </w:p>
    <w:p w:rsidR="00051BDB" w:rsidRPr="00B550A4" w:rsidRDefault="00051BDB" w:rsidP="00051BDB">
      <w:pPr>
        <w:pStyle w:val="AERbulletlistfirststyle"/>
      </w:pPr>
      <w:r w:rsidRPr="00B550A4">
        <w:t xml:space="preserve">distribution reliability standards </w:t>
      </w:r>
    </w:p>
    <w:p w:rsidR="00051BDB" w:rsidRPr="00B550A4" w:rsidRDefault="00051BDB" w:rsidP="00051BDB">
      <w:pPr>
        <w:pStyle w:val="AERbulletlistfirststyle"/>
      </w:pPr>
      <w:r w:rsidRPr="00B550A4">
        <w:t xml:space="preserve">distribution service standards </w:t>
      </w:r>
    </w:p>
    <w:p w:rsidR="00051BDB" w:rsidRPr="00B550A4" w:rsidRDefault="00051BDB" w:rsidP="00051BDB">
      <w:pPr>
        <w:pStyle w:val="AERbulletlistfirststyle"/>
      </w:pPr>
      <w:r w:rsidRPr="00B550A4">
        <w:t xml:space="preserve">obligations under the NEL, NER, NERL and NERR </w:t>
      </w:r>
    </w:p>
    <w:p w:rsidR="00051BDB" w:rsidRPr="00B550A4" w:rsidRDefault="00051BDB" w:rsidP="00051BDB">
      <w:pPr>
        <w:pStyle w:val="AERbulletlistfirststyle"/>
      </w:pPr>
      <w:r>
        <w:t xml:space="preserve">obligations under legislation in a participating jurisdiction levying tax, regulating the use of land or protecting the environment   </w:t>
      </w:r>
    </w:p>
    <w:p w:rsidR="00051BDB" w:rsidRPr="00B550A4" w:rsidRDefault="00051BDB" w:rsidP="00051BDB">
      <w:pPr>
        <w:pStyle w:val="AERbulletlistfirststyle"/>
      </w:pPr>
      <w:r w:rsidRPr="00B550A4">
        <w:t xml:space="preserve">an </w:t>
      </w:r>
      <w:r>
        <w:t>A</w:t>
      </w:r>
      <w:r w:rsidRPr="00B550A4">
        <w:t xml:space="preserve">ct </w:t>
      </w:r>
      <w:r>
        <w:t xml:space="preserve">or instrument </w:t>
      </w:r>
      <w:r w:rsidRPr="00B550A4">
        <w:t xml:space="preserve">of a participating jurisdiction that materially affects the provision of electricity network services. </w:t>
      </w:r>
    </w:p>
    <w:p w:rsidR="00051BDB" w:rsidRDefault="00051BDB" w:rsidP="00051BDB">
      <w:r>
        <w:t>A participating jurisdiction is defined as a jurisdiction which has, in force, a version of the NEL.</w:t>
      </w:r>
      <w:r>
        <w:rPr>
          <w:rStyle w:val="FootnoteReference"/>
        </w:rPr>
        <w:footnoteReference w:id="210"/>
      </w:r>
      <w:r>
        <w:t xml:space="preserve"> </w:t>
      </w:r>
    </w:p>
    <w:p w:rsidR="00051BDB" w:rsidRDefault="00051BDB" w:rsidP="00051BDB">
      <w:r>
        <w:t>Accordingly, it is clear that the definition of 'regulatory obligations or requirements' is limited in application.</w:t>
      </w:r>
      <w:r>
        <w:rPr>
          <w:rStyle w:val="FootnoteReference"/>
        </w:rPr>
        <w:footnoteReference w:id="211"/>
      </w:r>
      <w:r>
        <w:t xml:space="preserve"> We have assessed claims by service providers in a manner consistent with this definition and our draft decision. Because this definition in the NEL is limited to the matters set out above, we do not consider that the following constitute 'regulatory obligations or requirements' as defined in the NEL:</w:t>
      </w:r>
      <w:r>
        <w:rPr>
          <w:rStyle w:val="FootnoteReference"/>
        </w:rPr>
        <w:footnoteReference w:id="212"/>
      </w:r>
    </w:p>
    <w:p w:rsidR="00051BDB" w:rsidRDefault="00051BDB" w:rsidP="00051BDB">
      <w:pPr>
        <w:pStyle w:val="AERbulletlistfirststyle"/>
      </w:pPr>
      <w:r>
        <w:t>obligations at common law, tort and contract (such as common law duties of care in negligence)</w:t>
      </w:r>
    </w:p>
    <w:p w:rsidR="00051BDB" w:rsidRDefault="00051BDB" w:rsidP="00051BDB">
      <w:pPr>
        <w:pStyle w:val="AERbulletlistfirststyle"/>
      </w:pPr>
      <w:r>
        <w:t>obligations to comply with legislation that is not from a participating jurisdiction</w:t>
      </w:r>
    </w:p>
    <w:p w:rsidR="00051BDB" w:rsidRDefault="00051BDB" w:rsidP="00051BDB">
      <w:pPr>
        <w:pStyle w:val="AERbulletlistfirststyle"/>
      </w:pPr>
      <w:r>
        <w:lastRenderedPageBreak/>
        <w:t>obligations to comply with legislation that is from a participating jurisdiction, but which does not fall into the categories identified in the definition in the NEL.</w:t>
      </w:r>
    </w:p>
    <w:p w:rsidR="00051BDB" w:rsidRDefault="00051BDB" w:rsidP="00051BDB">
      <w:r>
        <w:t>For example, all legal persons (including corporations such as service providers) are required to comply with the requirements of the Australian Consumer Law.</w:t>
      </w:r>
      <w:r w:rsidRPr="001F7C60">
        <w:rPr>
          <w:rStyle w:val="FootnoteReference"/>
        </w:rPr>
        <w:footnoteReference w:id="213"/>
      </w:r>
      <w:r w:rsidRPr="001F7C60">
        <w:t xml:space="preserve"> These requirements are imposed by participating jurisdictions as well as by the Commonwealth. However, they do not fall into the NEL definition</w:t>
      </w:r>
      <w:r>
        <w:t xml:space="preserve"> outlined above</w:t>
      </w:r>
      <w:r w:rsidRPr="001F7C60">
        <w:t xml:space="preserve">. </w:t>
      </w:r>
    </w:p>
    <w:p w:rsidR="00051BDB" w:rsidRDefault="00051BDB" w:rsidP="00051BDB">
      <w:r>
        <w:t xml:space="preserve">We therefore disagree with submissions which assert that a variety of requirements are </w:t>
      </w:r>
      <w:r w:rsidRPr="001F7C60">
        <w:t xml:space="preserve">'regulatory obligations or requirements' under the NEL. </w:t>
      </w:r>
      <w:r>
        <w:t>For</w:t>
      </w:r>
      <w:r w:rsidRPr="001F7C60">
        <w:t xml:space="preserve"> example</w:t>
      </w:r>
      <w:r>
        <w:t xml:space="preserve">, </w:t>
      </w:r>
      <w:r w:rsidRPr="001F7C60">
        <w:t>'laws of general application to corporations and individuals, such as the Competition and Consumer Act, Corporations Act, Privacy Act, intellectual property legislation or motor traffic legislation'</w:t>
      </w:r>
      <w:r w:rsidRPr="001F7C60">
        <w:rPr>
          <w:rStyle w:val="FootnoteReference"/>
        </w:rPr>
        <w:footnoteReference w:id="214"/>
      </w:r>
      <w:r w:rsidRPr="001F7C60">
        <w:t xml:space="preserve"> </w:t>
      </w:r>
      <w:r>
        <w:t>are not 'regulatory obligations or requirements'</w:t>
      </w:r>
      <w:r w:rsidRPr="001F7C60">
        <w:t xml:space="preserve">. </w:t>
      </w:r>
    </w:p>
    <w:p w:rsidR="00051BDB" w:rsidRPr="001F7C60" w:rsidRDefault="00051BDB" w:rsidP="00051BDB">
      <w:r>
        <w:t>It is unclear whether or not these submissions consider obligations to comply with laws of general application fall within the categories defined in the NEL. Regardless, f</w:t>
      </w:r>
      <w:r w:rsidRPr="001F7C60">
        <w:t>or the reasons set out above, we do not consider that any of these obligations are a 'regulatory obligation or requirement' within the meaning of s</w:t>
      </w:r>
      <w:r>
        <w:t>ection</w:t>
      </w:r>
      <w:r w:rsidRPr="001F7C60">
        <w:t xml:space="preserve"> </w:t>
      </w:r>
      <w:r>
        <w:t>2D (and, by extension, section 5)</w:t>
      </w:r>
      <w:r w:rsidRPr="001F7C60">
        <w:t xml:space="preserve"> of the NEL.</w:t>
      </w:r>
    </w:p>
    <w:p w:rsidR="00051BDB" w:rsidRDefault="00051BDB" w:rsidP="00051BDB">
      <w:r>
        <w:t>We also disagree with the service providers' submissions that compliance with the terms of their own EBAs</w:t>
      </w:r>
      <w:r w:rsidRPr="001F7C60">
        <w:rPr>
          <w:rStyle w:val="FootnoteReference"/>
        </w:rPr>
        <w:footnoteReference w:id="215"/>
      </w:r>
      <w:r w:rsidRPr="001F7C60">
        <w:t xml:space="preserve"> is a 'regulatory obligation or requirement'. </w:t>
      </w:r>
      <w:r>
        <w:t>For example, service providers have referred to redundancy costs 'required to be paid as a regulatory obligation'.</w:t>
      </w:r>
      <w:r>
        <w:rPr>
          <w:rStyle w:val="FootnoteReference"/>
        </w:rPr>
        <w:footnoteReference w:id="216"/>
      </w:r>
      <w:r>
        <w:t xml:space="preserve"> </w:t>
      </w:r>
    </w:p>
    <w:p w:rsidR="00051BDB" w:rsidRDefault="00051BDB" w:rsidP="00051BDB">
      <w:r>
        <w:t xml:space="preserve">First, of the six possible (and exhaustive) categories of obligations or requirements mentioned above, EBAs could conceivably only fall with an Act or instrument made or issued that 'materially affects a service provider's provision of electricity network services'. This is because the terms of an EBA could plausibly materially affect a service provider's provision of standard control services. However, that Act or instrument must be made by a 'participating jurisdiction'. Given a participating jurisdiction must have passed a version of the NEL, an EBA made under the Commonwealth's </w:t>
      </w:r>
      <w:r w:rsidRPr="00341973">
        <w:rPr>
          <w:rStyle w:val="AERtextitalic"/>
        </w:rPr>
        <w:t>Fair Work Act</w:t>
      </w:r>
      <w:r>
        <w:rPr>
          <w:rStyle w:val="AERtextitalic"/>
        </w:rPr>
        <w:t xml:space="preserve"> 2009</w:t>
      </w:r>
      <w:r w:rsidRPr="00976C4F">
        <w:t xml:space="preserve"> </w:t>
      </w:r>
      <w:r>
        <w:t>appears to be imposed by a law other than of a participating jurisdiction.</w:t>
      </w:r>
      <w:r>
        <w:rPr>
          <w:rStyle w:val="FootnoteReference"/>
        </w:rPr>
        <w:footnoteReference w:id="217"/>
      </w:r>
      <w:r>
        <w:t xml:space="preserve"> Further, the terms of an EBA itself are not contained in the </w:t>
      </w:r>
      <w:r w:rsidRPr="00341973">
        <w:rPr>
          <w:rStyle w:val="AERtextitalic"/>
        </w:rPr>
        <w:t>Fair Work Act</w:t>
      </w:r>
      <w:r>
        <w:rPr>
          <w:rStyle w:val="AERtextitalic"/>
        </w:rPr>
        <w:t xml:space="preserve"> 2009.</w:t>
      </w:r>
    </w:p>
    <w:p w:rsidR="00051BDB" w:rsidRPr="001F7C60" w:rsidRDefault="00051BDB" w:rsidP="00051BDB">
      <w:r>
        <w:lastRenderedPageBreak/>
        <w:t xml:space="preserve">Second, the consequences of breaching the </w:t>
      </w:r>
      <w:r w:rsidRPr="00341973">
        <w:rPr>
          <w:rStyle w:val="AERtextitalic"/>
        </w:rPr>
        <w:t>Fair Work Act</w:t>
      </w:r>
      <w:r>
        <w:rPr>
          <w:rStyle w:val="AERtextitalic"/>
        </w:rPr>
        <w:t xml:space="preserve"> 2009</w:t>
      </w:r>
      <w:r>
        <w:t xml:space="preserve"> </w:t>
      </w:r>
      <w:r w:rsidRPr="001F7C60">
        <w:t xml:space="preserve">are a separate and narrower subset of the potential consequences of </w:t>
      </w:r>
      <w:r>
        <w:t>a distributor</w:t>
      </w:r>
      <w:r w:rsidRPr="001F7C60">
        <w:t xml:space="preserve"> breaching </w:t>
      </w:r>
      <w:r>
        <w:t xml:space="preserve">its </w:t>
      </w:r>
      <w:r w:rsidRPr="001F7C60">
        <w:t xml:space="preserve">EBA. </w:t>
      </w:r>
    </w:p>
    <w:p w:rsidR="00051BDB" w:rsidRDefault="00051BDB" w:rsidP="00051BDB">
      <w:r>
        <w:t>Third, we consider that the interpretation advocated by submissions is contrary to the requirement in clause 6.5.6(a) for a proposal to include the total forecast opex for a regulatory control period. It is important to note that w</w:t>
      </w:r>
      <w:r w:rsidRPr="00B550A4">
        <w:t xml:space="preserve">hen we determine total forecast opex, we </w:t>
      </w:r>
      <w:r>
        <w:t>do so</w:t>
      </w:r>
      <w:r w:rsidRPr="00B550A4">
        <w:t xml:space="preserve"> </w:t>
      </w:r>
      <w:r>
        <w:t xml:space="preserve">within an overall incentive framework that requires the service provider to decide how to spend its </w:t>
      </w:r>
      <w:r w:rsidR="0058002F">
        <w:t xml:space="preserve">annual </w:t>
      </w:r>
      <w:r>
        <w:t xml:space="preserve">revenue requirement. As we mention above, a requirement that we consider the terms of EBAs when forming a view on total forecast opex would be more akin to a cost of service regime than an incentive regime. </w:t>
      </w:r>
    </w:p>
    <w:p w:rsidR="00051BDB" w:rsidRDefault="00051BDB" w:rsidP="00051BDB">
      <w:r>
        <w:t xml:space="preserve">Fourth, we note that while contractual or other obligations which do not fall within the definition are not regulatory obligations or requirements so defined, a service provider can still direct the revenue it recovers from customers (or from other sources) to comply with such obligations. The costs of compliance with obligations that are not within the definition of 'regulatory obligation or requirement' are treated like any other costs a service provider incurs. </w:t>
      </w:r>
    </w:p>
    <w:p w:rsidR="00051BDB" w:rsidRDefault="00051BDB" w:rsidP="00051BDB">
      <w:r>
        <w:t>Service providers have broad discretion about the contractual arrangements they enter into, and often have discretion about the manner in which they carry out their legal obligations.</w:t>
      </w:r>
      <w:r w:rsidRPr="00B550A4">
        <w:t xml:space="preserve"> </w:t>
      </w:r>
      <w:r>
        <w:t>This discretion often includes whether to enter into particular legal obligations, such as employment contracts or arrangements with contractors</w:t>
      </w:r>
      <w:r w:rsidRPr="00B550A4">
        <w:t xml:space="preserve">. </w:t>
      </w:r>
    </w:p>
    <w:p w:rsidR="00051BDB" w:rsidRDefault="00051BDB" w:rsidP="00051BDB">
      <w:r w:rsidRPr="00B550A4">
        <w:t xml:space="preserve">We do not seek to interfere in the </w:t>
      </w:r>
      <w:r>
        <w:t xml:space="preserve">discretion </w:t>
      </w:r>
      <w:r w:rsidRPr="00B550A4">
        <w:t xml:space="preserve">a service provider </w:t>
      </w:r>
      <w:r>
        <w:t xml:space="preserve">has as to </w:t>
      </w:r>
      <w:r w:rsidRPr="00B550A4">
        <w:t xml:space="preserve">how and when to spend </w:t>
      </w:r>
      <w:r>
        <w:t xml:space="preserve">its </w:t>
      </w:r>
      <w:r w:rsidRPr="00B550A4">
        <w:t xml:space="preserve">total </w:t>
      </w:r>
      <w:r>
        <w:t>opex forecast</w:t>
      </w:r>
      <w:r w:rsidRPr="00B550A4">
        <w:t xml:space="preserve"> to run its netwo</w:t>
      </w:r>
      <w:r>
        <w:t xml:space="preserve">rk. </w:t>
      </w:r>
      <w:r w:rsidRPr="00B550A4">
        <w:t xml:space="preserve">The service provider is free to </w:t>
      </w:r>
      <w:r>
        <w:t>decide how to manage its activities in light of the revenue recovered from consumers that we approve. Equally, the service provider bears the consequence of imprudent or inefficient decisions, including those relating to cost inputs or its response to demand forecasts.</w:t>
      </w:r>
      <w:r w:rsidRPr="00430CEC">
        <w:t xml:space="preserve"> </w:t>
      </w:r>
      <w:r w:rsidRPr="00B550A4">
        <w:t>When a service provider enters into an agreement of any kind, it does so in</w:t>
      </w:r>
      <w:r>
        <w:t xml:space="preserve"> the full knowledge </w:t>
      </w:r>
      <w:r w:rsidRPr="00B550A4">
        <w:t xml:space="preserve">that </w:t>
      </w:r>
      <w:r>
        <w:t>the forecast</w:t>
      </w:r>
      <w:r w:rsidRPr="00B550A4">
        <w:t xml:space="preserve"> will apply for five years, </w:t>
      </w:r>
      <w:r>
        <w:t xml:space="preserve">without any </w:t>
      </w:r>
      <w:r w:rsidRPr="00B550A4">
        <w:t xml:space="preserve">guarantee that the same or a similar </w:t>
      </w:r>
      <w:r>
        <w:t>forecast</w:t>
      </w:r>
      <w:r w:rsidRPr="00B550A4">
        <w:t xml:space="preserve"> will be approved for t</w:t>
      </w:r>
      <w:r>
        <w:t xml:space="preserve">he following five year period. </w:t>
      </w:r>
    </w:p>
    <w:p w:rsidR="00051BDB" w:rsidRPr="00DD2927" w:rsidRDefault="00051BDB" w:rsidP="00051BDB">
      <w:r w:rsidRPr="00DD2927">
        <w:t>As the AEMC notes, this underpins the incentive properties of the regulatory regime:</w:t>
      </w:r>
      <w:r w:rsidRPr="00DD2927">
        <w:rPr>
          <w:rStyle w:val="FootnoteReference"/>
        </w:rPr>
        <w:footnoteReference w:id="218"/>
      </w:r>
    </w:p>
    <w:p w:rsidR="00051BDB" w:rsidRPr="00DD2927" w:rsidRDefault="00051BDB" w:rsidP="00051BDB">
      <w:pPr>
        <w:pStyle w:val="AERquoteindent1"/>
      </w:pPr>
      <w:r w:rsidRPr="00DD2927">
        <w:t>The level, rather than the specific contents, of the approved expenditure allowances underpin the incentive properties of the regulatory regime in the NEM. That is, once a level of expenditure is set, it is locked in for a period of time, and it is up to the NSP to carry out its functions as it sees fit, subject to any service standards.</w:t>
      </w:r>
    </w:p>
    <w:p w:rsidR="00051BDB" w:rsidRDefault="00051BDB" w:rsidP="00051BDB">
      <w:r>
        <w:t xml:space="preserve">Accordingly, where a service provider has entered into an EBA which requires it to incur expenditure that, objectively, would be viewed as inefficient or imprudent or involving cost inputs that an objectively prudent provider would not be realistically expected to incur, it is for the service provider to bear the costs of its decisions. </w:t>
      </w:r>
    </w:p>
    <w:p w:rsidR="00051BDB" w:rsidRDefault="00051BDB" w:rsidP="00051BDB">
      <w:r>
        <w:lastRenderedPageBreak/>
        <w:t>Once we determine the opex forecast we are satisfied reasonably reflects the opex criteria, it is for a service provider to manage its business as it sees fit.  It is for the service provider to decide whether or not to fund particular projects, strategies or commitments to meet the demand for standard control services, comply with regulatory obligations and maintain safety and reliability. Our role is not to dictate how service providers spend money to comply with their broader obligations. We fund service providers so that if they are efficient and prudent, they will have sufficient opex to achieve the objectives.</w:t>
      </w:r>
    </w:p>
    <w:p w:rsidR="00051BDB" w:rsidRPr="0039725C" w:rsidRDefault="00051BDB" w:rsidP="00051BDB">
      <w:pPr>
        <w:pStyle w:val="HeadingBoldBlue"/>
      </w:pPr>
      <w:r>
        <w:t>Opex factors</w:t>
      </w:r>
    </w:p>
    <w:p w:rsidR="00051BDB" w:rsidRDefault="00051BDB" w:rsidP="00051BDB">
      <w:r>
        <w:t>We must take the opex factors into account in making</w:t>
      </w:r>
      <w:r w:rsidRPr="008825A2">
        <w:t xml:space="preserve"> our assessment</w:t>
      </w:r>
      <w:r>
        <w:t xml:space="preserve"> of whether a service provider's proposed forecast reasonably reflects the opex criteria. In this way, they function similarly to the </w:t>
      </w:r>
      <w:r w:rsidRPr="008825A2">
        <w:t>revenue and pricing principles</w:t>
      </w:r>
      <w:r>
        <w:t>. That is, they</w:t>
      </w:r>
      <w:r w:rsidRPr="008825A2">
        <w:t xml:space="preserve"> </w:t>
      </w:r>
      <w:r>
        <w:t>require us to have regard to matters, but give us discretion as to the weight we should apply to each</w:t>
      </w:r>
      <w:r w:rsidRPr="008825A2">
        <w:t>.</w:t>
      </w:r>
      <w:r>
        <w:rPr>
          <w:rStyle w:val="FootnoteReference"/>
        </w:rPr>
        <w:footnoteReference w:id="219"/>
      </w:r>
      <w:r>
        <w:t xml:space="preserve"> </w:t>
      </w:r>
    </w:p>
    <w:p w:rsidR="00051BDB" w:rsidRDefault="00051BDB" w:rsidP="00051BDB">
      <w:r>
        <w:t>Our approach has regard to each of the opex factors set out below:</w:t>
      </w:r>
    </w:p>
    <w:p w:rsidR="00051BDB" w:rsidRPr="00823165" w:rsidRDefault="00051BDB" w:rsidP="00051BDB">
      <w:pPr>
        <w:pStyle w:val="AERbulletlistfirststyle"/>
      </w:pPr>
      <w:r w:rsidRPr="00654E80">
        <w:t>the most recent annual benchmarking report that has been published under clause 6.27 and the benchmark operating expenditure that wou</w:t>
      </w:r>
      <w:r w:rsidRPr="00823165">
        <w:t>ld be incurred by an efficient distribution network service provider over the relevant regulatory control period</w:t>
      </w:r>
    </w:p>
    <w:p w:rsidR="00051BDB" w:rsidRPr="00823165" w:rsidRDefault="00051BDB" w:rsidP="00051BDB">
      <w:pPr>
        <w:pStyle w:val="AERbulletlistfirststyle"/>
      </w:pPr>
      <w:r w:rsidRPr="00654E80">
        <w:t>the actual and expected operating expenditur</w:t>
      </w:r>
      <w:r w:rsidRPr="00823165">
        <w:t>e of the distribution network service provider during any preceding regulatory control periods</w:t>
      </w:r>
    </w:p>
    <w:p w:rsidR="00051BDB" w:rsidRPr="00823165" w:rsidRDefault="00051BDB" w:rsidP="00051BDB">
      <w:pPr>
        <w:pStyle w:val="AERbulletlistfirststyle"/>
      </w:pPr>
      <w:r w:rsidRPr="00654E80">
        <w:t xml:space="preserve">the extent to which the operating expenditure forecast includes expenditure to address the concerns of electricity </w:t>
      </w:r>
      <w:r w:rsidRPr="00823165">
        <w:t>consumers as identified by the distribution network service provider in the course of its engagement with electricity consumers</w:t>
      </w:r>
    </w:p>
    <w:p w:rsidR="00051BDB" w:rsidRPr="00823165" w:rsidRDefault="00051BDB" w:rsidP="00051BDB">
      <w:pPr>
        <w:pStyle w:val="AERbulletlistfirststyle"/>
      </w:pPr>
      <w:r w:rsidRPr="00654E80">
        <w:t>the relative prices of operating and capital inputs</w:t>
      </w:r>
    </w:p>
    <w:p w:rsidR="00051BDB" w:rsidRPr="00823165" w:rsidRDefault="00051BDB" w:rsidP="00051BDB">
      <w:pPr>
        <w:pStyle w:val="AERbulletlistfirststyle"/>
      </w:pPr>
      <w:r w:rsidRPr="00654E80">
        <w:t>the substitution possibilities between operating and capital expenditure</w:t>
      </w:r>
    </w:p>
    <w:p w:rsidR="00051BDB" w:rsidRPr="00823165" w:rsidRDefault="00051BDB" w:rsidP="00051BDB">
      <w:pPr>
        <w:pStyle w:val="AERbulletlistfirststyle"/>
      </w:pPr>
      <w:r w:rsidRPr="00654E80">
        <w:t>whether the operating expenditure forecast is consistent with any incentive schem</w:t>
      </w:r>
      <w:r w:rsidRPr="00823165">
        <w:t>e or schemes that apply to the distribution network service provider under clauses 6.5.8 or 6.6.2 to 6.6.4</w:t>
      </w:r>
    </w:p>
    <w:p w:rsidR="00051BDB" w:rsidRPr="00823165" w:rsidRDefault="00051BDB" w:rsidP="00051BDB">
      <w:pPr>
        <w:pStyle w:val="AERbulletlistfirststyle"/>
      </w:pPr>
      <w:r w:rsidRPr="00654E80">
        <w:t>the extent the operating expenditure forecast is referable to arrangement</w:t>
      </w:r>
      <w:r w:rsidRPr="00823165">
        <w:t>s with a person other than the distribution network service provider that, in our opinion, do not reflect arm’s length terms</w:t>
      </w:r>
    </w:p>
    <w:p w:rsidR="00051BDB" w:rsidRPr="00823165" w:rsidRDefault="00051BDB" w:rsidP="00051BDB">
      <w:pPr>
        <w:pStyle w:val="AERbulletlistfirststyle"/>
      </w:pPr>
      <w:r w:rsidRPr="00654E80">
        <w:t>whether the operating expenditure forecast includes an amount relating to a project that should more appropriately be included as a contingent project under clause 6.6A.1(b)</w:t>
      </w:r>
    </w:p>
    <w:p w:rsidR="00051BDB" w:rsidRPr="00823165" w:rsidRDefault="00051BDB" w:rsidP="00051BDB">
      <w:pPr>
        <w:pStyle w:val="AERbulletlistfirststyle"/>
      </w:pPr>
      <w:r w:rsidRPr="00654E80">
        <w:lastRenderedPageBreak/>
        <w:t>t</w:t>
      </w:r>
      <w:r w:rsidRPr="00823165">
        <w:t xml:space="preserve">he extent to which the distribution network service provider has considered and made provision for efficient and prudent non-network alternatives </w:t>
      </w:r>
    </w:p>
    <w:p w:rsidR="00051BDB" w:rsidRPr="00823165" w:rsidRDefault="00051BDB" w:rsidP="00051BDB">
      <w:pPr>
        <w:pStyle w:val="AERbulletlistfirststyle"/>
      </w:pPr>
      <w:r w:rsidRPr="00654E80">
        <w:t>any relevant final project assessment conclusions report published under 5.17.4(o),(p) or (s)</w:t>
      </w:r>
    </w:p>
    <w:p w:rsidR="00051BDB" w:rsidRPr="00823165" w:rsidRDefault="00051BDB" w:rsidP="00051BDB">
      <w:pPr>
        <w:pStyle w:val="AERbulletlistfirststyle"/>
      </w:pPr>
      <w:r w:rsidRPr="00654E80">
        <w:t xml:space="preserve">any other factor we consider relevant </w:t>
      </w:r>
      <w:r w:rsidRPr="00823165">
        <w:t xml:space="preserve">and which we have notified the distribution network service provider in writing, prior to the submission of its revised regulatory proposal under clause 6.10.3, is an operating expenditure factor. </w:t>
      </w:r>
    </w:p>
    <w:p w:rsidR="00051BDB" w:rsidRDefault="00051BDB" w:rsidP="00051BDB">
      <w:r>
        <w:t>However, for assessing base opex, we have exercised our discretion to emphasise the following factors specified in clause 6.5.6(e):</w:t>
      </w:r>
    </w:p>
    <w:p w:rsidR="00051BDB" w:rsidRDefault="00051BDB" w:rsidP="00051BDB">
      <w:pPr>
        <w:pStyle w:val="AERbulletlistfirststyle"/>
      </w:pPr>
      <w:r>
        <w:t>the benchmark opex that would be incurred by an efficient service provider—we have had regard to the analysis and techniques used in our recent annual benchmarking report but we have also used other techniques in addition to those discussed in that document</w:t>
      </w:r>
    </w:p>
    <w:p w:rsidR="00051BDB" w:rsidRDefault="00051BDB" w:rsidP="00051BDB">
      <w:pPr>
        <w:pStyle w:val="AERbulletlistfirststyle"/>
      </w:pPr>
      <w:r>
        <w:t>recent operating expenditure—we use the operating expenditure of the service provider in previous periods, particularly the most recent  as a key input into our approach</w:t>
      </w:r>
    </w:p>
    <w:p w:rsidR="00051BDB" w:rsidRDefault="00051BDB" w:rsidP="00051BDB">
      <w:pPr>
        <w:pStyle w:val="AERbulletlistfirststyle"/>
      </w:pPr>
      <w:r>
        <w:t>the relative prices of operating and capital inputs—we use input prices to trend base opex such that the total forecast opex allowances reasonably reflect a realistic expectation of demand forecast and cost inputs.</w:t>
      </w:r>
    </w:p>
    <w:p w:rsidR="00051BDB" w:rsidRDefault="00051BDB" w:rsidP="00051BDB">
      <w:r>
        <w:t>We also have regard to the following opex factors which we consider relevant (and which we notified service providers of in our draft decisions):</w:t>
      </w:r>
    </w:p>
    <w:p w:rsidR="00051BDB" w:rsidRPr="005C1F78" w:rsidRDefault="00051BDB" w:rsidP="00051BDB">
      <w:pPr>
        <w:pStyle w:val="AERbulletlistfirststyle"/>
      </w:pPr>
      <w:r w:rsidRPr="005C1F78">
        <w:t xml:space="preserve">our benchmarking data sets including, but not necessarily limited to: </w:t>
      </w:r>
    </w:p>
    <w:p w:rsidR="00051BDB" w:rsidRDefault="00051BDB" w:rsidP="00051BDB">
      <w:pPr>
        <w:pStyle w:val="AERnumberedlistsecondstyle"/>
      </w:pPr>
      <w:r w:rsidRPr="005C1F78">
        <w:t xml:space="preserve">data contained in any economic benchmarking RIN, category analysis RIN, reset RIN or annual reporting RIN </w:t>
      </w:r>
    </w:p>
    <w:p w:rsidR="00051BDB" w:rsidRDefault="00051BDB" w:rsidP="00051BDB">
      <w:pPr>
        <w:pStyle w:val="AERnumberedlistsecondstyle"/>
      </w:pPr>
      <w:r w:rsidRPr="005C1F78">
        <w:t xml:space="preserve">any relevant data from international sources </w:t>
      </w:r>
    </w:p>
    <w:p w:rsidR="00051BDB" w:rsidRDefault="00051BDB" w:rsidP="00051BDB">
      <w:pPr>
        <w:pStyle w:val="AERnumberedlistsecondstyle"/>
      </w:pPr>
      <w:r w:rsidRPr="005C1F78">
        <w:t xml:space="preserve">data sets that support econometric modelling and other assessment techniques consistent with the approach set out in </w:t>
      </w:r>
      <w:r>
        <w:t xml:space="preserve">the Guideline </w:t>
      </w:r>
    </w:p>
    <w:p w:rsidR="00051BDB" w:rsidRPr="0039725C" w:rsidRDefault="00051BDB" w:rsidP="00051BDB">
      <w:pPr>
        <w:pStyle w:val="ListContinue"/>
      </w:pPr>
      <w:r w:rsidRPr="005C1F78">
        <w:t xml:space="preserve">as updated from time to time. </w:t>
      </w:r>
    </w:p>
    <w:p w:rsidR="00051BDB" w:rsidRDefault="00051BDB" w:rsidP="00051BDB">
      <w:pPr>
        <w:pStyle w:val="AERbulletlistfirststyle"/>
      </w:pPr>
      <w:r>
        <w:t>E</w:t>
      </w:r>
      <w:r w:rsidRPr="005C1F78">
        <w:t>conomic benchmarking techniques for assessing benchmark efficient expenditure including stochastic frontier analysis and regressions utilising functional forms such as Cobb Douglas and Translog.</w:t>
      </w:r>
      <w:r>
        <w:t xml:space="preserve"> </w:t>
      </w:r>
    </w:p>
    <w:p w:rsidR="00051BDB" w:rsidRPr="005C1F78" w:rsidRDefault="00051BDB" w:rsidP="00051BDB">
      <w:r>
        <w:t>We identified our preference for using econometric techniques in our explanatory statement to the Guideline.</w:t>
      </w:r>
      <w:r>
        <w:rPr>
          <w:rStyle w:val="FootnoteReference"/>
        </w:rPr>
        <w:footnoteReference w:id="220"/>
      </w:r>
      <w:r>
        <w:t xml:space="preserve"> </w:t>
      </w:r>
    </w:p>
    <w:p w:rsidR="00051BDB" w:rsidRPr="0039725C" w:rsidRDefault="00051BDB" w:rsidP="00051BDB">
      <w:r w:rsidRPr="00352D2C">
        <w:rPr>
          <w:rStyle w:val="AERbody"/>
        </w:rPr>
        <w:t>The NER were specifically</w:t>
      </w:r>
      <w:r w:rsidRPr="0039725C">
        <w:rPr>
          <w:rStyle w:val="AERbody"/>
        </w:rPr>
        <w:t xml:space="preserve"> amended to allow us to take account of additional factors.</w:t>
      </w:r>
      <w:r w:rsidRPr="0039725C">
        <w:rPr>
          <w:rStyle w:val="FootnoteReference"/>
        </w:rPr>
        <w:footnoteReference w:id="221"/>
      </w:r>
      <w:r w:rsidRPr="0039725C">
        <w:rPr>
          <w:rStyle w:val="AERbody"/>
        </w:rPr>
        <w:t xml:space="preserve"> Service providers were on notice of our intention to use benchmarking from the 2012 </w:t>
      </w:r>
      <w:r w:rsidRPr="0039725C">
        <w:rPr>
          <w:rStyle w:val="AERbody"/>
        </w:rPr>
        <w:lastRenderedPageBreak/>
        <w:t xml:space="preserve">rule change. </w:t>
      </w:r>
      <w:r>
        <w:rPr>
          <w:rStyle w:val="AERbody"/>
        </w:rPr>
        <w:t xml:space="preserve"> </w:t>
      </w:r>
      <w:r w:rsidRPr="00A557BE">
        <w:t xml:space="preserve">We consider that these factors are particularly relevant to our approach to assessing the service provider's </w:t>
      </w:r>
      <w:r>
        <w:t>opex forecast</w:t>
      </w:r>
      <w:r w:rsidRPr="002B2271">
        <w:t xml:space="preserve"> </w:t>
      </w:r>
      <w:r w:rsidRPr="00A557BE">
        <w:t>and, if necessary</w:t>
      </w:r>
      <w:r>
        <w:t>,</w:t>
      </w:r>
      <w:r w:rsidRPr="00A557BE">
        <w:t xml:space="preserve"> substituting</w:t>
      </w:r>
      <w:r>
        <w:t xml:space="preserve"> our own opex forecast</w:t>
      </w:r>
      <w:r w:rsidRPr="0039725C">
        <w:t>.</w:t>
      </w:r>
    </w:p>
    <w:p w:rsidR="00051BDB" w:rsidRDefault="00051BDB" w:rsidP="00051BDB">
      <w:r>
        <w:t>We have used our discretion to give weight to the opex factors which we consider are most relevant to our approach. The AEMC has recognised our discretion in this regard:</w:t>
      </w:r>
      <w:r>
        <w:rPr>
          <w:rStyle w:val="FootnoteReference"/>
        </w:rPr>
        <w:footnoteReference w:id="222"/>
      </w:r>
    </w:p>
    <w:p w:rsidR="00051BDB" w:rsidRPr="008825A2" w:rsidRDefault="00051BDB" w:rsidP="00051BDB">
      <w:pPr>
        <w:pStyle w:val="AERquoteindent1"/>
      </w:pPr>
      <w:r w:rsidRPr="00A557BE">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r>
        <w:t>.</w:t>
      </w:r>
    </w:p>
    <w:p w:rsidR="00051BDB" w:rsidRDefault="00051BDB" w:rsidP="00051BDB">
      <w:r>
        <w:t>We have received submissions stating that we have placed unreasonable weight on benchmarking and "almost solely" relied on it as a deterministic or mechanistic tool.</w:t>
      </w:r>
      <w:r>
        <w:rPr>
          <w:rStyle w:val="FootnoteReference"/>
        </w:rPr>
        <w:footnoteReference w:id="223"/>
      </w:r>
      <w:r>
        <w:t xml:space="preserve"> They consider benchmarking is but one of the opex factors relevant to forming a view on whether total forecast opex proposals reasonably reflect the opex criteria. Additionally, they consider t</w:t>
      </w:r>
      <w:r w:rsidRPr="009520B1">
        <w:t xml:space="preserve">he </w:t>
      </w:r>
      <w:r>
        <w:t xml:space="preserve">NER </w:t>
      </w:r>
      <w:r w:rsidRPr="009520B1">
        <w:t xml:space="preserve">seek </w:t>
      </w:r>
      <w:r>
        <w:t>we</w:t>
      </w:r>
      <w:r w:rsidRPr="009520B1">
        <w:t xml:space="preserve"> undertake a broader ex</w:t>
      </w:r>
      <w:r>
        <w:t>amination of a service provider's proposal, but that we did not do this in the draft decision.</w:t>
      </w:r>
      <w:r w:rsidRPr="002624A9">
        <w:rPr>
          <w:rStyle w:val="FootnoteReference"/>
        </w:rPr>
        <w:footnoteReference w:id="224"/>
      </w:r>
      <w:r>
        <w:t xml:space="preserve"> Some submissions also state that the purpose of the benchmarking factor is:</w:t>
      </w:r>
      <w:r>
        <w:rPr>
          <w:rStyle w:val="FootnoteReference"/>
        </w:rPr>
        <w:footnoteReference w:id="225"/>
      </w:r>
    </w:p>
    <w:p w:rsidR="00051BDB" w:rsidRDefault="00051BDB" w:rsidP="00051BDB">
      <w:pPr>
        <w:pStyle w:val="AERquoteindent1"/>
      </w:pPr>
      <w:r>
        <w:t xml:space="preserve">...for </w:t>
      </w:r>
      <w:r w:rsidRPr="00CD32CE">
        <w:t>the AER to consider whether available benchmarking information can provide a partial indicator of the efficiency of the forecast expenditure, and if so the investigations and weight that should be ascribed to that data</w:t>
      </w:r>
      <w:r>
        <w:t>.</w:t>
      </w:r>
    </w:p>
    <w:p w:rsidR="00051BDB" w:rsidRDefault="00051BDB" w:rsidP="00051BDB">
      <w:pPr>
        <w:rPr>
          <w:rStyle w:val="AERbody"/>
        </w:rPr>
      </w:pPr>
      <w:r>
        <w:rPr>
          <w:rStyle w:val="AERbody"/>
        </w:rPr>
        <w:t>We disagree and consider we have had appropriate and reasonable regard to benchmarking, together with other techniques</w:t>
      </w:r>
      <w:r w:rsidRPr="00CE347E">
        <w:rPr>
          <w:rStyle w:val="AERbody"/>
        </w:rPr>
        <w:t xml:space="preserve"> </w:t>
      </w:r>
      <w:r>
        <w:rPr>
          <w:rStyle w:val="AERbody"/>
        </w:rPr>
        <w:t xml:space="preserve">in assessing the revised proposals. </w:t>
      </w:r>
    </w:p>
    <w:p w:rsidR="00051BDB" w:rsidRDefault="00051BDB" w:rsidP="00051BDB">
      <w:r>
        <w:rPr>
          <w:rStyle w:val="AERbody"/>
        </w:rPr>
        <w:t>We agree that benchmarking is one of several opex factors that we are required to 'have regard to'. However, as we explain above,</w:t>
      </w:r>
      <w:r>
        <w:t xml:space="preserve"> we have discretion as to how we have regard to each opex factor, including how much weight we attach to them. Indeed, the AEMC has stated that we may decide certain factors are not relevant.</w:t>
      </w:r>
      <w:r>
        <w:rPr>
          <w:rStyle w:val="FootnoteReference"/>
        </w:rPr>
        <w:footnoteReference w:id="226"/>
      </w:r>
      <w:r>
        <w:t xml:space="preserve"> We explained this in our draft decision</w:t>
      </w:r>
      <w:r>
        <w:rPr>
          <w:rStyle w:val="FootnoteReference"/>
        </w:rPr>
        <w:footnoteReference w:id="227"/>
      </w:r>
      <w:r>
        <w:t xml:space="preserve"> and the explanatory statement to the Guideline.</w:t>
      </w:r>
      <w:r>
        <w:rPr>
          <w:rStyle w:val="FootnoteReference"/>
        </w:rPr>
        <w:footnoteReference w:id="228"/>
      </w:r>
    </w:p>
    <w:p w:rsidR="00051BDB" w:rsidRDefault="00051BDB" w:rsidP="00051BDB">
      <w:pPr>
        <w:rPr>
          <w:rStyle w:val="AERbody"/>
        </w:rPr>
      </w:pPr>
      <w:r>
        <w:rPr>
          <w:rStyle w:val="AERbody"/>
        </w:rPr>
        <w:lastRenderedPageBreak/>
        <w:t>We consider it appropriate to give prominent, but not overwhelming weight to benchmarking base opex based on the robustness of the data and techniques and its utility in overcoming information asymmetry and in providing comparisons amongst firms in the NEM. Many stakeholders agree with this approach.</w:t>
      </w:r>
      <w:r>
        <w:rPr>
          <w:rStyle w:val="FootnoteReference"/>
        </w:rPr>
        <w:footnoteReference w:id="229"/>
      </w:r>
      <w:r w:rsidRPr="00CD32CE">
        <w:rPr>
          <w:rStyle w:val="AERbody"/>
        </w:rPr>
        <w:t xml:space="preserve"> </w:t>
      </w:r>
      <w:r>
        <w:rPr>
          <w:rStyle w:val="AERbody"/>
        </w:rPr>
        <w:t>Our decision to use benchmarking techniques in our assessment of opex is consistent with the recommendations of the Productivity Commission,</w:t>
      </w:r>
      <w:r>
        <w:rPr>
          <w:rStyle w:val="FootnoteReference"/>
        </w:rPr>
        <w:footnoteReference w:id="230"/>
      </w:r>
      <w:r>
        <w:rPr>
          <w:rStyle w:val="AERbody"/>
        </w:rPr>
        <w:t xml:space="preserve"> the Australian Government's response to those recommendations</w:t>
      </w:r>
      <w:r>
        <w:rPr>
          <w:rStyle w:val="FootnoteReference"/>
        </w:rPr>
        <w:footnoteReference w:id="231"/>
      </w:r>
      <w:r>
        <w:rPr>
          <w:rStyle w:val="AERbody"/>
        </w:rPr>
        <w:t xml:space="preserve"> and the AEMC's intent:</w:t>
      </w:r>
      <w:r>
        <w:rPr>
          <w:rStyle w:val="FootnoteReference"/>
        </w:rPr>
        <w:footnoteReference w:id="232"/>
      </w:r>
    </w:p>
    <w:p w:rsidR="00051BDB" w:rsidRPr="004566E9" w:rsidRDefault="00051BDB" w:rsidP="00051BDB">
      <w:pPr>
        <w:pStyle w:val="AERquoteindent1"/>
        <w:rPr>
          <w:rStyle w:val="AERbody"/>
        </w:rPr>
      </w:pPr>
      <w:r w:rsidRPr="001C3972">
        <w:t xml:space="preserve">The Commission considers that benchmarking is a critical exercise in assessing the efficiency of a NSP and approving its capital expenditure and operating expenditure allowances. </w:t>
      </w:r>
    </w:p>
    <w:p w:rsidR="00051BDB" w:rsidRDefault="00051BDB" w:rsidP="00051BDB">
      <w:pPr>
        <w:rPr>
          <w:rStyle w:val="AERbody"/>
        </w:rPr>
      </w:pPr>
      <w:r>
        <w:rPr>
          <w:rStyle w:val="AERbody"/>
        </w:rPr>
        <w:t xml:space="preserve">Neither the NER nor the AEMC's Final Rule Determination requires us to use benchmarking only as a means of identifying issues for </w:t>
      </w:r>
      <w:r w:rsidRPr="002F1D72">
        <w:rPr>
          <w:rStyle w:val="AERbody"/>
        </w:rPr>
        <w:t xml:space="preserve">further </w:t>
      </w:r>
      <w:r>
        <w:rPr>
          <w:rStyle w:val="AERbody"/>
        </w:rPr>
        <w:t>investigation, as some service providers have suggested.</w:t>
      </w:r>
      <w:r>
        <w:rPr>
          <w:rStyle w:val="FootnoteReference"/>
        </w:rPr>
        <w:footnoteReference w:id="233"/>
      </w:r>
      <w:r>
        <w:rPr>
          <w:rStyle w:val="AERbody"/>
        </w:rPr>
        <w:t xml:space="preserve"> </w:t>
      </w:r>
    </w:p>
    <w:p w:rsidR="00051BDB" w:rsidRDefault="00051BDB" w:rsidP="00051BDB">
      <w:pPr>
        <w:rPr>
          <w:rStyle w:val="AERbody"/>
        </w:rPr>
      </w:pPr>
      <w:r>
        <w:rPr>
          <w:rStyle w:val="AERbody"/>
        </w:rPr>
        <w:t xml:space="preserve">We also consider that our benchmarking approach is well supported by the available evidence. We have had regard to the criticisms of this approach, in their proper context of a proposed model followed by subsequent analysis and critique. </w:t>
      </w:r>
    </w:p>
    <w:p w:rsidR="00051BDB" w:rsidRDefault="00051BDB" w:rsidP="00051BDB">
      <w:pPr>
        <w:numPr>
          <w:ilvl w:val="0"/>
          <w:numId w:val="24"/>
        </w:numPr>
        <w:rPr>
          <w:rStyle w:val="AERbody"/>
        </w:rPr>
      </w:pPr>
      <w:r>
        <w:rPr>
          <w:rStyle w:val="AERbody"/>
        </w:rPr>
        <w:t>Some submissions consider</w:t>
      </w:r>
      <w:r w:rsidRPr="00FC50E5">
        <w:rPr>
          <w:rStyle w:val="AERbody"/>
        </w:rPr>
        <w:t xml:space="preserve"> that our reliance on benchmarking </w:t>
      </w:r>
      <w:r>
        <w:rPr>
          <w:rStyle w:val="AERbody"/>
        </w:rPr>
        <w:t xml:space="preserve">in the draft decision would </w:t>
      </w:r>
      <w:r w:rsidRPr="00FC50E5">
        <w:rPr>
          <w:rStyle w:val="AERbody"/>
        </w:rPr>
        <w:t xml:space="preserve">amount to an error of law which ought to result in the invalidity of </w:t>
      </w:r>
      <w:r>
        <w:rPr>
          <w:rStyle w:val="AERbody"/>
        </w:rPr>
        <w:t>our</w:t>
      </w:r>
      <w:r w:rsidRPr="00FC50E5">
        <w:rPr>
          <w:rStyle w:val="AERbody"/>
        </w:rPr>
        <w:t xml:space="preserve"> decision</w:t>
      </w:r>
      <w:r>
        <w:rPr>
          <w:rStyle w:val="AERbody"/>
        </w:rPr>
        <w:t xml:space="preserve"> should we maintain that approach in the final decision</w:t>
      </w:r>
      <w:r w:rsidRPr="00FC50E5">
        <w:rPr>
          <w:rStyle w:val="AERbody"/>
        </w:rPr>
        <w:t>.</w:t>
      </w:r>
      <w:r w:rsidRPr="00FC50E5">
        <w:rPr>
          <w:rStyle w:val="FootnoteReference"/>
        </w:rPr>
        <w:footnoteReference w:id="234"/>
      </w:r>
      <w:r w:rsidRPr="00FC50E5">
        <w:rPr>
          <w:rStyle w:val="AERbody"/>
        </w:rPr>
        <w:t xml:space="preserve"> </w:t>
      </w:r>
    </w:p>
    <w:p w:rsidR="00051BDB" w:rsidRPr="00654E80" w:rsidRDefault="00051BDB" w:rsidP="00051BDB">
      <w:pPr>
        <w:numPr>
          <w:ilvl w:val="0"/>
          <w:numId w:val="24"/>
        </w:numPr>
      </w:pPr>
      <w:r>
        <w:rPr>
          <w:rStyle w:val="AERbody"/>
        </w:rPr>
        <w:t>We disagree with this view because the NER specifically require that we undertake benchmarking, not just arising from the benchmarking opex factor, but also from the opex criteria themselves. As we mention above, the criteria require that we examine efficient costs that an objectively prudent operator would require to achieve the opex objectives.</w:t>
      </w:r>
      <w:r>
        <w:rPr>
          <w:rStyle w:val="FootnoteReference"/>
        </w:rPr>
        <w:footnoteReference w:id="235"/>
      </w:r>
      <w:r>
        <w:rPr>
          <w:rStyle w:val="AERbody"/>
        </w:rPr>
        <w:t xml:space="preserve"> This invites a comparison of service providers. Additionally, the </w:t>
      </w:r>
      <w:r w:rsidRPr="00654E80">
        <w:t xml:space="preserve">AEMC </w:t>
      </w:r>
      <w:r w:rsidRPr="00654E80">
        <w:lastRenderedPageBreak/>
        <w:t>highlighted the importance of benchmarking in its changes to the NER in November 2012:</w:t>
      </w:r>
      <w:r w:rsidRPr="00654E80">
        <w:rPr>
          <w:rStyle w:val="FootnoteReference"/>
        </w:rPr>
        <w:footnoteReference w:id="236"/>
      </w:r>
    </w:p>
    <w:p w:rsidR="00051BDB" w:rsidRPr="00654E80" w:rsidRDefault="00051BDB" w:rsidP="00051BDB">
      <w:pPr>
        <w:pStyle w:val="AERquote"/>
      </w:pPr>
      <w:r w:rsidRPr="00654E80">
        <w:t>The Commission views benchmarking as an important exercise in assessing the efficiency of a NSP and informing the determination of the appropriate capex or opex allowance.</w:t>
      </w:r>
    </w:p>
    <w:p w:rsidR="00051BDB" w:rsidRDefault="00051BDB" w:rsidP="00051BDB">
      <w:pPr>
        <w:rPr>
          <w:rStyle w:val="AERbody"/>
        </w:rPr>
      </w:pPr>
      <w:r w:rsidRPr="00654E80">
        <w:t xml:space="preserve">By benchmarking a service provider's expenditure we can compare its </w:t>
      </w:r>
      <w:r>
        <w:t>efficiency</w:t>
      </w:r>
      <w:r w:rsidRPr="00654E80">
        <w:t xml:space="preserve"> over time, and </w:t>
      </w:r>
      <w:r>
        <w:t xml:space="preserve">relative </w:t>
      </w:r>
      <w:r w:rsidRPr="00654E80">
        <w:t>to</w:t>
      </w:r>
      <w:r>
        <w:t xml:space="preserve"> the efficiency of</w:t>
      </w:r>
      <w:r w:rsidRPr="00654E80">
        <w:t xml:space="preserve"> other service providers.</w:t>
      </w:r>
    </w:p>
    <w:p w:rsidR="00051BDB" w:rsidRDefault="00051BDB" w:rsidP="00051BDB">
      <w:pPr>
        <w:rPr>
          <w:rStyle w:val="AERbody"/>
        </w:rPr>
      </w:pPr>
      <w:r>
        <w:rPr>
          <w:rStyle w:val="AERbody"/>
        </w:rPr>
        <w:t>In previous regulatory periods, we have applied a revealed cost methodology to forecast opex. We have previously not been in a position to assess the efficiency of base opex when applying the revealed cost methodology because we did not have reliable benchmarking data and techniques to make that assessment.</w:t>
      </w:r>
      <w:r>
        <w:rPr>
          <w:rStyle w:val="FootnoteReference"/>
        </w:rPr>
        <w:footnoteReference w:id="237"/>
      </w:r>
      <w:r>
        <w:rPr>
          <w:rStyle w:val="AERbody"/>
        </w:rPr>
        <w:t xml:space="preserve"> </w:t>
      </w:r>
    </w:p>
    <w:p w:rsidR="00051BDB" w:rsidRDefault="00051BDB" w:rsidP="00051BDB">
      <w:pPr>
        <w:rPr>
          <w:rStyle w:val="AERbody"/>
        </w:rPr>
      </w:pPr>
      <w:r w:rsidRPr="00DD76BD">
        <w:rPr>
          <w:rStyle w:val="AERbody"/>
        </w:rPr>
        <w:t xml:space="preserve">In this decision, we also use revealed costs. However, we now have reliable and robust data that allow us to </w:t>
      </w:r>
      <w:r>
        <w:rPr>
          <w:rStyle w:val="AERbody"/>
        </w:rPr>
        <w:t>a</w:t>
      </w:r>
      <w:r w:rsidRPr="00DD76BD">
        <w:rPr>
          <w:rStyle w:val="AERbody"/>
        </w:rPr>
        <w:t>ssess relative efficiency and</w:t>
      </w:r>
      <w:r>
        <w:rPr>
          <w:rStyle w:val="AERbody"/>
        </w:rPr>
        <w:t xml:space="preserve">, </w:t>
      </w:r>
      <w:r w:rsidRPr="00DD76BD">
        <w:rPr>
          <w:rStyle w:val="AERbody"/>
        </w:rPr>
        <w:t>where that assessment demonstrates that revealed costs are materially inefficient</w:t>
      </w:r>
      <w:r>
        <w:rPr>
          <w:rStyle w:val="AERbody"/>
        </w:rPr>
        <w:t>,</w:t>
      </w:r>
      <w:r w:rsidRPr="00DD76BD">
        <w:rPr>
          <w:rStyle w:val="AERbody"/>
        </w:rPr>
        <w:t xml:space="preserve"> to develop an alternative forecast</w:t>
      </w:r>
      <w:r>
        <w:rPr>
          <w:rStyle w:val="AERbody"/>
        </w:rPr>
        <w:t>. In this decision, we have been able to benchmark service providers' opex using various benchmark modelling techniques.  We have also applied a range of other quantitative and qualitative techniques to test the validity and consistency of the results. We have:</w:t>
      </w:r>
    </w:p>
    <w:p w:rsidR="00051BDB" w:rsidRDefault="00051BDB" w:rsidP="00051BDB">
      <w:pPr>
        <w:pStyle w:val="AERbulletlistfirststyle"/>
        <w:rPr>
          <w:rStyle w:val="AERbody"/>
        </w:rPr>
      </w:pPr>
      <w:r>
        <w:rPr>
          <w:rStyle w:val="AERbody"/>
        </w:rPr>
        <w:t>used category analysis, which allows us to examine specific key cost drivers between businesses</w:t>
      </w:r>
    </w:p>
    <w:p w:rsidR="00051BDB" w:rsidRDefault="00051BDB" w:rsidP="00051BDB">
      <w:pPr>
        <w:pStyle w:val="AERbulletlistfirststyle"/>
        <w:rPr>
          <w:rStyle w:val="AERbody"/>
        </w:rPr>
      </w:pPr>
      <w:r>
        <w:rPr>
          <w:rStyle w:val="AERbody"/>
        </w:rPr>
        <w:t>conducted detailed reviews of certain historical and proposed opex, such as labour costs.</w:t>
      </w:r>
    </w:p>
    <w:p w:rsidR="00051BDB" w:rsidRDefault="00051BDB" w:rsidP="00051BDB">
      <w:pPr>
        <w:rPr>
          <w:rStyle w:val="AERbody"/>
        </w:rPr>
      </w:pPr>
      <w:r>
        <w:rPr>
          <w:rStyle w:val="AERbody"/>
        </w:rPr>
        <w:t xml:space="preserve">These approaches are set out in more detail in section </w:t>
      </w:r>
      <w:r>
        <w:rPr>
          <w:rStyle w:val="AERbody"/>
        </w:rPr>
        <w:fldChar w:fldCharType="begin"/>
      </w:r>
      <w:r>
        <w:rPr>
          <w:rStyle w:val="AERbody"/>
        </w:rPr>
        <w:instrText xml:space="preserve"> REF _Ref399833221 \n \h </w:instrText>
      </w:r>
      <w:r>
        <w:rPr>
          <w:rStyle w:val="AERbody"/>
        </w:rPr>
      </w:r>
      <w:r>
        <w:rPr>
          <w:rStyle w:val="AERbody"/>
        </w:rPr>
        <w:fldChar w:fldCharType="separate"/>
      </w:r>
      <w:r w:rsidR="00C74791">
        <w:rPr>
          <w:rStyle w:val="AERbody"/>
        </w:rPr>
        <w:t>A.5</w:t>
      </w:r>
      <w:r>
        <w:rPr>
          <w:rStyle w:val="AERbody"/>
        </w:rPr>
        <w:fldChar w:fldCharType="end"/>
      </w:r>
      <w:r>
        <w:rPr>
          <w:rStyle w:val="AERbody"/>
        </w:rPr>
        <w:t>.</w:t>
      </w:r>
    </w:p>
    <w:p w:rsidR="00051BDB" w:rsidRDefault="00051BDB" w:rsidP="00051BDB">
      <w:pPr>
        <w:rPr>
          <w:rStyle w:val="AERbody"/>
        </w:rPr>
      </w:pPr>
      <w:r>
        <w:rPr>
          <w:rStyle w:val="AERbody"/>
        </w:rPr>
        <w:t>We have also decided to change the benchmark comparison point, which takes the lowest efficiency score of the service providers in the top quartile of possible efficiency scores rather than the frontier performer (CitiPower). Lowering the benchmark comparison point is an option suggested in response to our draft decision.</w:t>
      </w:r>
      <w:r>
        <w:rPr>
          <w:rStyle w:val="FootnoteReference"/>
        </w:rPr>
        <w:footnoteReference w:id="238"/>
      </w:r>
      <w:r>
        <w:rPr>
          <w:rStyle w:val="AERbody"/>
        </w:rPr>
        <w:t xml:space="preserve"> </w:t>
      </w:r>
      <w:r>
        <w:t xml:space="preserve"> </w:t>
      </w:r>
    </w:p>
    <w:p w:rsidR="00051BDB" w:rsidRDefault="00051BDB" w:rsidP="00051BDB">
      <w:r>
        <w:rPr>
          <w:rStyle w:val="AERbody"/>
        </w:rPr>
        <w:t>We do not agree that adjusting base opex through benchmarking constitutes an unfair post hoc review or disregards our past decisions.</w:t>
      </w:r>
      <w:r>
        <w:rPr>
          <w:rStyle w:val="FootnoteReference"/>
        </w:rPr>
        <w:footnoteReference w:id="239"/>
      </w:r>
      <w:r w:rsidRPr="0098510E">
        <w:t xml:space="preserve"> </w:t>
      </w:r>
      <w:r>
        <w:t xml:space="preserve">Submissions to this effect </w:t>
      </w:r>
      <w:r w:rsidRPr="0098510E">
        <w:t xml:space="preserve">misunderstand the purpose of our </w:t>
      </w:r>
      <w:r>
        <w:t>forecasting approach</w:t>
      </w:r>
      <w:r w:rsidRPr="0098510E">
        <w:t>. The purpose of adjusting revealed costs for benchmarking is not to take back funding allocated in a previous regulatory period</w:t>
      </w:r>
      <w:r>
        <w:t xml:space="preserve">. </w:t>
      </w:r>
      <w:r w:rsidRPr="0098510E">
        <w:t xml:space="preserve"> It is to properly assess </w:t>
      </w:r>
      <w:r>
        <w:t>whether the proposed forecast for the</w:t>
      </w:r>
      <w:r w:rsidRPr="0098510E">
        <w:t xml:space="preserve"> </w:t>
      </w:r>
      <w:r>
        <w:t>upcoming regulatory control period reasonably reflects the opex criteria</w:t>
      </w:r>
      <w:r w:rsidRPr="0098510E">
        <w:t xml:space="preserve">. That </w:t>
      </w:r>
      <w:r w:rsidRPr="0098510E">
        <w:lastRenderedPageBreak/>
        <w:t xml:space="preserve">adjustment is based on </w:t>
      </w:r>
      <w:r>
        <w:t xml:space="preserve">an assessment of actual historic costs </w:t>
      </w:r>
      <w:r w:rsidRPr="0098510E">
        <w:t xml:space="preserve">we know </w:t>
      </w:r>
      <w:r>
        <w:t>have been sufficient to enable</w:t>
      </w:r>
      <w:r w:rsidRPr="0098510E">
        <w:t xml:space="preserve"> </w:t>
      </w:r>
      <w:r>
        <w:t xml:space="preserve">service providers </w:t>
      </w:r>
      <w:r w:rsidRPr="0098510E">
        <w:t xml:space="preserve">to </w:t>
      </w:r>
      <w:r>
        <w:t>achieve</w:t>
      </w:r>
      <w:r w:rsidRPr="0098510E">
        <w:t xml:space="preserve"> the opex objectives. </w:t>
      </w:r>
    </w:p>
    <w:p w:rsidR="00051BDB" w:rsidRPr="00247C0E" w:rsidRDefault="00051BDB" w:rsidP="00051BDB">
      <w:pPr>
        <w:rPr>
          <w:rStyle w:val="AERtexthighlight"/>
        </w:rPr>
      </w:pPr>
      <w:r w:rsidRPr="00247C0E">
        <w:rPr>
          <w:rStyle w:val="AERbody"/>
        </w:rPr>
        <w:t>Our economic benchmarking models suggest that there has been a longstanding efficiency gap between the NSW</w:t>
      </w:r>
      <w:r>
        <w:rPr>
          <w:rStyle w:val="AERbody"/>
        </w:rPr>
        <w:t>,</w:t>
      </w:r>
      <w:r w:rsidRPr="00247C0E">
        <w:rPr>
          <w:rStyle w:val="AERbody"/>
        </w:rPr>
        <w:t xml:space="preserve"> ACT </w:t>
      </w:r>
      <w:r>
        <w:rPr>
          <w:rStyle w:val="AERbody"/>
        </w:rPr>
        <w:t xml:space="preserve">and QLD </w:t>
      </w:r>
      <w:r w:rsidRPr="00247C0E">
        <w:rPr>
          <w:rStyle w:val="AERbody"/>
        </w:rPr>
        <w:t>service providers and those in</w:t>
      </w:r>
      <w:r>
        <w:rPr>
          <w:rStyle w:val="AERbody"/>
        </w:rPr>
        <w:t xml:space="preserve"> other parts</w:t>
      </w:r>
      <w:r w:rsidRPr="00247C0E">
        <w:rPr>
          <w:rStyle w:val="AERbody"/>
        </w:rPr>
        <w:t xml:space="preserve"> of the NEM.</w:t>
      </w:r>
      <w:r>
        <w:rPr>
          <w:rStyle w:val="FootnoteReference"/>
        </w:rPr>
        <w:footnoteReference w:id="240"/>
      </w:r>
      <w:r w:rsidRPr="00247C0E">
        <w:rPr>
          <w:rStyle w:val="AERbody"/>
        </w:rPr>
        <w:t xml:space="preserve"> </w:t>
      </w:r>
    </w:p>
    <w:p w:rsidR="00051BDB" w:rsidRPr="0098510E" w:rsidRDefault="00051BDB" w:rsidP="00051BDB">
      <w:r>
        <w:t>If our</w:t>
      </w:r>
      <w:r w:rsidRPr="0098510E">
        <w:t xml:space="preserve"> benchmarking indicate</w:t>
      </w:r>
      <w:r>
        <w:t>d</w:t>
      </w:r>
      <w:r w:rsidRPr="0098510E">
        <w:t xml:space="preserve"> that </w:t>
      </w:r>
      <w:r>
        <w:t xml:space="preserve">the proposed base year opex was relatively efficient, those revealed </w:t>
      </w:r>
      <w:r w:rsidRPr="0098510E">
        <w:t xml:space="preserve">costs </w:t>
      </w:r>
      <w:r>
        <w:t xml:space="preserve">would </w:t>
      </w:r>
      <w:r w:rsidRPr="0098510E">
        <w:t xml:space="preserve">remain the </w:t>
      </w:r>
      <w:r>
        <w:t>starting point for</w:t>
      </w:r>
      <w:r w:rsidRPr="0098510E">
        <w:t xml:space="preserve"> assess</w:t>
      </w:r>
      <w:r>
        <w:t>ing</w:t>
      </w:r>
      <w:r w:rsidRPr="0098510E">
        <w:t xml:space="preserve"> future expenditure. Where benchmarking reveals that base opex costs are not a good proxy for future </w:t>
      </w:r>
      <w:r>
        <w:t>forecasts</w:t>
      </w:r>
      <w:r w:rsidRPr="0098510E">
        <w:t xml:space="preserve">, we are able to take account of this information and adjust the base opex accordingly. </w:t>
      </w:r>
    </w:p>
    <w:p w:rsidR="00051BDB" w:rsidRDefault="00051BDB" w:rsidP="00051BDB">
      <w:r w:rsidRPr="0098510E">
        <w:t>Some service providers suggested that our decision to adjust base opex means that we have not had regard to our previous decisions</w:t>
      </w:r>
      <w:r>
        <w:t>, or that a step change had occurred from revealed costs to benchmarking</w:t>
      </w:r>
      <w:r w:rsidRPr="0098510E">
        <w:t>.</w:t>
      </w:r>
      <w:r>
        <w:rPr>
          <w:rStyle w:val="FootnoteReference"/>
        </w:rPr>
        <w:footnoteReference w:id="241"/>
      </w:r>
      <w:r w:rsidRPr="0098510E">
        <w:t xml:space="preserve"> </w:t>
      </w:r>
    </w:p>
    <w:p w:rsidR="00051BDB" w:rsidRDefault="00051BDB" w:rsidP="00051BDB">
      <w:r w:rsidRPr="0098510E">
        <w:t xml:space="preserve">We do not consider that taking account of further information, which we have collected in compliance with an express requirement in the NER, constitutes a lack of regard to our past decisions. </w:t>
      </w:r>
      <w:r>
        <w:t>Nor do we consider it a step change. It is not an unavoidable change in activity due to an external obligation.</w:t>
      </w:r>
      <w:r>
        <w:rPr>
          <w:rStyle w:val="FootnoteReference"/>
        </w:rPr>
        <w:footnoteReference w:id="242"/>
      </w:r>
      <w:r>
        <w:t xml:space="preserve"> As set out above, we do not require service providers to spend revenue they recover from consumers on any particular activity, nor do we limit or require their spending to this amount. </w:t>
      </w:r>
    </w:p>
    <w:p w:rsidR="00051BDB" w:rsidRDefault="00051BDB" w:rsidP="00051BDB">
      <w:r>
        <w:t>All stakeholders should expect us to use new techniques and information when they become available.</w:t>
      </w:r>
      <w:r>
        <w:rPr>
          <w:rStyle w:val="FootnoteReference"/>
        </w:rPr>
        <w:footnoteReference w:id="243"/>
      </w:r>
      <w:r>
        <w:t xml:space="preserve"> We have not moved away from revealed costs. Rather, we have used new techniques to ensure that we are better able to make a decision that reasonably reflects the opex criteria for the future. Our approach represents a refinement of our longstanding approach to assessing opex. </w:t>
      </w:r>
    </w:p>
    <w:p w:rsidR="00051BDB" w:rsidRDefault="00051BDB" w:rsidP="00051BDB">
      <w:pPr>
        <w:rPr>
          <w:rStyle w:val="AERtexthighlight"/>
        </w:rPr>
      </w:pPr>
      <w:r>
        <w:t xml:space="preserve">As set out above, our intention to use benchmarking has been the subject of an AEMC rule change and extensive consultation. The results of our benchmarking indicate that previous incentive signals and schemes used to motivate service providers were not sufficient. </w:t>
      </w:r>
    </w:p>
    <w:p w:rsidR="00756041" w:rsidRDefault="00756041">
      <w:pPr>
        <w:spacing w:line="240" w:lineRule="auto"/>
        <w:rPr>
          <w:rFonts w:eastAsiaTheme="majorEastAsia" w:cstheme="majorBidi"/>
          <w:b/>
          <w:bCs/>
          <w:color w:val="70635A" w:themeColor="text2"/>
          <w:sz w:val="28"/>
        </w:rPr>
      </w:pPr>
      <w:r>
        <w:br w:type="page"/>
      </w:r>
    </w:p>
    <w:p w:rsidR="00051BDB" w:rsidRPr="0039725C" w:rsidRDefault="00051BDB" w:rsidP="00051BDB">
      <w:pPr>
        <w:pStyle w:val="HeadingBoldBlue"/>
      </w:pPr>
      <w:r>
        <w:lastRenderedPageBreak/>
        <w:t>Our approach gives due regard to the service providers' proposals and individual circumstances</w:t>
      </w:r>
    </w:p>
    <w:p w:rsidR="00051BDB" w:rsidRDefault="00051BDB" w:rsidP="00051BDB">
      <w:r>
        <w:t>Broadly, service providers have submitted that by relying on benchmarking as part of our assessment approach, we have:</w:t>
      </w:r>
      <w:r w:rsidR="00756041" w:rsidRPr="00756041">
        <w:rPr>
          <w:rStyle w:val="FootnoteReference"/>
        </w:rPr>
        <w:t xml:space="preserve"> </w:t>
      </w:r>
      <w:r w:rsidR="00756041">
        <w:rPr>
          <w:rStyle w:val="FootnoteReference"/>
        </w:rPr>
        <w:footnoteReference w:id="244"/>
      </w:r>
    </w:p>
    <w:p w:rsidR="00051BDB" w:rsidRDefault="00051BDB" w:rsidP="00051BDB">
      <w:pPr>
        <w:pStyle w:val="AERbulletlistfirststyle"/>
      </w:pPr>
      <w:r>
        <w:t>not started our assessment with their regulatory proposals or examined which aspects of their proposals involve inefficient expenditure in any level of detail</w:t>
      </w:r>
    </w:p>
    <w:p w:rsidR="00051BDB" w:rsidRDefault="00051BDB" w:rsidP="00051BDB">
      <w:pPr>
        <w:pStyle w:val="AERbulletlistfirststyle"/>
      </w:pPr>
      <w:r>
        <w:t>failed to comply with the NER requirements to have regard to their individual circumstances.</w:t>
      </w:r>
    </w:p>
    <w:p w:rsidR="00051BDB" w:rsidRPr="00756041" w:rsidRDefault="00051BDB" w:rsidP="00756041">
      <w:pPr>
        <w:pStyle w:val="HeadingBoldItalic"/>
      </w:pPr>
      <w:r w:rsidRPr="00756041">
        <w:t>The service providers' proposals</w:t>
      </w:r>
    </w:p>
    <w:p w:rsidR="00051BDB" w:rsidRDefault="00051BDB" w:rsidP="00051BDB">
      <w:pPr>
        <w:rPr>
          <w:rStyle w:val="AERbody"/>
        </w:rPr>
      </w:pPr>
      <w:r>
        <w:rPr>
          <w:rStyle w:val="AERbody"/>
        </w:rPr>
        <w:t>We consider that we have had due regard to the service providers' opex proposals. As outlined by the AEMC,</w:t>
      </w:r>
      <w:r>
        <w:rPr>
          <w:rStyle w:val="FootnoteReference"/>
        </w:rPr>
        <w:footnoteReference w:id="245"/>
      </w:r>
      <w:r>
        <w:rPr>
          <w:rStyle w:val="AERbody"/>
        </w:rPr>
        <w:t xml:space="preserve"> in our draft decision and in our assessment approach, we start by looking at the service provider's proposal. Our assessment approach is built around a mechanism to assess the proposal to determine whether it reasonably reflects the opex criteria. Where we find the service provider's proposal does not reasonably reflect the opex criteria, we use that same mechanism to determine an alternative forecast. </w:t>
      </w:r>
    </w:p>
    <w:p w:rsidR="00051BDB" w:rsidRDefault="00051BDB" w:rsidP="00051BDB">
      <w:r>
        <w:t>As we discussed in the explanatory statement to the Guideline, information asymmetry and the inherent incentive to inflate expected expenditure needs means that we must test the service providers' proposals robustly.</w:t>
      </w:r>
      <w:r>
        <w:rPr>
          <w:rStyle w:val="FootnoteReference"/>
        </w:rPr>
        <w:footnoteReference w:id="246"/>
      </w:r>
      <w:r>
        <w:t xml:space="preserve"> Benchmarking is, in our view, an appropriate means of doing this and is consistent with the AEMC's intent:</w:t>
      </w:r>
      <w:r>
        <w:rPr>
          <w:rStyle w:val="FootnoteReference"/>
        </w:rPr>
        <w:footnoteReference w:id="247"/>
      </w:r>
    </w:p>
    <w:p w:rsidR="00051BDB" w:rsidRDefault="00051BDB" w:rsidP="00051BDB">
      <w:pPr>
        <w:pStyle w:val="AERquoteindent1"/>
      </w:pPr>
      <w:r w:rsidRPr="00F83632">
        <w:t xml:space="preserve">Importantly, though, [the </w:t>
      </w:r>
      <w:r>
        <w:t>NSP's</w:t>
      </w:r>
      <w:r w:rsidRPr="00F83632">
        <w:t xml:space="preserve"> proposal] should be only one of a number of inputs. Other stakeholders may also be able to provide relevant information, as will any consultants engaged by the AER. In addition, the AER can conduct its own analysis, including using objective evidence drawn from history, and the performance and experience of comparable NSPs. The techniques the AER may use to conduct this analysis are not limited, and in particular are not confined to the approach taken by the NSP in its proposal.</w:t>
      </w:r>
    </w:p>
    <w:p w:rsidR="00051BDB" w:rsidRPr="0039725C" w:rsidRDefault="00051BDB" w:rsidP="00051BDB">
      <w:pPr>
        <w:rPr>
          <w:rStyle w:val="AERtexthighlight"/>
        </w:rPr>
      </w:pPr>
      <w:r w:rsidRPr="003B1B2C">
        <w:rPr>
          <w:rStyle w:val="AERbody"/>
        </w:rPr>
        <w:t>Further, as is clear from our draft</w:t>
      </w:r>
      <w:r>
        <w:rPr>
          <w:rStyle w:val="AERbody"/>
        </w:rPr>
        <w:t xml:space="preserve"> decision</w:t>
      </w:r>
      <w:r w:rsidRPr="003B1B2C">
        <w:rPr>
          <w:rStyle w:val="AERbody"/>
        </w:rPr>
        <w:t xml:space="preserve"> and </w:t>
      </w:r>
      <w:r>
        <w:rPr>
          <w:rStyle w:val="AERbody"/>
        </w:rPr>
        <w:t xml:space="preserve">this </w:t>
      </w:r>
      <w:r w:rsidRPr="003B1B2C">
        <w:rPr>
          <w:rStyle w:val="AERbody"/>
        </w:rPr>
        <w:t xml:space="preserve">final decision, we </w:t>
      </w:r>
      <w:r>
        <w:rPr>
          <w:rStyle w:val="AERbody"/>
        </w:rPr>
        <w:t xml:space="preserve">have </w:t>
      </w:r>
      <w:r w:rsidRPr="003B1B2C">
        <w:rPr>
          <w:rStyle w:val="AERbody"/>
        </w:rPr>
        <w:t>engaged closely with the</w:t>
      </w:r>
      <w:r>
        <w:rPr>
          <w:rStyle w:val="AERbody"/>
        </w:rPr>
        <w:t xml:space="preserve"> </w:t>
      </w:r>
      <w:r w:rsidRPr="003B1B2C">
        <w:rPr>
          <w:rStyle w:val="AERbody"/>
        </w:rPr>
        <w:t xml:space="preserve">assumptions </w:t>
      </w:r>
      <w:r>
        <w:rPr>
          <w:rStyle w:val="AERbody"/>
        </w:rPr>
        <w:t>and submissions in the proposal. For example, we have engaged in a detailed assessment of operating environment factors (see section</w:t>
      </w:r>
      <w:r w:rsidR="00DF2BB8">
        <w:rPr>
          <w:rStyle w:val="AERbody"/>
        </w:rPr>
        <w:t xml:space="preserve"> </w:t>
      </w:r>
      <w:r w:rsidR="00DF2BB8">
        <w:rPr>
          <w:rStyle w:val="AERbody"/>
        </w:rPr>
        <w:fldChar w:fldCharType="begin"/>
      </w:r>
      <w:r w:rsidR="00DF2BB8">
        <w:rPr>
          <w:rStyle w:val="AERbody"/>
        </w:rPr>
        <w:instrText xml:space="preserve"> REF _Ref417551822 \r \h </w:instrText>
      </w:r>
      <w:r w:rsidR="00DF2BB8">
        <w:rPr>
          <w:rStyle w:val="AERbody"/>
        </w:rPr>
      </w:r>
      <w:r w:rsidR="00DF2BB8">
        <w:rPr>
          <w:rStyle w:val="AERbody"/>
        </w:rPr>
        <w:fldChar w:fldCharType="separate"/>
      </w:r>
      <w:r w:rsidR="00C74791">
        <w:rPr>
          <w:rStyle w:val="AERbody"/>
        </w:rPr>
        <w:t>A.6</w:t>
      </w:r>
      <w:r w:rsidR="00DF2BB8">
        <w:rPr>
          <w:rStyle w:val="AERbody"/>
        </w:rPr>
        <w:fldChar w:fldCharType="end"/>
      </w:r>
      <w:r>
        <w:rPr>
          <w:rStyle w:val="AERbody"/>
        </w:rPr>
        <w:t xml:space="preserve">). We also explicitly examined the service providers' proposals and undertook detailed reviews of labour practices and, for Essential Energy, vegetation management (see </w:t>
      </w:r>
      <w:r>
        <w:rPr>
          <w:rStyle w:val="AERbody"/>
        </w:rPr>
        <w:lastRenderedPageBreak/>
        <w:t xml:space="preserve">section </w:t>
      </w:r>
      <w:r>
        <w:rPr>
          <w:rStyle w:val="AERbody"/>
        </w:rPr>
        <w:fldChar w:fldCharType="begin"/>
      </w:r>
      <w:r>
        <w:rPr>
          <w:rStyle w:val="AERbody"/>
        </w:rPr>
        <w:instrText xml:space="preserve"> REF _Ref417310513 \n \h </w:instrText>
      </w:r>
      <w:r>
        <w:rPr>
          <w:rStyle w:val="AERbody"/>
        </w:rPr>
      </w:r>
      <w:r>
        <w:rPr>
          <w:rStyle w:val="AERbody"/>
        </w:rPr>
        <w:fldChar w:fldCharType="separate"/>
      </w:r>
      <w:r w:rsidR="00C74791">
        <w:rPr>
          <w:rStyle w:val="AERbody"/>
        </w:rPr>
        <w:t>A.5</w:t>
      </w:r>
      <w:r>
        <w:rPr>
          <w:rStyle w:val="AERbody"/>
        </w:rPr>
        <w:fldChar w:fldCharType="end"/>
      </w:r>
      <w:r>
        <w:rPr>
          <w:rStyle w:val="AERbody"/>
        </w:rPr>
        <w:t xml:space="preserve">). Finally, a key step in our overall opex assessment approach is to assess the service provider's proposed forecasting approaches (see section </w:t>
      </w:r>
      <w:r w:rsidR="008F5606">
        <w:rPr>
          <w:rStyle w:val="AERbody"/>
        </w:rPr>
        <w:fldChar w:fldCharType="begin"/>
      </w:r>
      <w:r w:rsidR="008F5606">
        <w:rPr>
          <w:rStyle w:val="AERbody"/>
        </w:rPr>
        <w:instrText xml:space="preserve"> REF _Ref417644399 \r \h </w:instrText>
      </w:r>
      <w:r w:rsidR="008F5606">
        <w:rPr>
          <w:rStyle w:val="AERbody"/>
        </w:rPr>
      </w:r>
      <w:r w:rsidR="008F5606">
        <w:rPr>
          <w:rStyle w:val="AERbody"/>
        </w:rPr>
        <w:fldChar w:fldCharType="separate"/>
      </w:r>
      <w:r w:rsidR="00C74791">
        <w:rPr>
          <w:rStyle w:val="AERbody"/>
        </w:rPr>
        <w:t>7.4.1</w:t>
      </w:r>
      <w:r w:rsidR="008F5606">
        <w:rPr>
          <w:rStyle w:val="AERbody"/>
        </w:rPr>
        <w:fldChar w:fldCharType="end"/>
      </w:r>
      <w:r>
        <w:rPr>
          <w:rStyle w:val="AERbody"/>
        </w:rPr>
        <w:t>).</w:t>
      </w:r>
    </w:p>
    <w:p w:rsidR="00051BDB" w:rsidRPr="00756041" w:rsidRDefault="00051BDB" w:rsidP="00756041">
      <w:pPr>
        <w:pStyle w:val="HeadingBoldItalic"/>
      </w:pPr>
      <w:r w:rsidRPr="00756041">
        <w:t>Individual circumstances</w:t>
      </w:r>
    </w:p>
    <w:p w:rsidR="00051BDB" w:rsidRDefault="00051BDB" w:rsidP="00051BDB">
      <w:r>
        <w:t>Our base opex assessment approach gives extensive regard to the service providers' circumstances, as required by the NER and in accordance with the intent of the AEMC. The individual circumstances of a service provider can be exogenous (beyond their control) such as topography and climate, or endogenous (within their control) such as their approach to contracting.  The AEMC expressed how it envisaged benchmarking would be applied as follows:</w:t>
      </w:r>
      <w:r>
        <w:rPr>
          <w:rStyle w:val="FootnoteReference"/>
        </w:rPr>
        <w:footnoteReference w:id="248"/>
      </w:r>
    </w:p>
    <w:p w:rsidR="00051BDB" w:rsidRDefault="00051BDB" w:rsidP="00051BDB">
      <w:pPr>
        <w:pStyle w:val="AERquoteindent1"/>
      </w:pPr>
      <w:r w:rsidRPr="007C6800">
        <w:t>The final rule gives the AER discretion as to how and when it undertakes benchmarking in its decision-making. However,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w:t>
      </w:r>
    </w:p>
    <w:p w:rsidR="00051BDB" w:rsidRDefault="00051BDB" w:rsidP="00051BDB">
      <w:r>
        <w:t>Individual circumstances are taken into account throughout our approach (including benchmarking):</w:t>
      </w:r>
    </w:p>
    <w:p w:rsidR="00051BDB" w:rsidRDefault="00051BDB" w:rsidP="00051BDB">
      <w:pPr>
        <w:pStyle w:val="AERbulletlistfirststyle"/>
      </w:pPr>
      <w:r>
        <w:t>First, the benchmarking techniques which we use to compare service providers take into account many of their individual circumstances, most notably their key network characteristics</w:t>
      </w:r>
      <w:r>
        <w:rPr>
          <w:rStyle w:val="FootnoteReference"/>
        </w:rPr>
        <w:footnoteReference w:id="249"/>
      </w:r>
      <w:r>
        <w:t xml:space="preserve"> and their actual operating expenditure. </w:t>
      </w:r>
    </w:p>
    <w:p w:rsidR="00051BDB" w:rsidRDefault="00051BDB" w:rsidP="00051BDB">
      <w:pPr>
        <w:pStyle w:val="AERbulletlistfirststyle"/>
      </w:pPr>
      <w:r>
        <w:t>Second, this process disaggregates those circumstances which we consider reflect inefficiency from those which are exogenous or uncontrollable factors.</w:t>
      </w:r>
    </w:p>
    <w:p w:rsidR="00051BDB" w:rsidRDefault="00051BDB" w:rsidP="00051BDB">
      <w:pPr>
        <w:pStyle w:val="AERbulletlistfirststyle"/>
      </w:pPr>
      <w:r>
        <w:t>Third, we make appropriate adjustments to the benchmarking results based on findings from other techniques such as detailed review and analysis of operating environment factors. This is consistent with our discretion to make appropriate and transparent decisions on a case by case basis.</w:t>
      </w:r>
      <w:r>
        <w:rPr>
          <w:rStyle w:val="FootnoteReference"/>
        </w:rPr>
        <w:footnoteReference w:id="250"/>
      </w:r>
      <w:r>
        <w:t xml:space="preserve"> </w:t>
      </w:r>
    </w:p>
    <w:p w:rsidR="00051BDB" w:rsidRPr="000A019E" w:rsidRDefault="00051BDB" w:rsidP="00051BDB">
      <w:r>
        <w:t>W</w:t>
      </w:r>
      <w:r w:rsidRPr="000A019E">
        <w:t xml:space="preserve">e disagree with those service providers who </w:t>
      </w:r>
      <w:r>
        <w:t>submit</w:t>
      </w:r>
      <w:r w:rsidRPr="000A019E">
        <w:t xml:space="preserve"> that having regard to </w:t>
      </w:r>
      <w:r>
        <w:t>their</w:t>
      </w:r>
      <w:r w:rsidRPr="000A019E">
        <w:t xml:space="preserve"> circumstances preclude </w:t>
      </w:r>
      <w:r>
        <w:t>us from</w:t>
      </w:r>
      <w:r w:rsidRPr="000A019E">
        <w:t xml:space="preserve"> giving substantial weight to benchmarking. The clear intention of the AEMC was to remove restrictions on the AER's use of benchmarking:</w:t>
      </w:r>
      <w:r w:rsidRPr="000A019E">
        <w:rPr>
          <w:rStyle w:val="FootnoteReference"/>
        </w:rPr>
        <w:footnoteReference w:id="251"/>
      </w:r>
    </w:p>
    <w:p w:rsidR="00051BDB" w:rsidRPr="000A019E" w:rsidRDefault="00051BDB" w:rsidP="00051BDB">
      <w:pPr>
        <w:pStyle w:val="AERquoteindent1"/>
      </w:pPr>
      <w:r w:rsidRPr="000A019E">
        <w:t xml:space="preserve">The Commission considers that the removal of the "individual circumstances" phrase will clarify the ability of the AER to undertake benchmarking. It assists </w:t>
      </w:r>
      <w:r w:rsidRPr="000A019E">
        <w:lastRenderedPageBreak/>
        <w:t>the AER to determine if a NSP's proposal reflects the prudent and efficient costs of meeting the objectives.</w:t>
      </w:r>
    </w:p>
    <w:p w:rsidR="00051BDB" w:rsidRDefault="00051BDB" w:rsidP="00051BDB">
      <w:r>
        <w:t xml:space="preserve">Our approach gives substantial weight to the individual circumstances of the service provider that are relevant to our task, whilst allowing us to use benchmarking as part of our approach. </w:t>
      </w:r>
    </w:p>
    <w:p w:rsidR="00051BDB" w:rsidRDefault="00051BDB" w:rsidP="00051BDB">
      <w:pPr>
        <w:pStyle w:val="Heading9"/>
      </w:pPr>
      <w:bookmarkStart w:id="148" w:name="_Toc417719036"/>
      <w:r>
        <w:t>Our approach is consistent with the incentive regime</w:t>
      </w:r>
      <w:bookmarkEnd w:id="148"/>
    </w:p>
    <w:p w:rsidR="00051BDB" w:rsidRDefault="00051BDB" w:rsidP="00051BDB">
      <w:r>
        <w:t xml:space="preserve">Some service providers have submitted that they </w:t>
      </w:r>
      <w:r w:rsidRPr="004656AF">
        <w:t xml:space="preserve">developed </w:t>
      </w:r>
      <w:r>
        <w:t xml:space="preserve">their current business structure </w:t>
      </w:r>
      <w:r w:rsidRPr="004656AF">
        <w:t xml:space="preserve">in good faith reliance on </w:t>
      </w:r>
      <w:r>
        <w:t>our</w:t>
      </w:r>
      <w:r w:rsidRPr="004656AF">
        <w:t xml:space="preserve"> prior determinations on what is efficient opex</w:t>
      </w:r>
      <w:r>
        <w:t>. They submit, therefore, that if they are required to align expenditure with a reduced level of opex determined by a new and substantially different method, then the reasonable costs incurred in the course of doing so must be considered to be efficient.</w:t>
      </w:r>
      <w:r>
        <w:rPr>
          <w:rStyle w:val="FootnoteReference"/>
        </w:rPr>
        <w:footnoteReference w:id="252"/>
      </w:r>
      <w:r>
        <w:t xml:space="preserve">  </w:t>
      </w:r>
    </w:p>
    <w:p w:rsidR="00051BDB" w:rsidRDefault="00051BDB" w:rsidP="00051BDB">
      <w:r>
        <w:t>In making this statement, these service providers appear to misunderstand the basis of our forecasting approach. We do not determine that past spending against a previous forecast is inefficient if it is below the forecast total opex we previously approved. Rather, we reward this lower actual expenditure through the EBSS.</w:t>
      </w:r>
    </w:p>
    <w:p w:rsidR="00051BDB" w:rsidRDefault="00051BDB" w:rsidP="00051BDB">
      <w:r>
        <w:t xml:space="preserve">However, that does not mean that a past level of expenditure is appropriate for making a forecast of costs against the opex criteria for a future regulatory control period. The NER is an incentive framework. The opex forecast we approve, together with the relevant schemes, provide bonuses for improving efficiency while maintaining or improving service standards, beyond the previous period’s revealed costs. This regime encourages businesses to be as efficient as is prudent to beat the total opex forecast and continuously improve their efficiency. In that context, a network business should not be expecting to receive historical costs whenever a new forecast of total opex is assessed. </w:t>
      </w:r>
    </w:p>
    <w:p w:rsidR="00051BDB" w:rsidRDefault="00051BDB" w:rsidP="00051BDB">
      <w:r>
        <w:t xml:space="preserve">The AER makes decisions on the basis of the relevant evidence it has before it at the time. In 2009, on the basis of the evidence before us, and also having regard to the circumstances in which we made our decision, we determined what we considered to be an appropriate basis for forecasting total opex for the period 2009–14. </w:t>
      </w:r>
    </w:p>
    <w:p w:rsidR="00051BDB" w:rsidRDefault="00051BDB" w:rsidP="00051BDB">
      <w:r>
        <w:t>We have additional evidence now, through more detailed benchmarking. As we note above, our benchmarking results indicate that several service providers spend considerably more on a standardised basis than other businesses in the NEM to provide services in a manner that achieves the opex objectives. In assessing future forecasts we need to have regard to this new information.</w:t>
      </w:r>
    </w:p>
    <w:p w:rsidR="00051BDB" w:rsidRDefault="00051BDB" w:rsidP="00051BDB">
      <w:r>
        <w:t xml:space="preserve">One of benchmarking's positive attributes is that it increases the incentive to reduce opex. This is something that </w:t>
      </w:r>
      <w:r w:rsidRPr="0093025E">
        <w:t xml:space="preserve">HoustonKemp </w:t>
      </w:r>
      <w:r>
        <w:t>acknowledges</w:t>
      </w:r>
      <w:r w:rsidRPr="0093025E">
        <w:t>.</w:t>
      </w:r>
      <w:r w:rsidRPr="0093025E">
        <w:rPr>
          <w:rStyle w:val="AERsuperscript"/>
        </w:rPr>
        <w:footnoteReference w:id="253"/>
      </w:r>
      <w:r w:rsidRPr="0093025E">
        <w:t xml:space="preserve"> We consider that this </w:t>
      </w:r>
      <w:r w:rsidRPr="0093025E">
        <w:lastRenderedPageBreak/>
        <w:t xml:space="preserve">increased incentive reflects a decision that is in the long term interests of consumers and reflects the opex objectives. </w:t>
      </w:r>
    </w:p>
    <w:p w:rsidR="00051BDB" w:rsidRPr="0093025E" w:rsidRDefault="00051BDB" w:rsidP="00051BDB">
      <w:r>
        <w:t>Despite this</w:t>
      </w:r>
      <w:r w:rsidRPr="0093025E">
        <w:t>, HoustonKemp considers that our approach is inconsistent with the NEO.</w:t>
      </w:r>
      <w:r w:rsidRPr="0093025E">
        <w:rPr>
          <w:rStyle w:val="AERsuperscript"/>
        </w:rPr>
        <w:footnoteReference w:id="254"/>
      </w:r>
      <w:r w:rsidRPr="0093025E">
        <w:t xml:space="preserve"> We disagree. If benchmarking shows a distributor's revealed opex is materially inefficient, it is not possible to set an opex forecast based solely on revealed expenditure that is consistent with the opex criteria. Such an approach would ignore relevant considerations and techniques which we regard as robust and important. The AEMC agrees.</w:t>
      </w:r>
      <w:r w:rsidRPr="0093025E">
        <w:rPr>
          <w:rStyle w:val="AERsuperscript"/>
        </w:rPr>
        <w:footnoteReference w:id="255"/>
      </w:r>
      <w:r w:rsidRPr="0093025E">
        <w:t xml:space="preserve"> In such circumstances, therefore, benchmarking will deliver an alternative forecast that achieves the NEO to a greater degree than revealed expenditure. </w:t>
      </w:r>
    </w:p>
    <w:p w:rsidR="00051BDB" w:rsidRDefault="00051BDB" w:rsidP="00051BDB">
      <w:pPr>
        <w:pStyle w:val="Heading9"/>
      </w:pPr>
      <w:bookmarkStart w:id="149" w:name="_Toc417719037"/>
      <w:r>
        <w:t>The benchmarking we rely on in our approach is robust, reliable and reasonable</w:t>
      </w:r>
      <w:bookmarkEnd w:id="149"/>
    </w:p>
    <w:p w:rsidR="00051BDB" w:rsidRDefault="00051BDB" w:rsidP="00051BDB">
      <w:bookmarkStart w:id="150" w:name="_Ref415746666"/>
      <w:r>
        <w:t>Service providers have submitted that our benchmarking is fundamentally flawed because:</w:t>
      </w:r>
      <w:r>
        <w:rPr>
          <w:rStyle w:val="FootnoteReference"/>
        </w:rPr>
        <w:footnoteReference w:id="256"/>
      </w:r>
    </w:p>
    <w:p w:rsidR="00051BDB" w:rsidRDefault="00051BDB" w:rsidP="00051BDB">
      <w:pPr>
        <w:pStyle w:val="AERbulletlistfirststyle"/>
      </w:pPr>
      <w:r>
        <w:t>our</w:t>
      </w:r>
      <w:r w:rsidRPr="00414150">
        <w:t xml:space="preserve"> analysis is not robust</w:t>
      </w:r>
      <w:r>
        <w:t xml:space="preserve"> </w:t>
      </w:r>
    </w:p>
    <w:p w:rsidR="00051BDB" w:rsidRDefault="00051BDB" w:rsidP="00051BDB">
      <w:pPr>
        <w:pStyle w:val="AERbulletlistfirststyle"/>
      </w:pPr>
      <w:r>
        <w:t xml:space="preserve">we have </w:t>
      </w:r>
      <w:r w:rsidRPr="00414150">
        <w:t>made errors in</w:t>
      </w:r>
      <w:r>
        <w:t xml:space="preserve"> the</w:t>
      </w:r>
      <w:r w:rsidRPr="00414150">
        <w:t xml:space="preserve"> application of </w:t>
      </w:r>
      <w:r>
        <w:t xml:space="preserve">our </w:t>
      </w:r>
      <w:r w:rsidRPr="00414150">
        <w:t>models</w:t>
      </w:r>
    </w:p>
    <w:p w:rsidR="00051BDB" w:rsidRDefault="00051BDB" w:rsidP="00051BDB">
      <w:pPr>
        <w:pStyle w:val="AERbulletlistfirststyle"/>
      </w:pPr>
      <w:r>
        <w:t>we</w:t>
      </w:r>
      <w:r w:rsidRPr="00414150">
        <w:t xml:space="preserve"> should have regard to conceptual limitations of benchmarking, particularly </w:t>
      </w:r>
      <w:r>
        <w:t>given the heterogeneity of Australian service providers</w:t>
      </w:r>
    </w:p>
    <w:p w:rsidR="00051BDB" w:rsidRDefault="00051BDB" w:rsidP="00051BDB">
      <w:pPr>
        <w:pStyle w:val="AERbulletlistfirststyle"/>
      </w:pPr>
      <w:r>
        <w:t>the RIN data used in the benchmarking contains problems</w:t>
      </w:r>
    </w:p>
    <w:p w:rsidR="00051BDB" w:rsidRDefault="00051BDB" w:rsidP="00051BDB">
      <w:pPr>
        <w:pStyle w:val="AERbulletlistfirststyle"/>
      </w:pPr>
      <w:r>
        <w:t>there has been a lack of testing and peer review</w:t>
      </w:r>
      <w:r w:rsidRPr="00414150">
        <w:t>.</w:t>
      </w:r>
    </w:p>
    <w:p w:rsidR="00051BDB" w:rsidRDefault="00051BDB" w:rsidP="00051BDB">
      <w:r>
        <w:t xml:space="preserve">Economic Insights responds to these submissions in detail in its report, and we explain in section </w:t>
      </w:r>
      <w:r>
        <w:fldChar w:fldCharType="begin"/>
      </w:r>
      <w:r>
        <w:instrText xml:space="preserve"> REF _Ref417384454 \n \h </w:instrText>
      </w:r>
      <w:r>
        <w:fldChar w:fldCharType="separate"/>
      </w:r>
      <w:r w:rsidR="00C74791">
        <w:t>A.2</w:t>
      </w:r>
      <w:r>
        <w:fldChar w:fldCharType="end"/>
      </w:r>
      <w:r>
        <w:t xml:space="preserve"> why benchmarking is appropriate in the context of our ex ante regulatory framework. We also outline why our benchmarking is robust, reliable and reasonable in section</w:t>
      </w:r>
      <w:r w:rsidR="00966D46">
        <w:t xml:space="preserve"> </w:t>
      </w:r>
      <w:r w:rsidR="00966D46">
        <w:fldChar w:fldCharType="begin"/>
      </w:r>
      <w:r w:rsidR="00966D46">
        <w:instrText xml:space="preserve"> REF _Ref417551812 \r \h </w:instrText>
      </w:r>
      <w:r w:rsidR="00966D46">
        <w:fldChar w:fldCharType="separate"/>
      </w:r>
      <w:r w:rsidR="00C74791">
        <w:t>A.4</w:t>
      </w:r>
      <w:r w:rsidR="00966D46">
        <w:fldChar w:fldCharType="end"/>
      </w:r>
      <w:r>
        <w:t>.</w:t>
      </w:r>
      <w:r w:rsidRPr="00AE487A">
        <w:t xml:space="preserve"> </w:t>
      </w:r>
      <w:r>
        <w:t>Further, we demonstrate the alternative approaches proposed by the distributors are not robust. For example, some of the alternative approaches proposed by the distributors:</w:t>
      </w:r>
      <w:r>
        <w:rPr>
          <w:rStyle w:val="FootnoteReference"/>
        </w:rPr>
        <w:footnoteReference w:id="257"/>
      </w:r>
    </w:p>
    <w:p w:rsidR="00051BDB" w:rsidRDefault="00051BDB" w:rsidP="00051BDB">
      <w:pPr>
        <w:pStyle w:val="AERbulletlistfirststyle"/>
      </w:pPr>
      <w:r>
        <w:t>misunderstand the rationale for using international data and, consequently, the manner in which Economic Insights has used it</w:t>
      </w:r>
    </w:p>
    <w:p w:rsidR="00051BDB" w:rsidRDefault="00051BDB" w:rsidP="00051BDB">
      <w:pPr>
        <w:pStyle w:val="AERbulletlistfirststyle"/>
      </w:pPr>
      <w:r>
        <w:t>include outputs that reflect secondary cost drivers rather than functional outputs, which can reward inefficient practices</w:t>
      </w:r>
    </w:p>
    <w:p w:rsidR="00051BDB" w:rsidRDefault="00051BDB" w:rsidP="00051BDB">
      <w:pPr>
        <w:pStyle w:val="AERbulletlistfirststyle"/>
      </w:pPr>
      <w:r>
        <w:lastRenderedPageBreak/>
        <w:t>exclude key functional outputs—CEPA, for example, presents a function with only one or two outputs, which is not adequate to accurately model distributor cost characteristics</w:t>
      </w:r>
    </w:p>
    <w:p w:rsidR="00051BDB" w:rsidRDefault="00051BDB" w:rsidP="00051BDB">
      <w:pPr>
        <w:pStyle w:val="AERbulletlistfirststyle"/>
      </w:pPr>
      <w:r>
        <w:t>inappropriately incorporate some operating environment variables without considering their potential effect on the model—depending on the estimation method used, the 'capital intensiveness' (or equivalent) variable, for example, overstates the opex efficiency of the ACT, NSW and QLD distributors simply because they own assets with a capacity of more than 66kV</w:t>
      </w:r>
    </w:p>
    <w:p w:rsidR="00051BDB" w:rsidRDefault="00051BDB" w:rsidP="00051BDB">
      <w:pPr>
        <w:pStyle w:val="AERbulletlistfirststyle"/>
      </w:pPr>
      <w:r>
        <w:t>suggest the inclusion of many unjustified operating environment variables, which can undermine the ability of a model to explain the relationship between inputs and outputs</w:t>
      </w:r>
    </w:p>
    <w:p w:rsidR="00051BDB" w:rsidRDefault="00051BDB" w:rsidP="00051BDB">
      <w:pPr>
        <w:pStyle w:val="AERbulletlistfirststyle"/>
      </w:pPr>
      <w:r>
        <w:t xml:space="preserve">use estimation methods that </w:t>
      </w:r>
      <w:r w:rsidRPr="00DB528B">
        <w:t xml:space="preserve">are not robust because of the underlying assumptions </w:t>
      </w:r>
      <w:r>
        <w:t xml:space="preserve">they make </w:t>
      </w:r>
      <w:r w:rsidRPr="00DB528B">
        <w:t>a</w:t>
      </w:r>
      <w:r>
        <w:t>bout the nature of inefficiency.</w:t>
      </w:r>
    </w:p>
    <w:p w:rsidR="00051BDB" w:rsidRDefault="00051BDB" w:rsidP="00051BDB">
      <w:r>
        <w:t>In this section, we set out some general principles regarding the nature of benchmarking.</w:t>
      </w:r>
    </w:p>
    <w:p w:rsidR="00051BDB" w:rsidRDefault="00051BDB" w:rsidP="00051BDB">
      <w:r>
        <w:t>This decision is the first time that we have had sufficient information to conduct rigorous benchmarking analysis. However, we have done so over a long consultation period, using data provided and cross-checked by the service providers themselves. We have used benchmarking analysis in a way that acknowledges benchmarking cannot produce a single "right" answer—but we also rely on benchmarking as an important technique for assessing base opex.</w:t>
      </w:r>
    </w:p>
    <w:p w:rsidR="00051BDB" w:rsidRDefault="00051BDB" w:rsidP="00051BDB">
      <w:r>
        <w:t>Frontier Economics agree that no single "right" answer exists. It acknowledges both the power of benchmarking and the impressive knowledge the AER's expert (Economic Insights) brings to the subject matter.</w:t>
      </w:r>
      <w:r>
        <w:rPr>
          <w:rStyle w:val="FootnoteReference"/>
        </w:rPr>
        <w:footnoteReference w:id="258"/>
      </w:r>
      <w:r>
        <w:t xml:space="preserve"> Huegin makes the same point.</w:t>
      </w:r>
      <w:r>
        <w:rPr>
          <w:rStyle w:val="FootnoteReference"/>
        </w:rPr>
        <w:footnoteReference w:id="259"/>
      </w:r>
      <w:r>
        <w:t xml:space="preserve"> Huegin also notes that "</w:t>
      </w:r>
      <w:r w:rsidRPr="004441A9">
        <w:t>the approach that appears to be most common in regulatory jurisdictio</w:t>
      </w:r>
      <w:r>
        <w:t xml:space="preserve">ns around the world is to use a </w:t>
      </w:r>
      <w:r w:rsidRPr="004441A9">
        <w:t>combination of results from different benchmarking techniques to arrive at relative levels of efficiency between businesses.</w:t>
      </w:r>
      <w:r>
        <w:t>"</w:t>
      </w:r>
      <w:r>
        <w:rPr>
          <w:rStyle w:val="FootnoteReference"/>
        </w:rPr>
        <w:footnoteReference w:id="260"/>
      </w:r>
    </w:p>
    <w:p w:rsidR="00051BDB" w:rsidRDefault="00051BDB" w:rsidP="00051BDB">
      <w:r>
        <w:t xml:space="preserve">Accordingly, the level of confidence we require to use benchmarking is that which assists us in being satisfied or dissatisfied that a proposal or comparative estimate reasonably reflects the opex criteria. We are confident that our approach provides us with the necessary comfort to use benchmarking in this way. We therefore disagree with the submission by Frontier Economics that we have placed undue reliance on our </w:t>
      </w:r>
      <w:r>
        <w:lastRenderedPageBreak/>
        <w:t>benchmarking approach.</w:t>
      </w:r>
      <w:r>
        <w:rPr>
          <w:rStyle w:val="FootnoteReference"/>
        </w:rPr>
        <w:footnoteReference w:id="261"/>
      </w:r>
      <w:r>
        <w:t xml:space="preserve"> We do not agree with suggestions by service providers that:</w:t>
      </w:r>
      <w:r>
        <w:rPr>
          <w:rStyle w:val="FootnoteReference"/>
        </w:rPr>
        <w:footnoteReference w:id="262"/>
      </w:r>
    </w:p>
    <w:p w:rsidR="00051BDB" w:rsidRDefault="00051BDB" w:rsidP="00051BDB">
      <w:pPr>
        <w:pStyle w:val="AERbulletlistfirststyle"/>
      </w:pPr>
      <w:r>
        <w:t>Australian data is unreliable</w:t>
      </w:r>
    </w:p>
    <w:p w:rsidR="00051BDB" w:rsidRDefault="00051BDB" w:rsidP="00051BDB">
      <w:pPr>
        <w:pStyle w:val="AERbulletlistfirststyle"/>
      </w:pPr>
      <w:r>
        <w:t>international data is inapplicable, and</w:t>
      </w:r>
    </w:p>
    <w:p w:rsidR="00051BDB" w:rsidRDefault="00051BDB" w:rsidP="00051BDB">
      <w:pPr>
        <w:pStyle w:val="AERbulletlistfirststyle"/>
      </w:pPr>
      <w:r>
        <w:t>our benchmarking results do not accord with sensibility checks.</w:t>
      </w:r>
      <w:r>
        <w:rPr>
          <w:rStyle w:val="FootnoteReference"/>
        </w:rPr>
        <w:footnoteReference w:id="263"/>
      </w:r>
    </w:p>
    <w:p w:rsidR="00051BDB" w:rsidRDefault="00051BDB" w:rsidP="00051BDB">
      <w:r>
        <w:t>The Australian data was supplied by the service providers themselves, in accordance with our compulsory information gathering powers</w:t>
      </w:r>
      <w:r w:rsidRPr="0039725C">
        <w:t xml:space="preserve">. We required </w:t>
      </w:r>
      <w:r>
        <w:t xml:space="preserve">Australian data provided by service providers to </w:t>
      </w:r>
      <w:r w:rsidRPr="0039725C">
        <w:t xml:space="preserve">be audited and certified by statutory declaration by the CEOs of the service providers. </w:t>
      </w:r>
      <w:r>
        <w:t>We obtained international data</w:t>
      </w:r>
      <w:r w:rsidRPr="0039725C">
        <w:t xml:space="preserve"> from comparable jurisdictions where similar analysis had previously been conducted.</w:t>
      </w:r>
      <w:r w:rsidRPr="0039725C">
        <w:rPr>
          <w:rStyle w:val="FootnoteReference"/>
        </w:rPr>
        <w:footnoteReference w:id="264"/>
      </w:r>
      <w:r w:rsidRPr="0039725C">
        <w:t xml:space="preserve"> </w:t>
      </w:r>
    </w:p>
    <w:p w:rsidR="00051BDB" w:rsidRPr="0039725C" w:rsidRDefault="00051BDB" w:rsidP="00051BDB">
      <w:r>
        <w:t xml:space="preserve">As we explain in section </w:t>
      </w:r>
      <w:r w:rsidR="00966D46">
        <w:fldChar w:fldCharType="begin"/>
      </w:r>
      <w:r w:rsidR="00966D46">
        <w:instrText xml:space="preserve"> REF _Ref417310513 \r \h </w:instrText>
      </w:r>
      <w:r w:rsidR="00966D46">
        <w:fldChar w:fldCharType="separate"/>
      </w:r>
      <w:r w:rsidR="00C74791">
        <w:t>A.5</w:t>
      </w:r>
      <w:r w:rsidR="00966D46">
        <w:fldChar w:fldCharType="end"/>
      </w:r>
      <w:r>
        <w:t>, w</w:t>
      </w:r>
      <w:r w:rsidRPr="0039725C">
        <w:t xml:space="preserve">e have conducted detailed review of </w:t>
      </w:r>
      <w:r>
        <w:t>the Australian data, and the international</w:t>
      </w:r>
      <w:r w:rsidRPr="0039725C">
        <w:t xml:space="preserve"> data</w:t>
      </w:r>
      <w:r>
        <w:t xml:space="preserve"> has been used by the regulators in the respective jurisdictions for determinations. Therefore, we </w:t>
      </w:r>
      <w:r w:rsidRPr="0039725C">
        <w:t xml:space="preserve">consider that the data we have used for benchmarking is robust for this purpose. Economic Insights </w:t>
      </w:r>
      <w:r>
        <w:t xml:space="preserve">also </w:t>
      </w:r>
      <w:r w:rsidRPr="0039725C">
        <w:t xml:space="preserve">considers that the data is sufficiently robust for benchmarking </w:t>
      </w:r>
      <w:r>
        <w:t>.</w:t>
      </w:r>
      <w:r w:rsidRPr="0039725C">
        <w:t>The approach taken by E</w:t>
      </w:r>
      <w:r>
        <w:t xml:space="preserve">conomic </w:t>
      </w:r>
      <w:r w:rsidRPr="0039725C">
        <w:t>I</w:t>
      </w:r>
      <w:r>
        <w:t>nsights</w:t>
      </w:r>
      <w:r w:rsidRPr="0039725C">
        <w:t xml:space="preserve"> produced a functional data set which is both consistent across benchmarking techniques</w:t>
      </w:r>
      <w:r>
        <w:t>,</w:t>
      </w:r>
      <w:r w:rsidRPr="0039725C">
        <w:t xml:space="preserve"> is dataset insensitive</w:t>
      </w:r>
      <w:r>
        <w:t xml:space="preserve"> and has undergone significant testing and cross-checking:</w:t>
      </w:r>
      <w:r w:rsidRPr="0039725C">
        <w:rPr>
          <w:rStyle w:val="FootnoteReference"/>
        </w:rPr>
        <w:footnoteReference w:id="265"/>
      </w:r>
      <w:r w:rsidRPr="0039725C">
        <w:t xml:space="preserve"> </w:t>
      </w:r>
    </w:p>
    <w:p w:rsidR="00051BDB" w:rsidRPr="003E4D71" w:rsidRDefault="00051BDB" w:rsidP="003E4D71">
      <w:r w:rsidRPr="003E4D71">
        <w:t>It is true that as service provides continue to provide audited information, the dataset will improve still further. However, this does not mean that we are not sufficiently confident at this stage to use benchmarking to assess base operating expenditure. We reject the suggestion that the EI approach is unreliable. The results it has produced are consistent with our other analyses, such as our detailed review of base year opex and our cross checking of our benchmarking results.</w:t>
      </w:r>
    </w:p>
    <w:p w:rsidR="00051BDB" w:rsidRDefault="00051BDB" w:rsidP="00051BDB">
      <w:pPr>
        <w:rPr>
          <w:rStyle w:val="AERbody"/>
        </w:rPr>
      </w:pPr>
      <w:r w:rsidRPr="00B466CB">
        <w:rPr>
          <w:rStyle w:val="AERbody"/>
        </w:rPr>
        <w:t xml:space="preserve">We </w:t>
      </w:r>
      <w:r>
        <w:rPr>
          <w:rStyle w:val="AERbody"/>
        </w:rPr>
        <w:t xml:space="preserve">have also </w:t>
      </w:r>
      <w:r w:rsidRPr="00B466CB">
        <w:rPr>
          <w:rStyle w:val="AERbody"/>
        </w:rPr>
        <w:t xml:space="preserve">considered </w:t>
      </w:r>
      <w:r>
        <w:rPr>
          <w:rStyle w:val="AERbody"/>
        </w:rPr>
        <w:t>our</w:t>
      </w:r>
      <w:r w:rsidRPr="00B466CB">
        <w:rPr>
          <w:rStyle w:val="AERbody"/>
        </w:rPr>
        <w:t xml:space="preserve"> modelling in light of the </w:t>
      </w:r>
      <w:r>
        <w:rPr>
          <w:rStyle w:val="AERbody"/>
        </w:rPr>
        <w:t xml:space="preserve">service providers' operating environment factors and the potential for data and modelling issues.  We have </w:t>
      </w:r>
      <w:r w:rsidRPr="00B466CB">
        <w:rPr>
          <w:rStyle w:val="AERbody"/>
        </w:rPr>
        <w:t>reviewed</w:t>
      </w:r>
      <w:r>
        <w:rPr>
          <w:rStyle w:val="AERbody"/>
        </w:rPr>
        <w:t xml:space="preserve"> the </w:t>
      </w:r>
      <w:r w:rsidRPr="00B466CB">
        <w:rPr>
          <w:rStyle w:val="AERbody"/>
        </w:rPr>
        <w:t xml:space="preserve">operating environment circumstances that </w:t>
      </w:r>
      <w:r>
        <w:rPr>
          <w:rStyle w:val="AERbody"/>
        </w:rPr>
        <w:t xml:space="preserve">service providers proposed, or which we independently considered, might </w:t>
      </w:r>
      <w:r w:rsidRPr="00B466CB">
        <w:rPr>
          <w:rStyle w:val="AERbody"/>
        </w:rPr>
        <w:t>explain differences in costs</w:t>
      </w:r>
      <w:r>
        <w:rPr>
          <w:rStyle w:val="AERbody"/>
        </w:rPr>
        <w:t xml:space="preserve"> compared to other jurisdictions</w:t>
      </w:r>
      <w:r w:rsidRPr="00B466CB">
        <w:rPr>
          <w:rStyle w:val="AERbody"/>
        </w:rPr>
        <w:t xml:space="preserve">. </w:t>
      </w:r>
      <w:r>
        <w:rPr>
          <w:rStyle w:val="AERbody"/>
        </w:rPr>
        <w:t>We have also conducted analysis using other techniques to cross-check the benchmarking results. We disagree, therefore, that we have not conducted 'sensibility checks' of our benchmarking.</w:t>
      </w:r>
    </w:p>
    <w:p w:rsidR="00051BDB" w:rsidRDefault="00051BDB" w:rsidP="00051BDB">
      <w:pPr>
        <w:rPr>
          <w:rStyle w:val="AERbody"/>
        </w:rPr>
      </w:pPr>
      <w:r>
        <w:rPr>
          <w:rStyle w:val="AERbody"/>
        </w:rPr>
        <w:lastRenderedPageBreak/>
        <w:t xml:space="preserve">Indeed, we have ultimately </w:t>
      </w:r>
      <w:r w:rsidRPr="00B466CB">
        <w:rPr>
          <w:rStyle w:val="AERbody"/>
        </w:rPr>
        <w:t xml:space="preserve">made </w:t>
      </w:r>
      <w:r>
        <w:rPr>
          <w:rStyle w:val="AERbody"/>
        </w:rPr>
        <w:t xml:space="preserve">cautious </w:t>
      </w:r>
      <w:r w:rsidRPr="00B466CB">
        <w:rPr>
          <w:rStyle w:val="AERbody"/>
        </w:rPr>
        <w:t xml:space="preserve">adjustments to the </w:t>
      </w:r>
      <w:r>
        <w:rPr>
          <w:rStyle w:val="AERbody"/>
        </w:rPr>
        <w:t>SFA benchmarking</w:t>
      </w:r>
      <w:r w:rsidRPr="00B466CB">
        <w:rPr>
          <w:rStyle w:val="AERbody"/>
        </w:rPr>
        <w:t xml:space="preserve"> results </w:t>
      </w:r>
      <w:r>
        <w:rPr>
          <w:rStyle w:val="AERbody"/>
        </w:rPr>
        <w:t>to ensure that any adjustments to base opex:</w:t>
      </w:r>
    </w:p>
    <w:p w:rsidR="00051BDB" w:rsidRDefault="00051BDB" w:rsidP="00051BDB">
      <w:pPr>
        <w:pStyle w:val="AERbulletlistfirststyle"/>
        <w:rPr>
          <w:rStyle w:val="AERbody"/>
        </w:rPr>
      </w:pPr>
      <w:r>
        <w:rPr>
          <w:rStyle w:val="AERbody"/>
        </w:rPr>
        <w:t xml:space="preserve">exclude differences caused by factors other than </w:t>
      </w:r>
      <w:r w:rsidRPr="00B466CB">
        <w:rPr>
          <w:rStyle w:val="AERbody"/>
        </w:rPr>
        <w:t>inefficiency</w:t>
      </w:r>
    </w:p>
    <w:p w:rsidR="00051BDB" w:rsidRDefault="00051BDB" w:rsidP="00051BDB">
      <w:pPr>
        <w:pStyle w:val="AERbulletlistfirststyle"/>
        <w:rPr>
          <w:rStyle w:val="AERbody"/>
        </w:rPr>
      </w:pPr>
      <w:r>
        <w:rPr>
          <w:rStyle w:val="AERbody"/>
        </w:rPr>
        <w:t>appropriately account for potential data and modelling issues that could adversely affect the service providers</w:t>
      </w:r>
      <w:r w:rsidRPr="00B466CB">
        <w:rPr>
          <w:rStyle w:val="AERbody"/>
        </w:rPr>
        <w:t xml:space="preserve">. </w:t>
      </w:r>
    </w:p>
    <w:p w:rsidR="00051BDB" w:rsidRDefault="00051BDB" w:rsidP="00051BDB">
      <w:r>
        <w:t xml:space="preserve">The </w:t>
      </w:r>
      <w:r w:rsidRPr="0039725C">
        <w:t>expert reports prepared for the service providers indicate distinct areas where the authors disagree with E</w:t>
      </w:r>
      <w:r>
        <w:t xml:space="preserve">conomic </w:t>
      </w:r>
      <w:r w:rsidRPr="0039725C">
        <w:t>I</w:t>
      </w:r>
      <w:r>
        <w:t>nsights' draft decision</w:t>
      </w:r>
      <w:r w:rsidRPr="0039725C">
        <w:t xml:space="preserve"> </w:t>
      </w:r>
      <w:r>
        <w:t>r</w:t>
      </w:r>
      <w:r w:rsidRPr="0039725C">
        <w:t xml:space="preserve">eport. </w:t>
      </w:r>
      <w:r>
        <w:t xml:space="preserve">However, benchmarking is something that reasonable minds will invariably differ on. As identified above, Frontier Economics and Huegin acknowledge this. Economic Insights' view is that its models are more robust than those produced by the service providers' consultants. </w:t>
      </w:r>
    </w:p>
    <w:p w:rsidR="00051BDB" w:rsidRPr="0039725C" w:rsidRDefault="00051BDB" w:rsidP="00051BDB">
      <w:r>
        <w:t>Therefore, f</w:t>
      </w:r>
      <w:r w:rsidRPr="0039725C">
        <w:t xml:space="preserve">or the reasons set out in </w:t>
      </w:r>
      <w:r>
        <w:t xml:space="preserve">section </w:t>
      </w:r>
      <w:r w:rsidR="00966D46">
        <w:fldChar w:fldCharType="begin"/>
      </w:r>
      <w:r w:rsidR="00966D46">
        <w:instrText xml:space="preserve"> REF _Ref417551812 \r \h </w:instrText>
      </w:r>
      <w:r w:rsidR="00966D46">
        <w:fldChar w:fldCharType="separate"/>
      </w:r>
      <w:r w:rsidR="00C74791">
        <w:t>A.4</w:t>
      </w:r>
      <w:r w:rsidR="00966D46">
        <w:fldChar w:fldCharType="end"/>
      </w:r>
      <w:r>
        <w:t xml:space="preserve"> and Economic Insights' final decision report</w:t>
      </w:r>
      <w:r w:rsidRPr="0039725C">
        <w:t xml:space="preserve">, we do not consider that these criticisms do more than identify alternative possible answers to the benchmarking question. </w:t>
      </w:r>
      <w:r>
        <w:t xml:space="preserve">We are not persuaded that Economic </w:t>
      </w:r>
      <w:r w:rsidR="00756041">
        <w:t xml:space="preserve">Insights' approach is materially </w:t>
      </w:r>
      <w:r>
        <w:t xml:space="preserve">affected by the issues raised by the service providers' consultants. </w:t>
      </w:r>
      <w:r w:rsidRPr="0039725C">
        <w:t>We remain satisfied that, despite expected disagreement</w:t>
      </w:r>
      <w:r>
        <w:t xml:space="preserve"> about outcomes</w:t>
      </w:r>
      <w:r w:rsidRPr="0039725C">
        <w:t xml:space="preserve">, our </w:t>
      </w:r>
      <w:r>
        <w:t xml:space="preserve">use of benchmarking in our </w:t>
      </w:r>
      <w:r w:rsidRPr="0039725C">
        <w:t>assessment approach is consistent with the NER and the NEL.</w:t>
      </w:r>
    </w:p>
    <w:p w:rsidR="00051BDB" w:rsidRPr="0039725C" w:rsidRDefault="00051BDB" w:rsidP="00051BDB">
      <w:pPr>
        <w:pStyle w:val="Heading9"/>
      </w:pPr>
      <w:bookmarkStart w:id="151" w:name="_Toc417719038"/>
      <w:r w:rsidRPr="00115ECE">
        <w:t>Procedural fairness</w:t>
      </w:r>
      <w:r>
        <w:t xml:space="preserve"> matters</w:t>
      </w:r>
      <w:bookmarkEnd w:id="150"/>
      <w:bookmarkEnd w:id="151"/>
      <w:r w:rsidRPr="00115ECE">
        <w:t xml:space="preserve"> </w:t>
      </w:r>
    </w:p>
    <w:p w:rsidR="00051BDB" w:rsidRDefault="00051BDB" w:rsidP="00051BDB">
      <w:pPr>
        <w:rPr>
          <w:rStyle w:val="AERbody"/>
        </w:rPr>
      </w:pPr>
      <w:r w:rsidRPr="00D960D3">
        <w:rPr>
          <w:rStyle w:val="AERbody"/>
        </w:rPr>
        <w:t xml:space="preserve">In their revised regulatory proposals, the service providers </w:t>
      </w:r>
      <w:r>
        <w:rPr>
          <w:rStyle w:val="AERbody"/>
        </w:rPr>
        <w:t>submitted that they had not been afforded procedural fairness. In particular, they submit:</w:t>
      </w:r>
      <w:r w:rsidR="00756041" w:rsidRPr="006D71EA">
        <w:rPr>
          <w:rStyle w:val="FootnoteReference"/>
        </w:rPr>
        <w:footnoteReference w:id="266"/>
      </w:r>
    </w:p>
    <w:p w:rsidR="00051BDB" w:rsidRDefault="00051BDB" w:rsidP="00051BDB">
      <w:pPr>
        <w:pStyle w:val="AERbulletlistfirststyle"/>
        <w:rPr>
          <w:rStyle w:val="AERbody"/>
        </w:rPr>
      </w:pPr>
      <w:r>
        <w:rPr>
          <w:rStyle w:val="AERbody"/>
        </w:rPr>
        <w:t>By publishing our first annual benchmarking report two months late, we have limited their time to make a detailed response to the issues contained within for the purposes of their revised proposals</w:t>
      </w:r>
    </w:p>
    <w:p w:rsidR="00051BDB" w:rsidRPr="00D960D3" w:rsidRDefault="00051BDB" w:rsidP="00051BDB">
      <w:pPr>
        <w:pStyle w:val="AERbulletlistfirststyle"/>
        <w:rPr>
          <w:rStyle w:val="AERbody"/>
        </w:rPr>
      </w:pPr>
      <w:r>
        <w:rPr>
          <w:rStyle w:val="AERbody"/>
        </w:rPr>
        <w:t>The models we used in the draft decision are not consistent with those set out in the Guideline.</w:t>
      </w:r>
    </w:p>
    <w:p w:rsidR="00051BDB" w:rsidRPr="00115ECE" w:rsidRDefault="00051BDB" w:rsidP="00051BDB">
      <w:pPr>
        <w:rPr>
          <w:rStyle w:val="AERbody"/>
        </w:rPr>
      </w:pPr>
      <w:r w:rsidRPr="00115ECE">
        <w:rPr>
          <w:rStyle w:val="AERbody"/>
        </w:rPr>
        <w:t xml:space="preserve">As </w:t>
      </w:r>
      <w:r>
        <w:rPr>
          <w:rStyle w:val="AERbody"/>
        </w:rPr>
        <w:t>noted</w:t>
      </w:r>
      <w:r w:rsidRPr="00115ECE">
        <w:rPr>
          <w:rStyle w:val="AERbody"/>
        </w:rPr>
        <w:t xml:space="preserve"> above and </w:t>
      </w:r>
      <w:r>
        <w:rPr>
          <w:rStyle w:val="AERbody"/>
        </w:rPr>
        <w:t xml:space="preserve">set out in </w:t>
      </w:r>
      <w:r>
        <w:rPr>
          <w:rStyle w:val="AERbody"/>
        </w:rPr>
        <w:fldChar w:fldCharType="begin"/>
      </w:r>
      <w:r>
        <w:rPr>
          <w:rStyle w:val="AERbody"/>
        </w:rPr>
        <w:instrText xml:space="preserve"> REF _Ref414616809 \h </w:instrText>
      </w:r>
      <w:r>
        <w:rPr>
          <w:rStyle w:val="AERbody"/>
        </w:rPr>
      </w:r>
      <w:r>
        <w:rPr>
          <w:rStyle w:val="AERbody"/>
        </w:rPr>
        <w:fldChar w:fldCharType="separate"/>
      </w:r>
      <w:r w:rsidR="00C74791">
        <w:t xml:space="preserve">Table </w:t>
      </w:r>
      <w:r w:rsidR="00C74791">
        <w:rPr>
          <w:noProof/>
        </w:rPr>
        <w:t>A</w:t>
      </w:r>
      <w:r w:rsidR="00C74791">
        <w:t>.</w:t>
      </w:r>
      <w:r w:rsidR="00C74791">
        <w:rPr>
          <w:noProof/>
        </w:rPr>
        <w:t>2</w:t>
      </w:r>
      <w:r>
        <w:rPr>
          <w:rStyle w:val="AERbody"/>
        </w:rPr>
        <w:fldChar w:fldCharType="end"/>
      </w:r>
      <w:r>
        <w:rPr>
          <w:rStyle w:val="AERbody"/>
        </w:rPr>
        <w:t xml:space="preserve"> below,</w:t>
      </w:r>
      <w:r w:rsidRPr="00115ECE">
        <w:rPr>
          <w:rStyle w:val="AERbody"/>
        </w:rPr>
        <w:t xml:space="preserve"> </w:t>
      </w:r>
      <w:r>
        <w:rPr>
          <w:rStyle w:val="AERbody"/>
        </w:rPr>
        <w:t>we have</w:t>
      </w:r>
      <w:r w:rsidRPr="00115ECE">
        <w:rPr>
          <w:rStyle w:val="AERbody"/>
        </w:rPr>
        <w:t xml:space="preserve"> been engaged in a lengthy consultation process with the service providers dating back several years. This program of consultation has involved staff interactions with the service provider</w:t>
      </w:r>
      <w:r>
        <w:rPr>
          <w:rStyle w:val="AERbody"/>
        </w:rPr>
        <w:t>s</w:t>
      </w:r>
      <w:r w:rsidRPr="00115ECE">
        <w:rPr>
          <w:rStyle w:val="AERbody"/>
        </w:rPr>
        <w:t xml:space="preserve"> and </w:t>
      </w:r>
      <w:r>
        <w:rPr>
          <w:rStyle w:val="AERbody"/>
        </w:rPr>
        <w:t>their</w:t>
      </w:r>
      <w:r w:rsidRPr="00115ECE">
        <w:rPr>
          <w:rStyle w:val="AERbody"/>
        </w:rPr>
        <w:t xml:space="preserve"> officers and employees. </w:t>
      </w:r>
      <w:r>
        <w:rPr>
          <w:rStyle w:val="AERbody"/>
        </w:rPr>
        <w:t>Our consultation process</w:t>
      </w:r>
      <w:r w:rsidRPr="00115ECE">
        <w:rPr>
          <w:rStyle w:val="AERbody"/>
        </w:rPr>
        <w:t xml:space="preserve"> provided service providers with an extension of time and limited the reach of its regulatory information notices under the NEL.</w:t>
      </w:r>
    </w:p>
    <w:p w:rsidR="00051BDB" w:rsidRDefault="00051BDB" w:rsidP="00051BDB">
      <w:pPr>
        <w:rPr>
          <w:rStyle w:val="AERbody"/>
        </w:rPr>
      </w:pPr>
      <w:r w:rsidRPr="00115ECE">
        <w:rPr>
          <w:rStyle w:val="AERbody"/>
        </w:rPr>
        <w:t>The service provider</w:t>
      </w:r>
      <w:r>
        <w:rPr>
          <w:rStyle w:val="AERbody"/>
        </w:rPr>
        <w:t>s</w:t>
      </w:r>
      <w:r w:rsidRPr="00115ECE">
        <w:rPr>
          <w:rStyle w:val="AERbody"/>
        </w:rPr>
        <w:t xml:space="preserve"> nevertheless now </w:t>
      </w:r>
      <w:r>
        <w:rPr>
          <w:rStyle w:val="AERbody"/>
        </w:rPr>
        <w:t>submit</w:t>
      </w:r>
      <w:r w:rsidRPr="00115ECE">
        <w:rPr>
          <w:rStyle w:val="AERbody"/>
        </w:rPr>
        <w:t xml:space="preserve"> that the AER failed to provide </w:t>
      </w:r>
      <w:r>
        <w:rPr>
          <w:rStyle w:val="AERbody"/>
        </w:rPr>
        <w:t>them</w:t>
      </w:r>
      <w:r w:rsidRPr="00115ECE">
        <w:rPr>
          <w:rStyle w:val="AERbody"/>
        </w:rPr>
        <w:t xml:space="preserve"> with procedural fairness. </w:t>
      </w:r>
      <w:r>
        <w:rPr>
          <w:rStyle w:val="AERbody"/>
        </w:rPr>
        <w:t>We disagree with these submissions</w:t>
      </w:r>
      <w:r w:rsidRPr="00115ECE">
        <w:rPr>
          <w:rStyle w:val="AERbody"/>
        </w:rPr>
        <w:t xml:space="preserve">. </w:t>
      </w:r>
      <w:r w:rsidR="00C74791">
        <w:rPr>
          <w:rStyle w:val="AERbody"/>
        </w:rPr>
        <w:t xml:space="preserve"> </w:t>
      </w:r>
    </w:p>
    <w:p w:rsidR="00051BDB" w:rsidRPr="003E5765" w:rsidRDefault="00051BDB" w:rsidP="00051BDB">
      <w:pPr>
        <w:pStyle w:val="Caption"/>
      </w:pPr>
      <w:bookmarkStart w:id="152" w:name="_Ref414616809"/>
      <w:r>
        <w:lastRenderedPageBreak/>
        <w:t xml:space="preserve">Table </w:t>
      </w:r>
      <w:fldSimple w:instr=" STYLEREF 7 \s ">
        <w:r w:rsidR="00CF2125">
          <w:rPr>
            <w:noProof/>
          </w:rPr>
          <w:t>A</w:t>
        </w:r>
      </w:fldSimple>
      <w:r w:rsidR="00CF2125">
        <w:t>.</w:t>
      </w:r>
      <w:fldSimple w:instr=" SEQ ATable \* ARABIC \s 7 ">
        <w:r w:rsidR="00CF2125">
          <w:rPr>
            <w:noProof/>
          </w:rPr>
          <w:t>2</w:t>
        </w:r>
      </w:fldSimple>
      <w:bookmarkEnd w:id="152"/>
      <w:r w:rsidRPr="003E5765">
        <w:tab/>
        <w:t>Full process of the development of benchmarking data set</w:t>
      </w:r>
    </w:p>
    <w:tbl>
      <w:tblPr>
        <w:tblStyle w:val="AERtable-text0"/>
        <w:tblW w:w="0" w:type="auto"/>
        <w:tblLayout w:type="fixed"/>
        <w:tblLook w:val="04A0" w:firstRow="1" w:lastRow="0" w:firstColumn="1" w:lastColumn="0" w:noHBand="0" w:noVBand="1"/>
      </w:tblPr>
      <w:tblGrid>
        <w:gridCol w:w="7621"/>
        <w:gridCol w:w="1072"/>
      </w:tblGrid>
      <w:tr w:rsidR="00051BDB" w:rsidTr="00051BDB">
        <w:trPr>
          <w:cnfStyle w:val="100000000000" w:firstRow="1" w:lastRow="0" w:firstColumn="0" w:lastColumn="0" w:oddVBand="0" w:evenVBand="0" w:oddHBand="0" w:evenHBand="0" w:firstRowFirstColumn="0" w:firstRowLastColumn="0" w:lastRowFirstColumn="0" w:lastRowLastColumn="0"/>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Milestone</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Date</w:t>
            </w:r>
          </w:p>
        </w:tc>
      </w:tr>
      <w:tr w:rsidR="00051BDB" w:rsidTr="00051BDB">
        <w:trPr>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ACCC/AER working paper on benchmarking in electricity networks released. This report provides a comprehensive list of data that had been used in previous energy benchmarking studies.</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May-12</w:t>
            </w:r>
          </w:p>
        </w:tc>
      </w:tr>
      <w:tr w:rsidR="00051BDB" w:rsidTr="00051BDB">
        <w:trPr>
          <w:cnfStyle w:val="000000010000" w:firstRow="0" w:lastRow="0" w:firstColumn="0" w:lastColumn="0" w:oddVBand="0" w:evenVBand="0" w:oddHBand="0" w:evenHBand="1" w:firstRowFirstColumn="0" w:firstRowLastColumn="0" w:lastRowFirstColumn="0" w:lastRowLastColumn="0"/>
          <w:trHeight w:val="1200"/>
        </w:trPr>
        <w:tc>
          <w:tcPr>
            <w:tcW w:w="7621" w:type="dxa"/>
            <w:tcBorders>
              <w:top w:val="nil"/>
              <w:left w:val="nil"/>
              <w:bottom w:val="nil"/>
              <w:right w:val="nil"/>
            </w:tcBorders>
            <w:hideMark/>
          </w:tcPr>
          <w:p w:rsidR="00051BDB" w:rsidRPr="003E5765" w:rsidRDefault="00051BDB" w:rsidP="00051BDB">
            <w:pPr>
              <w:pStyle w:val="AERtabletextleft"/>
            </w:pPr>
            <w:r w:rsidRPr="003E5765">
              <w:t>AER releases issues paper on expenditure forecast assessment guideline. Issues paper includes:</w:t>
            </w:r>
          </w:p>
          <w:p w:rsidR="00051BDB" w:rsidRPr="003E5765" w:rsidRDefault="00051BDB" w:rsidP="00051BDB">
            <w:pPr>
              <w:pStyle w:val="AERbulletlistfirststyle"/>
            </w:pPr>
            <w:r w:rsidRPr="003E5765">
              <w:t>detailed description of benchmarking techniques</w:t>
            </w:r>
          </w:p>
          <w:p w:rsidR="00051BDB" w:rsidRPr="003E5765" w:rsidRDefault="00051BDB" w:rsidP="00051BDB">
            <w:pPr>
              <w:pStyle w:val="AERbulletlistfirststyle"/>
            </w:pPr>
            <w:r w:rsidRPr="003E5765">
              <w:t>data on the inputs and outputs for benchmarking electricity networks</w:t>
            </w:r>
          </w:p>
          <w:p w:rsidR="00051BDB" w:rsidRPr="003E5765" w:rsidRDefault="00051BDB" w:rsidP="00051BDB">
            <w:pPr>
              <w:pStyle w:val="AERbulletlistfirststyle"/>
            </w:pPr>
            <w:r w:rsidRPr="003E5765">
              <w:t>potential applications of benchmarking techniques</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Dec-12</w:t>
            </w:r>
          </w:p>
        </w:tc>
      </w:tr>
      <w:tr w:rsidR="00051BDB" w:rsidTr="00051BDB">
        <w:trPr>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AER workshop – general guideline consultation - Initiation roundtable</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Feb-13</w:t>
            </w:r>
          </w:p>
        </w:tc>
      </w:tr>
      <w:tr w:rsidR="00051BDB" w:rsidTr="00051BDB">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Economic benchmarking workshop on outputs</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Mar-13</w:t>
            </w:r>
          </w:p>
        </w:tc>
      </w:tr>
      <w:tr w:rsidR="00051BDB" w:rsidTr="00051BDB">
        <w:trPr>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Economic benchmarking workshop on inputs</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Mar-13</w:t>
            </w:r>
          </w:p>
        </w:tc>
      </w:tr>
      <w:tr w:rsidR="00051BDB" w:rsidTr="00051BDB">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Economic benchmarking workshop on measurement of outputs and environmental factors</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Apr-13</w:t>
            </w:r>
          </w:p>
        </w:tc>
      </w:tr>
      <w:tr w:rsidR="00051BDB" w:rsidTr="00051BDB">
        <w:trPr>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Economic benchmarking techniques workshop on network input measurement</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May-13</w:t>
            </w:r>
          </w:p>
        </w:tc>
      </w:tr>
      <w:tr w:rsidR="00051BDB" w:rsidTr="00051BDB">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Preliminary RIN templates circulated for comment</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Jun-15</w:t>
            </w:r>
          </w:p>
        </w:tc>
      </w:tr>
      <w:tr w:rsidR="00051BDB" w:rsidTr="00051BDB">
        <w:trPr>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Revised preliminary RIN templates circulated for comment</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Jul-13</w:t>
            </w:r>
          </w:p>
        </w:tc>
      </w:tr>
      <w:tr w:rsidR="00051BDB" w:rsidTr="00051BDB">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Draft Economic benchmarking RINs released</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Sep-13</w:t>
            </w:r>
          </w:p>
        </w:tc>
      </w:tr>
      <w:tr w:rsidR="00051BDB" w:rsidTr="00051BDB">
        <w:trPr>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Draft expenditure forecast guideline released</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Aug-13</w:t>
            </w:r>
          </w:p>
        </w:tc>
      </w:tr>
      <w:tr w:rsidR="00051BDB" w:rsidTr="00051BDB">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Workshop RIN auditing requirements &amp; economic benchmarking data requirements </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Oct-13</w:t>
            </w:r>
          </w:p>
        </w:tc>
      </w:tr>
      <w:tr w:rsidR="00051BDB" w:rsidTr="00051BDB">
        <w:trPr>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Final expenditure forecast assessment guideline released</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Nov-13</w:t>
            </w:r>
          </w:p>
        </w:tc>
      </w:tr>
      <w:tr w:rsidR="00051BDB" w:rsidTr="00051BDB">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Final RINs for economic benchmarking released</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Nov-13</w:t>
            </w:r>
          </w:p>
        </w:tc>
      </w:tr>
      <w:tr w:rsidR="00051BDB" w:rsidTr="00051BDB">
        <w:trPr>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AER answers questions regarding how the economic benchmarking RIN templates are to be completed.</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Nov 14</w:t>
            </w:r>
          </w:p>
        </w:tc>
      </w:tr>
      <w:tr w:rsidR="00051BDB" w:rsidTr="00051BDB">
        <w:trPr>
          <w:cnfStyle w:val="000000010000" w:firstRow="0" w:lastRow="0" w:firstColumn="0" w:lastColumn="0" w:oddVBand="0" w:evenVBand="0" w:oddHBand="0" w:evenHBand="1" w:firstRowFirstColumn="0" w:firstRowLastColumn="0" w:lastRowFirstColumn="0" w:lastRowLastColumn="0"/>
          <w:trHeight w:val="426"/>
        </w:trPr>
        <w:tc>
          <w:tcPr>
            <w:tcW w:w="7621" w:type="dxa"/>
            <w:tcBorders>
              <w:top w:val="nil"/>
              <w:left w:val="nil"/>
              <w:bottom w:val="nil"/>
              <w:right w:val="nil"/>
            </w:tcBorders>
            <w:hideMark/>
          </w:tcPr>
          <w:p w:rsidR="00051BDB" w:rsidRPr="003E5765" w:rsidRDefault="00051BDB" w:rsidP="00051BDB">
            <w:pPr>
              <w:pStyle w:val="AERtabletextleft"/>
            </w:pPr>
            <w:r w:rsidRPr="003E5765">
              <w:t>Unaudited RIN responses received AER initiates comprehensive review of RIN data. Review includes:</w:t>
            </w:r>
          </w:p>
          <w:p w:rsidR="00051BDB" w:rsidRPr="00051BDB" w:rsidRDefault="00051BDB" w:rsidP="00051BDB">
            <w:pPr>
              <w:pStyle w:val="AERquotebullet1"/>
            </w:pPr>
            <w:r w:rsidRPr="003E5765">
              <w:t xml:space="preserve">Comparing RIN information with information previously reported by </w:t>
            </w:r>
            <w:r w:rsidRPr="00051BDB">
              <w:t>distributors to ensure consistency such as regulatory proposals, previous RIN responses and distributor annual reports</w:t>
            </w:r>
          </w:p>
          <w:p w:rsidR="00051BDB" w:rsidRPr="003E5765" w:rsidRDefault="00051BDB" w:rsidP="00051BDB">
            <w:pPr>
              <w:pStyle w:val="AERquotebullet1"/>
            </w:pPr>
            <w:r w:rsidRPr="003E5765">
              <w:t>reviewing time series data to identify any anomalous data points</w:t>
            </w:r>
          </w:p>
          <w:p w:rsidR="00051BDB" w:rsidRPr="003E5765" w:rsidRDefault="00051BDB" w:rsidP="00051BDB">
            <w:pPr>
              <w:pStyle w:val="AERquotebullet1"/>
            </w:pPr>
            <w:r w:rsidRPr="003E5765">
              <w:t xml:space="preserve">Reviewing basis of preparation to ensure that data has been prepared in accordance with EBT RIN instructions and </w:t>
            </w:r>
            <w:r w:rsidRPr="003E5765">
              <w:lastRenderedPageBreak/>
              <w:t>definitions</w:t>
            </w:r>
          </w:p>
          <w:p w:rsidR="00051BDB" w:rsidRPr="00051BDB" w:rsidRDefault="00051BDB" w:rsidP="00051BDB">
            <w:pPr>
              <w:pStyle w:val="AERquotebullet1"/>
            </w:pPr>
            <w:r w:rsidRPr="003E5765">
              <w:t>Comparing data across distributors to identify potential anomalies</w:t>
            </w:r>
            <w:r w:rsidRPr="00051BDB">
              <w:t>.</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lastRenderedPageBreak/>
              <w:t>Mar-14</w:t>
            </w:r>
          </w:p>
        </w:tc>
      </w:tr>
      <w:tr w:rsidR="00051BDB" w:rsidTr="00051BDB">
        <w:trPr>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lastRenderedPageBreak/>
              <w:t>Final audited RIN responses received</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Apr-14</w:t>
            </w:r>
          </w:p>
        </w:tc>
      </w:tr>
      <w:tr w:rsidR="00051BDB" w:rsidTr="00051BDB">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51BDB" w:rsidRPr="003E5765" w:rsidRDefault="00051BDB" w:rsidP="00051BDB">
            <w:pPr>
              <w:pStyle w:val="AERtabletextleft"/>
            </w:pPr>
            <w:r w:rsidRPr="003E5765">
              <w:t>Benchmarking data released for public consultation</w:t>
            </w:r>
          </w:p>
        </w:tc>
        <w:tc>
          <w:tcPr>
            <w:tcW w:w="1072" w:type="dxa"/>
            <w:tcBorders>
              <w:top w:val="nil"/>
              <w:left w:val="nil"/>
              <w:bottom w:val="nil"/>
              <w:right w:val="nil"/>
            </w:tcBorders>
            <w:noWrap/>
            <w:hideMark/>
          </w:tcPr>
          <w:p w:rsidR="00051BDB" w:rsidRPr="00C96735" w:rsidRDefault="00051BDB" w:rsidP="00051BDB">
            <w:pPr>
              <w:pStyle w:val="AERtabletextleft"/>
            </w:pPr>
            <w:r w:rsidRPr="00C96735">
              <w:t>May-14</w:t>
            </w:r>
          </w:p>
        </w:tc>
      </w:tr>
      <w:tr w:rsidR="00051BDB" w:rsidTr="00051BDB">
        <w:trPr>
          <w:trHeight w:val="300"/>
        </w:trPr>
        <w:tc>
          <w:tcPr>
            <w:tcW w:w="7621" w:type="dxa"/>
            <w:tcBorders>
              <w:top w:val="nil"/>
              <w:left w:val="nil"/>
              <w:bottom w:val="single" w:sz="4" w:space="0" w:color="365F91"/>
              <w:right w:val="nil"/>
            </w:tcBorders>
            <w:noWrap/>
            <w:hideMark/>
          </w:tcPr>
          <w:p w:rsidR="00051BDB" w:rsidRPr="003E5765" w:rsidRDefault="00051BDB" w:rsidP="00051BDB">
            <w:pPr>
              <w:pStyle w:val="AERtabletextleft"/>
            </w:pPr>
            <w:r w:rsidRPr="003E5765">
              <w:t>Draft benchmarking report and data circulated to NSPs and other stakeholders</w:t>
            </w:r>
          </w:p>
        </w:tc>
        <w:tc>
          <w:tcPr>
            <w:tcW w:w="1072" w:type="dxa"/>
            <w:tcBorders>
              <w:top w:val="nil"/>
              <w:left w:val="nil"/>
              <w:bottom w:val="single" w:sz="4" w:space="0" w:color="365F91"/>
              <w:right w:val="nil"/>
            </w:tcBorders>
            <w:noWrap/>
            <w:hideMark/>
          </w:tcPr>
          <w:p w:rsidR="00051BDB" w:rsidRPr="00C96735" w:rsidRDefault="00051BDB" w:rsidP="00051BDB">
            <w:pPr>
              <w:pStyle w:val="AERtabletextleft"/>
            </w:pPr>
            <w:r w:rsidRPr="00C96735">
              <w:t>Aug-14</w:t>
            </w:r>
          </w:p>
        </w:tc>
      </w:tr>
    </w:tbl>
    <w:p w:rsidR="00051BDB" w:rsidRPr="00756041" w:rsidRDefault="00051BDB" w:rsidP="00756041">
      <w:pPr>
        <w:pStyle w:val="HeadingBoldItalic"/>
      </w:pPr>
      <w:r w:rsidRPr="00756041">
        <w:t>Provision of the annual benchmarking report</w:t>
      </w:r>
    </w:p>
    <w:p w:rsidR="00051BDB" w:rsidRDefault="00051BDB" w:rsidP="00051BDB">
      <w:pPr>
        <w:rPr>
          <w:rStyle w:val="AERbody"/>
        </w:rPr>
      </w:pPr>
      <w:r>
        <w:rPr>
          <w:rStyle w:val="AERbody"/>
        </w:rPr>
        <w:t>We</w:t>
      </w:r>
      <w:r w:rsidRPr="00502AFB">
        <w:rPr>
          <w:rStyle w:val="AERbody"/>
        </w:rPr>
        <w:t xml:space="preserve"> prepared an annual benchmarking report </w:t>
      </w:r>
      <w:r>
        <w:rPr>
          <w:rStyle w:val="AERbody"/>
        </w:rPr>
        <w:t xml:space="preserve">(Report) </w:t>
      </w:r>
      <w:r w:rsidRPr="00502AFB">
        <w:rPr>
          <w:rStyle w:val="AERbody"/>
        </w:rPr>
        <w:t>consistent with the requirements of the NER and the NEL.</w:t>
      </w:r>
      <w:r>
        <w:rPr>
          <w:rStyle w:val="FootnoteReference"/>
        </w:rPr>
        <w:footnoteReference w:id="267"/>
      </w:r>
      <w:r w:rsidRPr="00502AFB">
        <w:rPr>
          <w:rStyle w:val="AERbody"/>
        </w:rPr>
        <w:t xml:space="preserve"> </w:t>
      </w:r>
      <w:r>
        <w:rPr>
          <w:rStyle w:val="AERbody"/>
        </w:rPr>
        <w:t xml:space="preserve">We undertook an extensive process of consultation and data collection and validation as part of this process. Service providers were intricately involved in the design and validation of the Report and the underlying data per </w:t>
      </w:r>
      <w:r w:rsidRPr="003E5765">
        <w:rPr>
          <w:rStyle w:val="AERbody"/>
        </w:rPr>
        <w:fldChar w:fldCharType="begin"/>
      </w:r>
      <w:r w:rsidRPr="003E5765">
        <w:rPr>
          <w:rStyle w:val="AERbody"/>
        </w:rPr>
        <w:instrText xml:space="preserve"> REF _Ref414616809 \h </w:instrText>
      </w:r>
      <w:r w:rsidRPr="003E5765">
        <w:rPr>
          <w:rStyle w:val="AERbody"/>
        </w:rPr>
      </w:r>
      <w:r w:rsidRPr="003E5765">
        <w:rPr>
          <w:rStyle w:val="AERbody"/>
        </w:rPr>
        <w:fldChar w:fldCharType="separate"/>
      </w:r>
      <w:r w:rsidR="00C74791">
        <w:t xml:space="preserve">Table </w:t>
      </w:r>
      <w:r w:rsidR="00C74791">
        <w:rPr>
          <w:noProof/>
        </w:rPr>
        <w:t>A</w:t>
      </w:r>
      <w:r w:rsidR="00C74791">
        <w:t>.</w:t>
      </w:r>
      <w:r w:rsidR="00C74791">
        <w:rPr>
          <w:noProof/>
        </w:rPr>
        <w:t>2</w:t>
      </w:r>
      <w:r w:rsidRPr="003E5765">
        <w:rPr>
          <w:rStyle w:val="AERbody"/>
        </w:rPr>
        <w:fldChar w:fldCharType="end"/>
      </w:r>
      <w:r>
        <w:rPr>
          <w:rStyle w:val="AERbody"/>
        </w:rPr>
        <w:t xml:space="preserve">. </w:t>
      </w:r>
    </w:p>
    <w:p w:rsidR="00051BDB" w:rsidRDefault="00051BDB" w:rsidP="00051BDB">
      <w:pPr>
        <w:rPr>
          <w:rStyle w:val="AERbody"/>
        </w:rPr>
      </w:pPr>
      <w:r>
        <w:rPr>
          <w:rStyle w:val="AERbody"/>
        </w:rPr>
        <w:t>We published the Report in November 2014, rather than September 2014 as contemplated in the NER.</w:t>
      </w:r>
      <w:r>
        <w:rPr>
          <w:rStyle w:val="FootnoteReference"/>
        </w:rPr>
        <w:footnoteReference w:id="268"/>
      </w:r>
      <w:r>
        <w:rPr>
          <w:rStyle w:val="AERbody"/>
        </w:rPr>
        <w:t xml:space="preserve"> However, service providers had access to our methodology and underlying data and (from August 2014) a draft report that was largely reflected in the Report that was published. </w:t>
      </w:r>
    </w:p>
    <w:p w:rsidR="00051BDB" w:rsidRDefault="00051BDB" w:rsidP="00051BDB">
      <w:pPr>
        <w:rPr>
          <w:rStyle w:val="AERbody"/>
        </w:rPr>
      </w:pPr>
      <w:r>
        <w:rPr>
          <w:rStyle w:val="AERbody"/>
        </w:rPr>
        <w:t xml:space="preserve">We are </w:t>
      </w:r>
      <w:r w:rsidRPr="00326353">
        <w:rPr>
          <w:rStyle w:val="AERbody"/>
        </w:rPr>
        <w:t xml:space="preserve">required to have regard to the annual benchmarking report, </w:t>
      </w:r>
      <w:r>
        <w:rPr>
          <w:rStyle w:val="AERbody"/>
        </w:rPr>
        <w:t xml:space="preserve">in reaching our decision, </w:t>
      </w:r>
      <w:r w:rsidRPr="00326353">
        <w:rPr>
          <w:rStyle w:val="AERbody"/>
        </w:rPr>
        <w:t>which we have done.</w:t>
      </w:r>
      <w:r w:rsidRPr="00326353">
        <w:rPr>
          <w:rStyle w:val="FootnoteReference"/>
        </w:rPr>
        <w:footnoteReference w:id="269"/>
      </w:r>
      <w:r>
        <w:rPr>
          <w:rStyle w:val="AERbody"/>
        </w:rPr>
        <w:t xml:space="preserve">  We have built on our annual benchmarking report and used additional techniques and analysis in having regard to the benchmark opex of an efficient provider for the purposes of this decision. We are not required to apply </w:t>
      </w:r>
      <w:r w:rsidRPr="00502AFB">
        <w:rPr>
          <w:rStyle w:val="AERbody"/>
        </w:rPr>
        <w:t xml:space="preserve">the methodology </w:t>
      </w:r>
      <w:r>
        <w:rPr>
          <w:rStyle w:val="AERbody"/>
        </w:rPr>
        <w:t xml:space="preserve">from the </w:t>
      </w:r>
      <w:r w:rsidRPr="00502AFB">
        <w:rPr>
          <w:rStyle w:val="AERbody"/>
        </w:rPr>
        <w:t>most recent benchmarking report</w:t>
      </w:r>
      <w:r>
        <w:rPr>
          <w:rStyle w:val="AERbody"/>
        </w:rPr>
        <w:t xml:space="preserve"> in reaching our final decision.</w:t>
      </w:r>
      <w:r>
        <w:rPr>
          <w:rStyle w:val="FootnoteReference"/>
        </w:rPr>
        <w:footnoteReference w:id="270"/>
      </w:r>
      <w:r>
        <w:rPr>
          <w:rStyle w:val="AERbody"/>
        </w:rPr>
        <w:t xml:space="preserve">  We have, as contemplated by the NER, included other factors in our approach.</w:t>
      </w:r>
      <w:r>
        <w:rPr>
          <w:rStyle w:val="FootnoteReference"/>
        </w:rPr>
        <w:footnoteReference w:id="271"/>
      </w:r>
      <w:r>
        <w:rPr>
          <w:rStyle w:val="AERbody"/>
        </w:rPr>
        <w:t xml:space="preserve"> </w:t>
      </w:r>
    </w:p>
    <w:p w:rsidR="00051BDB" w:rsidRDefault="00051BDB" w:rsidP="00051BDB">
      <w:pPr>
        <w:rPr>
          <w:rStyle w:val="AERbody"/>
        </w:rPr>
      </w:pPr>
      <w:r>
        <w:rPr>
          <w:rStyle w:val="AERbody"/>
        </w:rPr>
        <w:t>Some service providers have made two, somewhat contradictory claims about the above process:</w:t>
      </w:r>
      <w:r>
        <w:rPr>
          <w:rStyle w:val="FootnoteReference"/>
        </w:rPr>
        <w:footnoteReference w:id="272"/>
      </w:r>
    </w:p>
    <w:p w:rsidR="00051BDB" w:rsidRDefault="00051BDB" w:rsidP="00051BDB">
      <w:pPr>
        <w:pStyle w:val="AERbulletlistfirststyle"/>
        <w:rPr>
          <w:rStyle w:val="AERbody"/>
        </w:rPr>
      </w:pPr>
      <w:r>
        <w:rPr>
          <w:rStyle w:val="AERbody"/>
        </w:rPr>
        <w:t>First, they say that not being served with the final report meant that they were deprived of the opportunity to be heard in relation to the Report before the publication of our draft decision; and</w:t>
      </w:r>
    </w:p>
    <w:p w:rsidR="00051BDB" w:rsidRDefault="00051BDB" w:rsidP="00051BDB">
      <w:pPr>
        <w:pStyle w:val="AERbulletlistfirststyle"/>
        <w:rPr>
          <w:rStyle w:val="AERbody"/>
        </w:rPr>
      </w:pPr>
      <w:r>
        <w:rPr>
          <w:rStyle w:val="AERbody"/>
        </w:rPr>
        <w:t xml:space="preserve">Second, they say that we have departed from the Report in our draft decision by adopting different economic benchmarking techniques. </w:t>
      </w:r>
    </w:p>
    <w:p w:rsidR="00051BDB" w:rsidRPr="0039725C" w:rsidRDefault="00051BDB" w:rsidP="00051BDB">
      <w:r>
        <w:rPr>
          <w:rStyle w:val="AERbody"/>
        </w:rPr>
        <w:lastRenderedPageBreak/>
        <w:t>We acknowledge that the final Report was provided outside the time specified in the NER. The service providers assert</w:t>
      </w:r>
      <w:r w:rsidRPr="0039725C">
        <w:rPr>
          <w:rStyle w:val="AERbody"/>
        </w:rPr>
        <w:t xml:space="preserve"> that this caused </w:t>
      </w:r>
      <w:r>
        <w:rPr>
          <w:rStyle w:val="AERbody"/>
        </w:rPr>
        <w:t>them</w:t>
      </w:r>
      <w:r w:rsidRPr="0039725C">
        <w:rPr>
          <w:rStyle w:val="AERbody"/>
        </w:rPr>
        <w:t xml:space="preserve"> to suffer a lack of procedural fairness. The requirements of procedural fairness </w:t>
      </w:r>
      <w:r w:rsidRPr="0039725C">
        <w:t>"are essentially practical and depend upon the legislative framework and the circumstances of the particular case."</w:t>
      </w:r>
      <w:r w:rsidRPr="0039725C">
        <w:rPr>
          <w:rStyle w:val="FootnoteReference"/>
        </w:rPr>
        <w:footnoteReference w:id="273"/>
      </w:r>
      <w:r w:rsidRPr="0039725C">
        <w:t xml:space="preserve"> Here, those circumstances included:</w:t>
      </w:r>
    </w:p>
    <w:p w:rsidR="00051BDB" w:rsidRDefault="00051BDB" w:rsidP="00051BDB">
      <w:pPr>
        <w:pStyle w:val="AERbulletlistfirststyle"/>
        <w:rPr>
          <w:rStyle w:val="AERbody"/>
        </w:rPr>
      </w:pPr>
      <w:r>
        <w:rPr>
          <w:rStyle w:val="AERbody"/>
        </w:rPr>
        <w:t xml:space="preserve">service providers having access to a draft of the Report and all the data used in the Report itself, as well as an extensive period of consultation; </w:t>
      </w:r>
    </w:p>
    <w:p w:rsidR="00051BDB" w:rsidRDefault="00051BDB" w:rsidP="00051BDB">
      <w:pPr>
        <w:pStyle w:val="AERbulletlistfirststyle"/>
        <w:rPr>
          <w:rStyle w:val="AERbody"/>
        </w:rPr>
      </w:pPr>
      <w:r>
        <w:rPr>
          <w:rStyle w:val="AERbody"/>
        </w:rPr>
        <w:t>the AER publishing a further, detailed report which set out our approach to assessing the benchmark opex of an efficient provider for the purposes of the Draft Decision.</w:t>
      </w:r>
    </w:p>
    <w:p w:rsidR="00051BDB" w:rsidRPr="0039725C" w:rsidRDefault="00051BDB" w:rsidP="00051BDB">
      <w:pPr>
        <w:rPr>
          <w:rStyle w:val="AERbody"/>
        </w:rPr>
      </w:pPr>
      <w:r w:rsidRPr="0039725C">
        <w:rPr>
          <w:rStyle w:val="AERbody"/>
        </w:rPr>
        <w:t xml:space="preserve">The criticisms of our approach to benchmarking in the draft decision are, understandably, focused on our approach in the draft decision rather than the Report. </w:t>
      </w:r>
    </w:p>
    <w:p w:rsidR="00051BDB" w:rsidRPr="0039725C" w:rsidRDefault="00051BDB" w:rsidP="00051BDB">
      <w:pPr>
        <w:rPr>
          <w:rStyle w:val="AERbody"/>
        </w:rPr>
      </w:pPr>
      <w:r>
        <w:rPr>
          <w:rStyle w:val="AERbody"/>
        </w:rPr>
        <w:t xml:space="preserve">No service provider </w:t>
      </w:r>
      <w:r w:rsidRPr="0039725C">
        <w:rPr>
          <w:rStyle w:val="AERbody"/>
        </w:rPr>
        <w:t>has identified any practical difficulties or injustice occasioned by the late publication of the Report</w:t>
      </w:r>
      <w:r>
        <w:rPr>
          <w:rStyle w:val="AERbody"/>
        </w:rPr>
        <w:t>. We do not consider the late publication of the Report amounts to a lack</w:t>
      </w:r>
      <w:r w:rsidRPr="0039725C">
        <w:rPr>
          <w:rStyle w:val="AERbody"/>
        </w:rPr>
        <w:t xml:space="preserve"> of procedural fairness</w:t>
      </w:r>
      <w:r>
        <w:rPr>
          <w:rStyle w:val="AERbody"/>
        </w:rPr>
        <w:t xml:space="preserve"> for the purposes of the decision we must make about the service providers' forecast opex proposals</w:t>
      </w:r>
      <w:r w:rsidRPr="0039725C">
        <w:rPr>
          <w:rStyle w:val="AERbody"/>
        </w:rPr>
        <w:t>.</w:t>
      </w:r>
    </w:p>
    <w:p w:rsidR="00051BDB" w:rsidRPr="00756041" w:rsidRDefault="00051BDB" w:rsidP="00756041">
      <w:pPr>
        <w:pStyle w:val="HeadingBoldItalic"/>
      </w:pPr>
      <w:r w:rsidRPr="00756041">
        <w:t>Consistency of benchmarking models used in draft decision</w:t>
      </w:r>
    </w:p>
    <w:p w:rsidR="00051BDB" w:rsidRDefault="00051BDB" w:rsidP="00051BDB">
      <w:r>
        <w:t>A number of submissions note that we indicated that we would apply dat</w:t>
      </w:r>
      <w:r w:rsidRPr="005C1B39">
        <w:t>a envelopment analysis (DEA)</w:t>
      </w:r>
      <w:r>
        <w:t xml:space="preserve"> in the Guideline. At the time of developing the Guideline, we had not received data from service providers so we considered DEA may be another technique we could apply. However, given the data quality and the availability of international data, we have been able to apply SFA (stochastic frontier analysis). This is a superior technique to DEA</w:t>
      </w:r>
      <w:r w:rsidRPr="0034618C">
        <w:t xml:space="preserve"> </w:t>
      </w:r>
      <w:r>
        <w:t xml:space="preserve">due </w:t>
      </w:r>
      <w:r w:rsidRPr="0034618C">
        <w:t>to its direct estimat</w:t>
      </w:r>
      <w:r>
        <w:t>e</w:t>
      </w:r>
      <w:r w:rsidRPr="0034618C">
        <w:t xml:space="preserve"> of </w:t>
      </w:r>
      <w:r>
        <w:t>opex cost efficiency relative to an estimated frontier.</w:t>
      </w:r>
      <w:r>
        <w:rPr>
          <w:rStyle w:val="FootnoteReference"/>
        </w:rPr>
        <w:footnoteReference w:id="274"/>
      </w:r>
      <w:r>
        <w:t xml:space="preserve"> </w:t>
      </w:r>
    </w:p>
    <w:p w:rsidR="00051BDB" w:rsidRDefault="00051BDB" w:rsidP="00051BDB">
      <w:r>
        <w:t>To the extent that this represents a departure from the approach specified in the Guideline, clause 6.2.8(c) of the NER states:</w:t>
      </w:r>
    </w:p>
    <w:p w:rsidR="00051BDB" w:rsidRDefault="00051BDB" w:rsidP="00051BDB">
      <w:pPr>
        <w:pStyle w:val="AERquoteindent1"/>
      </w:pPr>
      <w:r w:rsidRPr="002A61F7">
        <w:t>Except as otherwise provided in this Chapter, a guideline is not mandatory (and so does not bind the AER or anyone else) but, if the AER makes a distribution determination that is not in accordance with the guideline, the AER must state, in its reasons for the distribution determination, the reasons for departing from the guideline.</w:t>
      </w:r>
    </w:p>
    <w:p w:rsidR="00756041" w:rsidRPr="006D71EA" w:rsidRDefault="00756041" w:rsidP="00756041">
      <w:r w:rsidRPr="006D71EA">
        <w:t xml:space="preserve">Accordingly, the above explanation constitutes our reason for departing from the Guideline. We disagree that we have </w:t>
      </w:r>
      <w:r>
        <w:t xml:space="preserve">prejudiced the interests of, or </w:t>
      </w:r>
      <w:r w:rsidRPr="006D71EA">
        <w:t xml:space="preserve">caused an injustice to the service providers by not consulting more than nine days prior to the draft </w:t>
      </w:r>
      <w:r w:rsidRPr="006D71EA">
        <w:lastRenderedPageBreak/>
        <w:t>decision on the benchmarking techniques we have used that are not also included in our benchmarking report.</w:t>
      </w:r>
      <w:r w:rsidRPr="006D71EA">
        <w:rPr>
          <w:rStyle w:val="FootnoteReference"/>
        </w:rPr>
        <w:footnoteReference w:id="275"/>
      </w:r>
    </w:p>
    <w:p w:rsidR="00051BDB" w:rsidRDefault="00051BDB" w:rsidP="00051BDB">
      <w:r>
        <w:t>We consider the distributors have not demonstrated practical unfairness given that they responded in detail to our draft decision.</w:t>
      </w:r>
      <w:r w:rsidDel="0052275D">
        <w:t xml:space="preserve"> </w:t>
      </w:r>
      <w:r>
        <w:t>Further, the consultation process we undertook for Better Regulation, the Guideline, and the explanatory statement to the Guideline all foreshadowed our intention to use econometric modelling if possible.</w:t>
      </w:r>
    </w:p>
    <w:p w:rsidR="00051BDB" w:rsidRDefault="00051BDB" w:rsidP="00051BDB">
      <w:r>
        <w:t>For the above reasons, we consider that our decision is not affected by any lack of procedural fairness or natural justice.</w:t>
      </w:r>
    </w:p>
    <w:p w:rsidR="00051BDB" w:rsidRPr="00051BDB" w:rsidRDefault="00051BDB" w:rsidP="00051BDB">
      <w:bookmarkStart w:id="153" w:name="_Ref414459101"/>
      <w:bookmarkStart w:id="154" w:name="_Toc415230977"/>
      <w:bookmarkStart w:id="155" w:name="_Ref415481241"/>
      <w:bookmarkStart w:id="156" w:name="_Ref415580433"/>
      <w:bookmarkStart w:id="157" w:name="_Ref415749264"/>
      <w:bookmarkStart w:id="158" w:name="_Ref417385589"/>
      <w:bookmarkStart w:id="159" w:name="_Ref417391654"/>
      <w:bookmarkStart w:id="160" w:name="_Ref417391671"/>
      <w:r>
        <w:br w:type="page"/>
      </w:r>
    </w:p>
    <w:p w:rsidR="00051BDB" w:rsidRDefault="00051BDB" w:rsidP="00051BDB">
      <w:pPr>
        <w:pStyle w:val="Heading8"/>
      </w:pPr>
      <w:bookmarkStart w:id="161" w:name="_Ref417551812"/>
      <w:bookmarkStart w:id="162" w:name="_Toc417719039"/>
      <w:r>
        <w:lastRenderedPageBreak/>
        <w:t>Our benchmarking</w:t>
      </w:r>
      <w:bookmarkEnd w:id="153"/>
      <w:r>
        <w:t xml:space="preserve"> is robust, reliable and reasonable</w:t>
      </w:r>
      <w:bookmarkEnd w:id="154"/>
      <w:bookmarkEnd w:id="155"/>
      <w:bookmarkEnd w:id="156"/>
      <w:bookmarkEnd w:id="157"/>
      <w:bookmarkEnd w:id="158"/>
      <w:bookmarkEnd w:id="159"/>
      <w:bookmarkEnd w:id="160"/>
      <w:bookmarkEnd w:id="161"/>
      <w:bookmarkEnd w:id="162"/>
    </w:p>
    <w:p w:rsidR="00051BDB" w:rsidRDefault="00051BDB" w:rsidP="00051BDB">
      <w:bookmarkStart w:id="163" w:name="_Toc415230985"/>
      <w:r w:rsidRPr="00E42653">
        <w:t xml:space="preserve">In this section we set out our analysis of the benchmarking techniques we have used to test whether base year opex of the service providers is efficient. </w:t>
      </w:r>
      <w:r>
        <w:t>In particular, we reiterate why our approach and results are robust, reliable and reasonable. In doing so, we explain why our approach is preferable to those proposed by the service providers and their consultants.</w:t>
      </w:r>
    </w:p>
    <w:p w:rsidR="00051BDB" w:rsidRPr="00E42653" w:rsidRDefault="00051BDB" w:rsidP="00051BDB">
      <w:r>
        <w:t>In this section we set out our benchmarking metrics that examine the efficiency of opex as a whole.</w:t>
      </w:r>
      <w:r>
        <w:rPr>
          <w:rStyle w:val="FootnoteReference"/>
        </w:rPr>
        <w:footnoteReference w:id="276"/>
      </w:r>
      <w:r>
        <w:t xml:space="preserve"> Category analysis metrics are considered separately in section </w:t>
      </w:r>
      <w:r>
        <w:fldChar w:fldCharType="begin"/>
      </w:r>
      <w:r>
        <w:instrText xml:space="preserve"> REF _Ref417310513 \n \h </w:instrText>
      </w:r>
      <w:r>
        <w:fldChar w:fldCharType="separate"/>
      </w:r>
      <w:r w:rsidR="00C74791">
        <w:t>A.5</w:t>
      </w:r>
      <w:r>
        <w:fldChar w:fldCharType="end"/>
      </w:r>
      <w:r>
        <w:t>.</w:t>
      </w:r>
    </w:p>
    <w:p w:rsidR="00051BDB" w:rsidRDefault="00051BDB" w:rsidP="00051BDB">
      <w:pPr>
        <w:pStyle w:val="Heading9"/>
      </w:pPr>
      <w:bookmarkStart w:id="164" w:name="_Toc416765386"/>
      <w:bookmarkStart w:id="165" w:name="_Toc417719040"/>
      <w:r>
        <w:t>Position</w:t>
      </w:r>
      <w:bookmarkEnd w:id="164"/>
      <w:bookmarkEnd w:id="165"/>
    </w:p>
    <w:p w:rsidR="00051BDB" w:rsidRDefault="00051BDB" w:rsidP="00051BDB">
      <w:r>
        <w:t xml:space="preserve">Our decision is to rely on the same benchmarking analysis that we applied in our draft determination to test the efficiency of the service providers' revealed opex. In coming to this view, we have considered the submissions of the service providers, their consultants and legal advisors, consumer representatives and other stakeholders. </w:t>
      </w:r>
    </w:p>
    <w:p w:rsidR="00051BDB" w:rsidRDefault="00051BDB" w:rsidP="00051BDB">
      <w:r>
        <w:t xml:space="preserve">We consider our benchmarking—including the data we have used—is robust, reliable and reasonable. In reviewing the alternatives put forward by the service providers' consultants we have identified shortcomings. Issues identified with the consultant's </w:t>
      </w:r>
      <w:r w:rsidR="0073522A">
        <w:t>models</w:t>
      </w:r>
      <w:r>
        <w:t xml:space="preserve"> include:</w:t>
      </w:r>
      <w:r>
        <w:rPr>
          <w:rStyle w:val="FootnoteReference"/>
        </w:rPr>
        <w:footnoteReference w:id="277"/>
      </w:r>
    </w:p>
    <w:p w:rsidR="00051BDB" w:rsidRDefault="00051BDB" w:rsidP="00051BDB">
      <w:pPr>
        <w:pStyle w:val="AERbulletlistfirststyle"/>
      </w:pPr>
      <w:r>
        <w:t xml:space="preserve">only using the </w:t>
      </w:r>
      <w:r w:rsidRPr="004149C5">
        <w:t xml:space="preserve">Australian data </w:t>
      </w:r>
      <w:r>
        <w:t xml:space="preserve">set which </w:t>
      </w:r>
      <w:r w:rsidRPr="004149C5">
        <w:t>has inadequate variation to support robust model estimation</w:t>
      </w:r>
    </w:p>
    <w:p w:rsidR="00051BDB" w:rsidRDefault="00051BDB" w:rsidP="00051BDB">
      <w:pPr>
        <w:pStyle w:val="AERbulletlistfirststyle"/>
      </w:pPr>
      <w:r>
        <w:t xml:space="preserve">including inappropriate operating environment factors (such as a 132kV line variable) </w:t>
      </w:r>
      <w:r w:rsidRPr="008A410E">
        <w:t>lead</w:t>
      </w:r>
      <w:r>
        <w:t>ing to inefficiency gaps being understated</w:t>
      </w:r>
    </w:p>
    <w:p w:rsidR="00051BDB" w:rsidRDefault="00051BDB" w:rsidP="00051BDB">
      <w:pPr>
        <w:pStyle w:val="AERbulletlistfirststyle"/>
      </w:pPr>
      <w:r>
        <w:t>applying models that make inappropriate assumptions about the nature of inefficiency and hence allocate persistent inefficiency to operating environment differences</w:t>
      </w:r>
    </w:p>
    <w:p w:rsidR="00051BDB" w:rsidRDefault="00051BDB" w:rsidP="00051BDB">
      <w:pPr>
        <w:pStyle w:val="AERbulletlistfirststyle"/>
      </w:pPr>
      <w:r>
        <w:t>applying models that will misleadingly find service providers to be 'efficient by default'</w:t>
      </w:r>
    </w:p>
    <w:p w:rsidR="00051BDB" w:rsidRDefault="00051BDB" w:rsidP="00051BDB">
      <w:r>
        <w:t xml:space="preserve">We summarise the key concerns and provide our responses in </w:t>
      </w:r>
      <w:r>
        <w:fldChar w:fldCharType="begin"/>
      </w:r>
      <w:r>
        <w:instrText xml:space="preserve"> REF _Ref414955709 \h </w:instrText>
      </w:r>
      <w:r>
        <w:fldChar w:fldCharType="separate"/>
      </w:r>
      <w:r w:rsidR="00C74791">
        <w:t xml:space="preserve">Table </w:t>
      </w:r>
      <w:r w:rsidR="00C74791">
        <w:rPr>
          <w:noProof/>
        </w:rPr>
        <w:t>A</w:t>
      </w:r>
      <w:r w:rsidR="00C74791">
        <w:t>.</w:t>
      </w:r>
      <w:r w:rsidR="00C74791">
        <w:rPr>
          <w:noProof/>
        </w:rPr>
        <w:t>3</w:t>
      </w:r>
      <w:r>
        <w:fldChar w:fldCharType="end"/>
      </w:r>
      <w:r>
        <w:t>. Economic Insights provides detailed responses in its report.</w:t>
      </w:r>
      <w:r>
        <w:rPr>
          <w:rStyle w:val="FootnoteReference"/>
        </w:rPr>
        <w:footnoteReference w:id="278"/>
      </w:r>
    </w:p>
    <w:p w:rsidR="00051BDB" w:rsidRDefault="00051BDB" w:rsidP="00051BDB">
      <w:r>
        <w:br w:type="page"/>
      </w:r>
    </w:p>
    <w:p w:rsidR="00051BDB" w:rsidRPr="00D91B8C" w:rsidRDefault="00051BDB" w:rsidP="00051BDB">
      <w:pPr>
        <w:pStyle w:val="Caption"/>
        <w:rPr>
          <w:rStyle w:val="AERtexthighlight"/>
        </w:rPr>
      </w:pPr>
      <w:bookmarkStart w:id="166" w:name="_Ref414955709"/>
      <w:r>
        <w:lastRenderedPageBreak/>
        <w:t xml:space="preserve">Table </w:t>
      </w:r>
      <w:fldSimple w:instr=" STYLEREF 7 \s ">
        <w:r w:rsidR="00CF2125">
          <w:rPr>
            <w:noProof/>
          </w:rPr>
          <w:t>A</w:t>
        </w:r>
      </w:fldSimple>
      <w:r w:rsidR="00CF2125">
        <w:t>.</w:t>
      </w:r>
      <w:fldSimple w:instr=" SEQ ATable \* ARABIC \s 7 ">
        <w:r w:rsidR="00CF2125">
          <w:rPr>
            <w:noProof/>
          </w:rPr>
          <w:t>3</w:t>
        </w:r>
      </w:fldSimple>
      <w:bookmarkEnd w:id="166"/>
      <w:r>
        <w:tab/>
        <w:t>Summary of service providers' key benchmarking submissions and our response</w:t>
      </w:r>
    </w:p>
    <w:tbl>
      <w:tblPr>
        <w:tblStyle w:val="AERtable-text0"/>
        <w:tblW w:w="0" w:type="auto"/>
        <w:tblLook w:val="04A0" w:firstRow="1" w:lastRow="0" w:firstColumn="1" w:lastColumn="0" w:noHBand="0" w:noVBand="1"/>
      </w:tblPr>
      <w:tblGrid>
        <w:gridCol w:w="3085"/>
        <w:gridCol w:w="3543"/>
        <w:gridCol w:w="2064"/>
      </w:tblGrid>
      <w:tr w:rsidR="00051BDB" w:rsidTr="00C74791">
        <w:trPr>
          <w:cnfStyle w:val="100000000000" w:firstRow="1" w:lastRow="0" w:firstColumn="0" w:lastColumn="0" w:oddVBand="0" w:evenVBand="0" w:oddHBand="0" w:evenHBand="0" w:firstRowFirstColumn="0" w:firstRowLastColumn="0" w:lastRowFirstColumn="0" w:lastRowLastColumn="0"/>
        </w:trPr>
        <w:tc>
          <w:tcPr>
            <w:tcW w:w="3085" w:type="dxa"/>
          </w:tcPr>
          <w:p w:rsidR="00051BDB" w:rsidRPr="00051BDB" w:rsidRDefault="00051BDB" w:rsidP="00051BDB">
            <w:r>
              <w:t>Service provider</w:t>
            </w:r>
            <w:r w:rsidRPr="00051BDB">
              <w:t xml:space="preserve"> submission</w:t>
            </w:r>
          </w:p>
        </w:tc>
        <w:tc>
          <w:tcPr>
            <w:tcW w:w="3543" w:type="dxa"/>
          </w:tcPr>
          <w:p w:rsidR="00051BDB" w:rsidRPr="00051BDB" w:rsidRDefault="00051BDB" w:rsidP="00051BDB">
            <w:r>
              <w:t>Our response</w:t>
            </w:r>
          </w:p>
        </w:tc>
        <w:tc>
          <w:tcPr>
            <w:tcW w:w="2064" w:type="dxa"/>
          </w:tcPr>
          <w:p w:rsidR="00051BDB" w:rsidRPr="00051BDB" w:rsidRDefault="00051BDB" w:rsidP="00051BDB">
            <w:r>
              <w:t>Reference</w:t>
            </w:r>
          </w:p>
        </w:tc>
      </w:tr>
      <w:tr w:rsidR="00051BDB" w:rsidTr="00C74791">
        <w:tc>
          <w:tcPr>
            <w:tcW w:w="3085" w:type="dxa"/>
          </w:tcPr>
          <w:p w:rsidR="00051BDB" w:rsidRPr="00051BDB" w:rsidRDefault="00051BDB" w:rsidP="00051BDB">
            <w:r>
              <w:t>'</w:t>
            </w:r>
            <w:r w:rsidRPr="00051BDB">
              <w:t>Conceptual limitations' with benchmarking exist including:</w:t>
            </w:r>
            <w:r w:rsidRPr="00051BDB">
              <w:rPr>
                <w:rStyle w:val="FootnoteReference"/>
              </w:rPr>
              <w:footnoteReference w:id="279"/>
            </w:r>
          </w:p>
          <w:p w:rsidR="00051BDB" w:rsidRPr="00C2445E" w:rsidRDefault="00051BDB" w:rsidP="000744A9">
            <w:pPr>
              <w:pStyle w:val="ListNumber"/>
              <w:numPr>
                <w:ilvl w:val="0"/>
                <w:numId w:val="28"/>
              </w:numPr>
            </w:pPr>
            <w:r w:rsidRPr="00C2445E">
              <w:t>the inability to differentiate between observed cost differences due to inefficiency or something else</w:t>
            </w:r>
          </w:p>
          <w:p w:rsidR="00051BDB" w:rsidRPr="00051BDB" w:rsidRDefault="00051BDB" w:rsidP="00051BDB">
            <w:pPr>
              <w:pStyle w:val="ListNumber"/>
            </w:pPr>
            <w:r w:rsidRPr="00387A79">
              <w:t xml:space="preserve">the heterogeneity of Australian </w:t>
            </w:r>
            <w:r w:rsidRPr="00051BDB">
              <w:t>service providers make it impossible to normalise for differences, leading to bias in the models</w:t>
            </w:r>
          </w:p>
          <w:p w:rsidR="00051BDB" w:rsidRPr="00051BDB" w:rsidRDefault="00051BDB" w:rsidP="00051BDB">
            <w:pPr>
              <w:pStyle w:val="ListNumber"/>
            </w:pPr>
            <w:r w:rsidRPr="009253AC">
              <w:t>previous doubts about data quality and the scope to apply benchmarking by the AEMC</w:t>
            </w:r>
            <w:r w:rsidRPr="00051BDB">
              <w:t>, the PC, the AER and Economic Insights.</w:t>
            </w:r>
          </w:p>
        </w:tc>
        <w:tc>
          <w:tcPr>
            <w:tcW w:w="3543" w:type="dxa"/>
          </w:tcPr>
          <w:p w:rsidR="00051BDB" w:rsidRPr="00051BDB" w:rsidRDefault="00051BDB" w:rsidP="00051BDB">
            <w:r>
              <w:t>Conceptual limitations do not exist:</w:t>
            </w:r>
          </w:p>
          <w:p w:rsidR="00051BDB" w:rsidRPr="00C2445E" w:rsidRDefault="00051BDB" w:rsidP="000744A9">
            <w:pPr>
              <w:pStyle w:val="ListNumber"/>
              <w:numPr>
                <w:ilvl w:val="0"/>
                <w:numId w:val="29"/>
              </w:numPr>
            </w:pPr>
            <w:r w:rsidRPr="00C2445E">
              <w:t>we have extensively examined the extent to which the efficiency gap could be driven by other factors in our operating environment factor assessment, to identify and quantity the impact of factors that are relevant and not already accounted for in the model</w:t>
            </w:r>
            <w:r w:rsidRPr="00C2445E" w:rsidDel="00627A7F">
              <w:t xml:space="preserve"> </w:t>
            </w:r>
          </w:p>
          <w:p w:rsidR="00051BDB" w:rsidRPr="00051BDB" w:rsidRDefault="00051BDB" w:rsidP="00051BDB">
            <w:pPr>
              <w:pStyle w:val="ListNumber"/>
            </w:pPr>
            <w:r>
              <w:t xml:space="preserve">Australian </w:t>
            </w:r>
            <w:r w:rsidRPr="00051BDB">
              <w:t>service providers are comparable in using opex and capital input in providing electricity distribution services to customers.  To the extent that operating environments are different, we have considered this under our ex</w:t>
            </w:r>
            <w:r w:rsidR="00A907AF">
              <w:t xml:space="preserve"> </w:t>
            </w:r>
            <w:r w:rsidRPr="00051BDB">
              <w:t>post operating environment factor assessment</w:t>
            </w:r>
          </w:p>
          <w:p w:rsidR="00051BDB" w:rsidRPr="00051BDB" w:rsidRDefault="00051BDB" w:rsidP="00051BDB">
            <w:pPr>
              <w:pStyle w:val="ListNumber"/>
            </w:pPr>
            <w:r>
              <w:t xml:space="preserve">prior comments about data quality </w:t>
            </w:r>
            <w:r w:rsidRPr="00051BDB">
              <w:t>and limitations of benchmarking are outdated. Our review and Economic Insights' review of the database indicates that it is sufficiently robust for the application of benchmarking techniques.</w:t>
            </w:r>
          </w:p>
        </w:tc>
        <w:tc>
          <w:tcPr>
            <w:tcW w:w="2064" w:type="dxa"/>
          </w:tcPr>
          <w:p w:rsidR="00051BDB" w:rsidRPr="00051BDB" w:rsidRDefault="00051BDB" w:rsidP="00051BDB">
            <w:r>
              <w:t xml:space="preserve">We discuss these submissions in section </w:t>
            </w:r>
            <w:r w:rsidRPr="00051BDB">
              <w:fldChar w:fldCharType="begin"/>
            </w:r>
            <w:r w:rsidRPr="00051BDB">
              <w:instrText xml:space="preserve"> REF _Ref414874729 \n \h </w:instrText>
            </w:r>
            <w:r w:rsidRPr="00051BDB">
              <w:fldChar w:fldCharType="separate"/>
            </w:r>
            <w:r w:rsidR="00C74791">
              <w:t>A.4.3</w:t>
            </w:r>
            <w:r w:rsidRPr="00051BDB">
              <w:fldChar w:fldCharType="end"/>
            </w:r>
            <w:r w:rsidRPr="00051BDB">
              <w:t xml:space="preserve"> under:</w:t>
            </w:r>
          </w:p>
          <w:p w:rsidR="00051BDB" w:rsidRPr="00C2445E" w:rsidRDefault="00051BDB" w:rsidP="000744A9">
            <w:pPr>
              <w:pStyle w:val="ListNumber"/>
              <w:numPr>
                <w:ilvl w:val="0"/>
                <w:numId w:val="30"/>
              </w:numPr>
            </w:pPr>
            <w:r w:rsidRPr="00C2445E">
              <w:t>Model specification, estimation methods</w:t>
            </w:r>
          </w:p>
          <w:p w:rsidR="00051BDB" w:rsidRPr="00051BDB" w:rsidRDefault="00051BDB" w:rsidP="00051BDB">
            <w:pPr>
              <w:pStyle w:val="ListNumber"/>
            </w:pPr>
            <w:r>
              <w:t xml:space="preserve">Model specification, </w:t>
            </w:r>
            <w:r w:rsidRPr="00051BDB">
              <w:t>estimation methods</w:t>
            </w:r>
          </w:p>
          <w:p w:rsidR="00051BDB" w:rsidRPr="00051BDB" w:rsidRDefault="00051BDB" w:rsidP="00051BDB">
            <w:pPr>
              <w:pStyle w:val="ListNumber"/>
            </w:pPr>
            <w:r w:rsidRPr="00B3400A">
              <w:t>Data.</w:t>
            </w:r>
          </w:p>
        </w:tc>
      </w:tr>
      <w:tr w:rsidR="00051BDB" w:rsidTr="00C74791">
        <w:trPr>
          <w:cnfStyle w:val="000000010000" w:firstRow="0" w:lastRow="0" w:firstColumn="0" w:lastColumn="0" w:oddVBand="0" w:evenVBand="0" w:oddHBand="0" w:evenHBand="1" w:firstRowFirstColumn="0" w:firstRowLastColumn="0" w:lastRowFirstColumn="0" w:lastRowLastColumn="0"/>
        </w:trPr>
        <w:tc>
          <w:tcPr>
            <w:tcW w:w="3085" w:type="dxa"/>
          </w:tcPr>
          <w:p w:rsidR="00051BDB" w:rsidRPr="00051BDB" w:rsidRDefault="00051BDB" w:rsidP="00051BDB">
            <w:r>
              <w:t>E</w:t>
            </w:r>
            <w:r w:rsidRPr="00051BDB">
              <w:t>rrors exist in the application of benchmarking, including:</w:t>
            </w:r>
          </w:p>
          <w:p w:rsidR="00051BDB" w:rsidRPr="00C2445E" w:rsidRDefault="00051BDB" w:rsidP="000744A9">
            <w:pPr>
              <w:pStyle w:val="ListNumber"/>
              <w:numPr>
                <w:ilvl w:val="0"/>
                <w:numId w:val="31"/>
              </w:numPr>
            </w:pPr>
            <w:r w:rsidRPr="00C2445E">
              <w:t>using an untested and non-peer reviewed model</w:t>
            </w:r>
            <w:r w:rsidRPr="00051BDB">
              <w:rPr>
                <w:rStyle w:val="FootnoteReference"/>
              </w:rPr>
              <w:footnoteReference w:id="280"/>
            </w:r>
          </w:p>
          <w:p w:rsidR="00051BDB" w:rsidRPr="00051BDB" w:rsidRDefault="00051BDB" w:rsidP="00051BDB">
            <w:pPr>
              <w:pStyle w:val="ListNumber"/>
            </w:pPr>
            <w:r>
              <w:t>inconsistent results</w:t>
            </w:r>
            <w:r w:rsidRPr="00051BDB">
              <w:rPr>
                <w:rStyle w:val="FootnoteReference"/>
              </w:rPr>
              <w:footnoteReference w:id="281"/>
            </w:r>
          </w:p>
          <w:p w:rsidR="00051BDB" w:rsidRPr="00051BDB" w:rsidRDefault="00051BDB" w:rsidP="00051BDB">
            <w:pPr>
              <w:pStyle w:val="ListNumber"/>
            </w:pPr>
            <w:r>
              <w:t>use of a false frontier</w:t>
            </w:r>
            <w:r w:rsidRPr="00051BDB">
              <w:rPr>
                <w:rStyle w:val="FootnoteReference"/>
              </w:rPr>
              <w:footnoteReference w:id="282"/>
            </w:r>
          </w:p>
          <w:p w:rsidR="00051BDB" w:rsidRPr="00051BDB" w:rsidRDefault="00051BDB" w:rsidP="00051BDB">
            <w:pPr>
              <w:pStyle w:val="ListNumber"/>
            </w:pPr>
            <w:r>
              <w:t>poor variable selection</w:t>
            </w:r>
            <w:r w:rsidRPr="00051BDB">
              <w:rPr>
                <w:rStyle w:val="FootnoteReference"/>
              </w:rPr>
              <w:footnoteReference w:id="283"/>
            </w:r>
          </w:p>
          <w:p w:rsidR="00051BDB" w:rsidRPr="00051BDB" w:rsidRDefault="00051BDB" w:rsidP="00051BDB">
            <w:pPr>
              <w:pStyle w:val="ListNumber"/>
            </w:pPr>
            <w:r>
              <w:t>use of a dummy variable</w:t>
            </w:r>
            <w:r w:rsidRPr="00051BDB">
              <w:rPr>
                <w:rStyle w:val="FootnoteReference"/>
              </w:rPr>
              <w:footnoteReference w:id="284"/>
            </w:r>
          </w:p>
          <w:p w:rsidR="00051BDB" w:rsidRPr="00051BDB" w:rsidRDefault="00051BDB" w:rsidP="00051BDB">
            <w:pPr>
              <w:pStyle w:val="ListNumber"/>
            </w:pPr>
            <w:r>
              <w:t>insufficient data preparation</w:t>
            </w:r>
            <w:r w:rsidRPr="00051BDB">
              <w:rPr>
                <w:rStyle w:val="FootnoteReference"/>
              </w:rPr>
              <w:footnoteReference w:id="285"/>
            </w:r>
          </w:p>
          <w:p w:rsidR="00051BDB" w:rsidRPr="00051BDB" w:rsidRDefault="00051BDB" w:rsidP="00051BDB">
            <w:pPr>
              <w:pStyle w:val="ListNumber"/>
            </w:pPr>
            <w:r>
              <w:t>post model adjustments</w:t>
            </w:r>
            <w:r w:rsidRPr="00051BDB">
              <w:rPr>
                <w:rStyle w:val="FootnoteReference"/>
              </w:rPr>
              <w:footnoteReference w:id="286"/>
            </w:r>
          </w:p>
          <w:p w:rsidR="00051BDB" w:rsidRPr="00051BDB" w:rsidRDefault="00051BDB" w:rsidP="00051BDB">
            <w:pPr>
              <w:pStyle w:val="ListNumber"/>
            </w:pPr>
            <w:r>
              <w:t>no</w:t>
            </w:r>
            <w:r w:rsidRPr="00051BDB">
              <w:t xml:space="preserve"> reasonableness check of results.</w:t>
            </w:r>
            <w:r w:rsidRPr="00051BDB">
              <w:rPr>
                <w:rStyle w:val="FootnoteReference"/>
              </w:rPr>
              <w:footnoteReference w:id="287"/>
            </w:r>
          </w:p>
        </w:tc>
        <w:tc>
          <w:tcPr>
            <w:tcW w:w="3543" w:type="dxa"/>
          </w:tcPr>
          <w:p w:rsidR="00051BDB" w:rsidRPr="00051BDB" w:rsidRDefault="00051BDB" w:rsidP="00051BDB">
            <w:r>
              <w:t>W</w:t>
            </w:r>
            <w:r w:rsidRPr="00051BDB">
              <w:t>e have used a robust, reliable and reasonable approach that is not in error:</w:t>
            </w:r>
          </w:p>
          <w:p w:rsidR="00051BDB" w:rsidRPr="00C2445E" w:rsidRDefault="00051BDB" w:rsidP="000744A9">
            <w:pPr>
              <w:pStyle w:val="ListNumber"/>
              <w:numPr>
                <w:ilvl w:val="0"/>
                <w:numId w:val="32"/>
              </w:numPr>
            </w:pPr>
            <w:r w:rsidRPr="00C2445E">
              <w:t xml:space="preserve">Economic Insights' models are informed by economic theory, engineering knowledge and industry. The draft decision provided for the service providers to engage their own experts to review Economic Insights model, and we have considered these reports. </w:t>
            </w:r>
          </w:p>
          <w:p w:rsidR="00051BDB" w:rsidRPr="00051BDB" w:rsidRDefault="00051BDB" w:rsidP="00051BDB">
            <w:pPr>
              <w:pStyle w:val="ListNumber"/>
            </w:pPr>
            <w:r>
              <w:t>The</w:t>
            </w:r>
            <w:r w:rsidRPr="00051BDB">
              <w:t xml:space="preserve"> approaches taken by the service providers' consultants to criticise the model results are not sound</w:t>
            </w:r>
          </w:p>
          <w:p w:rsidR="00051BDB" w:rsidRPr="00051BDB" w:rsidRDefault="00051BDB" w:rsidP="00051BDB">
            <w:pPr>
              <w:pStyle w:val="ListNumber"/>
            </w:pPr>
            <w:r>
              <w:t xml:space="preserve">We consider Economic Insights' approach is more reasonable than the alternatives </w:t>
            </w:r>
            <w:r>
              <w:lastRenderedPageBreak/>
              <w:t xml:space="preserve">proposed by the </w:t>
            </w:r>
            <w:r w:rsidRPr="00051BDB">
              <w:t>service providers.</w:t>
            </w:r>
          </w:p>
          <w:p w:rsidR="00051BDB" w:rsidRPr="00051BDB" w:rsidRDefault="00051BDB" w:rsidP="00051BDB">
            <w:pPr>
              <w:pStyle w:val="ListNumber"/>
            </w:pPr>
            <w:r>
              <w:t xml:space="preserve">The variables included in the models are appropriate </w:t>
            </w:r>
            <w:r w:rsidRPr="00051BDB">
              <w:t>and international data is required for accurately estimating parameter estimates</w:t>
            </w:r>
          </w:p>
          <w:p w:rsidR="00051BDB" w:rsidRPr="00051BDB" w:rsidRDefault="00051BDB" w:rsidP="00051BDB">
            <w:pPr>
              <w:pStyle w:val="ListNumber"/>
            </w:pPr>
            <w:r>
              <w:t xml:space="preserve">The </w:t>
            </w:r>
            <w:r w:rsidRPr="00051BDB">
              <w:t>service providers' consultants have misunderstood the purpose of the international data and the role of country dummy variables.</w:t>
            </w:r>
          </w:p>
          <w:p w:rsidR="00051BDB" w:rsidRPr="00051BDB" w:rsidRDefault="00051BDB" w:rsidP="00051BDB">
            <w:pPr>
              <w:pStyle w:val="ListNumber"/>
            </w:pPr>
            <w:r>
              <w:t>T</w:t>
            </w:r>
            <w:r w:rsidRPr="00051BDB">
              <w:t>he data is robust and reliable and the concerns raised by the service providers are misplaced.</w:t>
            </w:r>
          </w:p>
          <w:p w:rsidR="00051BDB" w:rsidRPr="00051BDB" w:rsidRDefault="00051BDB" w:rsidP="00051BDB">
            <w:pPr>
              <w:pStyle w:val="ListNumber"/>
            </w:pPr>
            <w:r>
              <w:t xml:space="preserve">Economic Insights' two stage approach is appropriate and indeed much more reasonable than alternatives proposed by the </w:t>
            </w:r>
            <w:r w:rsidRPr="00051BDB">
              <w:t>service providers' consultants.</w:t>
            </w:r>
          </w:p>
          <w:p w:rsidR="00051BDB" w:rsidRPr="00051BDB" w:rsidRDefault="00051BDB" w:rsidP="00051BDB">
            <w:pPr>
              <w:pStyle w:val="ListNumber"/>
            </w:pPr>
            <w:r>
              <w:t>We have conducted several reasonableness checks of the results including PPIs, category analysis and detailed review</w:t>
            </w:r>
            <w:r w:rsidRPr="00051BDB">
              <w:t>.</w:t>
            </w:r>
          </w:p>
        </w:tc>
        <w:tc>
          <w:tcPr>
            <w:tcW w:w="2064" w:type="dxa"/>
          </w:tcPr>
          <w:p w:rsidR="00051BDB" w:rsidRPr="00051BDB" w:rsidRDefault="00051BDB" w:rsidP="00051BDB">
            <w:r>
              <w:lastRenderedPageBreak/>
              <w:t>We discuss these submissions in</w:t>
            </w:r>
            <w:r w:rsidRPr="00051BDB">
              <w:t xml:space="preserve"> section </w:t>
            </w:r>
            <w:r w:rsidRPr="00051BDB">
              <w:fldChar w:fldCharType="begin"/>
            </w:r>
            <w:r w:rsidRPr="00051BDB">
              <w:instrText xml:space="preserve"> REF _Ref414874729 \n \h </w:instrText>
            </w:r>
            <w:r w:rsidRPr="00051BDB">
              <w:fldChar w:fldCharType="separate"/>
            </w:r>
            <w:r w:rsidR="00C74791">
              <w:t>A.4.3</w:t>
            </w:r>
            <w:r w:rsidRPr="00051BDB">
              <w:fldChar w:fldCharType="end"/>
            </w:r>
            <w:r w:rsidRPr="00051BDB">
              <w:t xml:space="preserve"> under:</w:t>
            </w:r>
          </w:p>
          <w:p w:rsidR="00051BDB" w:rsidRPr="00C2445E" w:rsidRDefault="00051BDB" w:rsidP="000744A9">
            <w:pPr>
              <w:pStyle w:val="ListNumber"/>
              <w:numPr>
                <w:ilvl w:val="0"/>
                <w:numId w:val="33"/>
              </w:numPr>
            </w:pPr>
            <w:r w:rsidRPr="00C2445E">
              <w:t>Model specification</w:t>
            </w:r>
          </w:p>
          <w:p w:rsidR="00051BDB" w:rsidRPr="00051BDB" w:rsidRDefault="00051BDB" w:rsidP="00051BDB">
            <w:pPr>
              <w:pStyle w:val="ListNumber"/>
            </w:pPr>
            <w:r>
              <w:t>Efficiency results</w:t>
            </w:r>
          </w:p>
          <w:p w:rsidR="00051BDB" w:rsidRPr="00051BDB" w:rsidRDefault="00051BDB" w:rsidP="00051BDB">
            <w:pPr>
              <w:pStyle w:val="ListNumber"/>
            </w:pPr>
            <w:r>
              <w:t>We discuss this in the adjustments section</w:t>
            </w:r>
            <w:r w:rsidRPr="00051BDB">
              <w:t>.</w:t>
            </w:r>
          </w:p>
          <w:p w:rsidR="00051BDB" w:rsidRPr="00051BDB" w:rsidRDefault="00051BDB" w:rsidP="00051BDB">
            <w:pPr>
              <w:pStyle w:val="ListNumber"/>
            </w:pPr>
            <w:r>
              <w:t>Model specification and d</w:t>
            </w:r>
            <w:r w:rsidRPr="00051BDB">
              <w:t>ata</w:t>
            </w:r>
          </w:p>
          <w:p w:rsidR="00051BDB" w:rsidRPr="00051BDB" w:rsidRDefault="00051BDB" w:rsidP="00051BDB">
            <w:pPr>
              <w:pStyle w:val="ListNumber"/>
            </w:pPr>
            <w:r>
              <w:t>Data</w:t>
            </w:r>
          </w:p>
          <w:p w:rsidR="00051BDB" w:rsidRPr="00051BDB" w:rsidRDefault="00051BDB" w:rsidP="00051BDB">
            <w:pPr>
              <w:pStyle w:val="ListNumber"/>
            </w:pPr>
            <w:r>
              <w:t>Data</w:t>
            </w:r>
          </w:p>
          <w:p w:rsidR="00051BDB" w:rsidRPr="00051BDB" w:rsidRDefault="00051BDB" w:rsidP="00051BDB">
            <w:pPr>
              <w:pStyle w:val="ListNumber"/>
            </w:pPr>
            <w:r>
              <w:lastRenderedPageBreak/>
              <w:t>Model specification</w:t>
            </w:r>
          </w:p>
          <w:p w:rsidR="00051BDB" w:rsidRPr="00051BDB" w:rsidRDefault="00051BDB" w:rsidP="00051BDB">
            <w:pPr>
              <w:pStyle w:val="ListNumber"/>
            </w:pPr>
            <w:r>
              <w:t>Efficiency results</w:t>
            </w:r>
            <w:r w:rsidRPr="00051BDB">
              <w:t>.</w:t>
            </w:r>
          </w:p>
        </w:tc>
      </w:tr>
      <w:tr w:rsidR="00051BDB" w:rsidTr="00C74791">
        <w:tc>
          <w:tcPr>
            <w:tcW w:w="3085" w:type="dxa"/>
          </w:tcPr>
          <w:p w:rsidR="00051BDB" w:rsidRPr="00051BDB" w:rsidRDefault="00051BDB" w:rsidP="00051BDB">
            <w:r>
              <w:lastRenderedPageBreak/>
              <w:t xml:space="preserve">Advice from Herbert Smith Freehills </w:t>
            </w:r>
            <w:r w:rsidRPr="00051BDB">
              <w:t>specifically comments on Economic Insights' use of international data. Key comments include:</w:t>
            </w:r>
            <w:r w:rsidRPr="00051BDB">
              <w:rPr>
                <w:rStyle w:val="FootnoteReference"/>
              </w:rPr>
              <w:footnoteReference w:id="288"/>
            </w:r>
          </w:p>
          <w:p w:rsidR="00051BDB" w:rsidRPr="00051BDB" w:rsidRDefault="00051BDB" w:rsidP="00051BDB">
            <w:pPr>
              <w:pStyle w:val="AERbulletlistfirststyle"/>
            </w:pPr>
            <w:r>
              <w:t xml:space="preserve">Economic Insights' model is heavily </w:t>
            </w:r>
            <w:r w:rsidRPr="00051BDB">
              <w:t>reliant on overseas data</w:t>
            </w:r>
          </w:p>
          <w:p w:rsidR="00051BDB" w:rsidRPr="00051BDB" w:rsidRDefault="00051BDB" w:rsidP="00051BDB">
            <w:pPr>
              <w:pStyle w:val="AERbulletlistfirststyle"/>
            </w:pPr>
            <w:r>
              <w:t>overseas data is not comparable with Australian data</w:t>
            </w:r>
          </w:p>
          <w:p w:rsidR="00051BDB" w:rsidRPr="00051BDB" w:rsidRDefault="00051BDB" w:rsidP="00051BDB">
            <w:pPr>
              <w:pStyle w:val="AERbulletlistfirststyle"/>
            </w:pPr>
            <w:r>
              <w:t>Economic Insights does not adequately account for differences between countries</w:t>
            </w:r>
          </w:p>
          <w:p w:rsidR="00051BDB" w:rsidRPr="00051BDB" w:rsidRDefault="00051BDB" w:rsidP="00051BDB">
            <w:pPr>
              <w:pStyle w:val="AERbulletlistfirststyle"/>
            </w:pPr>
            <w:r>
              <w:t>Economic Insights' data contains errors.</w:t>
            </w:r>
          </w:p>
        </w:tc>
        <w:tc>
          <w:tcPr>
            <w:tcW w:w="3543" w:type="dxa"/>
          </w:tcPr>
          <w:p w:rsidR="00051BDB" w:rsidRPr="00051BDB" w:rsidRDefault="00051BDB" w:rsidP="00051BDB">
            <w:r>
              <w:t xml:space="preserve">The </w:t>
            </w:r>
            <w:r w:rsidRPr="00051BDB">
              <w:t>service providers, their consultants and Herbert Smith Freehills have misunderstood how Economic Insights has used international data. Economic Insights has used the international data only to more accurately estimate parameter estimates, not as comparators for the Australian service providers. Further, Economic Insights considers submissions on the international data quality are misguided given that international regulators have used it for benchmarking and have undertaken similar testing and validation to the AER.</w:t>
            </w:r>
            <w:r w:rsidRPr="00051BDB">
              <w:rPr>
                <w:rStyle w:val="FootnoteReference"/>
              </w:rPr>
              <w:footnoteReference w:id="289"/>
            </w:r>
          </w:p>
        </w:tc>
        <w:tc>
          <w:tcPr>
            <w:tcW w:w="2064" w:type="dxa"/>
          </w:tcPr>
          <w:p w:rsidR="00051BDB" w:rsidRPr="00051BDB" w:rsidRDefault="00051BDB" w:rsidP="00051BDB">
            <w:r>
              <w:t xml:space="preserve">We address these matters as part of our discussion on data in section </w:t>
            </w:r>
            <w:r w:rsidRPr="00051BDB">
              <w:fldChar w:fldCharType="begin"/>
            </w:r>
            <w:r w:rsidRPr="00051BDB">
              <w:instrText xml:space="preserve"> REF _Ref414874729 \n \h </w:instrText>
            </w:r>
            <w:r w:rsidRPr="00051BDB">
              <w:fldChar w:fldCharType="separate"/>
            </w:r>
            <w:r w:rsidR="00C74791">
              <w:t>A.4.3</w:t>
            </w:r>
            <w:r w:rsidRPr="00051BDB">
              <w:fldChar w:fldCharType="end"/>
            </w:r>
            <w:r w:rsidRPr="00051BDB">
              <w:t>.</w:t>
            </w:r>
          </w:p>
        </w:tc>
      </w:tr>
      <w:tr w:rsidR="00051BDB" w:rsidTr="00C74791">
        <w:trPr>
          <w:cnfStyle w:val="000000010000" w:firstRow="0" w:lastRow="0" w:firstColumn="0" w:lastColumn="0" w:oddVBand="0" w:evenVBand="0" w:oddHBand="0" w:evenHBand="1" w:firstRowFirstColumn="0" w:firstRowLastColumn="0" w:lastRowFirstColumn="0" w:lastRowLastColumn="0"/>
        </w:trPr>
        <w:tc>
          <w:tcPr>
            <w:tcW w:w="3085" w:type="dxa"/>
          </w:tcPr>
          <w:p w:rsidR="00051BDB" w:rsidRPr="00051BDB" w:rsidRDefault="00051BDB" w:rsidP="00051BDB">
            <w:r>
              <w:t>Our PPIs do not support the economic benchmarking results</w:t>
            </w:r>
            <w:r w:rsidRPr="00051BDB">
              <w:t xml:space="preserve"> because:</w:t>
            </w:r>
          </w:p>
          <w:p w:rsidR="00051BDB" w:rsidRPr="00051BDB" w:rsidRDefault="00051BDB" w:rsidP="00051BDB">
            <w:pPr>
              <w:pStyle w:val="AERbulletlistfirststyle"/>
            </w:pPr>
            <w:r w:rsidRPr="00212AE1">
              <w:t>we have not acknowledged the inherent limitations.</w:t>
            </w:r>
            <w:r w:rsidRPr="00051BDB">
              <w:rPr>
                <w:rStyle w:val="FootnoteReference"/>
              </w:rPr>
              <w:footnoteReference w:id="290"/>
            </w:r>
          </w:p>
          <w:p w:rsidR="00051BDB" w:rsidRPr="00051BDB" w:rsidRDefault="00051BDB" w:rsidP="00051BDB">
            <w:pPr>
              <w:pStyle w:val="AERbulletlistfirststyle"/>
            </w:pPr>
            <w:r w:rsidRPr="009808AC">
              <w:t xml:space="preserve">per-customer </w:t>
            </w:r>
            <w:r w:rsidRPr="00051BDB">
              <w:t>metrics are biased against rural service providers and do not show relative efficiency.</w:t>
            </w:r>
            <w:r w:rsidRPr="00051BDB">
              <w:rPr>
                <w:rStyle w:val="FootnoteReference"/>
              </w:rPr>
              <w:footnoteReference w:id="291"/>
            </w:r>
          </w:p>
        </w:tc>
        <w:tc>
          <w:tcPr>
            <w:tcW w:w="3543" w:type="dxa"/>
          </w:tcPr>
          <w:p w:rsidR="00051BDB" w:rsidRPr="00051BDB" w:rsidRDefault="00051BDB" w:rsidP="00051BDB">
            <w:r>
              <w:t>Our view</w:t>
            </w:r>
            <w:r w:rsidRPr="00051BDB">
              <w:t xml:space="preserve"> remains that PPIs are complementary to economic benchmarking and are an appropriate means crosschecking validity.</w:t>
            </w:r>
          </w:p>
        </w:tc>
        <w:tc>
          <w:tcPr>
            <w:tcW w:w="2064" w:type="dxa"/>
          </w:tcPr>
          <w:p w:rsidR="00051BDB" w:rsidRPr="00051BDB" w:rsidRDefault="00051BDB" w:rsidP="00051BDB">
            <w:r>
              <w:t xml:space="preserve">We address </w:t>
            </w:r>
            <w:r w:rsidRPr="00051BDB">
              <w:t xml:space="preserve">this submission in our discussion on PPIs in section </w:t>
            </w:r>
            <w:r w:rsidRPr="00051BDB">
              <w:fldChar w:fldCharType="begin"/>
            </w:r>
            <w:r w:rsidRPr="00051BDB">
              <w:instrText xml:space="preserve"> REF _Ref414874729 \n \h </w:instrText>
            </w:r>
            <w:r w:rsidRPr="00051BDB">
              <w:fldChar w:fldCharType="separate"/>
            </w:r>
            <w:r w:rsidR="00C74791">
              <w:t>A.4.3</w:t>
            </w:r>
            <w:r w:rsidRPr="00051BDB">
              <w:fldChar w:fldCharType="end"/>
            </w:r>
            <w:r w:rsidRPr="00051BDB">
              <w:t>.</w:t>
            </w:r>
          </w:p>
        </w:tc>
      </w:tr>
    </w:tbl>
    <w:p w:rsidR="00C74791" w:rsidRDefault="00C74791">
      <w:pPr>
        <w:spacing w:line="240" w:lineRule="auto"/>
        <w:rPr>
          <w:rFonts w:eastAsiaTheme="majorEastAsia" w:cstheme="majorBidi"/>
          <w:b/>
          <w:bCs/>
          <w:color w:val="70635A" w:themeColor="text2"/>
          <w:sz w:val="28"/>
        </w:rPr>
      </w:pPr>
      <w:bookmarkStart w:id="167" w:name="_Toc415230979"/>
      <w:bookmarkStart w:id="168" w:name="_Toc416765387"/>
      <w:r>
        <w:br w:type="page"/>
      </w:r>
    </w:p>
    <w:p w:rsidR="00051BDB" w:rsidRDefault="00051BDB" w:rsidP="00051BDB">
      <w:pPr>
        <w:pStyle w:val="Heading9"/>
      </w:pPr>
      <w:bookmarkStart w:id="169" w:name="_Toc417719041"/>
      <w:r>
        <w:lastRenderedPageBreak/>
        <w:t xml:space="preserve">Draft </w:t>
      </w:r>
      <w:bookmarkEnd w:id="167"/>
      <w:r>
        <w:t>position</w:t>
      </w:r>
      <w:bookmarkEnd w:id="168"/>
      <w:bookmarkEnd w:id="169"/>
    </w:p>
    <w:p w:rsidR="00051BDB" w:rsidRDefault="00051BDB" w:rsidP="00051BDB">
      <w:r>
        <w:t xml:space="preserve">In our draft determination we applied six benchmarking techniques to assess the efficiency of the service provider's revealed expenditure. Four of these techniques (which were developed by Economic Insights) enable us to assess relative opex efficiency. On the basis of advice from Economic Insights, we relied on Economic Insights' Cobb Douglas SFA model as the preferred technique for this purpose. </w:t>
      </w:r>
    </w:p>
    <w:p w:rsidR="00051BDB" w:rsidRDefault="00051BDB" w:rsidP="00051BDB">
      <w:pPr>
        <w:rPr>
          <w:rStyle w:val="AERbody"/>
        </w:rPr>
      </w:pPr>
      <w:r>
        <w:rPr>
          <w:rStyle w:val="AERbody"/>
        </w:rPr>
        <w:fldChar w:fldCharType="begin"/>
      </w:r>
      <w:r>
        <w:rPr>
          <w:rStyle w:val="AERbody"/>
        </w:rPr>
        <w:instrText xml:space="preserve"> REF _Ref401669052 \h  \* MERGEFORMAT </w:instrText>
      </w:r>
      <w:r>
        <w:rPr>
          <w:rStyle w:val="AERbody"/>
        </w:rPr>
      </w:r>
      <w:r>
        <w:rPr>
          <w:rStyle w:val="AERbody"/>
        </w:rPr>
        <w:fldChar w:fldCharType="separate"/>
      </w:r>
      <w:r w:rsidR="00C74791">
        <w:t>Figure A.1</w:t>
      </w:r>
      <w:r>
        <w:rPr>
          <w:rStyle w:val="AERbody"/>
        </w:rPr>
        <w:fldChar w:fldCharType="end"/>
      </w:r>
      <w:r>
        <w:rPr>
          <w:rStyle w:val="AERbody"/>
        </w:rPr>
        <w:t xml:space="preserve"> presents the results of each of Economic Insights' four opex models (stochastic frontier analysis (SFA), econometric regressions and opex MPFP) for each service provider in the NEM. A score of 1 is the best score.</w:t>
      </w:r>
    </w:p>
    <w:p w:rsidR="00051BDB" w:rsidRDefault="00051BDB" w:rsidP="00051BDB">
      <w:pPr>
        <w:rPr>
          <w:rStyle w:val="AERbody"/>
        </w:rPr>
      </w:pPr>
      <w:r>
        <w:rPr>
          <w:rStyle w:val="AERbody"/>
        </w:rPr>
        <w:t xml:space="preserve">The red bars in </w:t>
      </w:r>
      <w:r>
        <w:rPr>
          <w:rStyle w:val="AERbody"/>
        </w:rPr>
        <w:fldChar w:fldCharType="begin"/>
      </w:r>
      <w:r>
        <w:rPr>
          <w:rStyle w:val="AERbody"/>
        </w:rPr>
        <w:instrText xml:space="preserve"> REF _Ref401669052 \h  \* MERGEFORMAT </w:instrText>
      </w:r>
      <w:r>
        <w:rPr>
          <w:rStyle w:val="AERbody"/>
        </w:rPr>
      </w:r>
      <w:r>
        <w:rPr>
          <w:rStyle w:val="AERbody"/>
        </w:rPr>
        <w:fldChar w:fldCharType="separate"/>
      </w:r>
      <w:r w:rsidR="00C74791">
        <w:t>Figure A.1</w:t>
      </w:r>
      <w:r>
        <w:rPr>
          <w:rStyle w:val="AERbody"/>
        </w:rPr>
        <w:fldChar w:fldCharType="end"/>
      </w:r>
      <w:r>
        <w:rPr>
          <w:rStyle w:val="AERbody"/>
        </w:rPr>
        <w:t xml:space="preserve"> represent the SFA results. The best performing service provider under this model is CitiPower, with a score of 0.95. We refer to CitiPower as the 'frontier' firm.</w:t>
      </w:r>
    </w:p>
    <w:p w:rsidR="00051BDB" w:rsidRDefault="00051BDB" w:rsidP="00051BDB">
      <w:pPr>
        <w:pStyle w:val="Caption"/>
      </w:pPr>
      <w:r>
        <w:t xml:space="preserve">Figure </w:t>
      </w:r>
      <w:fldSimple w:instr=" STYLEREF 7 \s ">
        <w:r w:rsidR="00C74791">
          <w:rPr>
            <w:noProof/>
          </w:rPr>
          <w:t>A</w:t>
        </w:r>
      </w:fldSimple>
      <w:r w:rsidR="00A409CB">
        <w:t>.</w:t>
      </w:r>
      <w:fldSimple w:instr=" SEQ AFigure \* ARABIC \s 7 ">
        <w:r w:rsidR="00C74791">
          <w:rPr>
            <w:noProof/>
          </w:rPr>
          <w:t>5</w:t>
        </w:r>
      </w:fldSimple>
      <w:r>
        <w:tab/>
        <w:t>Econometric modelling and opex MPFP results (average efficiency scores for 2006 to 2013)</w:t>
      </w:r>
    </w:p>
    <w:p w:rsidR="00051BDB" w:rsidRDefault="00051BDB" w:rsidP="00051BDB">
      <w:pPr>
        <w:numPr>
          <w:ilvl w:val="0"/>
          <w:numId w:val="24"/>
        </w:numPr>
      </w:pPr>
      <w:r w:rsidRPr="00051BDB">
        <w:rPr>
          <w:noProof/>
          <w:lang w:eastAsia="en-AU"/>
        </w:rPr>
        <w:drawing>
          <wp:inline distT="0" distB="0" distL="0" distR="0" wp14:anchorId="2BB4E3FC" wp14:editId="559AFE22">
            <wp:extent cx="5245769" cy="3193439"/>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9871" cy="3195936"/>
                    </a:xfrm>
                    <a:prstGeom prst="rect">
                      <a:avLst/>
                    </a:prstGeom>
                    <a:noFill/>
                    <a:ln>
                      <a:noFill/>
                    </a:ln>
                  </pic:spPr>
                </pic:pic>
              </a:graphicData>
            </a:graphic>
          </wp:inline>
        </w:drawing>
      </w:r>
    </w:p>
    <w:p w:rsidR="00051BDB" w:rsidRDefault="00051BDB" w:rsidP="00051BDB">
      <w:pPr>
        <w:pStyle w:val="AERtablesource"/>
      </w:pPr>
      <w:r w:rsidRPr="006B511A">
        <w:t>Source:</w:t>
      </w:r>
      <w:r w:rsidRPr="006B511A">
        <w:tab/>
      </w:r>
      <w:r>
        <w:t>Economic Insights, 2014</w:t>
      </w:r>
      <w:r w:rsidRPr="006B511A">
        <w:t>.</w:t>
      </w:r>
    </w:p>
    <w:p w:rsidR="00051BDB" w:rsidRDefault="00051BDB" w:rsidP="00051BDB">
      <w:r>
        <w:t xml:space="preserve">Each model may differ in terms of estimation method or model specification and accounts for operating environment circumstances (factors that may differentiate service providers) to differing degrees. Accordingly, the results will never be identical. However, </w:t>
      </w:r>
      <w:r>
        <w:rPr>
          <w:rStyle w:val="AERbody"/>
        </w:rPr>
        <w:fldChar w:fldCharType="begin"/>
      </w:r>
      <w:r>
        <w:rPr>
          <w:rStyle w:val="AERbody"/>
        </w:rPr>
        <w:instrText xml:space="preserve"> REF _Ref401669052 \h </w:instrText>
      </w:r>
      <w:r>
        <w:rPr>
          <w:rStyle w:val="AERbody"/>
        </w:rPr>
      </w:r>
      <w:r>
        <w:rPr>
          <w:rStyle w:val="AERbody"/>
        </w:rPr>
        <w:fldChar w:fldCharType="separate"/>
      </w:r>
      <w:r w:rsidR="00C74791">
        <w:t xml:space="preserve">Figure </w:t>
      </w:r>
      <w:r w:rsidR="00C74791">
        <w:rPr>
          <w:noProof/>
        </w:rPr>
        <w:t>A</w:t>
      </w:r>
      <w:r w:rsidR="00C74791">
        <w:t>.</w:t>
      </w:r>
      <w:r w:rsidR="00C74791">
        <w:rPr>
          <w:noProof/>
        </w:rPr>
        <w:t>1</w:t>
      </w:r>
      <w:r>
        <w:rPr>
          <w:rStyle w:val="AERbody"/>
        </w:rPr>
        <w:fldChar w:fldCharType="end"/>
      </w:r>
      <w:r>
        <w:rPr>
          <w:rStyle w:val="AERbody"/>
        </w:rPr>
        <w:t xml:space="preserve"> </w:t>
      </w:r>
      <w:r>
        <w:t xml:space="preserve">demonstrates that the results of the four models are consistent. All models show that the </w:t>
      </w:r>
      <w:r w:rsidRPr="00711DB8">
        <w:rPr>
          <w:rStyle w:val="AERbody"/>
        </w:rPr>
        <w:t>efficiency of the NSW service provider's reveal</w:t>
      </w:r>
      <w:r>
        <w:t>ed expenditure does not compare favourably with that of many of their peers.</w:t>
      </w:r>
    </w:p>
    <w:p w:rsidR="00051BDB" w:rsidRDefault="00051BDB" w:rsidP="00051BDB">
      <w:r>
        <w:t xml:space="preserve">The Cobb Douglas SFA model, being a statistical technique, </w:t>
      </w:r>
      <w:r w:rsidRPr="008D3FB4">
        <w:t xml:space="preserve">directly estimates the efficient opex cost function. In doing so it takes into account economies of scale, </w:t>
      </w:r>
      <w:r w:rsidRPr="008D3FB4">
        <w:lastRenderedPageBreak/>
        <w:t xml:space="preserve">density and the relationship between opex and the multiple </w:t>
      </w:r>
      <w:r>
        <w:t xml:space="preserve">outputs service providers face. Further the Cobb Douglas SFA model has </w:t>
      </w:r>
      <w:r w:rsidRPr="009435FD">
        <w:t xml:space="preserve">a random error term </w:t>
      </w:r>
      <w:r>
        <w:t>that separates the effect of</w:t>
      </w:r>
      <w:r w:rsidRPr="009435FD">
        <w:t xml:space="preserve"> </w:t>
      </w:r>
      <w:r>
        <w:t>data noises or random errors from inefficiency.</w:t>
      </w:r>
      <w:r>
        <w:rPr>
          <w:rStyle w:val="FootnoteReference"/>
        </w:rPr>
        <w:footnoteReference w:id="292"/>
      </w:r>
      <w:r>
        <w:t xml:space="preserve"> It is, therefore, the most sophisticated of Economic Insights' economic benchmarking technique.</w:t>
      </w:r>
    </w:p>
    <w:p w:rsidR="00051BDB" w:rsidRDefault="00051BDB" w:rsidP="00051BDB">
      <w:r>
        <w:t>We considered the two other econometric models (</w:t>
      </w:r>
      <w:r w:rsidRPr="008D3FB4">
        <w:t>Cobb Douglas LSE and Translog LSE</w:t>
      </w:r>
      <w:r>
        <w:t>)</w:t>
      </w:r>
      <w:r w:rsidRPr="008D3FB4">
        <w:t xml:space="preserve"> provide</w:t>
      </w:r>
      <w:r>
        <w:t>d</w:t>
      </w:r>
      <w:r w:rsidRPr="008D3FB4">
        <w:t xml:space="preserve"> useful cross checks </w:t>
      </w:r>
      <w:r>
        <w:t xml:space="preserve">for </w:t>
      </w:r>
      <w:r w:rsidRPr="008D3FB4">
        <w:t xml:space="preserve">the Cobb Douglas SFA model. The Translog LSE model allows for a more flexible opex cost functional form incorporating second order coefficients. The LSE and SFA Cobb Douglas models both estimate efficiency using slightly different techniques. By running both methods we </w:t>
      </w:r>
      <w:r>
        <w:t>could</w:t>
      </w:r>
      <w:r w:rsidRPr="008D3FB4">
        <w:t xml:space="preserve"> observe whether the efficiency measurement technique </w:t>
      </w:r>
      <w:r>
        <w:t>made</w:t>
      </w:r>
      <w:r w:rsidRPr="008D3FB4">
        <w:t xml:space="preserve"> a material difference to r</w:t>
      </w:r>
      <w:r>
        <w:t>elative efficiency performance.</w:t>
      </w:r>
    </w:p>
    <w:p w:rsidR="00051BDB" w:rsidRPr="008D3FB4" w:rsidRDefault="00051BDB" w:rsidP="00051BDB">
      <w:r>
        <w:t>Economic Insights found that all three econometric techniques produced consistent results:</w:t>
      </w:r>
      <w:r>
        <w:rPr>
          <w:rStyle w:val="FootnoteReference"/>
        </w:rPr>
        <w:footnoteReference w:id="293"/>
      </w:r>
      <w:r>
        <w:t xml:space="preserve"> </w:t>
      </w:r>
    </w:p>
    <w:p w:rsidR="00051BDB" w:rsidRPr="008D3FB4" w:rsidRDefault="00051BDB" w:rsidP="00051BDB">
      <w:pPr>
        <w:pStyle w:val="AERquoteindent1"/>
      </w:pPr>
      <w:r w:rsidRPr="00885249">
        <w:t>The efficiency scores across the three econometric models are relatively close to each other for each DNSP and they are, in turn, relatively close to the corresponding MPFP score. This similarity in results despite the differing methods used and datasets used reinforces our confidence in the results.</w:t>
      </w:r>
    </w:p>
    <w:p w:rsidR="00051BDB" w:rsidRDefault="00051BDB" w:rsidP="00051BDB">
      <w:r>
        <w:t xml:space="preserve">Additionally, we used opex MPFP and MTFP (index-based techniques) as a different means of checking the more sophisticated econometric models. </w:t>
      </w:r>
    </w:p>
    <w:p w:rsidR="00051BDB" w:rsidRPr="00885249" w:rsidRDefault="00051BDB" w:rsidP="00051BDB">
      <w:r>
        <w:t xml:space="preserve">As an opex specific technique, opex MPFP provided a means of using a relatively less data intensive approach—capable of incorporating five outputs and four inputs and some operating environment factors—with an Australian-only service provider dataset. </w:t>
      </w:r>
    </w:p>
    <w:p w:rsidR="00051BDB" w:rsidRDefault="00051BDB" w:rsidP="00051BDB">
      <w:r w:rsidRPr="00885249">
        <w:t>MTFP play</w:t>
      </w:r>
      <w:r>
        <w:t>ed</w:t>
      </w:r>
      <w:r w:rsidRPr="00885249">
        <w:t xml:space="preserve"> an important role as the overarching indicator of total productive efficiency and, consequently, as a check on the techniques that examine opex efficiency. This is necessary because a service provider could, for example, appear to be inefficient in the use of opex alone, but be efficient overall</w:t>
      </w:r>
      <w:r>
        <w:t>.</w:t>
      </w:r>
    </w:p>
    <w:p w:rsidR="00051BDB" w:rsidRPr="00885249" w:rsidRDefault="00051BDB" w:rsidP="00051BDB">
      <w:r>
        <w:t>Economic Insights found the MTFP and opex MPFP results supported the econometric models.</w:t>
      </w:r>
      <w:r>
        <w:rPr>
          <w:rStyle w:val="FootnoteReference"/>
        </w:rPr>
        <w:footnoteReference w:id="294"/>
      </w:r>
    </w:p>
    <w:p w:rsidR="00051BDB" w:rsidRDefault="00051BDB" w:rsidP="00051BDB">
      <w:r>
        <w:t xml:space="preserve">Finally, we used PPIs, which are </w:t>
      </w:r>
      <w:r w:rsidRPr="00885249">
        <w:t xml:space="preserve">simple, intuitive metrics </w:t>
      </w:r>
      <w:r>
        <w:t xml:space="preserve">to </w:t>
      </w:r>
      <w:r w:rsidRPr="00885249">
        <w:t xml:space="preserve">provide another perspective on the relative efficiency of </w:t>
      </w:r>
      <w:r>
        <w:t>service provider</w:t>
      </w:r>
      <w:r w:rsidRPr="00885249">
        <w:t xml:space="preserve">s. </w:t>
      </w:r>
      <w:r>
        <w:t>T</w:t>
      </w:r>
      <w:r w:rsidRPr="00885249">
        <w:t xml:space="preserve">he PPIs only focus on one aspect of a service provider's performance </w:t>
      </w:r>
      <w:r>
        <w:t xml:space="preserve">and do not specifically capture operating environment differences. However, bearing these limitations in mind, we considered they were consistent with the other, more sophisticated benchmarking results. The PPI results are set out in section </w:t>
      </w:r>
      <w:r w:rsidR="00966D46">
        <w:fldChar w:fldCharType="begin"/>
      </w:r>
      <w:r w:rsidR="00966D46">
        <w:instrText xml:space="preserve"> REF _Ref417310513 \r \h </w:instrText>
      </w:r>
      <w:r w:rsidR="00966D46">
        <w:fldChar w:fldCharType="separate"/>
      </w:r>
      <w:r w:rsidR="00C74791">
        <w:t>A.5</w:t>
      </w:r>
      <w:r w:rsidR="00966D46">
        <w:fldChar w:fldCharType="end"/>
      </w:r>
      <w:r>
        <w:t>.</w:t>
      </w:r>
    </w:p>
    <w:p w:rsidR="00C74791" w:rsidRDefault="00C74791" w:rsidP="00051BDB"/>
    <w:p w:rsidR="00051BDB" w:rsidRDefault="00051BDB" w:rsidP="00051BDB">
      <w:pPr>
        <w:pStyle w:val="Heading9"/>
      </w:pPr>
      <w:bookmarkStart w:id="170" w:name="_Ref414874729"/>
      <w:bookmarkStart w:id="171" w:name="_Toc415230980"/>
      <w:bookmarkStart w:id="172" w:name="_Toc416765388"/>
      <w:bookmarkStart w:id="173" w:name="_Toc417719042"/>
      <w:r>
        <w:lastRenderedPageBreak/>
        <w:t>Revised proposals and submissions</w:t>
      </w:r>
      <w:bookmarkEnd w:id="170"/>
      <w:bookmarkEnd w:id="171"/>
      <w:bookmarkEnd w:id="172"/>
      <w:bookmarkEnd w:id="173"/>
    </w:p>
    <w:p w:rsidR="00051BDB" w:rsidRDefault="00051BDB" w:rsidP="00051BDB">
      <w:pPr>
        <w:rPr>
          <w:rStyle w:val="AERbody"/>
        </w:rPr>
      </w:pPr>
      <w:r>
        <w:rPr>
          <w:rStyle w:val="AERbody"/>
        </w:rPr>
        <w:t>In response to our draft decision for the NSW service providers and ActewAGL, these service providers submitted a large amount of material expressing concerns with our approach to benchmarking and the results. This included reports from the following consultants:</w:t>
      </w:r>
    </w:p>
    <w:p w:rsidR="00051BDB" w:rsidRDefault="00051BDB" w:rsidP="00051BDB">
      <w:pPr>
        <w:pStyle w:val="AERbulletlistfirststyle"/>
        <w:rPr>
          <w:rStyle w:val="AERbody"/>
        </w:rPr>
      </w:pPr>
      <w:r>
        <w:rPr>
          <w:rStyle w:val="AERbody"/>
        </w:rPr>
        <w:t>Frontier Economics</w:t>
      </w:r>
      <w:r>
        <w:rPr>
          <w:rStyle w:val="FootnoteReference"/>
        </w:rPr>
        <w:footnoteReference w:id="295"/>
      </w:r>
    </w:p>
    <w:p w:rsidR="00051BDB" w:rsidRDefault="00051BDB" w:rsidP="00051BDB">
      <w:pPr>
        <w:pStyle w:val="AERbulletlistfirststyle"/>
        <w:rPr>
          <w:rStyle w:val="AERbody"/>
        </w:rPr>
      </w:pPr>
      <w:r>
        <w:rPr>
          <w:rStyle w:val="AERbody"/>
        </w:rPr>
        <w:t>Huegin</w:t>
      </w:r>
      <w:r>
        <w:rPr>
          <w:rStyle w:val="FootnoteReference"/>
        </w:rPr>
        <w:footnoteReference w:id="296"/>
      </w:r>
    </w:p>
    <w:p w:rsidR="00051BDB" w:rsidRDefault="00051BDB" w:rsidP="00051BDB">
      <w:pPr>
        <w:pStyle w:val="AERbulletlistfirststyle"/>
        <w:rPr>
          <w:rStyle w:val="AERbody"/>
        </w:rPr>
      </w:pPr>
      <w:r>
        <w:rPr>
          <w:rStyle w:val="AERbody"/>
        </w:rPr>
        <w:t>Cambridge Economic Policy Associates (CEPA)</w:t>
      </w:r>
      <w:r>
        <w:rPr>
          <w:rStyle w:val="FootnoteReference"/>
        </w:rPr>
        <w:footnoteReference w:id="297"/>
      </w:r>
    </w:p>
    <w:p w:rsidR="00051BDB" w:rsidRDefault="00051BDB" w:rsidP="00051BDB">
      <w:pPr>
        <w:pStyle w:val="AERbulletlistfirststyle"/>
        <w:rPr>
          <w:rStyle w:val="AERbody"/>
        </w:rPr>
      </w:pPr>
      <w:r>
        <w:rPr>
          <w:rStyle w:val="AERbody"/>
        </w:rPr>
        <w:t>Pacific Economics Group Research (PEGR)</w:t>
      </w:r>
      <w:r>
        <w:rPr>
          <w:rStyle w:val="FootnoteReference"/>
        </w:rPr>
        <w:footnoteReference w:id="298"/>
      </w:r>
    </w:p>
    <w:p w:rsidR="00051BDB" w:rsidRDefault="00051BDB" w:rsidP="00051BDB">
      <w:pPr>
        <w:pStyle w:val="AERbulletlistfirststyle"/>
        <w:rPr>
          <w:rStyle w:val="AERbody"/>
        </w:rPr>
      </w:pPr>
      <w:r>
        <w:rPr>
          <w:rStyle w:val="AERbody"/>
        </w:rPr>
        <w:t>Advisian (formerly Evans and Peck)</w:t>
      </w:r>
      <w:r>
        <w:rPr>
          <w:rStyle w:val="FootnoteReference"/>
        </w:rPr>
        <w:footnoteReference w:id="299"/>
      </w:r>
    </w:p>
    <w:p w:rsidR="00051BDB" w:rsidRDefault="00051BDB" w:rsidP="00051BDB">
      <w:pPr>
        <w:pStyle w:val="AERbulletlistfirststyle"/>
        <w:rPr>
          <w:rStyle w:val="AERbody"/>
        </w:rPr>
      </w:pPr>
      <w:r>
        <w:rPr>
          <w:rStyle w:val="AERbody"/>
        </w:rPr>
        <w:t>Pricewaterhouse Coopers (PwC).</w:t>
      </w:r>
      <w:r>
        <w:rPr>
          <w:rStyle w:val="FootnoteReference"/>
        </w:rPr>
        <w:footnoteReference w:id="300"/>
      </w:r>
    </w:p>
    <w:p w:rsidR="00051BDB" w:rsidRPr="00822A99" w:rsidRDefault="00051BDB" w:rsidP="00051BDB">
      <w:r w:rsidRPr="00822A99">
        <w:t>In addition to submissions from other stakeholders</w:t>
      </w:r>
      <w:r>
        <w:t>, on 13 February 2015</w:t>
      </w:r>
      <w:r w:rsidRPr="00822A99">
        <w:t xml:space="preserve"> we received from </w:t>
      </w:r>
      <w:r>
        <w:t>service providers</w:t>
      </w:r>
      <w:r w:rsidRPr="00822A99">
        <w:t xml:space="preserve"> further </w:t>
      </w:r>
      <w:r>
        <w:t xml:space="preserve">legal opinion and </w:t>
      </w:r>
      <w:r w:rsidRPr="00822A99">
        <w:t>consultant reports on benchmarking</w:t>
      </w:r>
      <w:r>
        <w:t xml:space="preserve"> from</w:t>
      </w:r>
      <w:r w:rsidRPr="00822A99">
        <w:t>:</w:t>
      </w:r>
    </w:p>
    <w:p w:rsidR="00051BDB" w:rsidRDefault="00051BDB" w:rsidP="00051BDB">
      <w:pPr>
        <w:pStyle w:val="AERbulletlistfirststyle"/>
      </w:pPr>
      <w:r>
        <w:t>Herbert Smith Freehills (submitted by the NSW service providers)</w:t>
      </w:r>
    </w:p>
    <w:p w:rsidR="00051BDB" w:rsidRDefault="00051BDB" w:rsidP="00051BDB">
      <w:pPr>
        <w:pStyle w:val="AERbulletlistfirststyle"/>
      </w:pPr>
      <w:r>
        <w:t>Young and McClelland (submitted by ActewAGL)</w:t>
      </w:r>
    </w:p>
    <w:p w:rsidR="00051BDB" w:rsidRDefault="00051BDB" w:rsidP="00051BDB">
      <w:pPr>
        <w:pStyle w:val="AERbulletlistfirststyle"/>
      </w:pPr>
      <w:r>
        <w:t>Huegin (two reports, submitted by Ergon Energy)</w:t>
      </w:r>
    </w:p>
    <w:p w:rsidR="00051BDB" w:rsidRDefault="00051BDB" w:rsidP="00051BDB">
      <w:pPr>
        <w:pStyle w:val="AERbulletlistfirststyle"/>
      </w:pPr>
      <w:r>
        <w:t>Synergies (two reports, submitted by Ergon Energy)</w:t>
      </w:r>
    </w:p>
    <w:p w:rsidR="00051BDB" w:rsidRDefault="00051BDB" w:rsidP="00051BDB">
      <w:pPr>
        <w:pStyle w:val="AERbulletlistfirststyle"/>
      </w:pPr>
      <w:r>
        <w:t>Frontier Economics (submitted by Ergon Energy)</w:t>
      </w:r>
    </w:p>
    <w:p w:rsidR="00051BDB" w:rsidRDefault="00051BDB" w:rsidP="00051BDB">
      <w:pPr>
        <w:pStyle w:val="AERbulletlistfirststyle"/>
      </w:pPr>
      <w:r>
        <w:t>Ernst &amp; Young (EY) (submitted by Ergon Energy).</w:t>
      </w:r>
    </w:p>
    <w:p w:rsidR="00051BDB" w:rsidRDefault="00051BDB" w:rsidP="00051BDB">
      <w:r>
        <w:t>Economic Insights addresses this material in the report it has prepared for this final decision. In this section, we have grouped the key benchmarking issues raised by the service providers and their consultants into:</w:t>
      </w:r>
    </w:p>
    <w:p w:rsidR="00051BDB" w:rsidRDefault="00051BDB" w:rsidP="00051BDB">
      <w:pPr>
        <w:pStyle w:val="AERbulletlistfirststyle"/>
      </w:pPr>
      <w:r>
        <w:t>model specification</w:t>
      </w:r>
    </w:p>
    <w:p w:rsidR="00051BDB" w:rsidRDefault="00051BDB" w:rsidP="00051BDB">
      <w:pPr>
        <w:pStyle w:val="AERbulletlistfirststyle"/>
      </w:pPr>
      <w:r>
        <w:t>data</w:t>
      </w:r>
    </w:p>
    <w:p w:rsidR="00051BDB" w:rsidRDefault="00051BDB" w:rsidP="00051BDB">
      <w:pPr>
        <w:pStyle w:val="AERbulletlistfirststyle"/>
      </w:pPr>
      <w:r>
        <w:t>estimation methods</w:t>
      </w:r>
    </w:p>
    <w:p w:rsidR="00051BDB" w:rsidRDefault="00051BDB" w:rsidP="00051BDB">
      <w:pPr>
        <w:pStyle w:val="AERbulletlistfirststyle"/>
      </w:pPr>
      <w:r>
        <w:t>efficiency results.</w:t>
      </w:r>
    </w:p>
    <w:p w:rsidR="00051BDB" w:rsidRDefault="00051BDB" w:rsidP="00051BDB">
      <w:r>
        <w:lastRenderedPageBreak/>
        <w:t>We discuss each topic below. Consistent with our approach in the draft decision, we have adopted Economic Insights' approach and recommendations on the basis of its expertise in economic benchmarking, including the application of economic benchmarking in the regulatory context. Accordingly, to the extent we refer to 'our approach' or 'our model', this should be interpreted as the approach and models recommended by Economic Insights' and applied in its analysis. Economic Insights' final decision report contains detailed analysis and explanation of its approach and results in light of the information submitted by the service providers and their consultants.</w:t>
      </w:r>
    </w:p>
    <w:p w:rsidR="00051BDB" w:rsidRDefault="00051BDB" w:rsidP="00051BDB">
      <w:pPr>
        <w:pStyle w:val="HeadingBoldBlue"/>
      </w:pPr>
      <w:bookmarkStart w:id="174" w:name="_Toc415230981"/>
      <w:r w:rsidRPr="00210F0E">
        <w:t>Model specification</w:t>
      </w:r>
      <w:bookmarkEnd w:id="174"/>
    </w:p>
    <w:p w:rsidR="00051BDB" w:rsidRDefault="00051BDB" w:rsidP="00051BDB">
      <w:r>
        <w:t>M</w:t>
      </w:r>
      <w:r w:rsidRPr="009A31A5">
        <w:t xml:space="preserve">odel specification </w:t>
      </w:r>
      <w:r>
        <w:t xml:space="preserve">relates to the specification of the </w:t>
      </w:r>
      <w:r w:rsidRPr="009A31A5">
        <w:t xml:space="preserve">outputs, inputs and operating environment variables that </w:t>
      </w:r>
      <w:r>
        <w:t>Economic Insights has used in its benchmarking model</w:t>
      </w:r>
      <w:r w:rsidRPr="009A31A5">
        <w:t xml:space="preserve">. </w:t>
      </w:r>
    </w:p>
    <w:p w:rsidR="00051BDB" w:rsidRPr="00210F0E" w:rsidRDefault="00051BDB" w:rsidP="00051BDB">
      <w:r>
        <w:t>In this sub-section, we compare Economic Insights' model specification to the alternatives proposed by the service providers' consultants. First, we reiterate why Economic Insights' modelling approach is robust and reliable. Second, we restate why the inputs, outputs and operating environment factors Economic Insights has chosen are appropriate. Finally, we explain why the alternative models proposed are not robust or reliable.</w:t>
      </w:r>
    </w:p>
    <w:p w:rsidR="00051BDB" w:rsidRDefault="00051BDB" w:rsidP="00051BDB">
      <w:pPr>
        <w:pStyle w:val="HeadingBoldItalic"/>
      </w:pPr>
      <w:r>
        <w:t>Our approach is robust and reliable</w:t>
      </w:r>
    </w:p>
    <w:p w:rsidR="00051BDB" w:rsidRDefault="00051BDB" w:rsidP="00051BDB">
      <w:pPr>
        <w:rPr>
          <w:rStyle w:val="AERbody"/>
        </w:rPr>
      </w:pPr>
      <w:r>
        <w:rPr>
          <w:rStyle w:val="AERbody"/>
        </w:rPr>
        <w:t>Economic Insights' model specification has been developed using a logical, structured and consultative approach. We set out this approach below.</w:t>
      </w:r>
    </w:p>
    <w:p w:rsidR="00051BDB" w:rsidRDefault="00051BDB" w:rsidP="00051BDB">
      <w:pPr>
        <w:rPr>
          <w:rStyle w:val="AERbody"/>
        </w:rPr>
      </w:pPr>
      <w:r>
        <w:rPr>
          <w:rStyle w:val="AERbody"/>
        </w:rPr>
        <w:t>The first step we took in developing our benchmarking data base was to consult criteria for selecting input, output and operating environment factors.  We set out our initial selection criteria in our issues paper we released for the Guideline.</w:t>
      </w:r>
      <w:r>
        <w:rPr>
          <w:rStyle w:val="FootnoteReference"/>
        </w:rPr>
        <w:footnoteReference w:id="301"/>
      </w:r>
      <w:r>
        <w:rPr>
          <w:rStyle w:val="AERbody"/>
        </w:rPr>
        <w:t xml:space="preserve"> Our final selection criteria are set out in the explanatory statement to the Guideline.</w:t>
      </w:r>
      <w:r>
        <w:rPr>
          <w:rStyle w:val="FootnoteReference"/>
        </w:rPr>
        <w:footnoteReference w:id="302"/>
      </w:r>
    </w:p>
    <w:p w:rsidR="00051BDB" w:rsidRDefault="00051BDB" w:rsidP="00051BDB">
      <w:pPr>
        <w:rPr>
          <w:rStyle w:val="AERbody"/>
        </w:rPr>
      </w:pPr>
      <w:r>
        <w:rPr>
          <w:rStyle w:val="AERbody"/>
        </w:rPr>
        <w:t>We also developed a broad data set for benchmarking. In developing this data set we considered the model specifications applied in other service provider benchmarking studies.</w:t>
      </w:r>
      <w:r>
        <w:rPr>
          <w:rStyle w:val="FootnoteReference"/>
        </w:rPr>
        <w:footnoteReference w:id="303"/>
      </w:r>
    </w:p>
    <w:p w:rsidR="00051BDB" w:rsidRDefault="00051BDB" w:rsidP="00051BDB">
      <w:pPr>
        <w:rPr>
          <w:rStyle w:val="AERbody"/>
        </w:rPr>
      </w:pPr>
      <w:r>
        <w:rPr>
          <w:rStyle w:val="AERbody"/>
        </w:rPr>
        <w:t>As part of the Better Regulation reform program we hosted open workshops which were chaperoned by Economic Insights. In these workshops we consulted on engineering, accounting and economic aspects of the model specification with service providers and other interested stakeholders. We published numerous papers on the inputs, outputs and operating environment circumstances of service providers and how these should be measured.</w:t>
      </w:r>
    </w:p>
    <w:p w:rsidR="00051BDB" w:rsidRDefault="00051BDB" w:rsidP="00051BDB">
      <w:pPr>
        <w:rPr>
          <w:rStyle w:val="AERbody"/>
        </w:rPr>
      </w:pPr>
      <w:r>
        <w:rPr>
          <w:rStyle w:val="AERbody"/>
        </w:rPr>
        <w:lastRenderedPageBreak/>
        <w:t>In light of the selection criteria and workshops Economic Insights developed a preliminary model specification which we stated we would test once we collected data.</w:t>
      </w:r>
      <w:r>
        <w:rPr>
          <w:rStyle w:val="FootnoteReference"/>
        </w:rPr>
        <w:footnoteReference w:id="304"/>
      </w:r>
      <w:r>
        <w:rPr>
          <w:rStyle w:val="AERbody"/>
        </w:rPr>
        <w:t xml:space="preserve"> Once we received data Economic Insights ran a number of different model specifications including the preliminary model specification.</w:t>
      </w:r>
      <w:r>
        <w:rPr>
          <w:rStyle w:val="FootnoteReference"/>
        </w:rPr>
        <w:footnoteReference w:id="305"/>
      </w:r>
      <w:r>
        <w:rPr>
          <w:rStyle w:val="AERbody"/>
        </w:rPr>
        <w:t xml:space="preserve">  Economic Insights identified a preferred MPFP model specification on the basis that this specification was not biased towards a particular type of service provider unlike the other model specifications they ran.</w:t>
      </w:r>
      <w:r>
        <w:rPr>
          <w:rStyle w:val="FootnoteReference"/>
        </w:rPr>
        <w:footnoteReference w:id="306"/>
      </w:r>
      <w:r>
        <w:rPr>
          <w:rStyle w:val="AERbody"/>
        </w:rPr>
        <w:t xml:space="preserve">  We circulated the results of the preferred model specification and other specifications that were run by Economic Insights in consultation on our draft annual benchmarking report. Economic Insights modified the MPFP model specification in light of comments received from stakeholders and produced a report based on these considerations which we had regard to in making our draft determination.</w:t>
      </w:r>
      <w:r>
        <w:rPr>
          <w:rStyle w:val="FootnoteReference"/>
        </w:rPr>
        <w:footnoteReference w:id="307"/>
      </w:r>
      <w:r>
        <w:rPr>
          <w:rStyle w:val="AERbody"/>
        </w:rPr>
        <w:t xml:space="preserve"> </w:t>
      </w:r>
    </w:p>
    <w:p w:rsidR="00051BDB" w:rsidRDefault="00051BDB" w:rsidP="00051BDB">
      <w:pPr>
        <w:rPr>
          <w:rStyle w:val="AERbody"/>
        </w:rPr>
      </w:pPr>
      <w:r>
        <w:rPr>
          <w:rStyle w:val="AERbody"/>
        </w:rPr>
        <w:t>We released the benchmarking model and underlying data for consultation with our draft determination. We have considered submissions on the model specification, including alternative models that have been developed, and consider that Economic Insights' model specification is the most appropriate. Their model specification has been developed through extensive consultation, drawing on industry knowledge and expertise, economic theory and their econometric experience. The reasons for not adopting alternative model specifications proposed in submissions below.</w:t>
      </w:r>
    </w:p>
    <w:p w:rsidR="00051BDB" w:rsidRDefault="00051BDB" w:rsidP="00051BDB">
      <w:pPr>
        <w:pStyle w:val="HeadingBoldItalic"/>
      </w:pPr>
      <w:r>
        <w:t>O</w:t>
      </w:r>
      <w:r w:rsidRPr="00943322">
        <w:t>utputs</w:t>
      </w:r>
      <w:r>
        <w:t>,</w:t>
      </w:r>
      <w:r w:rsidRPr="00943322">
        <w:t xml:space="preserve"> </w:t>
      </w:r>
      <w:r w:rsidRPr="003B117F">
        <w:t xml:space="preserve">Inputs </w:t>
      </w:r>
      <w:r>
        <w:t>and operating environment factors</w:t>
      </w:r>
    </w:p>
    <w:p w:rsidR="00051BDB" w:rsidRDefault="00051BDB" w:rsidP="00051BDB">
      <w:r>
        <w:t>Model specification comprises the input, outputs and operating environment variables relevant to the networks operated by the service providers. In this section we separately outline why their inputs, outputs and operating environment factors are appropriate. Economic Insights sets out its reasoning for its model specification in section 2 of its report.</w:t>
      </w:r>
      <w:r>
        <w:rPr>
          <w:rStyle w:val="FootnoteReference"/>
        </w:rPr>
        <w:footnoteReference w:id="308"/>
      </w:r>
    </w:p>
    <w:p w:rsidR="00051BDB" w:rsidRPr="00943322" w:rsidRDefault="00051BDB" w:rsidP="00051BDB">
      <w:pPr>
        <w:pStyle w:val="HeadingItalic"/>
      </w:pPr>
      <w:r>
        <w:t>Outputs</w:t>
      </w:r>
    </w:p>
    <w:p w:rsidR="00051BDB" w:rsidRDefault="00051BDB" w:rsidP="00051BDB">
      <w:pPr>
        <w:rPr>
          <w:rStyle w:val="AERbody"/>
        </w:rPr>
      </w:pPr>
      <w:r>
        <w:rPr>
          <w:rStyle w:val="AERbody"/>
        </w:rPr>
        <w:t>The outputs that we applied in our Cobb Douglas SFA model are:</w:t>
      </w:r>
    </w:p>
    <w:p w:rsidR="00051BDB" w:rsidRDefault="00051BDB" w:rsidP="00051BDB">
      <w:pPr>
        <w:pStyle w:val="AERbulletlistfirststyle"/>
        <w:rPr>
          <w:rStyle w:val="AERbody"/>
        </w:rPr>
      </w:pPr>
      <w:r>
        <w:rPr>
          <w:rStyle w:val="AERbody"/>
        </w:rPr>
        <w:t>Ratcheted maximum demand</w:t>
      </w:r>
    </w:p>
    <w:p w:rsidR="00051BDB" w:rsidRDefault="00051BDB" w:rsidP="00051BDB">
      <w:pPr>
        <w:pStyle w:val="AERbulletlistfirststyle"/>
        <w:rPr>
          <w:rStyle w:val="AERbody"/>
        </w:rPr>
      </w:pPr>
      <w:r>
        <w:rPr>
          <w:rStyle w:val="AERbody"/>
        </w:rPr>
        <w:t>Customer numbers</w:t>
      </w:r>
    </w:p>
    <w:p w:rsidR="00051BDB" w:rsidRDefault="00051BDB" w:rsidP="00051BDB">
      <w:pPr>
        <w:pStyle w:val="AERbulletlistfirststyle"/>
        <w:rPr>
          <w:rStyle w:val="AERbody"/>
        </w:rPr>
      </w:pPr>
      <w:r>
        <w:rPr>
          <w:rStyle w:val="AERbody"/>
        </w:rPr>
        <w:t>Circuit line length</w:t>
      </w:r>
    </w:p>
    <w:p w:rsidR="00051BDB" w:rsidRDefault="00051BDB" w:rsidP="00051BDB">
      <w:r>
        <w:t xml:space="preserve">Economic Insights considers that this output specification </w:t>
      </w:r>
      <w:r w:rsidRPr="00282702">
        <w:t xml:space="preserve">captures the key elements of </w:t>
      </w:r>
      <w:r>
        <w:t xml:space="preserve">service providers' </w:t>
      </w:r>
      <w:r w:rsidRPr="00282702">
        <w:t>functional output</w:t>
      </w:r>
      <w:r>
        <w:t>s</w:t>
      </w:r>
      <w:r w:rsidRPr="00282702">
        <w:t xml:space="preserve"> </w:t>
      </w:r>
      <w:r>
        <w:t>that are valued by customers. Also, the ratcheted maximum demand variable introduces</w:t>
      </w:r>
      <w:r w:rsidRPr="00282702">
        <w:t xml:space="preserve"> an important demand side element to the </w:t>
      </w:r>
      <w:r w:rsidRPr="00282702">
        <w:lastRenderedPageBreak/>
        <w:t>measurement of system capacity outputs</w:t>
      </w:r>
      <w:r>
        <w:t xml:space="preserve"> required</w:t>
      </w:r>
      <w:r w:rsidRPr="00282702">
        <w:t>.</w:t>
      </w:r>
      <w:r>
        <w:rPr>
          <w:rStyle w:val="FootnoteReference"/>
        </w:rPr>
        <w:footnoteReference w:id="309"/>
      </w:r>
      <w:r>
        <w:t xml:space="preserve"> PEGR applied these variables, as well as energy delivered, in its economic benchmarking analysis undertaken for the Ontario Energy Board.</w:t>
      </w:r>
      <w:r>
        <w:rPr>
          <w:rStyle w:val="FootnoteReference"/>
        </w:rPr>
        <w:footnoteReference w:id="310"/>
      </w:r>
      <w:r>
        <w:t xml:space="preserve"> </w:t>
      </w:r>
    </w:p>
    <w:p w:rsidR="00051BDB" w:rsidRDefault="00051BDB" w:rsidP="00051BDB">
      <w:r w:rsidRPr="00B713B3">
        <w:t>This specification has the advantage</w:t>
      </w:r>
      <w:r>
        <w:t xml:space="preserve"> of incorporating all of a service provider's main</w:t>
      </w:r>
      <w:r w:rsidRPr="00B713B3">
        <w:t xml:space="preserve"> outputs. </w:t>
      </w:r>
      <w:r>
        <w:t>A service provider needs to provide</w:t>
      </w:r>
      <w:r w:rsidRPr="00B713B3">
        <w:t xml:space="preserve"> the capacity necessary to meet demand. Th</w:t>
      </w:r>
      <w:r>
        <w:t>is</w:t>
      </w:r>
      <w:r w:rsidRPr="00B713B3">
        <w:t xml:space="preserve"> capacity output is</w:t>
      </w:r>
      <w:r>
        <w:t xml:space="preserve"> better</w:t>
      </w:r>
      <w:r w:rsidRPr="00B713B3">
        <w:t xml:space="preserve"> captured by the </w:t>
      </w:r>
      <w:r>
        <w:t>ratcheted maximum demand variable.</w:t>
      </w:r>
      <w:r>
        <w:rPr>
          <w:rStyle w:val="FootnoteReference"/>
        </w:rPr>
        <w:footnoteReference w:id="311"/>
      </w:r>
      <w:r>
        <w:t xml:space="preserve"> </w:t>
      </w:r>
      <w:r w:rsidRPr="00B713B3">
        <w:t xml:space="preserve">Fixed components of </w:t>
      </w:r>
      <w:r>
        <w:t>distribution</w:t>
      </w:r>
      <w:r w:rsidRPr="00B713B3">
        <w:t xml:space="preserve"> output (such as providing access for each customer) are captured by the customer numbers output. </w:t>
      </w:r>
      <w:r>
        <w:t>The distance over which service providers have to distribute electricity, and the number of assets required to do so, is likely to be captured by the circuit line length variable.</w:t>
      </w:r>
    </w:p>
    <w:p w:rsidR="00051BDB" w:rsidRDefault="00051BDB" w:rsidP="00051BDB">
      <w:pPr>
        <w:pStyle w:val="HeadingItalic"/>
      </w:pPr>
      <w:r>
        <w:t>Inputs</w:t>
      </w:r>
    </w:p>
    <w:p w:rsidR="00051BDB" w:rsidRDefault="00051BDB" w:rsidP="00051BDB">
      <w:r>
        <w:t>Our benchmarking model</w:t>
      </w:r>
      <w:r w:rsidRPr="00A70F4F">
        <w:t xml:space="preserve"> only include</w:t>
      </w:r>
      <w:r>
        <w:t>s</w:t>
      </w:r>
      <w:r w:rsidRPr="00A70F4F">
        <w:t xml:space="preserve"> one input</w:t>
      </w:r>
      <w:r>
        <w:t>,</w:t>
      </w:r>
      <w:r w:rsidRPr="00A70F4F">
        <w:t xml:space="preserve"> </w:t>
      </w:r>
      <w:r>
        <w:t xml:space="preserve">which is opex. This is appropriate as the purpose of the model is to consider the efficiency of the service providers in using opex to deliver their outputs. </w:t>
      </w:r>
    </w:p>
    <w:p w:rsidR="00051BDB" w:rsidRDefault="00051BDB" w:rsidP="00051BDB">
      <w:pPr>
        <w:pStyle w:val="HeadingItalic"/>
      </w:pPr>
      <w:r>
        <w:t>Operating environment factors</w:t>
      </w:r>
    </w:p>
    <w:p w:rsidR="00051BDB" w:rsidRDefault="00051BDB" w:rsidP="00051BDB">
      <w:r>
        <w:t>Our opex modelling directly accounts for a number of operating environment factor differences. Economic Insights' model specification directly accounts for the main density factors such as customer density and demand density. This is because, as noted by Economic Insights, customer numbers, line length and ratcheted maximum demand are included as outputs.</w:t>
      </w:r>
      <w:r>
        <w:rPr>
          <w:rStyle w:val="FootnoteReference"/>
        </w:rPr>
        <w:footnoteReference w:id="312"/>
      </w:r>
      <w:r>
        <w:t xml:space="preserve"> </w:t>
      </w:r>
    </w:p>
    <w:p w:rsidR="00051BDB" w:rsidRDefault="00051BDB" w:rsidP="00051BDB">
      <w:r>
        <w:t xml:space="preserve">The model specification also accounts for the effect of underground lines by including an operating environment variable for </w:t>
      </w:r>
      <w:r w:rsidRPr="0048283D">
        <w:t>the proportion of underground lines.</w:t>
      </w:r>
      <w:r>
        <w:t xml:space="preserve"> Underground lines will require less maintenance and no vegetation management. Further, underground lines are less exposed to exogenous factors that may cause network interruptions. </w:t>
      </w:r>
    </w:p>
    <w:p w:rsidR="00051BDB" w:rsidRDefault="00051BDB" w:rsidP="00051BDB">
      <w:r>
        <w:t>To capture the effect of cross country operating environment differences Economic Insights also includes dummy variables for Ontario and New Zealand service providers.</w:t>
      </w:r>
      <w:r>
        <w:rPr>
          <w:rStyle w:val="FootnoteReference"/>
        </w:rPr>
        <w:footnoteReference w:id="313"/>
      </w:r>
      <w:r>
        <w:t xml:space="preserve"> </w:t>
      </w:r>
    </w:p>
    <w:p w:rsidR="00051BDB" w:rsidRDefault="00051BDB" w:rsidP="00051BDB">
      <w:pPr>
        <w:rPr>
          <w:rStyle w:val="AERbody"/>
        </w:rPr>
      </w:pPr>
      <w:r>
        <w:rPr>
          <w:rStyle w:val="AERbody"/>
        </w:rPr>
        <w:lastRenderedPageBreak/>
        <w:t xml:space="preserve">We separately estimated the effect of operating environment factors that could not be directly incorporated into Economic Insights' Cobb Douglas SFA model. Our analysis of these adjustments is detailed in section </w:t>
      </w:r>
      <w:r>
        <w:rPr>
          <w:rStyle w:val="AERbody"/>
        </w:rPr>
        <w:fldChar w:fldCharType="begin"/>
      </w:r>
      <w:r>
        <w:rPr>
          <w:rStyle w:val="AERbody"/>
        </w:rPr>
        <w:instrText xml:space="preserve"> REF _Ref417551822 \n \h </w:instrText>
      </w:r>
      <w:r>
        <w:rPr>
          <w:rStyle w:val="AERbody"/>
        </w:rPr>
      </w:r>
      <w:r>
        <w:rPr>
          <w:rStyle w:val="AERbody"/>
        </w:rPr>
        <w:fldChar w:fldCharType="separate"/>
      </w:r>
      <w:r w:rsidR="00C74791">
        <w:rPr>
          <w:rStyle w:val="AERbody"/>
        </w:rPr>
        <w:t>A.6</w:t>
      </w:r>
      <w:r>
        <w:rPr>
          <w:rStyle w:val="AERbody"/>
        </w:rPr>
        <w:fldChar w:fldCharType="end"/>
      </w:r>
      <w:r>
        <w:rPr>
          <w:rStyle w:val="AERbody"/>
        </w:rPr>
        <w:t>.</w:t>
      </w:r>
    </w:p>
    <w:p w:rsidR="00051BDB" w:rsidRDefault="00051BDB" w:rsidP="00051BDB">
      <w:r>
        <w:rPr>
          <w:rStyle w:val="AERbody"/>
        </w:rPr>
        <w:t>Some of service providers' consultants submit that we should have made adjustments to the data prior to undertaking the modelling for operating environment factors.</w:t>
      </w:r>
      <w:r>
        <w:rPr>
          <w:rStyle w:val="FootnoteReference"/>
        </w:rPr>
        <w:footnoteReference w:id="314"/>
      </w:r>
      <w:r>
        <w:rPr>
          <w:rStyle w:val="AERbody"/>
        </w:rPr>
        <w:t xml:space="preserve">  We consider that making </w:t>
      </w:r>
      <w:r w:rsidR="00A907AF">
        <w:rPr>
          <w:rStyle w:val="AERbody"/>
        </w:rPr>
        <w:t xml:space="preserve">ex post </w:t>
      </w:r>
      <w:r>
        <w:rPr>
          <w:rStyle w:val="AERbody"/>
        </w:rPr>
        <w:t>adjustments for operating environment factors, as advised by Economic Insights, is an effective, reasoned and practical approach.</w:t>
      </w:r>
      <w:r w:rsidRPr="00C024C8">
        <w:rPr>
          <w:rStyle w:val="FootnoteReference"/>
        </w:rPr>
        <w:t xml:space="preserve"> </w:t>
      </w:r>
    </w:p>
    <w:p w:rsidR="00051BDB" w:rsidRDefault="00051BDB" w:rsidP="00051BDB">
      <w:pPr>
        <w:rPr>
          <w:rStyle w:val="AERbody"/>
        </w:rPr>
      </w:pPr>
      <w:r>
        <w:rPr>
          <w:rStyle w:val="AERbody"/>
        </w:rPr>
        <w:t>To adjust for operating environment factors prior to modelling we would need to adjust each data point in the sample for the presumed effect of each operating environment factor. This is impractical with the numerous operating environment factors we have considered.  To do this would involve considerable judgement regarding the effect of operating environment factors to the 68 service providers in the sample.</w:t>
      </w:r>
      <w:r w:rsidRPr="00AA4DA6">
        <w:rPr>
          <w:rStyle w:val="FootnoteReference"/>
        </w:rPr>
        <w:t xml:space="preserve"> </w:t>
      </w:r>
    </w:p>
    <w:p w:rsidR="00051BDB" w:rsidRDefault="00051BDB" w:rsidP="00051BDB">
      <w:pPr>
        <w:rPr>
          <w:rStyle w:val="AERbody"/>
        </w:rPr>
      </w:pPr>
      <w:r>
        <w:rPr>
          <w:rStyle w:val="AERbody"/>
        </w:rPr>
        <w:t>Other consultants have argued that we need to directly incorporate more operating environment factors into the model.</w:t>
      </w:r>
      <w:r>
        <w:rPr>
          <w:rStyle w:val="FootnoteReference"/>
        </w:rPr>
        <w:footnoteReference w:id="315"/>
      </w:r>
      <w:r>
        <w:rPr>
          <w:rStyle w:val="AERbody"/>
        </w:rPr>
        <w:t xml:space="preserve"> We consider this approach is inappropriate as:</w:t>
      </w:r>
    </w:p>
    <w:p w:rsidR="00051BDB" w:rsidRDefault="00051BDB" w:rsidP="00051BDB">
      <w:pPr>
        <w:pStyle w:val="AERbulletlistfirststyle"/>
        <w:rPr>
          <w:rStyle w:val="AERbody"/>
        </w:rPr>
      </w:pPr>
      <w:r>
        <w:rPr>
          <w:rStyle w:val="AERbody"/>
        </w:rPr>
        <w:t>only a limited number of variables can be included in economic benchmarking analysis</w:t>
      </w:r>
      <w:r>
        <w:rPr>
          <w:rStyle w:val="FootnoteReference"/>
        </w:rPr>
        <w:footnoteReference w:id="316"/>
      </w:r>
    </w:p>
    <w:p w:rsidR="00051BDB" w:rsidRDefault="00051BDB" w:rsidP="00051BDB">
      <w:pPr>
        <w:pStyle w:val="AERbulletlistfirststyle"/>
        <w:rPr>
          <w:rStyle w:val="AERbody"/>
        </w:rPr>
      </w:pPr>
      <w:r>
        <w:rPr>
          <w:rStyle w:val="AERbody"/>
        </w:rPr>
        <w:t>Economic Insights has captured a number of important operating environment factors directly in its model</w:t>
      </w:r>
      <w:r>
        <w:rPr>
          <w:rStyle w:val="FootnoteReference"/>
        </w:rPr>
        <w:footnoteReference w:id="317"/>
      </w:r>
    </w:p>
    <w:p w:rsidR="00051BDB" w:rsidRDefault="00051BDB" w:rsidP="00051BDB">
      <w:pPr>
        <w:pStyle w:val="AERbulletlistfirststyle"/>
        <w:rPr>
          <w:rStyle w:val="AERbody"/>
        </w:rPr>
      </w:pPr>
      <w:r>
        <w:rPr>
          <w:rStyle w:val="AERbody"/>
        </w:rPr>
        <w:t>The availability of data on operating environment factors is a constraint on the number of operating environment factors that can be directly incorporated into the model</w:t>
      </w:r>
      <w:r>
        <w:rPr>
          <w:rStyle w:val="FootnoteReference"/>
        </w:rPr>
        <w:footnoteReference w:id="318"/>
      </w:r>
    </w:p>
    <w:p w:rsidR="00051BDB" w:rsidRPr="009B2AEE" w:rsidRDefault="00051BDB" w:rsidP="00051BDB">
      <w:r>
        <w:rPr>
          <w:rStyle w:val="AERbody"/>
        </w:rPr>
        <w:t>Given these points we consider that accounting for operating environment factors not directly incorporated in the modelling through post-model adjustments is a preferable approach. Economic Insights supports this conclusion.</w:t>
      </w:r>
      <w:r>
        <w:rPr>
          <w:rStyle w:val="FootnoteReference"/>
        </w:rPr>
        <w:footnoteReference w:id="319"/>
      </w:r>
    </w:p>
    <w:p w:rsidR="00051BDB" w:rsidRDefault="00051BDB" w:rsidP="00051BDB">
      <w:pPr>
        <w:pStyle w:val="HeadingBoldItalic"/>
      </w:pPr>
      <w:r>
        <w:t>Proposed alternative approaches are not appropriate</w:t>
      </w:r>
    </w:p>
    <w:p w:rsidR="00051BDB" w:rsidRDefault="00051BDB" w:rsidP="00051BDB">
      <w:r>
        <w:t xml:space="preserve">We prefer our benchmarking model specification to alternatives proposed by the service providers. The model specification that Economic Insights has applied is an appropriate approach to measuring outputs and inputs for Australian </w:t>
      </w:r>
      <w:r w:rsidR="00B26CB0">
        <w:t xml:space="preserve">distributors </w:t>
      </w:r>
      <w:r>
        <w:t>in the current context. This specification was developed the model through a rigorous consultation process</w:t>
      </w:r>
      <w:r w:rsidRPr="0065219B">
        <w:t xml:space="preserve">, and has been informed by industry knowledge, economic theory </w:t>
      </w:r>
      <w:r w:rsidRPr="0065219B">
        <w:lastRenderedPageBreak/>
        <w:t>and econometric expertise.</w:t>
      </w:r>
      <w:r>
        <w:t xml:space="preserve"> As noted above, the model specification incorporates key service provider functional output variables valued by customers.</w:t>
      </w:r>
      <w:r w:rsidRPr="00CA4BB4">
        <w:t xml:space="preserve"> </w:t>
      </w:r>
    </w:p>
    <w:p w:rsidR="00051BDB" w:rsidRDefault="00051BDB" w:rsidP="00051BDB">
      <w:r>
        <w:t xml:space="preserve">A number of submissions have proposed alternative approaches to incorporating outputs, inputs and operating environment factors into our benchmarking modelling. </w:t>
      </w:r>
    </w:p>
    <w:p w:rsidR="00051BDB" w:rsidRPr="00C50A1E" w:rsidRDefault="00051BDB" w:rsidP="00051BDB">
      <w:r>
        <w:t>We consider the alternative specifications proposed by consultants in the sections below.</w:t>
      </w:r>
    </w:p>
    <w:p w:rsidR="00051BDB" w:rsidRDefault="00051BDB" w:rsidP="00051BDB">
      <w:pPr>
        <w:pStyle w:val="HeadingItalic"/>
      </w:pPr>
      <w:r>
        <w:t>The inclusion of a variable for lines with a voltage of 132 kV and above</w:t>
      </w:r>
    </w:p>
    <w:p w:rsidR="00051BDB" w:rsidRDefault="00051BDB" w:rsidP="00051BDB">
      <w:r>
        <w:t>CEPA, PEG and Frontier all include a variable for lines above 66kV in their model.</w:t>
      </w:r>
      <w:r w:rsidRPr="00704576">
        <w:rPr>
          <w:rStyle w:val="FootnoteReference"/>
        </w:rPr>
        <w:t xml:space="preserve"> </w:t>
      </w:r>
      <w:r>
        <w:rPr>
          <w:rStyle w:val="FootnoteReference"/>
        </w:rPr>
        <w:footnoteReference w:id="320"/>
      </w:r>
      <w:r>
        <w:t xml:space="preserve"> </w:t>
      </w:r>
    </w:p>
    <w:p w:rsidR="00051BDB" w:rsidRDefault="00051BDB" w:rsidP="00051BDB">
      <w:r>
        <w:t>As noted by Economic Insights, in the benchmarking data set, only service providers in NSW, Queensland and the ACT have significant lengths of lines above this voltage.</w:t>
      </w:r>
      <w:r>
        <w:rPr>
          <w:rStyle w:val="FootnoteReference"/>
        </w:rPr>
        <w:footnoteReference w:id="321"/>
      </w:r>
      <w:r>
        <w:t xml:space="preserve"> </w:t>
      </w:r>
      <w:r w:rsidRPr="000042C3">
        <w:t xml:space="preserve">There is therefore a risk that this variable may pick up other characteristics that are shared by </w:t>
      </w:r>
      <w:r w:rsidR="00B26CB0">
        <w:t>distributors</w:t>
      </w:r>
      <w:r w:rsidR="00B26CB0" w:rsidRPr="000042C3">
        <w:t xml:space="preserve"> </w:t>
      </w:r>
      <w:r w:rsidRPr="000042C3">
        <w:t xml:space="preserve">in these states relative to </w:t>
      </w:r>
      <w:r w:rsidR="00B26CB0">
        <w:t>distributors</w:t>
      </w:r>
      <w:r w:rsidR="00B26CB0" w:rsidRPr="000042C3">
        <w:t xml:space="preserve"> </w:t>
      </w:r>
      <w:r w:rsidRPr="000042C3">
        <w:t>in the other states.</w:t>
      </w:r>
      <w:r>
        <w:t xml:space="preserve"> This appears to be the case.</w:t>
      </w:r>
      <w:r>
        <w:rPr>
          <w:rStyle w:val="FootnoteReference"/>
        </w:rPr>
        <w:footnoteReference w:id="322"/>
      </w:r>
      <w:r>
        <w:t xml:space="preserve"> </w:t>
      </w:r>
    </w:p>
    <w:p w:rsidR="00051BDB" w:rsidRDefault="00051BDB" w:rsidP="00051BDB">
      <w:r>
        <w:t xml:space="preserve">A useful comparison point is the costs that Ausgrid actually allocates to these assets in its regulatory accounts which we have used to develop our operating environment factor adjustment for these assets. Ausgrid reports its costs for 66kV and above assets separately (as they are predominantly classified as dual function assets). </w:t>
      </w:r>
      <w:r w:rsidR="00F017B8">
        <w:t xml:space="preserve">In its category analysis RIN, AusGrid allocated 7.5 per cent of its opex to 132 kV lines. </w:t>
      </w:r>
      <w:r>
        <w:t>However:</w:t>
      </w:r>
    </w:p>
    <w:p w:rsidR="00051BDB" w:rsidRDefault="00051BDB" w:rsidP="00051BDB">
      <w:pPr>
        <w:pStyle w:val="AERbulletlistfirststyle"/>
      </w:pPr>
      <w:r>
        <w:t>CEPA's modelling implies that 31 per cent of AusGrid's opex would be allocated to these assets</w:t>
      </w:r>
    </w:p>
    <w:p w:rsidR="00051BDB" w:rsidRDefault="00051BDB" w:rsidP="00051BDB">
      <w:pPr>
        <w:pStyle w:val="AERbulletlistfirststyle"/>
      </w:pPr>
      <w:r>
        <w:t>PEG's model implies that 44 per cent of AusGrid's opex would be allocated to these assets</w:t>
      </w:r>
    </w:p>
    <w:p w:rsidR="00051BDB" w:rsidRDefault="00051BDB" w:rsidP="00051BDB">
      <w:pPr>
        <w:pStyle w:val="AERbulletlistfirststyle"/>
      </w:pPr>
      <w:r>
        <w:t>Frontier's model implies</w:t>
      </w:r>
      <w:r w:rsidRPr="00DA5EB5">
        <w:t xml:space="preserve"> </w:t>
      </w:r>
      <w:r>
        <w:t>34 per cent of AusGrid's opex would be allocated to these assets</w:t>
      </w:r>
      <w:r>
        <w:rPr>
          <w:rStyle w:val="FootnoteReference"/>
        </w:rPr>
        <w:t xml:space="preserve"> </w:t>
      </w:r>
      <w:r>
        <w:rPr>
          <w:rStyle w:val="FootnoteReference"/>
        </w:rPr>
        <w:footnoteReference w:id="323"/>
      </w:r>
      <w:r>
        <w:t xml:space="preserve"> </w:t>
      </w:r>
    </w:p>
    <w:p w:rsidR="00051BDB" w:rsidRDefault="00051BDB" w:rsidP="00051BDB">
      <w:pPr>
        <w:pStyle w:val="HeadingItalic"/>
      </w:pPr>
      <w:r>
        <w:t>Incorrect output specification</w:t>
      </w:r>
    </w:p>
    <w:p w:rsidR="00051BDB" w:rsidRDefault="00051BDB" w:rsidP="00051BDB">
      <w:r>
        <w:t xml:space="preserve">We consider that a number of the alternative models have an incomplete output specification. For instance, CEPA develops a benchmarking model with only one </w:t>
      </w:r>
      <w:r>
        <w:lastRenderedPageBreak/>
        <w:t>primary output.</w:t>
      </w:r>
      <w:r>
        <w:rPr>
          <w:rStyle w:val="FootnoteReference"/>
        </w:rPr>
        <w:footnoteReference w:id="324"/>
      </w:r>
      <w:r w:rsidRPr="00355954">
        <w:rPr>
          <w:rStyle w:val="FootnoteReference"/>
        </w:rPr>
        <w:t xml:space="preserve"> </w:t>
      </w:r>
      <w:r>
        <w:t>We consider that it is necessary to incorporate several output variables to adequately represent the functional outputs of service providers, and Economic Insights agrees.</w:t>
      </w:r>
      <w:r>
        <w:rPr>
          <w:rStyle w:val="FootnoteReference"/>
        </w:rPr>
        <w:footnoteReference w:id="325"/>
      </w:r>
      <w:r>
        <w:t xml:space="preserve"> </w:t>
      </w:r>
    </w:p>
    <w:p w:rsidR="00051BDB" w:rsidRDefault="00051BDB" w:rsidP="00051BDB">
      <w:r>
        <w:t>Huegin run a number of models using the outdated output specifications proposed by the AER and Economic Insights when consulting on the development of benchmarking models.</w:t>
      </w:r>
      <w:r>
        <w:rPr>
          <w:rStyle w:val="FootnoteReference"/>
        </w:rPr>
        <w:footnoteReference w:id="326"/>
      </w:r>
      <w:r>
        <w:t xml:space="preserve"> However, Huegin did not address the issues identified by Economic Insights when Economic Insights ran these specifications (like the multiplicative nature of the lines and transformer capacity variable).</w:t>
      </w:r>
      <w:r>
        <w:rPr>
          <w:rStyle w:val="FootnoteReference"/>
        </w:rPr>
        <w:footnoteReference w:id="327"/>
      </w:r>
      <w:r>
        <w:t xml:space="preserve"> These concerns were set out in the memorandum Economic Insights developed on its MTFP benchmarking.</w:t>
      </w:r>
      <w:r>
        <w:rPr>
          <w:rStyle w:val="FootnoteReference"/>
        </w:rPr>
        <w:footnoteReference w:id="328"/>
      </w:r>
      <w:r>
        <w:t xml:space="preserve"> </w:t>
      </w:r>
      <w:r w:rsidRPr="00AC6220">
        <w:t>We consider</w:t>
      </w:r>
      <w:r>
        <w:t xml:space="preserve"> that these</w:t>
      </w:r>
      <w:r w:rsidRPr="00AC6220">
        <w:t xml:space="preserve"> alternative </w:t>
      </w:r>
      <w:r>
        <w:t>output</w:t>
      </w:r>
      <w:r w:rsidRPr="00AC6220">
        <w:t xml:space="preserve"> specifications </w:t>
      </w:r>
      <w:r>
        <w:t>have been superseded and Economic Insights agrees</w:t>
      </w:r>
      <w:r w:rsidRPr="00AC6220">
        <w:t>.</w:t>
      </w:r>
      <w:r>
        <w:rPr>
          <w:rStyle w:val="FootnoteReference"/>
        </w:rPr>
        <w:footnoteReference w:id="329"/>
      </w:r>
    </w:p>
    <w:p w:rsidR="00051BDB" w:rsidRDefault="00051BDB" w:rsidP="00051BDB">
      <w:pPr>
        <w:pStyle w:val="HeadingItalic"/>
      </w:pPr>
      <w:r>
        <w:t>Incorrect input specification</w:t>
      </w:r>
    </w:p>
    <w:p w:rsidR="00051BDB" w:rsidRDefault="00051BDB" w:rsidP="00051BDB">
      <w:r>
        <w:t>In a number of instances we have identified issues with the approach taken to incorporate inputs into alternative benchmarking models. We detail these below.</w:t>
      </w:r>
    </w:p>
    <w:p w:rsidR="00051BDB" w:rsidRDefault="00051BDB" w:rsidP="00051BDB">
      <w:r>
        <w:t>Synergies applies a DEA model with three inputs: opex, MVA of transformer capacity and the user cost of capital of distribution lines (the value used to weight capital inputs under Economic Insights' benchmarking model).</w:t>
      </w:r>
      <w:r>
        <w:rPr>
          <w:rStyle w:val="FootnoteReference"/>
        </w:rPr>
        <w:footnoteReference w:id="330"/>
      </w:r>
      <w:r>
        <w:t xml:space="preserve"> We consider that the addition of the user cost of capital of distribution lines means that the modelling cannot be used to draw conclusions in regards to opex efficiency.</w:t>
      </w:r>
      <w:r>
        <w:rPr>
          <w:rStyle w:val="FootnoteReference"/>
        </w:rPr>
        <w:footnoteReference w:id="331"/>
      </w:r>
      <w:r>
        <w:t xml:space="preserve"> </w:t>
      </w:r>
    </w:p>
    <w:p w:rsidR="00051BDB" w:rsidRDefault="00051BDB" w:rsidP="00051BDB">
      <w:r>
        <w:t>McKell's model only models a subset of opex, composed of m</w:t>
      </w:r>
      <w:r w:rsidRPr="00406742">
        <w:t>aintenance, repair, inspection, vegetation management</w:t>
      </w:r>
      <w:r>
        <w:t xml:space="preserve"> and similar 'upkeep' costs.</w:t>
      </w:r>
      <w:r>
        <w:rPr>
          <w:rStyle w:val="FootnoteReference"/>
        </w:rPr>
        <w:footnoteReference w:id="332"/>
      </w:r>
      <w:r>
        <w:t xml:space="preserve"> The upkeep costs exclude overhead costs.</w:t>
      </w:r>
      <w:r>
        <w:rPr>
          <w:rStyle w:val="FootnoteReference"/>
        </w:rPr>
        <w:footnoteReference w:id="333"/>
      </w:r>
      <w:r>
        <w:t xml:space="preserve"> These are a significant proportion of service provider costs. Because costs are excluded from McKell's model it does not measure the efficiency total opex (which also includes overhead costs and service provider operating costs). We prefer Economic Insights' benchmarking modelling because it estimates total opex.</w:t>
      </w:r>
      <w:r>
        <w:rPr>
          <w:rStyle w:val="FootnoteReference"/>
        </w:rPr>
        <w:footnoteReference w:id="334"/>
      </w:r>
      <w:r>
        <w:t xml:space="preserve"> We note that the Energy Supply Association of Australia also notes this limitation of McKell's analysis.</w:t>
      </w:r>
      <w:r>
        <w:rPr>
          <w:rStyle w:val="FootnoteReference"/>
        </w:rPr>
        <w:footnoteReference w:id="335"/>
      </w:r>
    </w:p>
    <w:p w:rsidR="00051BDB" w:rsidRDefault="00051BDB" w:rsidP="00051BDB">
      <w:r w:rsidRPr="00826323">
        <w:lastRenderedPageBreak/>
        <w:t>PEG</w:t>
      </w:r>
      <w:r>
        <w:t xml:space="preserve"> submits that it is necessary to levelise opex prices across service providers.</w:t>
      </w:r>
      <w:r>
        <w:rPr>
          <w:rStyle w:val="FootnoteReference"/>
        </w:rPr>
        <w:footnoteReference w:id="336"/>
      </w:r>
      <w:r w:rsidRPr="00826323">
        <w:t xml:space="preserve"> By ‘levelising’ prices</w:t>
      </w:r>
      <w:r>
        <w:t>,</w:t>
      </w:r>
      <w:r w:rsidRPr="00826323">
        <w:t xml:space="preserve"> PEG means </w:t>
      </w:r>
      <w:r>
        <w:t xml:space="preserve">that we should not use </w:t>
      </w:r>
      <w:r w:rsidRPr="00826323">
        <w:t>a common opex price index</w:t>
      </w:r>
      <w:r>
        <w:t xml:space="preserve">. Instead, PEG submits that we should make allowance </w:t>
      </w:r>
      <w:r w:rsidRPr="00826323">
        <w:t xml:space="preserve">for possible different price levels across </w:t>
      </w:r>
      <w:r>
        <w:t>service providers</w:t>
      </w:r>
      <w:r w:rsidRPr="00826323">
        <w:t>.</w:t>
      </w:r>
      <w:r>
        <w:rPr>
          <w:rStyle w:val="FootnoteReference"/>
        </w:rPr>
        <w:footnoteReference w:id="337"/>
      </w:r>
      <w:r>
        <w:t xml:space="preserve"> </w:t>
      </w:r>
    </w:p>
    <w:p w:rsidR="00051BDB" w:rsidRDefault="00051BDB" w:rsidP="00051BDB">
      <w:r>
        <w:t>Economic Insights explains that</w:t>
      </w:r>
      <w:r w:rsidRPr="00826323">
        <w:t xml:space="preserve"> assuming a common annual opex price level and growth rate across </w:t>
      </w:r>
      <w:r>
        <w:t>service providers</w:t>
      </w:r>
      <w:r w:rsidRPr="00826323">
        <w:t xml:space="preserve"> provides a more</w:t>
      </w:r>
      <w:r>
        <w:t xml:space="preserve"> accurate and unbiased approach. This is because </w:t>
      </w:r>
      <w:r w:rsidRPr="008C1C1E">
        <w:t xml:space="preserve">the mining boom in Australia has </w:t>
      </w:r>
      <w:r>
        <w:t>led to a</w:t>
      </w:r>
      <w:r w:rsidRPr="008C1C1E">
        <w:t xml:space="preserve"> high demand for field staff of the type employed by </w:t>
      </w:r>
      <w:r>
        <w:t>service providers</w:t>
      </w:r>
      <w:r w:rsidRPr="008C1C1E">
        <w:t xml:space="preserve"> right across Australia over the last several years</w:t>
      </w:r>
      <w:r w:rsidRPr="00826323">
        <w:t>.</w:t>
      </w:r>
      <w:r>
        <w:t xml:space="preserve"> </w:t>
      </w:r>
      <w:r w:rsidRPr="009B39B6">
        <w:t>This has had the effect of greatly reducing any pre–existing labour price differences for field staff across the country.</w:t>
      </w:r>
      <w:r w:rsidRPr="00756C5B">
        <w:rPr>
          <w:rStyle w:val="FootnoteReference"/>
        </w:rPr>
        <w:t xml:space="preserve"> </w:t>
      </w:r>
      <w:r>
        <w:rPr>
          <w:rStyle w:val="FootnoteReference"/>
        </w:rPr>
        <w:footnoteReference w:id="338"/>
      </w:r>
      <w:r>
        <w:t xml:space="preserve"> </w:t>
      </w:r>
    </w:p>
    <w:p w:rsidR="00051BDB" w:rsidRDefault="00051BDB" w:rsidP="00051BDB">
      <w:bookmarkStart w:id="175" w:name="_Toc415230982"/>
      <w:r>
        <w:t xml:space="preserve">Economic Insights also observes that there is inadequate information to levelise Australian service provider opex prices and that </w:t>
      </w:r>
      <w:r w:rsidRPr="00C50C23">
        <w:t xml:space="preserve">PEG’s attempts to introduce differences in opex price levels and price growth rates across </w:t>
      </w:r>
      <w:r w:rsidR="00AC227C">
        <w:t>distributors</w:t>
      </w:r>
      <w:r w:rsidR="00AC227C" w:rsidRPr="00C50C23">
        <w:t xml:space="preserve"> </w:t>
      </w:r>
      <w:r w:rsidRPr="00C50C23">
        <w:t xml:space="preserve">is likely to </w:t>
      </w:r>
      <w:r>
        <w:t>create errors.</w:t>
      </w:r>
      <w:r>
        <w:rPr>
          <w:rStyle w:val="FootnoteReference"/>
        </w:rPr>
        <w:footnoteReference w:id="339"/>
      </w:r>
    </w:p>
    <w:p w:rsidR="00051BDB" w:rsidRDefault="00051BDB" w:rsidP="00051BDB">
      <w:pPr>
        <w:pStyle w:val="HeadingBoldBlue"/>
      </w:pPr>
      <w:r w:rsidRPr="00210F0E">
        <w:t>Data</w:t>
      </w:r>
      <w:bookmarkEnd w:id="175"/>
    </w:p>
    <w:p w:rsidR="00051BDB" w:rsidRPr="00210F0E" w:rsidRDefault="00051BDB" w:rsidP="00051BDB">
      <w:r>
        <w:t>In this sub-section we explain, in response to the service providers' criticisms, why our data is robust, reliable and used appropriately. First, we explain why we have used international data and our approach to incorporating it. In doing so, we address the approaches proposed by the service providers. Second, we emphasise the comparability of the data we have used. Third, we respond to the service providers' submissions on the quality of the data. Finally, we explain why our approach to conducting post-modelling adjustments is preferable to alternatives put forward by the service providers.</w:t>
      </w:r>
    </w:p>
    <w:p w:rsidR="00051BDB" w:rsidRDefault="00051BDB" w:rsidP="00051BDB">
      <w:pPr>
        <w:pStyle w:val="HeadingBoldItalic"/>
      </w:pPr>
      <w:r w:rsidRPr="00210F0E">
        <w:t>International data</w:t>
      </w:r>
    </w:p>
    <w:p w:rsidR="00051BDB" w:rsidRDefault="00051BDB" w:rsidP="00051BDB">
      <w:r>
        <w:t>We explained in our draft decision that Economic Insights included international data in the econometric models. Specifically, Economic Insights used databases of service providers from New Zealand and Ontario.</w:t>
      </w:r>
      <w:r>
        <w:rPr>
          <w:rStyle w:val="FootnoteReference"/>
        </w:rPr>
        <w:footnoteReference w:id="340"/>
      </w:r>
      <w:r>
        <w:t xml:space="preserve"> Economic Insights also investigated including data from the US but decided against doing so. This was due to the US data not being of consistent quality, incorporating data from vertically integrated monopolies (which introduces cost allocation issues) and lacking consistent data on variables such as line length and maximum demand.</w:t>
      </w:r>
      <w:r>
        <w:rPr>
          <w:rStyle w:val="FootnoteReference"/>
        </w:rPr>
        <w:footnoteReference w:id="341"/>
      </w:r>
      <w:r>
        <w:t xml:space="preserve"> </w:t>
      </w:r>
    </w:p>
    <w:p w:rsidR="00051BDB" w:rsidRDefault="00051BDB" w:rsidP="00051BDB">
      <w:r>
        <w:t>In response to our draft decision, the service providers and their consultants raised several concerns with Economic Insights' inclusion of international data including:</w:t>
      </w:r>
    </w:p>
    <w:p w:rsidR="00051BDB" w:rsidRDefault="00051BDB" w:rsidP="00051BDB">
      <w:pPr>
        <w:pStyle w:val="AERbulletlistfirststyle"/>
      </w:pPr>
      <w:r>
        <w:lastRenderedPageBreak/>
        <w:t>the model is heavily reliant on overseas data</w:t>
      </w:r>
    </w:p>
    <w:p w:rsidR="00051BDB" w:rsidRDefault="00051BDB" w:rsidP="00051BDB">
      <w:pPr>
        <w:pStyle w:val="AERbulletlistfirststyle"/>
      </w:pPr>
      <w:r>
        <w:t>overseas data is not comparable with Australian data</w:t>
      </w:r>
    </w:p>
    <w:p w:rsidR="00051BDB" w:rsidRDefault="00051BDB" w:rsidP="00051BDB">
      <w:pPr>
        <w:pStyle w:val="AERbulletlistfirststyle"/>
      </w:pPr>
      <w:r>
        <w:t>Economic Insights does not adequately account for differences between countries</w:t>
      </w:r>
    </w:p>
    <w:p w:rsidR="00051BDB" w:rsidRDefault="00051BDB" w:rsidP="00051BDB">
      <w:pPr>
        <w:pStyle w:val="AERbulletlistfirststyle"/>
      </w:pPr>
      <w:r>
        <w:t>Economic Insights' data contains errors.</w:t>
      </w:r>
    </w:p>
    <w:p w:rsidR="00051BDB" w:rsidRDefault="00051BDB" w:rsidP="00051BDB">
      <w:r>
        <w:t>The first three issues appear to be based on a misunderstanding of how Economic Insights has used the international data. The concerns with data quality are also misplaced. Economic Insights discusses international data in detail in its report in section 3.1. We highlight the key responses below.</w:t>
      </w:r>
    </w:p>
    <w:p w:rsidR="00051BDB" w:rsidRDefault="00051BDB" w:rsidP="00051BDB">
      <w:pPr>
        <w:pStyle w:val="HeadingItalic"/>
      </w:pPr>
      <w:r>
        <w:t>Rationale for including international data</w:t>
      </w:r>
    </w:p>
    <w:p w:rsidR="00051BDB" w:rsidRDefault="00051BDB" w:rsidP="00051BDB">
      <w:r>
        <w:t>As set out in the draft decision, the rationale for Economic Insights incorporating international data into its econometric modelling is not to undertake international benchmarking.</w:t>
      </w:r>
      <w:r>
        <w:rPr>
          <w:rStyle w:val="FootnoteReference"/>
        </w:rPr>
        <w:footnoteReference w:id="342"/>
      </w:r>
      <w:r>
        <w:t xml:space="preserve"> Rather, by including these extra data in the sample, Economic Insights can improve the precision of the results for the Australian service providers. </w:t>
      </w:r>
    </w:p>
    <w:p w:rsidR="00051BDB" w:rsidRDefault="00051BDB" w:rsidP="00051BDB">
      <w:r>
        <w:t>It is necessary to include international data because while the Australian database is robust and reliable for economic benchmarking, it is small. In particular, it shows little time-series variability—a common situation in utilities benchmarking.</w:t>
      </w:r>
      <w:r>
        <w:rPr>
          <w:rStyle w:val="FootnoteReference"/>
        </w:rPr>
        <w:footnoteReference w:id="343"/>
      </w:r>
      <w:r>
        <w:t xml:space="preserve"> Unlike index-based techniques such as MTFP and MPFP, econometric cost functions require a large number of observations to produce robust results.</w:t>
      </w:r>
      <w:r>
        <w:rPr>
          <w:rStyle w:val="FootnoteReference"/>
        </w:rPr>
        <w:footnoteReference w:id="344"/>
      </w:r>
    </w:p>
    <w:p w:rsidR="00051BDB" w:rsidRDefault="00051BDB" w:rsidP="00051BDB">
      <w:r>
        <w:t>Consequently, as Economic Insights explained in its draft decision report, econometric analysis using the Australian-only data set did not produce sufficiently stable results:</w:t>
      </w:r>
      <w:r>
        <w:rPr>
          <w:rStyle w:val="FootnoteReference"/>
        </w:rPr>
        <w:footnoteReference w:id="345"/>
      </w:r>
    </w:p>
    <w:p w:rsidR="00051BDB" w:rsidRDefault="00051BDB" w:rsidP="00051BDB">
      <w:pPr>
        <w:pStyle w:val="AERquoteindent1"/>
      </w:pPr>
      <w:r w:rsidRPr="003301F2">
        <w:t>After a careful analysis of the economic benchmarking RIN data we concluded that there was</w:t>
      </w:r>
      <w:r>
        <w:t xml:space="preserve"> </w:t>
      </w:r>
      <w:r w:rsidRPr="003301F2">
        <w:t>insufficient variation in the data set to allow us to reliably estimate even a simple version of</w:t>
      </w:r>
      <w:r>
        <w:t xml:space="preserve"> </w:t>
      </w:r>
      <w:r w:rsidRPr="003301F2">
        <w:t>an opex cost function model</w:t>
      </w:r>
      <w:r>
        <w:t xml:space="preserve">…the </w:t>
      </w:r>
      <w:r w:rsidRPr="003301F2">
        <w:t>time series pattern of the data is quite similar across the 13 DNSPs. Hence, in this case, there is little additional data variation supplied by moving from a cross–sectional data set of 13 observations to a panel data set of 104 observations. As a consequence we are essentially trying to use a data set with 13 observations to estimate a complex econometric model. The ‘implicit’ degrees of freedom are near zero or even negative in some cases, producing model estimates that are relatively unstable and unreliable.</w:t>
      </w:r>
    </w:p>
    <w:p w:rsidR="00051BDB" w:rsidRPr="00FD4DBC" w:rsidRDefault="00051BDB" w:rsidP="00051BDB">
      <w:r>
        <w:t>The lack of time-series</w:t>
      </w:r>
      <w:r w:rsidRPr="00FD4DBC">
        <w:t xml:space="preserve"> variation in the </w:t>
      </w:r>
      <w:r>
        <w:t>Australian data</w:t>
      </w:r>
      <w:r w:rsidRPr="00FD4DBC">
        <w:t xml:space="preserve">set has </w:t>
      </w:r>
      <w:r>
        <w:t xml:space="preserve">also </w:t>
      </w:r>
      <w:r w:rsidRPr="00FD4DBC">
        <w:t xml:space="preserve">affected </w:t>
      </w:r>
      <w:r>
        <w:t>some</w:t>
      </w:r>
      <w:r w:rsidRPr="00FD4DBC">
        <w:t xml:space="preserve"> models developed by </w:t>
      </w:r>
      <w:r>
        <w:t>the service providers'</w:t>
      </w:r>
      <w:r w:rsidRPr="00FD4DBC">
        <w:t xml:space="preserve"> consultants. CEPA</w:t>
      </w:r>
      <w:r>
        <w:t>, for example,</w:t>
      </w:r>
      <w:r w:rsidRPr="00FD4DBC">
        <w:t xml:space="preserve"> acknowledge that </w:t>
      </w:r>
      <w:r>
        <w:t>it was</w:t>
      </w:r>
      <w:r w:rsidRPr="00FD4DBC">
        <w:t xml:space="preserve"> unable to</w:t>
      </w:r>
      <w:r>
        <w:t xml:space="preserve"> accurately</w:t>
      </w:r>
      <w:r w:rsidRPr="00FD4DBC">
        <w:t xml:space="preserve"> estimate SFA models robust</w:t>
      </w:r>
      <w:r>
        <w:t>ly</w:t>
      </w:r>
      <w:r w:rsidRPr="00FD4DBC">
        <w:t xml:space="preserve"> and consistent</w:t>
      </w:r>
      <w:r>
        <w:t>ly</w:t>
      </w:r>
      <w:r w:rsidRPr="00FD4DBC">
        <w:t xml:space="preserve"> using th</w:t>
      </w:r>
      <w:r>
        <w:t>e Australian only data.</w:t>
      </w:r>
      <w:r>
        <w:rPr>
          <w:rStyle w:val="FootnoteReference"/>
        </w:rPr>
        <w:footnoteReference w:id="346"/>
      </w:r>
    </w:p>
    <w:p w:rsidR="00051BDB" w:rsidRDefault="00051BDB" w:rsidP="00051BDB">
      <w:r>
        <w:lastRenderedPageBreak/>
        <w:t>Therefore</w:t>
      </w:r>
      <w:r w:rsidRPr="00FD4DBC">
        <w:t xml:space="preserve">, to </w:t>
      </w:r>
      <w:r>
        <w:t>robustly</w:t>
      </w:r>
      <w:r w:rsidRPr="00FD4DBC">
        <w:t xml:space="preserve"> estimate the relationship between opex and outputs</w:t>
      </w:r>
      <w:r>
        <w:t xml:space="preserve"> using an econometric opex cost function,</w:t>
      </w:r>
      <w:r w:rsidRPr="00FD4DBC">
        <w:t xml:space="preserve"> </w:t>
      </w:r>
      <w:r>
        <w:t>additional cross-sectional data—that is, more service providers—provides a means of increasing the number of observations. This is an approach PEG agrees with and has indeed undertaken.</w:t>
      </w:r>
      <w:r>
        <w:rPr>
          <w:rStyle w:val="FootnoteReference"/>
        </w:rPr>
        <w:footnoteReference w:id="347"/>
      </w:r>
      <w:r>
        <w:t xml:space="preserve"> Economic Insights concluded:</w:t>
      </w:r>
      <w:r>
        <w:rPr>
          <w:rStyle w:val="FootnoteReference"/>
        </w:rPr>
        <w:footnoteReference w:id="348"/>
      </w:r>
    </w:p>
    <w:p w:rsidR="00051BDB" w:rsidRDefault="00051BDB" w:rsidP="00051BDB">
      <w:pPr>
        <w:pStyle w:val="AERquoteindent1"/>
      </w:pPr>
      <w:r>
        <w:t>…</w:t>
      </w:r>
      <w:r w:rsidRPr="008D4054">
        <w:t xml:space="preserve">to obtain robust and reliable results from an econometric opex cost function analysis we needed to look to add additional cross sectional observations which meant drawing on overseas </w:t>
      </w:r>
      <w:r w:rsidRPr="00F15E80">
        <w:t>data, provided largely comparable DNSP data were available</w:t>
      </w:r>
      <w:r>
        <w:t>.</w:t>
      </w:r>
    </w:p>
    <w:p w:rsidR="00051BDB" w:rsidRPr="006B468A" w:rsidRDefault="00051BDB" w:rsidP="00051BDB">
      <w:pPr>
        <w:rPr>
          <w:rStyle w:val="AERtexthighlight"/>
        </w:rPr>
      </w:pPr>
      <w:r>
        <w:t>By including the NZ and Ontario data, Economic Insights produced econometric results with significantly more accurate parameter estimates. Accurate parameter estimates are essential because they enable</w:t>
      </w:r>
      <w:r w:rsidRPr="00357786">
        <w:t xml:space="preserve"> more robust opex efficiency comparisons among the Australian DNSPs</w:t>
      </w:r>
      <w:r w:rsidRPr="00B865F4">
        <w:t>.</w:t>
      </w:r>
      <w:r w:rsidRPr="000F18D4">
        <w:rPr>
          <w:rStyle w:val="FootnoteReference"/>
        </w:rPr>
        <w:footnoteReference w:id="349"/>
      </w:r>
      <w:r w:rsidRPr="00B865F4">
        <w:t xml:space="preserve"> </w:t>
      </w:r>
      <w:r w:rsidRPr="00886CBD">
        <w:t xml:space="preserve">Further, they are </w:t>
      </w:r>
      <w:r>
        <w:t>important</w:t>
      </w:r>
      <w:r w:rsidRPr="00886CBD">
        <w:t xml:space="preserve"> given the results are applied to our trending to forecast output changes and productivity changes. Parameter estimates must be accurate to account for the effect of forecast output change on opex.</w:t>
      </w:r>
      <w:r>
        <w:t xml:space="preserve"> More precise parameter estimates allow more accurate accounting for output change in forecasts of future opex productivity.</w:t>
      </w:r>
      <w:r>
        <w:rPr>
          <w:rStyle w:val="FootnoteReference"/>
        </w:rPr>
        <w:footnoteReference w:id="350"/>
      </w:r>
    </w:p>
    <w:p w:rsidR="00051BDB" w:rsidRDefault="00051BDB" w:rsidP="00051BDB">
      <w:r>
        <w:t>Importantly, the efficiency rankings produced by the SFA model with Australian-only data are</w:t>
      </w:r>
      <w:r w:rsidRPr="004C05DC">
        <w:rPr>
          <w:rStyle w:val="AERbody"/>
        </w:rPr>
        <w:t xml:space="preserve"> </w:t>
      </w:r>
      <w:r>
        <w:rPr>
          <w:rStyle w:val="AERbody"/>
        </w:rPr>
        <w:t>consistent with</w:t>
      </w:r>
      <w:r w:rsidRPr="004C05DC">
        <w:rPr>
          <w:rStyle w:val="AERbody"/>
        </w:rPr>
        <w:t xml:space="preserve"> the rankings</w:t>
      </w:r>
      <w:r>
        <w:t xml:space="preserve"> produced by the three-country database. This demonstrates that rather than influencing the results, the international data simply </w:t>
      </w:r>
      <w:r w:rsidR="00966D46">
        <w:t>increase</w:t>
      </w:r>
      <w:r>
        <w:t xml:space="preserve"> our confidence in the results.</w:t>
      </w:r>
      <w:r>
        <w:rPr>
          <w:rStyle w:val="FootnoteReference"/>
        </w:rPr>
        <w:footnoteReference w:id="351"/>
      </w:r>
      <w:r>
        <w:t xml:space="preserve"> </w:t>
      </w:r>
    </w:p>
    <w:p w:rsidR="00051BDB" w:rsidRDefault="00051BDB" w:rsidP="00051BDB">
      <w:r>
        <w:t xml:space="preserve">The similarity in Australian service provider rankings using both approaches is evident from </w:t>
      </w:r>
      <w:r w:rsidRPr="00B865F4">
        <w:t>Figure A.1</w:t>
      </w:r>
      <w:r>
        <w:t>, which we discuss below in 'Efficiency results'. It is, therefore, misleading for the service providers to contend that the model is heavily reliant on overseas data.</w:t>
      </w:r>
    </w:p>
    <w:p w:rsidR="00051BDB" w:rsidRDefault="00051BDB" w:rsidP="00051BDB">
      <w:pPr>
        <w:pStyle w:val="HeadingItalic"/>
      </w:pPr>
      <w:r>
        <w:t>Approach to incorporating international data</w:t>
      </w:r>
    </w:p>
    <w:p w:rsidR="00051BDB" w:rsidRDefault="00051BDB" w:rsidP="00051BDB">
      <w:r>
        <w:t xml:space="preserve">The approach Economic Insights has taken to incorporate international data is to: </w:t>
      </w:r>
    </w:p>
    <w:p w:rsidR="00051BDB" w:rsidRDefault="00051BDB" w:rsidP="00051BDB">
      <w:pPr>
        <w:pStyle w:val="AERbulletlistfirststyle"/>
      </w:pPr>
      <w:r>
        <w:t>select purpose-built economic benchmarking databases used in recent regulatory decisions which have comparable and consistent data</w:t>
      </w:r>
    </w:p>
    <w:p w:rsidR="00051BDB" w:rsidRDefault="00051BDB" w:rsidP="00051BDB">
      <w:pPr>
        <w:pStyle w:val="AERbulletlistfirststyle"/>
      </w:pPr>
      <w:r>
        <w:t>explicitly account for jurisdictional differences where possible.</w:t>
      </w:r>
    </w:p>
    <w:p w:rsidR="00051BDB" w:rsidRDefault="00051BDB" w:rsidP="00051BDB">
      <w:r>
        <w:t>As we explain above, the purpose of this approach is to strengthen the confidence in the results rather than compare Australian service providers to international service providers. For this reason, many of the concerns raised by the service providers' consultants are misplaced.</w:t>
      </w:r>
    </w:p>
    <w:p w:rsidR="00051BDB" w:rsidRDefault="00051BDB" w:rsidP="00051BDB">
      <w:pPr>
        <w:pStyle w:val="HeadingOrange"/>
      </w:pPr>
      <w:r>
        <w:lastRenderedPageBreak/>
        <w:t>Purpose-built databases</w:t>
      </w:r>
    </w:p>
    <w:p w:rsidR="00051BDB" w:rsidRDefault="00051BDB" w:rsidP="00051BDB">
      <w:r>
        <w:t>Economic Insights has only used databases with a long history of productivity measurement and which the regulators of the respective jurisdictions have recently used in their determinations. Further, Economic Insights ensured the databases contain similar variable coverage.</w:t>
      </w:r>
      <w:r>
        <w:rPr>
          <w:rStyle w:val="FootnoteReference"/>
        </w:rPr>
        <w:footnoteReference w:id="352"/>
      </w:r>
      <w:r>
        <w:t xml:space="preserve"> </w:t>
      </w:r>
    </w:p>
    <w:p w:rsidR="00051BDB" w:rsidRDefault="00051BDB" w:rsidP="00051BDB">
      <w:r>
        <w:t>The New Zealand database, for example, is similar in construction to the Australian database and includes consistent data from 1996 to 2013. The NZCC has used productivity studies for regulatory determinations since 2003 with the most recent (2014) using a similar output and input specification to that used by Economic Insights for this determination.</w:t>
      </w:r>
      <w:r>
        <w:rPr>
          <w:rStyle w:val="FootnoteReference"/>
        </w:rPr>
        <w:footnoteReference w:id="353"/>
      </w:r>
    </w:p>
    <w:p w:rsidR="00051BDB" w:rsidRDefault="00051BDB" w:rsidP="00051BDB">
      <w:r>
        <w:t>Similarly, the Ontario database contains most of the same outputs as the Australian database and includes consistent data from 2002 to 2013. The OEB used this dataset in its most recent determination in 2013, following a study conducted by PEGR.</w:t>
      </w:r>
      <w:r>
        <w:rPr>
          <w:rStyle w:val="FootnoteReference"/>
        </w:rPr>
        <w:footnoteReference w:id="354"/>
      </w:r>
      <w:r>
        <w:t xml:space="preserve"> </w:t>
      </w:r>
    </w:p>
    <w:p w:rsidR="00051BDB" w:rsidRDefault="00051BDB" w:rsidP="00051BDB">
      <w:r>
        <w:t>Economic Insights was, therefore, satisfied that these two databases were appropriate candidates for inclusion. In contrast, upon examination of the US database prepared by PEG, Economic Insights was not satisfied that (among other things) it included enough of the key quantity variables that are fundamental to productivity measurement. Accordingly, Economic Insights did not use this database.</w:t>
      </w:r>
      <w:r>
        <w:rPr>
          <w:rStyle w:val="FootnoteReference"/>
        </w:rPr>
        <w:footnoteReference w:id="355"/>
      </w:r>
    </w:p>
    <w:p w:rsidR="00051BDB" w:rsidRDefault="00051BDB" w:rsidP="00051BDB">
      <w:r>
        <w:t>Economic Insights observes that the NZCC and OEB undertook testing and validation of the international databases such that they were comfortable with relying on them for benchmarking in their regulatory determinations. The views of Huegin and Frontier Economics that the data contains errors or that Economic Insights has failed to apply due diligence to the data</w:t>
      </w:r>
      <w:r>
        <w:rPr>
          <w:rStyle w:val="FootnoteReference"/>
        </w:rPr>
        <w:footnoteReference w:id="356"/>
      </w:r>
      <w:r>
        <w:t xml:space="preserve"> are, therefore, not convincing.</w:t>
      </w:r>
    </w:p>
    <w:p w:rsidR="00051BDB" w:rsidRDefault="00051BDB" w:rsidP="00051BDB">
      <w:pPr>
        <w:pStyle w:val="HeadingOrange"/>
      </w:pPr>
      <w:r>
        <w:t>Accounting for differences</w:t>
      </w:r>
    </w:p>
    <w:p w:rsidR="00051BDB" w:rsidRDefault="00051BDB" w:rsidP="00051BDB">
      <w:r>
        <w:t>Economic Insights was explicit in identifying differences between the New Zealand and Ontario databases and the Australian database. In particular, Economic Insights made adjustments for:</w:t>
      </w:r>
      <w:r>
        <w:rPr>
          <w:rStyle w:val="FootnoteReference"/>
        </w:rPr>
        <w:footnoteReference w:id="357"/>
      </w:r>
    </w:p>
    <w:p w:rsidR="00051BDB" w:rsidRDefault="00051BDB" w:rsidP="00051BDB">
      <w:pPr>
        <w:pStyle w:val="AERbulletlistfirststyle"/>
      </w:pPr>
      <w:r>
        <w:t>differences in the composition of the international databases by choosing a dataset that balanced the number of small service providers with the number of possible observations</w:t>
      </w:r>
    </w:p>
    <w:p w:rsidR="00051BDB" w:rsidRDefault="00051BDB" w:rsidP="00051BDB">
      <w:pPr>
        <w:pStyle w:val="AERbulletlistfirststyle"/>
      </w:pPr>
      <w:r w:rsidRPr="001A02E3">
        <w:t>possible cross</w:t>
      </w:r>
      <w:r>
        <w:t>-</w:t>
      </w:r>
      <w:r w:rsidRPr="001A02E3">
        <w:t>country differences</w:t>
      </w:r>
      <w:r>
        <w:t xml:space="preserve"> and </w:t>
      </w:r>
      <w:r w:rsidRPr="001A02E3">
        <w:t xml:space="preserve">inconsistencies in accounting definitions, price measures, regulatory and physical operating environments </w:t>
      </w:r>
      <w:r>
        <w:t>(such as the impact of harsher winter conditions in Ontario) by using country dummy variables.</w:t>
      </w:r>
    </w:p>
    <w:p w:rsidR="00051BDB" w:rsidRDefault="00051BDB" w:rsidP="00051BDB">
      <w:r>
        <w:lastRenderedPageBreak/>
        <w:t xml:space="preserve">Limitations in the Ontario database meant Economic Insights included one operating environment variable and no capital input variable. However, </w:t>
      </w:r>
      <w:r w:rsidRPr="00E55FDC">
        <w:t xml:space="preserve">Economic Insights </w:t>
      </w:r>
      <w:r>
        <w:t>was satisfied that these omissions would</w:t>
      </w:r>
      <w:r w:rsidRPr="00E55FDC">
        <w:t xml:space="preserve"> unlikely </w:t>
      </w:r>
      <w:r>
        <w:t>significantly influence</w:t>
      </w:r>
      <w:r w:rsidRPr="00E55FDC">
        <w:t xml:space="preserve"> the results.</w:t>
      </w:r>
      <w:r w:rsidRPr="00E55FDC">
        <w:rPr>
          <w:rStyle w:val="FootnoteReference"/>
        </w:rPr>
        <w:footnoteReference w:id="358"/>
      </w:r>
      <w:r>
        <w:t xml:space="preserve"> Subsequent testing of significance levels and monotonicity properties by Economic Insights revealed this to be the case in the three models used in our decision.</w:t>
      </w:r>
      <w:r>
        <w:rPr>
          <w:rStyle w:val="FootnoteReference"/>
        </w:rPr>
        <w:footnoteReference w:id="359"/>
      </w:r>
    </w:p>
    <w:p w:rsidR="00051BDB" w:rsidRDefault="00051BDB" w:rsidP="00051BDB">
      <w:r>
        <w:t>Despite this approach, one of the key concerns raised by the service providers' consultants is that Economic Insights does not appropriately account for differences between countries. In particular, they do not agree that the dummy variables are adequate.</w:t>
      </w:r>
      <w:r>
        <w:rPr>
          <w:rStyle w:val="FootnoteReference"/>
        </w:rPr>
        <w:footnoteReference w:id="360"/>
      </w:r>
    </w:p>
    <w:p w:rsidR="00051BDB" w:rsidRDefault="00051BDB" w:rsidP="00051BDB">
      <w:r>
        <w:t>CEPA agrees that the dummy variables control for level differences between databases but considers they do not account for cost relationship differences.</w:t>
      </w:r>
      <w:r>
        <w:rPr>
          <w:rStyle w:val="FootnoteReference"/>
        </w:rPr>
        <w:footnoteReference w:id="361"/>
      </w:r>
      <w:r>
        <w:t xml:space="preserve"> Similarly, Frontier Economics and PEG submit that </w:t>
      </w:r>
      <w:r w:rsidRPr="00E55FDC">
        <w:t xml:space="preserve">each </w:t>
      </w:r>
      <w:r>
        <w:t xml:space="preserve">service provider's </w:t>
      </w:r>
      <w:r w:rsidRPr="00E55FDC">
        <w:t>costs are influenced by factors not captured by the</w:t>
      </w:r>
      <w:r>
        <w:t xml:space="preserve"> </w:t>
      </w:r>
      <w:r w:rsidRPr="00E55FDC">
        <w:t xml:space="preserve">explanatory variables in </w:t>
      </w:r>
      <w:r>
        <w:t xml:space="preserve">Economic Insights' </w:t>
      </w:r>
      <w:r w:rsidRPr="00E55FDC">
        <w:t>model</w:t>
      </w:r>
      <w:r>
        <w:t>.</w:t>
      </w:r>
      <w:r>
        <w:rPr>
          <w:rStyle w:val="FootnoteReference"/>
        </w:rPr>
        <w:footnoteReference w:id="362"/>
      </w:r>
    </w:p>
    <w:p w:rsidR="00051BDB" w:rsidRDefault="00051BDB" w:rsidP="00051BDB">
      <w:r>
        <w:t>In response to this, Economic Insights considers for such differences to have a material impact on the model results, significant differences in the technology to distribute electricity would need to exist. Economic Insights notes the international service providers deliver the same services using poles, wires and transformers so it does not agree that such a fundamental difference exists.</w:t>
      </w:r>
      <w:r>
        <w:rPr>
          <w:rStyle w:val="FootnoteReference"/>
        </w:rPr>
        <w:footnoteReference w:id="363"/>
      </w:r>
      <w:r>
        <w:t xml:space="preserve"> Economic Insights is, therefore, confident that the dummy variables are robust and reasonable:</w:t>
      </w:r>
      <w:r>
        <w:rPr>
          <w:rStyle w:val="FootnoteReference"/>
        </w:rPr>
        <w:footnoteReference w:id="364"/>
      </w:r>
    </w:p>
    <w:p w:rsidR="00051BDB" w:rsidRDefault="00051BDB" w:rsidP="00051BDB">
      <w:pPr>
        <w:pStyle w:val="AERquoteindent1"/>
      </w:pPr>
      <w:r w:rsidRPr="00D34D2E">
        <w:t>Because our objective was not to undertake international benchmarking as such but, rather, to improve the precision of parameter estimates to facilitate opex efficiency measurement across the Australian DNSPs only, there is no need for the coverage of opex in each jurisdiction to be identical nor for operating environment conditions to be identical</w:t>
      </w:r>
      <w:r>
        <w:t>…</w:t>
      </w:r>
    </w:p>
    <w:p w:rsidR="00051BDB" w:rsidRDefault="00051BDB" w:rsidP="00051BDB">
      <w:pPr>
        <w:pStyle w:val="AERquoteindent1"/>
      </w:pPr>
      <w:r w:rsidRPr="00622571">
        <w:t>It is hence invalid to interpret the country dummy coefficients as differences in efficiency levels as FE has done or reflections of cost disadvantages as Synergies has done</w:t>
      </w:r>
      <w:r>
        <w:t>.</w:t>
      </w:r>
    </w:p>
    <w:p w:rsidR="00051BDB" w:rsidRPr="00E55FDC" w:rsidRDefault="00051BDB" w:rsidP="00051BDB">
      <w:r>
        <w:t xml:space="preserve">A detailed </w:t>
      </w:r>
      <w:r w:rsidRPr="004A441B">
        <w:rPr>
          <w:rStyle w:val="AERbody"/>
        </w:rPr>
        <w:t>discussion of Economic Insights' approach to incorporating international data is in section 3 of the</w:t>
      </w:r>
      <w:r>
        <w:t xml:space="preserve"> report attached to this decision.</w:t>
      </w:r>
    </w:p>
    <w:p w:rsidR="00051BDB" w:rsidRDefault="00051BDB" w:rsidP="00051BDB">
      <w:pPr>
        <w:pStyle w:val="HeadingItalic"/>
      </w:pPr>
      <w:r>
        <w:t>Inappropriate alternatives to Economic Insights' use of international data proposed by the service providers</w:t>
      </w:r>
    </w:p>
    <w:p w:rsidR="00051BDB" w:rsidRDefault="00051BDB" w:rsidP="00051BDB">
      <w:r>
        <w:lastRenderedPageBreak/>
        <w:t>Some of the service providers' consultants have proposed alternative approaches to using international data in the manner Economic Insights has. For example, PEG advocates using US data</w:t>
      </w:r>
      <w:r>
        <w:rPr>
          <w:rStyle w:val="FootnoteReference"/>
        </w:rPr>
        <w:footnoteReference w:id="365"/>
      </w:r>
      <w:r>
        <w:t xml:space="preserve"> and others, including Frontier Economics</w:t>
      </w:r>
      <w:r>
        <w:rPr>
          <w:rStyle w:val="FootnoteReference"/>
        </w:rPr>
        <w:footnoteReference w:id="366"/>
      </w:r>
      <w:r>
        <w:t xml:space="preserve"> and CEPA</w:t>
      </w:r>
      <w:r>
        <w:rPr>
          <w:rStyle w:val="FootnoteReference"/>
        </w:rPr>
        <w:footnoteReference w:id="367"/>
      </w:r>
      <w:r>
        <w:t xml:space="preserve"> suggest discarding the international data and relying only on Australian data.</w:t>
      </w:r>
    </w:p>
    <w:p w:rsidR="00051BDB" w:rsidRDefault="00051BDB" w:rsidP="00051BDB">
      <w:r>
        <w:t>As we explain above and Economic Insights addresses in its report, the US database is unusable because the lack of sufficient data fundamental to productivity measurement makes it inconsistent with the Australian database. The alternative of relying only on Australian data is also not feasible due to the lack of time-series variation that may lead to unstable results, which PEG and CEPA recognise.</w:t>
      </w:r>
      <w:r>
        <w:rPr>
          <w:rStyle w:val="FootnoteReference"/>
        </w:rPr>
        <w:footnoteReference w:id="368"/>
      </w:r>
    </w:p>
    <w:p w:rsidR="00051BDB" w:rsidRDefault="00051BDB" w:rsidP="00051BDB">
      <w:r>
        <w:t>Frontier Economics' 'strong' recommendation that we completely discard Economic Insights' model is also not feasible given the NER requirements that we conduct benchmarking.</w:t>
      </w:r>
      <w:r>
        <w:rPr>
          <w:rStyle w:val="FootnoteReference"/>
        </w:rPr>
        <w:footnoteReference w:id="369"/>
      </w:r>
      <w:r>
        <w:t xml:space="preserve"> Further, for the reasons outlined in this report, we consider that Economic Insights' data and modelling is robust.</w:t>
      </w:r>
    </w:p>
    <w:p w:rsidR="00051BDB" w:rsidRDefault="00051BDB" w:rsidP="00051BDB">
      <w:pPr>
        <w:pStyle w:val="HeadingBoldItalic"/>
      </w:pPr>
      <w:r w:rsidRPr="006746B6">
        <w:t xml:space="preserve">Comparability of </w:t>
      </w:r>
      <w:r>
        <w:t>data</w:t>
      </w:r>
    </w:p>
    <w:p w:rsidR="00051BDB" w:rsidRDefault="00051BDB" w:rsidP="00051BDB">
      <w:r>
        <w:t xml:space="preserve">Our draft decision view was that the data we have relied on for economic benchmarking is robust, reliable and comparable. </w:t>
      </w:r>
    </w:p>
    <w:p w:rsidR="00051BDB" w:rsidRDefault="00051BDB" w:rsidP="00051BDB">
      <w:r>
        <w:t xml:space="preserve">We collected consistent data from all service providers using the same reporting requirements, following extensive consultation with the service providers and other stakeholders. The RIN requirements allowed some reporting flexibility, including the ability to estimate data if actual data were not available. However, the requirements and definitions were clear. Further, we required the RIN responses to be independently audited and also certified by the service providers' CEOs. Therefore, we were satisfied the data is sufficiently comparable across service providers. </w:t>
      </w:r>
    </w:p>
    <w:p w:rsidR="00051BDB" w:rsidRDefault="00051BDB" w:rsidP="00051BDB">
      <w:r>
        <w:t>In addition, on the recommendation of Economic Insights, our draft decision adjustments incorporated an allowance in favour of the service providers to allow for potential data and modelling issues:</w:t>
      </w:r>
      <w:r>
        <w:rPr>
          <w:rStyle w:val="FootnoteReference"/>
        </w:rPr>
        <w:footnoteReference w:id="370"/>
      </w:r>
    </w:p>
    <w:p w:rsidR="00051BDB" w:rsidRDefault="00051BDB" w:rsidP="00051BDB">
      <w:pPr>
        <w:pStyle w:val="AERquoteindent1"/>
      </w:pPr>
      <w:r>
        <w:t>[I]</w:t>
      </w:r>
      <w:r w:rsidRPr="00062F91">
        <w:t>t is prudent to adopt a conservative approach to choosing an appropriate benchmark for efficiency comparisons. Adopting a conservative approach allows for general limitations of the models with respect to the specification of outputs and inputs, data imperf</w:t>
      </w:r>
      <w:r>
        <w:t>ections and other uncertainties…</w:t>
      </w:r>
    </w:p>
    <w:p w:rsidR="00051BDB" w:rsidRDefault="00051BDB" w:rsidP="00051BDB">
      <w:pPr>
        <w:pStyle w:val="AERquoteindent1"/>
      </w:pPr>
      <w:r w:rsidRPr="00062F91">
        <w:t>Rather than adopt the frontier DNSP as the benchmark for efficiency comparisons, we are of the view that it would be prudent to instead adopt a weighted average of the efficiency scores in the top quartile of the efficiency score range</w:t>
      </w:r>
      <w:r>
        <w:t>…</w:t>
      </w:r>
      <w:r w:rsidRPr="00062F91">
        <w:t xml:space="preserve">This is equivalent to allowing an additional margin on the frontier </w:t>
      </w:r>
      <w:r w:rsidRPr="00062F91">
        <w:lastRenderedPageBreak/>
        <w:t>DNSP’s input use of 10 per cent in calculating the benchmark for the NSW/ACT DNSPs (0.95/1.1 = 0.86) and is thus a relatively generous allowance.</w:t>
      </w:r>
    </w:p>
    <w:p w:rsidR="00051BDB" w:rsidRDefault="00051BDB" w:rsidP="00051BDB">
      <w:r>
        <w:t>The service providers raised a number of concerns about the robustness of the Australian data and the comparability of service providers. In particular, submissions considered that:</w:t>
      </w:r>
    </w:p>
    <w:p w:rsidR="00051BDB" w:rsidRDefault="00051BDB" w:rsidP="00051BDB">
      <w:pPr>
        <w:pStyle w:val="AERbulletlistfirststyle"/>
      </w:pPr>
      <w:r>
        <w:t>Australian service providers are among the largest in the benchmarking sample, especially Essential Energy and Ergon Energy</w:t>
      </w:r>
      <w:r>
        <w:rPr>
          <w:rStyle w:val="FootnoteReference"/>
        </w:rPr>
        <w:footnoteReference w:id="371"/>
      </w:r>
    </w:p>
    <w:p w:rsidR="00051BDB" w:rsidRDefault="00051BDB" w:rsidP="00051BDB">
      <w:pPr>
        <w:pStyle w:val="AERbulletlistfirststyle"/>
      </w:pPr>
      <w:r>
        <w:t>many variables in the economic benchmarking RIN were not provided by service providers on a consistent basis</w:t>
      </w:r>
      <w:r>
        <w:rPr>
          <w:rStyle w:val="FootnoteReference"/>
        </w:rPr>
        <w:footnoteReference w:id="372"/>
      </w:r>
    </w:p>
    <w:p w:rsidR="00051BDB" w:rsidRDefault="00051BDB" w:rsidP="00051BDB">
      <w:pPr>
        <w:pStyle w:val="AERbulletlistfirststyle"/>
      </w:pPr>
      <w:r>
        <w:t>we have not taken into account certain differences between services providers, including related party arrangements.</w:t>
      </w:r>
      <w:r>
        <w:rPr>
          <w:rStyle w:val="FootnoteReference"/>
        </w:rPr>
        <w:footnoteReference w:id="373"/>
      </w:r>
    </w:p>
    <w:p w:rsidR="00051BDB" w:rsidRPr="00DA48D7" w:rsidRDefault="00051BDB" w:rsidP="00051BDB">
      <w:pPr>
        <w:pStyle w:val="HeadingItalic"/>
      </w:pPr>
      <w:r w:rsidRPr="00DA48D7">
        <w:t xml:space="preserve">Relative size of </w:t>
      </w:r>
      <w:r>
        <w:t>service providers</w:t>
      </w:r>
    </w:p>
    <w:p w:rsidR="00051BDB" w:rsidRDefault="00051BDB" w:rsidP="00051BDB">
      <w:r>
        <w:t xml:space="preserve">With reference to the appropriateness of international service providers, several </w:t>
      </w:r>
      <w:r w:rsidRPr="00DA48D7">
        <w:t xml:space="preserve">consultant reports </w:t>
      </w:r>
      <w:r>
        <w:t xml:space="preserve">consider </w:t>
      </w:r>
      <w:r w:rsidRPr="00DA48D7">
        <w:t>that the Australian service providers</w:t>
      </w:r>
      <w:r>
        <w:t xml:space="preserve"> </w:t>
      </w:r>
      <w:r w:rsidRPr="00DA48D7">
        <w:t xml:space="preserve">are </w:t>
      </w:r>
      <w:r>
        <w:t>disadvantaged because they have some of the longes</w:t>
      </w:r>
      <w:r w:rsidRPr="00DA48D7">
        <w:t xml:space="preserve">t </w:t>
      </w:r>
      <w:r>
        <w:t xml:space="preserve">circuit lengths </w:t>
      </w:r>
      <w:r w:rsidRPr="00DA48D7">
        <w:t>in the benchmarking sample.</w:t>
      </w:r>
      <w:r>
        <w:t xml:space="preserve"> They consider Essential Energy and Ergon Energy are particularly disadvantaged because they have the longest circuit length and the lowest customer density of all service providers.</w:t>
      </w:r>
      <w:r w:rsidRPr="00DA48D7">
        <w:rPr>
          <w:rStyle w:val="FootnoteReference"/>
        </w:rPr>
        <w:footnoteReference w:id="374"/>
      </w:r>
      <w:r>
        <w:t xml:space="preserve"> They also noted that </w:t>
      </w:r>
      <w:r w:rsidRPr="0056351E">
        <w:t>Ausgrid and Energex have a high customer numbers and ratcheted maximum demand relative to the sample average</w:t>
      </w:r>
      <w:r>
        <w:t xml:space="preserve">. </w:t>
      </w:r>
    </w:p>
    <w:p w:rsidR="00051BDB" w:rsidRDefault="00051BDB" w:rsidP="00051BDB">
      <w:r>
        <w:t>We disagree that the size of the Australian service providers are not a comparative disadvantage to other providers in the sample.</w:t>
      </w:r>
    </w:p>
    <w:p w:rsidR="00051BDB" w:rsidRPr="00DA48D7" w:rsidRDefault="00051BDB" w:rsidP="00051BDB">
      <w:pPr>
        <w:pStyle w:val="HeadingOrange"/>
      </w:pPr>
      <w:r>
        <w:t>Rural providers with very low customer density</w:t>
      </w:r>
    </w:p>
    <w:p w:rsidR="00051BDB" w:rsidRDefault="00051BDB" w:rsidP="00051BDB">
      <w:r>
        <w:t>Economic Insights considers that the long circuit length of Essential Energy and Ergon Energy does not underestimate their efficiency. Economic Insights states that if Essential Energy and Ergon Energy were genuine outliers, it would expect the flexible translog function to given them much higher efficiency scores than the less flexible Cobb Douglas function. The results, however, are very similar.</w:t>
      </w:r>
      <w:r>
        <w:rPr>
          <w:rStyle w:val="FootnoteReference"/>
        </w:rPr>
        <w:footnoteReference w:id="375"/>
      </w:r>
    </w:p>
    <w:p w:rsidR="00051BDB" w:rsidRDefault="00051BDB" w:rsidP="00051BDB">
      <w:r w:rsidRPr="00DA48D7">
        <w:t>Economic Insights acknowledges</w:t>
      </w:r>
      <w:r>
        <w:t xml:space="preserve"> </w:t>
      </w:r>
      <w:r w:rsidRPr="00DA48D7">
        <w:t xml:space="preserve">that it would be desirable to have more </w:t>
      </w:r>
      <w:r>
        <w:t>'large' rural providers</w:t>
      </w:r>
      <w:r w:rsidRPr="00DA48D7">
        <w:t xml:space="preserve"> </w:t>
      </w:r>
      <w:r>
        <w:t xml:space="preserve">in the sample, but considers these two service providers are unusual with no service providers in comparable countries with accessible data having the same extent </w:t>
      </w:r>
      <w:r>
        <w:lastRenderedPageBreak/>
        <w:t>of lines.</w:t>
      </w:r>
      <w:r>
        <w:rPr>
          <w:rStyle w:val="FootnoteReference"/>
        </w:rPr>
        <w:footnoteReference w:id="376"/>
      </w:r>
      <w:r>
        <w:t xml:space="preserve"> Economic Insights did not consider there was justification to adjust Essential Energy's and Ergon Energy's efficiency scores on the basis of their very low customer density.</w:t>
      </w:r>
    </w:p>
    <w:p w:rsidR="00051BDB" w:rsidRPr="00DA48D7" w:rsidRDefault="00051BDB" w:rsidP="00051BDB">
      <w:r>
        <w:t>While comforted by Economic Insights' reasoning</w:t>
      </w:r>
      <w:r w:rsidRPr="00DA48D7">
        <w:t xml:space="preserve">, we </w:t>
      </w:r>
      <w:r>
        <w:t xml:space="preserve">also </w:t>
      </w:r>
      <w:r w:rsidRPr="00DA48D7">
        <w:t>engage</w:t>
      </w:r>
      <w:r>
        <w:t>d</w:t>
      </w:r>
      <w:r w:rsidRPr="00DA48D7">
        <w:t xml:space="preserve"> EMC</w:t>
      </w:r>
      <w:r>
        <w:t>a</w:t>
      </w:r>
      <w:r w:rsidRPr="00DA48D7">
        <w:t xml:space="preserve"> to consider whether</w:t>
      </w:r>
      <w:r>
        <w:t>—from an engineering perspective—the relationship between opex and customer density changes at the very low densities</w:t>
      </w:r>
      <w:r w:rsidRPr="00DA48D7">
        <w:t xml:space="preserve"> </w:t>
      </w:r>
      <w:r>
        <w:t>of Essential Energy and Ergon Energy</w:t>
      </w:r>
      <w:r w:rsidRPr="00DA48D7">
        <w:t>.</w:t>
      </w:r>
      <w:r>
        <w:t xml:space="preserve"> EMCa found it is feasible to compare sparse rural </w:t>
      </w:r>
      <w:r w:rsidR="00AC227C">
        <w:t xml:space="preserve">distributors </w:t>
      </w:r>
      <w:r>
        <w:t xml:space="preserve">(like Essential Energy and Ergon) with other rural </w:t>
      </w:r>
      <w:r w:rsidR="00AC227C">
        <w:t xml:space="preserve">distributors </w:t>
      </w:r>
      <w:r>
        <w:t>included in the benchmarking data set.</w:t>
      </w:r>
      <w:r>
        <w:rPr>
          <w:rStyle w:val="FootnoteReference"/>
        </w:rPr>
        <w:footnoteReference w:id="377"/>
      </w:r>
      <w:r>
        <w:t xml:space="preserve"> As such, the findings for our benchmarking model are applicable to the sparse rural service providers.</w:t>
      </w:r>
    </w:p>
    <w:p w:rsidR="00051BDB" w:rsidRDefault="00051BDB" w:rsidP="00051BDB">
      <w:r>
        <w:t>In any event, the service providers used to derive the benchmark frontier (that we compared Essential Energy to in the draft decision) contains three rural providers—Powercor, SA Power Networks and AusNet Services. Further, we have changed the benchmark comparison point to AusNet services, who is at the bottom of the top quartile of observed scores, which means we have given more weight to (among other things) the characteristics of these rural providers. In our view, this significantly mitigates any perceived disadvantage Essential Energy and Ergon Energy face due to their low customer density.</w:t>
      </w:r>
    </w:p>
    <w:p w:rsidR="00051BDB" w:rsidRDefault="00051BDB" w:rsidP="00051BDB">
      <w:pPr>
        <w:pStyle w:val="HeadingOrange"/>
      </w:pPr>
      <w:r>
        <w:t>Customer numbers and demand</w:t>
      </w:r>
    </w:p>
    <w:p w:rsidR="00051BDB" w:rsidRDefault="00051BDB" w:rsidP="00051BDB">
      <w:r>
        <w:t xml:space="preserve">While Ausgrid and Energex may have high customer numbers and ratcheted maximum demand relative to the sample average, we do not consider they are comparatively disadvantaged. Economic Insights advises that </w:t>
      </w:r>
      <w:r w:rsidRPr="0056351E">
        <w:t xml:space="preserve">there are </w:t>
      </w:r>
      <w:r>
        <w:t xml:space="preserve">sufficient </w:t>
      </w:r>
      <w:r w:rsidRPr="0056351E">
        <w:t xml:space="preserve">comparably sized </w:t>
      </w:r>
      <w:r>
        <w:t>service providers</w:t>
      </w:r>
      <w:r w:rsidRPr="0056351E">
        <w:t xml:space="preserve"> to conclude that </w:t>
      </w:r>
      <w:r>
        <w:t xml:space="preserve">Ausgrid and Energex are not </w:t>
      </w:r>
      <w:r w:rsidRPr="0056351E">
        <w:t>significantly distant from other observations</w:t>
      </w:r>
      <w:r>
        <w:t xml:space="preserve"> such that they would be considered outliers</w:t>
      </w:r>
      <w:r w:rsidRPr="0056351E">
        <w:t>.</w:t>
      </w:r>
      <w:r>
        <w:rPr>
          <w:rStyle w:val="FootnoteReference"/>
        </w:rPr>
        <w:footnoteReference w:id="378"/>
      </w:r>
      <w:r w:rsidRPr="0056351E">
        <w:t xml:space="preserve"> </w:t>
      </w:r>
    </w:p>
    <w:p w:rsidR="00051BDB" w:rsidRPr="0056351E" w:rsidRDefault="00051BDB" w:rsidP="00051BDB">
      <w:r w:rsidRPr="0056351E">
        <w:t xml:space="preserve">The consistent results of the benchmarking models, including consistency with the MPFP model </w:t>
      </w:r>
      <w:r>
        <w:t xml:space="preserve">(which </w:t>
      </w:r>
      <w:r w:rsidRPr="0056351E">
        <w:t>does not include the international data</w:t>
      </w:r>
      <w:r>
        <w:t>)</w:t>
      </w:r>
      <w:r w:rsidRPr="0056351E">
        <w:t xml:space="preserve"> </w:t>
      </w:r>
      <w:r>
        <w:t xml:space="preserve">provides </w:t>
      </w:r>
      <w:r w:rsidRPr="0056351E">
        <w:t xml:space="preserve">comfort that </w:t>
      </w:r>
      <w:r>
        <w:t>Ausgrid and Energex are sufficiently comparable to other service providers in the sample</w:t>
      </w:r>
      <w:r w:rsidRPr="0056351E">
        <w:t>.</w:t>
      </w:r>
    </w:p>
    <w:p w:rsidR="00051BDB" w:rsidRDefault="00051BDB" w:rsidP="00051BDB">
      <w:pPr>
        <w:pStyle w:val="HeadingItalic"/>
      </w:pPr>
      <w:r>
        <w:t>Consistency of variables</w:t>
      </w:r>
    </w:p>
    <w:p w:rsidR="00051BDB" w:rsidRDefault="00051BDB" w:rsidP="00051BDB">
      <w:r>
        <w:t>Some submissions considered that service providers may not have provided several variables in the economic benchmarking RIN on a consistent basis.</w:t>
      </w:r>
      <w:r>
        <w:rPr>
          <w:rStyle w:val="FootnoteReference"/>
        </w:rPr>
        <w:footnoteReference w:id="379"/>
      </w:r>
      <w:r>
        <w:t xml:space="preserve"> We do not consider these concerns are valid, or are sufficiently significant for us to not to conduct benchmarking. Economic Insights, as an economic benchmarking expert, is well qualified to form an opinion on the appropriateness of data for economic </w:t>
      </w:r>
      <w:r>
        <w:lastRenderedPageBreak/>
        <w:t>benchmarking. As we explained in our draft decision, Economic Insights considered the Australian database to be robust and suitable for economic benchmarking:</w:t>
      </w:r>
      <w:r>
        <w:rPr>
          <w:rStyle w:val="FootnoteReference"/>
        </w:rPr>
        <w:footnoteReference w:id="380"/>
      </w:r>
    </w:p>
    <w:p w:rsidR="00051BDB" w:rsidRDefault="00051BDB" w:rsidP="00051BDB">
      <w:pPr>
        <w:pStyle w:val="AERquoteindent1"/>
      </w:pPr>
      <w:r w:rsidRPr="00D43100">
        <w:t>Given the extensive process that has been gone through in forming the AER’s economic benchmarking RIN database to ensure maximum consistency and comparability both across DNSPs and over time, the database is fit for the purpose of undertaking economic benchmarking to assess DNSP opex efficiency levels and to estimate models that can be used to forecast future opex partial productivity growth rates.</w:t>
      </w:r>
    </w:p>
    <w:p w:rsidR="00051BDB" w:rsidRDefault="00051BDB" w:rsidP="00051BDB">
      <w:r>
        <w:t>The econometric models require only six aggregate variables from the service providers to function effectively (network services opex, energy delivered, customer numbers, ratcheted maximum demand, circuit length and proportion of underground cables). Many submissions on data comparability do not actually relate to these variables. Accordingly, we consider concerns raised about the following matters are not relevant to our findings:</w:t>
      </w:r>
    </w:p>
    <w:p w:rsidR="00051BDB" w:rsidRDefault="00051BDB" w:rsidP="00051BDB">
      <w:pPr>
        <w:pStyle w:val="AERbulletlistfirststyle"/>
      </w:pPr>
      <w:r>
        <w:t>RAB values</w:t>
      </w:r>
      <w:r>
        <w:rPr>
          <w:rStyle w:val="FootnoteReference"/>
        </w:rPr>
        <w:footnoteReference w:id="381"/>
      </w:r>
      <w:r>
        <w:t xml:space="preserve"> – these are not included in the opex modelling</w:t>
      </w:r>
    </w:p>
    <w:p w:rsidR="00051BDB" w:rsidRDefault="00051BDB" w:rsidP="00051BDB">
      <w:pPr>
        <w:pStyle w:val="AERbulletlistfirststyle"/>
      </w:pPr>
      <w:r>
        <w:t>differences in opex category reporting, including treatment of metering costs – Economic Insights' model's use total network services opex, which excludes metering</w:t>
      </w:r>
    </w:p>
    <w:p w:rsidR="00051BDB" w:rsidRDefault="00051BDB" w:rsidP="00051BDB">
      <w:pPr>
        <w:pStyle w:val="AERbulletlistfirststyle"/>
      </w:pPr>
      <w:r>
        <w:t>revenue data – our benchmarking models do not rely on revenue</w:t>
      </w:r>
    </w:p>
    <w:p w:rsidR="00051BDB" w:rsidRDefault="00051BDB" w:rsidP="00051BDB">
      <w:pPr>
        <w:pStyle w:val="AERbulletlistfirststyle"/>
      </w:pPr>
      <w:r>
        <w:t>route line length – we have not used route line length in the opex models</w:t>
      </w:r>
      <w:r>
        <w:rPr>
          <w:rStyle w:val="FootnoteReference"/>
        </w:rPr>
        <w:footnoteReference w:id="382"/>
      </w:r>
    </w:p>
    <w:p w:rsidR="00051BDB" w:rsidRDefault="00051BDB" w:rsidP="00051BDB">
      <w:pPr>
        <w:pStyle w:val="AERbulletlistfirststyle"/>
      </w:pPr>
      <w:r>
        <w:t>inconsistency in energy density and customer density calculations – these measures are not central to our analysis but, in any case, we rely on our own calculations, which are on a consistent basis</w:t>
      </w:r>
    </w:p>
    <w:p w:rsidR="00051BDB" w:rsidRDefault="00051BDB" w:rsidP="00051BDB">
      <w:pPr>
        <w:pStyle w:val="AERbulletlistfirststyle"/>
      </w:pPr>
      <w:r>
        <w:t xml:space="preserve">system and operating model changes – the aggregate nature of the required variables and our precise definitions for these variables mitigate the impact of such changes </w:t>
      </w:r>
    </w:p>
    <w:p w:rsidR="00051BDB" w:rsidRPr="00711DB8" w:rsidRDefault="00051BDB" w:rsidP="00051BDB">
      <w:pPr>
        <w:pStyle w:val="AERbulletlistfirststyle"/>
      </w:pPr>
      <w:r>
        <w:t xml:space="preserve">weather adjusted maximum demand – </w:t>
      </w:r>
      <w:r w:rsidRPr="00711DB8">
        <w:t>we do not use this data</w:t>
      </w:r>
    </w:p>
    <w:p w:rsidR="00051BDB" w:rsidRDefault="00051BDB" w:rsidP="00051BDB">
      <w:r>
        <w:t xml:space="preserve">To the extent that </w:t>
      </w:r>
      <w:r w:rsidRPr="008C0BAC">
        <w:t xml:space="preserve">PwC and EY submit that circuit length the data is not appropriate for use in benchmarking because </w:t>
      </w:r>
      <w:r>
        <w:t xml:space="preserve">some </w:t>
      </w:r>
      <w:r w:rsidRPr="008C0BAC">
        <w:t>service providers have estimated</w:t>
      </w:r>
      <w:r>
        <w:t xml:space="preserve"> it, we consider:</w:t>
      </w:r>
      <w:r w:rsidRPr="008C0BAC">
        <w:rPr>
          <w:rStyle w:val="FootnoteReference"/>
        </w:rPr>
        <w:footnoteReference w:id="383"/>
      </w:r>
      <w:r w:rsidRPr="008C0BAC">
        <w:t xml:space="preserve"> </w:t>
      </w:r>
    </w:p>
    <w:p w:rsidR="00051BDB" w:rsidRDefault="00051BDB" w:rsidP="00051BDB">
      <w:pPr>
        <w:pStyle w:val="AERbulletlistfirststyle"/>
      </w:pPr>
      <w:r>
        <w:lastRenderedPageBreak/>
        <w:t>As we explain below, n</w:t>
      </w:r>
      <w:r w:rsidRPr="008C0BAC">
        <w:t>either PwC nor EY demonstrate that the data is not suitable</w:t>
      </w:r>
      <w:r>
        <w:t xml:space="preserve">. </w:t>
      </w:r>
    </w:p>
    <w:p w:rsidR="00051BDB" w:rsidRDefault="00051BDB" w:rsidP="00051BDB">
      <w:pPr>
        <w:pStyle w:val="AERbulletlistfirststyle"/>
      </w:pPr>
      <w:r>
        <w:t>we consider that the estimates are reasonable because the service providers are the best placed to estimate their own asset characteristics and their CEOs have certified they are the best estimates the service provider can provide</w:t>
      </w:r>
    </w:p>
    <w:p w:rsidR="00051BDB" w:rsidRPr="008C0BAC" w:rsidRDefault="00051BDB" w:rsidP="00051BDB">
      <w:pPr>
        <w:pStyle w:val="AERbulletlistfirststyle"/>
      </w:pPr>
      <w:r>
        <w:t>where estimated circuit length may vary from actual circuit length, we would be concerned if service providers were able only to estimate a value—of core assets they manage—that deviated from reality to the point where it would result in a material difference to their benchmarking performance</w:t>
      </w:r>
      <w:r w:rsidRPr="008C0BAC">
        <w:t>.</w:t>
      </w:r>
    </w:p>
    <w:p w:rsidR="00051BDB" w:rsidRDefault="00051BDB" w:rsidP="00051BDB">
      <w:pPr>
        <w:pStyle w:val="HeadingItalic"/>
      </w:pPr>
      <w:r>
        <w:t>Differences between service providers</w:t>
      </w:r>
    </w:p>
    <w:p w:rsidR="00051BDB" w:rsidRDefault="00051BDB" w:rsidP="00051BDB">
      <w:r>
        <w:t>Some submissions raise comparability matters that are relevant to our opex modelling.</w:t>
      </w:r>
      <w:r>
        <w:rPr>
          <w:rStyle w:val="FootnoteReference"/>
        </w:rPr>
        <w:footnoteReference w:id="384"/>
      </w:r>
      <w:r>
        <w:t xml:space="preserve"> However, we have taken these into account in our draft and final decisions:</w:t>
      </w:r>
    </w:p>
    <w:p w:rsidR="00051BDB" w:rsidRDefault="00051BDB" w:rsidP="00051BDB">
      <w:pPr>
        <w:pStyle w:val="AERbulletlistfirststyle"/>
      </w:pPr>
      <w:r>
        <w:t>differences in capitalisation policies and cost allocation methods – we considered these as part of our operating environment factor assessment and made an adjustment if we considered one was warranted</w:t>
      </w:r>
      <w:r>
        <w:rPr>
          <w:rStyle w:val="FootnoteReference"/>
        </w:rPr>
        <w:footnoteReference w:id="385"/>
      </w:r>
    </w:p>
    <w:p w:rsidR="00051BDB" w:rsidRDefault="00051BDB" w:rsidP="00051BDB">
      <w:pPr>
        <w:pStyle w:val="AERbulletlistfirststyle"/>
      </w:pPr>
      <w:r>
        <w:t>differences in vegetation management clearance requirements between states – we considered this as part of our operating environment factor assessment and made an adjustment if we considered one was warranted</w:t>
      </w:r>
      <w:r>
        <w:rPr>
          <w:rStyle w:val="FootnoteReference"/>
        </w:rPr>
        <w:footnoteReference w:id="386"/>
      </w:r>
    </w:p>
    <w:p w:rsidR="00051BDB" w:rsidRDefault="00051BDB" w:rsidP="00051BDB">
      <w:pPr>
        <w:pStyle w:val="AERbulletlistfirststyle"/>
      </w:pPr>
      <w:r>
        <w:t>differences in network age, service quality and reliability standards – we considered these as part of our operating environment factor assessment and made an adjustment if we considered one was warranted</w:t>
      </w:r>
      <w:r>
        <w:rPr>
          <w:rStyle w:val="FootnoteReference"/>
        </w:rPr>
        <w:footnoteReference w:id="387"/>
      </w:r>
    </w:p>
    <w:p w:rsidR="00051BDB" w:rsidRDefault="00051BDB" w:rsidP="00051BDB">
      <w:pPr>
        <w:pStyle w:val="AERbulletlistfirststyle"/>
      </w:pPr>
      <w:r>
        <w:t>related party arrangements – considered as part of our examination of opex factors. We considered ownership arrangements are not a key concern for total opex assessment because benchmarking enables us to compare the relative efficiency of each service provider's opex regardless of the arrangements they have in place (which are the service provider's choice)</w:t>
      </w:r>
      <w:r>
        <w:rPr>
          <w:rStyle w:val="FootnoteReference"/>
        </w:rPr>
        <w:footnoteReference w:id="388"/>
      </w:r>
    </w:p>
    <w:p w:rsidR="00051BDB" w:rsidRDefault="00051BDB" w:rsidP="00051BDB">
      <w:pPr>
        <w:pStyle w:val="AERbulletlistfirststyle"/>
      </w:pPr>
      <w:r>
        <w:t>provision reporting – service providers must develop their provision accounts in accordance with consistent  Australian accounting standards so they must meet the same requirements even if they may be named differently. Further, opex reported on a cash basis and accrual basis to be approximately equal on average.</w:t>
      </w:r>
      <w:r w:rsidRPr="00405F27">
        <w:rPr>
          <w:rStyle w:val="FootnoteReference"/>
        </w:rPr>
        <w:t xml:space="preserve"> </w:t>
      </w:r>
      <w:r>
        <w:rPr>
          <w:rStyle w:val="FootnoteReference"/>
        </w:rPr>
        <w:footnoteReference w:id="389"/>
      </w:r>
      <w:r>
        <w:t xml:space="preserve"> Hence the use of eight years of panel data to derive an average efficiency score for the period will reduce the effect that provisions could have on the benchmarking results.</w:t>
      </w:r>
    </w:p>
    <w:p w:rsidR="00051BDB" w:rsidRDefault="00051BDB" w:rsidP="00051BDB">
      <w:r>
        <w:lastRenderedPageBreak/>
        <w:t xml:space="preserve">In our draft decision, we did not explicitly consider differences in the allocation of responsibility for vegetation management across states or differences in fuel mix. In this final decision, however, we consider them as part of our operating environment factor assessment in section </w:t>
      </w:r>
      <w:r>
        <w:fldChar w:fldCharType="begin"/>
      </w:r>
      <w:r>
        <w:instrText xml:space="preserve"> REF _Ref417551822 \n \h </w:instrText>
      </w:r>
      <w:r>
        <w:fldChar w:fldCharType="separate"/>
      </w:r>
      <w:r w:rsidR="00C74791">
        <w:t>A.6</w:t>
      </w:r>
      <w:r>
        <w:fldChar w:fldCharType="end"/>
      </w:r>
      <w:r>
        <w:t>.</w:t>
      </w:r>
    </w:p>
    <w:p w:rsidR="00C74791" w:rsidRDefault="00C74791">
      <w:pPr>
        <w:spacing w:line="240" w:lineRule="auto"/>
        <w:rPr>
          <w:rFonts w:eastAsiaTheme="majorEastAsia" w:cstheme="majorBidi"/>
          <w:b/>
          <w:bCs/>
          <w:i/>
          <w:iCs/>
          <w:color w:val="51626F"/>
          <w:sz w:val="24"/>
        </w:rPr>
      </w:pPr>
      <w:r>
        <w:br w:type="page"/>
      </w:r>
    </w:p>
    <w:p w:rsidR="00051BDB" w:rsidRDefault="00051BDB" w:rsidP="00051BDB">
      <w:pPr>
        <w:pStyle w:val="HeadingBoldItalic"/>
      </w:pPr>
      <w:r w:rsidRPr="006746B6">
        <w:lastRenderedPageBreak/>
        <w:t>Data quality</w:t>
      </w:r>
    </w:p>
    <w:p w:rsidR="00051BDB" w:rsidRDefault="00051BDB" w:rsidP="00051BDB">
      <w:r>
        <w:t>The service providers and their consultants submitted they had some concerns regarding the quality of benchmarking data we have used.</w:t>
      </w:r>
      <w:r>
        <w:rPr>
          <w:rStyle w:val="FootnoteReference"/>
        </w:rPr>
        <w:footnoteReference w:id="390"/>
      </w:r>
      <w:r>
        <w:t xml:space="preserve"> We disagree with their submissions and maintain our draft decision view that our dataset is of good quality. As we mentioned above, Economic Insights considers our dataset is robust:</w:t>
      </w:r>
    </w:p>
    <w:p w:rsidR="00051BDB" w:rsidRDefault="00051BDB" w:rsidP="00051BDB">
      <w:pPr>
        <w:pStyle w:val="AERquoteindent1"/>
      </w:pPr>
      <w:r w:rsidRPr="00DD1BB4">
        <w:t>While no dataset will likely ever be perfect, the AER’s economic benchmarking RIN data provides the most consistent and thoroughly examined DNSP dat</w:t>
      </w:r>
      <w:r>
        <w:t>aset yet assembled in Australia…</w:t>
      </w:r>
      <w:r w:rsidRPr="00DD1BB4">
        <w:t xml:space="preserve"> the AER’s economic benchmarking RIN data are also considerably more detailed, comprehensive and consistent than regulatory data in comparable countries, including the United States. The Australian output and input data used in this study are thus considered to be quite robust and to compare more than favourably with overseas datasets used in previous studies.</w:t>
      </w:r>
    </w:p>
    <w:p w:rsidR="00051BDB" w:rsidRDefault="00051BDB" w:rsidP="00051BDB">
      <w:r>
        <w:t>PEG also submits that our dataset is "generally of good quality".</w:t>
      </w:r>
      <w:r>
        <w:rPr>
          <w:rStyle w:val="FootnoteReference"/>
        </w:rPr>
        <w:footnoteReference w:id="391"/>
      </w:r>
      <w:r>
        <w:t xml:space="preserve"> The CCP also praised the data, noting that it was supplied by the distributors.</w:t>
      </w:r>
      <w:r>
        <w:rPr>
          <w:rStyle w:val="FootnoteReference"/>
        </w:rPr>
        <w:footnoteReference w:id="392"/>
      </w:r>
      <w:r>
        <w:t xml:space="preserve"> Further, J</w:t>
      </w:r>
      <w:r w:rsidRPr="00AB3D76">
        <w:t>emena</w:t>
      </w:r>
      <w:r>
        <w:t xml:space="preserve"> Gas Networks</w:t>
      </w:r>
      <w:r w:rsidRPr="00AB3D76">
        <w:t xml:space="preserve">, </w:t>
      </w:r>
      <w:r>
        <w:t xml:space="preserve">and AusNet Services (Gas) </w:t>
      </w:r>
      <w:r w:rsidRPr="00AB3D76">
        <w:t xml:space="preserve">have </w:t>
      </w:r>
      <w:r>
        <w:t xml:space="preserve">recently </w:t>
      </w:r>
      <w:r w:rsidRPr="00AB3D76">
        <w:t xml:space="preserve">asked us to rely </w:t>
      </w:r>
      <w:r>
        <w:t xml:space="preserve">on their gas </w:t>
      </w:r>
      <w:r w:rsidRPr="00AB3D76">
        <w:t xml:space="preserve">data </w:t>
      </w:r>
      <w:r>
        <w:t xml:space="preserve">after submitting </w:t>
      </w:r>
      <w:r w:rsidRPr="00AB3D76">
        <w:t>benchmarking</w:t>
      </w:r>
      <w:r>
        <w:t xml:space="preserve"> models</w:t>
      </w:r>
      <w:r w:rsidRPr="00AB3D76">
        <w:t xml:space="preserve"> prepared by </w:t>
      </w:r>
      <w:r>
        <w:t>Economic Insights.</w:t>
      </w:r>
      <w:r w:rsidRPr="00755E8A">
        <w:rPr>
          <w:rStyle w:val="FootnoteReference"/>
        </w:rPr>
        <w:t xml:space="preserve"> </w:t>
      </w:r>
      <w:r>
        <w:rPr>
          <w:rStyle w:val="FootnoteReference"/>
        </w:rPr>
        <w:footnoteReference w:id="393"/>
      </w:r>
      <w:r w:rsidRPr="00AB3D76">
        <w:t xml:space="preserve"> </w:t>
      </w:r>
      <w:r>
        <w:t>The data they have relied on</w:t>
      </w:r>
      <w:r w:rsidRPr="00AB3D76">
        <w:t xml:space="preserve"> has </w:t>
      </w:r>
      <w:r>
        <w:t>not been subject to the same rigorous testing and validation process that the economic benchmarking RIN data has been subject to.</w:t>
      </w:r>
    </w:p>
    <w:p w:rsidR="00051BDB" w:rsidRDefault="00051BDB" w:rsidP="00051BDB">
      <w:r>
        <w:t>In this sub-section we briefly reiterate our data collection and validation process before addressing previous comments regarding data quality and explaining why alternatives proposed by the service providers are unreasonable.</w:t>
      </w:r>
    </w:p>
    <w:p w:rsidR="00051BDB" w:rsidRPr="00B06148" w:rsidRDefault="00051BDB" w:rsidP="00051BDB">
      <w:pPr>
        <w:pStyle w:val="HeadingItalic"/>
      </w:pPr>
      <w:r>
        <w:t>D</w:t>
      </w:r>
      <w:r w:rsidRPr="00B06148">
        <w:t>ata collection and validation process</w:t>
      </w:r>
    </w:p>
    <w:p w:rsidR="00051BDB" w:rsidRDefault="00051BDB" w:rsidP="00051BDB">
      <w:r w:rsidRPr="00D15380">
        <w:t xml:space="preserve">The development of our benchmarking </w:t>
      </w:r>
      <w:r>
        <w:t>dataset</w:t>
      </w:r>
      <w:r w:rsidRPr="00D15380">
        <w:t xml:space="preserve"> has come about as the result of a public consultation</w:t>
      </w:r>
      <w:r>
        <w:t xml:space="preserve"> process that began May 2012</w:t>
      </w:r>
      <w:r w:rsidRPr="00D15380">
        <w:t xml:space="preserve">. </w:t>
      </w:r>
      <w:r>
        <w:t>We presented the full process we went through to collect, test and validate the data in our approach section. This process included several open workshops to discuss data requirements and four explicit opportunities for service providers to comment on the data prior to submitting unaudited RIN responses.</w:t>
      </w:r>
      <w:r>
        <w:rPr>
          <w:rStyle w:val="FootnoteReference"/>
        </w:rPr>
        <w:footnoteReference w:id="394"/>
      </w:r>
    </w:p>
    <w:p w:rsidR="00051BDB" w:rsidRDefault="00051BDB" w:rsidP="00051BDB">
      <w:r>
        <w:lastRenderedPageBreak/>
        <w:t>Following this process, and before requiring audited RIN responses, we initiated a comprehensive testing and validation process involving:</w:t>
      </w:r>
    </w:p>
    <w:p w:rsidR="00051BDB" w:rsidRPr="00F31F04" w:rsidRDefault="00051BDB" w:rsidP="00051BDB">
      <w:pPr>
        <w:pStyle w:val="AERbulletlistfirststyle"/>
      </w:pPr>
      <w:r>
        <w:t>c</w:t>
      </w:r>
      <w:r w:rsidRPr="007150BB">
        <w:t xml:space="preserve">omparing </w:t>
      </w:r>
      <w:r w:rsidRPr="00F31F04">
        <w:t xml:space="preserve">RIN information with information previously reported by </w:t>
      </w:r>
      <w:r>
        <w:t>service providers (</w:t>
      </w:r>
      <w:r w:rsidRPr="00F31F04">
        <w:t xml:space="preserve">such as regulatory proposals, previous RIN responses and </w:t>
      </w:r>
      <w:r w:rsidR="00AC227C">
        <w:t>distributors'</w:t>
      </w:r>
      <w:r w:rsidR="00AC227C" w:rsidRPr="00F31F04">
        <w:t xml:space="preserve"> </w:t>
      </w:r>
      <w:r w:rsidRPr="00F31F04">
        <w:t>annual reports</w:t>
      </w:r>
      <w:r>
        <w:t>)</w:t>
      </w:r>
      <w:r w:rsidRPr="00F31F04">
        <w:t xml:space="preserve"> to ensure consistency</w:t>
      </w:r>
    </w:p>
    <w:p w:rsidR="00051BDB" w:rsidRPr="00F31F04" w:rsidRDefault="00051BDB" w:rsidP="00051BDB">
      <w:pPr>
        <w:pStyle w:val="AERbulletlistfirststyle"/>
      </w:pPr>
      <w:r w:rsidRPr="005D3689">
        <w:t>reviewing time series data to identify any anomalous data points</w:t>
      </w:r>
    </w:p>
    <w:p w:rsidR="00051BDB" w:rsidRPr="00F31F04" w:rsidRDefault="00051BDB" w:rsidP="00051BDB">
      <w:pPr>
        <w:pStyle w:val="AERbulletlistfirststyle"/>
      </w:pPr>
      <w:r>
        <w:t>reviewing base</w:t>
      </w:r>
      <w:r w:rsidRPr="005D3689">
        <w:t xml:space="preserve">s of preparation to ensure </w:t>
      </w:r>
      <w:r>
        <w:t xml:space="preserve">the service providers </w:t>
      </w:r>
      <w:r w:rsidRPr="005D3689">
        <w:t xml:space="preserve">prepared </w:t>
      </w:r>
      <w:r>
        <w:t xml:space="preserve">the data </w:t>
      </w:r>
      <w:r w:rsidRPr="005D3689">
        <w:t xml:space="preserve">in accordance with </w:t>
      </w:r>
      <w:r>
        <w:t xml:space="preserve">the </w:t>
      </w:r>
      <w:r w:rsidRPr="005D3689">
        <w:t>RIN instructions and definitions</w:t>
      </w:r>
    </w:p>
    <w:p w:rsidR="00051BDB" w:rsidRDefault="00051BDB" w:rsidP="00051BDB">
      <w:pPr>
        <w:pStyle w:val="AERbulletlistfirststyle"/>
      </w:pPr>
      <w:r>
        <w:t>c</w:t>
      </w:r>
      <w:r w:rsidRPr="005D3689">
        <w:t>omparing data</w:t>
      </w:r>
      <w:r w:rsidRPr="00770E42">
        <w:t xml:space="preserve"> across </w:t>
      </w:r>
      <w:r>
        <w:t>service providers</w:t>
      </w:r>
      <w:r w:rsidRPr="00770E42">
        <w:t xml:space="preserve"> to identify potential anomalies</w:t>
      </w:r>
      <w:r>
        <w:t>.</w:t>
      </w:r>
    </w:p>
    <w:p w:rsidR="00051BDB" w:rsidRDefault="00051BDB" w:rsidP="00051BDB">
      <w:r>
        <w:t>Where we identified anomalies or inconsistencies we drew these to the attention of the service providers. Ultimately, to ensure that the data was reliable we required independent audit of the service providers' RIN responses prior to final submission and the service providers' CEOs to sign a statutory declaration attesting to the robustness of the data.</w:t>
      </w:r>
    </w:p>
    <w:p w:rsidR="00051BDB" w:rsidRDefault="00051BDB" w:rsidP="00051BDB">
      <w:r>
        <w:t>We then published the audited RIN data on our website and called for submissions on the data.</w:t>
      </w:r>
      <w:r>
        <w:rPr>
          <w:rStyle w:val="FootnoteReference"/>
        </w:rPr>
        <w:footnoteReference w:id="395"/>
      </w:r>
      <w:r>
        <w:t xml:space="preserve"> In response, only </w:t>
      </w:r>
      <w:r w:rsidR="008C33CA">
        <w:t>CitiPower</w:t>
      </w:r>
      <w:r>
        <w:t xml:space="preserve"> and Powercor raised specific issues regarding data quality, which we addressed.</w:t>
      </w:r>
      <w:r>
        <w:rPr>
          <w:rStyle w:val="FootnoteReference"/>
        </w:rPr>
        <w:footnoteReference w:id="396"/>
      </w:r>
      <w:r>
        <w:t xml:space="preserve"> We subsequently undertook further review of audited RIN responses and discussed any further data issues directly with the relevant service providers. </w:t>
      </w:r>
    </w:p>
    <w:p w:rsidR="00051BDB" w:rsidRDefault="00051BDB" w:rsidP="00051BDB">
      <w:r>
        <w:t>When we consulted on our draft benchmarking reports in August 2014, we again circulated our benchmarking data set. In this process, Energex raised the only significant data-related issue, relating to the inclusion of feed-in tariffs. To account for this submission we excluded the value of feed in tariffs from opex.</w:t>
      </w:r>
      <w:r>
        <w:rPr>
          <w:rStyle w:val="FootnoteReference"/>
        </w:rPr>
        <w:footnoteReference w:id="397"/>
      </w:r>
    </w:p>
    <w:p w:rsidR="00051BDB" w:rsidRDefault="00051BDB" w:rsidP="00051BDB">
      <w:r>
        <w:t>In the course of our testing and validation process, we found that some responses for certain variables (particularly for several operating environment variables) were not robust. Accordingly, we decided not to use these variables.</w:t>
      </w:r>
    </w:p>
    <w:p w:rsidR="00051BDB" w:rsidRDefault="00051BDB" w:rsidP="00051BDB">
      <w:r>
        <w:t>We are not professing that our benchmarking dataset is perfect. However, Economic Insights considers no dataset is ever likely to be perfect (Frontier Economics agrees</w:t>
      </w:r>
      <w:r>
        <w:rPr>
          <w:rStyle w:val="FootnoteReference"/>
        </w:rPr>
        <w:footnoteReference w:id="398"/>
      </w:r>
      <w:r>
        <w:t>), and ours is suitable for benchmarking.</w:t>
      </w:r>
      <w:r>
        <w:rPr>
          <w:rStyle w:val="FootnoteReference"/>
        </w:rPr>
        <w:footnoteReference w:id="399"/>
      </w:r>
      <w:r>
        <w:t xml:space="preserve"> We are satisfied that we have </w:t>
      </w:r>
      <w:r>
        <w:lastRenderedPageBreak/>
        <w:t>undertaken a very comprehensive and inclusive process to develop a database that is sufficiently robust and reliable for benchmarking purposes.</w:t>
      </w:r>
    </w:p>
    <w:p w:rsidR="00051BDB" w:rsidRDefault="00051BDB" w:rsidP="00051BDB">
      <w:r>
        <w:t>Further, the data that we have used in our benchmarking models is aggregate data that the service providers themselves require for their own purposes. This data includes historic opex, reliability, demand, customers and the number and size or capacity of key assets. The customer numbers we use, for example, are the number of National Metering Identifiers that the service providers must submit to AEMO for settlement purposes.</w:t>
      </w:r>
    </w:p>
    <w:p w:rsidR="00051BDB" w:rsidRDefault="00051BDB" w:rsidP="00051BDB">
      <w:r>
        <w:t>Without reliable information on the quantity, location, nature and condition of their networks and assets, service providers would be unable to effectively (or safely) operate and maintain their networks. We also note that the data produced in the economic benchmarking RINs is derived from the same systems the service providers use to prepare their regulatory proposals, which they use to justify increases in revenue.</w:t>
      </w:r>
    </w:p>
    <w:p w:rsidR="00051BDB" w:rsidRDefault="00051BDB" w:rsidP="00051BDB">
      <w:pPr>
        <w:pStyle w:val="HeadingItalic"/>
      </w:pPr>
      <w:r>
        <w:t>Previous comments on data quality</w:t>
      </w:r>
    </w:p>
    <w:p w:rsidR="00051BDB" w:rsidRDefault="00051BDB" w:rsidP="00051BDB">
      <w:r>
        <w:t>The service providers point to past comments the AER/ACCC, AEMC, PC and Economic Insights have made about benchmarking data as a reason why they consider our current benchmarking data is not robust.</w:t>
      </w:r>
      <w:r>
        <w:rPr>
          <w:rStyle w:val="FootnoteReference"/>
        </w:rPr>
        <w:footnoteReference w:id="400"/>
      </w:r>
      <w:r>
        <w:t xml:space="preserve"> The submissions highlight:</w:t>
      </w:r>
      <w:r>
        <w:rPr>
          <w:rStyle w:val="FootnoteReference"/>
        </w:rPr>
        <w:footnoteReference w:id="401"/>
      </w:r>
    </w:p>
    <w:p w:rsidR="00051BDB" w:rsidRDefault="00051BDB" w:rsidP="00051BDB">
      <w:pPr>
        <w:pStyle w:val="AERbulletlistfirststyle"/>
      </w:pPr>
      <w:r>
        <w:t>the AER's 2008 opinion that it did not have robust, consistent and reliable long term data suitable for TFP</w:t>
      </w:r>
    </w:p>
    <w:p w:rsidR="00051BDB" w:rsidRDefault="00051BDB" w:rsidP="00051BDB">
      <w:pPr>
        <w:pStyle w:val="AERbulletlistfirststyle"/>
      </w:pPr>
      <w:r>
        <w:t xml:space="preserve">Economic Insights' 2009 view that </w:t>
      </w:r>
      <w:r w:rsidRPr="000D2D5E">
        <w:t xml:space="preserve">the regulatory data available </w:t>
      </w:r>
      <w:r>
        <w:t xml:space="preserve">at the time were </w:t>
      </w:r>
      <w:r w:rsidRPr="000D2D5E">
        <w:t>not fit for the purpose of a robust TFP analysis of the standard required to base regulatory pricing and revenue determinations on</w:t>
      </w:r>
    </w:p>
    <w:p w:rsidR="00051BDB" w:rsidRDefault="00051BDB" w:rsidP="00051BDB">
      <w:pPr>
        <w:pStyle w:val="AERbulletlistfirststyle"/>
      </w:pPr>
      <w:r>
        <w:t>the AEMC's decision in 2011 not to adopt TFP for price and revenue determinations</w:t>
      </w:r>
    </w:p>
    <w:p w:rsidR="00051BDB" w:rsidRDefault="00051BDB" w:rsidP="00051BDB">
      <w:pPr>
        <w:pStyle w:val="AERbulletlistfirststyle"/>
      </w:pPr>
      <w:r>
        <w:t>t</w:t>
      </w:r>
      <w:r w:rsidRPr="00101672">
        <w:t xml:space="preserve">he </w:t>
      </w:r>
      <w:r>
        <w:t>PC's</w:t>
      </w:r>
      <w:r w:rsidRPr="00101672">
        <w:t xml:space="preserve"> conclusion </w:t>
      </w:r>
      <w:r>
        <w:t xml:space="preserve">in April </w:t>
      </w:r>
      <w:r w:rsidRPr="00101672">
        <w:t>2013</w:t>
      </w:r>
      <w:r>
        <w:t xml:space="preserve"> that</w:t>
      </w:r>
      <w:r w:rsidRPr="00101672">
        <w:t xml:space="preserve"> there </w:t>
      </w:r>
      <w:r>
        <w:t>wa</w:t>
      </w:r>
      <w:r w:rsidRPr="00101672">
        <w:t>s little immediate scope for benchm</w:t>
      </w:r>
      <w:r>
        <w:t>arking to play a decisive role in determinations due to its incipiency.</w:t>
      </w:r>
    </w:p>
    <w:p w:rsidR="00051BDB" w:rsidRDefault="00051BDB" w:rsidP="00051BDB">
      <w:r>
        <w:t>Some service providers raised similar concerns during the development of our economic benchmarking RIN, in September 2013, also referring to the AEMC's TFP review. In that process, we explained that the AEMC's comments about data availability and quality related to data in the public domain or used in previous regulatory decisions.</w:t>
      </w:r>
      <w:r>
        <w:rPr>
          <w:rStyle w:val="FootnoteReference"/>
        </w:rPr>
        <w:footnoteReference w:id="402"/>
      </w:r>
    </w:p>
    <w:p w:rsidR="00051BDB" w:rsidRDefault="00051BDB" w:rsidP="00051BDB">
      <w:r>
        <w:lastRenderedPageBreak/>
        <w:t xml:space="preserve">The same applies here. All of the above statements relate to data existing in the public domain or used in determinations at the time (that is, prior to April 2013). We collected the data we are using in this determination at the end of April in 2014. </w:t>
      </w:r>
    </w:p>
    <w:p w:rsidR="00051BDB" w:rsidRDefault="00051BDB" w:rsidP="00051BDB">
      <w:r>
        <w:t xml:space="preserve">Given the aforementioned positive comments about our </w:t>
      </w:r>
      <w:r w:rsidRPr="00447045">
        <w:rPr>
          <w:rStyle w:val="AERtextitalic"/>
        </w:rPr>
        <w:t>current</w:t>
      </w:r>
      <w:r>
        <w:t xml:space="preserve"> benchmarking data, we are not convinced that the service providers' submissions have merit. </w:t>
      </w:r>
    </w:p>
    <w:p w:rsidR="00051BDB" w:rsidRDefault="00051BDB" w:rsidP="00051BDB">
      <w:pPr>
        <w:pStyle w:val="HeadingItalic"/>
      </w:pPr>
      <w:r>
        <w:t>Alternative approaches proposed by service providers</w:t>
      </w:r>
    </w:p>
    <w:p w:rsidR="00051BDB" w:rsidRDefault="00051BDB" w:rsidP="00051BDB">
      <w:r>
        <w:t xml:space="preserve">On behalf of the service providers, Frontier Economics considers we should spend more time collecting 'more consistent and reliable data across DNSPs' and work collaboratively with the service providers. In doing so, Frontier Economics observes that Ofgem </w:t>
      </w:r>
      <w:r w:rsidRPr="00B45FB7">
        <w:t>has undertaken a decade or</w:t>
      </w:r>
      <w:r>
        <w:t xml:space="preserve"> </w:t>
      </w:r>
      <w:r w:rsidRPr="00B45FB7">
        <w:t>more of development work in respect of its data collection</w:t>
      </w:r>
      <w:r>
        <w:t>.</w:t>
      </w:r>
      <w:r>
        <w:rPr>
          <w:rStyle w:val="FootnoteReference"/>
        </w:rPr>
        <w:footnoteReference w:id="403"/>
      </w:r>
      <w:r>
        <w:t xml:space="preserve"> CEPA also comments that i</w:t>
      </w:r>
      <w:r w:rsidRPr="00EC24B3">
        <w:t xml:space="preserve">f </w:t>
      </w:r>
      <w:r>
        <w:t xml:space="preserve">we </w:t>
      </w:r>
      <w:r w:rsidRPr="00EC24B3">
        <w:t xml:space="preserve">had consistent data across the </w:t>
      </w:r>
      <w:r>
        <w:t>Australian service providers we</w:t>
      </w:r>
      <w:r w:rsidRPr="00EC24B3">
        <w:t xml:space="preserve"> may not </w:t>
      </w:r>
      <w:r>
        <w:t>need to rely on international data</w:t>
      </w:r>
      <w:r w:rsidRPr="00EC24B3">
        <w:t>.</w:t>
      </w:r>
      <w:r w:rsidRPr="00EC24B3">
        <w:rPr>
          <w:rStyle w:val="FootnoteReference"/>
        </w:rPr>
        <w:footnoteReference w:id="404"/>
      </w:r>
    </w:p>
    <w:p w:rsidR="00051BDB" w:rsidRDefault="00051BDB" w:rsidP="00051BDB">
      <w:r>
        <w:t xml:space="preserve">Notwithstanding our view that our data is of good quality now, this alternative is not feasible. Econometric benchmarking analysis with Australian service providers </w:t>
      </w:r>
      <w:r w:rsidRPr="003012ED">
        <w:t>can only be conducted with the international data</w:t>
      </w:r>
      <w:r>
        <w:t xml:space="preserve">. This is due to </w:t>
      </w:r>
      <w:r w:rsidRPr="003012ED">
        <w:t>the cross-sectional variation issue</w:t>
      </w:r>
      <w:r>
        <w:t xml:space="preserve"> we discuss above. As PEG observes, </w:t>
      </w:r>
      <w:r w:rsidRPr="00C775C2">
        <w:t>the number of companies in the Australian</w:t>
      </w:r>
      <w:r>
        <w:t xml:space="preserve"> </w:t>
      </w:r>
      <w:r w:rsidRPr="00C775C2">
        <w:t>sample will always be limited, even as additional years of data accumulate.</w:t>
      </w:r>
      <w:r>
        <w:rPr>
          <w:rStyle w:val="FootnoteReference"/>
        </w:rPr>
        <w:footnoteReference w:id="405"/>
      </w:r>
    </w:p>
    <w:p w:rsidR="00051BDB" w:rsidRDefault="00051BDB" w:rsidP="00051BDB">
      <w:r>
        <w:t>As for Frontier Economics' observations of Ofgem, we note the following. According to CEPA, in its 1999 price review for distribution services Ofgem benchmarked operating expenditure. It did so with only one year of opex data that required a number of significant adjustments. Using this data Ofgem developed a simple benchmarking model with only one dependent variable and determined the UK service providers could reduce their opex by 16 per cent (on average). The service providers subsequently were able to reduce their opex by 20 per cent (on average).</w:t>
      </w:r>
      <w:r>
        <w:rPr>
          <w:rStyle w:val="FootnoteReference"/>
        </w:rPr>
        <w:footnoteReference w:id="406"/>
      </w:r>
      <w:r>
        <w:t xml:space="preserve"> </w:t>
      </w:r>
    </w:p>
    <w:p w:rsidR="00051BDB" w:rsidRDefault="00051BDB" w:rsidP="00051BDB">
      <w:r>
        <w:t>We do not consider that Ofgem's approach was perfect. It does, however, indicate that Ofgem has in previously implemented opex benchmarking using a less sophisticated and less rigorously tested database than our own to determine expenditure requirements.</w:t>
      </w:r>
    </w:p>
    <w:p w:rsidR="00051BDB" w:rsidRDefault="00051BDB" w:rsidP="00051BDB">
      <w:pPr>
        <w:pStyle w:val="HeadingBoldItalic"/>
      </w:pPr>
      <w:r>
        <w:t>Adjustments to data</w:t>
      </w:r>
    </w:p>
    <w:p w:rsidR="00051BDB" w:rsidRDefault="00051BDB" w:rsidP="00051BDB">
      <w:r>
        <w:t xml:space="preserve">CEPA submits that our approach of adjusting for identified operating environment factors not explicitly included in the econometric models is ‘not in line with the </w:t>
      </w:r>
      <w:r>
        <w:lastRenderedPageBreak/>
        <w:t>approach used by Ofgem’. CEPA's view is that a better approach is to adjust for operating environment differences prior to conducting the modelling.</w:t>
      </w:r>
      <w:r>
        <w:rPr>
          <w:rStyle w:val="FootnoteReference"/>
        </w:rPr>
        <w:footnoteReference w:id="407"/>
      </w:r>
    </w:p>
    <w:p w:rsidR="00051BDB" w:rsidRDefault="00051BDB" w:rsidP="00051BDB">
      <w:r>
        <w:t>Economic Insights disagrees that the post-modelling adjustment approach is inappropriate. Economic Insights considers that given the purpose of the study, adjustment for operating environment factors can be done either:</w:t>
      </w:r>
      <w:r>
        <w:rPr>
          <w:rStyle w:val="FootnoteReference"/>
        </w:rPr>
        <w:footnoteReference w:id="408"/>
      </w:r>
    </w:p>
    <w:p w:rsidR="00051BDB" w:rsidRPr="00820239" w:rsidRDefault="00051BDB" w:rsidP="00051BDB">
      <w:pPr>
        <w:pStyle w:val="AERbulletlistfirststyle"/>
      </w:pPr>
      <w:r w:rsidRPr="00820239">
        <w:t xml:space="preserve">as part of the modelling, if sufficient information is available for all included </w:t>
      </w:r>
      <w:r>
        <w:t>service providers</w:t>
      </w:r>
      <w:r w:rsidRPr="00820239">
        <w:t xml:space="preserve"> across all jurisdictions, or</w:t>
      </w:r>
    </w:p>
    <w:p w:rsidR="00051BDB" w:rsidRPr="00820239" w:rsidRDefault="00051BDB" w:rsidP="00051BDB">
      <w:pPr>
        <w:pStyle w:val="AERbulletlistfirststyle"/>
      </w:pPr>
      <w:r w:rsidRPr="00820239">
        <w:t xml:space="preserve">after the modelling if data for particular variables are not universally and consistently available across countries, but are available for Australian </w:t>
      </w:r>
      <w:r w:rsidR="00AC227C">
        <w:t>distributors</w:t>
      </w:r>
      <w:r w:rsidRPr="00820239">
        <w:t>.</w:t>
      </w:r>
    </w:p>
    <w:p w:rsidR="00051BDB" w:rsidRDefault="00051BDB" w:rsidP="00051BDB">
      <w:r>
        <w:t>Economic Insights has adopted the latter approach because—given we are comparing Australian service provider performance to the most efficient Australian providers—the requisite information is not available for all service providers across all jurisdictions.</w:t>
      </w:r>
    </w:p>
    <w:p w:rsidR="00051BDB" w:rsidRDefault="00051BDB" w:rsidP="00051BDB">
      <w:r>
        <w:t>Economic Insights also notes that degrees of freedom considerations limit the number of operating environment variables that can usefully be included directly in economic benchmarking models. This means that making the use of subsequent adjustment is the only way of allowing a fuller treatment of operating environment factors. Therefore, while Economic Insights' approach may be different to that adopted by Ofgem, it is a valid approach and one that makes optimal use of the information available.</w:t>
      </w:r>
      <w:r>
        <w:rPr>
          <w:rStyle w:val="FootnoteReference"/>
        </w:rPr>
        <w:footnoteReference w:id="409"/>
      </w:r>
      <w:r>
        <w:t xml:space="preserve"> </w:t>
      </w:r>
      <w:r w:rsidRPr="00B2506A">
        <w:t xml:space="preserve">By adopting the two step approach </w:t>
      </w:r>
      <w:r>
        <w:t>analysis</w:t>
      </w:r>
      <w:r w:rsidRPr="00B2506A">
        <w:t xml:space="preserve"> includes allowance for the impact of many more operating environment factors than have earlier economic benchmarking studies and the alternative models advanced by the DNSPs’ consultants.</w:t>
      </w:r>
      <w:r>
        <w:rPr>
          <w:rStyle w:val="FootnoteReference"/>
        </w:rPr>
        <w:footnoteReference w:id="410"/>
      </w:r>
      <w:r>
        <w:t xml:space="preserve"> </w:t>
      </w:r>
    </w:p>
    <w:p w:rsidR="00051BDB" w:rsidRPr="00210F0E" w:rsidRDefault="00051BDB" w:rsidP="00051BDB">
      <w:r>
        <w:t>We discuss operating environment factors in detail in section</w:t>
      </w:r>
      <w:r w:rsidRPr="002E547A">
        <w:t xml:space="preserve"> A.6</w:t>
      </w:r>
      <w:r>
        <w:t>.</w:t>
      </w:r>
    </w:p>
    <w:p w:rsidR="00051BDB" w:rsidRDefault="00051BDB" w:rsidP="00051BDB">
      <w:pPr>
        <w:pStyle w:val="HeadingBoldBlue"/>
      </w:pPr>
      <w:bookmarkStart w:id="176" w:name="_Toc415230983"/>
      <w:r>
        <w:t>Estimation methods</w:t>
      </w:r>
      <w:bookmarkEnd w:id="176"/>
    </w:p>
    <w:p w:rsidR="00051BDB" w:rsidRDefault="00051BDB" w:rsidP="00051BDB">
      <w:r>
        <w:t>In this sub-section we compare and contrast our estimation methods with the alternatives proposed by the service providers' consultants. First, we explain what we have done and why. Second, we explain why we have not used data envelopment analysis (DEA) and why the DEA analysis used by the service providers' consultants is inappropriate. Third, we demonstrate why the service providers' estimation methods are not robust or reliable.</w:t>
      </w:r>
    </w:p>
    <w:p w:rsidR="00C74791" w:rsidRDefault="00C74791">
      <w:pPr>
        <w:spacing w:line="240" w:lineRule="auto"/>
        <w:rPr>
          <w:rFonts w:eastAsiaTheme="majorEastAsia" w:cstheme="majorBidi"/>
          <w:b/>
          <w:bCs/>
          <w:i/>
          <w:iCs/>
          <w:color w:val="51626F"/>
          <w:sz w:val="24"/>
        </w:rPr>
      </w:pPr>
      <w:bookmarkStart w:id="177" w:name="_Toc415230984"/>
      <w:r>
        <w:br w:type="page"/>
      </w:r>
    </w:p>
    <w:p w:rsidR="00051BDB" w:rsidRDefault="00051BDB" w:rsidP="00051BDB">
      <w:pPr>
        <w:pStyle w:val="HeadingBoldItalic"/>
      </w:pPr>
      <w:r>
        <w:lastRenderedPageBreak/>
        <w:t>Our estimation methods</w:t>
      </w:r>
    </w:p>
    <w:p w:rsidR="00051BDB" w:rsidRDefault="00051BDB" w:rsidP="00051BDB">
      <w:r>
        <w:t>We have applied the best available model for estimating efficient opex. Economic Insights explains that our Cobb Douglas SFA model is statistically superior to other benchmarking methods for the following reasons:</w:t>
      </w:r>
      <w:r>
        <w:rPr>
          <w:rStyle w:val="FootnoteReference"/>
        </w:rPr>
        <w:footnoteReference w:id="411"/>
      </w:r>
    </w:p>
    <w:p w:rsidR="00051BDB" w:rsidRDefault="00051BDB" w:rsidP="00051BDB">
      <w:pPr>
        <w:pStyle w:val="AERbulletlistfirststyle"/>
      </w:pPr>
      <w:r>
        <w:t>it specifies the relationship between opex and outputs and some operating environment factors in an opex cost function (unlike DEA and MPFP)</w:t>
      </w:r>
    </w:p>
    <w:p w:rsidR="00051BDB" w:rsidRDefault="00051BDB" w:rsidP="00051BDB">
      <w:pPr>
        <w:pStyle w:val="AERbulletlistfirststyle"/>
      </w:pPr>
      <w:r>
        <w:t>it directly estimates an efficient frontier (unlike econometric models and MPFP)</w:t>
      </w:r>
    </w:p>
    <w:p w:rsidR="00051BDB" w:rsidRDefault="00051BDB" w:rsidP="00051BDB">
      <w:pPr>
        <w:pStyle w:val="AERbulletlistfirststyle"/>
      </w:pPr>
      <w:r>
        <w:t xml:space="preserve">it </w:t>
      </w:r>
      <w:r w:rsidRPr="009435FD">
        <w:t xml:space="preserve">contains a random error term </w:t>
      </w:r>
      <w:r>
        <w:t>that separates the effect of</w:t>
      </w:r>
      <w:r w:rsidRPr="009435FD">
        <w:t xml:space="preserve"> </w:t>
      </w:r>
      <w:r>
        <w:t>data noises or random errors from inefficiency</w:t>
      </w:r>
      <w:r w:rsidRPr="009435FD">
        <w:t xml:space="preserve"> </w:t>
      </w:r>
      <w:r>
        <w:t>(unlike econometric models, DEA and MPFP)</w:t>
      </w:r>
    </w:p>
    <w:p w:rsidR="00051BDB" w:rsidRDefault="00051BDB" w:rsidP="00051BDB">
      <w:pPr>
        <w:pStyle w:val="AERbulletlistfirststyle"/>
      </w:pPr>
      <w:r>
        <w:t>the results of the Cobb Douglas SFA model can be verified with statistical testing (unlike DEA and MPFP).</w:t>
      </w:r>
    </w:p>
    <w:p w:rsidR="00051BDB" w:rsidRPr="003710AB" w:rsidRDefault="00051BDB" w:rsidP="00051BDB">
      <w:r>
        <w:t>In addition, Economic Insights undertook</w:t>
      </w:r>
      <w:r w:rsidRPr="003710AB">
        <w:t xml:space="preserve"> tests of the Cobb Douglas SFA model and have found that:</w:t>
      </w:r>
      <w:r w:rsidRPr="003710AB">
        <w:rPr>
          <w:rStyle w:val="FootnoteReference"/>
        </w:rPr>
        <w:footnoteReference w:id="412"/>
      </w:r>
    </w:p>
    <w:p w:rsidR="00051BDB" w:rsidRDefault="00051BDB" w:rsidP="00051BDB">
      <w:pPr>
        <w:pStyle w:val="AERbulletlistfirststyle"/>
      </w:pPr>
      <w:r>
        <w:t>all the parameters are of the expected sign</w:t>
      </w:r>
    </w:p>
    <w:p w:rsidR="00051BDB" w:rsidRDefault="00051BDB" w:rsidP="00051BDB">
      <w:pPr>
        <w:pStyle w:val="AERbulletlistfirststyle"/>
      </w:pPr>
      <w:r>
        <w:t>the parameter estimates all have plausible values</w:t>
      </w:r>
    </w:p>
    <w:p w:rsidR="00051BDB" w:rsidRDefault="00051BDB" w:rsidP="00051BDB">
      <w:pPr>
        <w:pStyle w:val="AERbulletlistfirststyle"/>
      </w:pPr>
      <w:r w:rsidRPr="00FC5D01">
        <w:t>estimated coefficients</w:t>
      </w:r>
      <w:r>
        <w:t xml:space="preserve"> are statistically significant which indicates that they have been estimated to a high degree of precision</w:t>
      </w:r>
    </w:p>
    <w:p w:rsidR="00051BDB" w:rsidRDefault="00051BDB" w:rsidP="00051BDB">
      <w:pPr>
        <w:pStyle w:val="AERbulletlistfirststyle"/>
      </w:pPr>
      <w:r>
        <w:t>the confidence intervals for the efficiency scores are relatively narrow.</w:t>
      </w:r>
    </w:p>
    <w:p w:rsidR="00051BDB" w:rsidRDefault="00051BDB" w:rsidP="00051BDB">
      <w:r>
        <w:t>We have further confidence that the Cobb Douglas SFA model is appropriate because Economic Insights has also been able to corroborate the SFA model by producing consistent results using:</w:t>
      </w:r>
    </w:p>
    <w:p w:rsidR="00051BDB" w:rsidRDefault="00051BDB" w:rsidP="00051BDB">
      <w:pPr>
        <w:pStyle w:val="AERbulletlistfirststyle"/>
      </w:pPr>
      <w:r>
        <w:t>other sophisticated econometric opex models using the same set of explanatory variables (Cobb Douglas LSE and translog LSE) that are more appropriate than the alternatives proposed by the service providers</w:t>
      </w:r>
    </w:p>
    <w:p w:rsidR="00051BDB" w:rsidRDefault="00051BDB" w:rsidP="00051BDB">
      <w:pPr>
        <w:pStyle w:val="AERbulletlistfirststyle"/>
      </w:pPr>
      <w:r>
        <w:t>the opex MPFP model, which applies a different model specification and does not rely on international data.</w:t>
      </w:r>
    </w:p>
    <w:p w:rsidR="00051BDB" w:rsidRDefault="00051BDB" w:rsidP="00051BDB">
      <w:r>
        <w:t>In addition, the results of our partial performance indicators and detailed review are consistent with the economic benchmarking results.</w:t>
      </w:r>
    </w:p>
    <w:p w:rsidR="00051BDB" w:rsidRDefault="00051BDB" w:rsidP="00051BDB">
      <w:pPr>
        <w:pStyle w:val="HeadingBoldItalic"/>
      </w:pPr>
      <w:r>
        <w:t>Data envelopment analysis</w:t>
      </w:r>
    </w:p>
    <w:p w:rsidR="00051BDB" w:rsidRDefault="00051BDB" w:rsidP="00051BDB">
      <w:pPr>
        <w:rPr>
          <w:rStyle w:val="AERbody"/>
        </w:rPr>
      </w:pPr>
      <w:r>
        <w:rPr>
          <w:rStyle w:val="AERbody"/>
        </w:rPr>
        <w:t xml:space="preserve">Some submissions suggested we should use DEA because we foreshadowed we would use it in our expenditure forecast assessment guideline. However, we have chosen not to apply DEA because it is an inferior modelling technique to a SFA model. </w:t>
      </w:r>
    </w:p>
    <w:p w:rsidR="00051BDB" w:rsidRDefault="00051BDB" w:rsidP="00051BDB">
      <w:pPr>
        <w:rPr>
          <w:rStyle w:val="AERbody"/>
        </w:rPr>
      </w:pPr>
      <w:r>
        <w:rPr>
          <w:rStyle w:val="AERbody"/>
        </w:rPr>
        <w:lastRenderedPageBreak/>
        <w:t>As Economic Insights observes, DEA may identify certain service providers as efficient by default.</w:t>
      </w:r>
      <w:r>
        <w:rPr>
          <w:rStyle w:val="FootnoteReference"/>
        </w:rPr>
        <w:footnoteReference w:id="413"/>
      </w:r>
      <w:r>
        <w:rPr>
          <w:rStyle w:val="AERbody"/>
        </w:rPr>
        <w:t xml:space="preserve"> This is because DEA estimates the efficient frontier based upon the observed input and output combinations of service providers. This problem is compounded with the inclusion of additional output variables.</w:t>
      </w:r>
      <w:r>
        <w:rPr>
          <w:rStyle w:val="FootnoteReference"/>
        </w:rPr>
        <w:footnoteReference w:id="414"/>
      </w:r>
      <w:r>
        <w:rPr>
          <w:rStyle w:val="AERbody"/>
        </w:rPr>
        <w:t xml:space="preserve"> This is a particular concern when DEA is applied to a small sample of service providers (such as the Australian only data set).</w:t>
      </w:r>
      <w:r w:rsidRPr="00070E99">
        <w:rPr>
          <w:rStyle w:val="FootnoteReference"/>
        </w:rPr>
        <w:footnoteReference w:id="415"/>
      </w:r>
    </w:p>
    <w:p w:rsidR="00051BDB" w:rsidRDefault="00051BDB" w:rsidP="00051BDB">
      <w:r>
        <w:t xml:space="preserve">In addition, DEA models do not produce confidence intervals for efficiency estimates and </w:t>
      </w:r>
      <w:r w:rsidRPr="00654CF4">
        <w:t>DEA requires a large number of observations to</w:t>
      </w:r>
      <w:r>
        <w:t xml:space="preserve"> be</w:t>
      </w:r>
      <w:r w:rsidRPr="00654CF4">
        <w:t xml:space="preserve"> implement</w:t>
      </w:r>
      <w:r>
        <w:t>ed</w:t>
      </w:r>
      <w:r w:rsidRPr="00654CF4">
        <w:t xml:space="preserve"> satisfactorily. </w:t>
      </w:r>
      <w:r w:rsidRPr="00070E99">
        <w:rPr>
          <w:rStyle w:val="FootnoteReference"/>
        </w:rPr>
        <w:footnoteReference w:id="416"/>
      </w:r>
      <w:r>
        <w:t xml:space="preserve"> Economic Insights considers that </w:t>
      </w:r>
      <w:r w:rsidRPr="00654CF4">
        <w:t>SFA is a preferable form of econometric model because it separates out the inefficiency component from the random noise component of the error term.</w:t>
      </w:r>
      <w:r>
        <w:rPr>
          <w:rStyle w:val="FootnoteReference"/>
        </w:rPr>
        <w:footnoteReference w:id="417"/>
      </w:r>
    </w:p>
    <w:p w:rsidR="00051BDB" w:rsidRDefault="00051BDB" w:rsidP="00051BDB">
      <w:r>
        <w:t>In our expenditure forecast assessment guideline we indicated that we would use DEA. However, we also specified that we would take a holistic approach to developing benchmarking models based upon the availability of data. Once we received benchmarking data we discovered that we were able to develop a statistically superior SFA model. As such, we have decided to depart from the approach we set out in the Guideline.</w:t>
      </w:r>
    </w:p>
    <w:p w:rsidR="00051BDB" w:rsidRDefault="00051BDB" w:rsidP="00051BDB">
      <w:pPr>
        <w:pStyle w:val="HeadingBoldItalic"/>
      </w:pPr>
      <w:r>
        <w:t>The service providers' estimation methods are not sufficiently robust or reliable</w:t>
      </w:r>
    </w:p>
    <w:p w:rsidR="00051BDB" w:rsidRPr="00F854BC" w:rsidRDefault="00051BDB" w:rsidP="00051BDB">
      <w:r w:rsidRPr="00F854BC">
        <w:t xml:space="preserve">A number of consultancy reports submitted have presented alternative benchmarking </w:t>
      </w:r>
      <w:r>
        <w:t xml:space="preserve">models </w:t>
      </w:r>
      <w:r w:rsidRPr="00F854BC">
        <w:t>to cross-check opex cost</w:t>
      </w:r>
      <w:r>
        <w:t xml:space="preserve"> modelling by Economic Insights</w:t>
      </w:r>
      <w:r w:rsidRPr="00F854BC">
        <w:t>.</w:t>
      </w:r>
      <w:r>
        <w:rPr>
          <w:rStyle w:val="FootnoteReference"/>
        </w:rPr>
        <w:footnoteReference w:id="418"/>
      </w:r>
      <w:r w:rsidRPr="00F854BC">
        <w:t xml:space="preserve">  Depending on the model specification, these estimation methods differ </w:t>
      </w:r>
      <w:r>
        <w:t xml:space="preserve">in how they estimate </w:t>
      </w:r>
      <w:r w:rsidRPr="00F854BC">
        <w:t xml:space="preserve">inefficiencies, unobserved firm heterogeneity effect, and random errors.  The modelling differences include: </w:t>
      </w:r>
    </w:p>
    <w:p w:rsidR="00051BDB" w:rsidRPr="00F854BC" w:rsidRDefault="00051BDB" w:rsidP="00051BDB">
      <w:pPr>
        <w:pStyle w:val="AERbulletlistfirststyle"/>
      </w:pPr>
      <w:r w:rsidRPr="00F854BC">
        <w:t>treatment of unobserved firm heterogeneity and it</w:t>
      </w:r>
      <w:r>
        <w:t>s separation from inefficiency</w:t>
      </w:r>
    </w:p>
    <w:p w:rsidR="00051BDB" w:rsidRPr="00F854BC" w:rsidRDefault="00051BDB" w:rsidP="00051BDB">
      <w:pPr>
        <w:pStyle w:val="AERbulletlistfirststyle"/>
      </w:pPr>
      <w:r>
        <w:t xml:space="preserve">the </w:t>
      </w:r>
      <w:r w:rsidRPr="00F854BC">
        <w:t>distributional form</w:t>
      </w:r>
      <w:r>
        <w:t xml:space="preserve"> applied to modelled inefficiency</w:t>
      </w:r>
    </w:p>
    <w:p w:rsidR="00051BDB" w:rsidRPr="00F854BC" w:rsidRDefault="00051BDB" w:rsidP="00051BDB">
      <w:pPr>
        <w:pStyle w:val="AERbulletlistfirststyle"/>
      </w:pPr>
      <w:r>
        <w:t>The inclusion or exclusion of a random error term and the characteristics of this random error term.</w:t>
      </w:r>
      <w:r w:rsidRPr="00F854BC">
        <w:t xml:space="preserve">  </w:t>
      </w:r>
    </w:p>
    <w:p w:rsidR="00051BDB" w:rsidRDefault="00051BDB" w:rsidP="00051BDB">
      <w:r>
        <w:t>The results of these models differ to that of Economic Insights. In our view, this is because the alternative models presented by the service providers' consultants are not robust. We outline our views on the alternative models below.</w:t>
      </w:r>
    </w:p>
    <w:p w:rsidR="00C74791" w:rsidRDefault="00C74791">
      <w:pPr>
        <w:spacing w:line="240" w:lineRule="auto"/>
        <w:rPr>
          <w:rFonts w:eastAsiaTheme="majorEastAsia" w:cstheme="majorBidi"/>
          <w:bCs/>
          <w:i/>
          <w:iCs/>
          <w:color w:val="51626F"/>
          <w:sz w:val="24"/>
        </w:rPr>
      </w:pPr>
      <w:r>
        <w:br w:type="page"/>
      </w:r>
    </w:p>
    <w:p w:rsidR="00051BDB" w:rsidRDefault="00051BDB" w:rsidP="00051BDB">
      <w:pPr>
        <w:pStyle w:val="HeadingItalic"/>
      </w:pPr>
      <w:r>
        <w:lastRenderedPageBreak/>
        <w:t>Use of DEA</w:t>
      </w:r>
    </w:p>
    <w:p w:rsidR="00051BDB" w:rsidRDefault="00051BDB" w:rsidP="00051BDB">
      <w:r>
        <w:t>A number of the service providers' consultants have chosen to develop DEA models. We have noted the limitations of DEA models above.</w:t>
      </w:r>
    </w:p>
    <w:p w:rsidR="00051BDB" w:rsidRPr="005771D0" w:rsidRDefault="00051BDB" w:rsidP="00051BDB">
      <w:r>
        <w:t>For instance, Huegin, Synergies and Frontier apply DEA models using a variety of inputs and outputs.</w:t>
      </w:r>
      <w:r>
        <w:rPr>
          <w:rStyle w:val="FootnoteReference"/>
        </w:rPr>
        <w:footnoteReference w:id="419"/>
      </w:r>
      <w:r>
        <w:t xml:space="preserve"> </w:t>
      </w:r>
      <w:r w:rsidRPr="003771A9">
        <w:t xml:space="preserve">Frontier Economics finds more </w:t>
      </w:r>
      <w:r>
        <w:t>service providers</w:t>
      </w:r>
      <w:r w:rsidRPr="003771A9">
        <w:t xml:space="preserve"> to be efficient when additional output variable</w:t>
      </w:r>
      <w:r>
        <w:t xml:space="preserve">s are added to the model </w:t>
      </w:r>
      <w:r w:rsidRPr="003771A9">
        <w:t xml:space="preserve">or variable returns-to-scale technology is imposed. This illustrates the </w:t>
      </w:r>
      <w:r>
        <w:t>'efficient by default' problem when using DEA. Economic Insights notes that i</w:t>
      </w:r>
      <w:r w:rsidRPr="00651928">
        <w:t xml:space="preserve">ncreasing the number of outputs from three to four increases the number of </w:t>
      </w:r>
      <w:r w:rsidR="00AC227C">
        <w:t>distributors</w:t>
      </w:r>
      <w:r w:rsidR="00AC227C" w:rsidRPr="00651928">
        <w:t xml:space="preserve"> </w:t>
      </w:r>
      <w:r w:rsidRPr="00651928">
        <w:t>with scores above 0.95 from two to seven, while also introducing variable returns to scale further increases the number with scores above 0.95 to 10 – simply because the sample is not large enough to support sensible efficiency analysis using this method.</w:t>
      </w:r>
      <w:r>
        <w:rPr>
          <w:rStyle w:val="FootnoteReference"/>
        </w:rPr>
        <w:footnoteReference w:id="420"/>
      </w:r>
    </w:p>
    <w:p w:rsidR="00051BDB" w:rsidRDefault="00051BDB" w:rsidP="00051BDB">
      <w:pPr>
        <w:pStyle w:val="HeadingItalic"/>
      </w:pPr>
      <w:r>
        <w:t xml:space="preserve">True </w:t>
      </w:r>
      <w:r w:rsidRPr="003771A9">
        <w:t>fixed-effects (FE) model</w:t>
      </w:r>
      <w:r>
        <w:t xml:space="preserve"> and</w:t>
      </w:r>
      <w:r w:rsidRPr="003771A9">
        <w:t xml:space="preserve"> true random-effects (RE) model</w:t>
      </w:r>
      <w:r>
        <w:t>s</w:t>
      </w:r>
    </w:p>
    <w:p w:rsidR="00051BDB" w:rsidRDefault="00051BDB" w:rsidP="00051BDB">
      <w:r>
        <w:t xml:space="preserve">Frontier Economics developed FE and RE models. </w:t>
      </w:r>
      <w:r w:rsidRPr="00D87BD3">
        <w:t>These models assume ineffici</w:t>
      </w:r>
      <w:r>
        <w:t>ency varies randomly over time.</w:t>
      </w:r>
      <w:r>
        <w:rPr>
          <w:rStyle w:val="FootnoteReference"/>
        </w:rPr>
        <w:footnoteReference w:id="421"/>
      </w:r>
      <w:r>
        <w:t xml:space="preserve"> Consequently they attribute inefficiency that does not vary over time to latent heterogeneity.</w:t>
      </w:r>
      <w:r>
        <w:rPr>
          <w:rStyle w:val="FootnoteReference"/>
        </w:rPr>
        <w:footnoteReference w:id="422"/>
      </w:r>
      <w:r>
        <w:t xml:space="preserve"> This is an incorrect assumption where inefficiency persists over time as in such a circumstance these models will systematically underestimate inefficiency. Economic Insights notes that these models </w:t>
      </w:r>
      <w:r w:rsidRPr="0037450B">
        <w:t>find ver</w:t>
      </w:r>
      <w:r>
        <w:t>y large mean efficiency scores</w:t>
      </w:r>
      <w:r w:rsidRPr="0037450B">
        <w:t xml:space="preserve"> which</w:t>
      </w:r>
      <w:r>
        <w:t xml:space="preserve"> it considers</w:t>
      </w:r>
      <w:r w:rsidRPr="0037450B">
        <w:t xml:space="preserve"> would appear to be unreasonably high given what is known about the relative performance of firms in this sample from other sources</w:t>
      </w:r>
      <w:r>
        <w:t>.</w:t>
      </w:r>
      <w:r>
        <w:rPr>
          <w:rStyle w:val="FootnoteReference"/>
        </w:rPr>
        <w:footnoteReference w:id="423"/>
      </w:r>
      <w:r>
        <w:t xml:space="preserve"> Economic insights also notes that, to its knowledge, these models have not been applied by any regulator in any country due to the inherent problems with the underlying assumptions in the models.</w:t>
      </w:r>
      <w:r>
        <w:rPr>
          <w:rStyle w:val="FootnoteReference"/>
        </w:rPr>
        <w:footnoteReference w:id="424"/>
      </w:r>
    </w:p>
    <w:p w:rsidR="00051BDB" w:rsidRDefault="00051BDB" w:rsidP="00051BDB">
      <w:pPr>
        <w:pStyle w:val="HeadingItalic"/>
      </w:pPr>
      <w:r>
        <w:t>Latent class modelling and k-means clustering</w:t>
      </w:r>
    </w:p>
    <w:p w:rsidR="00051BDB" w:rsidRDefault="00051BDB" w:rsidP="00051BDB">
      <w:r>
        <w:t>Huegin, in their report for the NSW and ACT service providers, use latent class SFA models to identify heterogeneity in the dataset.</w:t>
      </w:r>
      <w:r>
        <w:rPr>
          <w:rStyle w:val="FootnoteReference"/>
        </w:rPr>
        <w:footnoteReference w:id="425"/>
      </w:r>
      <w:r>
        <w:t xml:space="preserve"> </w:t>
      </w:r>
      <w:r w:rsidRPr="005C1B39">
        <w:t xml:space="preserve">In this methodology, clustering methods are used to identify subsets of the sample data so that separate </w:t>
      </w:r>
      <w:r>
        <w:t xml:space="preserve">efficiency </w:t>
      </w:r>
      <w:r w:rsidRPr="005C1B39">
        <w:t>frontiers can</w:t>
      </w:r>
      <w:r>
        <w:t xml:space="preserve"> be estimated for each subset. Huegin's modelling is flawed, however, because:</w:t>
      </w:r>
    </w:p>
    <w:p w:rsidR="00051BDB" w:rsidRDefault="00051BDB" w:rsidP="00051BDB">
      <w:pPr>
        <w:pStyle w:val="AERbulletlistfirststyle"/>
      </w:pPr>
      <w:r>
        <w:t>Huegin did not include country dummy variables in its modelling to capture cross country differences.</w:t>
      </w:r>
      <w:r>
        <w:rPr>
          <w:rStyle w:val="FootnoteReference"/>
        </w:rPr>
        <w:footnoteReference w:id="426"/>
      </w:r>
    </w:p>
    <w:p w:rsidR="00051BDB" w:rsidRDefault="00051BDB" w:rsidP="00051BDB">
      <w:pPr>
        <w:pStyle w:val="AERbulletlistfirststyle"/>
      </w:pPr>
      <w:r>
        <w:lastRenderedPageBreak/>
        <w:t>Huegin did not report parameter estimates for the model. When parameter estimates were later provided on request, some of the estimated coefficients had the incorrect signs</w:t>
      </w:r>
      <w:r>
        <w:rPr>
          <w:rStyle w:val="FootnoteReference"/>
        </w:rPr>
        <w:footnoteReference w:id="427"/>
      </w:r>
      <w:r>
        <w:t xml:space="preserve"> </w:t>
      </w:r>
    </w:p>
    <w:p w:rsidR="00051BDB" w:rsidRDefault="00051BDB" w:rsidP="00051BDB">
      <w:pPr>
        <w:pStyle w:val="AERbulletlistfirststyle"/>
      </w:pPr>
      <w:r>
        <w:t>Latent class modelling will understate inefficiency because</w:t>
      </w:r>
      <w:r w:rsidRPr="009D3402">
        <w:t xml:space="preserve"> dividing any data set into subsets the mean efficiency score will almost invariably increase as the sample size decreases.</w:t>
      </w:r>
      <w:r>
        <w:t xml:space="preserve"> </w:t>
      </w:r>
      <w:r>
        <w:rPr>
          <w:rStyle w:val="FootnoteReference"/>
        </w:rPr>
        <w:footnoteReference w:id="428"/>
      </w:r>
    </w:p>
    <w:p w:rsidR="00051BDB" w:rsidRDefault="00051BDB" w:rsidP="00051BDB">
      <w:r>
        <w:t xml:space="preserve">In their subsequent report for Ergon Energy Huegin apply a different statistical technique, </w:t>
      </w:r>
      <w:r w:rsidRPr="005C1B39">
        <w:t>k–means clustering</w:t>
      </w:r>
      <w:r>
        <w:t xml:space="preserve">. This is used to </w:t>
      </w:r>
      <w:r w:rsidRPr="005C1B39">
        <w:t>look for clusters (classes)</w:t>
      </w:r>
      <w:r>
        <w:t xml:space="preserve"> in Economic Insight's data set</w:t>
      </w:r>
      <w:r w:rsidRPr="005C1B39">
        <w:t>.</w:t>
      </w:r>
      <w:r>
        <w:rPr>
          <w:rStyle w:val="FootnoteReference"/>
        </w:rPr>
        <w:footnoteReference w:id="429"/>
      </w:r>
      <w:r>
        <w:t xml:space="preserve"> This approach has the following problems:</w:t>
      </w:r>
      <w:r>
        <w:rPr>
          <w:rStyle w:val="FootnoteReference"/>
        </w:rPr>
        <w:footnoteReference w:id="430"/>
      </w:r>
      <w:r w:rsidRPr="005C1B39">
        <w:t xml:space="preserve">  </w:t>
      </w:r>
    </w:p>
    <w:p w:rsidR="00051BDB" w:rsidRDefault="00051BDB" w:rsidP="00051BDB">
      <w:pPr>
        <w:pStyle w:val="AERbulletlistfirststyle"/>
      </w:pPr>
      <w:r w:rsidRPr="005C1B39">
        <w:t xml:space="preserve">the Huegin clustering exercise involves a simple comparison of means, which is a linear analysis. The Economic Insights (2014) models are non–linear economic cost function models (Cobb–Douglas and translog) which are used to capture the classic diminishing marginal returns nature of economic cost structures. </w:t>
      </w:r>
    </w:p>
    <w:p w:rsidR="00051BDB" w:rsidRDefault="00051BDB" w:rsidP="00051BDB">
      <w:pPr>
        <w:pStyle w:val="AERbulletlistfirststyle"/>
      </w:pPr>
      <w:r w:rsidRPr="005C1B39">
        <w:t xml:space="preserve">Huegin exclude the country–level dummy variables from the analysis, which introduces misspecification.  </w:t>
      </w:r>
    </w:p>
    <w:p w:rsidR="00051BDB" w:rsidRDefault="00051BDB" w:rsidP="00051BDB">
      <w:pPr>
        <w:pStyle w:val="AERbulletlistfirststyle"/>
      </w:pPr>
      <w:r w:rsidRPr="005C1B39">
        <w:t xml:space="preserve">The clustering methods identify clusters of </w:t>
      </w:r>
      <w:r>
        <w:t>service providers</w:t>
      </w:r>
      <w:r w:rsidRPr="005C1B39">
        <w:t xml:space="preserve"> that are similar to each other in terms of closeness of their means.  They do not provide evidence that the </w:t>
      </w:r>
      <w:r>
        <w:t xml:space="preserve">service providers </w:t>
      </w:r>
      <w:r w:rsidRPr="005C1B39">
        <w:t>in these clusters are significantly different from each other nor that they belong to separate cost functions.</w:t>
      </w:r>
      <w:r w:rsidDel="009407C2">
        <w:rPr>
          <w:rStyle w:val="FootnoteReference"/>
        </w:rPr>
        <w:t xml:space="preserve"> </w:t>
      </w:r>
    </w:p>
    <w:p w:rsidR="00051BDB" w:rsidRDefault="00051BDB" w:rsidP="00051BDB">
      <w:pPr>
        <w:pStyle w:val="HeadingBoldBlue"/>
      </w:pPr>
      <w:r w:rsidRPr="00210F0E">
        <w:t>Efficiency results</w:t>
      </w:r>
      <w:bookmarkEnd w:id="177"/>
    </w:p>
    <w:p w:rsidR="00051BDB" w:rsidRPr="0001609B" w:rsidRDefault="00051BDB" w:rsidP="00051BDB">
      <w:r>
        <w:t>In this sub-section we address the robustness and reliability of our approach, in light of the results of the service providers' alternative models.  The service providers, their consultants and the McKell Institute submit</w:t>
      </w:r>
      <w:r w:rsidRPr="0001609B">
        <w:t xml:space="preserve"> that </w:t>
      </w:r>
      <w:r>
        <w:t xml:space="preserve">our </w:t>
      </w:r>
      <w:r w:rsidRPr="0001609B">
        <w:t>benchmarking results are sensitive to the modelling approach and model specification adopted</w:t>
      </w:r>
      <w:r>
        <w:t>. They present alternatives to demonstrate this</w:t>
      </w:r>
      <w:r w:rsidRPr="0001609B">
        <w:t xml:space="preserve">. </w:t>
      </w:r>
      <w:r>
        <w:t>T</w:t>
      </w:r>
      <w:r w:rsidRPr="0001609B">
        <w:t xml:space="preserve">hey </w:t>
      </w:r>
      <w:r>
        <w:t xml:space="preserve">consider </w:t>
      </w:r>
      <w:r w:rsidRPr="0001609B">
        <w:t xml:space="preserve">the extent of the variation in outcomes indicates the poor explanatory power of our benchmarking as a proxy for </w:t>
      </w:r>
      <w:r>
        <w:t xml:space="preserve">the </w:t>
      </w:r>
      <w:r w:rsidRPr="0001609B">
        <w:t>real operating costs of the</w:t>
      </w:r>
      <w:r>
        <w:t xml:space="preserve"> service providers</w:t>
      </w:r>
      <w:r w:rsidRPr="0001609B">
        <w:t>.</w:t>
      </w:r>
      <w:r w:rsidRPr="0001609B">
        <w:rPr>
          <w:rStyle w:val="FootnoteReference"/>
        </w:rPr>
        <w:footnoteReference w:id="431"/>
      </w:r>
    </w:p>
    <w:p w:rsidR="00051BDB" w:rsidRPr="0001609B" w:rsidRDefault="00051BDB" w:rsidP="00051BDB">
      <w:r w:rsidRPr="0001609B">
        <w:t xml:space="preserve">We </w:t>
      </w:r>
      <w:r>
        <w:t xml:space="preserve">agree </w:t>
      </w:r>
      <w:r w:rsidRPr="0001609B">
        <w:t xml:space="preserve">that different modelling techniques and model specifications </w:t>
      </w:r>
      <w:r>
        <w:t xml:space="preserve">will </w:t>
      </w:r>
      <w:r w:rsidRPr="0001609B">
        <w:t xml:space="preserve">produce different results. However, </w:t>
      </w:r>
      <w:r>
        <w:t xml:space="preserve">as we demonstrated above, Economic Insights' modelling is </w:t>
      </w:r>
      <w:r w:rsidRPr="0001609B">
        <w:t xml:space="preserve">robust </w:t>
      </w:r>
      <w:r>
        <w:t xml:space="preserve">whereas </w:t>
      </w:r>
      <w:r w:rsidRPr="0001609B">
        <w:t xml:space="preserve">the </w:t>
      </w:r>
      <w:r>
        <w:t xml:space="preserve">alternatives </w:t>
      </w:r>
      <w:r w:rsidRPr="0001609B">
        <w:t xml:space="preserve">developed by the consultants of the service providers </w:t>
      </w:r>
      <w:r w:rsidRPr="0001609B">
        <w:lastRenderedPageBreak/>
        <w:t xml:space="preserve">are </w:t>
      </w:r>
      <w:r>
        <w:t>not</w:t>
      </w:r>
      <w:r w:rsidRPr="0001609B">
        <w:t xml:space="preserve">. Economic Insights has </w:t>
      </w:r>
      <w:r>
        <w:t>considered the alternative models proposed by the service providers' consultants in detail and has identified significant deficiencies</w:t>
      </w:r>
      <w:r w:rsidRPr="0001609B">
        <w:t>.</w:t>
      </w:r>
      <w:r w:rsidRPr="0001609B">
        <w:rPr>
          <w:rStyle w:val="FootnoteReference"/>
        </w:rPr>
        <w:footnoteReference w:id="432"/>
      </w:r>
      <w:r w:rsidRPr="0001609B">
        <w:t xml:space="preserve"> </w:t>
      </w:r>
    </w:p>
    <w:p w:rsidR="00051BDB" w:rsidRDefault="00051BDB" w:rsidP="00051BDB">
      <w:pPr>
        <w:pStyle w:val="HeadingBoldItalic"/>
      </w:pPr>
      <w:r>
        <w:t>Our results are robust and reliable</w:t>
      </w:r>
    </w:p>
    <w:p w:rsidR="00051BDB" w:rsidRDefault="00051BDB" w:rsidP="00051BDB">
      <w:r>
        <w:t>Our view is that the results of Economic Insights' modelling are robust and reliable because the model specification, data and estimation methods are superior to everything proposed by the service providers and their consultants. The CCP agree that the model is robust and reliable:</w:t>
      </w:r>
      <w:r>
        <w:rPr>
          <w:rStyle w:val="FootnoteReference"/>
        </w:rPr>
        <w:footnoteReference w:id="433"/>
      </w:r>
      <w:r>
        <w:t xml:space="preserve"> </w:t>
      </w:r>
    </w:p>
    <w:p w:rsidR="00051BDB" w:rsidRDefault="00051BDB" w:rsidP="00051BDB">
      <w:pPr>
        <w:pStyle w:val="AERquoteindent1"/>
      </w:pPr>
      <w:r>
        <w:t>Our assessment is that the work is thorough, and that care has been taken in choosing appropriate models, testing them and defining their limitations including the standard errors of their estimates. We find the consistency of its partial slope coefficients (across models) and the narrowness of its standard errors reassuring. The explanatory factors that the model has chosen are consistent with those we have seen in other modelling exercises…and the ordinary least squares and least square dummy variable approaches are well accepted.</w:t>
      </w:r>
    </w:p>
    <w:p w:rsidR="00051BDB" w:rsidRDefault="00051BDB" w:rsidP="00051BDB">
      <w:pPr>
        <w:pStyle w:val="HeadingItalic"/>
      </w:pPr>
      <w:r>
        <w:t>Model specification</w:t>
      </w:r>
    </w:p>
    <w:p w:rsidR="00051BDB" w:rsidRDefault="00051BDB" w:rsidP="00051BDB">
      <w:r>
        <w:t>As we outline above, Economic Insights' model</w:t>
      </w:r>
      <w:r w:rsidRPr="00210F0E">
        <w:t xml:space="preserve"> specification</w:t>
      </w:r>
      <w:r>
        <w:t xml:space="preserve">, in combination with a subsequent adjustment for operating environment factors, </w:t>
      </w:r>
      <w:r w:rsidRPr="00210F0E">
        <w:t>is appropriate</w:t>
      </w:r>
      <w:r>
        <w:t xml:space="preserve"> because:</w:t>
      </w:r>
    </w:p>
    <w:p w:rsidR="00051BDB" w:rsidRDefault="00051BDB" w:rsidP="00051BDB">
      <w:pPr>
        <w:pStyle w:val="AERbulletlistfirststyle"/>
      </w:pPr>
      <w:r>
        <w:t>it is informed by economic theory, engineering knowledge and industry expertise</w:t>
      </w:r>
    </w:p>
    <w:p w:rsidR="00051BDB" w:rsidRDefault="00051BDB" w:rsidP="00051BDB">
      <w:pPr>
        <w:pStyle w:val="AERbulletlistfirststyle"/>
      </w:pPr>
      <w:r>
        <w:t xml:space="preserve">the inputs to the model </w:t>
      </w:r>
      <w:r w:rsidRPr="00210F0E">
        <w:t xml:space="preserve">reflect the key functions of </w:t>
      </w:r>
      <w:r>
        <w:t>service providers and the outputs reflect what is valued by customers</w:t>
      </w:r>
    </w:p>
    <w:p w:rsidR="00051BDB" w:rsidRDefault="00051BDB" w:rsidP="00051BDB">
      <w:pPr>
        <w:pStyle w:val="AERbulletlistfirststyle"/>
      </w:pPr>
      <w:r>
        <w:t>the ex post operating environment factor adjustment involves a thorough assessment of potential differences between the service provider in question and the frontier service providers.</w:t>
      </w:r>
    </w:p>
    <w:p w:rsidR="00051BDB" w:rsidRDefault="00051BDB" w:rsidP="00051BDB">
      <w:r>
        <w:t>In contrast, the alternative model specifications presented by the service providers' consultants seem to have little regard for the ultimate purpose of the benchmarking exercise. This is to, as accurately as possible, determine the efficiency of opex by examining the relationship between inputs and outputs. The service providers' alternative models either:</w:t>
      </w:r>
    </w:p>
    <w:p w:rsidR="00051BDB" w:rsidRDefault="00051BDB" w:rsidP="00051BDB">
      <w:pPr>
        <w:pStyle w:val="AERbulletlistfirststyle"/>
      </w:pPr>
      <w:r>
        <w:t xml:space="preserve">Include a variable to capture the cost of lines above 66 kV that </w:t>
      </w:r>
      <w:r w:rsidRPr="00290862">
        <w:t>picks up other effects and leads to efficiency gaps being understated</w:t>
      </w:r>
      <w:r w:rsidRPr="00290862">
        <w:rPr>
          <w:rStyle w:val="FootnoteReference"/>
        </w:rPr>
        <w:t xml:space="preserve"> </w:t>
      </w:r>
      <w:r>
        <w:rPr>
          <w:rStyle w:val="FootnoteReference"/>
        </w:rPr>
        <w:footnoteReference w:id="434"/>
      </w:r>
    </w:p>
    <w:p w:rsidR="00051BDB" w:rsidRDefault="00051BDB" w:rsidP="00051BDB">
      <w:pPr>
        <w:pStyle w:val="AERbulletlistfirststyle"/>
      </w:pPr>
      <w:r>
        <w:t>do not cover key functional outputs—CEPA, for example, presents a function with only one or two outputs, which is not adequate to accurately model service provider cost characteristics</w:t>
      </w:r>
      <w:r>
        <w:rPr>
          <w:rStyle w:val="FootnoteReference"/>
        </w:rPr>
        <w:footnoteReference w:id="435"/>
      </w:r>
    </w:p>
    <w:p w:rsidR="00051BDB" w:rsidRDefault="00051BDB" w:rsidP="00051BDB">
      <w:pPr>
        <w:pStyle w:val="AERbulletlistfirststyle"/>
      </w:pPr>
      <w:r>
        <w:lastRenderedPageBreak/>
        <w:t>inappropriately measure inputs, such as Synergies use of input variables other than opex and PEGR's levelisation of opex prices.</w:t>
      </w:r>
      <w:r>
        <w:rPr>
          <w:rStyle w:val="FootnoteReference"/>
        </w:rPr>
        <w:footnoteReference w:id="436"/>
      </w:r>
    </w:p>
    <w:p w:rsidR="00C74791" w:rsidRDefault="00C74791">
      <w:pPr>
        <w:spacing w:line="240" w:lineRule="auto"/>
        <w:rPr>
          <w:rFonts w:eastAsiaTheme="majorEastAsia" w:cstheme="majorBidi"/>
          <w:bCs/>
          <w:i/>
          <w:iCs/>
          <w:color w:val="51626F"/>
          <w:sz w:val="24"/>
        </w:rPr>
      </w:pPr>
      <w:r>
        <w:br w:type="page"/>
      </w:r>
    </w:p>
    <w:p w:rsidR="00051BDB" w:rsidRDefault="00051BDB" w:rsidP="00051BDB">
      <w:pPr>
        <w:pStyle w:val="HeadingItalic"/>
      </w:pPr>
      <w:r>
        <w:lastRenderedPageBreak/>
        <w:t>Data</w:t>
      </w:r>
    </w:p>
    <w:p w:rsidR="00051BDB" w:rsidRDefault="00051BDB" w:rsidP="00051BDB">
      <w:r>
        <w:t>As explained above, the</w:t>
      </w:r>
      <w:r w:rsidRPr="00210F0E">
        <w:t xml:space="preserve"> data</w:t>
      </w:r>
      <w:r>
        <w:t xml:space="preserve"> we have used is</w:t>
      </w:r>
      <w:r w:rsidRPr="00210F0E">
        <w:t xml:space="preserve"> robust</w:t>
      </w:r>
      <w:r>
        <w:t xml:space="preserve"> because:</w:t>
      </w:r>
    </w:p>
    <w:p w:rsidR="00051BDB" w:rsidRDefault="00051BDB" w:rsidP="00051BDB">
      <w:pPr>
        <w:pStyle w:val="AERbulletlistfirststyle"/>
      </w:pPr>
      <w:r>
        <w:t>we developed the Australian dataset in consultation with the service providers and then conducted extensive testing and validation to ensure the variables relevant to the benchmarking models were reliable and fit for purpose</w:t>
      </w:r>
    </w:p>
    <w:p w:rsidR="00051BDB" w:rsidRDefault="00051BDB" w:rsidP="00051BDB">
      <w:pPr>
        <w:pStyle w:val="AERbulletlistfirststyle"/>
      </w:pPr>
      <w:r>
        <w:t>the international datasets we use to improve the precision of the Australian efficiency results:</w:t>
      </w:r>
    </w:p>
    <w:p w:rsidR="00051BDB" w:rsidRDefault="00051BDB" w:rsidP="00051BDB">
      <w:pPr>
        <w:pStyle w:val="AERbulletlistsecondstyle"/>
      </w:pPr>
      <w:r>
        <w:t>are used for economic benchmarking purposes by the regulators in the respective jurisdictions (OEB and NZCC)</w:t>
      </w:r>
    </w:p>
    <w:p w:rsidR="00051BDB" w:rsidRDefault="00051BDB" w:rsidP="00051BDB">
      <w:pPr>
        <w:pStyle w:val="AERbulletlistsecondstyle"/>
      </w:pPr>
      <w:r>
        <w:t>contain sufficiently comparable service provider information for the purpose of enhancing the precision of the modelling results</w:t>
      </w:r>
    </w:p>
    <w:p w:rsidR="00051BDB" w:rsidRDefault="00051BDB" w:rsidP="00051BDB">
      <w:pPr>
        <w:pStyle w:val="AERbulletlistsecondstyle"/>
      </w:pPr>
      <w:r>
        <w:t>have been in place in the mid–1990s and have been used in economic benchmarking since the early 2000s.</w:t>
      </w:r>
    </w:p>
    <w:p w:rsidR="00051BDB" w:rsidRDefault="00051BDB" w:rsidP="00051BDB">
      <w:r>
        <w:t>Conversely, the service providers seek to:</w:t>
      </w:r>
    </w:p>
    <w:p w:rsidR="00051BDB" w:rsidRDefault="00051BDB" w:rsidP="00051BDB">
      <w:pPr>
        <w:pStyle w:val="AERbulletlistfirststyle"/>
      </w:pPr>
      <w:r>
        <w:t>either rely only on the Australian data, which does not produce stable results due to the lack of cross-sectional variation or</w:t>
      </w:r>
    </w:p>
    <w:p w:rsidR="00051BDB" w:rsidRPr="00210F0E" w:rsidRDefault="00051BDB" w:rsidP="00051BDB">
      <w:pPr>
        <w:pStyle w:val="AERbulletlistfirststyle"/>
      </w:pPr>
      <w:r>
        <w:t>include US data in the sample, which Economic Insights has demonstrated is not fit for purpose.</w:t>
      </w:r>
    </w:p>
    <w:p w:rsidR="00051BDB" w:rsidRDefault="00051BDB" w:rsidP="00051BDB">
      <w:pPr>
        <w:pStyle w:val="HeadingItalic"/>
      </w:pPr>
      <w:r>
        <w:t>Estimation methods</w:t>
      </w:r>
    </w:p>
    <w:p w:rsidR="00051BDB" w:rsidRDefault="00051BDB" w:rsidP="00051BDB">
      <w:r>
        <w:t>Our use of Economic Insights modelling is appropriate as Economic Insights has applied the best available model for estimating efficient opex. They</w:t>
      </w:r>
      <w:r w:rsidRPr="00D21015">
        <w:t xml:space="preserve"> have chosen appropriate estimation methods that produce robust and reliable results for benchmarking opex</w:t>
      </w:r>
      <w:r>
        <w:t>.</w:t>
      </w:r>
      <w:r w:rsidRPr="00D21015">
        <w:t xml:space="preserve"> </w:t>
      </w:r>
      <w:r>
        <w:t xml:space="preserve">Economic Insights' Cobb Douglas SFA model is statistically superior to other benchmarking methods because it can (among other things) estimate the efficient frontier. Further the Cobb Douglas SFA model has </w:t>
      </w:r>
      <w:r w:rsidRPr="009435FD">
        <w:t xml:space="preserve">a random error term </w:t>
      </w:r>
      <w:r>
        <w:t>that separates the effect of</w:t>
      </w:r>
      <w:r w:rsidRPr="009435FD">
        <w:t xml:space="preserve"> </w:t>
      </w:r>
      <w:r>
        <w:t>data noises or random errors from inefficiency.</w:t>
      </w:r>
      <w:r>
        <w:rPr>
          <w:rStyle w:val="FootnoteReference"/>
        </w:rPr>
        <w:footnoteReference w:id="437"/>
      </w:r>
      <w:r>
        <w:t xml:space="preserve"> . </w:t>
      </w:r>
    </w:p>
    <w:p w:rsidR="00051BDB" w:rsidRDefault="00051BDB" w:rsidP="00051BDB">
      <w:r>
        <w:t>Economic Insights has also been able to corroborate the SFA model by producing consistent results using:</w:t>
      </w:r>
    </w:p>
    <w:p w:rsidR="00051BDB" w:rsidRDefault="00051BDB" w:rsidP="00051BDB">
      <w:pPr>
        <w:pStyle w:val="AERbulletlistfirststyle"/>
      </w:pPr>
      <w:r>
        <w:t>other sophisticated econometric opex models using the same set of explanatory variables (Cobb Douglas LSE and translog LSE) that are more robust than the alternatives proposed by the service providers</w:t>
      </w:r>
    </w:p>
    <w:p w:rsidR="00051BDB" w:rsidRDefault="00051BDB" w:rsidP="00051BDB">
      <w:pPr>
        <w:pStyle w:val="AERbulletlistfirststyle"/>
      </w:pPr>
      <w:r>
        <w:t>the opex MPFP model, which applies a different model specification and does not rely on international data.</w:t>
      </w:r>
    </w:p>
    <w:p w:rsidR="00051BDB" w:rsidRDefault="00051BDB" w:rsidP="00051BDB">
      <w:r>
        <w:lastRenderedPageBreak/>
        <w:t>In addition, the results of our partial performance indicators and detailed review are consistent with the economic benchmarking results.</w:t>
      </w:r>
    </w:p>
    <w:p w:rsidR="00051BDB" w:rsidRDefault="00051BDB" w:rsidP="00051BDB">
      <w:r>
        <w:t>On the other hand, the service providers and their consultants have presented alternative estimation methods that Economic Insights has demonstrated are not robust because of the assumptions that underlie the modelling or the limited data set used.</w:t>
      </w:r>
    </w:p>
    <w:p w:rsidR="00051BDB" w:rsidRDefault="00051BDB" w:rsidP="00051BDB">
      <w:pPr>
        <w:pStyle w:val="HeadingItalic"/>
      </w:pPr>
      <w:r>
        <w:t>Modelling results</w:t>
      </w:r>
    </w:p>
    <w:p w:rsidR="00051BDB" w:rsidRDefault="00051BDB" w:rsidP="00051BDB">
      <w:r>
        <w:t>We highlight in our discussion on international data, the importance of understanding how and why Economic Insights has used international data. Economic Insights is not using the international data to compare the absolute levels of opex between Australian service providers and their overseas peers. Rather, the purpose is to improve the precision of parameter estimates to facilitate opex efficiency measurement across the Australian DNSPs only.</w:t>
      </w:r>
      <w:r>
        <w:rPr>
          <w:rStyle w:val="FootnoteReference"/>
        </w:rPr>
        <w:footnoteReference w:id="438"/>
      </w:r>
      <w:r>
        <w:t xml:space="preserve"> </w:t>
      </w:r>
    </w:p>
    <w:p w:rsidR="00051BDB" w:rsidRDefault="00051BDB" w:rsidP="00051BDB">
      <w:r>
        <w:t>Ultimately, this means it is possible to compare efficiency scores within each jurisdiction but not across jurisdictions. The service providers' consultants have misunderstood this distinction, so the following observations and criticisms are not valid or compatible with Economic Insights' modelling approach:</w:t>
      </w:r>
      <w:r>
        <w:rPr>
          <w:rStyle w:val="FootnoteReference"/>
        </w:rPr>
        <w:footnoteReference w:id="439"/>
      </w:r>
    </w:p>
    <w:p w:rsidR="00051BDB" w:rsidRDefault="00051BDB" w:rsidP="00051BDB">
      <w:pPr>
        <w:pStyle w:val="AERbulletlistfirststyle"/>
      </w:pPr>
      <w:r>
        <w:t>reference to an Ontario firm as being the ‘frontier' or 'best performing' firm’</w:t>
      </w:r>
      <w:r>
        <w:rPr>
          <w:rStyle w:val="FootnoteReference"/>
        </w:rPr>
        <w:footnoteReference w:id="440"/>
      </w:r>
    </w:p>
    <w:p w:rsidR="00051BDB" w:rsidRDefault="00051BDB" w:rsidP="00051BDB">
      <w:pPr>
        <w:pStyle w:val="AERbulletlistfirststyle"/>
      </w:pPr>
      <w:r>
        <w:t>comparisons of raw efficiency scores across countries</w:t>
      </w:r>
      <w:r>
        <w:rPr>
          <w:rStyle w:val="FootnoteReference"/>
        </w:rPr>
        <w:footnoteReference w:id="441"/>
      </w:r>
    </w:p>
    <w:p w:rsidR="00051BDB" w:rsidRDefault="00051BDB" w:rsidP="00051BDB">
      <w:pPr>
        <w:pStyle w:val="AERbulletlistfirststyle"/>
      </w:pPr>
      <w:r>
        <w:t>attempting to interpret country dummy variables as reflecting the extent to which an Australian service provider would need to have lower opex than a New Zealand or Ontario service providers to be ‘fully efficient’</w:t>
      </w:r>
      <w:r>
        <w:rPr>
          <w:rStyle w:val="FootnoteReference"/>
        </w:rPr>
        <w:footnoteReference w:id="442"/>
      </w:r>
    </w:p>
    <w:p w:rsidR="00051BDB" w:rsidRDefault="00051BDB" w:rsidP="00051BDB">
      <w:pPr>
        <w:pStyle w:val="AERbulletlistfirststyle"/>
      </w:pPr>
      <w:r>
        <w:t>the need for reporting or operating environment ‘standardisation’ across countries</w:t>
      </w:r>
      <w:r>
        <w:rPr>
          <w:rStyle w:val="FootnoteReference"/>
        </w:rPr>
        <w:footnoteReference w:id="443"/>
      </w:r>
    </w:p>
    <w:p w:rsidR="00051BDB" w:rsidRDefault="00051BDB" w:rsidP="00051BDB">
      <w:pPr>
        <w:pStyle w:val="AERbulletlistfirststyle"/>
      </w:pPr>
      <w:r>
        <w:t>the need to include additional country dummy variables to allow for differences in exogenous variable coefficients across countries.</w:t>
      </w:r>
      <w:r>
        <w:rPr>
          <w:rStyle w:val="FootnoteReference"/>
        </w:rPr>
        <w:footnoteReference w:id="444"/>
      </w:r>
    </w:p>
    <w:p w:rsidR="00051BDB" w:rsidRDefault="00051BDB" w:rsidP="00051BDB">
      <w:r>
        <w:t xml:space="preserve">Further, Economic Insights also demonstrates that the </w:t>
      </w:r>
      <w:r w:rsidRPr="00935606">
        <w:t xml:space="preserve">Ontario or New Zealand </w:t>
      </w:r>
      <w:r w:rsidR="00650D42">
        <w:t xml:space="preserve">data </w:t>
      </w:r>
      <w:r w:rsidRPr="00935606">
        <w:t>are</w:t>
      </w:r>
      <w:r>
        <w:t xml:space="preserve"> not</w:t>
      </w:r>
      <w:r w:rsidRPr="00935606">
        <w:t xml:space="preserve"> 'driving the results'</w:t>
      </w:r>
      <w:r>
        <w:t xml:space="preserve"> of the Cobb Douglas SFA model as is submitted by a number of the service providers consultants.</w:t>
      </w:r>
      <w:r w:rsidR="00AC3A92">
        <w:rPr>
          <w:rStyle w:val="FootnoteReference"/>
        </w:rPr>
        <w:footnoteReference w:id="445"/>
      </w:r>
    </w:p>
    <w:p w:rsidR="00051BDB" w:rsidRDefault="00051BDB" w:rsidP="00051BDB">
      <w:r>
        <w:lastRenderedPageBreak/>
        <w:t>Economic Insights is also clear that it is difficult to produce stable and reliable results with the Australian data on its own:</w:t>
      </w:r>
      <w:r>
        <w:rPr>
          <w:rStyle w:val="FootnoteReference"/>
        </w:rPr>
        <w:footnoteReference w:id="446"/>
      </w:r>
    </w:p>
    <w:p w:rsidR="00051BDB" w:rsidRDefault="00051BDB" w:rsidP="00051BDB">
      <w:pPr>
        <w:pStyle w:val="AERquoteindent1"/>
      </w:pPr>
      <w:r>
        <w:t>[It] is important to recognise that the characteristics of the Australian RIN data make any econometric model estimated using only the RIN data insufficiently robust to support regulatory decisions.</w:t>
      </w:r>
    </w:p>
    <w:p w:rsidR="00051BDB" w:rsidRDefault="00051BDB" w:rsidP="00051BDB">
      <w:r>
        <w:t xml:space="preserve">However, we can demonstrate that the robust Australian efficiency results that utilise the international data are very similar to the efficiency results using the Australian data alone. </w:t>
      </w:r>
      <w:r>
        <w:fldChar w:fldCharType="begin"/>
      </w:r>
      <w:r>
        <w:instrText xml:space="preserve"> REF _Ref415229885 \h </w:instrText>
      </w:r>
      <w:r>
        <w:fldChar w:fldCharType="separate"/>
      </w:r>
      <w:r w:rsidR="00C74791">
        <w:t xml:space="preserve">Figure </w:t>
      </w:r>
      <w:r w:rsidR="00C74791">
        <w:rPr>
          <w:noProof/>
        </w:rPr>
        <w:t>A</w:t>
      </w:r>
      <w:r w:rsidR="00C74791">
        <w:t>.</w:t>
      </w:r>
      <w:r w:rsidR="00C74791">
        <w:rPr>
          <w:noProof/>
        </w:rPr>
        <w:t>6</w:t>
      </w:r>
      <w:r>
        <w:fldChar w:fldCharType="end"/>
      </w:r>
      <w:r>
        <w:t xml:space="preserve"> compares the two and proves that the international data is not driving the results of the model.</w:t>
      </w:r>
    </w:p>
    <w:p w:rsidR="00051BDB" w:rsidRDefault="00051BDB" w:rsidP="00051BDB">
      <w:pPr>
        <w:pStyle w:val="Caption"/>
      </w:pPr>
      <w:bookmarkStart w:id="178" w:name="_Ref415229885"/>
      <w:bookmarkStart w:id="179" w:name="_Ref413837797"/>
      <w:r>
        <w:t xml:space="preserve">Figure </w:t>
      </w:r>
      <w:fldSimple w:instr=" STYLEREF 7 \s ">
        <w:r w:rsidR="00C74791">
          <w:rPr>
            <w:noProof/>
          </w:rPr>
          <w:t>A</w:t>
        </w:r>
      </w:fldSimple>
      <w:r w:rsidR="00A409CB">
        <w:t>.</w:t>
      </w:r>
      <w:fldSimple w:instr=" SEQ AFigure \* ARABIC \s 7 ">
        <w:r w:rsidR="00C74791">
          <w:rPr>
            <w:noProof/>
          </w:rPr>
          <w:t>6</w:t>
        </w:r>
      </w:fldSimple>
      <w:bookmarkEnd w:id="178"/>
      <w:r>
        <w:tab/>
        <w:t>Modelling results – all data and Australian only data</w:t>
      </w:r>
    </w:p>
    <w:bookmarkEnd w:id="179"/>
    <w:p w:rsidR="00051BDB" w:rsidRDefault="00051BDB" w:rsidP="00051BDB">
      <w:r w:rsidRPr="00051BDB">
        <w:rPr>
          <w:noProof/>
          <w:lang w:eastAsia="en-AU"/>
        </w:rPr>
        <w:drawing>
          <wp:inline distT="0" distB="0" distL="0" distR="0" wp14:anchorId="3614320C" wp14:editId="3FD0CC14">
            <wp:extent cx="5382895" cy="332227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322274"/>
                    </a:xfrm>
                    <a:prstGeom prst="rect">
                      <a:avLst/>
                    </a:prstGeom>
                    <a:noFill/>
                    <a:ln>
                      <a:noFill/>
                    </a:ln>
                  </pic:spPr>
                </pic:pic>
              </a:graphicData>
            </a:graphic>
          </wp:inline>
        </w:drawing>
      </w:r>
    </w:p>
    <w:p w:rsidR="00051BDB" w:rsidRPr="003D2A7D" w:rsidRDefault="00051BDB" w:rsidP="00051BDB">
      <w:pPr>
        <w:pStyle w:val="Source"/>
      </w:pPr>
      <w:r w:rsidRPr="003D2A7D">
        <w:t xml:space="preserve">Source: </w:t>
      </w:r>
      <w:r w:rsidRPr="003D2A7D">
        <w:tab/>
        <w:t>Economic Insights, 2015</w:t>
      </w:r>
    </w:p>
    <w:p w:rsidR="00051BDB" w:rsidRDefault="00051BDB" w:rsidP="00051BDB">
      <w:pPr>
        <w:pStyle w:val="HeadingOrange"/>
      </w:pPr>
      <w:r>
        <w:t>Different results to Ontario</w:t>
      </w:r>
    </w:p>
    <w:p w:rsidR="00051BDB" w:rsidRPr="00B058F1" w:rsidRDefault="00051BDB" w:rsidP="00051BDB">
      <w:r>
        <w:t>A number of the consultants’ reports submit that the efficiency results for the Ontario service providers differ markedly between those derived from (but not presented) in Economic Insights' 2014 report</w:t>
      </w:r>
      <w:r w:rsidRPr="00B058F1">
        <w:t xml:space="preserve"> and those presented </w:t>
      </w:r>
      <w:r>
        <w:t xml:space="preserve">by </w:t>
      </w:r>
      <w:r w:rsidRPr="00B058F1">
        <w:t xml:space="preserve">PEG </w:t>
      </w:r>
      <w:r>
        <w:t xml:space="preserve">in </w:t>
      </w:r>
      <w:r w:rsidRPr="00B058F1">
        <w:t>2013 and subsequently used by the Ontario Energy Board.</w:t>
      </w:r>
      <w:r>
        <w:rPr>
          <w:rStyle w:val="FootnoteReference"/>
        </w:rPr>
        <w:footnoteReference w:id="447"/>
      </w:r>
      <w:r w:rsidRPr="00B058F1">
        <w:t xml:space="preserve"> </w:t>
      </w:r>
    </w:p>
    <w:p w:rsidR="00051BDB" w:rsidRDefault="00051BDB" w:rsidP="00051BDB">
      <w:r>
        <w:t xml:space="preserve">Economic Insights notes that it is not surprising that the two sets of </w:t>
      </w:r>
      <w:r w:rsidRPr="00B058F1">
        <w:t xml:space="preserve">efficiency score rankings differ </w:t>
      </w:r>
      <w:r>
        <w:t xml:space="preserve">because Economic Insights' </w:t>
      </w:r>
      <w:r w:rsidRPr="00B058F1">
        <w:t xml:space="preserve">relate to </w:t>
      </w:r>
      <w:r w:rsidRPr="00B058F1">
        <w:rPr>
          <w:rStyle w:val="AERtextitalic"/>
        </w:rPr>
        <w:t>opex</w:t>
      </w:r>
      <w:r w:rsidRPr="00B058F1">
        <w:t xml:space="preserve"> efficiency while </w:t>
      </w:r>
      <w:r>
        <w:t xml:space="preserve">PEG's </w:t>
      </w:r>
      <w:r w:rsidRPr="00B058F1">
        <w:t xml:space="preserve">relate </w:t>
      </w:r>
      <w:r w:rsidRPr="00B058F1">
        <w:lastRenderedPageBreak/>
        <w:t xml:space="preserve">to </w:t>
      </w:r>
      <w:r w:rsidRPr="00B058F1">
        <w:rPr>
          <w:rStyle w:val="AERtextitalic"/>
        </w:rPr>
        <w:t>total</w:t>
      </w:r>
      <w:r w:rsidRPr="00B058F1">
        <w:t xml:space="preserve"> cost efficiency. The reason different efficiency measures were used in the two studies reflects the fundamentally different regulatory regimes – Australia uses building blocks regulation with its separate examinations of opex and capex whereas Ontario uses productivity–based regulation which focuses on total costs.</w:t>
      </w:r>
      <w:r>
        <w:rPr>
          <w:rStyle w:val="FootnoteReference"/>
        </w:rPr>
        <w:footnoteReference w:id="448"/>
      </w:r>
    </w:p>
    <w:p w:rsidR="00051BDB" w:rsidRPr="004D63B6" w:rsidRDefault="00051BDB" w:rsidP="00051BDB">
      <w:pPr>
        <w:pStyle w:val="HeadingBoldItalic"/>
      </w:pPr>
      <w:r>
        <w:t>R</w:t>
      </w:r>
      <w:r w:rsidRPr="004D63B6">
        <w:t xml:space="preserve">esults </w:t>
      </w:r>
      <w:r>
        <w:t xml:space="preserve">from alternative modelling </w:t>
      </w:r>
      <w:r w:rsidRPr="004D63B6">
        <w:t xml:space="preserve">are </w:t>
      </w:r>
      <w:r>
        <w:t>not robust</w:t>
      </w:r>
    </w:p>
    <w:p w:rsidR="00051BDB" w:rsidRDefault="00051BDB" w:rsidP="00051BDB">
      <w:r w:rsidRPr="004D63B6">
        <w:t xml:space="preserve">Economic Insights has considered the alternative models </w:t>
      </w:r>
      <w:r>
        <w:t xml:space="preserve">presented </w:t>
      </w:r>
      <w:r w:rsidRPr="004D63B6">
        <w:t xml:space="preserve">by the </w:t>
      </w:r>
      <w:r>
        <w:t>service providers</w:t>
      </w:r>
      <w:r w:rsidRPr="004D63B6">
        <w:t xml:space="preserve">' consultants in detail and has </w:t>
      </w:r>
      <w:r>
        <w:t>serious flaws</w:t>
      </w:r>
      <w:r w:rsidRPr="004D63B6">
        <w:t>.</w:t>
      </w:r>
      <w:r>
        <w:t xml:space="preserve"> These are as follows:</w:t>
      </w:r>
      <w:r w:rsidRPr="004D63B6">
        <w:rPr>
          <w:rStyle w:val="FootnoteReference"/>
        </w:rPr>
        <w:footnoteReference w:id="449"/>
      </w:r>
      <w:r>
        <w:t xml:space="preserve">   </w:t>
      </w:r>
    </w:p>
    <w:p w:rsidR="00C2445E" w:rsidRDefault="00C2445E" w:rsidP="00051BDB"/>
    <w:p w:rsidR="00051BDB" w:rsidRPr="00C33046" w:rsidRDefault="00C33046" w:rsidP="00C2445E">
      <w:pPr>
        <w:pStyle w:val="AERnumberedlist2first"/>
      </w:pPr>
      <w:r>
        <w:t xml:space="preserve">1 </w:t>
      </w:r>
      <w:r w:rsidR="00C2445E">
        <w:tab/>
      </w:r>
      <w:r w:rsidR="00051BDB" w:rsidRPr="00C33046">
        <w:t>The Australian data has inadequate variation to support robust model estimation where it is the only data source used and where tests for parameter differences across countries are made</w:t>
      </w:r>
    </w:p>
    <w:p w:rsidR="00051BDB" w:rsidRPr="00C33046" w:rsidRDefault="00C33046" w:rsidP="00C2445E">
      <w:pPr>
        <w:pStyle w:val="AERnumberedlist2first"/>
      </w:pPr>
      <w:r>
        <w:t xml:space="preserve">2 </w:t>
      </w:r>
      <w:r w:rsidR="00C2445E">
        <w:tab/>
      </w:r>
      <w:r w:rsidR="00051BDB" w:rsidRPr="00C33046">
        <w:t>Use of a 132kV line variable inadvertently picks up other effects and leads to efficiency gaps being understated</w:t>
      </w:r>
    </w:p>
    <w:p w:rsidR="00051BDB" w:rsidRPr="00C33046" w:rsidRDefault="00C33046" w:rsidP="00C2445E">
      <w:pPr>
        <w:pStyle w:val="AERnumberedlist2first"/>
      </w:pPr>
      <w:r>
        <w:t xml:space="preserve">3 </w:t>
      </w:r>
      <w:r w:rsidR="00C2445E">
        <w:tab/>
      </w:r>
      <w:r w:rsidR="00051BDB" w:rsidRPr="00C33046">
        <w:t>Latent heterogeneity models incorrectly allocate persistent inefficiency effects to operating environment differences</w:t>
      </w:r>
    </w:p>
    <w:p w:rsidR="00051BDB" w:rsidRPr="00C33046" w:rsidRDefault="00C33046" w:rsidP="00C2445E">
      <w:pPr>
        <w:pStyle w:val="AERnumberedlist2first"/>
      </w:pPr>
      <w:r>
        <w:t xml:space="preserve">4 </w:t>
      </w:r>
      <w:r w:rsidR="00C2445E">
        <w:tab/>
      </w:r>
      <w:r w:rsidR="00051BDB" w:rsidRPr="00C33046">
        <w:t>Inadequate observation numbers lead to some models misleadingly finding service providers to be ‘efficient by default’</w:t>
      </w:r>
    </w:p>
    <w:p w:rsidR="00051BDB" w:rsidRPr="00C33046" w:rsidRDefault="00C33046" w:rsidP="00C2445E">
      <w:pPr>
        <w:pStyle w:val="AERnumberedlist2first"/>
      </w:pPr>
      <w:r>
        <w:t xml:space="preserve">5 </w:t>
      </w:r>
      <w:r w:rsidR="00C2445E">
        <w:tab/>
      </w:r>
      <w:r w:rsidR="00051BDB" w:rsidRPr="00C33046">
        <w:t>Some output and input specifications are inadequate and/or not relevant</w:t>
      </w:r>
    </w:p>
    <w:p w:rsidR="00051BDB" w:rsidRPr="00C33046" w:rsidRDefault="00C33046" w:rsidP="00C2445E">
      <w:pPr>
        <w:pStyle w:val="AERnumberedlist2first"/>
      </w:pPr>
      <w:r>
        <w:t xml:space="preserve">6 </w:t>
      </w:r>
      <w:r w:rsidR="00C2445E">
        <w:tab/>
      </w:r>
      <w:r w:rsidR="00051BDB" w:rsidRPr="00C33046">
        <w:t>Other overseas data sources unduly limit the range of variables and number of comparators that can be included</w:t>
      </w:r>
    </w:p>
    <w:p w:rsidR="00051BDB" w:rsidRDefault="00051BDB" w:rsidP="00051BDB">
      <w:r>
        <w:t xml:space="preserve">The issues identified with each of the service provider's consultant's models are set out in </w:t>
      </w:r>
      <w:r>
        <w:fldChar w:fldCharType="begin"/>
      </w:r>
      <w:r>
        <w:instrText xml:space="preserve"> REF _Ref417393206 \h </w:instrText>
      </w:r>
      <w:r>
        <w:fldChar w:fldCharType="separate"/>
      </w:r>
      <w:r w:rsidR="00C74791">
        <w:t xml:space="preserve">Table </w:t>
      </w:r>
      <w:r w:rsidR="00C74791">
        <w:rPr>
          <w:noProof/>
        </w:rPr>
        <w:t>A</w:t>
      </w:r>
      <w:r w:rsidR="00C74791">
        <w:t>.</w:t>
      </w:r>
      <w:r w:rsidR="00C74791">
        <w:rPr>
          <w:noProof/>
        </w:rPr>
        <w:t>4</w:t>
      </w:r>
      <w:r>
        <w:fldChar w:fldCharType="end"/>
      </w:r>
      <w:r>
        <w:t>.</w:t>
      </w:r>
    </w:p>
    <w:p w:rsidR="00051BDB" w:rsidRDefault="00051BDB" w:rsidP="00051BDB">
      <w:pPr>
        <w:pStyle w:val="Caption"/>
      </w:pPr>
      <w:bookmarkStart w:id="180" w:name="_Ref417393206"/>
      <w:r>
        <w:t xml:space="preserve">Table </w:t>
      </w:r>
      <w:fldSimple w:instr=" STYLEREF 7 \s ">
        <w:r w:rsidR="00CF2125">
          <w:rPr>
            <w:noProof/>
          </w:rPr>
          <w:t>A</w:t>
        </w:r>
      </w:fldSimple>
      <w:r w:rsidR="00CF2125">
        <w:t>.</w:t>
      </w:r>
      <w:fldSimple w:instr=" SEQ ATable \* ARABIC \s 7 ">
        <w:r w:rsidR="00CF2125">
          <w:rPr>
            <w:noProof/>
          </w:rPr>
          <w:t>4</w:t>
        </w:r>
      </w:fldSimple>
      <w:bookmarkEnd w:id="180"/>
      <w:r w:rsidRPr="00B05096">
        <w:tab/>
      </w:r>
      <w:r>
        <w:t>Problems identified with service provider's consultant's models</w:t>
      </w:r>
    </w:p>
    <w:tbl>
      <w:tblPr>
        <w:tblStyle w:val="AERtable-text0"/>
        <w:tblW w:w="5000" w:type="pct"/>
        <w:tblLook w:val="04A0" w:firstRow="1" w:lastRow="0" w:firstColumn="1" w:lastColumn="0" w:noHBand="0" w:noVBand="1"/>
      </w:tblPr>
      <w:tblGrid>
        <w:gridCol w:w="1240"/>
        <w:gridCol w:w="1419"/>
        <w:gridCol w:w="1560"/>
        <w:gridCol w:w="2761"/>
        <w:gridCol w:w="1713"/>
      </w:tblGrid>
      <w:tr w:rsidR="004F3969" w:rsidRPr="00F14036" w:rsidTr="002B1A23">
        <w:trPr>
          <w:cnfStyle w:val="100000000000" w:firstRow="1" w:lastRow="0" w:firstColumn="0" w:lastColumn="0" w:oddVBand="0" w:evenVBand="0" w:oddHBand="0" w:evenHBand="0" w:firstRowFirstColumn="0" w:firstRowLastColumn="0" w:lastRowFirstColumn="0" w:lastRowLastColumn="0"/>
        </w:trPr>
        <w:tc>
          <w:tcPr>
            <w:tcW w:w="714" w:type="pct"/>
          </w:tcPr>
          <w:p w:rsidR="004F3969" w:rsidRPr="004F3969" w:rsidRDefault="004F3969" w:rsidP="004F3969">
            <w:r w:rsidRPr="000359F3">
              <w:t>Consultancy report reviewed</w:t>
            </w:r>
          </w:p>
        </w:tc>
        <w:tc>
          <w:tcPr>
            <w:tcW w:w="816" w:type="pct"/>
          </w:tcPr>
          <w:p w:rsidR="004F3969" w:rsidRPr="004F3969" w:rsidRDefault="004F3969" w:rsidP="004F3969">
            <w:r w:rsidRPr="000359F3">
              <w:t>Data</w:t>
            </w:r>
          </w:p>
        </w:tc>
        <w:tc>
          <w:tcPr>
            <w:tcW w:w="897" w:type="pct"/>
          </w:tcPr>
          <w:p w:rsidR="004F3969" w:rsidRPr="004F3969" w:rsidRDefault="004F3969" w:rsidP="004F3969">
            <w:r w:rsidRPr="000359F3">
              <w:t>Benchmarking method</w:t>
            </w:r>
          </w:p>
        </w:tc>
        <w:tc>
          <w:tcPr>
            <w:tcW w:w="1588" w:type="pct"/>
          </w:tcPr>
          <w:p w:rsidR="004F3969" w:rsidRPr="004F3969" w:rsidRDefault="004F3969" w:rsidP="004F3969">
            <w:r w:rsidRPr="000359F3">
              <w:t>Model specification</w:t>
            </w:r>
          </w:p>
        </w:tc>
        <w:tc>
          <w:tcPr>
            <w:tcW w:w="985" w:type="pct"/>
          </w:tcPr>
          <w:p w:rsidR="004F3969" w:rsidRPr="004F3969" w:rsidRDefault="004F3969" w:rsidP="004F3969">
            <w:r w:rsidRPr="000359F3">
              <w:t>Main issues identified</w:t>
            </w:r>
          </w:p>
        </w:tc>
      </w:tr>
      <w:tr w:rsidR="004F3969" w:rsidRPr="00F14036" w:rsidTr="002B1A23">
        <w:tc>
          <w:tcPr>
            <w:tcW w:w="714" w:type="pct"/>
          </w:tcPr>
          <w:p w:rsidR="004F3969" w:rsidRPr="004F3969" w:rsidRDefault="004F3969" w:rsidP="004F3969">
            <w:r w:rsidRPr="000359F3">
              <w:t>CEPA (2015a) and CEPA (2015b)</w:t>
            </w:r>
          </w:p>
        </w:tc>
        <w:tc>
          <w:tcPr>
            <w:tcW w:w="816" w:type="pct"/>
          </w:tcPr>
          <w:p w:rsidR="004F3969" w:rsidRPr="004F3969" w:rsidRDefault="004F3969" w:rsidP="004F3969">
            <w:r w:rsidRPr="000359F3">
              <w:t>Australian only sample, 2006-2013, adjusted opex data</w:t>
            </w:r>
          </w:p>
        </w:tc>
        <w:tc>
          <w:tcPr>
            <w:tcW w:w="897" w:type="pct"/>
          </w:tcPr>
          <w:p w:rsidR="004F3969" w:rsidRPr="004F3969" w:rsidRDefault="004F3969" w:rsidP="004F3969">
            <w:r w:rsidRPr="000359F3">
              <w:t>pooled OLS</w:t>
            </w:r>
            <w:r w:rsidRPr="004F3969">
              <w:rPr>
                <w:rStyle w:val="FootnoteReference"/>
              </w:rPr>
              <w:footnoteReference w:id="450"/>
            </w:r>
            <w:r w:rsidRPr="004F3969">
              <w:t xml:space="preserve"> / random-effects GLS</w:t>
            </w:r>
            <w:r w:rsidRPr="004F3969">
              <w:rPr>
                <w:rStyle w:val="FootnoteReference"/>
              </w:rPr>
              <w:footnoteReference w:id="451"/>
            </w:r>
          </w:p>
          <w:p w:rsidR="004F3969" w:rsidRPr="004F3969" w:rsidRDefault="004F3969" w:rsidP="004F3969">
            <w:r w:rsidRPr="000359F3">
              <w:t>Cobb-Douglas / Translog function</w:t>
            </w:r>
          </w:p>
        </w:tc>
        <w:tc>
          <w:tcPr>
            <w:tcW w:w="1588" w:type="pct"/>
          </w:tcPr>
          <w:p w:rsidR="004F3969" w:rsidRPr="004F3969" w:rsidRDefault="004F3969" w:rsidP="004F3969">
            <w:r w:rsidRPr="000359F3">
              <w:t>DV</w:t>
            </w:r>
            <w:r w:rsidRPr="004F3969">
              <w:rPr>
                <w:rStyle w:val="FootnoteReference"/>
              </w:rPr>
              <w:footnoteReference w:id="452"/>
            </w:r>
            <w:r w:rsidRPr="004F3969">
              <w:t>: real opex</w:t>
            </w:r>
          </w:p>
          <w:p w:rsidR="004F3969" w:rsidRPr="004F3969" w:rsidRDefault="004F3969" w:rsidP="004F3969">
            <w:r w:rsidRPr="000359F3">
              <w:t xml:space="preserve">Output: circuit length, customer density (length or km2) </w:t>
            </w:r>
          </w:p>
          <w:p w:rsidR="004F3969" w:rsidRPr="004F3969" w:rsidRDefault="004F3969" w:rsidP="004F3969">
            <w:r w:rsidRPr="000359F3">
              <w:t xml:space="preserve">OEF: selective variables from: undergrounding, RAB additions, </w:t>
            </w:r>
            <w:r w:rsidRPr="000359F3">
              <w:lastRenderedPageBreak/>
              <w:t>132kV share of circuit, share of SWER</w:t>
            </w:r>
          </w:p>
          <w:p w:rsidR="004F3969" w:rsidRPr="004F3969" w:rsidRDefault="004F3969" w:rsidP="004F3969">
            <w:r w:rsidRPr="000359F3">
              <w:t>Other: Year</w:t>
            </w:r>
          </w:p>
        </w:tc>
        <w:tc>
          <w:tcPr>
            <w:tcW w:w="985" w:type="pct"/>
          </w:tcPr>
          <w:p w:rsidR="004F3969" w:rsidRPr="004F3969" w:rsidRDefault="004F3969" w:rsidP="004F3969">
            <w:r w:rsidRPr="000359F3">
              <w:lastRenderedPageBreak/>
              <w:t>1 Use of Australian only data</w:t>
            </w:r>
          </w:p>
          <w:p w:rsidR="004F3969" w:rsidRPr="004F3969" w:rsidRDefault="004F3969" w:rsidP="004F3969">
            <w:r w:rsidRPr="000359F3">
              <w:t>2 Use of 132 kV variable</w:t>
            </w:r>
          </w:p>
          <w:p w:rsidR="004F3969" w:rsidRPr="004F3969" w:rsidRDefault="004F3969" w:rsidP="004F3969">
            <w:r w:rsidRPr="000359F3">
              <w:t xml:space="preserve">5 inadequate </w:t>
            </w:r>
            <w:r w:rsidRPr="000359F3">
              <w:lastRenderedPageBreak/>
              <w:t>input/output specification</w:t>
            </w:r>
          </w:p>
          <w:p w:rsidR="004F3969" w:rsidRPr="004F3969" w:rsidRDefault="004F3969" w:rsidP="004F3969">
            <w:r w:rsidRPr="000359F3">
              <w:t>Inappropriate adjustments to opex</w:t>
            </w:r>
            <w:r w:rsidRPr="004F3969">
              <w:rPr>
                <w:rStyle w:val="FootnoteReference"/>
              </w:rPr>
              <w:footnoteReference w:id="453"/>
            </w:r>
          </w:p>
        </w:tc>
      </w:tr>
      <w:tr w:rsidR="004F3969" w:rsidRPr="00F14036" w:rsidTr="002B1A23">
        <w:trPr>
          <w:cnfStyle w:val="000000010000" w:firstRow="0" w:lastRow="0" w:firstColumn="0" w:lastColumn="0" w:oddVBand="0" w:evenVBand="0" w:oddHBand="0" w:evenHBand="1" w:firstRowFirstColumn="0" w:firstRowLastColumn="0" w:lastRowFirstColumn="0" w:lastRowLastColumn="0"/>
        </w:trPr>
        <w:tc>
          <w:tcPr>
            <w:tcW w:w="714" w:type="pct"/>
          </w:tcPr>
          <w:p w:rsidR="004F3969" w:rsidRPr="004F3969" w:rsidRDefault="004F3969" w:rsidP="004F3969">
            <w:r w:rsidRPr="000359F3">
              <w:lastRenderedPageBreak/>
              <w:t>CEPA (2015a)</w:t>
            </w:r>
          </w:p>
        </w:tc>
        <w:tc>
          <w:tcPr>
            <w:tcW w:w="816" w:type="pct"/>
          </w:tcPr>
          <w:p w:rsidR="004F3969" w:rsidRPr="004F3969" w:rsidRDefault="004F3969" w:rsidP="004F3969">
            <w:r w:rsidRPr="000359F3">
              <w:t xml:space="preserve">Full sample (Australia, NZ, Ontario) or jurisdiction-specific </w:t>
            </w:r>
            <w:r w:rsidRPr="004F3969">
              <w:t>sample, 2006-2013</w:t>
            </w:r>
          </w:p>
        </w:tc>
        <w:tc>
          <w:tcPr>
            <w:tcW w:w="897" w:type="pct"/>
          </w:tcPr>
          <w:p w:rsidR="004F3969" w:rsidRPr="004F3969" w:rsidRDefault="004F3969" w:rsidP="004F3969">
            <w:r w:rsidRPr="000359F3">
              <w:t xml:space="preserve">SFA </w:t>
            </w:r>
          </w:p>
          <w:p w:rsidR="004F3969" w:rsidRPr="004F3969" w:rsidRDefault="004F3969" w:rsidP="004F3969">
            <w:r w:rsidRPr="000359F3">
              <w:t>Cobb-Douglas function</w:t>
            </w:r>
          </w:p>
        </w:tc>
        <w:tc>
          <w:tcPr>
            <w:tcW w:w="1588" w:type="pct"/>
          </w:tcPr>
          <w:p w:rsidR="004F3969" w:rsidRPr="004F3969" w:rsidRDefault="004F3969" w:rsidP="004F3969">
            <w:r w:rsidRPr="000359F3">
              <w:t>DV: real opex</w:t>
            </w:r>
          </w:p>
          <w:p w:rsidR="004F3969" w:rsidRPr="004F3969" w:rsidRDefault="004F3969" w:rsidP="004F3969">
            <w:r w:rsidRPr="000359F3">
              <w:t>Output: customer number, circuit length, RMDemand</w:t>
            </w:r>
          </w:p>
          <w:p w:rsidR="004F3969" w:rsidRPr="004F3969" w:rsidRDefault="004F3969" w:rsidP="004F3969">
            <w:r w:rsidRPr="000359F3">
              <w:t>OEF: undergrounding</w:t>
            </w:r>
          </w:p>
          <w:p w:rsidR="004F3969" w:rsidRPr="004F3969" w:rsidRDefault="004F3969" w:rsidP="004F3969">
            <w:r w:rsidRPr="000359F3">
              <w:t>Other: Year</w:t>
            </w:r>
          </w:p>
        </w:tc>
        <w:tc>
          <w:tcPr>
            <w:tcW w:w="985" w:type="pct"/>
          </w:tcPr>
          <w:p w:rsidR="004F3969" w:rsidRPr="004F3969" w:rsidRDefault="004F3969" w:rsidP="004F3969">
            <w:r w:rsidRPr="000359F3">
              <w:t>1 Use of Australian only data</w:t>
            </w:r>
          </w:p>
        </w:tc>
      </w:tr>
      <w:tr w:rsidR="004F3969" w:rsidRPr="00F14036" w:rsidTr="002B1A23">
        <w:tc>
          <w:tcPr>
            <w:tcW w:w="714" w:type="pct"/>
          </w:tcPr>
          <w:p w:rsidR="004F3969" w:rsidRPr="004F3969" w:rsidRDefault="004F3969" w:rsidP="004F3969">
            <w:r w:rsidRPr="000359F3">
              <w:t>FE (2015a)</w:t>
            </w:r>
          </w:p>
        </w:tc>
        <w:tc>
          <w:tcPr>
            <w:tcW w:w="816" w:type="pct"/>
          </w:tcPr>
          <w:p w:rsidR="004F3969" w:rsidRPr="004F3969" w:rsidRDefault="004F3969" w:rsidP="004F3969">
            <w:r w:rsidRPr="000359F3">
              <w:t>Full sample, 2006-2013</w:t>
            </w:r>
          </w:p>
        </w:tc>
        <w:tc>
          <w:tcPr>
            <w:tcW w:w="897" w:type="pct"/>
          </w:tcPr>
          <w:p w:rsidR="004F3969" w:rsidRPr="004F3969" w:rsidRDefault="004F3969" w:rsidP="004F3969">
            <w:r w:rsidRPr="000359F3">
              <w:t>True RE and True FE models</w:t>
            </w:r>
            <w:r w:rsidRPr="004F3969">
              <w:rPr>
                <w:rStyle w:val="FootnoteReference"/>
              </w:rPr>
              <w:footnoteReference w:id="454"/>
            </w:r>
          </w:p>
          <w:p w:rsidR="004F3969" w:rsidRPr="004F3969" w:rsidRDefault="004F3969" w:rsidP="004F3969">
            <w:r w:rsidRPr="000359F3">
              <w:t>Cobb-Douglas function</w:t>
            </w:r>
          </w:p>
        </w:tc>
        <w:tc>
          <w:tcPr>
            <w:tcW w:w="1588" w:type="pct"/>
          </w:tcPr>
          <w:p w:rsidR="004F3969" w:rsidRPr="004F3969" w:rsidRDefault="004F3969" w:rsidP="004F3969">
            <w:r w:rsidRPr="000359F3">
              <w:t>DV: real opex</w:t>
            </w:r>
          </w:p>
          <w:p w:rsidR="004F3969" w:rsidRPr="004F3969" w:rsidRDefault="004F3969" w:rsidP="004F3969">
            <w:r w:rsidRPr="000359F3">
              <w:t xml:space="preserve">Output: customer number, circuit length, RMDemand </w:t>
            </w:r>
          </w:p>
          <w:p w:rsidR="004F3969" w:rsidRPr="004F3969" w:rsidRDefault="004F3969" w:rsidP="004F3969">
            <w:r w:rsidRPr="000359F3">
              <w:t>OEF: undergrounding</w:t>
            </w:r>
          </w:p>
          <w:p w:rsidR="004F3969" w:rsidRPr="004F3969" w:rsidRDefault="004F3969" w:rsidP="004F3969">
            <w:r w:rsidRPr="000359F3">
              <w:t>Other: Year</w:t>
            </w:r>
          </w:p>
        </w:tc>
        <w:tc>
          <w:tcPr>
            <w:tcW w:w="985" w:type="pct"/>
          </w:tcPr>
          <w:p w:rsidR="004F3969" w:rsidRPr="004F3969" w:rsidRDefault="004F3969" w:rsidP="004F3969">
            <w:r w:rsidRPr="000359F3">
              <w:t>3 Use of latent heterogeneity model</w:t>
            </w:r>
          </w:p>
        </w:tc>
      </w:tr>
      <w:tr w:rsidR="004F3969" w:rsidRPr="00F14036" w:rsidTr="002B1A23">
        <w:trPr>
          <w:cnfStyle w:val="000000010000" w:firstRow="0" w:lastRow="0" w:firstColumn="0" w:lastColumn="0" w:oddVBand="0" w:evenVBand="0" w:oddHBand="0" w:evenHBand="1" w:firstRowFirstColumn="0" w:firstRowLastColumn="0" w:lastRowFirstColumn="0" w:lastRowLastColumn="0"/>
        </w:trPr>
        <w:tc>
          <w:tcPr>
            <w:tcW w:w="714" w:type="pct"/>
          </w:tcPr>
          <w:p w:rsidR="004F3969" w:rsidRPr="004F3969" w:rsidRDefault="004F3969" w:rsidP="004F3969">
            <w:r w:rsidRPr="000359F3">
              <w:t>FE (2015a)</w:t>
            </w:r>
          </w:p>
        </w:tc>
        <w:tc>
          <w:tcPr>
            <w:tcW w:w="816" w:type="pct"/>
          </w:tcPr>
          <w:p w:rsidR="004F3969" w:rsidRPr="004F3969" w:rsidRDefault="004F3969" w:rsidP="004F3969">
            <w:r w:rsidRPr="000359F3">
              <w:t>Full sample or jurisdiction-specific sample, 2006-2013</w:t>
            </w:r>
          </w:p>
        </w:tc>
        <w:tc>
          <w:tcPr>
            <w:tcW w:w="897" w:type="pct"/>
          </w:tcPr>
          <w:p w:rsidR="004F3969" w:rsidRPr="004F3969" w:rsidRDefault="004F3969" w:rsidP="004F3969">
            <w:r w:rsidRPr="000359F3">
              <w:t>SFA</w:t>
            </w:r>
          </w:p>
          <w:p w:rsidR="004F3969" w:rsidRPr="004F3969" w:rsidRDefault="004F3969" w:rsidP="004F3969">
            <w:r w:rsidRPr="000359F3">
              <w:t>Cobb-Douglas function</w:t>
            </w:r>
          </w:p>
        </w:tc>
        <w:tc>
          <w:tcPr>
            <w:tcW w:w="1588" w:type="pct"/>
          </w:tcPr>
          <w:p w:rsidR="004F3969" w:rsidRPr="004F3969" w:rsidRDefault="004F3969" w:rsidP="004F3969">
            <w:r w:rsidRPr="000359F3">
              <w:t>DV: real opex</w:t>
            </w:r>
          </w:p>
          <w:p w:rsidR="004F3969" w:rsidRPr="004F3969" w:rsidRDefault="004F3969" w:rsidP="004F3969">
            <w:r w:rsidRPr="000359F3">
              <w:t xml:space="preserve">Output: customer number, circuit length, RMDemand </w:t>
            </w:r>
          </w:p>
          <w:p w:rsidR="004F3969" w:rsidRPr="004F3969" w:rsidRDefault="004F3969" w:rsidP="004F3969">
            <w:r w:rsidRPr="000359F3">
              <w:t>OEF: undergrounding</w:t>
            </w:r>
          </w:p>
          <w:p w:rsidR="004F3969" w:rsidRPr="004F3969" w:rsidRDefault="004F3969" w:rsidP="004F3969">
            <w:r w:rsidRPr="000359F3">
              <w:t>Other Year</w:t>
            </w:r>
          </w:p>
        </w:tc>
        <w:tc>
          <w:tcPr>
            <w:tcW w:w="985" w:type="pct"/>
          </w:tcPr>
          <w:p w:rsidR="004F3969" w:rsidRPr="004F3969" w:rsidRDefault="004F3969" w:rsidP="004F3969">
            <w:r w:rsidRPr="000359F3">
              <w:t>1 Use of Australian only data</w:t>
            </w:r>
          </w:p>
        </w:tc>
      </w:tr>
      <w:tr w:rsidR="004F3969" w:rsidRPr="00F14036" w:rsidTr="002B1A23">
        <w:tc>
          <w:tcPr>
            <w:tcW w:w="714" w:type="pct"/>
          </w:tcPr>
          <w:p w:rsidR="004F3969" w:rsidRPr="004F3969" w:rsidRDefault="004F3969" w:rsidP="004F3969">
            <w:r w:rsidRPr="000359F3">
              <w:t>FE (2015a)</w:t>
            </w:r>
          </w:p>
        </w:tc>
        <w:tc>
          <w:tcPr>
            <w:tcW w:w="816" w:type="pct"/>
          </w:tcPr>
          <w:p w:rsidR="004F3969" w:rsidRPr="004F3969" w:rsidRDefault="004F3969" w:rsidP="004F3969">
            <w:r w:rsidRPr="000359F3">
              <w:t xml:space="preserve">Australian only sample, 2013 only </w:t>
            </w:r>
          </w:p>
        </w:tc>
        <w:tc>
          <w:tcPr>
            <w:tcW w:w="897" w:type="pct"/>
          </w:tcPr>
          <w:p w:rsidR="004F3969" w:rsidRPr="004F3969" w:rsidRDefault="004F3969" w:rsidP="004F3969">
            <w:r w:rsidRPr="000359F3">
              <w:t xml:space="preserve">DEA </w:t>
            </w:r>
          </w:p>
          <w:p w:rsidR="004F3969" w:rsidRPr="004F3969" w:rsidRDefault="004F3969" w:rsidP="004F3969">
            <w:r w:rsidRPr="000359F3">
              <w:t>CRS and VRS</w:t>
            </w:r>
            <w:r w:rsidRPr="004F3969">
              <w:rPr>
                <w:rStyle w:val="FootnoteReference"/>
              </w:rPr>
              <w:footnoteReference w:id="455"/>
            </w:r>
          </w:p>
        </w:tc>
        <w:tc>
          <w:tcPr>
            <w:tcW w:w="1588" w:type="pct"/>
          </w:tcPr>
          <w:p w:rsidR="004F3969" w:rsidRPr="004F3969" w:rsidRDefault="004F3969" w:rsidP="004F3969">
            <w:r w:rsidRPr="000359F3">
              <w:t xml:space="preserve">Input: real opex </w:t>
            </w:r>
          </w:p>
          <w:p w:rsidR="004F3969" w:rsidRPr="004F3969" w:rsidRDefault="004F3969" w:rsidP="004F3969">
            <w:r w:rsidRPr="000359F3">
              <w:t xml:space="preserve">Output: Energy delivered, RMDemand, customer number, before adding circuit length; </w:t>
            </w:r>
          </w:p>
          <w:p w:rsidR="004F3969" w:rsidRPr="000359F3" w:rsidRDefault="004F3969" w:rsidP="004F3969"/>
        </w:tc>
        <w:tc>
          <w:tcPr>
            <w:tcW w:w="985" w:type="pct"/>
          </w:tcPr>
          <w:p w:rsidR="004F3969" w:rsidRPr="004F3969" w:rsidRDefault="004F3969" w:rsidP="00AC227C">
            <w:r w:rsidRPr="000359F3">
              <w:t xml:space="preserve">4 finding </w:t>
            </w:r>
            <w:r w:rsidR="00AC227C">
              <w:t>distributors</w:t>
            </w:r>
            <w:r w:rsidR="00AC227C" w:rsidRPr="000359F3">
              <w:t xml:space="preserve"> </w:t>
            </w:r>
            <w:r w:rsidRPr="000359F3">
              <w:t>efficient by default</w:t>
            </w:r>
          </w:p>
        </w:tc>
      </w:tr>
      <w:tr w:rsidR="004F3969" w:rsidRPr="00F14036" w:rsidTr="002B1A23">
        <w:trPr>
          <w:cnfStyle w:val="000000010000" w:firstRow="0" w:lastRow="0" w:firstColumn="0" w:lastColumn="0" w:oddVBand="0" w:evenVBand="0" w:oddHBand="0" w:evenHBand="1" w:firstRowFirstColumn="0" w:firstRowLastColumn="0" w:lastRowFirstColumn="0" w:lastRowLastColumn="0"/>
        </w:trPr>
        <w:tc>
          <w:tcPr>
            <w:tcW w:w="714" w:type="pct"/>
          </w:tcPr>
          <w:p w:rsidR="004F3969" w:rsidRPr="004F3969" w:rsidRDefault="004F3969" w:rsidP="004F3969">
            <w:r w:rsidRPr="000359F3">
              <w:t>FE (2015b)</w:t>
            </w:r>
          </w:p>
        </w:tc>
        <w:tc>
          <w:tcPr>
            <w:tcW w:w="816" w:type="pct"/>
          </w:tcPr>
          <w:p w:rsidR="004F3969" w:rsidRPr="004F3969" w:rsidRDefault="004F3969" w:rsidP="004F3969">
            <w:r w:rsidRPr="000359F3">
              <w:t>Full sample, 2006-2013</w:t>
            </w:r>
          </w:p>
        </w:tc>
        <w:tc>
          <w:tcPr>
            <w:tcW w:w="897" w:type="pct"/>
          </w:tcPr>
          <w:p w:rsidR="004F3969" w:rsidRPr="004F3969" w:rsidRDefault="004F3969" w:rsidP="004F3969">
            <w:r w:rsidRPr="000359F3">
              <w:t>SFA</w:t>
            </w:r>
          </w:p>
          <w:p w:rsidR="004F3969" w:rsidRPr="004F3969" w:rsidRDefault="004F3969" w:rsidP="004F3969">
            <w:r w:rsidRPr="000359F3">
              <w:t>Cobb-Douglas</w:t>
            </w:r>
          </w:p>
        </w:tc>
        <w:tc>
          <w:tcPr>
            <w:tcW w:w="1588" w:type="pct"/>
          </w:tcPr>
          <w:p w:rsidR="004F3969" w:rsidRPr="004F3969" w:rsidRDefault="004F3969" w:rsidP="004F3969">
            <w:r w:rsidRPr="000359F3">
              <w:t>DV: real opex</w:t>
            </w:r>
          </w:p>
          <w:p w:rsidR="004F3969" w:rsidRPr="004F3969" w:rsidRDefault="004F3969" w:rsidP="004F3969">
            <w:r w:rsidRPr="000359F3">
              <w:t xml:space="preserve">Output: customer number, circuit length, RMDemand </w:t>
            </w:r>
          </w:p>
          <w:p w:rsidR="004F3969" w:rsidRPr="004F3969" w:rsidRDefault="004F3969" w:rsidP="004F3969">
            <w:r w:rsidRPr="000359F3">
              <w:t>OEF: undergrounding, squared term for customer density, share of circuit above</w:t>
            </w:r>
            <w:r w:rsidRPr="004F3969">
              <w:t xml:space="preserve"> 66kV, country dummies</w:t>
            </w:r>
          </w:p>
          <w:p w:rsidR="004F3969" w:rsidRPr="004F3969" w:rsidRDefault="004F3969" w:rsidP="004F3969">
            <w:r w:rsidRPr="000359F3">
              <w:t>Other: Year</w:t>
            </w:r>
          </w:p>
        </w:tc>
        <w:tc>
          <w:tcPr>
            <w:tcW w:w="985" w:type="pct"/>
          </w:tcPr>
          <w:p w:rsidR="004F3969" w:rsidRPr="004F3969" w:rsidRDefault="004F3969" w:rsidP="004F3969">
            <w:r w:rsidRPr="000359F3">
              <w:t>2 Use of 132 kV variable</w:t>
            </w:r>
          </w:p>
          <w:p w:rsidR="004F3969" w:rsidRPr="004F3969" w:rsidRDefault="004F3969" w:rsidP="004F3969">
            <w:r w:rsidRPr="000359F3">
              <w:t>5 inadequate input/output specification</w:t>
            </w:r>
          </w:p>
        </w:tc>
      </w:tr>
      <w:tr w:rsidR="004F3969" w:rsidRPr="00F14036" w:rsidTr="002B1A23">
        <w:tc>
          <w:tcPr>
            <w:tcW w:w="714" w:type="pct"/>
          </w:tcPr>
          <w:p w:rsidR="004F3969" w:rsidRPr="004F3969" w:rsidRDefault="004F3969" w:rsidP="004F3969">
            <w:r w:rsidRPr="000359F3">
              <w:t>FE (2015b)</w:t>
            </w:r>
          </w:p>
        </w:tc>
        <w:tc>
          <w:tcPr>
            <w:tcW w:w="816" w:type="pct"/>
          </w:tcPr>
          <w:p w:rsidR="004F3969" w:rsidRPr="004F3969" w:rsidRDefault="004F3969" w:rsidP="004F3969">
            <w:r w:rsidRPr="000359F3">
              <w:t>Australian only sample used for second stage regression, average of the period data</w:t>
            </w:r>
          </w:p>
        </w:tc>
        <w:tc>
          <w:tcPr>
            <w:tcW w:w="897" w:type="pct"/>
          </w:tcPr>
          <w:p w:rsidR="004F3969" w:rsidRPr="004F3969" w:rsidRDefault="004F3969" w:rsidP="004F3969">
            <w:r w:rsidRPr="000359F3">
              <w:t xml:space="preserve">Second-stage OLS analysis </w:t>
            </w:r>
          </w:p>
        </w:tc>
        <w:tc>
          <w:tcPr>
            <w:tcW w:w="1588" w:type="pct"/>
          </w:tcPr>
          <w:p w:rsidR="004F3969" w:rsidRPr="004F3969" w:rsidRDefault="004F3969" w:rsidP="004F3969">
            <w:r w:rsidRPr="000359F3">
              <w:t>DV: raw efficiency scores from EI model and FE’s modified model respectively</w:t>
            </w:r>
          </w:p>
          <w:p w:rsidR="004F3969" w:rsidRPr="004F3969" w:rsidRDefault="004F3969" w:rsidP="002B1A23">
            <w:r w:rsidRPr="000359F3">
              <w:t>OEF: selected variables, including share of circuit above 66kV, customer density (linear vs spatial), weather variables (</w:t>
            </w:r>
            <w:r w:rsidR="002B1A23">
              <w:t>for example</w:t>
            </w:r>
            <w:r w:rsidRPr="000359F3">
              <w:t xml:space="preserve">, wind gust speed, rainfall, </w:t>
            </w:r>
            <w:r w:rsidRPr="000359F3">
              <w:lastRenderedPageBreak/>
              <w:t>temperature, humidity)</w:t>
            </w:r>
          </w:p>
        </w:tc>
        <w:tc>
          <w:tcPr>
            <w:tcW w:w="985" w:type="pct"/>
          </w:tcPr>
          <w:p w:rsidR="004F3969" w:rsidRPr="004F3969" w:rsidRDefault="004F3969" w:rsidP="004F3969">
            <w:r w:rsidRPr="000359F3">
              <w:lastRenderedPageBreak/>
              <w:t>2 Use of 132 kV variable</w:t>
            </w:r>
          </w:p>
          <w:p w:rsidR="004F3969" w:rsidRPr="004F3969" w:rsidRDefault="004F3969" w:rsidP="004F3969">
            <w:r w:rsidRPr="000359F3">
              <w:t xml:space="preserve">Single </w:t>
            </w:r>
            <w:r w:rsidRPr="004F3969">
              <w:t>stage SFA is preferred, where appropriate.</w:t>
            </w:r>
            <w:r w:rsidRPr="004F3969">
              <w:rPr>
                <w:rStyle w:val="FootnoteReference"/>
              </w:rPr>
              <w:footnoteReference w:id="456"/>
            </w:r>
            <w:r w:rsidRPr="004F3969">
              <w:t xml:space="preserve"> </w:t>
            </w:r>
          </w:p>
        </w:tc>
      </w:tr>
      <w:tr w:rsidR="004F3969" w:rsidRPr="00F14036" w:rsidTr="002B1A23">
        <w:trPr>
          <w:cnfStyle w:val="000000010000" w:firstRow="0" w:lastRow="0" w:firstColumn="0" w:lastColumn="0" w:oddVBand="0" w:evenVBand="0" w:oddHBand="0" w:evenHBand="1" w:firstRowFirstColumn="0" w:firstRowLastColumn="0" w:lastRowFirstColumn="0" w:lastRowLastColumn="0"/>
        </w:trPr>
        <w:tc>
          <w:tcPr>
            <w:tcW w:w="714" w:type="pct"/>
          </w:tcPr>
          <w:p w:rsidR="004F3969" w:rsidRPr="004F3969" w:rsidRDefault="004F3969" w:rsidP="004F3969">
            <w:r w:rsidRPr="000359F3">
              <w:lastRenderedPageBreak/>
              <w:t>Huegin (2015a)</w:t>
            </w:r>
          </w:p>
        </w:tc>
        <w:tc>
          <w:tcPr>
            <w:tcW w:w="816" w:type="pct"/>
          </w:tcPr>
          <w:p w:rsidR="004F3969" w:rsidRPr="004F3969" w:rsidRDefault="004F3969" w:rsidP="004F3969">
            <w:r w:rsidRPr="000359F3">
              <w:t>Full sample, 2006-2013</w:t>
            </w:r>
          </w:p>
        </w:tc>
        <w:tc>
          <w:tcPr>
            <w:tcW w:w="897" w:type="pct"/>
          </w:tcPr>
          <w:p w:rsidR="004F3969" w:rsidRPr="004F3969" w:rsidRDefault="004F3969" w:rsidP="004F3969">
            <w:r w:rsidRPr="000359F3">
              <w:t>SFA</w:t>
            </w:r>
          </w:p>
          <w:p w:rsidR="004F3969" w:rsidRPr="004F3969" w:rsidRDefault="004F3969" w:rsidP="004F3969">
            <w:r w:rsidRPr="000359F3">
              <w:t>Cobb-Douglas function</w:t>
            </w:r>
          </w:p>
        </w:tc>
        <w:tc>
          <w:tcPr>
            <w:tcW w:w="1588" w:type="pct"/>
          </w:tcPr>
          <w:p w:rsidR="004F3969" w:rsidRPr="004F3969" w:rsidRDefault="004F3969" w:rsidP="004F3969">
            <w:r w:rsidRPr="000359F3">
              <w:t>DV: real opex</w:t>
            </w:r>
          </w:p>
          <w:p w:rsidR="004F3969" w:rsidRPr="004F3969" w:rsidRDefault="004F3969" w:rsidP="004F3969">
            <w:r w:rsidRPr="000359F3">
              <w:t xml:space="preserve">Output: customer number, circuit length, RMDemand </w:t>
            </w:r>
          </w:p>
          <w:p w:rsidR="004F3969" w:rsidRPr="004F3969" w:rsidRDefault="004F3969" w:rsidP="004F3969">
            <w:r w:rsidRPr="000359F3">
              <w:t xml:space="preserve">Undergrounding or Year variable is modelled for explaining the efficiency term </w:t>
            </w:r>
          </w:p>
          <w:p w:rsidR="004F3969" w:rsidRPr="000359F3" w:rsidRDefault="004F3969" w:rsidP="004F3969"/>
        </w:tc>
        <w:tc>
          <w:tcPr>
            <w:tcW w:w="985" w:type="pct"/>
          </w:tcPr>
          <w:p w:rsidR="004F3969" w:rsidRPr="004F3969" w:rsidRDefault="004F3969" w:rsidP="004F3969">
            <w:r w:rsidRPr="000359F3">
              <w:t>5 inadequate input/output specification</w:t>
            </w:r>
          </w:p>
        </w:tc>
      </w:tr>
      <w:tr w:rsidR="004F3969" w:rsidRPr="00F14036" w:rsidTr="002B1A23">
        <w:tc>
          <w:tcPr>
            <w:tcW w:w="714" w:type="pct"/>
          </w:tcPr>
          <w:p w:rsidR="004F3969" w:rsidRPr="004F3969" w:rsidRDefault="004F3969" w:rsidP="004F3969">
            <w:r w:rsidRPr="000359F3">
              <w:t>Huegin (2015a)</w:t>
            </w:r>
          </w:p>
        </w:tc>
        <w:tc>
          <w:tcPr>
            <w:tcW w:w="816" w:type="pct"/>
          </w:tcPr>
          <w:p w:rsidR="004F3969" w:rsidRPr="004F3969" w:rsidRDefault="004F3969" w:rsidP="004F3969">
            <w:r w:rsidRPr="000359F3">
              <w:t>Australian only sample, 2006-2013</w:t>
            </w:r>
          </w:p>
        </w:tc>
        <w:tc>
          <w:tcPr>
            <w:tcW w:w="897" w:type="pct"/>
          </w:tcPr>
          <w:p w:rsidR="004F3969" w:rsidRPr="004F3969" w:rsidRDefault="004F3969" w:rsidP="004F3969">
            <w:r w:rsidRPr="000359F3">
              <w:t>Opex PFP</w:t>
            </w:r>
          </w:p>
        </w:tc>
        <w:tc>
          <w:tcPr>
            <w:tcW w:w="1588" w:type="pct"/>
          </w:tcPr>
          <w:p w:rsidR="004F3969" w:rsidRPr="004F3969" w:rsidRDefault="004F3969" w:rsidP="004F3969">
            <w:r w:rsidRPr="000359F3">
              <w:t>Seven alternative model specification previously considered by EI and AER</w:t>
            </w:r>
          </w:p>
        </w:tc>
        <w:tc>
          <w:tcPr>
            <w:tcW w:w="985" w:type="pct"/>
          </w:tcPr>
          <w:p w:rsidR="004F3969" w:rsidRPr="004F3969" w:rsidRDefault="004F3969" w:rsidP="004F3969">
            <w:r w:rsidRPr="000359F3">
              <w:t>5 inadequate input/output specification</w:t>
            </w:r>
          </w:p>
        </w:tc>
      </w:tr>
      <w:tr w:rsidR="004F3969" w:rsidRPr="00F14036" w:rsidTr="002B1A23">
        <w:trPr>
          <w:cnfStyle w:val="000000010000" w:firstRow="0" w:lastRow="0" w:firstColumn="0" w:lastColumn="0" w:oddVBand="0" w:evenVBand="0" w:oddHBand="0" w:evenHBand="1" w:firstRowFirstColumn="0" w:firstRowLastColumn="0" w:lastRowFirstColumn="0" w:lastRowLastColumn="0"/>
        </w:trPr>
        <w:tc>
          <w:tcPr>
            <w:tcW w:w="714" w:type="pct"/>
          </w:tcPr>
          <w:p w:rsidR="004F3969" w:rsidRPr="004F3969" w:rsidRDefault="004F3969" w:rsidP="004F3969">
            <w:r w:rsidRPr="000359F3">
              <w:t>Huegin (2015b)</w:t>
            </w:r>
          </w:p>
        </w:tc>
        <w:tc>
          <w:tcPr>
            <w:tcW w:w="816" w:type="pct"/>
          </w:tcPr>
          <w:p w:rsidR="004F3969" w:rsidRPr="004F3969" w:rsidRDefault="004F3969" w:rsidP="004F3969">
            <w:r w:rsidRPr="000359F3">
              <w:t>Full sample</w:t>
            </w:r>
          </w:p>
        </w:tc>
        <w:tc>
          <w:tcPr>
            <w:tcW w:w="897" w:type="pct"/>
          </w:tcPr>
          <w:p w:rsidR="004F3969" w:rsidRPr="004F3969" w:rsidRDefault="004F3969" w:rsidP="004F3969">
            <w:r w:rsidRPr="000359F3">
              <w:t xml:space="preserve">latent class modelling </w:t>
            </w:r>
          </w:p>
        </w:tc>
        <w:tc>
          <w:tcPr>
            <w:tcW w:w="1588" w:type="pct"/>
          </w:tcPr>
          <w:p w:rsidR="004F3969" w:rsidRPr="004F3969" w:rsidRDefault="004F3969" w:rsidP="004F3969">
            <w:r w:rsidRPr="000359F3">
              <w:t>DV: real opex</w:t>
            </w:r>
          </w:p>
          <w:p w:rsidR="004F3969" w:rsidRPr="004F3969" w:rsidRDefault="004F3969" w:rsidP="004F3969">
            <w:r w:rsidRPr="000359F3">
              <w:t>Output: customer number, circuit length</w:t>
            </w:r>
          </w:p>
          <w:p w:rsidR="004F3969" w:rsidRPr="004F3969" w:rsidRDefault="004F3969" w:rsidP="004F3969">
            <w:r w:rsidRPr="000359F3">
              <w:t>OEF: undergrounding</w:t>
            </w:r>
          </w:p>
          <w:p w:rsidR="004F3969" w:rsidRPr="000359F3" w:rsidRDefault="004F3969" w:rsidP="004F3969"/>
        </w:tc>
        <w:tc>
          <w:tcPr>
            <w:tcW w:w="985" w:type="pct"/>
          </w:tcPr>
          <w:p w:rsidR="004F3969" w:rsidRPr="004F3969" w:rsidRDefault="004F3969" w:rsidP="004F3969">
            <w:r w:rsidRPr="000359F3">
              <w:t>3 Use of latent heterogeneity model</w:t>
            </w:r>
          </w:p>
        </w:tc>
      </w:tr>
      <w:tr w:rsidR="004F3969" w:rsidRPr="00F14036" w:rsidTr="002B1A23">
        <w:tc>
          <w:tcPr>
            <w:tcW w:w="714" w:type="pct"/>
          </w:tcPr>
          <w:p w:rsidR="004F3969" w:rsidRPr="004F3969" w:rsidRDefault="004F3969" w:rsidP="004F3969">
            <w:r w:rsidRPr="000359F3">
              <w:t>Huegin (2015b)</w:t>
            </w:r>
          </w:p>
        </w:tc>
        <w:tc>
          <w:tcPr>
            <w:tcW w:w="816" w:type="pct"/>
          </w:tcPr>
          <w:p w:rsidR="004F3969" w:rsidRPr="004F3969" w:rsidRDefault="004F3969" w:rsidP="004F3969">
            <w:r w:rsidRPr="000359F3">
              <w:t>Australian only sample</w:t>
            </w:r>
          </w:p>
        </w:tc>
        <w:tc>
          <w:tcPr>
            <w:tcW w:w="897" w:type="pct"/>
          </w:tcPr>
          <w:p w:rsidR="004F3969" w:rsidRPr="004F3969" w:rsidRDefault="004F3969" w:rsidP="004F3969">
            <w:r w:rsidRPr="000359F3">
              <w:t xml:space="preserve">K-means clustering </w:t>
            </w:r>
          </w:p>
        </w:tc>
        <w:tc>
          <w:tcPr>
            <w:tcW w:w="1588" w:type="pct"/>
          </w:tcPr>
          <w:p w:rsidR="004F3969" w:rsidRPr="004F3969" w:rsidRDefault="004F3969" w:rsidP="004F3969">
            <w:r w:rsidRPr="000359F3">
              <w:t>18 variables on four dimensions are used to group the 13 Australian DNSPs</w:t>
            </w:r>
          </w:p>
        </w:tc>
        <w:tc>
          <w:tcPr>
            <w:tcW w:w="985" w:type="pct"/>
          </w:tcPr>
          <w:p w:rsidR="004F3969" w:rsidRPr="004F3969" w:rsidRDefault="004F3969" w:rsidP="004F3969">
            <w:r w:rsidRPr="000359F3">
              <w:t>3 Use of latent heterogeneity model</w:t>
            </w:r>
          </w:p>
        </w:tc>
      </w:tr>
      <w:tr w:rsidR="004F3969" w:rsidRPr="00F14036" w:rsidTr="002B1A23">
        <w:trPr>
          <w:cnfStyle w:val="000000010000" w:firstRow="0" w:lastRow="0" w:firstColumn="0" w:lastColumn="0" w:oddVBand="0" w:evenVBand="0" w:oddHBand="0" w:evenHBand="1" w:firstRowFirstColumn="0" w:firstRowLastColumn="0" w:lastRowFirstColumn="0" w:lastRowLastColumn="0"/>
        </w:trPr>
        <w:tc>
          <w:tcPr>
            <w:tcW w:w="714" w:type="pct"/>
            <w:vAlign w:val="top"/>
          </w:tcPr>
          <w:p w:rsidR="004F3969" w:rsidRPr="004F3969" w:rsidRDefault="004F3969" w:rsidP="004F3969">
            <w:r w:rsidRPr="000359F3">
              <w:t>Huegin (2015c)</w:t>
            </w:r>
          </w:p>
        </w:tc>
        <w:tc>
          <w:tcPr>
            <w:tcW w:w="816" w:type="pct"/>
            <w:vAlign w:val="top"/>
          </w:tcPr>
          <w:p w:rsidR="004F3969" w:rsidRPr="004F3969" w:rsidRDefault="004F3969" w:rsidP="004F3969">
            <w:r w:rsidRPr="000359F3">
              <w:t xml:space="preserve">Full sample vs. Australian only sample vs. Large rural only sample </w:t>
            </w:r>
          </w:p>
        </w:tc>
        <w:tc>
          <w:tcPr>
            <w:tcW w:w="897" w:type="pct"/>
            <w:vAlign w:val="top"/>
          </w:tcPr>
          <w:p w:rsidR="004F3969" w:rsidRPr="004F3969" w:rsidRDefault="004F3969" w:rsidP="004F3969">
            <w:r w:rsidRPr="000359F3">
              <w:t xml:space="preserve">SFA </w:t>
            </w:r>
          </w:p>
        </w:tc>
        <w:tc>
          <w:tcPr>
            <w:tcW w:w="1588" w:type="pct"/>
            <w:vAlign w:val="top"/>
          </w:tcPr>
          <w:p w:rsidR="004F3969" w:rsidRPr="004F3969" w:rsidRDefault="004F3969" w:rsidP="004F3969">
            <w:r w:rsidRPr="000359F3">
              <w:t>DV: opex</w:t>
            </w:r>
          </w:p>
          <w:p w:rsidR="004F3969" w:rsidRPr="004F3969" w:rsidRDefault="004F3969" w:rsidP="004F3969">
            <w:r w:rsidRPr="000359F3">
              <w:t>Output: customer number, circuit length, RMDemand</w:t>
            </w:r>
          </w:p>
          <w:p w:rsidR="004F3969" w:rsidRPr="004F3969" w:rsidRDefault="004F3969" w:rsidP="004F3969">
            <w:r w:rsidRPr="000359F3">
              <w:t>OEF: undergrounding</w:t>
            </w:r>
          </w:p>
        </w:tc>
        <w:tc>
          <w:tcPr>
            <w:tcW w:w="985" w:type="pct"/>
            <w:vAlign w:val="top"/>
          </w:tcPr>
          <w:p w:rsidR="004F3969" w:rsidRPr="004F3969" w:rsidRDefault="004F3969" w:rsidP="004F3969">
            <w:r w:rsidRPr="000359F3">
              <w:t>1 Use of Australian only data</w:t>
            </w:r>
          </w:p>
        </w:tc>
      </w:tr>
      <w:tr w:rsidR="004F3969" w:rsidRPr="00F14036" w:rsidTr="002B1A23">
        <w:tc>
          <w:tcPr>
            <w:tcW w:w="714" w:type="pct"/>
          </w:tcPr>
          <w:p w:rsidR="004F3969" w:rsidRPr="004F3969" w:rsidRDefault="004F3969" w:rsidP="004F3969">
            <w:r w:rsidRPr="000359F3">
              <w:t>McKell</w:t>
            </w:r>
            <w:r w:rsidRPr="004F3969">
              <w:t xml:space="preserve"> (2014)</w:t>
            </w:r>
          </w:p>
        </w:tc>
        <w:tc>
          <w:tcPr>
            <w:tcW w:w="816" w:type="pct"/>
          </w:tcPr>
          <w:p w:rsidR="004F3969" w:rsidRPr="004F3969" w:rsidRDefault="004F3969" w:rsidP="004F3969">
            <w:r w:rsidRPr="000359F3">
              <w:t>Australian only sample</w:t>
            </w:r>
          </w:p>
        </w:tc>
        <w:tc>
          <w:tcPr>
            <w:tcW w:w="897" w:type="pct"/>
          </w:tcPr>
          <w:p w:rsidR="004F3969" w:rsidRPr="004F3969" w:rsidRDefault="004F3969" w:rsidP="004F3969">
            <w:r w:rsidRPr="000359F3">
              <w:t>OLS</w:t>
            </w:r>
          </w:p>
        </w:tc>
        <w:tc>
          <w:tcPr>
            <w:tcW w:w="1588" w:type="pct"/>
          </w:tcPr>
          <w:p w:rsidR="004F3969" w:rsidRPr="004F3969" w:rsidRDefault="004F3969" w:rsidP="004F3969">
            <w:r w:rsidRPr="000359F3">
              <w:t>DV: Upkeep cost per customer</w:t>
            </w:r>
          </w:p>
          <w:p w:rsidR="004F3969" w:rsidRPr="004F3969" w:rsidRDefault="004F3969" w:rsidP="004F3969">
            <w:r w:rsidRPr="000359F3">
              <w:t>IV: line length</w:t>
            </w:r>
          </w:p>
        </w:tc>
        <w:tc>
          <w:tcPr>
            <w:tcW w:w="985" w:type="pct"/>
          </w:tcPr>
          <w:p w:rsidR="004F3969" w:rsidRPr="004F3969" w:rsidRDefault="004F3969" w:rsidP="004F3969">
            <w:r w:rsidRPr="000359F3">
              <w:t>1 Use of Australian only data</w:t>
            </w:r>
          </w:p>
          <w:p w:rsidR="004F3969" w:rsidRPr="004F3969" w:rsidRDefault="004F3969" w:rsidP="004F3969">
            <w:r w:rsidRPr="000359F3">
              <w:t>5 inadequate input/output specification</w:t>
            </w:r>
          </w:p>
        </w:tc>
      </w:tr>
      <w:tr w:rsidR="004F3969" w:rsidRPr="00F14036" w:rsidTr="002B1A23">
        <w:trPr>
          <w:cnfStyle w:val="000000010000" w:firstRow="0" w:lastRow="0" w:firstColumn="0" w:lastColumn="0" w:oddVBand="0" w:evenVBand="0" w:oddHBand="0" w:evenHBand="1" w:firstRowFirstColumn="0" w:firstRowLastColumn="0" w:lastRowFirstColumn="0" w:lastRowLastColumn="0"/>
        </w:trPr>
        <w:tc>
          <w:tcPr>
            <w:tcW w:w="714" w:type="pct"/>
          </w:tcPr>
          <w:p w:rsidR="004F3969" w:rsidRPr="004F3969" w:rsidRDefault="004F3969" w:rsidP="004F3969">
            <w:r w:rsidRPr="000359F3">
              <w:t>PEGR (2014)</w:t>
            </w:r>
          </w:p>
        </w:tc>
        <w:tc>
          <w:tcPr>
            <w:tcW w:w="816" w:type="pct"/>
          </w:tcPr>
          <w:p w:rsidR="004F3969" w:rsidRPr="004F3969" w:rsidRDefault="004F3969" w:rsidP="004F3969">
            <w:r w:rsidRPr="000359F3">
              <w:t xml:space="preserve">Australian sample (2006-2013) vs. Australian and US sample (unbalanced, with an addition of </w:t>
            </w:r>
            <w:r w:rsidRPr="004F3969">
              <w:t>170 observations for 15 US utilities 1995 to 2013)</w:t>
            </w:r>
          </w:p>
        </w:tc>
        <w:tc>
          <w:tcPr>
            <w:tcW w:w="897" w:type="pct"/>
          </w:tcPr>
          <w:p w:rsidR="004F3969" w:rsidRPr="004F3969" w:rsidRDefault="004F3969" w:rsidP="004F3969">
            <w:r w:rsidRPr="000359F3">
              <w:t>FGLS</w:t>
            </w:r>
            <w:r w:rsidRPr="004F3969">
              <w:rPr>
                <w:rStyle w:val="FootnoteReference"/>
              </w:rPr>
              <w:footnoteReference w:id="457"/>
            </w:r>
          </w:p>
        </w:tc>
        <w:tc>
          <w:tcPr>
            <w:tcW w:w="1588" w:type="pct"/>
          </w:tcPr>
          <w:p w:rsidR="004F3969" w:rsidRPr="004F3969" w:rsidRDefault="004F3969" w:rsidP="004F3969">
            <w:r w:rsidRPr="000359F3">
              <w:t>DV: real opex</w:t>
            </w:r>
          </w:p>
          <w:p w:rsidR="004F3969" w:rsidRPr="004F3969" w:rsidRDefault="004F3969" w:rsidP="004F3969">
            <w:r w:rsidRPr="000359F3">
              <w:t>Output: customer number, distribution substation capacity, distribution structure kilometres – Translog function</w:t>
            </w:r>
          </w:p>
          <w:p w:rsidR="004F3969" w:rsidRPr="004F3969" w:rsidRDefault="004F3969" w:rsidP="004F3969">
            <w:r w:rsidRPr="000359F3">
              <w:t>OEF: overhead line percentage, 132kv or above network (kilometre), average rainfall, Victoria Bushfire Risk dummy, US firm dummy (relevant only to transnational data)</w:t>
            </w:r>
          </w:p>
          <w:p w:rsidR="004F3969" w:rsidRPr="004F3969" w:rsidRDefault="004F3969" w:rsidP="004F3969">
            <w:r w:rsidRPr="000359F3">
              <w:t>Other: Year</w:t>
            </w:r>
          </w:p>
        </w:tc>
        <w:tc>
          <w:tcPr>
            <w:tcW w:w="985" w:type="pct"/>
          </w:tcPr>
          <w:p w:rsidR="004F3969" w:rsidRPr="004F3969" w:rsidRDefault="004F3969" w:rsidP="004F3969">
            <w:r w:rsidRPr="000359F3">
              <w:t>2 Use of 132 kV variable</w:t>
            </w:r>
          </w:p>
          <w:p w:rsidR="004F3969" w:rsidRPr="004F3969" w:rsidRDefault="004F3969" w:rsidP="004F3969">
            <w:r w:rsidRPr="000359F3">
              <w:t>6 unduly limited specification due to data availability</w:t>
            </w:r>
          </w:p>
          <w:p w:rsidR="004F3969" w:rsidRPr="004F3969" w:rsidRDefault="004F3969" w:rsidP="004F3969">
            <w:r w:rsidRPr="000359F3">
              <w:t>Stata coding error identified</w:t>
            </w:r>
            <w:r w:rsidRPr="004F3969">
              <w:rPr>
                <w:rStyle w:val="FootnoteReference"/>
              </w:rPr>
              <w:footnoteReference w:id="458"/>
            </w:r>
          </w:p>
        </w:tc>
      </w:tr>
      <w:tr w:rsidR="004F3969" w:rsidRPr="00F14036" w:rsidTr="002B1A23">
        <w:trPr>
          <w:trHeight w:val="1266"/>
        </w:trPr>
        <w:tc>
          <w:tcPr>
            <w:tcW w:w="714" w:type="pct"/>
          </w:tcPr>
          <w:p w:rsidR="004F3969" w:rsidRPr="004F3969" w:rsidRDefault="004F3969" w:rsidP="004F3969">
            <w:r w:rsidRPr="000359F3">
              <w:lastRenderedPageBreak/>
              <w:t>Synergies (2015b)</w:t>
            </w:r>
          </w:p>
        </w:tc>
        <w:tc>
          <w:tcPr>
            <w:tcW w:w="816" w:type="pct"/>
          </w:tcPr>
          <w:p w:rsidR="004F3969" w:rsidRPr="004F3969" w:rsidRDefault="004F3969" w:rsidP="004F3969">
            <w:r w:rsidRPr="000359F3">
              <w:t>Australian and NZ sample</w:t>
            </w:r>
          </w:p>
        </w:tc>
        <w:tc>
          <w:tcPr>
            <w:tcW w:w="897" w:type="pct"/>
          </w:tcPr>
          <w:p w:rsidR="004F3969" w:rsidRPr="004F3969" w:rsidRDefault="004F3969" w:rsidP="004F3969">
            <w:r w:rsidRPr="000359F3">
              <w:t>DEA</w:t>
            </w:r>
          </w:p>
        </w:tc>
        <w:tc>
          <w:tcPr>
            <w:tcW w:w="1588" w:type="pct"/>
          </w:tcPr>
          <w:p w:rsidR="004F3969" w:rsidRPr="004F3969" w:rsidRDefault="004F3969" w:rsidP="004F3969">
            <w:r w:rsidRPr="000359F3">
              <w:t>Output: customer number, peak demand, circuit length</w:t>
            </w:r>
          </w:p>
          <w:p w:rsidR="004F3969" w:rsidRPr="004F3969" w:rsidRDefault="004F3969" w:rsidP="004F3969">
            <w:r w:rsidRPr="000359F3">
              <w:t>Input: operating costs, MVA of transformer capacity, user cost of capital associated with distribution lines</w:t>
            </w:r>
          </w:p>
          <w:p w:rsidR="004F3969" w:rsidRPr="000359F3" w:rsidRDefault="004F3969" w:rsidP="004F3969"/>
        </w:tc>
        <w:tc>
          <w:tcPr>
            <w:tcW w:w="985" w:type="pct"/>
          </w:tcPr>
          <w:p w:rsidR="004F3969" w:rsidRPr="004F3969" w:rsidRDefault="004F3969" w:rsidP="004F3969">
            <w:r w:rsidRPr="000359F3">
              <w:t>4 finding DNSPs efficient by default</w:t>
            </w:r>
          </w:p>
          <w:p w:rsidR="004F3969" w:rsidRPr="004F3969" w:rsidRDefault="004F3969" w:rsidP="004F3969">
            <w:r w:rsidRPr="000359F3">
              <w:t>5 inadequate input/output specification</w:t>
            </w:r>
          </w:p>
        </w:tc>
      </w:tr>
      <w:tr w:rsidR="004F3969" w:rsidRPr="00F14036" w:rsidTr="002B1A23">
        <w:trPr>
          <w:cnfStyle w:val="000000010000" w:firstRow="0" w:lastRow="0" w:firstColumn="0" w:lastColumn="0" w:oddVBand="0" w:evenVBand="0" w:oddHBand="0" w:evenHBand="1" w:firstRowFirstColumn="0" w:firstRowLastColumn="0" w:lastRowFirstColumn="0" w:lastRowLastColumn="0"/>
          <w:trHeight w:val="1266"/>
        </w:trPr>
        <w:tc>
          <w:tcPr>
            <w:tcW w:w="714" w:type="pct"/>
            <w:vAlign w:val="top"/>
          </w:tcPr>
          <w:p w:rsidR="004F3969" w:rsidRPr="004F3969" w:rsidRDefault="004F3969" w:rsidP="004F3969">
            <w:r w:rsidRPr="000359F3">
              <w:t>Synergies (2015b)</w:t>
            </w:r>
          </w:p>
        </w:tc>
        <w:tc>
          <w:tcPr>
            <w:tcW w:w="816" w:type="pct"/>
            <w:vAlign w:val="top"/>
          </w:tcPr>
          <w:p w:rsidR="004F3969" w:rsidRPr="004F3969" w:rsidRDefault="004F3969" w:rsidP="004F3969">
            <w:r w:rsidRPr="000359F3">
              <w:t>Full sample or data from each jurisdiction, 2006–2013</w:t>
            </w:r>
          </w:p>
        </w:tc>
        <w:tc>
          <w:tcPr>
            <w:tcW w:w="897" w:type="pct"/>
            <w:vAlign w:val="top"/>
          </w:tcPr>
          <w:p w:rsidR="004F3969" w:rsidRPr="004F3969" w:rsidRDefault="004F3969" w:rsidP="004F3969">
            <w:r w:rsidRPr="000359F3">
              <w:t xml:space="preserve">SFA and LSE </w:t>
            </w:r>
          </w:p>
          <w:p w:rsidR="004F3969" w:rsidRPr="004F3969" w:rsidRDefault="004F3969" w:rsidP="004F3969">
            <w:r w:rsidRPr="000359F3">
              <w:t>Cobb–Douglas function</w:t>
            </w:r>
          </w:p>
        </w:tc>
        <w:tc>
          <w:tcPr>
            <w:tcW w:w="1588" w:type="pct"/>
            <w:vAlign w:val="top"/>
          </w:tcPr>
          <w:p w:rsidR="004F3969" w:rsidRPr="004F3969" w:rsidRDefault="004F3969" w:rsidP="004F3969">
            <w:r w:rsidRPr="000359F3">
              <w:t>DV: real opex</w:t>
            </w:r>
          </w:p>
          <w:p w:rsidR="004F3969" w:rsidRPr="004F3969" w:rsidRDefault="004F3969" w:rsidP="004F3969">
            <w:r w:rsidRPr="000359F3">
              <w:t>Output: customer numbers, circuit length, RMDemand</w:t>
            </w:r>
          </w:p>
          <w:p w:rsidR="004F3969" w:rsidRPr="004F3969" w:rsidRDefault="004F3969" w:rsidP="004F3969">
            <w:r w:rsidRPr="000359F3">
              <w:t>OEF: undergrounding</w:t>
            </w:r>
          </w:p>
          <w:p w:rsidR="004F3969" w:rsidRPr="004F3969" w:rsidRDefault="004F3969" w:rsidP="004F3969">
            <w:r w:rsidRPr="000359F3">
              <w:t>Other: Year</w:t>
            </w:r>
          </w:p>
        </w:tc>
        <w:tc>
          <w:tcPr>
            <w:tcW w:w="985" w:type="pct"/>
          </w:tcPr>
          <w:p w:rsidR="004F3969" w:rsidRPr="004F3969" w:rsidRDefault="004F3969" w:rsidP="004F3969">
            <w:r w:rsidRPr="000359F3">
              <w:t>1 Use of Australian only data</w:t>
            </w:r>
          </w:p>
          <w:p w:rsidR="004F3969" w:rsidRPr="000359F3" w:rsidRDefault="004F3969" w:rsidP="004F3969"/>
        </w:tc>
      </w:tr>
    </w:tbl>
    <w:p w:rsidR="00051BDB" w:rsidRPr="00886CBD" w:rsidRDefault="00051BDB" w:rsidP="00051BDB">
      <w:pPr>
        <w:pStyle w:val="AERtablesource"/>
      </w:pPr>
      <w:r>
        <w:t xml:space="preserve">Source: </w:t>
      </w:r>
      <w:r>
        <w:tab/>
      </w:r>
      <w:r w:rsidRPr="00886CBD">
        <w:t xml:space="preserve">CEPA (2015a), Benchmarking and Setting Efficiency Targets for the Australian DNSPs:  An Expert Report for ActewAGL Distribution, 19 January. </w:t>
      </w:r>
    </w:p>
    <w:p w:rsidR="00051BDB" w:rsidRPr="00886CBD" w:rsidRDefault="00051BDB" w:rsidP="00051BDB">
      <w:pPr>
        <w:pStyle w:val="AERtablesource"/>
      </w:pPr>
      <w:r>
        <w:tab/>
      </w:r>
      <w:r w:rsidRPr="00886CBD">
        <w:t xml:space="preserve">CEPA (2015b), Ausgrid – Attachment 1.07 – David Newbery Expert Report, January. </w:t>
      </w:r>
    </w:p>
    <w:p w:rsidR="00051BDB" w:rsidRPr="00886CBD" w:rsidRDefault="00051BDB" w:rsidP="00051BDB">
      <w:pPr>
        <w:pStyle w:val="AERtablesource"/>
      </w:pPr>
      <w:r>
        <w:tab/>
      </w:r>
      <w:r w:rsidRPr="00886CBD">
        <w:t xml:space="preserve">Frontier Economics (2015a), Review of the AER’s Econometric Benchmarking Models and Their Application in the Draft Determinations for Networks NSW:  A Report prepared for Networks NSW, January. </w:t>
      </w:r>
    </w:p>
    <w:p w:rsidR="00051BDB" w:rsidRPr="00886CBD" w:rsidRDefault="00051BDB" w:rsidP="00051BDB">
      <w:pPr>
        <w:pStyle w:val="AERtablesource"/>
      </w:pPr>
      <w:r>
        <w:tab/>
      </w:r>
      <w:r w:rsidRPr="00886CBD">
        <w:t xml:space="preserve">Frontier Economics (2015b), Taking Account of Heterogeneity Between Networks When Conducting Economic Benchmarking Analysis: A Report prepared for Ergon Energy, February. </w:t>
      </w:r>
    </w:p>
    <w:p w:rsidR="00051BDB" w:rsidRPr="00886CBD" w:rsidRDefault="00051BDB" w:rsidP="00051BDB">
      <w:pPr>
        <w:pStyle w:val="AERtablesource"/>
      </w:pPr>
      <w:r>
        <w:tab/>
      </w:r>
      <w:r w:rsidRPr="00886CBD">
        <w:t xml:space="preserve">Huegin (2015a), Huegin’s Response to Draft Determination on behalf of NNSW and ActewAGL, Technical Response to the Application of Benchmarking by the AER, 16 January. </w:t>
      </w:r>
    </w:p>
    <w:p w:rsidR="00051BDB" w:rsidRPr="00886CBD" w:rsidRDefault="00051BDB" w:rsidP="00051BDB">
      <w:pPr>
        <w:pStyle w:val="AERtablesource"/>
      </w:pPr>
      <w:r>
        <w:tab/>
      </w:r>
      <w:r w:rsidRPr="00886CBD">
        <w:t xml:space="preserve">Huegin (2015b), Heterogeneity in Electricity Distribution Networks: Testing for the Presence of Latent Classes, 12 February. </w:t>
      </w:r>
    </w:p>
    <w:p w:rsidR="00051BDB" w:rsidRPr="00886CBD" w:rsidRDefault="00051BDB" w:rsidP="00051BDB">
      <w:pPr>
        <w:pStyle w:val="AERtablesource"/>
      </w:pPr>
      <w:r>
        <w:tab/>
      </w:r>
      <w:r w:rsidRPr="00886CBD">
        <w:t xml:space="preserve">Huegin (2015c), Benchmarking Ergon Energy's </w:t>
      </w:r>
      <w:r w:rsidR="008C33CA" w:rsidRPr="00886CBD">
        <w:t>Operating</w:t>
      </w:r>
      <w:r w:rsidRPr="00886CBD">
        <w:t xml:space="preserve"> Expenditure: A Study of the Relevance of the NSW Draft Decision Outcome on Ergon Energy's Benchmarking Results, 10 February.</w:t>
      </w:r>
    </w:p>
    <w:p w:rsidR="00051BDB" w:rsidRPr="00886CBD" w:rsidRDefault="00051BDB" w:rsidP="00051BDB">
      <w:pPr>
        <w:pStyle w:val="AERtablesource"/>
      </w:pPr>
      <w:r>
        <w:tab/>
      </w:r>
      <w:r w:rsidRPr="00886CBD">
        <w:t xml:space="preserve">McKell Institute (2014), Nothing to Gain, Plenty to Lose: Why the Government, Households and Businesses Could End Up Paying A High Price for Electricity Privatisation, December. </w:t>
      </w:r>
    </w:p>
    <w:p w:rsidR="00051BDB" w:rsidRDefault="00051BDB" w:rsidP="00051BDB">
      <w:pPr>
        <w:pStyle w:val="AERtablesource"/>
      </w:pPr>
      <w:r>
        <w:tab/>
      </w:r>
      <w:r w:rsidRPr="00886CBD">
        <w:t>Pacific Economics Group Research (2014), Database for Distribution Network Services in the US and Australia, Final Report, 21 August.</w:t>
      </w:r>
    </w:p>
    <w:p w:rsidR="00051BDB" w:rsidRDefault="00051BDB" w:rsidP="00051BDB">
      <w:pPr>
        <w:pStyle w:val="AERtablesource"/>
      </w:pPr>
      <w:r>
        <w:tab/>
      </w:r>
      <w:r w:rsidRPr="009B66B7">
        <w:t>Synergies Economic Consulting (2015), Concerns over the AER’s Use of Benchmarking as It Might Apply in Its Forthcoming Draft Decision on Ergon, January.</w:t>
      </w:r>
    </w:p>
    <w:p w:rsidR="00051BDB" w:rsidRDefault="00051BDB" w:rsidP="00051BDB">
      <w:pPr>
        <w:pStyle w:val="HeadingBoldBlue"/>
      </w:pPr>
      <w:r>
        <w:t>Partial performance indicators</w:t>
      </w:r>
      <w:bookmarkEnd w:id="163"/>
    </w:p>
    <w:p w:rsidR="00051BDB" w:rsidRDefault="00051BDB" w:rsidP="00051BDB">
      <w:r>
        <w:t xml:space="preserve">In this sub-section we reiterate why PPIs are an appropriate means of testing the benchmarking results. In doing so we </w:t>
      </w:r>
      <w:r w:rsidRPr="00E32D84">
        <w:rPr>
          <w:rStyle w:val="AERbody"/>
        </w:rPr>
        <w:t>respond to Essential Energy's submissions</w:t>
      </w:r>
      <w:r>
        <w:t xml:space="preserve"> on our PPI analysis.</w:t>
      </w:r>
    </w:p>
    <w:p w:rsidR="00051BDB" w:rsidRDefault="00051BDB" w:rsidP="00051BDB">
      <w:r>
        <w:t>Our view in the draft decision was, and it remains our view in this final decision, that the PPI results</w:t>
      </w:r>
      <w:r w:rsidRPr="00D10601">
        <w:t xml:space="preserve"> </w:t>
      </w:r>
      <w:r>
        <w:t xml:space="preserve">complement the </w:t>
      </w:r>
      <w:r w:rsidRPr="00D10601">
        <w:t>economic benchmarking</w:t>
      </w:r>
      <w:r>
        <w:t xml:space="preserve"> results</w:t>
      </w:r>
      <w:r w:rsidRPr="00D10601">
        <w:t>.</w:t>
      </w:r>
      <w:r>
        <w:rPr>
          <w:rStyle w:val="FootnoteReference"/>
        </w:rPr>
        <w:footnoteReference w:id="459"/>
      </w:r>
      <w:r w:rsidRPr="00D10601">
        <w:t xml:space="preserve"> </w:t>
      </w:r>
    </w:p>
    <w:p w:rsidR="00051BDB" w:rsidRDefault="00051BDB" w:rsidP="00051BDB">
      <w:r>
        <w:lastRenderedPageBreak/>
        <w:t>In the draft decision, we compared the average performance the NSW service providers to their peers (and quantified the gap between Powercor—one of the economic benchmarking frontier performers) on two measures:</w:t>
      </w:r>
      <w:r>
        <w:rPr>
          <w:rStyle w:val="FootnoteReference"/>
        </w:rPr>
        <w:footnoteReference w:id="460"/>
      </w:r>
    </w:p>
    <w:p w:rsidR="00051BDB" w:rsidRDefault="00051BDB" w:rsidP="00051BDB">
      <w:pPr>
        <w:pStyle w:val="AERbulletlistfirststyle"/>
      </w:pPr>
      <w:r>
        <w:t>average annual user cost per customer for 2009–13 (Figure A.7)</w:t>
      </w:r>
    </w:p>
    <w:p w:rsidR="00051BDB" w:rsidRDefault="00051BDB" w:rsidP="00051BDB">
      <w:pPr>
        <w:pStyle w:val="AERbulletlistfirststyle"/>
      </w:pPr>
      <w:r>
        <w:t>opex per customer for 2009–13 (Figure A.8).</w:t>
      </w:r>
    </w:p>
    <w:p w:rsidR="00051BDB" w:rsidRDefault="00051BDB" w:rsidP="00051BDB">
      <w:r>
        <w:t>These PPIs produced consistent results to the economic benchmarking, indicating that all three of the NSW distributors had higher costs than their peers. The gap in performance for Ausgrid and Essential Energy was more significant than for Endeavour Energy.</w:t>
      </w:r>
    </w:p>
    <w:p w:rsidR="00051BDB" w:rsidRDefault="00051BDB" w:rsidP="00051BDB">
      <w:r>
        <w:t>In its revised proposal, Essential Energy</w:t>
      </w:r>
      <w:r>
        <w:rPr>
          <w:rStyle w:val="FootnoteReference"/>
        </w:rPr>
        <w:footnoteReference w:id="461"/>
      </w:r>
      <w:r>
        <w:t xml:space="preserve"> submitted that 'per customer' PPI metrics are biased against rural service providers. Because of this, Essential Energy considers our PPIs </w:t>
      </w:r>
      <w:r w:rsidRPr="00EF11E2">
        <w:t>illustrate the differences between the operating factors impacting each service provider</w:t>
      </w:r>
      <w:r>
        <w:t xml:space="preserve"> rather than relative efficiency.</w:t>
      </w:r>
      <w:r w:rsidRPr="00D721EB">
        <w:rPr>
          <w:rStyle w:val="FootnoteReference"/>
        </w:rPr>
        <w:footnoteReference w:id="462"/>
      </w:r>
      <w:r>
        <w:t xml:space="preserve"> Essential Energy also submits that normalisation of PPIs by customer density can be misleading due to its view that opex at very low customer densities is highly sensitive.</w:t>
      </w:r>
      <w:r>
        <w:rPr>
          <w:rStyle w:val="FootnoteReference"/>
        </w:rPr>
        <w:footnoteReference w:id="463"/>
      </w:r>
    </w:p>
    <w:p w:rsidR="00051BDB" w:rsidRDefault="00051BDB" w:rsidP="00051BDB">
      <w:pPr>
        <w:pStyle w:val="HeadingBoldItalic"/>
      </w:pPr>
      <w:r>
        <w:t>Per customer metrics</w:t>
      </w:r>
    </w:p>
    <w:p w:rsidR="00051BDB" w:rsidRDefault="00051BDB" w:rsidP="00051BDB">
      <w:r>
        <w:t xml:space="preserve">In our draft decision, we acknowledged that 'per customer' metrics will appear to disadvantage </w:t>
      </w:r>
      <w:r w:rsidRPr="00B06EA5">
        <w:t>less dense (that is, rural) service providers</w:t>
      </w:r>
      <w:r>
        <w:t xml:space="preserve"> because they</w:t>
      </w:r>
      <w:r w:rsidRPr="00B06EA5">
        <w:t xml:space="preserve"> have more assets per customer so they appear to have high higher costs </w:t>
      </w:r>
      <w:r>
        <w:t>than urban service providers. We also recognised that PPIs do not account for operating environment differences. As a result, we explained that we must bear these limitations of PPIs in mind when interpreting their results.</w:t>
      </w:r>
      <w:r>
        <w:rPr>
          <w:rStyle w:val="FootnoteReference"/>
        </w:rPr>
        <w:footnoteReference w:id="464"/>
      </w:r>
    </w:p>
    <w:p w:rsidR="00051BDB" w:rsidRDefault="00051BDB" w:rsidP="00051BDB">
      <w:r>
        <w:t>Indeed, we explained that Essential Energy's performance on the per customer PPIs was likely partly due to its size:</w:t>
      </w:r>
      <w:r>
        <w:rPr>
          <w:rStyle w:val="FootnoteReference"/>
        </w:rPr>
        <w:footnoteReference w:id="465"/>
      </w:r>
    </w:p>
    <w:p w:rsidR="00051BDB" w:rsidRPr="00345E46" w:rsidRDefault="00051BDB" w:rsidP="00051BDB">
      <w:pPr>
        <w:pStyle w:val="AERquoteindent1"/>
      </w:pPr>
      <w:r w:rsidRPr="00345E46">
        <w:t xml:space="preserve">Because Essential Energy has a lower customer density than Powercor, in theory, Essential Energy should be at a cost disadvantage on this 'per customer' PPI. This is because it has more assets per customer and, therefore, more costs. The economic benchmarking results appear to support this notion because Essential Energy appears to perform worse in Figure A.7 relative to Powercor than it does on the economic benchmarking results in Figure A.6. </w:t>
      </w:r>
    </w:p>
    <w:p w:rsidR="00051BDB" w:rsidRDefault="00051BDB" w:rsidP="00051BDB">
      <w:r>
        <w:t xml:space="preserve">The reason we prefer 'per customer' metrics for PPIs is because this is consistent with the weight Economic Insights assigns to customer numbers in its output specification. Economic Insights assigns the highest weight to customer numbers because the </w:t>
      </w:r>
      <w:r>
        <w:lastRenderedPageBreak/>
        <w:t>correlation between customers and opex is stronger than that of other outputs. This view is accepted by other benchmarking experts such as PEG.</w:t>
      </w:r>
    </w:p>
    <w:p w:rsidR="00051BDB" w:rsidRDefault="00051BDB" w:rsidP="00051BDB">
      <w:r>
        <w:t>We also explained in the draft decision that, despite the inability of PPIs to account for operating environment differences, this could not wholly explain the gap in performance between Essential Energy and its peers, particularly Powercor. This is because the economic benchmarking models explicitly account for Essential Energy's customer density:</w:t>
      </w:r>
      <w:r>
        <w:rPr>
          <w:rStyle w:val="FootnoteReference"/>
        </w:rPr>
        <w:footnoteReference w:id="466"/>
      </w:r>
    </w:p>
    <w:p w:rsidR="00051BDB" w:rsidRPr="00345E46" w:rsidRDefault="00051BDB" w:rsidP="00051BDB">
      <w:pPr>
        <w:pStyle w:val="AERquoteindent1"/>
      </w:pPr>
      <w:r w:rsidRPr="00345E46">
        <w:t xml:space="preserve">However, the economic benchmarking results nevertheless indicate that Essential Energy's costs are higher than Powercor's. The economic benchmarking techniques explicitly account for customer density. Therefore, differences in customer density can only account for part of the cost difference between Essential Energy and Powercor. </w:t>
      </w:r>
    </w:p>
    <w:p w:rsidR="00051BDB" w:rsidRDefault="00051BDB" w:rsidP="00051BDB">
      <w:r>
        <w:t>Therefore, we recognised the limitations of PPIs and acknowledged our metrics may partially distort Essential Energy's performance in an adverse way. We disagree that this approach is biased against rural service providers.</w:t>
      </w:r>
    </w:p>
    <w:p w:rsidR="00051BDB" w:rsidRDefault="00051BDB" w:rsidP="00051BDB">
      <w:r>
        <w:t xml:space="preserve">Further, as we explain above, EMCa has considered the impact of low customer density on opex performance and found </w:t>
      </w:r>
      <w:r w:rsidR="00D67787" w:rsidRPr="00D67787">
        <w:t xml:space="preserve">it is feasible to compare sparse rural </w:t>
      </w:r>
      <w:r w:rsidR="00AC227C">
        <w:t>distributors'</w:t>
      </w:r>
      <w:r w:rsidR="00AC227C" w:rsidRPr="00D67787">
        <w:t xml:space="preserve"> </w:t>
      </w:r>
      <w:r w:rsidR="00D67787" w:rsidRPr="00D67787">
        <w:t xml:space="preserve">costs with other rural </w:t>
      </w:r>
      <w:r w:rsidR="00AC227C">
        <w:t>distributors'</w:t>
      </w:r>
      <w:r w:rsidR="00AC227C" w:rsidRPr="00D67787">
        <w:t xml:space="preserve"> </w:t>
      </w:r>
      <w:r w:rsidR="00D67787" w:rsidRPr="00D67787">
        <w:t>costs.</w:t>
      </w:r>
      <w:r w:rsidR="00D67787">
        <w:rPr>
          <w:rStyle w:val="FootnoteReference"/>
        </w:rPr>
        <w:footnoteReference w:id="467"/>
      </w:r>
    </w:p>
    <w:p w:rsidR="00051BDB" w:rsidRDefault="00051BDB" w:rsidP="00051BDB">
      <w:pPr>
        <w:pStyle w:val="HeadingBoldItalic"/>
      </w:pPr>
      <w:r>
        <w:t>Normalising by customer density</w:t>
      </w:r>
    </w:p>
    <w:p w:rsidR="00051BDB" w:rsidRDefault="00051BDB" w:rsidP="00051BDB">
      <w:r>
        <w:t xml:space="preserve">In our draft decision, we explained that we normalise PPIs by customer density because of the limitations of 'per customer' metrics that we mention above. </w:t>
      </w:r>
      <w:r w:rsidRPr="00B06EA5">
        <w:t>Presenting metrics against customer density provides a visualisation of the service providers' relative densities and makes it easier to distinguish between urban providers, rural providers and those in between.</w:t>
      </w:r>
      <w:r>
        <w:t xml:space="preserve"> This means that it is obvious which distributors are comparable and which are not so it is easier to make meaningful comparisons. Accordingly, we disagree with Essential Energy's view that this approach is misleading.</w:t>
      </w:r>
    </w:p>
    <w:p w:rsidR="00051BDB" w:rsidRPr="00051BDB" w:rsidRDefault="00051BDB" w:rsidP="00051BDB">
      <w:bookmarkStart w:id="181" w:name="_Ref414467125"/>
      <w:bookmarkStart w:id="182" w:name="_Toc415230986"/>
      <w:bookmarkStart w:id="183" w:name="_Ref401328498"/>
      <w:bookmarkStart w:id="184" w:name="_Ref400697389"/>
      <w:bookmarkStart w:id="185" w:name="_Ref398114434"/>
      <w:bookmarkStart w:id="186" w:name="_Ref401736478"/>
      <w:bookmarkStart w:id="187" w:name="_Ref397015892"/>
      <w:r>
        <w:br w:type="page"/>
      </w:r>
    </w:p>
    <w:p w:rsidR="00051BDB" w:rsidRPr="0039725C" w:rsidRDefault="00051BDB" w:rsidP="00051BDB">
      <w:pPr>
        <w:pStyle w:val="Heading8"/>
      </w:pPr>
      <w:bookmarkStart w:id="188" w:name="_Ref415580439"/>
      <w:bookmarkStart w:id="189" w:name="_Ref417310513"/>
      <w:bookmarkStart w:id="190" w:name="_Toc417719043"/>
      <w:bookmarkStart w:id="191" w:name="_Ref399833221"/>
      <w:bookmarkStart w:id="192" w:name="_Ref400555003"/>
      <w:bookmarkStart w:id="193" w:name="_Toc404697041"/>
      <w:bookmarkStart w:id="194" w:name="_Toc410292996"/>
      <w:bookmarkStart w:id="195" w:name="_Toc415230987"/>
      <w:bookmarkEnd w:id="181"/>
      <w:bookmarkEnd w:id="182"/>
      <w:bookmarkEnd w:id="183"/>
      <w:bookmarkEnd w:id="184"/>
      <w:bookmarkEnd w:id="185"/>
      <w:bookmarkEnd w:id="186"/>
      <w:bookmarkEnd w:id="187"/>
      <w:r>
        <w:lastRenderedPageBreak/>
        <w:t xml:space="preserve">Category analysis and </w:t>
      </w:r>
      <w:r w:rsidRPr="0039725C">
        <w:t>qualitative review</w:t>
      </w:r>
      <w:bookmarkEnd w:id="188"/>
      <w:bookmarkEnd w:id="189"/>
      <w:bookmarkEnd w:id="190"/>
    </w:p>
    <w:p w:rsidR="00051BDB" w:rsidRPr="00B06EA5" w:rsidRDefault="00051BDB" w:rsidP="00051BDB">
      <w:pPr>
        <w:numPr>
          <w:ilvl w:val="0"/>
          <w:numId w:val="24"/>
        </w:numPr>
      </w:pPr>
      <w:r w:rsidRPr="00F56DEE">
        <w:t xml:space="preserve">The aim of this </w:t>
      </w:r>
      <w:r>
        <w:t>section</w:t>
      </w:r>
      <w:r w:rsidRPr="00F56DEE">
        <w:t xml:space="preserve"> is to investigate the gap in performance that we identified in our economic benchmarking analysis between </w:t>
      </w:r>
      <w:r>
        <w:t xml:space="preserve">the NSW service providers </w:t>
      </w:r>
      <w:r w:rsidRPr="00F56DEE">
        <w:t xml:space="preserve">and the </w:t>
      </w:r>
      <w:r>
        <w:t>frontier service providers</w:t>
      </w:r>
      <w:r w:rsidRPr="00F56DEE">
        <w:t>.</w:t>
      </w:r>
      <w:r>
        <w:t xml:space="preserve"> This is a two stage process where we first examine the NSW service providers' proposals and use category analysis to identify potential drivers of the gap in performance, and then conduct targeted detailed reviews based on our first stage findings. </w:t>
      </w:r>
      <w:r w:rsidRPr="00B06EA5">
        <w:t>We have:</w:t>
      </w:r>
    </w:p>
    <w:p w:rsidR="00051BDB" w:rsidRPr="00706EE6" w:rsidRDefault="00051BDB" w:rsidP="00051BDB">
      <w:pPr>
        <w:pStyle w:val="AERbulletlistfirststyle"/>
      </w:pPr>
      <w:r w:rsidRPr="00B06EA5">
        <w:t xml:space="preserve">examined </w:t>
      </w:r>
      <w:r>
        <w:t>the NSW service providers'</w:t>
      </w:r>
      <w:r w:rsidRPr="00B06EA5">
        <w:t xml:space="preserve"> explanations of opex drivers in </w:t>
      </w:r>
      <w:r>
        <w:t>their</w:t>
      </w:r>
      <w:r w:rsidRPr="00B06EA5">
        <w:t xml:space="preserve"> regulatory proposal</w:t>
      </w:r>
      <w:r>
        <w:t>s</w:t>
      </w:r>
      <w:r w:rsidRPr="00B06EA5">
        <w:t xml:space="preserve"> and supporting material</w:t>
      </w:r>
      <w:r>
        <w:t xml:space="preserve"> (stage 1)</w:t>
      </w:r>
    </w:p>
    <w:p w:rsidR="00051BDB" w:rsidRPr="00706EE6" w:rsidRDefault="00051BDB" w:rsidP="00051BDB">
      <w:pPr>
        <w:pStyle w:val="AERbulletlistfirststyle"/>
      </w:pPr>
      <w:r w:rsidRPr="00B06EA5">
        <w:t>conducted category analysis benchmarking for major categories of opex</w:t>
      </w:r>
      <w:r>
        <w:t xml:space="preserve"> (stage 1)</w:t>
      </w:r>
    </w:p>
    <w:p w:rsidR="00051BDB" w:rsidRDefault="00051BDB" w:rsidP="00051BDB">
      <w:pPr>
        <w:pStyle w:val="AERbulletlistfirststyle"/>
      </w:pPr>
      <w:r>
        <w:t>engaged Deloitte Access Economics (Deloitte) to undertake an independent detailed review of the each of the NSW service providers' labour costs (stage 2)</w:t>
      </w:r>
    </w:p>
    <w:p w:rsidR="00051BDB" w:rsidRPr="00706EE6" w:rsidRDefault="00051BDB" w:rsidP="00051BDB">
      <w:pPr>
        <w:pStyle w:val="AERbulletlistfirststyle"/>
      </w:pPr>
      <w:r w:rsidRPr="00B06EA5">
        <w:t xml:space="preserve">undertaken </w:t>
      </w:r>
      <w:r>
        <w:t xml:space="preserve">a </w:t>
      </w:r>
      <w:r w:rsidRPr="00B06EA5">
        <w:t xml:space="preserve">detailed review </w:t>
      </w:r>
      <w:r>
        <w:t>of Essential Energy's vegetation management costs (stage 2).</w:t>
      </w:r>
      <w:r>
        <w:rPr>
          <w:rStyle w:val="FootnoteReference"/>
        </w:rPr>
        <w:footnoteReference w:id="468"/>
      </w:r>
    </w:p>
    <w:p w:rsidR="00051BDB" w:rsidRDefault="00051BDB" w:rsidP="00051BDB">
      <w:pPr>
        <w:numPr>
          <w:ilvl w:val="0"/>
          <w:numId w:val="24"/>
        </w:numPr>
      </w:pPr>
      <w:r w:rsidRPr="004429D9">
        <w:t xml:space="preserve">This analysis can corroborate our economic benchmarking analysis, which looks at the efficiency of opex overall. It can do so by identifying factors that are contributing to </w:t>
      </w:r>
      <w:r>
        <w:t>the NSW service providers'</w:t>
      </w:r>
      <w:r w:rsidRPr="004429D9">
        <w:t xml:space="preserve"> overall efficiency performance</w:t>
      </w:r>
      <w:r>
        <w:t>.</w:t>
      </w:r>
    </w:p>
    <w:p w:rsidR="00051BDB" w:rsidRDefault="00051BDB" w:rsidP="00051BDB">
      <w:pPr>
        <w:pStyle w:val="ListParagraph"/>
        <w:numPr>
          <w:ilvl w:val="0"/>
          <w:numId w:val="24"/>
        </w:numPr>
      </w:pPr>
      <w:r w:rsidRPr="006A197E">
        <w:t>Importantly, the NER require us to form a view on total forecast opex.</w:t>
      </w:r>
      <w:r w:rsidRPr="006A197E">
        <w:rPr>
          <w:rStyle w:val="FootnoteReference"/>
        </w:rPr>
        <w:footnoteReference w:id="469"/>
      </w:r>
      <w:r w:rsidRPr="006A197E">
        <w:t xml:space="preserve"> In doing so, we are not required to assess individual projects or components of a forecast. It is, therefore, appropriate for us to rely on top down techniques such as economic benchmarking to assess whether a service provider's opex proposal reasonably reflects the opex criteria. However, while we could have relied solely on our economic benchmarking techniques to form a view about the efficiency of opex, we have supplemented that analysis with category analysis and detailed review. This is consistent with </w:t>
      </w:r>
      <w:r>
        <w:t>the Guideline</w:t>
      </w:r>
      <w:r w:rsidRPr="006A197E">
        <w:t>, which explains that we will apply a number of different techniques to form a view about the efficiency of base opex.</w:t>
      </w:r>
      <w:r w:rsidRPr="006A197E">
        <w:rPr>
          <w:rStyle w:val="FootnoteReference"/>
        </w:rPr>
        <w:footnoteReference w:id="470"/>
      </w:r>
      <w:r>
        <w:t xml:space="preserve"> </w:t>
      </w:r>
    </w:p>
    <w:p w:rsidR="00051BDB" w:rsidRDefault="00051BDB" w:rsidP="00051BDB">
      <w:pPr>
        <w:pStyle w:val="ListParagraph"/>
        <w:numPr>
          <w:ilvl w:val="0"/>
          <w:numId w:val="24"/>
        </w:numPr>
      </w:pPr>
      <w:r>
        <w:t xml:space="preserve">Category analysis and detailed review can assist in </w:t>
      </w:r>
      <w:r w:rsidRPr="004429D9">
        <w:t>identifying whether ba</w:t>
      </w:r>
      <w:r>
        <w:t>se opex contains inefficiencies when they examine large portions of opex.</w:t>
      </w:r>
    </w:p>
    <w:p w:rsidR="00051BDB" w:rsidRDefault="00051BDB" w:rsidP="00051BDB">
      <w:pPr>
        <w:numPr>
          <w:ilvl w:val="0"/>
          <w:numId w:val="24"/>
        </w:numPr>
      </w:pPr>
      <w:r>
        <w:t>Therefore, w</w:t>
      </w:r>
      <w:r w:rsidRPr="004429D9">
        <w:t xml:space="preserve">e have used category analysis metrics to identify </w:t>
      </w:r>
      <w:r>
        <w:t xml:space="preserve">significant </w:t>
      </w:r>
      <w:r w:rsidRPr="004429D9">
        <w:t xml:space="preserve">categories of expenditure that are high relative to </w:t>
      </w:r>
      <w:r>
        <w:t>other service providers</w:t>
      </w:r>
      <w:r w:rsidRPr="004429D9">
        <w:t xml:space="preserve">. We have then investigated some of those categories of expenditure further with the aid of experts to form a view about whether those categories could be contributing to overall inefficiency. While we have not reviewed every category of expenditure, by reviewing labour costs (which </w:t>
      </w:r>
      <w:r w:rsidRPr="004429D9">
        <w:lastRenderedPageBreak/>
        <w:t xml:space="preserve">comprise </w:t>
      </w:r>
      <w:r>
        <w:t>approximately 7</w:t>
      </w:r>
      <w:r w:rsidRPr="004429D9">
        <w:t xml:space="preserve">0 per cent of </w:t>
      </w:r>
      <w:r>
        <w:t>the NSW service providers'</w:t>
      </w:r>
      <w:r w:rsidRPr="004429D9">
        <w:t xml:space="preserve"> </w:t>
      </w:r>
      <w:r>
        <w:t>opex over the 2009–14 period</w:t>
      </w:r>
      <w:r w:rsidRPr="004429D9">
        <w:rPr>
          <w:rStyle w:val="FootnoteReference"/>
        </w:rPr>
        <w:footnoteReference w:id="471"/>
      </w:r>
      <w:r w:rsidRPr="004429D9">
        <w:t xml:space="preserve">) we are examining a </w:t>
      </w:r>
      <w:r>
        <w:t>significant</w:t>
      </w:r>
      <w:r w:rsidRPr="004429D9">
        <w:t xml:space="preserve"> proportion of opex</w:t>
      </w:r>
      <w:r>
        <w:t>.</w:t>
      </w:r>
    </w:p>
    <w:p w:rsidR="00051BDB" w:rsidRDefault="00051BDB" w:rsidP="00051BDB">
      <w:pPr>
        <w:numPr>
          <w:ilvl w:val="0"/>
          <w:numId w:val="24"/>
        </w:numPr>
      </w:pPr>
      <w:r>
        <w:t xml:space="preserve">We </w:t>
      </w:r>
      <w:r w:rsidRPr="004429D9">
        <w:t>are not using category analysis and detailed review to either examine all of opex or produce highly disaggregated findings. The NER do not require us</w:t>
      </w:r>
      <w:r>
        <w:t xml:space="preserve"> to conduct and, indeed, the regulatory regime discourages us from conducting,</w:t>
      </w:r>
      <w:r w:rsidRPr="004429D9">
        <w:t xml:space="preserve"> a complete 'line by line' bottom up review of a service provider’s operations. To this end, submissions that contend our category analysis metrics are flawed because they do not reconcile with the economic benchmark results misunderstand these techniques.</w:t>
      </w:r>
      <w:r w:rsidRPr="004429D9">
        <w:rPr>
          <w:rStyle w:val="FootnoteReference"/>
        </w:rPr>
        <w:footnoteReference w:id="472"/>
      </w:r>
      <w:r w:rsidRPr="004429D9">
        <w:t xml:space="preserve"> Category analysis and detailed review are not designed to reconcile with our overall benchmarks, they are designed to identify</w:t>
      </w:r>
      <w:r>
        <w:t xml:space="preserve"> and explain the</w:t>
      </w:r>
      <w:r w:rsidRPr="004429D9">
        <w:t xml:space="preserve"> drivers of efficiency performance.</w:t>
      </w:r>
    </w:p>
    <w:p w:rsidR="00051BDB" w:rsidRDefault="00051BDB" w:rsidP="00051BDB">
      <w:pPr>
        <w:numPr>
          <w:ilvl w:val="0"/>
          <w:numId w:val="24"/>
        </w:numPr>
      </w:pPr>
      <w:r w:rsidRPr="004429D9">
        <w:t xml:space="preserve">As </w:t>
      </w:r>
      <w:r w:rsidRPr="00505F3E">
        <w:rPr>
          <w:rStyle w:val="AERbody"/>
        </w:rPr>
        <w:t xml:space="preserve">set out in section </w:t>
      </w:r>
      <w:r>
        <w:rPr>
          <w:rStyle w:val="AERbody"/>
        </w:rPr>
        <w:fldChar w:fldCharType="begin"/>
      </w:r>
      <w:r>
        <w:rPr>
          <w:rStyle w:val="AERbody"/>
        </w:rPr>
        <w:instrText xml:space="preserve"> REF _Ref417384454 \n \h </w:instrText>
      </w:r>
      <w:r>
        <w:rPr>
          <w:rStyle w:val="AERbody"/>
        </w:rPr>
      </w:r>
      <w:r>
        <w:rPr>
          <w:rStyle w:val="AERbody"/>
        </w:rPr>
        <w:fldChar w:fldCharType="separate"/>
      </w:r>
      <w:r w:rsidR="00C74791">
        <w:rPr>
          <w:rStyle w:val="AERbody"/>
        </w:rPr>
        <w:t>A.2</w:t>
      </w:r>
      <w:r>
        <w:rPr>
          <w:rStyle w:val="AERbody"/>
        </w:rPr>
        <w:fldChar w:fldCharType="end"/>
      </w:r>
      <w:r w:rsidRPr="00505F3E">
        <w:rPr>
          <w:rStyle w:val="AERbody"/>
        </w:rPr>
        <w:t>, in the context of information</w:t>
      </w:r>
      <w:r w:rsidRPr="004429D9">
        <w:t xml:space="preserve"> asymmetry between the regulator and the service provider, it is neither feasible nor desirable for the regulator to make findings at a granular level about the manner in which a service provider should operate. It is for the service provider's management to decide how best to operate its network with the opex that we determine reasonably reflects the opex criteria. We have primarily formed a view about efficiency drawing on the results of overall outcomes (economic benchmarking), which is corroborated by the detailed review.</w:t>
      </w:r>
    </w:p>
    <w:p w:rsidR="00051BDB" w:rsidRDefault="00051BDB" w:rsidP="00051BDB">
      <w:pPr>
        <w:pStyle w:val="Heading9"/>
      </w:pPr>
      <w:bookmarkStart w:id="196" w:name="_Toc417719044"/>
      <w:r>
        <w:t>Position</w:t>
      </w:r>
      <w:bookmarkEnd w:id="196"/>
    </w:p>
    <w:p w:rsidR="00051BDB" w:rsidRDefault="00051BDB" w:rsidP="00051BDB">
      <w:r>
        <w:t xml:space="preserve">As part of our draft decision </w:t>
      </w:r>
      <w:r w:rsidRPr="004429D9">
        <w:t xml:space="preserve">review of </w:t>
      </w:r>
      <w:r>
        <w:t>the NSW service providers'</w:t>
      </w:r>
      <w:r w:rsidRPr="004429D9">
        <w:t xml:space="preserve"> regulatory proposal</w:t>
      </w:r>
      <w:r>
        <w:t>s</w:t>
      </w:r>
      <w:r w:rsidRPr="004429D9">
        <w:t>, we found</w:t>
      </w:r>
      <w:r>
        <w:t xml:space="preserve"> a</w:t>
      </w:r>
      <w:r w:rsidRPr="003234F2">
        <w:t>ll three service providers</w:t>
      </w:r>
      <w:r>
        <w:t xml:space="preserve"> stated in their proposals that they</w:t>
      </w:r>
      <w:r w:rsidRPr="003234F2">
        <w:t xml:space="preserve"> </w:t>
      </w:r>
      <w:r>
        <w:t>we</w:t>
      </w:r>
      <w:r w:rsidRPr="003234F2">
        <w:t>re facing stranded labour problems due to reductions in capex</w:t>
      </w:r>
      <w:r>
        <w:t>, resulting in a need to incur voluntary redundancy costs</w:t>
      </w:r>
      <w:r w:rsidRPr="003234F2">
        <w:t>.</w:t>
      </w:r>
      <w:r>
        <w:rPr>
          <w:rStyle w:val="FootnoteReference"/>
        </w:rPr>
        <w:footnoteReference w:id="473"/>
      </w:r>
      <w:r>
        <w:t xml:space="preserve"> This suggested labour costs could be one of the drivers of the NSW service providers' benchmarking performance.</w:t>
      </w:r>
    </w:p>
    <w:p w:rsidR="00051BDB" w:rsidRDefault="00051BDB" w:rsidP="00051BDB">
      <w:pPr>
        <w:pStyle w:val="ListParagraph"/>
        <w:numPr>
          <w:ilvl w:val="0"/>
          <w:numId w:val="24"/>
        </w:numPr>
      </w:pPr>
      <w:r>
        <w:t>We also found that Essential Energy submitted a step down in vegetation management expenditure in the forecast period, this, and other evidence from its proposal, suggested vegetation management practices may also be a driver of Essential Energy's benchmarking performance.</w:t>
      </w:r>
      <w:r w:rsidRPr="00D0312A">
        <w:rPr>
          <w:rStyle w:val="FootnoteReference"/>
        </w:rPr>
        <w:t xml:space="preserve"> </w:t>
      </w:r>
      <w:r>
        <w:rPr>
          <w:rStyle w:val="FootnoteReference"/>
        </w:rPr>
        <w:footnoteReference w:id="474"/>
      </w:r>
    </w:p>
    <w:p w:rsidR="00051BDB" w:rsidRDefault="00051BDB" w:rsidP="00051BDB">
      <w:r>
        <w:t>Further, when w</w:t>
      </w:r>
      <w:r w:rsidRPr="004429D9">
        <w:t xml:space="preserve">e compared components of </w:t>
      </w:r>
      <w:r>
        <w:t>the NSW service providers'</w:t>
      </w:r>
      <w:r w:rsidRPr="004429D9">
        <w:t xml:space="preserve"> opex to its</w:t>
      </w:r>
      <w:r>
        <w:t xml:space="preserve"> peers using category analysis we</w:t>
      </w:r>
      <w:r w:rsidRPr="004429D9">
        <w:t xml:space="preserve"> found that </w:t>
      </w:r>
      <w:r>
        <w:t>they</w:t>
      </w:r>
      <w:r w:rsidRPr="004429D9">
        <w:t xml:space="preserve"> had 'very high' costs on labour and </w:t>
      </w:r>
      <w:r>
        <w:t>overheads</w:t>
      </w:r>
      <w:r w:rsidRPr="004429D9">
        <w:t xml:space="preserve"> metrics</w:t>
      </w:r>
      <w:r>
        <w:t xml:space="preserve"> compared to most of their peers</w:t>
      </w:r>
      <w:r w:rsidRPr="004429D9">
        <w:t>.</w:t>
      </w:r>
      <w:r>
        <w:t xml:space="preserve"> We also found that Essential Energy had 'very high' costs on the vegetation management metrics, and that its total vegetation management expenditure had increased significantly over the 2009–13 period.</w:t>
      </w:r>
    </w:p>
    <w:p w:rsidR="00051BDB" w:rsidRDefault="00051BDB" w:rsidP="00051BDB">
      <w:r w:rsidRPr="004429D9">
        <w:lastRenderedPageBreak/>
        <w:t xml:space="preserve">Accordingly, </w:t>
      </w:r>
      <w:r>
        <w:t xml:space="preserve">(and because these categories account for a significant proportion of the NSW service providers' opex) </w:t>
      </w:r>
      <w:r w:rsidRPr="004429D9">
        <w:t xml:space="preserve">we </w:t>
      </w:r>
      <w:r>
        <w:t>engaged Deloitte to conduct an independent detailed review of each of the NSW service providers'</w:t>
      </w:r>
      <w:r w:rsidRPr="004429D9">
        <w:t xml:space="preserve"> labour </w:t>
      </w:r>
      <w:r>
        <w:t>practices</w:t>
      </w:r>
      <w:r w:rsidRPr="004429D9">
        <w:t xml:space="preserve">. </w:t>
      </w:r>
      <w:r>
        <w:t xml:space="preserve">We also conducted a review of Essential Energy's vegetation management opex. </w:t>
      </w:r>
      <w:r w:rsidRPr="004429D9">
        <w:t xml:space="preserve">Through </w:t>
      </w:r>
      <w:r>
        <w:t xml:space="preserve">the </w:t>
      </w:r>
      <w:r w:rsidRPr="004429D9">
        <w:t>detailed review</w:t>
      </w:r>
      <w:r>
        <w:t>s</w:t>
      </w:r>
      <w:r w:rsidRPr="004429D9">
        <w:t xml:space="preserve">, we found significant issues in these categories </w:t>
      </w:r>
      <w:r>
        <w:t>of the NSW service providers'</w:t>
      </w:r>
      <w:r w:rsidRPr="004429D9">
        <w:t xml:space="preserve"> opex, which we considered was evidence of base year inefficiency, supporting our benchmarking results.</w:t>
      </w:r>
    </w:p>
    <w:p w:rsidR="00051BDB" w:rsidRPr="004429D9" w:rsidRDefault="00051BDB" w:rsidP="00051BDB">
      <w:r>
        <w:t>In their</w:t>
      </w:r>
      <w:r w:rsidRPr="004429D9">
        <w:t xml:space="preserve"> revised proposal</w:t>
      </w:r>
      <w:r>
        <w:t>s</w:t>
      </w:r>
      <w:r w:rsidRPr="004429D9">
        <w:t xml:space="preserve">, </w:t>
      </w:r>
      <w:r>
        <w:t>the NSW service providers</w:t>
      </w:r>
      <w:r w:rsidRPr="004429D9">
        <w:t xml:space="preserve"> disagreed with our draft decision findings, particularly those arising from detailed review. While we have carefully considered </w:t>
      </w:r>
      <w:r>
        <w:t>the NSW service providers'</w:t>
      </w:r>
      <w:r w:rsidRPr="004429D9">
        <w:t xml:space="preserve"> submissions, our final decision is:</w:t>
      </w:r>
    </w:p>
    <w:p w:rsidR="00051BDB" w:rsidRPr="004429D9" w:rsidRDefault="00051BDB" w:rsidP="00051BDB">
      <w:pPr>
        <w:pStyle w:val="AERbulletlistfirststyle"/>
      </w:pPr>
      <w:r w:rsidRPr="004429D9">
        <w:t>category analysis is an appropriate technique for diagnosing areas for further qualitative review; and</w:t>
      </w:r>
    </w:p>
    <w:p w:rsidR="00051BDB" w:rsidRDefault="00051BDB" w:rsidP="00051BDB">
      <w:pPr>
        <w:pStyle w:val="AERbulletlistfirststyle"/>
      </w:pPr>
      <w:r w:rsidRPr="004429D9">
        <w:t>our further qualitative reviews demonstrate that</w:t>
      </w:r>
      <w:r>
        <w:t>:</w:t>
      </w:r>
    </w:p>
    <w:p w:rsidR="00051BDB" w:rsidRDefault="00051BDB" w:rsidP="00051BDB">
      <w:pPr>
        <w:pStyle w:val="AERbulletlistsecondstyle"/>
      </w:pPr>
      <w:r>
        <w:t>the NSW service providers'</w:t>
      </w:r>
      <w:r w:rsidRPr="004429D9">
        <w:t xml:space="preserve"> labour practices are likely key drivers of </w:t>
      </w:r>
      <w:r>
        <w:t>their</w:t>
      </w:r>
      <w:r w:rsidRPr="004429D9">
        <w:t xml:space="preserve"> benchmarking performance rel</w:t>
      </w:r>
      <w:r>
        <w:t xml:space="preserve">ative to their </w:t>
      </w:r>
      <w:r w:rsidRPr="004429D9">
        <w:t>peers</w:t>
      </w:r>
    </w:p>
    <w:p w:rsidR="00051BDB" w:rsidRPr="001E7066" w:rsidRDefault="00051BDB" w:rsidP="00051BDB">
      <w:pPr>
        <w:pStyle w:val="AERbulletlistsecondstyle"/>
      </w:pPr>
      <w:r>
        <w:t xml:space="preserve">Essential Energy's </w:t>
      </w:r>
      <w:r w:rsidRPr="004429D9">
        <w:t>vegetation management</w:t>
      </w:r>
      <w:r>
        <w:t xml:space="preserve"> opex is also likely a key driver of Essential Energy's benchmarking performance</w:t>
      </w:r>
      <w:r w:rsidRPr="004429D9">
        <w:t>.</w:t>
      </w:r>
    </w:p>
    <w:p w:rsidR="00051BDB" w:rsidRPr="00CA1712" w:rsidRDefault="00051BDB" w:rsidP="00051BDB">
      <w:pPr>
        <w:pStyle w:val="HeadingBoldBlue"/>
      </w:pPr>
      <w:r w:rsidRPr="00CA1712">
        <w:t>Category analysis</w:t>
      </w:r>
    </w:p>
    <w:p w:rsidR="00051BDB" w:rsidRDefault="00051BDB" w:rsidP="00051BDB">
      <w:r>
        <w:t>O</w:t>
      </w:r>
      <w:r w:rsidRPr="00EB3492">
        <w:t xml:space="preserve">ur category analysis techniques indicate that the NSW service providers may be comparable to some of their peers for certain categories of opex but appear to have high or very high </w:t>
      </w:r>
      <w:r>
        <w:t>opex on others</w:t>
      </w:r>
      <w:r w:rsidRPr="00EB3492">
        <w:t xml:space="preserve">. </w:t>
      </w:r>
      <w:r>
        <w:t>In particular, they appear high on</w:t>
      </w:r>
      <w:r w:rsidRPr="00EB3492">
        <w:t xml:space="preserve"> labour</w:t>
      </w:r>
      <w:r>
        <w:t xml:space="preserve"> and overheads.</w:t>
      </w:r>
      <w:r w:rsidRPr="00156D0E">
        <w:t xml:space="preserve"> </w:t>
      </w:r>
      <w:r>
        <w:t xml:space="preserve">We use category analysis metrics to assist in identifying the categories of opex to examine further in our detailed review. </w:t>
      </w:r>
      <w:r>
        <w:fldChar w:fldCharType="begin"/>
      </w:r>
      <w:r>
        <w:instrText xml:space="preserve"> REF _Ref416767249 \h </w:instrText>
      </w:r>
      <w:r>
        <w:fldChar w:fldCharType="separate"/>
      </w:r>
      <w:r w:rsidR="00C74791">
        <w:t xml:space="preserve">Table </w:t>
      </w:r>
      <w:r w:rsidR="00C74791">
        <w:rPr>
          <w:noProof/>
        </w:rPr>
        <w:t>A</w:t>
      </w:r>
      <w:r w:rsidR="00C74791">
        <w:t>.</w:t>
      </w:r>
      <w:r w:rsidR="00C74791">
        <w:rPr>
          <w:noProof/>
        </w:rPr>
        <w:t>5</w:t>
      </w:r>
      <w:r>
        <w:fldChar w:fldCharType="end"/>
      </w:r>
      <w:r>
        <w:t xml:space="preserve"> shows the summary of the category analysis results.</w:t>
      </w:r>
    </w:p>
    <w:p w:rsidR="00051BDB" w:rsidRPr="002D2869" w:rsidRDefault="00051BDB" w:rsidP="00051BDB">
      <w:pPr>
        <w:pStyle w:val="Caption"/>
      </w:pPr>
      <w:bookmarkStart w:id="197" w:name="_Ref416767249"/>
      <w:r>
        <w:t xml:space="preserve">Table </w:t>
      </w:r>
      <w:fldSimple w:instr=" STYLEREF 7 \s ">
        <w:r w:rsidR="00CF2125">
          <w:rPr>
            <w:noProof/>
          </w:rPr>
          <w:t>A</w:t>
        </w:r>
      </w:fldSimple>
      <w:r w:rsidR="00CF2125">
        <w:t>.</w:t>
      </w:r>
      <w:fldSimple w:instr=" SEQ ATable \* ARABIC \s 7 ">
        <w:r w:rsidR="00CF2125">
          <w:rPr>
            <w:noProof/>
          </w:rPr>
          <w:t>5</w:t>
        </w:r>
      </w:fldSimple>
      <w:bookmarkEnd w:id="197"/>
      <w:r>
        <w:tab/>
      </w:r>
      <w:r w:rsidRPr="002D2869">
        <w:t>Summary of category analysis metrics</w:t>
      </w:r>
      <w:r>
        <w:t xml:space="preserve"> –</w:t>
      </w:r>
      <w:r w:rsidRPr="002D2869">
        <w:t xml:space="preserve"> NSW service providers' relative costs</w:t>
      </w:r>
      <w:r>
        <w:t xml:space="preserve"> (average over 2008–09 to 2012–13)</w:t>
      </w:r>
    </w:p>
    <w:tbl>
      <w:tblPr>
        <w:tblStyle w:val="AERtable-numbers"/>
        <w:tblW w:w="0" w:type="auto"/>
        <w:tblLook w:val="04A0" w:firstRow="1" w:lastRow="0" w:firstColumn="1" w:lastColumn="0" w:noHBand="0" w:noVBand="1"/>
      </w:tblPr>
      <w:tblGrid>
        <w:gridCol w:w="2802"/>
        <w:gridCol w:w="1549"/>
        <w:gridCol w:w="2171"/>
        <w:gridCol w:w="2171"/>
      </w:tblGrid>
      <w:tr w:rsidR="00051BDB" w:rsidTr="00051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051BDB" w:rsidRDefault="00051BDB" w:rsidP="00051BDB">
            <w:pPr>
              <w:pStyle w:val="AERtabletextleft"/>
            </w:pPr>
          </w:p>
        </w:tc>
        <w:tc>
          <w:tcPr>
            <w:tcW w:w="1549" w:type="dxa"/>
          </w:tcPr>
          <w:p w:rsidR="00051BDB" w:rsidRPr="00051BDB" w:rsidRDefault="00051BDB" w:rsidP="00051BDB">
            <w:pPr>
              <w:pStyle w:val="AERtabletextright"/>
              <w:cnfStyle w:val="100000000000" w:firstRow="1" w:lastRow="0" w:firstColumn="0" w:lastColumn="0" w:oddVBand="0" w:evenVBand="0" w:oddHBand="0" w:evenHBand="0" w:firstRowFirstColumn="0" w:firstRowLastColumn="0" w:lastRowFirstColumn="0" w:lastRowLastColumn="0"/>
            </w:pPr>
            <w:r>
              <w:t>Ausgrid</w:t>
            </w:r>
          </w:p>
        </w:tc>
        <w:tc>
          <w:tcPr>
            <w:tcW w:w="2171" w:type="dxa"/>
          </w:tcPr>
          <w:p w:rsidR="00051BDB" w:rsidRPr="00051BDB" w:rsidRDefault="00051BDB" w:rsidP="00051BDB">
            <w:pPr>
              <w:pStyle w:val="AERtabletextright"/>
              <w:cnfStyle w:val="100000000000" w:firstRow="1" w:lastRow="0" w:firstColumn="0" w:lastColumn="0" w:oddVBand="0" w:evenVBand="0" w:oddHBand="0" w:evenHBand="0" w:firstRowFirstColumn="0" w:firstRowLastColumn="0" w:lastRowFirstColumn="0" w:lastRowLastColumn="0"/>
            </w:pPr>
            <w:r>
              <w:t>Endeavour</w:t>
            </w:r>
          </w:p>
        </w:tc>
        <w:tc>
          <w:tcPr>
            <w:tcW w:w="2171" w:type="dxa"/>
          </w:tcPr>
          <w:p w:rsidR="00051BDB" w:rsidRPr="00051BDB" w:rsidRDefault="00051BDB" w:rsidP="00051BDB">
            <w:pPr>
              <w:pStyle w:val="AERtabletextright"/>
              <w:cnfStyle w:val="100000000000" w:firstRow="1" w:lastRow="0" w:firstColumn="0" w:lastColumn="0" w:oddVBand="0" w:evenVBand="0" w:oddHBand="0" w:evenHBand="0" w:firstRowFirstColumn="0" w:firstRowLastColumn="0" w:lastRowFirstColumn="0" w:lastRowLastColumn="0"/>
            </w:pPr>
            <w:r>
              <w:t>Essential</w:t>
            </w:r>
          </w:p>
        </w:tc>
      </w:tr>
      <w:tr w:rsidR="00051BDB" w:rsidTr="00051BDB">
        <w:tc>
          <w:tcPr>
            <w:cnfStyle w:val="001000000000" w:firstRow="0" w:lastRow="0" w:firstColumn="1" w:lastColumn="0" w:oddVBand="0" w:evenVBand="0" w:oddHBand="0" w:evenHBand="0" w:firstRowFirstColumn="0" w:firstRowLastColumn="0" w:lastRowFirstColumn="0" w:lastRowLastColumn="0"/>
            <w:tcW w:w="2802" w:type="dxa"/>
          </w:tcPr>
          <w:p w:rsidR="00051BDB" w:rsidRPr="00051BDB" w:rsidRDefault="00051BDB" w:rsidP="00051BDB">
            <w:pPr>
              <w:pStyle w:val="AERtabletextleft"/>
            </w:pPr>
            <w:r>
              <w:t>Labour</w:t>
            </w:r>
          </w:p>
        </w:tc>
        <w:tc>
          <w:tcPr>
            <w:tcW w:w="1549"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 xml:space="preserve">Very </w:t>
            </w:r>
            <w:r w:rsidRPr="00051BDB">
              <w:t>High</w:t>
            </w:r>
          </w:p>
        </w:tc>
        <w:tc>
          <w:tcPr>
            <w:tcW w:w="2171"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High</w:t>
            </w:r>
          </w:p>
        </w:tc>
        <w:tc>
          <w:tcPr>
            <w:tcW w:w="2171"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 xml:space="preserve">Very </w:t>
            </w:r>
            <w:r w:rsidRPr="00051BDB">
              <w:t>High</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051BDB" w:rsidRPr="00051BDB" w:rsidRDefault="00051BDB" w:rsidP="00051BDB">
            <w:pPr>
              <w:pStyle w:val="AERtabletextleft"/>
            </w:pPr>
            <w:r>
              <w:t xml:space="preserve">Total </w:t>
            </w:r>
            <w:r w:rsidRPr="00051BDB">
              <w:t>overheads</w:t>
            </w:r>
          </w:p>
        </w:tc>
        <w:tc>
          <w:tcPr>
            <w:tcW w:w="1549" w:type="dxa"/>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 xml:space="preserve">Very </w:t>
            </w:r>
            <w:r w:rsidRPr="00051BDB">
              <w:t>High</w:t>
            </w:r>
          </w:p>
        </w:tc>
        <w:tc>
          <w:tcPr>
            <w:tcW w:w="2171" w:type="dxa"/>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High</w:t>
            </w:r>
          </w:p>
        </w:tc>
        <w:tc>
          <w:tcPr>
            <w:tcW w:w="2171" w:type="dxa"/>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 xml:space="preserve">Very </w:t>
            </w:r>
            <w:r w:rsidRPr="00051BDB">
              <w:t>High</w:t>
            </w:r>
          </w:p>
        </w:tc>
      </w:tr>
      <w:tr w:rsidR="00051BDB" w:rsidTr="00051BDB">
        <w:tc>
          <w:tcPr>
            <w:cnfStyle w:val="001000000000" w:firstRow="0" w:lastRow="0" w:firstColumn="1" w:lastColumn="0" w:oddVBand="0" w:evenVBand="0" w:oddHBand="0" w:evenHBand="0" w:firstRowFirstColumn="0" w:firstRowLastColumn="0" w:lastRowFirstColumn="0" w:lastRowLastColumn="0"/>
            <w:tcW w:w="2802" w:type="dxa"/>
          </w:tcPr>
          <w:p w:rsidR="00051BDB" w:rsidRPr="00051BDB" w:rsidRDefault="00051BDB" w:rsidP="00051BDB">
            <w:pPr>
              <w:pStyle w:val="AERtabletextleft"/>
            </w:pPr>
            <w:r>
              <w:t>Total corporate overheads</w:t>
            </w:r>
          </w:p>
        </w:tc>
        <w:tc>
          <w:tcPr>
            <w:tcW w:w="1549"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rsidRPr="00CA25FA">
              <w:t>Comparable</w:t>
            </w:r>
          </w:p>
        </w:tc>
        <w:tc>
          <w:tcPr>
            <w:tcW w:w="2171"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rsidRPr="00CA25FA">
              <w:t>Comparable</w:t>
            </w:r>
          </w:p>
        </w:tc>
        <w:tc>
          <w:tcPr>
            <w:tcW w:w="2171"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Very h</w:t>
            </w:r>
            <w:r w:rsidRPr="00051BDB">
              <w:t>igh</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051BDB" w:rsidRPr="00051BDB" w:rsidRDefault="00051BDB" w:rsidP="00051BDB">
            <w:pPr>
              <w:pStyle w:val="AERtabletextleft"/>
            </w:pPr>
            <w:r>
              <w:t>Total network overheads</w:t>
            </w:r>
          </w:p>
        </w:tc>
        <w:tc>
          <w:tcPr>
            <w:tcW w:w="1549" w:type="dxa"/>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 xml:space="preserve">Very </w:t>
            </w:r>
            <w:r w:rsidRPr="00051BDB">
              <w:t>High</w:t>
            </w:r>
          </w:p>
        </w:tc>
        <w:tc>
          <w:tcPr>
            <w:tcW w:w="2171" w:type="dxa"/>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High</w:t>
            </w:r>
          </w:p>
        </w:tc>
        <w:tc>
          <w:tcPr>
            <w:tcW w:w="2171" w:type="dxa"/>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Comparable</w:t>
            </w:r>
          </w:p>
        </w:tc>
      </w:tr>
      <w:tr w:rsidR="00051BDB" w:rsidTr="00051BDB">
        <w:tc>
          <w:tcPr>
            <w:cnfStyle w:val="001000000000" w:firstRow="0" w:lastRow="0" w:firstColumn="1" w:lastColumn="0" w:oddVBand="0" w:evenVBand="0" w:oddHBand="0" w:evenHBand="0" w:firstRowFirstColumn="0" w:firstRowLastColumn="0" w:lastRowFirstColumn="0" w:lastRowLastColumn="0"/>
            <w:tcW w:w="2802" w:type="dxa"/>
          </w:tcPr>
          <w:p w:rsidR="00051BDB" w:rsidRPr="00051BDB" w:rsidRDefault="00051BDB" w:rsidP="00051BDB">
            <w:pPr>
              <w:pStyle w:val="AERtabletextleft"/>
            </w:pPr>
            <w:r>
              <w:t>Maintenance</w:t>
            </w:r>
          </w:p>
        </w:tc>
        <w:tc>
          <w:tcPr>
            <w:tcW w:w="1549"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High</w:t>
            </w:r>
          </w:p>
        </w:tc>
        <w:tc>
          <w:tcPr>
            <w:tcW w:w="2171"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High</w:t>
            </w:r>
          </w:p>
        </w:tc>
        <w:tc>
          <w:tcPr>
            <w:tcW w:w="2171"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Comparable</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051BDB" w:rsidRPr="00051BDB" w:rsidRDefault="00051BDB" w:rsidP="00051BDB">
            <w:pPr>
              <w:pStyle w:val="AERtabletextleft"/>
            </w:pPr>
            <w:r>
              <w:t>Emergency response</w:t>
            </w:r>
          </w:p>
        </w:tc>
        <w:tc>
          <w:tcPr>
            <w:tcW w:w="1549" w:type="dxa"/>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High</w:t>
            </w:r>
          </w:p>
        </w:tc>
        <w:tc>
          <w:tcPr>
            <w:tcW w:w="2171" w:type="dxa"/>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High</w:t>
            </w:r>
          </w:p>
        </w:tc>
        <w:tc>
          <w:tcPr>
            <w:tcW w:w="2171" w:type="dxa"/>
          </w:tcPr>
          <w:p w:rsidR="00051BDB" w:rsidRPr="00051BDB" w:rsidRDefault="00051BDB" w:rsidP="00051BDB">
            <w:pPr>
              <w:pStyle w:val="AERtabletextright"/>
              <w:cnfStyle w:val="000000010000" w:firstRow="0" w:lastRow="0" w:firstColumn="0" w:lastColumn="0" w:oddVBand="0" w:evenVBand="0" w:oddHBand="0" w:evenHBand="1" w:firstRowFirstColumn="0" w:firstRowLastColumn="0" w:lastRowFirstColumn="0" w:lastRowLastColumn="0"/>
            </w:pPr>
            <w:r>
              <w:t>High</w:t>
            </w:r>
          </w:p>
        </w:tc>
      </w:tr>
      <w:tr w:rsidR="00051BDB" w:rsidTr="00051BDB">
        <w:tc>
          <w:tcPr>
            <w:cnfStyle w:val="001000000000" w:firstRow="0" w:lastRow="0" w:firstColumn="1" w:lastColumn="0" w:oddVBand="0" w:evenVBand="0" w:oddHBand="0" w:evenHBand="0" w:firstRowFirstColumn="0" w:firstRowLastColumn="0" w:lastRowFirstColumn="0" w:lastRowLastColumn="0"/>
            <w:tcW w:w="2802" w:type="dxa"/>
          </w:tcPr>
          <w:p w:rsidR="00051BDB" w:rsidRPr="00051BDB" w:rsidRDefault="00051BDB" w:rsidP="00051BDB">
            <w:pPr>
              <w:pStyle w:val="AERtabletextleft"/>
            </w:pPr>
            <w:r>
              <w:t>Vegetation management</w:t>
            </w:r>
          </w:p>
        </w:tc>
        <w:tc>
          <w:tcPr>
            <w:tcW w:w="1549"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High</w:t>
            </w:r>
          </w:p>
        </w:tc>
        <w:tc>
          <w:tcPr>
            <w:tcW w:w="2171"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High</w:t>
            </w:r>
          </w:p>
        </w:tc>
        <w:tc>
          <w:tcPr>
            <w:tcW w:w="2171" w:type="dxa"/>
          </w:tcPr>
          <w:p w:rsidR="00051BDB" w:rsidRPr="00051BDB" w:rsidRDefault="00051BDB" w:rsidP="00051BDB">
            <w:pPr>
              <w:pStyle w:val="AERtabletextright"/>
              <w:cnfStyle w:val="000000000000" w:firstRow="0" w:lastRow="0" w:firstColumn="0" w:lastColumn="0" w:oddVBand="0" w:evenVBand="0" w:oddHBand="0" w:evenHBand="0" w:firstRowFirstColumn="0" w:firstRowLastColumn="0" w:lastRowFirstColumn="0" w:lastRowLastColumn="0"/>
            </w:pPr>
            <w:r>
              <w:t xml:space="preserve">Very </w:t>
            </w:r>
            <w:r w:rsidRPr="00051BDB">
              <w:t>High</w:t>
            </w:r>
          </w:p>
        </w:tc>
      </w:tr>
    </w:tbl>
    <w:p w:rsidR="00051BDB" w:rsidRDefault="00051BDB" w:rsidP="00051BDB">
      <w:pPr>
        <w:pStyle w:val="AERtablesource"/>
      </w:pPr>
      <w:r>
        <w:t>Source:</w:t>
      </w:r>
      <w:r>
        <w:tab/>
        <w:t>AER analysis.</w:t>
      </w:r>
    </w:p>
    <w:p w:rsidR="00051BDB" w:rsidRDefault="00051BDB" w:rsidP="00051BDB">
      <w:pPr>
        <w:pStyle w:val="AERtablesource"/>
      </w:pPr>
      <w:r w:rsidRPr="00B404FC">
        <w:lastRenderedPageBreak/>
        <w:t xml:space="preserve">Note: </w:t>
      </w:r>
      <w:r>
        <w:tab/>
      </w:r>
      <w:r w:rsidRPr="00B404FC">
        <w:t>In this final decision, we re-examined our summary of the category analysis metrics and consider that Endeavour Energy's network overhead should be interpreted as 'high,' rather than 'comparable'. We also consider that Essential Energy's corporate overhead should be interpreted as 'very high,' rather than 'high'.</w:t>
      </w:r>
    </w:p>
    <w:p w:rsidR="00051BDB" w:rsidRPr="00B404FC" w:rsidRDefault="00051BDB" w:rsidP="00051BDB">
      <w:r w:rsidRPr="00011C04">
        <w:t xml:space="preserve">We discuss category analysis in more detail in section </w:t>
      </w:r>
      <w:r w:rsidRPr="00011C04">
        <w:fldChar w:fldCharType="begin"/>
      </w:r>
      <w:r w:rsidRPr="00011C04">
        <w:instrText xml:space="preserve"> REF _Ref412134204 \n \h </w:instrText>
      </w:r>
      <w:r w:rsidRPr="00011C04">
        <w:fldChar w:fldCharType="separate"/>
      </w:r>
      <w:r w:rsidR="00C74791">
        <w:t>A.5.3</w:t>
      </w:r>
      <w:r w:rsidRPr="00011C04">
        <w:fldChar w:fldCharType="end"/>
      </w:r>
      <w:r w:rsidRPr="00011C04">
        <w:t>.</w:t>
      </w:r>
    </w:p>
    <w:p w:rsidR="00051BDB" w:rsidRPr="00CA1712" w:rsidRDefault="00051BDB" w:rsidP="00051BDB">
      <w:pPr>
        <w:pStyle w:val="HeadingBoldBlue"/>
      </w:pPr>
      <w:r w:rsidRPr="00CA1712">
        <w:t>Detailed review of labour and workforce practices</w:t>
      </w:r>
    </w:p>
    <w:p w:rsidR="00051BDB" w:rsidRDefault="00051BDB" w:rsidP="00051BDB">
      <w:r>
        <w:t>T</w:t>
      </w:r>
      <w:r w:rsidRPr="004429D9">
        <w:t xml:space="preserve">he category analysis results and our findings from reviewing </w:t>
      </w:r>
      <w:r>
        <w:t>the NSW service providers'</w:t>
      </w:r>
      <w:r w:rsidRPr="004429D9">
        <w:t xml:space="preserve"> regulatory proposals </w:t>
      </w:r>
      <w:r>
        <w:t>suggest they have high labour costs. Deloitte's view is that for the majority of the 2009–14 period, the NSW service providers incurred labour costs that were higher than efficient levels.</w:t>
      </w:r>
      <w:r>
        <w:rPr>
          <w:rStyle w:val="FootnoteReference"/>
        </w:rPr>
        <w:footnoteReference w:id="475"/>
      </w:r>
      <w:r>
        <w:t xml:space="preserve"> </w:t>
      </w:r>
    </w:p>
    <w:p w:rsidR="00051BDB" w:rsidRDefault="00051BDB" w:rsidP="00051BDB">
      <w:r>
        <w:t xml:space="preserve">For the final decision, we engaged Deloitte to consider the material provided by the NSW service providers in response our draft decision, and consider whether the additional information and submissions affected their initial findings. </w:t>
      </w:r>
    </w:p>
    <w:p w:rsidR="00051BDB" w:rsidRPr="00DF5CC4" w:rsidRDefault="00051BDB" w:rsidP="00051BDB">
      <w:r>
        <w:t>Deloitte</w:t>
      </w:r>
      <w:r w:rsidRPr="000B6D77">
        <w:t xml:space="preserve"> </w:t>
      </w:r>
      <w:r>
        <w:t>maintain its view that the NSW service providers' high labour costs and workforce practices mean that their respective proposed opex base years were not efficient.</w:t>
      </w:r>
      <w:r>
        <w:rPr>
          <w:rStyle w:val="FootnoteReference"/>
        </w:rPr>
        <w:footnoteReference w:id="476"/>
      </w:r>
      <w:r>
        <w:t xml:space="preserve"> Deloitte found</w:t>
      </w:r>
      <w:r w:rsidRPr="00DF5CC4">
        <w:t xml:space="preserve"> that:</w:t>
      </w:r>
      <w:r w:rsidRPr="00DF5CC4">
        <w:rPr>
          <w:rStyle w:val="FootnoteReference"/>
        </w:rPr>
        <w:footnoteReference w:id="477"/>
      </w:r>
      <w:r w:rsidRPr="00DF5CC4">
        <w:t xml:space="preserve"> </w:t>
      </w:r>
    </w:p>
    <w:p w:rsidR="00051BDB" w:rsidRDefault="00051BDB" w:rsidP="00051BDB">
      <w:pPr>
        <w:pStyle w:val="AERbulletlistfirststyle"/>
      </w:pPr>
      <w:r>
        <w:t>the NSW service providers had high labour costs over the 2009–14 period due</w:t>
      </w:r>
      <w:r w:rsidRPr="00F31252">
        <w:t xml:space="preserve"> </w:t>
      </w:r>
      <w:r>
        <w:t>to having more employees than their peers, rather than high costs per employee</w:t>
      </w:r>
    </w:p>
    <w:p w:rsidR="00051BDB" w:rsidRDefault="00051BDB" w:rsidP="00051BDB">
      <w:pPr>
        <w:pStyle w:val="AERbulletlistfirststyle"/>
      </w:pPr>
      <w:r>
        <w:t>because the NSW service providers' employ a relatively higher proportion of their employees through enterprise bargaining agreements (EBAs), restrictive EBA clauses have a greater impact on their workforce flexibility</w:t>
      </w:r>
    </w:p>
    <w:p w:rsidR="00051BDB" w:rsidRDefault="00051BDB" w:rsidP="00051BDB">
      <w:pPr>
        <w:pStyle w:val="AERbulletlistfirststyle"/>
      </w:pPr>
      <w:r>
        <w:t>the optimum level of outsourcing is likely to be higher than the level the NSW service providers outsourced at over the 2009–14 period.</w:t>
      </w:r>
    </w:p>
    <w:p w:rsidR="00051BDB" w:rsidRDefault="00051BDB" w:rsidP="00051BDB">
      <w:r>
        <w:t>Further, in response to submissions in its revised proposal about the adverse impact of the dispersed nature of its network on labour costs, Deloitte found that Essential Energy could potentially achieve significant cost savings by implementing a local service agent (LSA) model.</w:t>
      </w:r>
      <w:r w:rsidRPr="00E726DB">
        <w:t xml:space="preserve"> Powercor achieved significant efficiencies from implementing an LSA model following privatisation.</w:t>
      </w:r>
      <w:r>
        <w:rPr>
          <w:rStyle w:val="FootnoteReference"/>
        </w:rPr>
        <w:footnoteReference w:id="478"/>
      </w:r>
      <w:r>
        <w:t xml:space="preserve"> </w:t>
      </w:r>
    </w:p>
    <w:p w:rsidR="00051BDB" w:rsidRDefault="00051BDB" w:rsidP="00051BDB">
      <w:r>
        <w:lastRenderedPageBreak/>
        <w:t>Deloitte also considered new evidence provided by the NSW service providers affirmed its 2014 findings that, although the NSW service providers have made significant efficiency gains, most of these take place after the 2012–13 base year.</w:t>
      </w:r>
      <w:r>
        <w:rPr>
          <w:rStyle w:val="FootnoteReference"/>
        </w:rPr>
        <w:footnoteReference w:id="479"/>
      </w:r>
    </w:p>
    <w:p w:rsidR="00051BDB" w:rsidRPr="00CA1712" w:rsidRDefault="00051BDB" w:rsidP="00051BDB">
      <w:pPr>
        <w:pStyle w:val="HeadingBoldBlue"/>
      </w:pPr>
      <w:r w:rsidRPr="00CA1712">
        <w:t>Detailed review of vegetation management</w:t>
      </w:r>
    </w:p>
    <w:p w:rsidR="00051BDB" w:rsidRDefault="00051BDB" w:rsidP="00051BDB">
      <w:r>
        <w:t xml:space="preserve">The category analysis results </w:t>
      </w:r>
      <w:r w:rsidRPr="004429D9">
        <w:t>and our findings from reviewing</w:t>
      </w:r>
      <w:r>
        <w:t xml:space="preserve"> Essential Energy's regulatory proposal suggest that it has high vegetation management costs. We considered that the Select Solutions report (and Essential Energy documentation discussing it), submitted by Essential Energy with its regulatory proposal, demonstrates there are inefficiencies in its vegetation management practices in the 2012–13 base year.</w:t>
      </w:r>
      <w:r>
        <w:rPr>
          <w:rStyle w:val="FootnoteReference"/>
        </w:rPr>
        <w:footnoteReference w:id="480"/>
      </w:r>
      <w:r>
        <w:t xml:space="preserve"> While Essential Energy may have since improved its practices, the evidence suggests it had not done so in 2012–13.</w:t>
      </w:r>
    </w:p>
    <w:p w:rsidR="00051BDB" w:rsidRDefault="00051BDB" w:rsidP="00051BDB">
      <w:r>
        <w:t>Therefore, we maintain our view that Essential Energy's vegetation management practices are likely to be a driver of its poor benchmarking performance.</w:t>
      </w:r>
    </w:p>
    <w:p w:rsidR="00051BDB" w:rsidRPr="00960804" w:rsidRDefault="00051BDB" w:rsidP="00051BDB">
      <w:pPr>
        <w:pStyle w:val="Heading9"/>
      </w:pPr>
      <w:bookmarkStart w:id="198" w:name="_Toc414628204"/>
      <w:bookmarkStart w:id="199" w:name="_Ref416804235"/>
      <w:bookmarkStart w:id="200" w:name="_Toc417719045"/>
      <w:r w:rsidRPr="00960804">
        <w:t xml:space="preserve">Draft </w:t>
      </w:r>
      <w:bookmarkEnd w:id="198"/>
      <w:r>
        <w:t>position</w:t>
      </w:r>
      <w:bookmarkEnd w:id="199"/>
      <w:bookmarkEnd w:id="200"/>
    </w:p>
    <w:p w:rsidR="00051BDB" w:rsidRPr="00C4626B" w:rsidRDefault="00051BDB" w:rsidP="00051BDB">
      <w:r>
        <w:t>In our draft decision, w</w:t>
      </w:r>
      <w:r w:rsidRPr="00C4626B">
        <w:t xml:space="preserve">e considered </w:t>
      </w:r>
      <w:r>
        <w:t>information in</w:t>
      </w:r>
      <w:r w:rsidRPr="00C4626B">
        <w:t xml:space="preserve"> </w:t>
      </w:r>
      <w:r>
        <w:t xml:space="preserve">the NSW service providers' regulatory proposals </w:t>
      </w:r>
      <w:r w:rsidRPr="00C4626B">
        <w:t xml:space="preserve">and </w:t>
      </w:r>
      <w:r>
        <w:t xml:space="preserve">findings from </w:t>
      </w:r>
      <w:r w:rsidRPr="00C4626B">
        <w:t>category analysis</w:t>
      </w:r>
      <w:r>
        <w:t xml:space="preserve"> metrics supported an examination of</w:t>
      </w:r>
      <w:r w:rsidRPr="00C4626B">
        <w:t xml:space="preserve"> labour </w:t>
      </w:r>
      <w:r>
        <w:t xml:space="preserve">costs </w:t>
      </w:r>
      <w:r w:rsidRPr="00C4626B">
        <w:t>and</w:t>
      </w:r>
      <w:r>
        <w:t xml:space="preserve"> of</w:t>
      </w:r>
      <w:r w:rsidRPr="00C4626B">
        <w:t xml:space="preserve"> </w:t>
      </w:r>
      <w:r>
        <w:t xml:space="preserve">Essential Energy's </w:t>
      </w:r>
      <w:r w:rsidRPr="00C4626B">
        <w:t xml:space="preserve">vegetation management opex in further detail. </w:t>
      </w:r>
      <w:r w:rsidRPr="004429D9">
        <w:t xml:space="preserve">Through our detailed review, we found significant issues in these categories of </w:t>
      </w:r>
      <w:r>
        <w:t>the NSW service providers'</w:t>
      </w:r>
      <w:r w:rsidRPr="004429D9">
        <w:t xml:space="preserve"> opex, which we considered was evidence of base year inefficiency, supporting our benchmarking results.</w:t>
      </w:r>
    </w:p>
    <w:p w:rsidR="00051BDB" w:rsidRDefault="00051BDB" w:rsidP="00051BDB">
      <w:r>
        <w:t>We engaged Deloitte to conduct a targeted detailed review of the NSW service providers' labour and workforce practices. Deloitte found:</w:t>
      </w:r>
    </w:p>
    <w:p w:rsidR="00051BDB" w:rsidRPr="00D637DF" w:rsidRDefault="00051BDB" w:rsidP="00051BDB">
      <w:pPr>
        <w:pStyle w:val="AERbulletlistfirststyle"/>
      </w:pPr>
      <w:r w:rsidRPr="00D637DF">
        <w:t xml:space="preserve">evidence that the </w:t>
      </w:r>
      <w:r>
        <w:t xml:space="preserve">NSW </w:t>
      </w:r>
      <w:r w:rsidRPr="00D637DF">
        <w:t>service providers’ expenditure and approaches to resourcing their capex programs w</w:t>
      </w:r>
      <w:r>
        <w:t>ere</w:t>
      </w:r>
      <w:r w:rsidRPr="00D637DF">
        <w:t xml:space="preserve"> not consistent with that of a prudent or efficient service provider. In particular </w:t>
      </w:r>
      <w:r>
        <w:t>Deloitte</w:t>
      </w:r>
      <w:r w:rsidRPr="00D637DF">
        <w:t xml:space="preserve"> stated that there is strong evidence to indicate</w:t>
      </w:r>
      <w:r>
        <w:t>:</w:t>
      </w:r>
      <w:r w:rsidRPr="00D637DF">
        <w:rPr>
          <w:rStyle w:val="FootnoteReference"/>
        </w:rPr>
        <w:footnoteReference w:id="481"/>
      </w:r>
    </w:p>
    <w:p w:rsidR="00051BDB" w:rsidRPr="0030255A" w:rsidRDefault="00051BDB" w:rsidP="00051BDB">
      <w:pPr>
        <w:pStyle w:val="AERbulletlistsecondstyle"/>
      </w:pPr>
      <w:r w:rsidRPr="00D637DF">
        <w:t>each service provider relied too heavily on</w:t>
      </w:r>
      <w:r w:rsidRPr="0030255A">
        <w:t xml:space="preserve"> hiring internal labour resources rather than using temporary external contractors to undertake their capex programs</w:t>
      </w:r>
      <w:r>
        <w:t>;</w:t>
      </w:r>
    </w:p>
    <w:p w:rsidR="00051BDB" w:rsidRPr="0030255A" w:rsidRDefault="00051BDB" w:rsidP="00051BDB">
      <w:pPr>
        <w:pStyle w:val="AERbulletlistsecondstyle"/>
      </w:pPr>
      <w:r w:rsidRPr="00D637DF">
        <w:t xml:space="preserve">Ausgrid entered into </w:t>
      </w:r>
      <w:r>
        <w:t>a MOU</w:t>
      </w:r>
      <w:r w:rsidRPr="00D637DF">
        <w:t xml:space="preserve"> which appears to have driven its costs up, or at a minimum entrenched them at a relatively high level</w:t>
      </w:r>
      <w:r>
        <w:t>;</w:t>
      </w:r>
    </w:p>
    <w:p w:rsidR="00051BDB" w:rsidRDefault="00051BDB" w:rsidP="00051BDB">
      <w:pPr>
        <w:pStyle w:val="AERbulletlistsecondstyle"/>
      </w:pPr>
      <w:r>
        <w:lastRenderedPageBreak/>
        <w:t xml:space="preserve">all service providers' </w:t>
      </w:r>
      <w:r w:rsidRPr="00D637DF">
        <w:t>labour related capex was impacted by unionised workforces that were relatively inflexible, high cost and unproductive compared to their peers.</w:t>
      </w:r>
    </w:p>
    <w:p w:rsidR="00051BDB" w:rsidRPr="00D637DF" w:rsidRDefault="00051BDB" w:rsidP="00051BDB">
      <w:pPr>
        <w:pStyle w:val="AERbulletlistfirststyle"/>
      </w:pPr>
      <w:r w:rsidRPr="00D637DF">
        <w:t>evidence of inefficiency in each of the service providers’ labour costs and practices. For much of the 2009</w:t>
      </w:r>
      <w:r>
        <w:t>–</w:t>
      </w:r>
      <w:r w:rsidRPr="00D637DF">
        <w:t>14 regulatory period it appears likely that the service providers’ labour costs were heavily impacted by:</w:t>
      </w:r>
      <w:r>
        <w:rPr>
          <w:rStyle w:val="FootnoteReference"/>
        </w:rPr>
        <w:footnoteReference w:id="482"/>
      </w:r>
    </w:p>
    <w:p w:rsidR="00051BDB" w:rsidRPr="00A000B3" w:rsidRDefault="00051BDB" w:rsidP="00051BDB">
      <w:pPr>
        <w:pStyle w:val="AERbulletlistsecondstyle"/>
      </w:pPr>
      <w:r w:rsidRPr="00D637DF">
        <w:t>a relatively inflexible workforce with limited ability to innovate or respond to changing circumstances</w:t>
      </w:r>
      <w:r>
        <w:t>;</w:t>
      </w:r>
    </w:p>
    <w:p w:rsidR="00051BDB" w:rsidRPr="00A000B3" w:rsidRDefault="00051BDB" w:rsidP="00051BDB">
      <w:pPr>
        <w:pStyle w:val="AERbulletlistsecondstyle"/>
      </w:pPr>
      <w:r>
        <w:t>l</w:t>
      </w:r>
      <w:r w:rsidRPr="00595783">
        <w:t>abour costs entrenched in EBAs</w:t>
      </w:r>
      <w:r>
        <w:t>,</w:t>
      </w:r>
      <w:r w:rsidRPr="00595783">
        <w:t xml:space="preserve"> which are well above peer costs</w:t>
      </w:r>
      <w:r>
        <w:t>;</w:t>
      </w:r>
    </w:p>
    <w:p w:rsidR="00051BDB" w:rsidRPr="00A000B3" w:rsidRDefault="00051BDB" w:rsidP="00051BDB">
      <w:pPr>
        <w:pStyle w:val="AERbulletlistsecondstyle"/>
      </w:pPr>
      <w:r>
        <w:t>i</w:t>
      </w:r>
      <w:r w:rsidRPr="00595783">
        <w:t>n some cases, poor management of labour costs</w:t>
      </w:r>
      <w:r>
        <w:t>,</w:t>
      </w:r>
      <w:r w:rsidRPr="00595783">
        <w:t xml:space="preserve"> for example in relation to overtime</w:t>
      </w:r>
      <w:r>
        <w:t>;</w:t>
      </w:r>
    </w:p>
    <w:p w:rsidR="00051BDB" w:rsidRDefault="00051BDB" w:rsidP="00051BDB">
      <w:pPr>
        <w:pStyle w:val="AERbulletlistsecondstyle"/>
      </w:pPr>
      <w:r>
        <w:t>u</w:t>
      </w:r>
      <w:r w:rsidRPr="00595783">
        <w:t>nion opposition to management attempts to reduce costs and/or improve productivity.</w:t>
      </w:r>
    </w:p>
    <w:p w:rsidR="00051BDB" w:rsidRPr="00B60E68" w:rsidRDefault="00051BDB" w:rsidP="00051BDB">
      <w:r w:rsidRPr="001129CA">
        <w:rPr>
          <w:rStyle w:val="AERbody"/>
        </w:rPr>
        <w:t xml:space="preserve">Deloitte considered these factors </w:t>
      </w:r>
      <w:r>
        <w:rPr>
          <w:rStyle w:val="AERbody"/>
        </w:rPr>
        <w:t>we</w:t>
      </w:r>
      <w:r w:rsidRPr="001129CA">
        <w:rPr>
          <w:rStyle w:val="AERbody"/>
        </w:rPr>
        <w:t>re apparent to a different extent across all three service providers but, in general, it appears that Endeavour Energy commenced programs to improve its efficiency at an earlier stage than Ausgrid and Essential Energy.</w:t>
      </w:r>
      <w:r w:rsidRPr="00B60E68">
        <w:rPr>
          <w:rStyle w:val="FootnoteReference"/>
        </w:rPr>
        <w:footnoteReference w:id="483"/>
      </w:r>
    </w:p>
    <w:p w:rsidR="00051BDB" w:rsidRDefault="00051BDB" w:rsidP="00051BDB">
      <w:pPr>
        <w:numPr>
          <w:ilvl w:val="0"/>
          <w:numId w:val="24"/>
        </w:numPr>
      </w:pPr>
      <w:r>
        <w:t>From our review of Essential Energy's vegetation management practices, we identified that it had engaged Select Solutions in December 2012 to review its vegetation management strategy.</w:t>
      </w:r>
      <w:r w:rsidRPr="00D0312A">
        <w:rPr>
          <w:rStyle w:val="FootnoteReference"/>
        </w:rPr>
        <w:t xml:space="preserve"> </w:t>
      </w:r>
      <w:r>
        <w:rPr>
          <w:rStyle w:val="FootnoteReference"/>
        </w:rPr>
        <w:footnoteReference w:id="484"/>
      </w:r>
      <w:r>
        <w:t xml:space="preserve"> Select Solutions' review found that Essential Energy must </w:t>
      </w:r>
      <w:r w:rsidRPr="005A1C74">
        <w:t xml:space="preserve">move to a </w:t>
      </w:r>
      <w:r>
        <w:t>"</w:t>
      </w:r>
      <w:r w:rsidRPr="005A1C74">
        <w:t>significantly more efficient</w:t>
      </w:r>
      <w:r>
        <w:t>"</w:t>
      </w:r>
      <w:r w:rsidRPr="005A1C74">
        <w:t xml:space="preserve"> </w:t>
      </w:r>
      <w:r>
        <w:t>v</w:t>
      </w:r>
      <w:r w:rsidRPr="005A1C74">
        <w:t xml:space="preserve">egetation </w:t>
      </w:r>
      <w:r>
        <w:t>m</w:t>
      </w:r>
      <w:r w:rsidRPr="005A1C74">
        <w:t>anagement model</w:t>
      </w:r>
      <w:r>
        <w:t xml:space="preserve"> to reduce the impact of its expenditure on customer prices.</w:t>
      </w:r>
      <w:r w:rsidRPr="00D0312A">
        <w:rPr>
          <w:rStyle w:val="FootnoteReference"/>
        </w:rPr>
        <w:t xml:space="preserve"> </w:t>
      </w:r>
      <w:r>
        <w:rPr>
          <w:rStyle w:val="FootnoteReference"/>
        </w:rPr>
        <w:footnoteReference w:id="485"/>
      </w:r>
      <w:r>
        <w:t xml:space="preserve"> Select Solutions found several causes of inefficiency, including:</w:t>
      </w:r>
      <w:r>
        <w:rPr>
          <w:rStyle w:val="FootnoteReference"/>
        </w:rPr>
        <w:footnoteReference w:id="486"/>
      </w:r>
    </w:p>
    <w:p w:rsidR="00051BDB" w:rsidRPr="00303468" w:rsidRDefault="00051BDB" w:rsidP="00051BDB">
      <w:pPr>
        <w:pStyle w:val="AERbulletlistfirststyle"/>
      </w:pPr>
      <w:r w:rsidRPr="00303468">
        <w:t>attributing too much vegetation management effort to reactive spot clearing rather than proactive cyclic maintenance;</w:t>
      </w:r>
    </w:p>
    <w:p w:rsidR="00051BDB" w:rsidRPr="00303468" w:rsidRDefault="00051BDB" w:rsidP="00051BDB">
      <w:pPr>
        <w:pStyle w:val="AERbulletlistfirststyle"/>
      </w:pPr>
      <w:r w:rsidRPr="00303468">
        <w:t xml:space="preserve">primarily engaging contractors for cutting on a demonstrably less efficient hourly rate basis; </w:t>
      </w:r>
    </w:p>
    <w:p w:rsidR="00051BDB" w:rsidRPr="00303468" w:rsidRDefault="00051BDB" w:rsidP="00051BDB">
      <w:pPr>
        <w:pStyle w:val="AERbulletlistfirststyle"/>
      </w:pPr>
      <w:r w:rsidRPr="00303468">
        <w:t>less than optimal outsourcing.</w:t>
      </w:r>
    </w:p>
    <w:p w:rsidR="00051BDB" w:rsidRDefault="00051BDB" w:rsidP="00051BDB">
      <w:r>
        <w:t xml:space="preserve">While Essential Energy's proposal suggested it would implement Select Solutions' recommendations in the forecast period, this provided evidence that these inefficiencies existed in the base year. Therefore, we were satisfied that vegetation </w:t>
      </w:r>
      <w:r>
        <w:lastRenderedPageBreak/>
        <w:t>management practices contributed to Essential Energy's high opex in the 2012–13 base year.</w:t>
      </w:r>
    </w:p>
    <w:p w:rsidR="00051BDB" w:rsidRPr="00D54B1C" w:rsidRDefault="00051BDB" w:rsidP="00051BDB">
      <w:pPr>
        <w:pStyle w:val="Heading9"/>
      </w:pPr>
      <w:bookmarkStart w:id="201" w:name="_Ref412134204"/>
      <w:bookmarkStart w:id="202" w:name="_Toc414628205"/>
      <w:bookmarkStart w:id="203" w:name="_Toc417719046"/>
      <w:r w:rsidRPr="00D54B1C">
        <w:t>Revised proposals and submissions</w:t>
      </w:r>
      <w:bookmarkEnd w:id="201"/>
      <w:bookmarkEnd w:id="202"/>
      <w:bookmarkEnd w:id="203"/>
    </w:p>
    <w:p w:rsidR="00051BDB" w:rsidRDefault="00051BDB" w:rsidP="00051BDB">
      <w:r>
        <w:t>In this section, w</w:t>
      </w:r>
      <w:r w:rsidRPr="00303468">
        <w:t>e summarise and respond</w:t>
      </w:r>
      <w:r>
        <w:t xml:space="preserve"> to</w:t>
      </w:r>
      <w:r w:rsidRPr="00303468">
        <w:t xml:space="preserve"> </w:t>
      </w:r>
      <w:r>
        <w:t xml:space="preserve">the issues the NSW service providers' raised in their revised regulatory proposals. </w:t>
      </w:r>
      <w:r w:rsidRPr="00303468">
        <w:t xml:space="preserve">For the reasons that follow, </w:t>
      </w:r>
      <w:r>
        <w:t>we remain of the view that labour is a driver of the NSW service providers' benchmarking performance.</w:t>
      </w:r>
      <w:r w:rsidRPr="00303468">
        <w:t xml:space="preserve"> </w:t>
      </w:r>
      <w:r>
        <w:t>In the case of Essential Energy, we also remain of the view that its vegetation</w:t>
      </w:r>
      <w:r w:rsidRPr="003E0A76">
        <w:t xml:space="preserve"> </w:t>
      </w:r>
      <w:r>
        <w:t>management practices are another driver of its benchmarking performance,</w:t>
      </w:r>
    </w:p>
    <w:p w:rsidR="00051BDB" w:rsidRPr="00303468" w:rsidRDefault="00051BDB" w:rsidP="00051BDB">
      <w:r>
        <w:t>We first present our response to issues regarding the detailed retailed review, because Deloitte provide further evidence of inefficiencies in the NSW service providers' labour and workforce practices. We have not significantly changed our views in response to the NSW service providers' concerns with our evidence from their proposals and the category analysis metrics.</w:t>
      </w:r>
    </w:p>
    <w:p w:rsidR="00051BDB" w:rsidRPr="00297E8F" w:rsidRDefault="00051BDB" w:rsidP="00051BDB">
      <w:pPr>
        <w:pStyle w:val="HeadingBoldBlue"/>
      </w:pPr>
      <w:r w:rsidRPr="00297E8F">
        <w:t>Detailed review of labour and workforce practices</w:t>
      </w:r>
    </w:p>
    <w:p w:rsidR="00051BDB" w:rsidRDefault="00051BDB" w:rsidP="00051BDB">
      <w:r w:rsidRPr="00B97770">
        <w:t xml:space="preserve">Deloitte considered the NSW service providers' submissions and provided further analysis on the efficiency of the service providers' labour costs during the 2009–14 regulatory period. </w:t>
      </w:r>
      <w:r w:rsidRPr="00B55517">
        <w:t>The NSW service providers' submissions have not caused Deloitte to change its findings on the number of employees, inefficient labour practices and the impact on base year efficiency.</w:t>
      </w:r>
      <w:r>
        <w:rPr>
          <w:rStyle w:val="FootnoteReference"/>
        </w:rPr>
        <w:footnoteReference w:id="487"/>
      </w:r>
    </w:p>
    <w:p w:rsidR="00051BDB" w:rsidRDefault="00051BDB" w:rsidP="00051BDB">
      <w:r>
        <w:t>The NSW service providers submitted two joint consultants' reports (KL Gates and CEG)</w:t>
      </w:r>
      <w:r w:rsidRPr="006B1285">
        <w:t xml:space="preserve"> </w:t>
      </w:r>
      <w:r>
        <w:t>in response to our draft decision and Deloitte’s findings.</w:t>
      </w:r>
      <w:r>
        <w:rPr>
          <w:rStyle w:val="FootnoteReference"/>
        </w:rPr>
        <w:footnoteReference w:id="488"/>
      </w:r>
      <w:r>
        <w:t xml:space="preserve"> Endeavour Energy and Essential Energy also submitted their own labour analysis, and Ausgrid engaged Arup to review its historic workforce planning.</w:t>
      </w:r>
      <w:r>
        <w:rPr>
          <w:rStyle w:val="FootnoteReference"/>
        </w:rPr>
        <w:footnoteReference w:id="489"/>
      </w:r>
      <w:r>
        <w:t xml:space="preserve"> </w:t>
      </w:r>
    </w:p>
    <w:p w:rsidR="00051BDB" w:rsidRDefault="00051BDB" w:rsidP="00051BDB">
      <w:r>
        <w:t>In the addendum to their 2014 report, Deloitte:</w:t>
      </w:r>
      <w:r>
        <w:rPr>
          <w:rStyle w:val="FootnoteReference"/>
        </w:rPr>
        <w:footnoteReference w:id="490"/>
      </w:r>
    </w:p>
    <w:p w:rsidR="00051BDB" w:rsidRDefault="00051BDB" w:rsidP="00051BDB">
      <w:pPr>
        <w:pStyle w:val="AERbulletlistfirststyle"/>
      </w:pPr>
      <w:r>
        <w:t>clarified that over 2009–14 the NSW service providers had high labour costs, due to  having more employees than their peers, rather than having high costs per employee. Deloitte presented further information on actual labour costs to support its view</w:t>
      </w:r>
    </w:p>
    <w:p w:rsidR="00051BDB" w:rsidRDefault="00051BDB" w:rsidP="00051BDB">
      <w:pPr>
        <w:pStyle w:val="AERbulletlistfirststyle"/>
      </w:pPr>
      <w:r>
        <w:lastRenderedPageBreak/>
        <w:t>maintained the view that EBA clauses which constrain workforce flexibility and contribute to an increased number of employees</w:t>
      </w:r>
    </w:p>
    <w:p w:rsidR="00051BDB" w:rsidRDefault="00051BDB" w:rsidP="00051BDB">
      <w:pPr>
        <w:pStyle w:val="AERbulletlistfirststyle"/>
      </w:pPr>
      <w:r>
        <w:t>maintained the view that outsourcing provides benefits by imposing competitive pressure on the internal workforce to improve productivity. Deloitte considers that gains through outsourcing realised by the Victorian service providers is one of the key reasons for the productivity gap between them and the NSW service providers</w:t>
      </w:r>
    </w:p>
    <w:p w:rsidR="00051BDB" w:rsidRDefault="00051BDB" w:rsidP="00051BDB">
      <w:pPr>
        <w:pStyle w:val="AERbulletlistfirststyle"/>
      </w:pPr>
      <w:r w:rsidDel="00FA2CB7">
        <w:t>f</w:t>
      </w:r>
      <w:r>
        <w:t>ou</w:t>
      </w:r>
      <w:r w:rsidDel="00FA2CB7">
        <w:t xml:space="preserve">nd that that the NSW service providers have </w:t>
      </w:r>
      <w:r>
        <w:t>realised savings</w:t>
      </w:r>
      <w:r w:rsidDel="00FA2CB7">
        <w:t xml:space="preserve"> </w:t>
      </w:r>
      <w:r>
        <w:t xml:space="preserve">in </w:t>
      </w:r>
      <w:r w:rsidDel="00FA2CB7">
        <w:t>labour costs through reducing the number of staff, and are forecasting further savings, but that most of the reductions take pla</w:t>
      </w:r>
      <w:r>
        <w:t>ce after the base year, 2012–13</w:t>
      </w:r>
    </w:p>
    <w:p w:rsidR="00051BDB" w:rsidRDefault="00051BDB" w:rsidP="00051BDB">
      <w:pPr>
        <w:pStyle w:val="AERbulletlistfirststyle"/>
      </w:pPr>
      <w:r>
        <w:t>undertook</w:t>
      </w:r>
      <w:r w:rsidRPr="00D63ECF">
        <w:t xml:space="preserve"> research into the </w:t>
      </w:r>
      <w:r>
        <w:t>Local Service Agent (</w:t>
      </w:r>
      <w:r w:rsidRPr="00D63ECF">
        <w:t>LSA</w:t>
      </w:r>
      <w:r>
        <w:t>)</w:t>
      </w:r>
      <w:r w:rsidRPr="00D63ECF">
        <w:t xml:space="preserve"> model, and</w:t>
      </w:r>
      <w:r>
        <w:t xml:space="preserve"> considers that with the LSA outsourcing model there is the possibility that Essential Energy could realise significant cost savings.</w:t>
      </w:r>
    </w:p>
    <w:p w:rsidR="00051BDB" w:rsidRPr="00B55517" w:rsidRDefault="00051BDB" w:rsidP="00051BDB">
      <w:pPr>
        <w:rPr>
          <w:rStyle w:val="AERbody"/>
        </w:rPr>
      </w:pPr>
      <w:r w:rsidRPr="00B55517">
        <w:rPr>
          <w:rStyle w:val="AERbody"/>
        </w:rPr>
        <w:t xml:space="preserve">We outline the NSW service provider's submissions and Deloitte's response to the submissions below. </w:t>
      </w:r>
    </w:p>
    <w:p w:rsidR="00051BDB" w:rsidRPr="00051BDB" w:rsidRDefault="00051BDB" w:rsidP="00051BDB">
      <w:pPr>
        <w:pStyle w:val="HeadingBoldItalic"/>
        <w:rPr>
          <w:rStyle w:val="Strong"/>
        </w:rPr>
      </w:pPr>
      <w:r w:rsidRPr="00051BDB">
        <w:rPr>
          <w:rStyle w:val="Strong"/>
        </w:rPr>
        <w:t>Evidence of high labour costs</w:t>
      </w:r>
    </w:p>
    <w:p w:rsidR="00051BDB" w:rsidRDefault="00051BDB" w:rsidP="00051BDB">
      <w:r>
        <w:t>The NSW service providers submitted that Deloitte failed to provide sufficient evidence of high labour costs.</w:t>
      </w:r>
      <w:r>
        <w:rPr>
          <w:rStyle w:val="FootnoteReference"/>
        </w:rPr>
        <w:footnoteReference w:id="491"/>
      </w:r>
      <w:r>
        <w:t xml:space="preserve"> Deloitte conducted further analysis of labour costs and confirmed that over 2009–14 the NSW service providers had high labour costs. However, this was due to them having more employees than their peers rather than higher costs per employee, which </w:t>
      </w:r>
      <w:r>
        <w:fldChar w:fldCharType="begin"/>
      </w:r>
      <w:r>
        <w:instrText xml:space="preserve"> REF _Ref417282615 \h </w:instrText>
      </w:r>
      <w:r>
        <w:fldChar w:fldCharType="separate"/>
      </w:r>
      <w:r w:rsidR="00C74791">
        <w:t xml:space="preserve">Figure </w:t>
      </w:r>
      <w:r w:rsidR="00C74791">
        <w:rPr>
          <w:noProof/>
        </w:rPr>
        <w:t>A</w:t>
      </w:r>
      <w:r w:rsidR="00C74791">
        <w:t>.</w:t>
      </w:r>
      <w:r w:rsidR="00C74791">
        <w:rPr>
          <w:noProof/>
        </w:rPr>
        <w:t>7</w:t>
      </w:r>
      <w:r>
        <w:fldChar w:fldCharType="end"/>
      </w:r>
      <w:r>
        <w:t xml:space="preserve"> demonstrates. </w:t>
      </w:r>
      <w:r>
        <w:fldChar w:fldCharType="begin"/>
      </w:r>
      <w:r>
        <w:instrText xml:space="preserve"> REF _Ref417282615 \h </w:instrText>
      </w:r>
      <w:r>
        <w:fldChar w:fldCharType="separate"/>
      </w:r>
      <w:r w:rsidR="00C74791">
        <w:t xml:space="preserve">Figure </w:t>
      </w:r>
      <w:r w:rsidR="00C74791">
        <w:rPr>
          <w:noProof/>
        </w:rPr>
        <w:t>A</w:t>
      </w:r>
      <w:r w:rsidR="00C74791">
        <w:t>.</w:t>
      </w:r>
      <w:r w:rsidR="00C74791">
        <w:rPr>
          <w:noProof/>
        </w:rPr>
        <w:t>7</w:t>
      </w:r>
      <w:r>
        <w:fldChar w:fldCharType="end"/>
      </w:r>
      <w:r w:rsidRPr="000660A0">
        <w:t xml:space="preserve"> </w:t>
      </w:r>
      <w:r>
        <w:t>compares the NSW service providers' labour costs per ASL to similar NEM service providers and the averages of the Victorian and NEM service providers.</w:t>
      </w:r>
      <w:r>
        <w:rPr>
          <w:rStyle w:val="FootnoteReference"/>
        </w:rPr>
        <w:footnoteReference w:id="492"/>
      </w:r>
      <w:r w:rsidDel="00881BA0">
        <w:t xml:space="preserve"> </w:t>
      </w:r>
    </w:p>
    <w:p w:rsidR="00051BDB" w:rsidRDefault="00051BDB" w:rsidP="00051BDB">
      <w:pPr>
        <w:pStyle w:val="Caption"/>
      </w:pPr>
      <w:bookmarkStart w:id="204" w:name="_Ref417282615"/>
      <w:r>
        <w:t xml:space="preserve">Figure </w:t>
      </w:r>
      <w:fldSimple w:instr=" STYLEREF 7 \s ">
        <w:r w:rsidR="00C74791">
          <w:rPr>
            <w:noProof/>
          </w:rPr>
          <w:t>A</w:t>
        </w:r>
      </w:fldSimple>
      <w:r w:rsidR="00A409CB">
        <w:t>.</w:t>
      </w:r>
      <w:fldSimple w:instr=" SEQ AFigure \* ARABIC \s 7 ">
        <w:r w:rsidR="00C74791">
          <w:rPr>
            <w:noProof/>
          </w:rPr>
          <w:t>7</w:t>
        </w:r>
      </w:fldSimple>
      <w:bookmarkEnd w:id="204"/>
      <w:r>
        <w:tab/>
        <w:t>Labour cost per ASL, 2008-09 to 2013-14 (2013–14, $real)</w:t>
      </w:r>
    </w:p>
    <w:p w:rsidR="00051BDB" w:rsidRDefault="00051BDB" w:rsidP="00051BDB">
      <w:pPr>
        <w:pStyle w:val="BodyText"/>
      </w:pPr>
      <w:r w:rsidRPr="00051BDB">
        <w:rPr>
          <w:noProof/>
          <w:lang w:eastAsia="en-AU"/>
        </w:rPr>
        <w:drawing>
          <wp:inline distT="0" distB="0" distL="0" distR="0" wp14:anchorId="4831ED50" wp14:editId="3E69EBEE">
            <wp:extent cx="5220335" cy="16139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0335" cy="1613988"/>
                    </a:xfrm>
                    <a:prstGeom prst="rect">
                      <a:avLst/>
                    </a:prstGeom>
                    <a:noFill/>
                    <a:ln>
                      <a:noFill/>
                    </a:ln>
                  </pic:spPr>
                </pic:pic>
              </a:graphicData>
            </a:graphic>
          </wp:inline>
        </w:drawing>
      </w:r>
    </w:p>
    <w:p w:rsidR="00051BDB" w:rsidRDefault="00051BDB" w:rsidP="00051BDB">
      <w:pPr>
        <w:pStyle w:val="AERtablesource"/>
      </w:pPr>
      <w:r>
        <w:t xml:space="preserve">Source: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xml:space="preserve">, April 2015, p. 19; </w:t>
      </w:r>
      <w:r w:rsidRPr="005B689E">
        <w:t>C</w:t>
      </w:r>
      <w:r>
        <w:t>ategory analysis</w:t>
      </w:r>
      <w:r w:rsidRPr="005B689E">
        <w:t xml:space="preserve"> RINs. </w:t>
      </w:r>
    </w:p>
    <w:p w:rsidR="00051BDB" w:rsidRDefault="00051BDB" w:rsidP="00051BDB">
      <w:pPr>
        <w:pStyle w:val="AERtablesource"/>
      </w:pPr>
      <w:r w:rsidRPr="005B689E">
        <w:lastRenderedPageBreak/>
        <w:t>Note:</w:t>
      </w:r>
      <w:r>
        <w:tab/>
      </w:r>
      <w:r w:rsidRPr="005B689E">
        <w:t xml:space="preserve">This </w:t>
      </w:r>
      <w:r w:rsidR="002B1A23">
        <w:t>figure</w:t>
      </w:r>
      <w:r w:rsidR="002B1A23" w:rsidRPr="005B689E">
        <w:t xml:space="preserve"> </w:t>
      </w:r>
      <w:r w:rsidRPr="005B689E">
        <w:t xml:space="preserve">is in financial years, but the Victorian DNSPs report on the basis of calendar years. </w:t>
      </w:r>
      <w:r>
        <w:t>T</w:t>
      </w:r>
      <w:r w:rsidRPr="005B689E">
        <w:t xml:space="preserve">he Victorian </w:t>
      </w:r>
      <w:r w:rsidR="00AC227C">
        <w:t>distributors</w:t>
      </w:r>
      <w:r w:rsidR="00AC227C" w:rsidRPr="005B689E">
        <w:t xml:space="preserve"> </w:t>
      </w:r>
      <w:r w:rsidRPr="005B689E">
        <w:t>have not yet reported their 2014 data.</w:t>
      </w:r>
      <w:r>
        <w:t xml:space="preserve"> </w:t>
      </w:r>
    </w:p>
    <w:p w:rsidR="00051BDB" w:rsidRDefault="00051BDB" w:rsidP="00051BDB">
      <w:bookmarkStart w:id="205" w:name="_Ref417282713"/>
      <w:r>
        <w:t xml:space="preserve">However, because the NSW service providers have more ASLs per customer than many of their peers, permanent staff levels are likely driving high labour costs, per </w:t>
      </w:r>
      <w:r>
        <w:fldChar w:fldCharType="begin"/>
      </w:r>
      <w:r>
        <w:instrText xml:space="preserve"> REF _Ref417632840 \h </w:instrText>
      </w:r>
      <w:r>
        <w:fldChar w:fldCharType="separate"/>
      </w:r>
      <w:r w:rsidR="00C74791">
        <w:t xml:space="preserve">Figure </w:t>
      </w:r>
      <w:r w:rsidR="00C74791">
        <w:rPr>
          <w:noProof/>
        </w:rPr>
        <w:t>A</w:t>
      </w:r>
      <w:r w:rsidR="00C74791">
        <w:t>.</w:t>
      </w:r>
      <w:r w:rsidR="00C74791">
        <w:rPr>
          <w:noProof/>
        </w:rPr>
        <w:t>8</w:t>
      </w:r>
      <w:r>
        <w:fldChar w:fldCharType="end"/>
      </w:r>
      <w:r>
        <w:t>.</w:t>
      </w:r>
    </w:p>
    <w:p w:rsidR="00051BDB" w:rsidRDefault="00051BDB" w:rsidP="00051BDB">
      <w:pPr>
        <w:pStyle w:val="Caption"/>
      </w:pPr>
      <w:bookmarkStart w:id="206" w:name="_Ref417632840"/>
      <w:r>
        <w:t xml:space="preserve">Figure </w:t>
      </w:r>
      <w:fldSimple w:instr=" STYLEREF 7 \s ">
        <w:r w:rsidR="00C74791">
          <w:rPr>
            <w:noProof/>
          </w:rPr>
          <w:t>A</w:t>
        </w:r>
      </w:fldSimple>
      <w:r w:rsidR="00A409CB">
        <w:t>.</w:t>
      </w:r>
      <w:fldSimple w:instr=" SEQ AFigure \* ARABIC \s 7 ">
        <w:r w:rsidR="00C74791">
          <w:rPr>
            <w:noProof/>
          </w:rPr>
          <w:t>8</w:t>
        </w:r>
      </w:fldSimple>
      <w:bookmarkEnd w:id="205"/>
      <w:bookmarkEnd w:id="206"/>
      <w:r>
        <w:tab/>
        <w:t>Average staffing levels per 100,000 customers, 2008-09 to 2013-14</w:t>
      </w:r>
    </w:p>
    <w:p w:rsidR="00051BDB" w:rsidRDefault="00051BDB" w:rsidP="00051BDB">
      <w:r w:rsidRPr="00051BDB">
        <w:rPr>
          <w:noProof/>
          <w:lang w:eastAsia="en-AU"/>
        </w:rPr>
        <w:drawing>
          <wp:inline distT="0" distB="0" distL="0" distR="0" wp14:anchorId="008CE973" wp14:editId="38E4880A">
            <wp:extent cx="5220335" cy="1593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0335" cy="1593290"/>
                    </a:xfrm>
                    <a:prstGeom prst="rect">
                      <a:avLst/>
                    </a:prstGeom>
                    <a:noFill/>
                    <a:ln>
                      <a:noFill/>
                    </a:ln>
                  </pic:spPr>
                </pic:pic>
              </a:graphicData>
            </a:graphic>
          </wp:inline>
        </w:drawing>
      </w:r>
    </w:p>
    <w:p w:rsidR="00051BDB" w:rsidRDefault="00051BDB" w:rsidP="00051BDB">
      <w:pPr>
        <w:pStyle w:val="AERtablesource"/>
      </w:pPr>
      <w:r>
        <w:t xml:space="preserve">Source: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xml:space="preserve">, April 2015, p. 22; </w:t>
      </w:r>
      <w:r w:rsidRPr="005B689E">
        <w:t>C</w:t>
      </w:r>
      <w:r>
        <w:t>ategory analysis</w:t>
      </w:r>
      <w:r w:rsidRPr="005B689E">
        <w:t xml:space="preserve"> RINs. </w:t>
      </w:r>
    </w:p>
    <w:p w:rsidR="00051BDB" w:rsidRDefault="00051BDB" w:rsidP="00051BDB">
      <w:pPr>
        <w:pStyle w:val="AERtablesource"/>
      </w:pPr>
      <w:r w:rsidRPr="005B689E">
        <w:t xml:space="preserve">Note: </w:t>
      </w:r>
      <w:r>
        <w:tab/>
      </w:r>
      <w:r w:rsidRPr="005B689E">
        <w:t xml:space="preserve">This graph is in financial years, but the Victorian </w:t>
      </w:r>
      <w:r w:rsidR="00AC227C">
        <w:t>distributors</w:t>
      </w:r>
      <w:r w:rsidR="00AC227C" w:rsidRPr="005B689E">
        <w:t xml:space="preserve"> </w:t>
      </w:r>
      <w:r w:rsidRPr="005B689E">
        <w:t xml:space="preserve">report on the basis of calendar years. </w:t>
      </w:r>
      <w:r>
        <w:t>T</w:t>
      </w:r>
      <w:r w:rsidRPr="005B689E">
        <w:t xml:space="preserve">he Victorian </w:t>
      </w:r>
      <w:r w:rsidR="00AC227C">
        <w:t>distributors</w:t>
      </w:r>
      <w:r w:rsidR="00AC227C" w:rsidRPr="005B689E">
        <w:t xml:space="preserve"> </w:t>
      </w:r>
      <w:r w:rsidRPr="005B689E">
        <w:t>have not yet reported their 2014 data</w:t>
      </w:r>
      <w:r>
        <w:t>.</w:t>
      </w:r>
    </w:p>
    <w:p w:rsidR="00051BDB" w:rsidRDefault="00051BDB" w:rsidP="00051BDB">
      <w:r>
        <w:fldChar w:fldCharType="begin"/>
      </w:r>
      <w:r>
        <w:instrText xml:space="preserve"> REF _Ref417632840 \h </w:instrText>
      </w:r>
      <w:r>
        <w:fldChar w:fldCharType="separate"/>
      </w:r>
      <w:r w:rsidR="00C74791">
        <w:t xml:space="preserve">Figure </w:t>
      </w:r>
      <w:r w:rsidR="00C74791">
        <w:rPr>
          <w:noProof/>
        </w:rPr>
        <w:t>A</w:t>
      </w:r>
      <w:r w:rsidR="00C74791">
        <w:t>.</w:t>
      </w:r>
      <w:r w:rsidR="00C74791">
        <w:rPr>
          <w:noProof/>
        </w:rPr>
        <w:t>8</w:t>
      </w:r>
      <w:r>
        <w:fldChar w:fldCharType="end"/>
      </w:r>
      <w:r>
        <w:t xml:space="preserve"> shows Average Staffing Levels (ASLs) per 100,000 customers. It shows that Ausgrid, Essential Energy and to a lesser extent Endeavour Energy have significantly more employees than the average of service providers in Victoria (excluding UED</w:t>
      </w:r>
      <w:r>
        <w:rPr>
          <w:rStyle w:val="FootnoteReference"/>
        </w:rPr>
        <w:footnoteReference w:id="493"/>
      </w:r>
      <w:r>
        <w:t>), and SA Power Networks whom our economic benchmarking show to be more efficient.</w:t>
      </w:r>
      <w:r>
        <w:rPr>
          <w:rStyle w:val="FootnoteReference"/>
        </w:rPr>
        <w:footnoteReference w:id="494"/>
      </w:r>
    </w:p>
    <w:p w:rsidR="00051BDB" w:rsidRDefault="00051BDB" w:rsidP="00051BDB">
      <w:pPr>
        <w:rPr>
          <w:rStyle w:val="AERbody"/>
        </w:rPr>
      </w:pPr>
      <w:r>
        <w:rPr>
          <w:rStyle w:val="AERbody"/>
        </w:rPr>
        <w:t>This metric will be influenced by the amount service providers outsource but w</w:t>
      </w:r>
      <w:r w:rsidRPr="00662B15">
        <w:rPr>
          <w:rStyle w:val="AERbody"/>
        </w:rPr>
        <w:t xml:space="preserve">e do not consider that accounting for all differences in outsourcing practices is required when comparing ASLs per customer. </w:t>
      </w:r>
      <w:r>
        <w:rPr>
          <w:rStyle w:val="AERbody"/>
        </w:rPr>
        <w:t xml:space="preserve">Lower ASLs per customer may indicate a greater degree of outsourcing, and vice versa. However, it is not possible to fully control for outsourcing given that service providers do not tend to contract for inputs (people). Rather, they contract to deliver a certain output. </w:t>
      </w:r>
    </w:p>
    <w:p w:rsidR="00051BDB" w:rsidRDefault="00051BDB" w:rsidP="00051BDB">
      <w:pPr>
        <w:rPr>
          <w:rStyle w:val="AERbody"/>
        </w:rPr>
      </w:pPr>
      <w:r>
        <w:rPr>
          <w:rStyle w:val="AERbody"/>
        </w:rPr>
        <w:t xml:space="preserve">Since labour forms a large proportion of opex (approximately 70 per cent, for the NSW service providers) opex per customer is indicative of labour costs per customer. </w:t>
      </w:r>
      <w:r>
        <w:rPr>
          <w:rStyle w:val="AERbody"/>
        </w:rPr>
        <w:fldChar w:fldCharType="begin"/>
      </w:r>
      <w:r>
        <w:rPr>
          <w:rStyle w:val="AERbody"/>
        </w:rPr>
        <w:instrText xml:space="preserve"> REF _Ref416958342 \h </w:instrText>
      </w:r>
      <w:r>
        <w:rPr>
          <w:rStyle w:val="AERbody"/>
        </w:rPr>
      </w:r>
      <w:r>
        <w:rPr>
          <w:rStyle w:val="AERbody"/>
        </w:rPr>
        <w:fldChar w:fldCharType="separate"/>
      </w:r>
      <w:r w:rsidR="00C74791">
        <w:t xml:space="preserve">Figure </w:t>
      </w:r>
      <w:r w:rsidR="00C74791">
        <w:rPr>
          <w:noProof/>
        </w:rPr>
        <w:lastRenderedPageBreak/>
        <w:t>A</w:t>
      </w:r>
      <w:r w:rsidR="00C74791">
        <w:t>.</w:t>
      </w:r>
      <w:r w:rsidR="00C74791">
        <w:rPr>
          <w:noProof/>
        </w:rPr>
        <w:t>9</w:t>
      </w:r>
      <w:r>
        <w:rPr>
          <w:rStyle w:val="AERbody"/>
        </w:rPr>
        <w:fldChar w:fldCharType="end"/>
      </w:r>
      <w:r>
        <w:rPr>
          <w:rStyle w:val="AERbody"/>
        </w:rPr>
        <w:t xml:space="preserve"> shows Ausgrid and Essential Energy have higher opex per customer than most of their peers and Endeavour Energy has higher costs than many of its peers.</w:t>
      </w:r>
      <w:r w:rsidRPr="00A74495">
        <w:rPr>
          <w:rStyle w:val="AERbody"/>
        </w:rPr>
        <w:t xml:space="preserve"> </w:t>
      </w:r>
    </w:p>
    <w:p w:rsidR="00051BDB" w:rsidRDefault="00051BDB" w:rsidP="00051BDB">
      <w:pPr>
        <w:pStyle w:val="Caption"/>
      </w:pPr>
      <w:bookmarkStart w:id="207" w:name="_Ref416958342"/>
      <w:r>
        <w:t xml:space="preserve">Figure </w:t>
      </w:r>
      <w:fldSimple w:instr=" STYLEREF 7 \s ">
        <w:r w:rsidR="00C74791">
          <w:rPr>
            <w:noProof/>
          </w:rPr>
          <w:t>A</w:t>
        </w:r>
      </w:fldSimple>
      <w:r w:rsidR="00A409CB">
        <w:t>.</w:t>
      </w:r>
      <w:fldSimple w:instr=" SEQ AFigure \* ARABIC \s 7 ">
        <w:r w:rsidR="00C74791">
          <w:rPr>
            <w:noProof/>
          </w:rPr>
          <w:t>9</w:t>
        </w:r>
      </w:fldSimple>
      <w:bookmarkEnd w:id="207"/>
      <w:r>
        <w:tab/>
        <w:t>Average annual opex per customer for 2009–2013 against customer density ($2013-14)</w:t>
      </w:r>
    </w:p>
    <w:p w:rsidR="00051BDB" w:rsidRDefault="00051BDB" w:rsidP="00051BDB">
      <w:pPr>
        <w:rPr>
          <w:rStyle w:val="AERbody"/>
        </w:rPr>
      </w:pPr>
      <w:r w:rsidRPr="00051BDB">
        <w:rPr>
          <w:noProof/>
          <w:lang w:eastAsia="en-AU"/>
        </w:rPr>
        <w:drawing>
          <wp:inline distT="0" distB="0" distL="0" distR="0" wp14:anchorId="3243C85E" wp14:editId="6D6A9031">
            <wp:extent cx="5091618" cy="354064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9569" cy="3539217"/>
                    </a:xfrm>
                    <a:prstGeom prst="rect">
                      <a:avLst/>
                    </a:prstGeom>
                    <a:noFill/>
                  </pic:spPr>
                </pic:pic>
              </a:graphicData>
            </a:graphic>
          </wp:inline>
        </w:drawing>
      </w:r>
    </w:p>
    <w:p w:rsidR="00051BDB" w:rsidRPr="0012503B" w:rsidRDefault="00051BDB" w:rsidP="00051BDB">
      <w:pPr>
        <w:pStyle w:val="AERtablesource"/>
      </w:pPr>
      <w:r w:rsidRPr="0012503B">
        <w:t xml:space="preserve">Source: </w:t>
      </w:r>
      <w:r w:rsidRPr="0012503B">
        <w:tab/>
        <w:t xml:space="preserve">Economic benchmarking RIN </w:t>
      </w:r>
      <w:r>
        <w:t>responses.</w:t>
      </w:r>
    </w:p>
    <w:p w:rsidR="00051BDB" w:rsidRDefault="00051BDB" w:rsidP="00051BDB">
      <w:pPr>
        <w:rPr>
          <w:rStyle w:val="AERbody"/>
        </w:rPr>
      </w:pPr>
      <w:r>
        <w:rPr>
          <w:rStyle w:val="AERbody"/>
        </w:rPr>
        <w:fldChar w:fldCharType="begin"/>
      </w:r>
      <w:r>
        <w:rPr>
          <w:rStyle w:val="AERbody"/>
        </w:rPr>
        <w:instrText xml:space="preserve"> REF _Ref416958342 \h </w:instrText>
      </w:r>
      <w:r>
        <w:rPr>
          <w:rStyle w:val="AERbody"/>
        </w:rPr>
      </w:r>
      <w:r>
        <w:rPr>
          <w:rStyle w:val="AERbody"/>
        </w:rPr>
        <w:fldChar w:fldCharType="separate"/>
      </w:r>
      <w:r w:rsidR="00C74791">
        <w:t xml:space="preserve">Figure </w:t>
      </w:r>
      <w:r w:rsidR="00C74791">
        <w:rPr>
          <w:noProof/>
        </w:rPr>
        <w:t>A</w:t>
      </w:r>
      <w:r w:rsidR="00C74791">
        <w:t>.</w:t>
      </w:r>
      <w:r w:rsidR="00C74791">
        <w:rPr>
          <w:noProof/>
        </w:rPr>
        <w:t>9</w:t>
      </w:r>
      <w:r>
        <w:rPr>
          <w:rStyle w:val="AERbody"/>
        </w:rPr>
        <w:fldChar w:fldCharType="end"/>
      </w:r>
      <w:r>
        <w:rPr>
          <w:rStyle w:val="AERbody"/>
        </w:rPr>
        <w:t xml:space="preserve"> compares service providers with varying mixes of internal staff and outsourcing. It is apparent that the NSW service providers' high ASL is a driver of high opex and, therefore, high labour costs.</w:t>
      </w:r>
    </w:p>
    <w:p w:rsidR="00051BDB" w:rsidRDefault="00051BDB" w:rsidP="00051BDB">
      <w:pPr>
        <w:rPr>
          <w:rStyle w:val="Strong"/>
        </w:rPr>
      </w:pPr>
      <w:r>
        <w:rPr>
          <w:rStyle w:val="AERbody"/>
        </w:rPr>
        <w:t>To this end, s</w:t>
      </w:r>
      <w:r w:rsidRPr="00662B15">
        <w:rPr>
          <w:rStyle w:val="AERbody"/>
        </w:rPr>
        <w:t>ervice provider</w:t>
      </w:r>
      <w:r>
        <w:rPr>
          <w:rStyle w:val="AERbody"/>
        </w:rPr>
        <w:t>s</w:t>
      </w:r>
      <w:r w:rsidRPr="00662B15">
        <w:rPr>
          <w:rStyle w:val="AERbody"/>
        </w:rPr>
        <w:t xml:space="preserve"> who outsource will </w:t>
      </w:r>
      <w:r>
        <w:rPr>
          <w:rStyle w:val="AERbody"/>
        </w:rPr>
        <w:t>likely</w:t>
      </w:r>
      <w:r w:rsidRPr="00662B15">
        <w:rPr>
          <w:rStyle w:val="AERbody"/>
        </w:rPr>
        <w:t xml:space="preserve"> have done so because </w:t>
      </w:r>
      <w:r>
        <w:rPr>
          <w:rStyle w:val="AERbody"/>
        </w:rPr>
        <w:t>they</w:t>
      </w:r>
      <w:r w:rsidRPr="00662B15">
        <w:rPr>
          <w:rStyle w:val="AERbody"/>
        </w:rPr>
        <w:t xml:space="preserve"> expect to realise efficiencies. Indeed, as we discuss below, </w:t>
      </w:r>
      <w:r>
        <w:rPr>
          <w:rStyle w:val="AERbody"/>
        </w:rPr>
        <w:t>the</w:t>
      </w:r>
      <w:r w:rsidRPr="00662B15">
        <w:rPr>
          <w:rStyle w:val="AERbody"/>
        </w:rPr>
        <w:t xml:space="preserve"> service providers </w:t>
      </w:r>
      <w:r>
        <w:rPr>
          <w:rStyle w:val="AERbody"/>
        </w:rPr>
        <w:t xml:space="preserve">who perform better on labour cost per customer, ASL per customer and opex per customer </w:t>
      </w:r>
      <w:r w:rsidRPr="00662B15">
        <w:rPr>
          <w:rStyle w:val="AERbody"/>
        </w:rPr>
        <w:t xml:space="preserve">have realised efficiency gains </w:t>
      </w:r>
      <w:r>
        <w:rPr>
          <w:rStyle w:val="AERbody"/>
        </w:rPr>
        <w:t>due</w:t>
      </w:r>
      <w:r w:rsidRPr="00662B15">
        <w:rPr>
          <w:rStyle w:val="AERbody"/>
        </w:rPr>
        <w:t xml:space="preserve"> to outsourcing</w:t>
      </w:r>
      <w:r>
        <w:rPr>
          <w:rStyle w:val="AERbody"/>
        </w:rPr>
        <w:t>.</w:t>
      </w:r>
      <w:r w:rsidRPr="00662B15">
        <w:rPr>
          <w:rStyle w:val="AERbody"/>
        </w:rPr>
        <w:t xml:space="preserve"> </w:t>
      </w:r>
      <w:r>
        <w:rPr>
          <w:rStyle w:val="AERbody"/>
        </w:rPr>
        <w:t>The NSW service providers, on the other hand,</w:t>
      </w:r>
      <w:r w:rsidRPr="00662B15">
        <w:rPr>
          <w:rStyle w:val="AERbody"/>
        </w:rPr>
        <w:t xml:space="preserve"> ha</w:t>
      </w:r>
      <w:r>
        <w:rPr>
          <w:rStyle w:val="AERbody"/>
        </w:rPr>
        <w:t xml:space="preserve">ve </w:t>
      </w:r>
      <w:r w:rsidRPr="00662B15">
        <w:rPr>
          <w:rStyle w:val="AERbody"/>
        </w:rPr>
        <w:t xml:space="preserve">not explored all opportunities to </w:t>
      </w:r>
      <w:r>
        <w:rPr>
          <w:rStyle w:val="AERbody"/>
        </w:rPr>
        <w:t>outsource</w:t>
      </w:r>
      <w:r w:rsidRPr="00662B15">
        <w:rPr>
          <w:rStyle w:val="AERbody"/>
        </w:rPr>
        <w:t>.</w:t>
      </w:r>
    </w:p>
    <w:p w:rsidR="00051BDB" w:rsidRDefault="00051BDB" w:rsidP="00051BDB">
      <w:pPr>
        <w:rPr>
          <w:rStyle w:val="AERbody"/>
        </w:rPr>
      </w:pPr>
      <w:r>
        <w:rPr>
          <w:rStyle w:val="AERbody"/>
        </w:rPr>
        <w:t xml:space="preserve">If we compare the NSW service providers to Powercor, for example it is evident that the NSW service providers are employing higher proportions of internal labour. Powercor has higher labour costs per ASL but much lower ASLs per customer. This indicates that it is outsourcing low skilled work, but retaining high skilled workers in house. Powercor's low opex per customer in </w:t>
      </w:r>
      <w:r>
        <w:rPr>
          <w:rStyle w:val="AERbody"/>
        </w:rPr>
        <w:fldChar w:fldCharType="begin"/>
      </w:r>
      <w:r>
        <w:rPr>
          <w:rStyle w:val="AERbody"/>
        </w:rPr>
        <w:instrText xml:space="preserve"> REF _Ref416958342 \h </w:instrText>
      </w:r>
      <w:r>
        <w:rPr>
          <w:rStyle w:val="AERbody"/>
        </w:rPr>
      </w:r>
      <w:r>
        <w:rPr>
          <w:rStyle w:val="AERbody"/>
        </w:rPr>
        <w:fldChar w:fldCharType="separate"/>
      </w:r>
      <w:r w:rsidR="00C74791">
        <w:t xml:space="preserve">Figure </w:t>
      </w:r>
      <w:r w:rsidR="00C74791">
        <w:rPr>
          <w:noProof/>
        </w:rPr>
        <w:t>A</w:t>
      </w:r>
      <w:r w:rsidR="00C74791">
        <w:t>.</w:t>
      </w:r>
      <w:r w:rsidR="00C74791">
        <w:rPr>
          <w:noProof/>
        </w:rPr>
        <w:t>9</w:t>
      </w:r>
      <w:r>
        <w:rPr>
          <w:rStyle w:val="AERbody"/>
        </w:rPr>
        <w:fldChar w:fldCharType="end"/>
      </w:r>
      <w:r>
        <w:rPr>
          <w:rStyle w:val="AERbody"/>
        </w:rPr>
        <w:t>.</w:t>
      </w:r>
    </w:p>
    <w:p w:rsidR="00051BDB" w:rsidRDefault="00051BDB" w:rsidP="00051BDB">
      <w:pPr>
        <w:rPr>
          <w:rStyle w:val="AERbody"/>
        </w:rPr>
      </w:pPr>
      <w:r>
        <w:rPr>
          <w:rStyle w:val="AERbody"/>
        </w:rPr>
        <w:t xml:space="preserve">On the other hand, the NSW service providers have high labour costs per ASL and very high ASLs per customer. This indicates they are employing a large amount of internal staff at a high cost. Such an approach, is not necessarily inefficient, but appears to be contributing to their very high opex per customer (high in the case of </w:t>
      </w:r>
      <w:r>
        <w:rPr>
          <w:rStyle w:val="AERbody"/>
        </w:rPr>
        <w:lastRenderedPageBreak/>
        <w:t xml:space="preserve">Endeavour Energy) in </w:t>
      </w:r>
      <w:r>
        <w:rPr>
          <w:rStyle w:val="AERbody"/>
        </w:rPr>
        <w:fldChar w:fldCharType="begin"/>
      </w:r>
      <w:r>
        <w:rPr>
          <w:rStyle w:val="AERbody"/>
        </w:rPr>
        <w:instrText xml:space="preserve"> REF _Ref416958342 \h </w:instrText>
      </w:r>
      <w:r>
        <w:rPr>
          <w:rStyle w:val="AERbody"/>
        </w:rPr>
      </w:r>
      <w:r>
        <w:rPr>
          <w:rStyle w:val="AERbody"/>
        </w:rPr>
        <w:fldChar w:fldCharType="separate"/>
      </w:r>
      <w:r w:rsidR="00C74791">
        <w:t xml:space="preserve">Figure </w:t>
      </w:r>
      <w:r w:rsidR="00C74791">
        <w:rPr>
          <w:noProof/>
        </w:rPr>
        <w:t>A</w:t>
      </w:r>
      <w:r w:rsidR="00C74791">
        <w:t>.</w:t>
      </w:r>
      <w:r w:rsidR="00C74791">
        <w:rPr>
          <w:noProof/>
        </w:rPr>
        <w:t>9</w:t>
      </w:r>
      <w:r>
        <w:rPr>
          <w:rStyle w:val="AERbody"/>
        </w:rPr>
        <w:fldChar w:fldCharType="end"/>
      </w:r>
      <w:r>
        <w:rPr>
          <w:rStyle w:val="AERbody"/>
        </w:rPr>
        <w:t xml:space="preserve"> (and our economic benchmarking). As a result, the NSW service providers could potentially achieve efficiencies by outsourcing more. </w:t>
      </w:r>
    </w:p>
    <w:p w:rsidR="00051BDB" w:rsidRDefault="00051BDB" w:rsidP="00051BDB">
      <w:r>
        <w:rPr>
          <w:rStyle w:val="AERbody"/>
        </w:rPr>
        <w:t>Outsourcing will not necessarily be the lowest cost option in every circumstance. However, as we discuss below, Deloitte considers that the NSW service providers, due to restrictions on outsourcing in their EBA, face limitations on resourcing flexibility and cost.</w:t>
      </w:r>
      <w:r>
        <w:t xml:space="preserve"> Deloitte considers the gains through outsourcing realised by the Victorian service providers is one of the key reasons for the productivity gap between them and the NSW service providers.</w:t>
      </w:r>
      <w:r>
        <w:rPr>
          <w:rStyle w:val="FootnoteReference"/>
        </w:rPr>
        <w:footnoteReference w:id="495"/>
      </w:r>
    </w:p>
    <w:p w:rsidR="00051BDB" w:rsidRPr="00051BDB" w:rsidRDefault="00051BDB" w:rsidP="00051BDB">
      <w:pPr>
        <w:pStyle w:val="HeadingBoldItalic"/>
        <w:rPr>
          <w:rStyle w:val="Strong"/>
        </w:rPr>
      </w:pPr>
      <w:r w:rsidRPr="00051BDB">
        <w:rPr>
          <w:rStyle w:val="Strong"/>
        </w:rPr>
        <w:t>Number of employees</w:t>
      </w:r>
    </w:p>
    <w:p w:rsidR="00051BDB" w:rsidRDefault="00051BDB" w:rsidP="00051BDB">
      <w:r>
        <w:t>In response to Deloitte's analysis of EBA provisions, the NSW service providers submitted comparisons of EBA conditions across Australian utilities.</w:t>
      </w:r>
      <w:r>
        <w:rPr>
          <w:rStyle w:val="FootnoteReference"/>
        </w:rPr>
        <w:footnoteReference w:id="496"/>
      </w:r>
      <w:r>
        <w:t xml:space="preserve"> They considered that their wages and employment conditions compare favourably against peers when all employment conditions are considered.</w:t>
      </w:r>
      <w:r>
        <w:rPr>
          <w:rStyle w:val="FootnoteReference"/>
        </w:rPr>
        <w:footnoteReference w:id="497"/>
      </w:r>
    </w:p>
    <w:p w:rsidR="00051BDB" w:rsidRDefault="00051BDB" w:rsidP="00051BDB">
      <w:r>
        <w:t xml:space="preserve">Deloitte presented further analysis of the EBA clauses which constrain workforce flexibility and contribute to an increased number of employees. Deloitte found that the </w:t>
      </w:r>
      <w:r w:rsidRPr="00B75D5A">
        <w:t xml:space="preserve">majority of </w:t>
      </w:r>
      <w:r>
        <w:t>service providers</w:t>
      </w:r>
      <w:r w:rsidRPr="00B75D5A">
        <w:rPr>
          <w:rStyle w:val="FootnoteReference"/>
        </w:rPr>
        <w:footnoteReference w:id="498"/>
      </w:r>
      <w:r w:rsidRPr="00B75D5A">
        <w:t xml:space="preserve"> </w:t>
      </w:r>
      <w:r>
        <w:t>cannot</w:t>
      </w:r>
      <w:r w:rsidRPr="00B75D5A">
        <w:t xml:space="preserve"> carry out forced redundancies as a result of provisions in their respective EBAs.</w:t>
      </w:r>
      <w:r>
        <w:rPr>
          <w:rStyle w:val="FootnoteReference"/>
        </w:rPr>
        <w:footnoteReference w:id="499"/>
      </w:r>
      <w:r w:rsidRPr="00B75D5A">
        <w:t xml:space="preserve"> </w:t>
      </w:r>
      <w:r>
        <w:t>It considered that these provisions are an important impediment to any program of reductions in workforce size, outside of natural attrition.</w:t>
      </w:r>
      <w:r>
        <w:rPr>
          <w:rStyle w:val="FootnoteReference"/>
        </w:rPr>
        <w:footnoteReference w:id="500"/>
      </w:r>
      <w:r>
        <w:t xml:space="preserve"> However, Deloitte reiterates that the NSW service providers have a higher proportion of their workforces employed under EBAs than service providers in other states. This amplifies the inflexibilities in the NSW service providers' EBAs.</w:t>
      </w:r>
      <w:r>
        <w:rPr>
          <w:rStyle w:val="FootnoteReference"/>
        </w:rPr>
        <w:footnoteReference w:id="501"/>
      </w:r>
    </w:p>
    <w:p w:rsidR="00C74791" w:rsidRDefault="00C74791">
      <w:pPr>
        <w:spacing w:line="240" w:lineRule="auto"/>
        <w:rPr>
          <w:rStyle w:val="Strong"/>
          <w:rFonts w:eastAsiaTheme="majorEastAsia" w:cstheme="majorBidi"/>
          <w:b w:val="0"/>
          <w:bCs w:val="0"/>
          <w:i/>
          <w:iCs/>
          <w:color w:val="51626F"/>
          <w:sz w:val="24"/>
        </w:rPr>
      </w:pPr>
      <w:r>
        <w:rPr>
          <w:rStyle w:val="Strong"/>
        </w:rPr>
        <w:br w:type="page"/>
      </w:r>
    </w:p>
    <w:p w:rsidR="00051BDB" w:rsidRPr="00051BDB" w:rsidRDefault="00051BDB" w:rsidP="00051BDB">
      <w:pPr>
        <w:pStyle w:val="HeadingBoldItalic"/>
        <w:rPr>
          <w:rStyle w:val="Strong"/>
        </w:rPr>
      </w:pPr>
      <w:r w:rsidRPr="00051BDB">
        <w:rPr>
          <w:rStyle w:val="Strong"/>
        </w:rPr>
        <w:lastRenderedPageBreak/>
        <w:t>Outsourcing during the 2009–14 regulatory period</w:t>
      </w:r>
    </w:p>
    <w:p w:rsidR="00051BDB" w:rsidRDefault="00051BDB" w:rsidP="00051BDB">
      <w:r>
        <w:t>The NSW service providers submitted that outsourcing is not appropriate in all circumstances, and note much of the Victorian service providers outsourced work is outsourced to related parties.</w:t>
      </w:r>
      <w:r>
        <w:rPr>
          <w:rStyle w:val="FootnoteReference"/>
        </w:rPr>
        <w:footnoteReference w:id="502"/>
      </w:r>
    </w:p>
    <w:p w:rsidR="00051BDB" w:rsidRDefault="00051BDB" w:rsidP="00051BDB">
      <w:r>
        <w:t>Deloitte agreed with the NSW service providers’ that outsourcing is not appropriate in all circumstances. However, it considered that the optimum level is likely to be higher than that of the NSW service providers over 2009–14 because the Victorian service providers outsource more of their opex and have attributed some of their efficiency gains to outsourcing.</w:t>
      </w:r>
      <w:r>
        <w:rPr>
          <w:rStyle w:val="FootnoteReference"/>
        </w:rPr>
        <w:footnoteReference w:id="503"/>
      </w:r>
      <w:r>
        <w:t xml:space="preserve"> Deloitte maintained its view that outsourcing also provides benefits by imposing competitive pressure on the internal workforce to improve productivity. Deloitte considered that gains through outsourcing realised by the Victorian service providers is one of the key reasons for the productivity gap between them and the NSW service providers.</w:t>
      </w:r>
      <w:r>
        <w:rPr>
          <w:rStyle w:val="FootnoteReference"/>
        </w:rPr>
        <w:footnoteReference w:id="504"/>
      </w:r>
    </w:p>
    <w:p w:rsidR="00051BDB" w:rsidRPr="00051BDB" w:rsidRDefault="00051BDB" w:rsidP="00051BDB">
      <w:pPr>
        <w:rPr>
          <w:rStyle w:val="Strong"/>
        </w:rPr>
      </w:pPr>
      <w:r>
        <w:t>Deloitte also noted that, even after accounting for the Victorian service providers' outsourcing to related parties and assuming it is no more efficient than an internal workforce (which they disagree with), the Victorian service providers still outsource around 25 percent more opex than the NSW service providers.</w:t>
      </w:r>
      <w:r>
        <w:rPr>
          <w:rStyle w:val="FootnoteReference"/>
        </w:rPr>
        <w:footnoteReference w:id="505"/>
      </w:r>
      <w:r>
        <w:t xml:space="preserve"> </w:t>
      </w:r>
    </w:p>
    <w:p w:rsidR="00051BDB" w:rsidRPr="00051BDB" w:rsidDel="00FA2CB7" w:rsidRDefault="00051BDB" w:rsidP="00051BDB">
      <w:pPr>
        <w:pStyle w:val="HeadingBoldItalic"/>
        <w:rPr>
          <w:rStyle w:val="Strong"/>
        </w:rPr>
      </w:pPr>
      <w:r w:rsidRPr="00051BDB" w:rsidDel="00FA2CB7">
        <w:rPr>
          <w:rStyle w:val="Strong"/>
        </w:rPr>
        <w:t>Efficiency programs and base year efficiency</w:t>
      </w:r>
    </w:p>
    <w:p w:rsidR="00051BDB" w:rsidRDefault="00051BDB" w:rsidP="00051BDB">
      <w:pPr>
        <w:pStyle w:val="BodyText"/>
      </w:pPr>
      <w:r>
        <w:t>The NSW service providers submitted that the AER and Deloitte did not take into account the information they</w:t>
      </w:r>
      <w:r w:rsidRPr="008C40DD">
        <w:t xml:space="preserve"> provided to show that they have implemented significant </w:t>
      </w:r>
      <w:r>
        <w:t>efficiency programs in the 2009–</w:t>
      </w:r>
      <w:r w:rsidRPr="008C40DD">
        <w:t>14 regulatory period</w:t>
      </w:r>
      <w:r>
        <w:t>.</w:t>
      </w:r>
      <w:r>
        <w:rPr>
          <w:rStyle w:val="FootnoteReference"/>
        </w:rPr>
        <w:footnoteReference w:id="506"/>
      </w:r>
    </w:p>
    <w:p w:rsidR="00051BDB" w:rsidRDefault="00051BDB" w:rsidP="00051BDB">
      <w:pPr>
        <w:pStyle w:val="BodyText"/>
      </w:pPr>
      <w:r w:rsidDel="00FA2CB7">
        <w:t xml:space="preserve">Using the new information provided on efficiency programs conducted by Endeavour and Ausgrid, Deloitte undertook new analysis of the timing of reductions in FTEs. </w:t>
      </w:r>
      <w:r>
        <w:t>It</w:t>
      </w:r>
      <w:r w:rsidDel="00FA2CB7">
        <w:t xml:space="preserve"> f</w:t>
      </w:r>
      <w:r>
        <w:t>ou</w:t>
      </w:r>
      <w:r w:rsidDel="00FA2CB7">
        <w:t>nd</w:t>
      </w:r>
      <w:r>
        <w:t xml:space="preserve"> </w:t>
      </w:r>
      <w:r w:rsidDel="00FA2CB7">
        <w:t>that the NSW service providers have managed to achieve significant reductions in labour costs through reducing the number of staff, and are forecasting further savings, but that most of the reductions take place after the base year, 2012–13</w:t>
      </w:r>
      <w:r>
        <w:t xml:space="preserve"> (see </w:t>
      </w:r>
      <w:r>
        <w:fldChar w:fldCharType="begin"/>
      </w:r>
      <w:r>
        <w:instrText xml:space="preserve"> REF _Ref417014871 \h </w:instrText>
      </w:r>
      <w:r>
        <w:fldChar w:fldCharType="separate"/>
      </w:r>
      <w:r w:rsidR="00C74791" w:rsidRPr="00063CCB">
        <w:t xml:space="preserve">Figure </w:t>
      </w:r>
      <w:r w:rsidR="00C74791">
        <w:rPr>
          <w:noProof/>
        </w:rPr>
        <w:t>A</w:t>
      </w:r>
      <w:r w:rsidR="00C74791">
        <w:t>.</w:t>
      </w:r>
      <w:r w:rsidR="00C74791">
        <w:rPr>
          <w:noProof/>
        </w:rPr>
        <w:t>10</w:t>
      </w:r>
      <w:r>
        <w:fldChar w:fldCharType="end"/>
      </w:r>
      <w:r>
        <w:t>)</w:t>
      </w:r>
      <w:r w:rsidDel="00FA2CB7">
        <w:t>.</w:t>
      </w:r>
      <w:r>
        <w:rPr>
          <w:rStyle w:val="FootnoteReference"/>
        </w:rPr>
        <w:footnoteReference w:id="507"/>
      </w:r>
    </w:p>
    <w:p w:rsidR="00051BDB" w:rsidRDefault="00051BDB" w:rsidP="00051BDB">
      <w:pPr>
        <w:pStyle w:val="Caption"/>
      </w:pPr>
      <w:bookmarkStart w:id="208" w:name="_Ref417014871"/>
      <w:r w:rsidRPr="00063CCB">
        <w:lastRenderedPageBreak/>
        <w:t xml:space="preserve">Figure </w:t>
      </w:r>
      <w:fldSimple w:instr=" STYLEREF 7 \s ">
        <w:r w:rsidR="00C74791">
          <w:rPr>
            <w:noProof/>
          </w:rPr>
          <w:t>A</w:t>
        </w:r>
      </w:fldSimple>
      <w:r w:rsidR="00A409CB">
        <w:t>.</w:t>
      </w:r>
      <w:fldSimple w:instr=" SEQ AFigure \* ARABIC \s 7 ">
        <w:r w:rsidR="00C74791">
          <w:rPr>
            <w:noProof/>
          </w:rPr>
          <w:t>10</w:t>
        </w:r>
      </w:fldSimple>
      <w:bookmarkEnd w:id="208"/>
      <w:r w:rsidRPr="00063CCB">
        <w:tab/>
      </w:r>
      <w:r>
        <w:t>FTE reductions (non-TSA) in and after the base year</w:t>
      </w:r>
    </w:p>
    <w:p w:rsidR="00051BDB" w:rsidRPr="00063CCB" w:rsidRDefault="00051BDB" w:rsidP="00051BDB">
      <w:r w:rsidRPr="00051BDB">
        <w:rPr>
          <w:noProof/>
          <w:lang w:eastAsia="en-AU"/>
        </w:rPr>
        <w:drawing>
          <wp:inline distT="0" distB="0" distL="0" distR="0" wp14:anchorId="2C2AA409" wp14:editId="7AE3A6E3">
            <wp:extent cx="5220335" cy="2004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0335" cy="2004695"/>
                    </a:xfrm>
                    <a:prstGeom prst="rect">
                      <a:avLst/>
                    </a:prstGeom>
                    <a:noFill/>
                    <a:ln>
                      <a:noFill/>
                    </a:ln>
                  </pic:spPr>
                </pic:pic>
              </a:graphicData>
            </a:graphic>
          </wp:inline>
        </w:drawing>
      </w:r>
    </w:p>
    <w:p w:rsidR="00051BDB" w:rsidRDefault="00051BDB" w:rsidP="00051BDB">
      <w:pPr>
        <w:pStyle w:val="AERtablesource"/>
      </w:pPr>
      <w:r>
        <w:t xml:space="preserve">Source: </w:t>
      </w:r>
      <w:r>
        <w:tab/>
        <w:t>Deloitte (2015); Ausgrid, Revised regulatory proposal, Attachment 6.04, 19 January 2015, pp. 5-6.</w:t>
      </w:r>
    </w:p>
    <w:p w:rsidR="00051BDB" w:rsidRDefault="00051BDB" w:rsidP="00051BDB">
      <w:pPr>
        <w:pStyle w:val="AERtablesource"/>
      </w:pPr>
      <w:r>
        <w:t>Note:</w:t>
      </w:r>
      <w:r>
        <w:tab/>
        <w:t>FTE reductions relate to capex and opex.</w:t>
      </w:r>
    </w:p>
    <w:p w:rsidR="00051BDB" w:rsidRPr="00210FB2" w:rsidRDefault="00051BDB" w:rsidP="00051BDB">
      <w:pPr>
        <w:pStyle w:val="AERtablesource"/>
      </w:pPr>
      <w:r>
        <w:tab/>
        <w:t>Non-TSA FTEs are those not related to the sale of the distributors' retail businesses.</w:t>
      </w:r>
    </w:p>
    <w:p w:rsidR="00051BDB" w:rsidRPr="00051BDB" w:rsidRDefault="00051BDB" w:rsidP="00051BDB">
      <w:pPr>
        <w:pStyle w:val="HeadingBoldItalic"/>
        <w:rPr>
          <w:rStyle w:val="Strong"/>
        </w:rPr>
      </w:pPr>
      <w:r w:rsidRPr="00051BDB">
        <w:rPr>
          <w:rStyle w:val="Strong"/>
        </w:rPr>
        <w:t>Regional depots and the Local Service Agent model</w:t>
      </w:r>
    </w:p>
    <w:p w:rsidR="00051BDB" w:rsidRDefault="00051BDB" w:rsidP="00051BDB">
      <w:r>
        <w:t>In its revised regulatory proposal, Essential's Energy submitted that the dispersed nature of its network constrains the open market from cost effectively proving alternative sources of labour and services in regional locations.</w:t>
      </w:r>
      <w:r>
        <w:rPr>
          <w:rStyle w:val="FootnoteReference"/>
        </w:rPr>
        <w:footnoteReference w:id="508"/>
      </w:r>
    </w:p>
    <w:p w:rsidR="00051BDB" w:rsidRDefault="00051BDB" w:rsidP="00051BDB">
      <w:r>
        <w:t>In response, Deloitte undertook</w:t>
      </w:r>
      <w:r w:rsidRPr="00D63ECF">
        <w:t xml:space="preserve"> research into the LSA </w:t>
      </w:r>
      <w:r>
        <w:t xml:space="preserve">outsourcing </w:t>
      </w:r>
      <w:r w:rsidRPr="00D63ECF">
        <w:t>model, and</w:t>
      </w:r>
      <w:r>
        <w:t xml:space="preserve"> considered that by applying the LSA model there is the possibility that Essential Energy could realise significant cost savings.</w:t>
      </w:r>
      <w:r>
        <w:rPr>
          <w:rStyle w:val="FootnoteReference"/>
        </w:rPr>
        <w:footnoteReference w:id="509"/>
      </w:r>
    </w:p>
    <w:p w:rsidR="00051BDB" w:rsidRPr="00D63ECF" w:rsidRDefault="00051BDB" w:rsidP="00051BDB">
      <w:r>
        <w:t>Deloitte found the LSA model</w:t>
      </w:r>
      <w:r w:rsidRPr="00D63ECF">
        <w:t xml:space="preserve"> had significantly increased the operational efficiency of Powercor’s regional network areas. These efficiency outcomes </w:t>
      </w:r>
      <w:r>
        <w:t>were</w:t>
      </w:r>
      <w:r w:rsidRPr="00D63ECF">
        <w:t xml:space="preserve"> associated with:</w:t>
      </w:r>
      <w:r>
        <w:rPr>
          <w:rStyle w:val="FootnoteReference"/>
        </w:rPr>
        <w:footnoteReference w:id="510"/>
      </w:r>
    </w:p>
    <w:p w:rsidR="00051BDB" w:rsidRPr="00D63ECF" w:rsidRDefault="00051BDB" w:rsidP="00051BDB">
      <w:pPr>
        <w:pStyle w:val="AERbulletlistfirststyle"/>
      </w:pPr>
      <w:r w:rsidRPr="00D63ECF">
        <w:t>reductions in the absolute number of depots and sites;</w:t>
      </w:r>
    </w:p>
    <w:p w:rsidR="00051BDB" w:rsidRPr="00D63ECF" w:rsidRDefault="00051BDB" w:rsidP="00051BDB">
      <w:pPr>
        <w:pStyle w:val="AERbulletlistfirststyle"/>
      </w:pPr>
      <w:r w:rsidRPr="00D63ECF">
        <w:t>reductions in staff per depot, with more flexibility in rost</w:t>
      </w:r>
      <w:r>
        <w:t>ering</w:t>
      </w:r>
      <w:r w:rsidRPr="00D63ECF">
        <w:t>;</w:t>
      </w:r>
    </w:p>
    <w:p w:rsidR="00051BDB" w:rsidRPr="00D63ECF" w:rsidRDefault="00051BDB" w:rsidP="00051BDB">
      <w:pPr>
        <w:pStyle w:val="AERbulletlistfirststyle"/>
      </w:pPr>
      <w:r w:rsidRPr="00D63ECF">
        <w:t>cultural change, driven by the small business incentives to reduce costs. Once the LSA model was established, significant efficiencies were identified and achieved in a range of existing processes, driven by a more cost-conscious approach and the need to reduce overtime.</w:t>
      </w:r>
    </w:p>
    <w:p w:rsidR="00051BDB" w:rsidRDefault="00051BDB" w:rsidP="00051BDB">
      <w:r>
        <w:t xml:space="preserve">Deloitte considered that Essential Energy could realise similar benefits implementing a LSA model. Essential Energy was formed as an amalgamation of small council </w:t>
      </w:r>
      <w:r>
        <w:lastRenderedPageBreak/>
        <w:t>networks, similar to Powercor, and therefore the location of many of its sites and depots remains a function of historical arrangements.</w:t>
      </w:r>
      <w:r>
        <w:rPr>
          <w:rStyle w:val="FootnoteReference"/>
        </w:rPr>
        <w:footnoteReference w:id="511"/>
      </w:r>
      <w:r>
        <w:t xml:space="preserve"> We consider Essential Energy could realise these efficiencies in addition to those gains identified in the </w:t>
      </w:r>
      <w:r w:rsidRPr="00402441">
        <w:t xml:space="preserve">Networks NSW document entitled </w:t>
      </w:r>
      <w:r w:rsidRPr="002D2869">
        <w:rPr>
          <w:rStyle w:val="AERtextitalic"/>
        </w:rPr>
        <w:t>Delivering efficiencies for our customer</w:t>
      </w:r>
      <w:r>
        <w:rPr>
          <w:rStyle w:val="AERtextitalic"/>
        </w:rPr>
        <w:t>s</w:t>
      </w:r>
      <w:r>
        <w:t>.</w:t>
      </w:r>
      <w:r>
        <w:rPr>
          <w:rStyle w:val="FootnoteReference"/>
        </w:rPr>
        <w:footnoteReference w:id="512"/>
      </w:r>
    </w:p>
    <w:p w:rsidR="00051BDB" w:rsidRPr="00CA1712" w:rsidRDefault="00051BDB" w:rsidP="00051BDB">
      <w:pPr>
        <w:pStyle w:val="HeadingBoldBlue"/>
      </w:pPr>
      <w:r w:rsidRPr="00CA1712">
        <w:t>Detailed review of vegetation management</w:t>
      </w:r>
    </w:p>
    <w:p w:rsidR="00051BDB" w:rsidRDefault="00051BDB" w:rsidP="00051BDB">
      <w:r>
        <w:t>We maintain that our detailed review into Essential Energy's vegetation management expenditure provides evidence of the gap in performance in its base opex as observed in our economic benchmarking.</w:t>
      </w:r>
    </w:p>
    <w:p w:rsidR="00051BDB" w:rsidRDefault="00051BDB" w:rsidP="00051BDB">
      <w:r>
        <w:t>In particular, we consider the Select Solutions report (and Essential Energy documentation discussing it) submitted by Essential Energy with its regulatory proposal demonstrates there are inefficiencies in its vegetation management practices in the 2012–13 base year. While Essential may have since improved its practices, the evidence suggests it had not done so in 2012–13. Therefore, the costs in 2012–13 are overstated.</w:t>
      </w:r>
    </w:p>
    <w:p w:rsidR="00051BDB" w:rsidRDefault="00051BDB" w:rsidP="00051BDB">
      <w:r>
        <w:t>In its revised proposal, Essential Energy disagreed with the conclusions of our draft decision analysis of its vegetation management expenditure. Ausgrid and Endeavour Energy also commented that we have used the review of Essential Energy's vegetation management program to support our view that the other service providers are inefficient. We consider these issues separately.</w:t>
      </w:r>
    </w:p>
    <w:p w:rsidR="00051BDB" w:rsidRPr="00051BDB" w:rsidRDefault="00051BDB" w:rsidP="00051BDB">
      <w:pPr>
        <w:pStyle w:val="HeadingBoldItalic"/>
        <w:rPr>
          <w:rStyle w:val="Strong"/>
        </w:rPr>
      </w:pPr>
      <w:r w:rsidRPr="00051BDB">
        <w:rPr>
          <w:rStyle w:val="Strong"/>
        </w:rPr>
        <w:t>Essential Energy's submission on the detailed review</w:t>
      </w:r>
    </w:p>
    <w:p w:rsidR="00051BDB" w:rsidRPr="0025224D" w:rsidRDefault="00051BDB" w:rsidP="00051BDB">
      <w:r w:rsidRPr="00B4179C">
        <w:t>Essential Energy submit</w:t>
      </w:r>
      <w:r>
        <w:t>ted</w:t>
      </w:r>
      <w:r w:rsidRPr="00B4179C">
        <w:t xml:space="preserve"> that if we had undertaken our task in a proper manner we would have been satisfied that the proposed vegetation management costs were the efficient and prudent level of expenditure to achieve its regulatory obligations. Essential </w:t>
      </w:r>
      <w:r>
        <w:t>Energy and Advisian (engaged by Networks NSW) have</w:t>
      </w:r>
      <w:r w:rsidRPr="00B4179C">
        <w:t xml:space="preserve"> submitted material with </w:t>
      </w:r>
      <w:r>
        <w:t>Essential Energy's</w:t>
      </w:r>
      <w:r w:rsidRPr="00B4179C">
        <w:t xml:space="preserve"> revised proposal in which </w:t>
      </w:r>
      <w:r>
        <w:t xml:space="preserve">they </w:t>
      </w:r>
      <w:r w:rsidRPr="00B4179C">
        <w:t>consider</w:t>
      </w:r>
      <w:r>
        <w:t>ed</w:t>
      </w:r>
      <w:r w:rsidRPr="0025224D">
        <w:t>:</w:t>
      </w:r>
      <w:r w:rsidRPr="0025224D">
        <w:rPr>
          <w:rStyle w:val="FootnoteReference"/>
        </w:rPr>
        <w:footnoteReference w:id="513"/>
      </w:r>
    </w:p>
    <w:p w:rsidR="00051BDB" w:rsidRPr="0025224D" w:rsidRDefault="00051BDB" w:rsidP="00051BDB">
      <w:pPr>
        <w:pStyle w:val="AERbulletlistfirststyle"/>
      </w:pPr>
      <w:r>
        <w:t xml:space="preserve">Essential Energy and Ergon Energy are only good comparators on </w:t>
      </w:r>
      <w:r w:rsidRPr="0025224D">
        <w:t>customer density</w:t>
      </w:r>
      <w:r>
        <w:t xml:space="preserve">; and are not good comparators in </w:t>
      </w:r>
      <w:r w:rsidRPr="0025224D">
        <w:t>relation to clearance requirements, bushfire risk and outage information</w:t>
      </w:r>
      <w:r>
        <w:t>;</w:t>
      </w:r>
    </w:p>
    <w:p w:rsidR="00051BDB" w:rsidRPr="0025224D" w:rsidRDefault="00051BDB" w:rsidP="00051BDB">
      <w:pPr>
        <w:pStyle w:val="AERbulletlistfirststyle"/>
      </w:pPr>
      <w:r>
        <w:t>we were incorrect in our assessment of clearance requirements in NSW compared to other jurisdictions;</w:t>
      </w:r>
    </w:p>
    <w:p w:rsidR="00051BDB" w:rsidRPr="0025224D" w:rsidRDefault="00051BDB" w:rsidP="00051BDB">
      <w:pPr>
        <w:pStyle w:val="AERbulletlistfirststyle"/>
      </w:pPr>
      <w:r>
        <w:t>we were incorrect in assessment of bushfire risk in NSW compared to other jurisdictions;</w:t>
      </w:r>
    </w:p>
    <w:p w:rsidR="00051BDB" w:rsidRDefault="00051BDB" w:rsidP="00051BDB">
      <w:pPr>
        <w:pStyle w:val="AERbulletlistfirststyle"/>
      </w:pPr>
      <w:r>
        <w:lastRenderedPageBreak/>
        <w:t xml:space="preserve">it is inappropriate for us to </w:t>
      </w:r>
      <w:r w:rsidRPr="0025224D">
        <w:t>rely on benchmark expenditure in a single year to forecast ongoing efficient costs</w:t>
      </w:r>
      <w:r>
        <w:t>;</w:t>
      </w:r>
    </w:p>
    <w:p w:rsidR="00051BDB" w:rsidRPr="0025224D" w:rsidRDefault="00051BDB" w:rsidP="00051BDB">
      <w:pPr>
        <w:pStyle w:val="AERbulletlistfirststyle"/>
      </w:pPr>
      <w:r w:rsidRPr="0025224D">
        <w:t>Powercor and S</w:t>
      </w:r>
      <w:r>
        <w:t>A Power Networks</w:t>
      </w:r>
      <w:r w:rsidRPr="0025224D">
        <w:t xml:space="preserve"> </w:t>
      </w:r>
      <w:r>
        <w:t xml:space="preserve">(who are service providers in the top quartile of our economic benchmarking results) </w:t>
      </w:r>
      <w:r w:rsidRPr="0025224D">
        <w:t xml:space="preserve">have increased </w:t>
      </w:r>
      <w:r>
        <w:t>vegetation management opex at a greater rate over the period;</w:t>
      </w:r>
    </w:p>
    <w:p w:rsidR="00051BDB" w:rsidRPr="0025224D" w:rsidRDefault="00051BDB" w:rsidP="00051BDB">
      <w:pPr>
        <w:pStyle w:val="AERbulletlistfirststyle"/>
      </w:pPr>
      <w:r>
        <w:t>the Select Solutions report is outdated and does not apply to Essential Energy's current practices;</w:t>
      </w:r>
    </w:p>
    <w:p w:rsidR="00051BDB" w:rsidRPr="0025224D" w:rsidRDefault="00051BDB" w:rsidP="00051BDB">
      <w:pPr>
        <w:pStyle w:val="AERbulletlistfirststyle"/>
      </w:pPr>
      <w:r>
        <w:t>our view that vegetation management overhead is too high is incorrect, and is a consequence of Essential Energy's overhead allocation model; and</w:t>
      </w:r>
    </w:p>
    <w:p w:rsidR="00051BDB" w:rsidRPr="0025224D" w:rsidRDefault="00051BDB" w:rsidP="00051BDB">
      <w:pPr>
        <w:pStyle w:val="AERbulletlistfirststyle"/>
      </w:pPr>
      <w:r>
        <w:t>Essential Energy's</w:t>
      </w:r>
      <w:r w:rsidDel="00797522">
        <w:t xml:space="preserve"> </w:t>
      </w:r>
      <w:r w:rsidRPr="005D5BDF">
        <w:t>forecast costs were based on external delivery of vegetation management</w:t>
      </w:r>
      <w:r>
        <w:t>, which it considers,</w:t>
      </w:r>
      <w:r w:rsidRPr="005D5BDF">
        <w:t xml:space="preserve"> provides a level of satisfaction as to the efficiency of </w:t>
      </w:r>
      <w:r>
        <w:t xml:space="preserve">its </w:t>
      </w:r>
      <w:r w:rsidRPr="005D5BDF">
        <w:t>costs.</w:t>
      </w:r>
    </w:p>
    <w:p w:rsidR="00051BDB" w:rsidRDefault="00051BDB" w:rsidP="00051BDB">
      <w:r>
        <w:t>W</w:t>
      </w:r>
      <w:r w:rsidRPr="0091120A">
        <w:t xml:space="preserve">e </w:t>
      </w:r>
      <w:r>
        <w:t>have had regard to the information submitted by Essential Energy and Advisian. However, we consider the following factors are important in drawing conclusions about vegetation management as a driver of costs and its impact on Essential Energy's revealed opex in 2012–13:</w:t>
      </w:r>
    </w:p>
    <w:p w:rsidR="00051BDB" w:rsidRDefault="00051BDB" w:rsidP="00051BDB">
      <w:pPr>
        <w:pStyle w:val="AERbulletlistfirststyle"/>
      </w:pPr>
      <w:r w:rsidRPr="0039725C">
        <w:t>Essential Energy propose</w:t>
      </w:r>
      <w:r>
        <w:t>d</w:t>
      </w:r>
      <w:r w:rsidRPr="0039725C">
        <w:t xml:space="preserve"> a negative </w:t>
      </w:r>
      <w:r>
        <w:t xml:space="preserve">step change to vegetation management based on a forecast </w:t>
      </w:r>
      <w:r w:rsidRPr="0039725C">
        <w:t>reduction in expenditure</w:t>
      </w:r>
      <w:r>
        <w:t>. This was due to 'strategic reform initiatives'.</w:t>
      </w:r>
      <w:r>
        <w:rPr>
          <w:rStyle w:val="FootnoteReference"/>
        </w:rPr>
        <w:footnoteReference w:id="514"/>
      </w:r>
    </w:p>
    <w:p w:rsidR="00051BDB" w:rsidRPr="00B1131C" w:rsidRDefault="00051BDB" w:rsidP="00051BDB">
      <w:pPr>
        <w:pStyle w:val="AERbulletlistfirststyle"/>
      </w:pPr>
      <w:r>
        <w:t xml:space="preserve">The strategic reform initiatives were based on analysis performed by Select Solutions. Select Solutions presented its findings in a report dated March 2013. </w:t>
      </w:r>
      <w:r w:rsidRPr="00B1131C">
        <w:t>Select Solutions' review found that Essential Energy must move to a "significantly more efficient" vegetation management model to reduce the impact of its expenditure on customer prices.</w:t>
      </w:r>
      <w:r w:rsidRPr="00B1131C">
        <w:rPr>
          <w:rStyle w:val="FootnoteReference"/>
        </w:rPr>
        <w:footnoteReference w:id="515"/>
      </w:r>
      <w:r w:rsidRPr="00B1131C">
        <w:t xml:space="preserve"> Select Solutions identified </w:t>
      </w:r>
      <w:r>
        <w:t>sixteen</w:t>
      </w:r>
      <w:r w:rsidRPr="00B1131C">
        <w:t xml:space="preserve"> recommendations to improve efficiency, 12 of which it considered were very high priority.</w:t>
      </w:r>
      <w:r w:rsidRPr="00B1131C">
        <w:rPr>
          <w:rStyle w:val="FootnoteReference"/>
        </w:rPr>
        <w:footnoteReference w:id="516"/>
      </w:r>
      <w:r w:rsidRPr="00B1131C">
        <w:t xml:space="preserve"> </w:t>
      </w:r>
      <w:r>
        <w:t>These include</w:t>
      </w:r>
      <w:r w:rsidRPr="00B1131C">
        <w:t>:</w:t>
      </w:r>
    </w:p>
    <w:p w:rsidR="00051BDB" w:rsidRPr="00383EA2" w:rsidRDefault="00051BDB" w:rsidP="00051BDB">
      <w:pPr>
        <w:pStyle w:val="AERbulletlistsecondstyle"/>
      </w:pPr>
      <w:r w:rsidRPr="00B1131C">
        <w:t>introduce a more fit-for-purpose vegetation management system similar to systems used by some distributors in Victoria</w:t>
      </w:r>
    </w:p>
    <w:p w:rsidR="00051BDB" w:rsidRPr="00383EA2" w:rsidRDefault="00051BDB" w:rsidP="00051BDB">
      <w:pPr>
        <w:pStyle w:val="AERbulletlistsecondstyle"/>
      </w:pPr>
      <w:r w:rsidRPr="00B1131C">
        <w:t>increase the proportion and frequency of proactive cyclic management</w:t>
      </w:r>
    </w:p>
    <w:p w:rsidR="00051BDB" w:rsidRPr="00383EA2" w:rsidRDefault="00051BDB" w:rsidP="00051BDB">
      <w:pPr>
        <w:pStyle w:val="AERbulletlistsecondstyle"/>
      </w:pPr>
      <w:r w:rsidRPr="00B1131C">
        <w:t>demobilise existing corridor reclamation program</w:t>
      </w:r>
    </w:p>
    <w:p w:rsidR="00051BDB" w:rsidRPr="00383EA2" w:rsidRDefault="00051BDB" w:rsidP="00051BDB">
      <w:pPr>
        <w:pStyle w:val="AERbulletlistsecondstyle"/>
      </w:pPr>
      <w:r>
        <w:t>i</w:t>
      </w:r>
      <w:r w:rsidRPr="00B1131C">
        <w:t>mplement better approaches to tree removal and trimming</w:t>
      </w:r>
    </w:p>
    <w:p w:rsidR="00051BDB" w:rsidRPr="00383EA2" w:rsidRDefault="00051BDB" w:rsidP="00051BDB">
      <w:pPr>
        <w:pStyle w:val="AERbulletlistsecondstyle"/>
      </w:pPr>
      <w:r w:rsidRPr="00B1131C">
        <w:t>optimise aerial patrol use</w:t>
      </w:r>
    </w:p>
    <w:p w:rsidR="00051BDB" w:rsidRPr="00383EA2" w:rsidRDefault="00051BDB" w:rsidP="00051BDB">
      <w:pPr>
        <w:pStyle w:val="AERbulletlistsecondstyle"/>
      </w:pPr>
      <w:r w:rsidRPr="00B1131C">
        <w:t>manage stakeholders better</w:t>
      </w:r>
    </w:p>
    <w:p w:rsidR="00051BDB" w:rsidRPr="00383EA2" w:rsidRDefault="00051BDB" w:rsidP="00051BDB">
      <w:pPr>
        <w:pStyle w:val="AERbulletlistsecondstyle"/>
      </w:pPr>
      <w:r w:rsidRPr="00B1131C">
        <w:lastRenderedPageBreak/>
        <w:t>employ contractors on an agreed</w:t>
      </w:r>
      <w:r>
        <w:t xml:space="preserve"> </w:t>
      </w:r>
      <w:r w:rsidRPr="00B1131C">
        <w:t xml:space="preserve"> rate per fixed unit of work</w:t>
      </w:r>
    </w:p>
    <w:p w:rsidR="00051BDB" w:rsidRPr="00383EA2" w:rsidRDefault="00051BDB" w:rsidP="00051BDB">
      <w:pPr>
        <w:pStyle w:val="AERbulletlistsecondstyle"/>
      </w:pPr>
      <w:r w:rsidRPr="00B1131C">
        <w:t>outsource additional scope and cut work.</w:t>
      </w:r>
    </w:p>
    <w:p w:rsidR="00051BDB" w:rsidRDefault="00051BDB" w:rsidP="00051BDB">
      <w:r>
        <w:t>Essential Energy noted</w:t>
      </w:r>
      <w:r w:rsidRPr="0039725C">
        <w:t xml:space="preserve"> that there are recommendations from the report in the process of being implemented</w:t>
      </w:r>
      <w:r>
        <w:t>.</w:t>
      </w:r>
      <w:r w:rsidRPr="0039725C">
        <w:t xml:space="preserve"> </w:t>
      </w:r>
      <w:r>
        <w:t xml:space="preserve">It follows that they could </w:t>
      </w:r>
      <w:r w:rsidRPr="0039725C">
        <w:t xml:space="preserve">not </w:t>
      </w:r>
      <w:r>
        <w:t xml:space="preserve">have </w:t>
      </w:r>
      <w:r w:rsidRPr="0039725C">
        <w:t>been implemented in the 2012–13 base year</w:t>
      </w:r>
      <w:r>
        <w:t>. This year is the relevant year for determining the appropriateness of Essential Energy's revealed costs as the starting point for determining an estimate of efficient and prudent total forecast opex.</w:t>
      </w:r>
      <w:r>
        <w:rPr>
          <w:rStyle w:val="FootnoteReference"/>
        </w:rPr>
        <w:footnoteReference w:id="517"/>
      </w:r>
      <w:r>
        <w:t xml:space="preserve"> That Essential Energy is now improving its practices simply confirms they were not efficient in 2012–13. We therefore consider the Select Solutions report is not outdated and is directly relevant to our analysis.</w:t>
      </w:r>
    </w:p>
    <w:p w:rsidR="00051BDB" w:rsidRDefault="00051BDB" w:rsidP="00051BDB">
      <w:r>
        <w:t xml:space="preserve">As a result, although Powercor's and SA Power Networks' vegetation management opex may have increased at a greater rate over the period this does not justify the increase in Essential Energy's opex. Further, as we explain in section </w:t>
      </w:r>
      <w:r>
        <w:fldChar w:fldCharType="begin"/>
      </w:r>
      <w:r>
        <w:instrText xml:space="preserve"> REF _Ref417551822 \n \h </w:instrText>
      </w:r>
      <w:r>
        <w:fldChar w:fldCharType="separate"/>
      </w:r>
      <w:r w:rsidR="00C74791">
        <w:t>A.6</w:t>
      </w:r>
      <w:r>
        <w:fldChar w:fldCharType="end"/>
      </w:r>
      <w:r>
        <w:t xml:space="preserve">, there are other factors driving the </w:t>
      </w:r>
      <w:r w:rsidRPr="00430062">
        <w:t>increases</w:t>
      </w:r>
      <w:r>
        <w:t xml:space="preserve"> in these service providers' vegetation management expenditure over the period.</w:t>
      </w:r>
    </w:p>
    <w:p w:rsidR="00051BDB" w:rsidRDefault="00051BDB" w:rsidP="00051BDB">
      <w:r>
        <w:t xml:space="preserve">We disagree with Essential Energy's submissions on clearance requirements and bushfire risk. However, differences in clearance requirements and bushfire risk are operating environment factors that are relevant in forming a view on the appropriate adjustment to base year opex. As a result, we consider these in section </w:t>
      </w:r>
      <w:r>
        <w:fldChar w:fldCharType="begin"/>
      </w:r>
      <w:r>
        <w:instrText xml:space="preserve"> REF _Ref417551822 \n \h </w:instrText>
      </w:r>
      <w:r>
        <w:fldChar w:fldCharType="separate"/>
      </w:r>
      <w:r w:rsidR="00C74791">
        <w:t>A.6</w:t>
      </w:r>
      <w:r>
        <w:fldChar w:fldCharType="end"/>
      </w:r>
      <w:r>
        <w:t xml:space="preserve"> in the context of their impact on overall opex rather than vegetation management as a category.</w:t>
      </w:r>
      <w:r w:rsidDel="00245312">
        <w:t xml:space="preserve"> </w:t>
      </w:r>
    </w:p>
    <w:p w:rsidR="00051BDB" w:rsidRDefault="00051BDB" w:rsidP="00051BDB">
      <w:r>
        <w:t>Regarding Essential Energy's other concerns identified above, we did not place significant weight on this analysis in the draft decision detailed review. Comparisons to Ergon Energy, Powercor and SA Power Networks were observations about the level of Essential Energy's expenditure compared to its peers, which provided context for the review. Similarly, observations about the level of overhead provided context. We placed most weight on the findings of the Select Solutions review, noting that Essential Energy had proposed a step down in its vegetation management opex in the forecast period (rather than in the base year).</w:t>
      </w:r>
    </w:p>
    <w:p w:rsidR="00051BDB" w:rsidRDefault="00051BDB" w:rsidP="00051BDB">
      <w:r>
        <w:t>Therefore, we maintain our draft decision view that Essential Energy's performance on our economic benchmarking techniques is likely to be partly driven by its vegetation management opex.</w:t>
      </w:r>
    </w:p>
    <w:p w:rsidR="00C74791" w:rsidRDefault="00C74791">
      <w:pPr>
        <w:spacing w:line="240" w:lineRule="auto"/>
        <w:rPr>
          <w:rStyle w:val="Strong"/>
          <w:rFonts w:eastAsiaTheme="majorEastAsia" w:cstheme="majorBidi"/>
          <w:b w:val="0"/>
          <w:bCs w:val="0"/>
          <w:i/>
          <w:iCs/>
          <w:color w:val="51626F"/>
          <w:sz w:val="24"/>
        </w:rPr>
      </w:pPr>
      <w:r>
        <w:rPr>
          <w:rStyle w:val="Strong"/>
        </w:rPr>
        <w:br w:type="page"/>
      </w:r>
    </w:p>
    <w:p w:rsidR="00051BDB" w:rsidRPr="00051BDB" w:rsidRDefault="00051BDB" w:rsidP="00051BDB">
      <w:pPr>
        <w:pStyle w:val="HeadingBoldItalic"/>
        <w:rPr>
          <w:rStyle w:val="Strong"/>
        </w:rPr>
      </w:pPr>
      <w:r w:rsidRPr="00051BDB">
        <w:rPr>
          <w:rStyle w:val="Strong"/>
        </w:rPr>
        <w:lastRenderedPageBreak/>
        <w:t>Application of this detailed review to Ausgrid and Endeavour Energy decisions</w:t>
      </w:r>
    </w:p>
    <w:p w:rsidR="00051BDB" w:rsidRDefault="00051BDB" w:rsidP="00051BDB">
      <w:r>
        <w:t xml:space="preserve">The NSW service providers submitted that we </w:t>
      </w:r>
      <w:r w:rsidRPr="0025224D">
        <w:t xml:space="preserve">relied on an erroneous and inconsistent assessment of Essential Energy’s vegetation management expenditure to support </w:t>
      </w:r>
      <w:r>
        <w:t>our</w:t>
      </w:r>
      <w:r w:rsidRPr="0025224D">
        <w:t xml:space="preserve"> view that </w:t>
      </w:r>
      <w:r>
        <w:t xml:space="preserve">all </w:t>
      </w:r>
      <w:r w:rsidRPr="0025224D">
        <w:t xml:space="preserve">the NSW </w:t>
      </w:r>
      <w:r>
        <w:t xml:space="preserve">service providers </w:t>
      </w:r>
      <w:r w:rsidRPr="0025224D">
        <w:t>are inefficient</w:t>
      </w:r>
      <w:r>
        <w:t>.</w:t>
      </w:r>
      <w:r w:rsidRPr="0025224D">
        <w:rPr>
          <w:rStyle w:val="FootnoteReference"/>
        </w:rPr>
        <w:footnoteReference w:id="518"/>
      </w:r>
    </w:p>
    <w:p w:rsidR="00051BDB" w:rsidRPr="00F52B92" w:rsidRDefault="00051BDB" w:rsidP="00051BDB">
      <w:r>
        <w:t xml:space="preserve">Our detailed review of vegetation management relates to Essential </w:t>
      </w:r>
      <w:r w:rsidRPr="00F52B92">
        <w:t xml:space="preserve">Energy only. We did not use </w:t>
      </w:r>
      <w:r>
        <w:t>the results of the review</w:t>
      </w:r>
      <w:r w:rsidRPr="00F52B92">
        <w:t xml:space="preserve"> to support our view that all of the NSW service providers are </w:t>
      </w:r>
      <w:r>
        <w:t>have inefficient vegetation management practices</w:t>
      </w:r>
      <w:r w:rsidRPr="00F52B92">
        <w:t>. We stated that we decided to undertake a detailed review of Essential Energy's vegetation management because:</w:t>
      </w:r>
      <w:r w:rsidRPr="00F52B92">
        <w:rPr>
          <w:rStyle w:val="FootnoteReference"/>
        </w:rPr>
        <w:footnoteReference w:id="519"/>
      </w:r>
    </w:p>
    <w:p w:rsidR="00051BDB" w:rsidRPr="0025224D" w:rsidRDefault="00051BDB" w:rsidP="00051BDB">
      <w:pPr>
        <w:pStyle w:val="AERbulletlistfirststyle"/>
      </w:pPr>
      <w:r>
        <w:t>its expenditure increased significantly over the 2009 to 2013 period; and</w:t>
      </w:r>
    </w:p>
    <w:p w:rsidR="00051BDB" w:rsidRPr="0025224D" w:rsidRDefault="00051BDB" w:rsidP="00051BDB">
      <w:pPr>
        <w:pStyle w:val="AERbulletlistfirststyle"/>
      </w:pPr>
      <w:r>
        <w:t xml:space="preserve">its own regulatory proposal identified inefficiencies in its vegetation management. </w:t>
      </w:r>
    </w:p>
    <w:p w:rsidR="00051BDB" w:rsidRPr="0039725C" w:rsidRDefault="00051BDB" w:rsidP="00051BDB">
      <w:r>
        <w:rPr>
          <w:rStyle w:val="AERbody"/>
        </w:rPr>
        <w:t>Although Endeavour Energy and Ausgrid appeared</w:t>
      </w:r>
      <w:r w:rsidRPr="00B10821">
        <w:rPr>
          <w:rStyle w:val="AERbody"/>
        </w:rPr>
        <w:t xml:space="preserve"> to have high costs compared to some service providers on average, their costs remained relatively stable over the 2009</w:t>
      </w:r>
      <w:r>
        <w:rPr>
          <w:rStyle w:val="AERbody"/>
        </w:rPr>
        <w:t>–</w:t>
      </w:r>
      <w:r w:rsidRPr="00B10821">
        <w:rPr>
          <w:rStyle w:val="AERbody"/>
        </w:rPr>
        <w:t>13 period compared to Essential</w:t>
      </w:r>
      <w:r>
        <w:rPr>
          <w:rStyle w:val="AERbody"/>
        </w:rPr>
        <w:t xml:space="preserve"> Energy</w:t>
      </w:r>
      <w:r w:rsidRPr="00B10821">
        <w:rPr>
          <w:rStyle w:val="AERbody"/>
        </w:rPr>
        <w:t>.</w:t>
      </w:r>
      <w:r>
        <w:rPr>
          <w:rStyle w:val="AERbody"/>
        </w:rPr>
        <w:t xml:space="preserve"> We therefore did not undertake a detailed review of vegetation management for these two service providers.</w:t>
      </w:r>
    </w:p>
    <w:p w:rsidR="00051BDB" w:rsidRPr="00CA1712" w:rsidRDefault="00051BDB" w:rsidP="00051BDB">
      <w:pPr>
        <w:pStyle w:val="HeadingBoldBlue"/>
      </w:pPr>
      <w:r w:rsidRPr="00CA1712">
        <w:t>Category analysis</w:t>
      </w:r>
    </w:p>
    <w:p w:rsidR="00051BDB" w:rsidRDefault="00051BDB" w:rsidP="00051BDB">
      <w:r>
        <w:t>In our draft decision, the category analysis metrics suggested there may be inefficiencies in the NSW service providers' opex requiring further review. We decided to review those categories in further detail. Having considered the service providers' submissions, we maintain the view that category analysis is useful as a diagnostic tool.</w:t>
      </w:r>
    </w:p>
    <w:p w:rsidR="00051BDB" w:rsidRDefault="00051BDB" w:rsidP="00051BDB">
      <w:r>
        <w:t>Ausgrid and Essential Energy, in their revised proposals, considered that our category analysis metrics are biased and flawed. They submitted:</w:t>
      </w:r>
      <w:r>
        <w:rPr>
          <w:rStyle w:val="FootnoteReference"/>
        </w:rPr>
        <w:footnoteReference w:id="520"/>
      </w:r>
    </w:p>
    <w:p w:rsidR="00051BDB" w:rsidRDefault="00051BDB" w:rsidP="00051BDB">
      <w:pPr>
        <w:pStyle w:val="AERbulletlistfirststyle"/>
      </w:pPr>
      <w:r>
        <w:t>the metrics</w:t>
      </w:r>
      <w:r w:rsidRPr="004D2B38">
        <w:t xml:space="preserve"> illustrate the significant differences between the operating factors impacting each </w:t>
      </w:r>
      <w:r>
        <w:t>service provider rather than relative efficiency</w:t>
      </w:r>
    </w:p>
    <w:p w:rsidR="00051BDB" w:rsidRPr="004D2B38" w:rsidRDefault="00051BDB" w:rsidP="00051BDB">
      <w:pPr>
        <w:pStyle w:val="AERbulletlistfirststyle"/>
      </w:pPr>
      <w:r>
        <w:t>we did not consider</w:t>
      </w:r>
      <w:r w:rsidRPr="00C02F33">
        <w:t xml:space="preserve"> the individual network and operating risks of each service provider </w:t>
      </w:r>
      <w:r>
        <w:t>or assess</w:t>
      </w:r>
      <w:r w:rsidRPr="00C02F33">
        <w:t xml:space="preserve"> the underlying costs and cost drivers that support </w:t>
      </w:r>
      <w:r>
        <w:t>their</w:t>
      </w:r>
      <w:r w:rsidRPr="00C02F33">
        <w:t xml:space="preserve"> opex proposal</w:t>
      </w:r>
      <w:r>
        <w:t>s</w:t>
      </w:r>
    </w:p>
    <w:p w:rsidR="00051BDB" w:rsidRDefault="00051BDB" w:rsidP="00051BDB">
      <w:pPr>
        <w:pStyle w:val="AERbulletlistfirststyle"/>
      </w:pPr>
      <w:r>
        <w:t>Essential Energy cannot be compared to AusNet/Powercor/SA Power Networks because it is so much larger than those service providers.</w:t>
      </w:r>
    </w:p>
    <w:p w:rsidR="00051BDB" w:rsidRPr="00051BDB" w:rsidRDefault="00051BDB" w:rsidP="00051BDB">
      <w:pPr>
        <w:pStyle w:val="AERbulletlistfirststyle"/>
      </w:pPr>
      <w:r w:rsidRPr="009C65AC">
        <w:t>While we acknowledge that category analysis inherently contains some of the limitations</w:t>
      </w:r>
      <w:r w:rsidRPr="00051BDB">
        <w:t xml:space="preserve">, as discussed above, we are not using category analysis in the manner </w:t>
      </w:r>
      <w:r w:rsidRPr="00051BDB">
        <w:lastRenderedPageBreak/>
        <w:t xml:space="preserve">the NSW service providers suggest. We consider that category analysis is suited to identifying areas for further review, not for determining opex forecasts. For this purpose, we do not require such precision in our metrics. </w:t>
      </w:r>
    </w:p>
    <w:p w:rsidR="00051BDB" w:rsidRPr="009C65AC" w:rsidRDefault="00051BDB" w:rsidP="00051BDB">
      <w:r>
        <w:t>The techniques that we do place significant weight on in determining opex forecasts</w:t>
      </w:r>
      <w:r w:rsidRPr="009C65AC">
        <w:t xml:space="preserve">, such as economic benchmarking, detailed review and operating environment factor assessment, appropriately take into account the above considerations. </w:t>
      </w:r>
    </w:p>
    <w:p w:rsidR="00051BDB" w:rsidRPr="009C65AC" w:rsidRDefault="00051BDB" w:rsidP="00051BDB">
      <w:r>
        <w:t xml:space="preserve">Further, </w:t>
      </w:r>
      <w:r w:rsidRPr="009C65AC">
        <w:t>in forming a view on the appropriate adjustment to base opex, we have taken into account the potential for residual data, modelling and other uncertainties.</w:t>
      </w:r>
    </w:p>
    <w:p w:rsidR="00051BDB" w:rsidRDefault="00051BDB" w:rsidP="00051BDB">
      <w:r w:rsidRPr="00977564">
        <w:t xml:space="preserve">We comment below on some specific category analysis issues raised by </w:t>
      </w:r>
      <w:r>
        <w:t>the NSW service providers</w:t>
      </w:r>
      <w:r w:rsidRPr="00977564">
        <w:t>.</w:t>
      </w:r>
    </w:p>
    <w:p w:rsidR="00051BDB" w:rsidRPr="00051BDB" w:rsidRDefault="00051BDB" w:rsidP="00051BDB">
      <w:pPr>
        <w:pStyle w:val="HeadingBoldItalic"/>
        <w:rPr>
          <w:rStyle w:val="Strong"/>
        </w:rPr>
      </w:pPr>
      <w:r w:rsidRPr="00051BDB">
        <w:rPr>
          <w:rStyle w:val="Strong"/>
        </w:rPr>
        <w:t>Overheads</w:t>
      </w:r>
    </w:p>
    <w:p w:rsidR="00051BDB" w:rsidRDefault="00051BDB" w:rsidP="00051BDB">
      <w:r>
        <w:t>For the reasons set out below, we consider the overhead metrics presented in our draft decision are appropriate.</w:t>
      </w:r>
    </w:p>
    <w:p w:rsidR="00051BDB" w:rsidRDefault="00051BDB" w:rsidP="00051BDB">
      <w:r w:rsidRPr="004D2B38">
        <w:t>Essential</w:t>
      </w:r>
      <w:r>
        <w:t xml:space="preserve"> Energy</w:t>
      </w:r>
      <w:r w:rsidRPr="004D2B38">
        <w:t xml:space="preserve"> reject</w:t>
      </w:r>
      <w:r>
        <w:t>ed</w:t>
      </w:r>
      <w:r w:rsidRPr="004D2B38">
        <w:t xml:space="preserve"> </w:t>
      </w:r>
      <w:r>
        <w:t>our conclusion in the draft decision</w:t>
      </w:r>
      <w:r w:rsidRPr="004D2B38">
        <w:t xml:space="preserve"> tha</w:t>
      </w:r>
      <w:r>
        <w:t xml:space="preserve">t its overheads are “very high," and considered that </w:t>
      </w:r>
      <w:r w:rsidRPr="004D2B38">
        <w:t>size, scale and geographic dispersion</w:t>
      </w:r>
      <w:r>
        <w:t xml:space="preserve"> are drivers of overheads. Essential Energy considered that:</w:t>
      </w:r>
      <w:r>
        <w:rPr>
          <w:rStyle w:val="FootnoteReference"/>
        </w:rPr>
        <w:footnoteReference w:id="521"/>
      </w:r>
    </w:p>
    <w:p w:rsidR="00051BDB" w:rsidRDefault="00051BDB" w:rsidP="00051BDB">
      <w:pPr>
        <w:pStyle w:val="AERbulletlistfirststyle"/>
      </w:pPr>
      <w:r>
        <w:t>corporate overheads need to be adjusted downward because 26% of its corporate overhead is closely related to network overhead;</w:t>
      </w:r>
    </w:p>
    <w:p w:rsidR="00051BDB" w:rsidRDefault="00051BDB" w:rsidP="00051BDB">
      <w:pPr>
        <w:pStyle w:val="AERbulletlistfirststyle"/>
        <w:rPr>
          <w:rStyle w:val="Strong"/>
        </w:rPr>
      </w:pPr>
      <w:r>
        <w:t>its total overheads are comparable to other rural service providers on a per km basis (as we found its network overheads to be).</w:t>
      </w:r>
    </w:p>
    <w:p w:rsidR="00051BDB" w:rsidRDefault="00051BDB" w:rsidP="00051BDB">
      <w:r>
        <w:t>First we consider the need to adjust for a part of network overheads that is present in corporate overhead is unnecessary</w:t>
      </w:r>
      <w:r w:rsidRPr="00EB720E">
        <w:t xml:space="preserve"> when </w:t>
      </w:r>
      <w:r>
        <w:t>we also</w:t>
      </w:r>
      <w:r w:rsidRPr="00EB720E">
        <w:t xml:space="preserve"> examine total overheads.</w:t>
      </w:r>
      <w:r>
        <w:t xml:space="preserve"> </w:t>
      </w:r>
    </w:p>
    <w:p w:rsidR="00051BDB" w:rsidRDefault="00051BDB" w:rsidP="00051BDB">
      <w:r w:rsidRPr="00BE74D6">
        <w:t>Second,</w:t>
      </w:r>
      <w:r>
        <w:t xml:space="preserve"> we chose to present total overheads per customer because total overheads are likely to vary with changes in the amount of work done on the network. We consider that customer numbers are a good proxy for this. We consider corporate overheads are primarily driven by customer numbers, but customer numbers also affect network overhead, therefore presenting total overhead per customer is appropriate.</w:t>
      </w:r>
    </w:p>
    <w:p w:rsidR="00051BDB" w:rsidRDefault="00051BDB" w:rsidP="00051BDB">
      <w:r>
        <w:t>We chose to normalise network overheads costs by circuit kilometre because asset volumes are the primary driver of network overhead costs alone, rather than customer numbers. We do however; consider that customer numbers can have an impact on network overhead. For example, an expansion of a network into a new area requires additional network assets, which need to be managed; however, network expansions occur to serve additional customers.</w:t>
      </w:r>
    </w:p>
    <w:p w:rsidR="00051BDB" w:rsidRDefault="00051BDB" w:rsidP="00051BDB">
      <w:r>
        <w:lastRenderedPageBreak/>
        <w:t xml:space="preserve">We also found that Essential Energy's labour costs per customer were very high. This finding supports the view that its total overhead costs are high, since labour costs are a large portion of total overheads. Because the NSW service providers performed poorly on labour (and implicitly, overheads) we engaged Deloitte to undertake a detailed review of these expenditures. </w:t>
      </w:r>
    </w:p>
    <w:p w:rsidR="00051BDB" w:rsidRDefault="00051BDB" w:rsidP="00051BDB">
      <w:r>
        <w:t>The detailed review found the NSW service providers' labour and workforce management expenditure was not efficient and prudent, which supports the results from the total overhead category analysis metric.</w:t>
      </w:r>
    </w:p>
    <w:p w:rsidR="00051BDB" w:rsidRPr="00051BDB" w:rsidRDefault="00051BDB" w:rsidP="00051BDB">
      <w:pPr>
        <w:pStyle w:val="HeadingBoldItalic"/>
        <w:rPr>
          <w:rStyle w:val="Strong"/>
        </w:rPr>
      </w:pPr>
      <w:r w:rsidRPr="00051BDB">
        <w:rPr>
          <w:rStyle w:val="Strong"/>
        </w:rPr>
        <w:t>Maintenance</w:t>
      </w:r>
    </w:p>
    <w:p w:rsidR="00051BDB" w:rsidRDefault="00051BDB" w:rsidP="00051BDB">
      <w:r>
        <w:t>For the reasons set out below, we consider the maintenance metric</w:t>
      </w:r>
      <w:r w:rsidRPr="003633DC">
        <w:t xml:space="preserve"> </w:t>
      </w:r>
      <w:r>
        <w:t>presented in our draft decision is appropriate.</w:t>
      </w:r>
    </w:p>
    <w:p w:rsidR="00051BDB" w:rsidRPr="004D2B38" w:rsidRDefault="00051BDB" w:rsidP="00051BDB">
      <w:r w:rsidRPr="00BE74D6">
        <w:t>Ausgrid</w:t>
      </w:r>
      <w:r>
        <w:t xml:space="preserve"> considered that c</w:t>
      </w:r>
      <w:r w:rsidRPr="004D2B38">
        <w:t xml:space="preserve">ustomer density as a normaliser </w:t>
      </w:r>
      <w:r>
        <w:t>for the maintenance metric</w:t>
      </w:r>
      <w:r w:rsidRPr="004D2B38">
        <w:t xml:space="preserve"> is flawed</w:t>
      </w:r>
      <w:r>
        <w:t>.</w:t>
      </w:r>
      <w:r w:rsidRPr="004D2B38">
        <w:t xml:space="preserve"> </w:t>
      </w:r>
      <w:r w:rsidR="009879F7">
        <w:t>Ausgri</w:t>
      </w:r>
      <w:r>
        <w:t>d submitted we have</w:t>
      </w:r>
      <w:r w:rsidRPr="004D2B38">
        <w:t xml:space="preserve"> not adequately accounted for:</w:t>
      </w:r>
      <w:r>
        <w:rPr>
          <w:rStyle w:val="FootnoteReference"/>
        </w:rPr>
        <w:footnoteReference w:id="522"/>
      </w:r>
    </w:p>
    <w:p w:rsidR="00051BDB" w:rsidRPr="004D2B38" w:rsidRDefault="00051BDB" w:rsidP="00051BDB">
      <w:pPr>
        <w:pStyle w:val="AERbulletlistfirststyle"/>
      </w:pPr>
      <w:r>
        <w:t>differences between urban and rural service providers</w:t>
      </w:r>
      <w:r w:rsidRPr="004D2B38">
        <w:t xml:space="preserve"> and the extent density can differ across the network</w:t>
      </w:r>
      <w:r>
        <w:t>;</w:t>
      </w:r>
    </w:p>
    <w:p w:rsidR="00051BDB" w:rsidRDefault="00051BDB" w:rsidP="00051BDB">
      <w:pPr>
        <w:pStyle w:val="AERbulletlistfirststyle"/>
      </w:pPr>
      <w:r>
        <w:t xml:space="preserve">differences in </w:t>
      </w:r>
      <w:r w:rsidRPr="004D2B38">
        <w:t xml:space="preserve">assets </w:t>
      </w:r>
      <w:r>
        <w:t>and its maintenance intensity.</w:t>
      </w:r>
    </w:p>
    <w:p w:rsidR="00051BDB" w:rsidRPr="000D4836" w:rsidRDefault="00051BDB" w:rsidP="00051BDB">
      <w:r w:rsidRPr="000D4836">
        <w:t>We recognise that all service providers will have differences in assets and density, however we consider the differences in assets reflects to some extent the service providers' capital works program. The service provider has discretion over much of its capital works program, and may invest in more assets than an efficient and prudent service provider would require. These decisions will affect their maintenance costs. It does not, however, mean that service providers are not comparable on this metric. Nor do we agree that the frontier businesses are at a substantial natural advantage. We consider factors that may affect maintenance such as asset age and volumes in more detail in section</w:t>
      </w:r>
      <w:r w:rsidR="009D2EDE">
        <w:t xml:space="preserve"> </w:t>
      </w:r>
      <w:r w:rsidR="009D2EDE">
        <w:fldChar w:fldCharType="begin"/>
      </w:r>
      <w:r w:rsidR="009D2EDE">
        <w:instrText xml:space="preserve"> REF _Ref417551822 \r \h </w:instrText>
      </w:r>
      <w:r w:rsidR="009D2EDE">
        <w:fldChar w:fldCharType="separate"/>
      </w:r>
      <w:r w:rsidR="009D2EDE">
        <w:t>A.6</w:t>
      </w:r>
      <w:r w:rsidR="009D2EDE">
        <w:fldChar w:fldCharType="end"/>
      </w:r>
      <w:r w:rsidRPr="000D4836">
        <w:t>.</w:t>
      </w:r>
    </w:p>
    <w:p w:rsidR="00051BDB" w:rsidRPr="00051BDB" w:rsidRDefault="00051BDB" w:rsidP="00051BDB">
      <w:pPr>
        <w:pStyle w:val="HeadingBoldItalic"/>
        <w:rPr>
          <w:rStyle w:val="Strong"/>
        </w:rPr>
      </w:pPr>
      <w:r w:rsidRPr="00051BDB">
        <w:rPr>
          <w:rStyle w:val="Strong"/>
        </w:rPr>
        <w:t>Vegetation management</w:t>
      </w:r>
    </w:p>
    <w:p w:rsidR="00051BDB" w:rsidRDefault="00051BDB" w:rsidP="00051BDB">
      <w:r>
        <w:t>For the reasons set out below, we consider the vegetation management metrics</w:t>
      </w:r>
      <w:r w:rsidRPr="003633DC">
        <w:t xml:space="preserve"> </w:t>
      </w:r>
      <w:r>
        <w:t>presented in our draft decisions are appropriate. However, we do recognise issues with one of the metrics.</w:t>
      </w:r>
    </w:p>
    <w:p w:rsidR="00051BDB" w:rsidRPr="00B300E7" w:rsidRDefault="00051BDB" w:rsidP="00051BDB">
      <w:r w:rsidRPr="00B300E7">
        <w:t>The NSW service providers consider</w:t>
      </w:r>
      <w:r>
        <w:t>ed</w:t>
      </w:r>
      <w:r w:rsidRPr="00B300E7">
        <w:t xml:space="preserve"> there are a number of issues with our </w:t>
      </w:r>
      <w:r>
        <w:t>vegetation management category analysis assessment. In particular:</w:t>
      </w:r>
      <w:r>
        <w:rPr>
          <w:rStyle w:val="FootnoteReference"/>
        </w:rPr>
        <w:footnoteReference w:id="523"/>
      </w:r>
    </w:p>
    <w:p w:rsidR="00051BDB" w:rsidRDefault="00051BDB" w:rsidP="00051BDB">
      <w:pPr>
        <w:pStyle w:val="AERbulletlistfirststyle"/>
      </w:pPr>
      <w:r>
        <w:lastRenderedPageBreak/>
        <w:t>vegetation management does not take into account for factors such as vegetation type, tree density, rainfall, council and environment group pressures and differences in responsibility for veg management between jurisdictions;</w:t>
      </w:r>
    </w:p>
    <w:p w:rsidR="00051BDB" w:rsidRPr="004D2B38" w:rsidRDefault="00051BDB" w:rsidP="00051BDB">
      <w:pPr>
        <w:pStyle w:val="AERbulletlistfirststyle"/>
      </w:pPr>
      <w:r>
        <w:t>we have conceded inaccuracies in route line length</w:t>
      </w:r>
      <w:r w:rsidRPr="004D2B38">
        <w:t xml:space="preserve"> and calculated</w:t>
      </w:r>
      <w:r>
        <w:t xml:space="preserve"> our</w:t>
      </w:r>
      <w:r w:rsidRPr="004D2B38">
        <w:t xml:space="preserve"> own route line length instead</w:t>
      </w:r>
      <w:r>
        <w:t xml:space="preserve"> of using the route line length figures provided; and</w:t>
      </w:r>
    </w:p>
    <w:p w:rsidR="00051BDB" w:rsidRDefault="00051BDB" w:rsidP="00051BDB">
      <w:pPr>
        <w:pStyle w:val="AERbulletlistfirststyle"/>
      </w:pPr>
      <w:r>
        <w:t>we use average data for 2009 to 2013 which includes a time when the Victorians were significantly underspending on veg management.</w:t>
      </w:r>
    </w:p>
    <w:p w:rsidR="00051BDB" w:rsidRDefault="00051BDB" w:rsidP="00051BDB">
      <w:r w:rsidRPr="000A1674">
        <w:t>Ernst &amp; Young, in a report provided with Ergon Energy's submission,</w:t>
      </w:r>
      <w:r>
        <w:t xml:space="preserve"> also</w:t>
      </w:r>
      <w:r w:rsidRPr="000A1674">
        <w:t xml:space="preserve"> highlighted that the service providers have estimated route line length in alternative ways in the economic benchmarking RIN, which could call into question the comparability of the data.</w:t>
      </w:r>
      <w:r w:rsidRPr="00D0312A">
        <w:rPr>
          <w:rStyle w:val="FootnoteReference"/>
        </w:rPr>
        <w:t xml:space="preserve"> </w:t>
      </w:r>
      <w:r>
        <w:rPr>
          <w:rStyle w:val="FootnoteReference"/>
        </w:rPr>
        <w:footnoteReference w:id="524"/>
      </w:r>
    </w:p>
    <w:p w:rsidR="00051BDB" w:rsidRPr="006264EC" w:rsidRDefault="00051BDB" w:rsidP="00051BDB">
      <w:pPr>
        <w:rPr>
          <w:rStyle w:val="AERbody"/>
        </w:rPr>
      </w:pPr>
      <w:r w:rsidRPr="006264EC">
        <w:rPr>
          <w:rStyle w:val="AERbody"/>
        </w:rPr>
        <w:t xml:space="preserve">As we explain above category analysis is used to identify areas of concern for further review, not to prove inefficiency. We do not consider we need to account for all differences in the network environment (tree type, rainfall, terrain etc.) for vegetation management, </w:t>
      </w:r>
      <w:r>
        <w:rPr>
          <w:rStyle w:val="AERbody"/>
        </w:rPr>
        <w:t>because</w:t>
      </w:r>
      <w:r w:rsidRPr="006264EC">
        <w:rPr>
          <w:rStyle w:val="AERbody"/>
        </w:rPr>
        <w:t xml:space="preserve"> we are using category analysis as a diagnostic tool.</w:t>
      </w:r>
      <w:r>
        <w:rPr>
          <w:rStyle w:val="AERbody"/>
        </w:rPr>
        <w:t xml:space="preserve"> </w:t>
      </w:r>
      <w:r w:rsidRPr="006264EC">
        <w:rPr>
          <w:rStyle w:val="AERbody"/>
        </w:rPr>
        <w:t>However, we have further considered bushfire risk and differences in jurisdictional responsibilities as part of our assessment of operating environment factors (Section</w:t>
      </w:r>
      <w:r w:rsidR="00921300">
        <w:rPr>
          <w:rStyle w:val="AERbody"/>
        </w:rPr>
        <w:t xml:space="preserve"> </w:t>
      </w:r>
      <w:r w:rsidR="00921300">
        <w:rPr>
          <w:rStyle w:val="AERbody"/>
        </w:rPr>
        <w:fldChar w:fldCharType="begin"/>
      </w:r>
      <w:r w:rsidR="00921300">
        <w:rPr>
          <w:rStyle w:val="AERbody"/>
        </w:rPr>
        <w:instrText xml:space="preserve"> REF _Ref417551822 \r \h </w:instrText>
      </w:r>
      <w:r w:rsidR="00921300">
        <w:rPr>
          <w:rStyle w:val="AERbody"/>
        </w:rPr>
      </w:r>
      <w:r w:rsidR="00921300">
        <w:rPr>
          <w:rStyle w:val="AERbody"/>
        </w:rPr>
        <w:fldChar w:fldCharType="separate"/>
      </w:r>
      <w:r w:rsidR="00921300">
        <w:rPr>
          <w:rStyle w:val="AERbody"/>
        </w:rPr>
        <w:t>A.6</w:t>
      </w:r>
      <w:r w:rsidR="00921300">
        <w:rPr>
          <w:rStyle w:val="AERbody"/>
        </w:rPr>
        <w:fldChar w:fldCharType="end"/>
      </w:r>
      <w:r w:rsidRPr="006264EC">
        <w:rPr>
          <w:rStyle w:val="AERbody"/>
        </w:rPr>
        <w:t xml:space="preserve">). </w:t>
      </w:r>
    </w:p>
    <w:p w:rsidR="00051BDB" w:rsidRDefault="00051BDB" w:rsidP="00051BDB">
      <w:r>
        <w:t>We recognise there are issues with the measurement of line length in this metric, and we treat the results of that metric with caution. However, as we note above, we have used category analysis as a diagnostic tool to assist with identifying key areas for further review. While the vegetation management metric may not be perfect, we do not agree that it is so flawed it cannot be used for deciding whether to consider vegetation management expenditure and practices in further detail.</w:t>
      </w:r>
    </w:p>
    <w:p w:rsidR="00051BDB" w:rsidRDefault="00051BDB" w:rsidP="00051BDB">
      <w:r>
        <w:t>In addition, this metric was not the only tool we have used it identify areas of opex for further review. Our other vegetation management metric showed a significant increase in Essential Energy's total vegetation management expenditure over the 2008–09 to 2012–13 period. Combined with Essential Energy's regulatory proposal recognising inefficiencies existed in its vegetation management practices, we formed the view that detailed review was necessary.</w:t>
      </w:r>
    </w:p>
    <w:p w:rsidR="00051BDB" w:rsidRDefault="00051BDB" w:rsidP="00051BDB">
      <w:r w:rsidRPr="00830812">
        <w:t>We disagree that using an average expenditure over the 2009–13 is an issue in comparing vegetation management</w:t>
      </w:r>
      <w:r>
        <w:t xml:space="preserve"> opex, because w</w:t>
      </w:r>
      <w:r w:rsidRPr="002B4B79">
        <w:t xml:space="preserve">e do not consider the Victorian service providers significantly underspent on vegetation management prior to the Black Saturday bushfires. In our discussion of safety outcomes (Section </w:t>
      </w:r>
      <w:r>
        <w:rPr>
          <w:rStyle w:val="AERbody"/>
        </w:rPr>
        <w:fldChar w:fldCharType="begin"/>
      </w:r>
      <w:r>
        <w:rPr>
          <w:rStyle w:val="AERbody"/>
        </w:rPr>
        <w:instrText xml:space="preserve"> REF _Ref403635112 \n \h </w:instrText>
      </w:r>
      <w:r>
        <w:rPr>
          <w:rStyle w:val="AERbody"/>
        </w:rPr>
      </w:r>
      <w:r>
        <w:rPr>
          <w:rStyle w:val="AERbody"/>
        </w:rPr>
        <w:fldChar w:fldCharType="separate"/>
      </w:r>
      <w:r w:rsidR="00C74791">
        <w:rPr>
          <w:rStyle w:val="AERbody"/>
        </w:rPr>
        <w:t>A.6.6</w:t>
      </w:r>
      <w:r>
        <w:rPr>
          <w:rStyle w:val="AERbody"/>
        </w:rPr>
        <w:fldChar w:fldCharType="end"/>
      </w:r>
      <w:r w:rsidRPr="002B4B79">
        <w:t>), we note that prior to the b</w:t>
      </w:r>
      <w:r>
        <w:t>ushfires, Energy Safe Victoria</w:t>
      </w:r>
      <w:r w:rsidRPr="002B4B79">
        <w:t xml:space="preserve"> found AusNet Services and Powercor to be "generally compliant" with their regulatory obligations.</w:t>
      </w:r>
      <w:r>
        <w:rPr>
          <w:rStyle w:val="FootnoteReference"/>
        </w:rPr>
        <w:footnoteReference w:id="525"/>
      </w:r>
      <w:r w:rsidRPr="002B4B79">
        <w:t xml:space="preserve"> We consider that the increase in the Victorian service providers' vegetation management opex is a consequence of complying with stricter requirements under the Victorian Electric Line Clearance obligations (</w:t>
      </w:r>
      <w:r>
        <w:t>s</w:t>
      </w:r>
      <w:r w:rsidRPr="002B4B79">
        <w:t xml:space="preserve">ee Section </w:t>
      </w:r>
      <w:r>
        <w:fldChar w:fldCharType="begin"/>
      </w:r>
      <w:r>
        <w:instrText xml:space="preserve"> REF _Ref403635112 \n \h </w:instrText>
      </w:r>
      <w:r>
        <w:fldChar w:fldCharType="separate"/>
      </w:r>
      <w:r w:rsidR="00C74791">
        <w:t>A.6.6</w:t>
      </w:r>
      <w:r>
        <w:fldChar w:fldCharType="end"/>
      </w:r>
      <w:r w:rsidRPr="002B4B79">
        <w:t>).</w:t>
      </w:r>
    </w:p>
    <w:p w:rsidR="00051BDB" w:rsidRPr="00051BDB" w:rsidRDefault="00051BDB" w:rsidP="00051BDB">
      <w:pPr>
        <w:pStyle w:val="HeadingBoldItalic"/>
        <w:rPr>
          <w:rStyle w:val="Strong"/>
        </w:rPr>
      </w:pPr>
      <w:r w:rsidRPr="00051BDB">
        <w:rPr>
          <w:rStyle w:val="Strong"/>
        </w:rPr>
        <w:lastRenderedPageBreak/>
        <w:t>Emergency response</w:t>
      </w:r>
    </w:p>
    <w:p w:rsidR="00051BDB" w:rsidRDefault="00051BDB" w:rsidP="00051BDB">
      <w:r>
        <w:t>Essential Energy considered that there were issues with our analysis of its emergency response opex. Essential Energy submitted that:</w:t>
      </w:r>
      <w:r>
        <w:rPr>
          <w:rStyle w:val="FootnoteReference"/>
        </w:rPr>
        <w:footnoteReference w:id="526"/>
      </w:r>
    </w:p>
    <w:p w:rsidR="00051BDB" w:rsidRDefault="00051BDB" w:rsidP="00051BDB">
      <w:pPr>
        <w:pStyle w:val="AERbulletlistfirststyle"/>
      </w:pPr>
      <w:r w:rsidRPr="00CF0443">
        <w:t>the duration of an interruption should not be disregarded</w:t>
      </w:r>
      <w:r>
        <w:t xml:space="preserve"> because</w:t>
      </w:r>
      <w:r w:rsidRPr="00CF0443">
        <w:t xml:space="preserve"> it is a good indication as to the effort required to access and rectify the outage</w:t>
      </w:r>
      <w:r>
        <w:t>; and</w:t>
      </w:r>
    </w:p>
    <w:p w:rsidR="00051BDB" w:rsidRDefault="00051BDB" w:rsidP="00051BDB">
      <w:pPr>
        <w:pStyle w:val="AERbulletlistfirststyle"/>
      </w:pPr>
      <w:r>
        <w:t>we had incorrectly measured emergency response per customer interruption rather than supply interruption, and had included major event days.</w:t>
      </w:r>
    </w:p>
    <w:p w:rsidR="00051BDB" w:rsidRPr="005C3F2D" w:rsidRDefault="00051BDB" w:rsidP="00051BDB">
      <w:r w:rsidRPr="005C3F2D">
        <w:t xml:space="preserve">Essential Energy then present </w:t>
      </w:r>
      <w:r>
        <w:t>a</w:t>
      </w:r>
      <w:r w:rsidRPr="005C3F2D">
        <w:t xml:space="preserve"> metric of expenditure per supply interruption, which indicates that they perform comparably to other rural service providers.</w:t>
      </w:r>
      <w:r>
        <w:rPr>
          <w:rStyle w:val="FootnoteReference"/>
        </w:rPr>
        <w:footnoteReference w:id="527"/>
      </w:r>
    </w:p>
    <w:p w:rsidR="00051BDB" w:rsidRPr="005C3F2D" w:rsidRDefault="00051BDB" w:rsidP="00051BDB">
      <w:r w:rsidRPr="005C3F2D">
        <w:t>We recognise there may be issues with this metric</w:t>
      </w:r>
      <w:r>
        <w:t>. H</w:t>
      </w:r>
      <w:r w:rsidRPr="005C3F2D">
        <w:t xml:space="preserve">owever we consider that regardless of the emergency response metric shown, </w:t>
      </w:r>
      <w:r>
        <w:t>none of the NSW service providers</w:t>
      </w:r>
      <w:r w:rsidRPr="005C3F2D">
        <w:t xml:space="preserve"> performed significantly poorly on emergency response opex to warrant a detailed review</w:t>
      </w:r>
      <w:r>
        <w:t xml:space="preserve"> of this expenditure category</w:t>
      </w:r>
      <w:r w:rsidRPr="005C3F2D">
        <w:t xml:space="preserve">. </w:t>
      </w:r>
    </w:p>
    <w:p w:rsidR="00051BDB" w:rsidRDefault="00051BDB" w:rsidP="00051BDB">
      <w:pPr>
        <w:pStyle w:val="HeadingBoldBlue"/>
      </w:pPr>
      <w:r w:rsidRPr="00CA1712">
        <w:t xml:space="preserve">Findings from </w:t>
      </w:r>
      <w:r>
        <w:t>NSW service provider's</w:t>
      </w:r>
      <w:r w:rsidRPr="00CA1712">
        <w:t xml:space="preserve"> regulatory proposal</w:t>
      </w:r>
      <w:r>
        <w:t>s</w:t>
      </w:r>
    </w:p>
    <w:p w:rsidR="00051BDB" w:rsidRDefault="00051BDB" w:rsidP="00051BDB">
      <w:r>
        <w:t>In our draft decision, we found evidence from the NSW service providers' regulatory proposals and submissions that indicated their historical opex are inefficient. We have considered the submissions of the service providers in their revised proposals and maintain that the material sourced is evidence of a gap in performance to the frontier service providers, as indicated by our economic benchmarking.</w:t>
      </w:r>
    </w:p>
    <w:p w:rsidR="00051BDB" w:rsidRDefault="00051BDB" w:rsidP="00051BDB">
      <w:r w:rsidRPr="00450B21">
        <w:t>The NSW service providers considered</w:t>
      </w:r>
      <w:r>
        <w:t xml:space="preserve"> </w:t>
      </w:r>
      <w:r w:rsidRPr="00450B21">
        <w:t>that we had misrepresented material from their regulatory proposals. The NSW service providers submit</w:t>
      </w:r>
      <w:r>
        <w:t>ted:</w:t>
      </w:r>
      <w:r>
        <w:rPr>
          <w:rStyle w:val="FootnoteReference"/>
        </w:rPr>
        <w:footnoteReference w:id="528"/>
      </w:r>
    </w:p>
    <w:p w:rsidR="00051BDB" w:rsidRPr="003E058F" w:rsidRDefault="00051BDB" w:rsidP="00051BDB">
      <w:pPr>
        <w:pStyle w:val="AERbulletlistfirststyle"/>
      </w:pPr>
      <w:r>
        <w:t>recognising a need for a downward revision is not an admission that past expenditure is inefficient and their</w:t>
      </w:r>
      <w:r w:rsidRPr="003E058F">
        <w:t xml:space="preserve"> forecast</w:t>
      </w:r>
      <w:r>
        <w:t>s were</w:t>
      </w:r>
      <w:r w:rsidRPr="003E058F">
        <w:t xml:space="preserve"> prepared in light of changing circumstances</w:t>
      </w:r>
    </w:p>
    <w:p w:rsidR="00051BDB" w:rsidRPr="003E058F" w:rsidRDefault="00051BDB" w:rsidP="00051BDB">
      <w:pPr>
        <w:pStyle w:val="AERbulletlistfirststyle"/>
      </w:pPr>
      <w:r>
        <w:t>stranded costs are not evidence of inefficiency and</w:t>
      </w:r>
    </w:p>
    <w:p w:rsidR="00051BDB" w:rsidRPr="003E058F" w:rsidRDefault="00051BDB" w:rsidP="00051BDB">
      <w:pPr>
        <w:pStyle w:val="AERbulletlistfirststyle"/>
      </w:pPr>
      <w:r>
        <w:t>enterprise agreements with their employees are legal obligations that cannot be rescinded.</w:t>
      </w:r>
    </w:p>
    <w:p w:rsidR="00051BDB" w:rsidRPr="00051BDB" w:rsidRDefault="00051BDB" w:rsidP="00051BDB">
      <w:pPr>
        <w:pStyle w:val="HeadingBoldItalic"/>
        <w:rPr>
          <w:rStyle w:val="Strong"/>
        </w:rPr>
      </w:pPr>
      <w:r w:rsidRPr="00AB5753">
        <w:t>D</w:t>
      </w:r>
      <w:r w:rsidRPr="00051BDB">
        <w:rPr>
          <w:rStyle w:val="Strong"/>
        </w:rPr>
        <w:t>ownward revisions as admission of past inefficiency</w:t>
      </w:r>
    </w:p>
    <w:p w:rsidR="00051BDB" w:rsidRDefault="00051BDB" w:rsidP="00051BDB">
      <w:r w:rsidRPr="00D81DEA">
        <w:t>Ausgrid</w:t>
      </w:r>
      <w:r>
        <w:t xml:space="preserve"> disagreed with our view that there is evidence of inefficiency from its regulatory proposal and submissions. Specifically, we noted that the NSW service providers have </w:t>
      </w:r>
      <w:r>
        <w:lastRenderedPageBreak/>
        <w:t>stated they have stranded labour problems due to reductions in capex, which we considered was evidence of inefficiency in their historical opex.</w:t>
      </w:r>
      <w:r>
        <w:rPr>
          <w:rStyle w:val="FootnoteReference"/>
        </w:rPr>
        <w:footnoteReference w:id="529"/>
      </w:r>
      <w:r>
        <w:t xml:space="preserve"> </w:t>
      </w:r>
    </w:p>
    <w:p w:rsidR="00051BDB" w:rsidRDefault="00051BDB" w:rsidP="00051BDB">
      <w:r>
        <w:t>Ausgrid considered that our view was a misrepresentation of its regulatory proposal, because one cannot forecast required expenditure without considering the anticipated operating environment and changing circumstances.</w:t>
      </w:r>
      <w:r>
        <w:rPr>
          <w:rStyle w:val="FootnoteReference"/>
        </w:rPr>
        <w:footnoteReference w:id="530"/>
      </w:r>
      <w:r>
        <w:t xml:space="preserve"> Ausgrid submitted that for the 2009–14 period, the AER approved a significant capital investment program, and resources allocated to that program are no longer required.</w:t>
      </w:r>
      <w:r>
        <w:rPr>
          <w:rStyle w:val="FootnoteReference"/>
        </w:rPr>
        <w:footnoteReference w:id="531"/>
      </w:r>
      <w:r>
        <w:t xml:space="preserve"> </w:t>
      </w:r>
    </w:p>
    <w:p w:rsidR="00051BDB" w:rsidRDefault="00051BDB" w:rsidP="00051BDB">
      <w:r>
        <w:t>Ausgrid submitted:</w:t>
      </w:r>
      <w:r>
        <w:rPr>
          <w:rStyle w:val="FootnoteReference"/>
        </w:rPr>
        <w:footnoteReference w:id="532"/>
      </w:r>
    </w:p>
    <w:p w:rsidR="00051BDB" w:rsidRDefault="00051BDB" w:rsidP="00051BDB">
      <w:pPr>
        <w:pStyle w:val="AERquote"/>
      </w:pPr>
      <w:r w:rsidRPr="00BD1D7D">
        <w:t>Our regulatory proposal appropriately recognises a need to have a lower opex requirement for the forthcoming regulatory period</w:t>
      </w:r>
      <w:r>
        <w:t xml:space="preserve"> </w:t>
      </w:r>
      <w:r w:rsidRPr="00BD1D7D">
        <w:t>reflective of the underlying drivers and circumstances of the forthcoming regulatory period. These drivers are the catalyst for the</w:t>
      </w:r>
      <w:r>
        <w:t xml:space="preserve"> </w:t>
      </w:r>
      <w:r w:rsidRPr="00BD1D7D">
        <w:t>need to have a lower efficient cost base, as compared to the previous period, which is only appropriate. Recognition of a need to</w:t>
      </w:r>
      <w:r>
        <w:t xml:space="preserve"> </w:t>
      </w:r>
      <w:r w:rsidRPr="00BD1D7D">
        <w:t>have a lower efficient opex is recognition of the changing circumstances, environment and drivers; n</w:t>
      </w:r>
      <w:r>
        <w:t xml:space="preserve">ot a recognition that the prior </w:t>
      </w:r>
      <w:r w:rsidRPr="00BD1D7D">
        <w:t>period expenditure is inefficient.</w:t>
      </w:r>
    </w:p>
    <w:p w:rsidR="00051BDB" w:rsidRDefault="00051BDB" w:rsidP="00051BDB">
      <w:r>
        <w:t xml:space="preserve">In addition, Ausgrid considered it demonstrated that </w:t>
      </w:r>
      <w:r w:rsidRPr="008E19F0">
        <w:t xml:space="preserve">base year opex is efficient having regard to the efficient opex </w:t>
      </w:r>
      <w:r>
        <w:t>forecast</w:t>
      </w:r>
      <w:r w:rsidRPr="008E19F0">
        <w:t xml:space="preserve"> approved by </w:t>
      </w:r>
      <w:r>
        <w:t>us for the 2009–</w:t>
      </w:r>
      <w:r w:rsidRPr="008E19F0">
        <w:t>14 period</w:t>
      </w:r>
      <w:r>
        <w:t>;</w:t>
      </w:r>
      <w:r w:rsidRPr="008E19F0">
        <w:t xml:space="preserve"> and</w:t>
      </w:r>
      <w:r>
        <w:t xml:space="preserve"> having regard</w:t>
      </w:r>
      <w:r w:rsidRPr="008E19F0">
        <w:t xml:space="preserve"> the</w:t>
      </w:r>
      <w:r>
        <w:t xml:space="preserve"> </w:t>
      </w:r>
      <w:r w:rsidRPr="008E19F0">
        <w:t xml:space="preserve">incentive scheme </w:t>
      </w:r>
      <w:r>
        <w:t>to incentivise it to improve its</w:t>
      </w:r>
      <w:r w:rsidRPr="008E19F0">
        <w:t xml:space="preserve"> efficiency</w:t>
      </w:r>
      <w:r>
        <w:t>.</w:t>
      </w:r>
      <w:r>
        <w:rPr>
          <w:rStyle w:val="FootnoteReference"/>
        </w:rPr>
        <w:footnoteReference w:id="533"/>
      </w:r>
      <w:r>
        <w:t xml:space="preserve"> </w:t>
      </w:r>
    </w:p>
    <w:p w:rsidR="00051BDB" w:rsidRPr="00327143" w:rsidRDefault="00051BDB" w:rsidP="00051BDB">
      <w:r>
        <w:t>We disagree with this view</w:t>
      </w:r>
      <w:r w:rsidRPr="00327143">
        <w:t xml:space="preserve">. </w:t>
      </w:r>
      <w:r>
        <w:t>W</w:t>
      </w:r>
      <w:r w:rsidRPr="00327143">
        <w:t xml:space="preserve">e do not assume that a service providers' revealed opex is efficient because it underspent its allowance. The NER provides the service providers with an incentive framework in addition to an opex </w:t>
      </w:r>
      <w:r>
        <w:t>forecast</w:t>
      </w:r>
      <w:r w:rsidRPr="00327143">
        <w:t xml:space="preserve">. The Efficiency Benefits Sharing Scheme (EBSS) allows service providers to retain some of the efficiency gains realised beyond the revealed costs from the previous regulatory period. Therefore, the regulatory regime encourages the service providers to continuously improve their efficiency. </w:t>
      </w:r>
    </w:p>
    <w:p w:rsidR="00051BDB" w:rsidRDefault="00051BDB" w:rsidP="00051BDB">
      <w:r w:rsidRPr="00327143">
        <w:t xml:space="preserve">We said in </w:t>
      </w:r>
      <w:r>
        <w:t>the Guideline</w:t>
      </w:r>
      <w:r w:rsidRPr="00327143">
        <w:t xml:space="preserve"> that we would assess the efficiency of base year expenditures, to determine if it is appropriate for us to rely on a service provider's revealed costs</w:t>
      </w:r>
      <w:r>
        <w:t xml:space="preserve"> for future forecasting</w:t>
      </w:r>
      <w:r w:rsidRPr="00327143">
        <w:t>.</w:t>
      </w:r>
      <w:r>
        <w:rPr>
          <w:rStyle w:val="FootnoteReference"/>
        </w:rPr>
        <w:footnoteReference w:id="534"/>
      </w:r>
      <w:r w:rsidRPr="00327143">
        <w:t xml:space="preserve"> </w:t>
      </w:r>
      <w:r w:rsidRPr="00721A09">
        <w:t>All of the evidence we now have before us indicates that Ausgr</w:t>
      </w:r>
      <w:r>
        <w:t>id’s actual expenditure in 2012–</w:t>
      </w:r>
      <w:r w:rsidRPr="00721A09">
        <w:t>13 is not an appropriate starting point for forecasting total opex requirements over 2014–19.</w:t>
      </w:r>
    </w:p>
    <w:p w:rsidR="00051BDB" w:rsidRDefault="00051BDB" w:rsidP="00051BDB">
      <w:r>
        <w:t>As we explain in section</w:t>
      </w:r>
      <w:r w:rsidR="00921300">
        <w:t xml:space="preserve"> </w:t>
      </w:r>
      <w:r w:rsidR="00921300">
        <w:fldChar w:fldCharType="begin"/>
      </w:r>
      <w:r w:rsidR="00921300">
        <w:instrText xml:space="preserve"> REF _Ref415580420 \r \h </w:instrText>
      </w:r>
      <w:r w:rsidR="00921300">
        <w:fldChar w:fldCharType="separate"/>
      </w:r>
      <w:r w:rsidR="00921300">
        <w:t>A.3</w:t>
      </w:r>
      <w:r w:rsidR="00921300">
        <w:fldChar w:fldCharType="end"/>
      </w:r>
      <w:r>
        <w:t>, w</w:t>
      </w:r>
      <w:r w:rsidRPr="008E19F0">
        <w:t xml:space="preserve">e consider the appropriateness of </w:t>
      </w:r>
      <w:r>
        <w:t>the service providers'</w:t>
      </w:r>
      <w:r w:rsidRPr="008E19F0">
        <w:t xml:space="preserve"> revealed expenditure in the base year, to determine the starting point for an estimate of efficient and prudent opex in the forecast period. Our decision is dependent on the assessment tools we have at our disposal at the time of the decision</w:t>
      </w:r>
      <w:r>
        <w:t xml:space="preserve"> and we take into </w:t>
      </w:r>
      <w:r>
        <w:lastRenderedPageBreak/>
        <w:t>account new information when new information becomes available</w:t>
      </w:r>
      <w:r w:rsidRPr="008E19F0">
        <w:t xml:space="preserve">. </w:t>
      </w:r>
      <w:r>
        <w:t>In 2009, on the basis of the evidence before us, and also having regard to the circumstances in which we made our decision, we determined what we considered to be an appropriate basis for forecasting total opex for the period 2009–14</w:t>
      </w:r>
      <w:r w:rsidRPr="008E19F0">
        <w:t xml:space="preserve">. </w:t>
      </w:r>
    </w:p>
    <w:p w:rsidR="00051BDB" w:rsidRDefault="00051BDB" w:rsidP="00051BDB">
      <w:r w:rsidRPr="008E19F0">
        <w:t xml:space="preserve">Since our </w:t>
      </w:r>
      <w:r>
        <w:t>2009–14</w:t>
      </w:r>
      <w:r w:rsidRPr="008E19F0">
        <w:t xml:space="preserve"> decision, </w:t>
      </w:r>
      <w:r>
        <w:rPr>
          <w:rStyle w:val="AERbody"/>
        </w:rPr>
        <w:t xml:space="preserve">we are now able to benchmark the service providers' opex using various benchmark modelling techniques.  We have also applied a range of other quantitative and qualitative techniques to test the validity and consistency of the results. </w:t>
      </w:r>
      <w:r>
        <w:t>All stakeholders should expect us to use new techniques and information when they become available.</w:t>
      </w:r>
      <w:r>
        <w:rPr>
          <w:rStyle w:val="FootnoteReference"/>
        </w:rPr>
        <w:footnoteReference w:id="535"/>
      </w:r>
      <w:r>
        <w:t xml:space="preserve"> </w:t>
      </w:r>
    </w:p>
    <w:p w:rsidR="00051BDB" w:rsidRDefault="00051BDB" w:rsidP="00051BDB">
      <w:r w:rsidRPr="008E19F0">
        <w:t>New information</w:t>
      </w:r>
      <w:r>
        <w:t xml:space="preserve"> from these techniques</w:t>
      </w:r>
      <w:r w:rsidRPr="008E19F0">
        <w:t xml:space="preserve"> suggests that </w:t>
      </w:r>
      <w:r>
        <w:t>Ausgrid's and Essential Energy's</w:t>
      </w:r>
      <w:r w:rsidRPr="008E19F0">
        <w:t xml:space="preserve"> revealed expenditure in the</w:t>
      </w:r>
      <w:r>
        <w:t>ir</w:t>
      </w:r>
      <w:r w:rsidRPr="008E19F0">
        <w:t xml:space="preserve"> </w:t>
      </w:r>
      <w:r>
        <w:t xml:space="preserve">proposed </w:t>
      </w:r>
      <w:r w:rsidRPr="008E19F0">
        <w:t>base year</w:t>
      </w:r>
      <w:r>
        <w:t>s is not an appropriate basis for forecasting opex over the 2014–19 period.</w:t>
      </w:r>
      <w:r>
        <w:rPr>
          <w:rStyle w:val="FootnoteReference"/>
        </w:rPr>
        <w:footnoteReference w:id="536"/>
      </w:r>
      <w:r>
        <w:t xml:space="preserve"> This view is supported by submissions.</w:t>
      </w:r>
      <w:r>
        <w:rPr>
          <w:rStyle w:val="FootnoteReference"/>
        </w:rPr>
        <w:footnoteReference w:id="537"/>
      </w:r>
      <w:r>
        <w:t xml:space="preserve"> For example, our benchmarking results indicate that Ausgrid spends considerably more on a standardised basis than most other businesses in the NEM to provide services required to achieve the opex objectives in a comparable manner. In assessing future forecasts we need to have regard to this new information.</w:t>
      </w:r>
    </w:p>
    <w:p w:rsidR="00051BDB" w:rsidRDefault="00051BDB" w:rsidP="00051BDB">
      <w:r>
        <w:t>However, we have not moved away from revealed costs. Rather, we have used new techniques to ensure that we are better able to make a decision that reasonably reflects the opex criteria. Our approach represents a refinement of our longstanding approach to assessing opex.</w:t>
      </w:r>
    </w:p>
    <w:p w:rsidR="00051BDB" w:rsidRPr="00051BDB" w:rsidRDefault="00051BDB" w:rsidP="00051BDB">
      <w:pPr>
        <w:pStyle w:val="HeadingBoldItalic"/>
        <w:rPr>
          <w:rStyle w:val="Strong"/>
        </w:rPr>
      </w:pPr>
      <w:r w:rsidRPr="00051BDB">
        <w:rPr>
          <w:rStyle w:val="Strong"/>
        </w:rPr>
        <w:t>Stranded costs as evidence of inefficiency</w:t>
      </w:r>
    </w:p>
    <w:p w:rsidR="00051BDB" w:rsidRDefault="00051BDB" w:rsidP="00051BDB">
      <w:r>
        <w:t>The NSW service providers disagreed with our view that stranded costs are clear evidence of inefficiencies.</w:t>
      </w:r>
      <w:r>
        <w:rPr>
          <w:rStyle w:val="FootnoteReference"/>
        </w:rPr>
        <w:footnoteReference w:id="538"/>
      </w:r>
      <w:r>
        <w:t xml:space="preserve"> Essential Energy considered that our statements were </w:t>
      </w:r>
      <w:r w:rsidRPr="0040417E">
        <w:t>factual error</w:t>
      </w:r>
      <w:r>
        <w:t xml:space="preserve">s, </w:t>
      </w:r>
      <w:r w:rsidRPr="0040417E">
        <w:t xml:space="preserve">relied on to conclude that </w:t>
      </w:r>
      <w:r>
        <w:t>its</w:t>
      </w:r>
      <w:r w:rsidRPr="0040417E">
        <w:t xml:space="preserve"> proposed operating expenditure contained material inefficiencies.</w:t>
      </w:r>
      <w:r>
        <w:rPr>
          <w:rStyle w:val="FootnoteReference"/>
        </w:rPr>
        <w:footnoteReference w:id="539"/>
      </w:r>
      <w:r w:rsidRPr="0040417E">
        <w:t xml:space="preserve"> </w:t>
      </w:r>
      <w:r>
        <w:t xml:space="preserve">Ausgrid considered its 'stranded costs' </w:t>
      </w:r>
      <w:r w:rsidRPr="00F47C06">
        <w:t xml:space="preserve">reflect a change in the </w:t>
      </w:r>
      <w:r w:rsidRPr="00F47C06">
        <w:lastRenderedPageBreak/>
        <w:t>amount of fixed divisional and corporate overheads allocated to operating</w:t>
      </w:r>
      <w:r>
        <w:t xml:space="preserve"> </w:t>
      </w:r>
      <w:r w:rsidRPr="00F47C06">
        <w:t>costs, as a necessary consequence of its reduced capex program.</w:t>
      </w:r>
      <w:r>
        <w:t xml:space="preserve"> Ausgrid also noted that its transitional </w:t>
      </w:r>
      <w:r w:rsidRPr="00445D8F">
        <w:t>regulatory proposal and the initial proposal did not include</w:t>
      </w:r>
      <w:r>
        <w:t xml:space="preserve"> expenditure</w:t>
      </w:r>
      <w:r w:rsidRPr="00445D8F">
        <w:t xml:space="preserve"> </w:t>
      </w:r>
      <w:r>
        <w:t xml:space="preserve">on </w:t>
      </w:r>
      <w:r w:rsidRPr="00445D8F">
        <w:t>stranded unproductive labour. These submissions only included the</w:t>
      </w:r>
      <w:r>
        <w:t xml:space="preserve"> </w:t>
      </w:r>
      <w:r w:rsidRPr="00445D8F">
        <w:t>costs of exiting excess resources.</w:t>
      </w:r>
      <w:r>
        <w:rPr>
          <w:rStyle w:val="FootnoteReference"/>
        </w:rPr>
        <w:footnoteReference w:id="540"/>
      </w:r>
      <w:r>
        <w:t xml:space="preserve"> Endeavour’s revised proposal suggested that its stranded resources primarily arose from the Blended Delivery Model, which is increasing capex outsourcing,</w:t>
      </w:r>
      <w:r>
        <w:rPr>
          <w:rStyle w:val="FootnoteReference"/>
        </w:rPr>
        <w:footnoteReference w:id="541"/>
      </w:r>
      <w:r>
        <w:t xml:space="preserve"> and stated that it does not have any stranded labour.</w:t>
      </w:r>
    </w:p>
    <w:p w:rsidR="00051BDB" w:rsidRDefault="00051BDB" w:rsidP="00051BDB">
      <w:r>
        <w:t xml:space="preserve">As we note in Section </w:t>
      </w:r>
      <w:r>
        <w:fldChar w:fldCharType="begin"/>
      </w:r>
      <w:r>
        <w:instrText xml:space="preserve"> REF _Ref416804235 \n \h </w:instrText>
      </w:r>
      <w:r>
        <w:fldChar w:fldCharType="separate"/>
      </w:r>
      <w:r w:rsidR="00C74791">
        <w:t>A.5.2</w:t>
      </w:r>
      <w:r>
        <w:fldChar w:fldCharType="end"/>
      </w:r>
      <w:r>
        <w:t>, Deloitte's view is that the service providers relied too much on hiring permanent staff for their large but temporary programs in the last regulatory period. It considered that Ausgrid's resourcing decisions were not efficient because the increase in its permanent workforce far outweighed the limited outsourcing it undertook.</w:t>
      </w:r>
      <w:r>
        <w:rPr>
          <w:rStyle w:val="FootnoteReference"/>
        </w:rPr>
        <w:footnoteReference w:id="542"/>
      </w:r>
      <w:r>
        <w:t xml:space="preserve"> Because of EBA restrictions, the service providers cannot remove excess staff, which means they are stranded.</w:t>
      </w:r>
    </w:p>
    <w:p w:rsidR="00051BDB" w:rsidRPr="006139E4" w:rsidRDefault="00051BDB" w:rsidP="00051BDB">
      <w:r>
        <w:t xml:space="preserve">We do not consider </w:t>
      </w:r>
      <w:r w:rsidRPr="00B550A4">
        <w:t xml:space="preserve">an objectively efficient and prudent service provider </w:t>
      </w:r>
      <w:r>
        <w:t>would be facing stranded labour in these circumstances because it would hire an appropriate mix of permanent and contractual staff, commensurate with its forecast work program and the relevant business risks.</w:t>
      </w:r>
    </w:p>
    <w:p w:rsidR="00051BDB" w:rsidRDefault="00051BDB" w:rsidP="00051BDB">
      <w:r>
        <w:t>Further, Deloitte observes that the NSW service providers' revised proposal views on stranded labour appear to contradict information provided during its 2014 review.</w:t>
      </w:r>
      <w:r>
        <w:rPr>
          <w:rStyle w:val="FootnoteReference"/>
        </w:rPr>
        <w:footnoteReference w:id="543"/>
      </w:r>
    </w:p>
    <w:p w:rsidR="00051BDB" w:rsidRPr="00051BDB" w:rsidRDefault="00051BDB" w:rsidP="00051BDB">
      <w:pPr>
        <w:pStyle w:val="HeadingBoldItalic"/>
        <w:rPr>
          <w:rStyle w:val="Strong"/>
        </w:rPr>
      </w:pPr>
      <w:r w:rsidRPr="00051BDB">
        <w:rPr>
          <w:rStyle w:val="Strong"/>
        </w:rPr>
        <w:t>Enterprise agreements are legal obligations but not regulatory obligations</w:t>
      </w:r>
    </w:p>
    <w:p w:rsidR="00051BDB" w:rsidRDefault="00051BDB" w:rsidP="00051BDB">
      <w:r>
        <w:t>The NSW service providers</w:t>
      </w:r>
      <w:r w:rsidRPr="00172259">
        <w:t xml:space="preserve"> </w:t>
      </w:r>
      <w:r>
        <w:t xml:space="preserve">submitted that certified enterprise agreements are a regulatory obligation on all employers. They considered we cannot conclude that </w:t>
      </w:r>
      <w:r w:rsidRPr="00FE4375">
        <w:t>obligations imposed by labour regulations and certified</w:t>
      </w:r>
      <w:r>
        <w:t xml:space="preserve"> </w:t>
      </w:r>
      <w:r w:rsidRPr="00FE4375">
        <w:t>enterprise agreements can be unilaterally and retrospectively rescinded by economic regulation</w:t>
      </w:r>
      <w:r>
        <w:t>,</w:t>
      </w:r>
      <w:r w:rsidRPr="00FE4375">
        <w:t xml:space="preserve"> nor does</w:t>
      </w:r>
      <w:r>
        <w:t xml:space="preserve"> the</w:t>
      </w:r>
      <w:r w:rsidRPr="00FE4375">
        <w:t xml:space="preserve"> NEL enable </w:t>
      </w:r>
      <w:r>
        <w:t>us</w:t>
      </w:r>
      <w:r w:rsidRPr="00FE4375">
        <w:t xml:space="preserve"> to do so.</w:t>
      </w:r>
      <w:r>
        <w:rPr>
          <w:rStyle w:val="FootnoteReference"/>
        </w:rPr>
        <w:footnoteReference w:id="544"/>
      </w:r>
      <w:r>
        <w:t xml:space="preserve"> We disagree with this view.</w:t>
      </w:r>
    </w:p>
    <w:p w:rsidR="00051BDB" w:rsidRDefault="00051BDB" w:rsidP="00051BDB">
      <w:r w:rsidRPr="00BE74D6">
        <w:t>As we discuss in Section</w:t>
      </w:r>
      <w:r w:rsidR="00921300">
        <w:t xml:space="preserve"> </w:t>
      </w:r>
      <w:r w:rsidR="00921300">
        <w:fldChar w:fldCharType="begin"/>
      </w:r>
      <w:r w:rsidR="00921300">
        <w:instrText xml:space="preserve"> REF _Ref415580420 \r \h </w:instrText>
      </w:r>
      <w:r w:rsidR="00921300">
        <w:fldChar w:fldCharType="separate"/>
      </w:r>
      <w:r w:rsidR="00921300">
        <w:t>A.3</w:t>
      </w:r>
      <w:r w:rsidR="00921300">
        <w:fldChar w:fldCharType="end"/>
      </w:r>
      <w:r w:rsidRPr="00BE74D6">
        <w:t xml:space="preserve">, we </w:t>
      </w:r>
      <w:r w:rsidRPr="00B72A4C">
        <w:t xml:space="preserve">agree that </w:t>
      </w:r>
      <w:r>
        <w:t>enterprise agreements</w:t>
      </w:r>
      <w:r w:rsidRPr="00B72A4C">
        <w:t xml:space="preserve"> place certain legal obligations on </w:t>
      </w:r>
      <w:r>
        <w:t>service providers</w:t>
      </w:r>
      <w:r w:rsidRPr="00B72A4C">
        <w:t xml:space="preserve">, which they must comply with. </w:t>
      </w:r>
      <w:r>
        <w:t>However</w:t>
      </w:r>
      <w:r w:rsidRPr="00B72A4C">
        <w:t>, our view is they do</w:t>
      </w:r>
      <w:r>
        <w:t xml:space="preserve"> </w:t>
      </w:r>
      <w:r w:rsidRPr="00B72A4C">
        <w:t>n</w:t>
      </w:r>
      <w:r>
        <w:t>o</w:t>
      </w:r>
      <w:r w:rsidRPr="00B72A4C">
        <w:t>t fall within the definition of 'regulatory obligation or requirement' under the NEL.</w:t>
      </w:r>
      <w:r>
        <w:rPr>
          <w:rStyle w:val="FootnoteReference"/>
        </w:rPr>
        <w:footnoteReference w:id="545"/>
      </w:r>
    </w:p>
    <w:p w:rsidR="00051BDB" w:rsidRDefault="00051BDB" w:rsidP="00051BDB">
      <w:r>
        <w:lastRenderedPageBreak/>
        <w:t xml:space="preserve">Further, the service providers' interpretation is contrary to the requirement in clause 6.5.6(a) for a proposal to include the </w:t>
      </w:r>
      <w:r w:rsidRPr="008918F8">
        <w:rPr>
          <w:rStyle w:val="AERtextitalic"/>
        </w:rPr>
        <w:t>total</w:t>
      </w:r>
      <w:r>
        <w:t xml:space="preserve"> forecast opex for a regulatory period. It is important to note that w</w:t>
      </w:r>
      <w:r w:rsidRPr="00B550A4">
        <w:t xml:space="preserve">hen we determine total forecast opex, we </w:t>
      </w:r>
      <w:r>
        <w:t xml:space="preserve">set </w:t>
      </w:r>
      <w:r w:rsidRPr="00B550A4">
        <w:t xml:space="preserve">a total forecast </w:t>
      </w:r>
      <w:r>
        <w:t>within an overall framework that is incentive based.  The assessment of the opex forecast must be seen in the context of the overall legislative framework established by the NER and NEL.</w:t>
      </w:r>
    </w:p>
    <w:p w:rsidR="00051BDB" w:rsidRDefault="00051BDB" w:rsidP="00051BDB">
      <w:r>
        <w:t xml:space="preserve">While contractual or other obligations which do not fall within the definition are not regulatory obligations or requirements so defined, a service provider can still direct the revenue it recovers from customers (or from other sources) to comply with those obligations. The costs of compliance with obligations that are not within the definition of 'regulatory obligation or requirement' are treated like the other costs a service provider incurs. </w:t>
      </w:r>
    </w:p>
    <w:p w:rsidR="00051BDB" w:rsidRPr="00051BDB" w:rsidRDefault="00051BDB" w:rsidP="00051BDB">
      <w:r>
        <w:t>In this context, we take the view that the opex criteria should be understood as applying an objective test—albeit a test that applies to a particular network and must therefore incorporate certain individual circumstances of that network. The intention behind the regulatory scheme is to set an objectively determined forecast for the operating costs of the network that should be funded by consumers.</w:t>
      </w:r>
      <w:r w:rsidRPr="00DD2927">
        <w:rPr>
          <w:rStyle w:val="FootnoteReference"/>
        </w:rPr>
        <w:footnoteReference w:id="546"/>
      </w:r>
      <w:r>
        <w:t xml:space="preserve">  If a service provider can better this forecast in its actual spending it is rewarded with the cost savings. If it overspends the forecast it bears the costs.</w:t>
      </w:r>
      <w:r w:rsidRPr="00B72A4C" w:rsidDel="008918F8">
        <w:t xml:space="preserve"> </w:t>
      </w:r>
      <w:bookmarkStart w:id="209" w:name="_Ref415580460"/>
      <w:r>
        <w:br w:type="page"/>
      </w:r>
    </w:p>
    <w:p w:rsidR="00051BDB" w:rsidRPr="00CD5D0F" w:rsidRDefault="00051BDB" w:rsidP="00051BDB">
      <w:pPr>
        <w:pStyle w:val="Heading8"/>
      </w:pPr>
      <w:bookmarkStart w:id="210" w:name="_Ref417551822"/>
      <w:bookmarkStart w:id="211" w:name="_Toc417719047"/>
      <w:bookmarkStart w:id="212" w:name="_Toc414268588"/>
      <w:bookmarkStart w:id="213" w:name="_Ref414519611"/>
      <w:bookmarkStart w:id="214" w:name="_Ref414873673"/>
      <w:bookmarkStart w:id="215" w:name="_Ref414887854"/>
      <w:bookmarkStart w:id="216" w:name="_Ref414953481"/>
      <w:bookmarkStart w:id="217" w:name="_Toc415230988"/>
      <w:bookmarkEnd w:id="191"/>
      <w:bookmarkEnd w:id="192"/>
      <w:bookmarkEnd w:id="193"/>
      <w:bookmarkEnd w:id="194"/>
      <w:bookmarkEnd w:id="195"/>
      <w:bookmarkEnd w:id="209"/>
      <w:r>
        <w:lastRenderedPageBreak/>
        <w:t>The net impact of operating environment factor adjustments</w:t>
      </w:r>
      <w:bookmarkEnd w:id="210"/>
      <w:bookmarkEnd w:id="211"/>
    </w:p>
    <w:p w:rsidR="00051BDB" w:rsidRDefault="00051BDB" w:rsidP="00051BDB">
      <w:bookmarkStart w:id="218" w:name="_Ref401563264"/>
      <w:r>
        <w:t>W</w:t>
      </w:r>
      <w:r w:rsidRPr="00DF56FA">
        <w:t>hen undertaking a benchmarking</w:t>
      </w:r>
      <w:r>
        <w:t xml:space="preserve"> </w:t>
      </w:r>
      <w:r w:rsidRPr="00DF56FA">
        <w:t xml:space="preserve">exercise, circumstances exogenous to a </w:t>
      </w:r>
      <w:r>
        <w:t>service provider</w:t>
      </w:r>
      <w:r w:rsidRPr="00DF56FA">
        <w:t xml:space="preserve"> should </w:t>
      </w:r>
      <w:r>
        <w:t>generally be taken into account</w:t>
      </w:r>
      <w:r w:rsidRPr="00DF56FA">
        <w:t>.</w:t>
      </w:r>
      <w:r>
        <w:t xml:space="preserve"> By taking into account exogenous circumstances, one</w:t>
      </w:r>
      <w:r w:rsidRPr="00B7151E">
        <w:t xml:space="preserve"> can determine </w:t>
      </w:r>
      <w:r>
        <w:t>the</w:t>
      </w:r>
      <w:r w:rsidRPr="00B7151E">
        <w:t xml:space="preserve"> extent </w:t>
      </w:r>
      <w:r>
        <w:t xml:space="preserve">to which </w:t>
      </w:r>
      <w:r w:rsidRPr="00B7151E">
        <w:t>cost differences are exogenous or due to inefficiency.</w:t>
      </w:r>
      <w:r w:rsidRPr="00B7151E">
        <w:rPr>
          <w:rStyle w:val="FootnoteReference"/>
        </w:rPr>
        <w:footnoteReference w:id="547"/>
      </w:r>
      <w:r>
        <w:t xml:space="preserve"> The purpose of our assessment of operating environment factors (OEFs) is to account for these exogenous circumstances.</w:t>
      </w:r>
    </w:p>
    <w:p w:rsidR="00051BDB" w:rsidRDefault="00051BDB" w:rsidP="00051BDB">
      <w:r>
        <w:t>In its Final Rule Determination on the Economic Regulation of Network Service Providers The AEMC stated:</w:t>
      </w:r>
    </w:p>
    <w:p w:rsidR="00051BDB" w:rsidRDefault="00051BDB" w:rsidP="00051BDB">
      <w:pPr>
        <w:pStyle w:val="AERquote"/>
      </w:pPr>
      <w:r w:rsidRPr="00BE3026">
        <w:t>The final rule gives the AER discretion as to how and when it undertakes</w:t>
      </w:r>
      <w:r>
        <w:t xml:space="preserve"> </w:t>
      </w:r>
      <w:r w:rsidRPr="00BE3026">
        <w:t>benchmarking in its decision-making. However, when undertaking a benchmarking</w:t>
      </w:r>
      <w:r>
        <w:t xml:space="preserve"> </w:t>
      </w:r>
      <w:r w:rsidRPr="00BE3026">
        <w:t>exercise, circumstances exogenous to a NSP should generally be taken into account, and endogenous circumstances should generally not be considered. In respect of each</w:t>
      </w:r>
      <w:r>
        <w:t xml:space="preserve"> </w:t>
      </w:r>
      <w:r w:rsidRPr="00BE3026">
        <w:t>NSP, the AER must exercise its judgement as to the circumstances which should or</w:t>
      </w:r>
      <w:r>
        <w:t xml:space="preserve"> </w:t>
      </w:r>
      <w:r w:rsidRPr="00BE3026">
        <w:t>should not be included.</w:t>
      </w:r>
      <w:r>
        <w:rPr>
          <w:rStyle w:val="FootnoteReference"/>
        </w:rPr>
        <w:footnoteReference w:id="548"/>
      </w:r>
    </w:p>
    <w:p w:rsidR="00051BDB" w:rsidRDefault="00051BDB" w:rsidP="00051BDB">
      <w:r>
        <w:t>The AEMC also noted that:</w:t>
      </w:r>
    </w:p>
    <w:p w:rsidR="00051BDB" w:rsidRDefault="00051BDB" w:rsidP="00051BDB">
      <w:pPr>
        <w:pStyle w:val="AERquote"/>
      </w:pPr>
      <w:r w:rsidRPr="00FA79EE">
        <w:t>The intention of a benchmarking assessment is not to normalise for every possible</w:t>
      </w:r>
      <w:r>
        <w:t xml:space="preserve"> </w:t>
      </w:r>
      <w:r w:rsidRPr="00FA79EE">
        <w:t>difference in networks. Rather, benchmarking provides a high level overview taking</w:t>
      </w:r>
      <w:r>
        <w:t xml:space="preserve"> </w:t>
      </w:r>
      <w:r w:rsidRPr="00FA79EE">
        <w:t>into account certain exogenous factors. It is then used as a comparative tool to inform</w:t>
      </w:r>
      <w:r>
        <w:t xml:space="preserve"> </w:t>
      </w:r>
      <w:r w:rsidRPr="00FA79EE">
        <w:t>assessments about the relative overall efficiency of proposed expenditure.</w:t>
      </w:r>
      <w:r w:rsidRPr="00FA79EE">
        <w:rPr>
          <w:rStyle w:val="FootnoteReference"/>
        </w:rPr>
        <w:t xml:space="preserve"> </w:t>
      </w:r>
      <w:r>
        <w:rPr>
          <w:rStyle w:val="FootnoteReference"/>
        </w:rPr>
        <w:footnoteReference w:id="549"/>
      </w:r>
    </w:p>
    <w:p w:rsidR="00051BDB" w:rsidRPr="00FA79EE" w:rsidRDefault="00051BDB" w:rsidP="00051BDB">
      <w:r w:rsidRPr="00AD54DE">
        <w:t>In the course of the current ACT, NSW, Queensland and SA regulatory determinations, we have considered more than 60 OEFs that we, service providers and other stakeholders have referred to. We considered each factor using our three OEF criteria of exogeneity, materiality</w:t>
      </w:r>
      <w:r>
        <w:t xml:space="preserve">, and duplication. </w:t>
      </w:r>
      <w:r w:rsidRPr="00AD54DE">
        <w:t>We do not provide an adjustment for non-exogenous or duplicative factors. For material, exogenous and non-duplicative factors, we make an adjustment to the level of that materiality. If such a factor is immaterial, we take a different approach that nonetheless recognises that such factors may have an impact on a service provider, albeit a small one.</w:t>
      </w:r>
    </w:p>
    <w:p w:rsidR="00051BDB" w:rsidRDefault="00051BDB" w:rsidP="00051BDB">
      <w:r>
        <w:t>In response to our draft decision, the NSW service providers submitted that we had not considered their circumstances.</w:t>
      </w:r>
      <w:r>
        <w:rPr>
          <w:rStyle w:val="FootnoteReference"/>
        </w:rPr>
        <w:footnoteReference w:id="550"/>
      </w:r>
      <w:r>
        <w:t xml:space="preserve"> </w:t>
      </w:r>
      <w:r>
        <w:rPr>
          <w:rStyle w:val="FootnoteReference"/>
        </w:rPr>
        <w:footnoteReference w:id="551"/>
      </w:r>
      <w:r>
        <w:t xml:space="preserve"> </w:t>
      </w:r>
      <w:r>
        <w:rPr>
          <w:rStyle w:val="FootnoteReference"/>
        </w:rPr>
        <w:footnoteReference w:id="552"/>
      </w:r>
      <w:r>
        <w:t>ActewAGL submitted that our assessment of its OEFs was unsubstantiated.</w:t>
      </w:r>
      <w:r>
        <w:rPr>
          <w:rStyle w:val="FootnoteReference"/>
        </w:rPr>
        <w:footnoteReference w:id="553"/>
      </w:r>
    </w:p>
    <w:p w:rsidR="00051BDB" w:rsidRDefault="00051BDB" w:rsidP="00051BDB">
      <w:r>
        <w:lastRenderedPageBreak/>
        <w:t>We have considered the OEFs raised by the ACT and NSW service providers, other service providers and other stakeholders.</w:t>
      </w:r>
    </w:p>
    <w:p w:rsidR="00051BDB" w:rsidRDefault="00051BDB" w:rsidP="00051BDB">
      <w:r>
        <w:t>We also consider that our approach to OEFs appropriately allows service providers to recoup at least efficient costs. In addition to adjusting for the material OEFs identified, we have provided an adjustment for the collective effect of immaterial OEFs that are exogenous and not accounted for elsewhere.</w:t>
      </w:r>
      <w:r w:rsidRPr="00215D2F">
        <w:t xml:space="preserve"> </w:t>
      </w:r>
      <w:r>
        <w:t>Service providers receive positive 0.5 per cent adjustments for OEFs identified as immaterial that may disadvantage them or where there the direction of the advantage is uncertain. In future reviews, as we collect more information on OEFs, we are likely to adopt a stricter approach to the consideration of OEFs.</w:t>
      </w:r>
    </w:p>
    <w:p w:rsidR="00051BDB" w:rsidRDefault="00051BDB" w:rsidP="00051BDB">
      <w:pPr>
        <w:pStyle w:val="Heading9"/>
      </w:pPr>
      <w:bookmarkStart w:id="219" w:name="_Toc417719048"/>
      <w:r>
        <w:t>Final decision</w:t>
      </w:r>
      <w:bookmarkEnd w:id="219"/>
    </w:p>
    <w:p w:rsidR="00051BDB" w:rsidRPr="003B5420" w:rsidRDefault="00051BDB" w:rsidP="00051BDB">
      <w:r>
        <w:t>We have provided an input margin of</w:t>
      </w:r>
      <w:r w:rsidRPr="009F21E8">
        <w:rPr>
          <w:rStyle w:val="AERbody"/>
        </w:rPr>
        <w:t xml:space="preserve"> </w:t>
      </w:r>
      <w:r>
        <w:rPr>
          <w:rStyle w:val="AERbody"/>
        </w:rPr>
        <w:t>11.7, 12.9, and 10.7 </w:t>
      </w:r>
      <w:r w:rsidRPr="009F21E8">
        <w:rPr>
          <w:rStyle w:val="AERbody"/>
        </w:rPr>
        <w:t xml:space="preserve">per cent </w:t>
      </w:r>
      <w:r>
        <w:rPr>
          <w:rStyle w:val="AERbody"/>
        </w:rPr>
        <w:t>to Ausgrid, Endeavour, and Essential, to account for</w:t>
      </w:r>
      <w:r w:rsidRPr="009F21E8">
        <w:t xml:space="preserve"> differences in </w:t>
      </w:r>
      <w:r>
        <w:t>operating environment factors</w:t>
      </w:r>
      <w:r w:rsidRPr="009F21E8">
        <w:t xml:space="preserve"> (</w:t>
      </w:r>
      <w:r>
        <w:t>OEFs</w:t>
      </w:r>
      <w:r w:rsidRPr="009F21E8">
        <w:t xml:space="preserve">), not accounted for in Economic Insights' </w:t>
      </w:r>
      <w:r>
        <w:t>SFA model</w:t>
      </w:r>
      <w:r w:rsidRPr="009F21E8">
        <w:t>.</w:t>
      </w:r>
      <w:r w:rsidRPr="009F21E8">
        <w:rPr>
          <w:rStyle w:val="FootnoteReference"/>
        </w:rPr>
        <w:footnoteReference w:id="554"/>
      </w:r>
      <w:r w:rsidRPr="009F21E8">
        <w:t xml:space="preserve"> </w:t>
      </w:r>
      <w:r w:rsidRPr="003B5420">
        <w:t>We have come to this conclusion after assessin</w:t>
      </w:r>
      <w:r>
        <w:rPr>
          <w:rStyle w:val="AERbody"/>
        </w:rPr>
        <w:t xml:space="preserve">g more than 60 </w:t>
      </w:r>
      <w:r w:rsidRPr="00760FF2">
        <w:rPr>
          <w:rStyle w:val="AERbody"/>
        </w:rPr>
        <w:t xml:space="preserve">different </w:t>
      </w:r>
      <w:r>
        <w:t>OEFs</w:t>
      </w:r>
      <w:r w:rsidRPr="003B5420">
        <w:t xml:space="preserve"> that we, service providers, and other stakeholders identified in the process of this rev</w:t>
      </w:r>
      <w:r>
        <w:t>iew and in response to our</w:t>
      </w:r>
      <w:r w:rsidRPr="003B5420">
        <w:t xml:space="preserve"> benchmarking report.</w:t>
      </w:r>
    </w:p>
    <w:p w:rsidR="00051BDB" w:rsidRDefault="00051BDB" w:rsidP="00051BDB">
      <w:r w:rsidRPr="00B7151E">
        <w:t xml:space="preserve">We identified </w:t>
      </w:r>
      <w:r>
        <w:t>four</w:t>
      </w:r>
      <w:r w:rsidRPr="00B7151E">
        <w:t xml:space="preserve"> </w:t>
      </w:r>
      <w:r>
        <w:t>OEFs</w:t>
      </w:r>
      <w:r w:rsidRPr="00B7151E">
        <w:t xml:space="preserve"> that </w:t>
      </w:r>
      <w:r>
        <w:t xml:space="preserve">we consider </w:t>
      </w:r>
      <w:r w:rsidRPr="00B7151E">
        <w:t xml:space="preserve">require </w:t>
      </w:r>
      <w:r>
        <w:t>OEF</w:t>
      </w:r>
      <w:r w:rsidRPr="00B7151E">
        <w:t xml:space="preserve"> adjustments. The first adjustment is to account for the effect of differences in subtransmission configurations on service providers' opex. The second accounts for differences in </w:t>
      </w:r>
      <w:r>
        <w:t>licence conditions</w:t>
      </w:r>
      <w:r w:rsidRPr="00B7151E">
        <w:t xml:space="preserve"> across jurisdictions on opex. The third</w:t>
      </w:r>
      <w:r>
        <w:t xml:space="preserve"> </w:t>
      </w:r>
      <w:r w:rsidRPr="00B7151E">
        <w:t xml:space="preserve">accounts for the impact of different </w:t>
      </w:r>
      <w:r>
        <w:t>occupational health and safety</w:t>
      </w:r>
      <w:r w:rsidRPr="00B7151E">
        <w:t xml:space="preserve"> regulations on service providers' opex.</w:t>
      </w:r>
      <w:r>
        <w:t xml:space="preserve"> The fourth relates to termite exposure. </w:t>
      </w:r>
    </w:p>
    <w:p w:rsidR="00051BDB" w:rsidRPr="00CD5D0F" w:rsidRDefault="00051BDB" w:rsidP="00051BDB">
      <w:r>
        <w:t>D</w:t>
      </w:r>
      <w:r w:rsidRPr="00B7151E">
        <w:t>uring the course of our investigation</w:t>
      </w:r>
      <w:r>
        <w:t>s</w:t>
      </w:r>
      <w:r w:rsidRPr="00B7151E">
        <w:t xml:space="preserve"> we </w:t>
      </w:r>
      <w:r>
        <w:t xml:space="preserve">also </w:t>
      </w:r>
      <w:r w:rsidRPr="00B7151E">
        <w:t xml:space="preserve">identified </w:t>
      </w:r>
      <w:r>
        <w:t>additional</w:t>
      </w:r>
      <w:r w:rsidRPr="00B7151E">
        <w:t xml:space="preserve"> </w:t>
      </w:r>
      <w:r>
        <w:t>OEFs</w:t>
      </w:r>
      <w:r w:rsidRPr="00B7151E">
        <w:t xml:space="preserve"> that </w:t>
      </w:r>
      <w:r>
        <w:t>did not meet our OEF adjustment criteria because they would not individually create material differences in opex</w:t>
      </w:r>
      <w:r w:rsidRPr="00B7151E">
        <w:t xml:space="preserve">. </w:t>
      </w:r>
    </w:p>
    <w:p w:rsidR="00051BDB" w:rsidRDefault="00051BDB" w:rsidP="00051BDB">
      <w:r w:rsidRPr="00B7151E">
        <w:t xml:space="preserve">Although individually the effects of these </w:t>
      </w:r>
      <w:r>
        <w:t>OEFs</w:t>
      </w:r>
      <w:r w:rsidRPr="00B7151E">
        <w:t xml:space="preserve"> on opex may not be material, their combined effect may be.</w:t>
      </w:r>
      <w:r>
        <w:t xml:space="preserve"> To allow for the collective effect that these OEFs may have, we have provided an allowance of 4.7 per cent, 6.7 per cent, and 5.4 per cent to Ausgrid, Endeavour, and Essential respectively. The method we used is discussed further in our approach section.</w:t>
      </w:r>
    </w:p>
    <w:p w:rsidR="00051BDB" w:rsidRDefault="00051BDB" w:rsidP="00051BDB">
      <w:r>
        <w:t>The table below summarises the adjustments. Details on the calculation of each adjustment can be found below in the detailed discussions for each OEF.</w:t>
      </w:r>
    </w:p>
    <w:p w:rsidR="00051BDB" w:rsidRPr="00B7151E" w:rsidRDefault="00110327" w:rsidP="00110327">
      <w:pPr>
        <w:pStyle w:val="Caption"/>
      </w:pPr>
      <w:r>
        <w:lastRenderedPageBreak/>
        <w:t xml:space="preserve">Table </w:t>
      </w:r>
      <w:fldSimple w:instr=" STYLEREF 7 \s ">
        <w:r w:rsidR="00CF2125">
          <w:rPr>
            <w:noProof/>
          </w:rPr>
          <w:t>A</w:t>
        </w:r>
      </w:fldSimple>
      <w:r w:rsidR="00CF2125">
        <w:t>.</w:t>
      </w:r>
      <w:fldSimple w:instr=" SEQ ATable \* ARABIC \s 7 ">
        <w:r w:rsidR="00CF2125">
          <w:rPr>
            <w:noProof/>
          </w:rPr>
          <w:t>6</w:t>
        </w:r>
      </w:fldSimple>
      <w:r w:rsidR="00051BDB">
        <w:tab/>
      </w:r>
      <w:r w:rsidR="00051BDB" w:rsidRPr="00B7151E">
        <w:t>Summary of</w:t>
      </w:r>
      <w:r w:rsidR="00051BDB">
        <w:t xml:space="preserve"> final decision on OEF</w:t>
      </w:r>
      <w:r w:rsidR="00051BDB" w:rsidRPr="00B7151E">
        <w:t xml:space="preserve"> adjustments</w:t>
      </w:r>
    </w:p>
    <w:tbl>
      <w:tblPr>
        <w:tblStyle w:val="AERtable-text1"/>
        <w:tblW w:w="5000" w:type="pct"/>
        <w:tblInd w:w="0" w:type="dxa"/>
        <w:tblLook w:val="04A0" w:firstRow="1" w:lastRow="0" w:firstColumn="1" w:lastColumn="0" w:noHBand="0" w:noVBand="1"/>
      </w:tblPr>
      <w:tblGrid>
        <w:gridCol w:w="1853"/>
        <w:gridCol w:w="972"/>
        <w:gridCol w:w="1250"/>
        <w:gridCol w:w="1095"/>
        <w:gridCol w:w="3523"/>
      </w:tblGrid>
      <w:tr w:rsidR="00051BDB" w:rsidTr="00C74791">
        <w:trPr>
          <w:cnfStyle w:val="100000000000" w:firstRow="1" w:lastRow="0" w:firstColumn="0" w:lastColumn="0" w:oddVBand="0" w:evenVBand="0" w:oddHBand="0" w:evenHBand="0" w:firstRowFirstColumn="0" w:firstRowLastColumn="0" w:lastRowFirstColumn="0" w:lastRowLastColumn="0"/>
        </w:trPr>
        <w:tc>
          <w:tcPr>
            <w:tcW w:w="1079" w:type="pct"/>
          </w:tcPr>
          <w:p w:rsidR="00051BDB" w:rsidRPr="00051BDB" w:rsidRDefault="00051BDB" w:rsidP="00051BDB">
            <w:pPr>
              <w:pStyle w:val="AERtabletextleft"/>
            </w:pPr>
            <w:r>
              <w:t>Factor</w:t>
            </w:r>
          </w:p>
        </w:tc>
        <w:tc>
          <w:tcPr>
            <w:tcW w:w="549" w:type="pct"/>
          </w:tcPr>
          <w:p w:rsidR="00051BDB" w:rsidRPr="00051BDB" w:rsidRDefault="00051BDB" w:rsidP="00051BDB">
            <w:pPr>
              <w:pStyle w:val="AERtabletextleft"/>
            </w:pPr>
            <w:r>
              <w:t>Ausgrid</w:t>
            </w:r>
          </w:p>
        </w:tc>
        <w:tc>
          <w:tcPr>
            <w:tcW w:w="706" w:type="pct"/>
          </w:tcPr>
          <w:p w:rsidR="00051BDB" w:rsidRPr="00051BDB" w:rsidRDefault="00051BDB" w:rsidP="00051BDB">
            <w:pPr>
              <w:pStyle w:val="AERtabletextleft"/>
            </w:pPr>
            <w:r>
              <w:t>Endeavour</w:t>
            </w:r>
          </w:p>
        </w:tc>
        <w:tc>
          <w:tcPr>
            <w:tcW w:w="627" w:type="pct"/>
          </w:tcPr>
          <w:p w:rsidR="00051BDB" w:rsidRPr="00051BDB" w:rsidRDefault="00051BDB" w:rsidP="00051BDB">
            <w:pPr>
              <w:pStyle w:val="AERtabletextleft"/>
            </w:pPr>
            <w:r>
              <w:t>Essential</w:t>
            </w:r>
          </w:p>
        </w:tc>
        <w:tc>
          <w:tcPr>
            <w:tcW w:w="2039" w:type="pct"/>
          </w:tcPr>
          <w:p w:rsidR="00051BDB" w:rsidRPr="00051BDB" w:rsidRDefault="00051BDB" w:rsidP="00051BDB">
            <w:pPr>
              <w:pStyle w:val="AERtabletextleft"/>
            </w:pPr>
            <w:r>
              <w:t>Reason</w:t>
            </w:r>
            <w:r w:rsidRPr="00051BDB">
              <w:t>s against OEF criteria</w:t>
            </w:r>
            <w:r w:rsidRPr="00051BDB">
              <w:rPr>
                <w:rStyle w:val="FootnoteReference"/>
              </w:rPr>
              <w:footnoteReference w:id="555"/>
            </w:r>
          </w:p>
        </w:tc>
      </w:tr>
      <w:tr w:rsidR="00051BDB" w:rsidTr="00C74791">
        <w:tc>
          <w:tcPr>
            <w:tcW w:w="1079" w:type="pct"/>
          </w:tcPr>
          <w:p w:rsidR="00051BDB" w:rsidRPr="00051BDB" w:rsidRDefault="00051BDB" w:rsidP="00051BDB">
            <w:pPr>
              <w:pStyle w:val="AERtabletextleft"/>
            </w:pPr>
            <w:r>
              <w:t>Subtransmission</w:t>
            </w:r>
          </w:p>
        </w:tc>
        <w:tc>
          <w:tcPr>
            <w:tcW w:w="549" w:type="pct"/>
          </w:tcPr>
          <w:p w:rsidR="00051BDB" w:rsidRPr="00051BDB" w:rsidRDefault="00051BDB" w:rsidP="00051BDB">
            <w:pPr>
              <w:pStyle w:val="AERtabletextright"/>
            </w:pPr>
            <w:r>
              <w:t>5.2</w:t>
            </w:r>
            <w:r w:rsidRPr="00051BDB">
              <w:t>%</w:t>
            </w:r>
          </w:p>
        </w:tc>
        <w:tc>
          <w:tcPr>
            <w:tcW w:w="706" w:type="pct"/>
          </w:tcPr>
          <w:p w:rsidR="00051BDB" w:rsidRPr="00051BDB" w:rsidRDefault="00051BDB" w:rsidP="00051BDB">
            <w:pPr>
              <w:pStyle w:val="AERtabletextright"/>
            </w:pPr>
            <w:r>
              <w:t>4.9</w:t>
            </w:r>
            <w:r w:rsidRPr="00051BDB">
              <w:t>%</w:t>
            </w:r>
          </w:p>
        </w:tc>
        <w:tc>
          <w:tcPr>
            <w:tcW w:w="627" w:type="pct"/>
          </w:tcPr>
          <w:p w:rsidR="00051BDB" w:rsidRPr="00051BDB" w:rsidRDefault="00051BDB" w:rsidP="00051BDB">
            <w:pPr>
              <w:pStyle w:val="AERtabletextright"/>
            </w:pPr>
            <w:r>
              <w:t>3.1</w:t>
            </w:r>
            <w:r w:rsidRPr="00051BDB">
              <w:t>%</w:t>
            </w:r>
          </w:p>
        </w:tc>
        <w:tc>
          <w:tcPr>
            <w:tcW w:w="2039" w:type="pct"/>
          </w:tcPr>
          <w:p w:rsidR="00051BDB" w:rsidRPr="00051BDB" w:rsidRDefault="00051BDB" w:rsidP="00051BDB">
            <w:pPr>
              <w:pStyle w:val="AERbulletlistfirststyle"/>
            </w:pPr>
            <w:r w:rsidRPr="00FE4E38">
              <w:t>The boundary between distribution an</w:t>
            </w:r>
            <w:r w:rsidRPr="00051BDB">
              <w:t>d transmission is not determined by service providers</w:t>
            </w:r>
          </w:p>
          <w:p w:rsidR="00051BDB" w:rsidRPr="00051BDB" w:rsidRDefault="00051BDB" w:rsidP="00051BDB">
            <w:pPr>
              <w:pStyle w:val="AERbulletlistfirststyle"/>
            </w:pPr>
            <w:r>
              <w:t xml:space="preserve">Data from </w:t>
            </w:r>
            <w:r w:rsidRPr="00051BDB">
              <w:t>Ausgrid's regulatory accounts suggest that subtransmission assets are up to twice as costly to operate as distribution assets.</w:t>
            </w:r>
          </w:p>
          <w:p w:rsidR="00051BDB" w:rsidRPr="00051BDB" w:rsidRDefault="00051BDB" w:rsidP="00051BDB">
            <w:pPr>
              <w:pStyle w:val="AERbulletlistfirststyle"/>
            </w:pPr>
            <w:r>
              <w:t>Economic Insight</w:t>
            </w:r>
            <w:r w:rsidRPr="00051BDB">
              <w:t xml:space="preserve">s' SFA model does not include a variable that accounts for subtransmission assets. </w:t>
            </w:r>
          </w:p>
        </w:tc>
      </w:tr>
      <w:tr w:rsidR="00051BDB" w:rsidTr="00C74791">
        <w:trPr>
          <w:cnfStyle w:val="000000010000" w:firstRow="0" w:lastRow="0" w:firstColumn="0" w:lastColumn="0" w:oddVBand="0" w:evenVBand="0" w:oddHBand="0" w:evenHBand="1" w:firstRowFirstColumn="0" w:firstRowLastColumn="0" w:lastRowFirstColumn="0" w:lastRowLastColumn="0"/>
        </w:trPr>
        <w:tc>
          <w:tcPr>
            <w:tcW w:w="1079" w:type="pct"/>
          </w:tcPr>
          <w:p w:rsidR="00051BDB" w:rsidRPr="00051BDB" w:rsidRDefault="00051BDB" w:rsidP="00051BDB">
            <w:pPr>
              <w:pStyle w:val="AERtabletextleft"/>
            </w:pPr>
            <w:r>
              <w:t>Licence conditions</w:t>
            </w:r>
          </w:p>
        </w:tc>
        <w:tc>
          <w:tcPr>
            <w:tcW w:w="549" w:type="pct"/>
          </w:tcPr>
          <w:p w:rsidR="00051BDB" w:rsidRPr="00051BDB" w:rsidRDefault="00051BDB" w:rsidP="00051BDB">
            <w:pPr>
              <w:pStyle w:val="AERtabletextright"/>
            </w:pPr>
            <w:r>
              <w:t>1.2</w:t>
            </w:r>
            <w:r w:rsidRPr="00051BDB">
              <w:t>%</w:t>
            </w:r>
          </w:p>
        </w:tc>
        <w:tc>
          <w:tcPr>
            <w:tcW w:w="706" w:type="pct"/>
          </w:tcPr>
          <w:p w:rsidR="00051BDB" w:rsidRPr="00051BDB" w:rsidRDefault="00051BDB" w:rsidP="00051BDB">
            <w:pPr>
              <w:pStyle w:val="AERtabletextright"/>
            </w:pPr>
            <w:r>
              <w:t>0.7</w:t>
            </w:r>
            <w:r w:rsidRPr="00051BDB">
              <w:t>%</w:t>
            </w:r>
          </w:p>
        </w:tc>
        <w:tc>
          <w:tcPr>
            <w:tcW w:w="627" w:type="pct"/>
          </w:tcPr>
          <w:p w:rsidR="00051BDB" w:rsidRPr="00051BDB" w:rsidRDefault="00051BDB" w:rsidP="00051BDB">
            <w:pPr>
              <w:pStyle w:val="AERtabletextright"/>
            </w:pPr>
            <w:r>
              <w:t>1.2</w:t>
            </w:r>
            <w:r w:rsidRPr="00051BDB">
              <w:t>%</w:t>
            </w:r>
          </w:p>
        </w:tc>
        <w:tc>
          <w:tcPr>
            <w:tcW w:w="2039" w:type="pct"/>
          </w:tcPr>
          <w:p w:rsidR="00051BDB" w:rsidRPr="00051BDB" w:rsidRDefault="00051BDB" w:rsidP="00051BDB">
            <w:pPr>
              <w:pStyle w:val="AERbulletlistfirststyle"/>
            </w:pPr>
            <w:r w:rsidRPr="00641437">
              <w:t>The network planning requirements in the NSW service providers</w:t>
            </w:r>
            <w:r w:rsidRPr="00051BDB">
              <w:t xml:space="preserve"> licence conditions are not determined by service providers.</w:t>
            </w:r>
          </w:p>
          <w:p w:rsidR="00051BDB" w:rsidRPr="00051BDB" w:rsidRDefault="00051BDB" w:rsidP="00051BDB">
            <w:pPr>
              <w:pStyle w:val="AERbulletlistfirststyle"/>
            </w:pPr>
            <w:r>
              <w:t>C</w:t>
            </w:r>
            <w:r w:rsidRPr="00051BDB">
              <w:t>ategory analysis and economic benchmarking RIN data suggest that the increased transformer capacity to meet the 2005 and 2007 change in licence conditions may lead to a material increase in maintenance expenditure.</w:t>
            </w:r>
          </w:p>
          <w:p w:rsidR="00051BDB" w:rsidRPr="00051BDB" w:rsidRDefault="00051BDB" w:rsidP="00051BDB">
            <w:pPr>
              <w:pStyle w:val="AERbulletlistfirststyle"/>
            </w:pPr>
            <w:r>
              <w:t>Economic Insights' SFA model does not include a variable that accounts for changes in licence conditions.</w:t>
            </w:r>
          </w:p>
        </w:tc>
      </w:tr>
      <w:tr w:rsidR="00051BDB" w:rsidTr="00C74791">
        <w:tc>
          <w:tcPr>
            <w:tcW w:w="1079" w:type="pct"/>
          </w:tcPr>
          <w:p w:rsidR="00051BDB" w:rsidRPr="00051BDB" w:rsidRDefault="00051BDB" w:rsidP="00051BDB">
            <w:pPr>
              <w:pStyle w:val="AERtabletextleft"/>
            </w:pPr>
            <w:r>
              <w:t>OH&amp;S regulations</w:t>
            </w:r>
          </w:p>
        </w:tc>
        <w:tc>
          <w:tcPr>
            <w:tcW w:w="549" w:type="pct"/>
          </w:tcPr>
          <w:p w:rsidR="00051BDB" w:rsidRPr="00051BDB" w:rsidRDefault="00051BDB" w:rsidP="00051BDB">
            <w:pPr>
              <w:pStyle w:val="AERtabletextright"/>
            </w:pPr>
            <w:r>
              <w:t>0.5%</w:t>
            </w:r>
          </w:p>
        </w:tc>
        <w:tc>
          <w:tcPr>
            <w:tcW w:w="706" w:type="pct"/>
          </w:tcPr>
          <w:p w:rsidR="00051BDB" w:rsidRPr="00051BDB" w:rsidRDefault="00051BDB" w:rsidP="00051BDB">
            <w:pPr>
              <w:pStyle w:val="AERtabletextright"/>
            </w:pPr>
            <w:r>
              <w:t>0.5%</w:t>
            </w:r>
          </w:p>
        </w:tc>
        <w:tc>
          <w:tcPr>
            <w:tcW w:w="627" w:type="pct"/>
          </w:tcPr>
          <w:p w:rsidR="00051BDB" w:rsidRPr="00051BDB" w:rsidRDefault="00051BDB" w:rsidP="00051BDB">
            <w:pPr>
              <w:pStyle w:val="AERtabletextright"/>
            </w:pPr>
            <w:r>
              <w:t>0.5%</w:t>
            </w:r>
          </w:p>
        </w:tc>
        <w:tc>
          <w:tcPr>
            <w:tcW w:w="2039" w:type="pct"/>
          </w:tcPr>
          <w:p w:rsidR="00051BDB" w:rsidRPr="00051BDB" w:rsidRDefault="00051BDB" w:rsidP="00051BDB">
            <w:pPr>
              <w:pStyle w:val="AERbulletlistfirststyle"/>
            </w:pPr>
            <w:r w:rsidRPr="00C60B7E">
              <w:t>OH&amp;S regulations are not set by service providers.</w:t>
            </w:r>
          </w:p>
          <w:p w:rsidR="00051BDB" w:rsidRPr="00051BDB" w:rsidRDefault="00051BDB" w:rsidP="00051BDB">
            <w:pPr>
              <w:pStyle w:val="AERbulletlistfirststyle"/>
            </w:pPr>
            <w:r>
              <w:t xml:space="preserve">Data from </w:t>
            </w:r>
            <w:r w:rsidRPr="00051BDB">
              <w:t>the ABS and a PwC report commissioned by the Victorian Government suggest that differences in OH&amp;S regulations may materially affect service provider's opex.</w:t>
            </w:r>
          </w:p>
          <w:p w:rsidR="00051BDB" w:rsidRPr="00051BDB" w:rsidRDefault="00051BDB" w:rsidP="00051BDB">
            <w:pPr>
              <w:pStyle w:val="AERbulletlistfirststyle"/>
            </w:pPr>
            <w:r>
              <w:t xml:space="preserve">Economic Insights' SFA model does not include a variable that accounts for differences in </w:t>
            </w:r>
            <w:r w:rsidRPr="00051BDB">
              <w:t>OH&amp;S legislation.</w:t>
            </w:r>
          </w:p>
        </w:tc>
      </w:tr>
      <w:tr w:rsidR="00051BDB" w:rsidTr="00C74791">
        <w:trPr>
          <w:cnfStyle w:val="000000010000" w:firstRow="0" w:lastRow="0" w:firstColumn="0" w:lastColumn="0" w:oddVBand="0" w:evenVBand="0" w:oddHBand="0" w:evenHBand="1" w:firstRowFirstColumn="0" w:firstRowLastColumn="0" w:lastRowFirstColumn="0" w:lastRowLastColumn="0"/>
        </w:trPr>
        <w:tc>
          <w:tcPr>
            <w:tcW w:w="1079" w:type="pct"/>
          </w:tcPr>
          <w:p w:rsidR="00051BDB" w:rsidRPr="00051BDB" w:rsidRDefault="00051BDB" w:rsidP="00051BDB">
            <w:pPr>
              <w:pStyle w:val="AERtabletextleft"/>
            </w:pPr>
            <w:r>
              <w:t>Termite Exposure</w:t>
            </w:r>
          </w:p>
        </w:tc>
        <w:tc>
          <w:tcPr>
            <w:tcW w:w="549" w:type="pct"/>
          </w:tcPr>
          <w:p w:rsidR="00051BDB" w:rsidRPr="00051BDB" w:rsidRDefault="00051BDB" w:rsidP="00051BDB">
            <w:pPr>
              <w:pStyle w:val="AERtabletextright"/>
            </w:pPr>
            <w:r>
              <w:t>0.0%</w:t>
            </w:r>
          </w:p>
        </w:tc>
        <w:tc>
          <w:tcPr>
            <w:tcW w:w="706" w:type="pct"/>
          </w:tcPr>
          <w:p w:rsidR="00051BDB" w:rsidRPr="00051BDB" w:rsidRDefault="00051BDB" w:rsidP="00051BDB">
            <w:pPr>
              <w:pStyle w:val="AERtabletextright"/>
            </w:pPr>
            <w:r>
              <w:t>0.2%</w:t>
            </w:r>
          </w:p>
        </w:tc>
        <w:tc>
          <w:tcPr>
            <w:tcW w:w="627" w:type="pct"/>
          </w:tcPr>
          <w:p w:rsidR="00051BDB" w:rsidRPr="00051BDB" w:rsidRDefault="00051BDB" w:rsidP="00051BDB">
            <w:pPr>
              <w:pStyle w:val="AERtabletextright"/>
            </w:pPr>
            <w:r>
              <w:t>0.6%</w:t>
            </w:r>
          </w:p>
        </w:tc>
        <w:tc>
          <w:tcPr>
            <w:tcW w:w="2039" w:type="pct"/>
          </w:tcPr>
          <w:p w:rsidR="00051BDB" w:rsidRPr="00051BDB" w:rsidRDefault="00051BDB" w:rsidP="00051BDB">
            <w:pPr>
              <w:pStyle w:val="AERbulletlistfirststyle"/>
            </w:pPr>
            <w:r w:rsidRPr="00C60B7E">
              <w:t>The prevalence of termites in a geographic area is beyond service providers' control.</w:t>
            </w:r>
          </w:p>
          <w:p w:rsidR="00051BDB" w:rsidRPr="00051BDB" w:rsidRDefault="00051BDB" w:rsidP="00051BDB">
            <w:pPr>
              <w:pStyle w:val="AERbulletlistfirststyle"/>
            </w:pPr>
            <w:r>
              <w:t xml:space="preserve">Data on Powercor's termite management costs and </w:t>
            </w:r>
            <w:r w:rsidRPr="00051BDB">
              <w:t>data from the CSIRO on the range of termites suggest that the Essential Energy may have a material cost disadvantage due to termite exposure.</w:t>
            </w:r>
          </w:p>
          <w:p w:rsidR="00051BDB" w:rsidRPr="00051BDB" w:rsidRDefault="00051BDB" w:rsidP="00051BDB">
            <w:pPr>
              <w:pStyle w:val="AERbulletlistfirststyle"/>
            </w:pPr>
            <w:r>
              <w:t>Economic Insights' SFA model does not include a variable that accounts for differences in termite exposure.</w:t>
            </w:r>
          </w:p>
        </w:tc>
      </w:tr>
      <w:tr w:rsidR="00051BDB" w:rsidTr="00C74791">
        <w:tc>
          <w:tcPr>
            <w:tcW w:w="1079" w:type="pct"/>
          </w:tcPr>
          <w:p w:rsidR="00051BDB" w:rsidRPr="00051BDB" w:rsidRDefault="00051BDB" w:rsidP="00051BDB">
            <w:pPr>
              <w:pStyle w:val="AERtabletextleft"/>
            </w:pPr>
            <w:r>
              <w:lastRenderedPageBreak/>
              <w:t>Immaterial factors</w:t>
            </w:r>
          </w:p>
        </w:tc>
        <w:tc>
          <w:tcPr>
            <w:tcW w:w="549" w:type="pct"/>
          </w:tcPr>
          <w:p w:rsidR="00051BDB" w:rsidRPr="00051BDB" w:rsidRDefault="00051BDB" w:rsidP="00051BDB">
            <w:pPr>
              <w:pStyle w:val="AERtabletextright"/>
            </w:pPr>
            <w:r>
              <w:t>4.7</w:t>
            </w:r>
            <w:r w:rsidRPr="00051BDB">
              <w:t>%</w:t>
            </w:r>
          </w:p>
        </w:tc>
        <w:tc>
          <w:tcPr>
            <w:tcW w:w="706" w:type="pct"/>
          </w:tcPr>
          <w:p w:rsidR="00051BDB" w:rsidRPr="00051BDB" w:rsidRDefault="00051BDB" w:rsidP="00051BDB">
            <w:pPr>
              <w:pStyle w:val="AERtabletextright"/>
            </w:pPr>
            <w:r>
              <w:t>6.7</w:t>
            </w:r>
            <w:r w:rsidRPr="00051BDB">
              <w:t>%</w:t>
            </w:r>
          </w:p>
        </w:tc>
        <w:tc>
          <w:tcPr>
            <w:tcW w:w="627" w:type="pct"/>
          </w:tcPr>
          <w:p w:rsidR="00051BDB" w:rsidRPr="00051BDB" w:rsidRDefault="00051BDB" w:rsidP="00051BDB">
            <w:pPr>
              <w:pStyle w:val="AERtabletextright"/>
            </w:pPr>
            <w:r>
              <w:t>5.4%</w:t>
            </w:r>
          </w:p>
        </w:tc>
        <w:tc>
          <w:tcPr>
            <w:tcW w:w="2039" w:type="pct"/>
          </w:tcPr>
          <w:p w:rsidR="00051BDB" w:rsidRPr="00051BDB" w:rsidRDefault="00051BDB" w:rsidP="00051BDB">
            <w:r>
              <w:t xml:space="preserve">There are various exogenous, individually immaterial factors not accounted for in Economic Insights' </w:t>
            </w:r>
            <w:r w:rsidRPr="00051BDB">
              <w:t>SFA model that may affect service providers' costs relative to the comparison firms. While individually these costs may not lead to material differences in opex, collectively they may.</w:t>
            </w:r>
          </w:p>
        </w:tc>
      </w:tr>
      <w:tr w:rsidR="00051BDB" w:rsidTr="00C74791">
        <w:trPr>
          <w:cnfStyle w:val="000000010000" w:firstRow="0" w:lastRow="0" w:firstColumn="0" w:lastColumn="0" w:oddVBand="0" w:evenVBand="0" w:oddHBand="0" w:evenHBand="1" w:firstRowFirstColumn="0" w:firstRowLastColumn="0" w:lastRowFirstColumn="0" w:lastRowLastColumn="0"/>
        </w:trPr>
        <w:tc>
          <w:tcPr>
            <w:tcW w:w="1079" w:type="pct"/>
          </w:tcPr>
          <w:p w:rsidR="00051BDB" w:rsidRPr="00051BDB" w:rsidRDefault="00051BDB" w:rsidP="00051BDB">
            <w:pPr>
              <w:pStyle w:val="AERtabletextleft"/>
            </w:pPr>
            <w:r>
              <w:t>Total</w:t>
            </w:r>
          </w:p>
        </w:tc>
        <w:tc>
          <w:tcPr>
            <w:tcW w:w="549" w:type="pct"/>
          </w:tcPr>
          <w:p w:rsidR="00051BDB" w:rsidRPr="00051BDB" w:rsidRDefault="00051BDB" w:rsidP="00051BDB">
            <w:pPr>
              <w:pStyle w:val="AERtabletextright"/>
            </w:pPr>
            <w:r>
              <w:t>11.7</w:t>
            </w:r>
            <w:r w:rsidRPr="00051BDB">
              <w:t>%</w:t>
            </w:r>
          </w:p>
        </w:tc>
        <w:tc>
          <w:tcPr>
            <w:tcW w:w="706" w:type="pct"/>
          </w:tcPr>
          <w:p w:rsidR="00051BDB" w:rsidRPr="00051BDB" w:rsidRDefault="00051BDB" w:rsidP="00051BDB">
            <w:pPr>
              <w:pStyle w:val="AERtabletextright"/>
            </w:pPr>
            <w:r>
              <w:t>12.9</w:t>
            </w:r>
            <w:r w:rsidRPr="00051BDB">
              <w:t>%</w:t>
            </w:r>
          </w:p>
        </w:tc>
        <w:tc>
          <w:tcPr>
            <w:tcW w:w="627" w:type="pct"/>
          </w:tcPr>
          <w:p w:rsidR="00051BDB" w:rsidRPr="00051BDB" w:rsidRDefault="00051BDB" w:rsidP="00051BDB">
            <w:pPr>
              <w:pStyle w:val="AERtabletextright"/>
            </w:pPr>
            <w:r>
              <w:t>10.7</w:t>
            </w:r>
            <w:r w:rsidRPr="00051BDB">
              <w:t>%</w:t>
            </w:r>
          </w:p>
        </w:tc>
        <w:tc>
          <w:tcPr>
            <w:tcW w:w="2039" w:type="pct"/>
          </w:tcPr>
          <w:p w:rsidR="00051BDB" w:rsidRPr="00FE4E38" w:rsidRDefault="00051BDB" w:rsidP="00051BDB"/>
        </w:tc>
      </w:tr>
    </w:tbl>
    <w:p w:rsidR="00051BDB" w:rsidRPr="00760FF2" w:rsidRDefault="00051BDB" w:rsidP="00051BDB">
      <w:pPr>
        <w:rPr>
          <w:rStyle w:val="AERtextsize8"/>
        </w:rPr>
      </w:pPr>
      <w:r w:rsidRPr="00760FF2">
        <w:rPr>
          <w:rStyle w:val="AERtextsize8"/>
        </w:rPr>
        <w:t xml:space="preserve">Source: </w:t>
      </w:r>
      <w:r>
        <w:rPr>
          <w:rStyle w:val="AERtextsize8"/>
        </w:rPr>
        <w:tab/>
      </w:r>
      <w:r w:rsidRPr="00760FF2">
        <w:rPr>
          <w:rStyle w:val="AERtextsize8"/>
        </w:rPr>
        <w:t>AER analysis</w:t>
      </w:r>
      <w:r>
        <w:rPr>
          <w:rStyle w:val="AERtextsize8"/>
        </w:rPr>
        <w:t>.</w:t>
      </w:r>
    </w:p>
    <w:p w:rsidR="00051BDB" w:rsidRDefault="00051BDB" w:rsidP="00051BDB">
      <w:r>
        <w:t>We have made several key changes since our draft decision. We have included material OEF adjustments for licence conditions and termite exposure, and removed the material OEF adjustment for bushfire risk. We have made these changes in response to points raised by the NSW service providers, and their consultants.</w:t>
      </w:r>
    </w:p>
    <w:p w:rsidR="00051BDB" w:rsidRPr="006F493E" w:rsidRDefault="00051BDB" w:rsidP="00051BDB">
      <w:pPr>
        <w:numPr>
          <w:ilvl w:val="0"/>
          <w:numId w:val="24"/>
        </w:numPr>
      </w:pPr>
      <w:r w:rsidRPr="005F05ED">
        <w:t xml:space="preserve">We have considered all of the submissions made to us on </w:t>
      </w:r>
      <w:r>
        <w:t>OEFs</w:t>
      </w:r>
      <w:r w:rsidRPr="005F05ED">
        <w:t xml:space="preserve">, but not all service providers have had the same opportunities to provide information on the </w:t>
      </w:r>
      <w:r>
        <w:t>OEFs</w:t>
      </w:r>
      <w:r w:rsidRPr="005F05ED">
        <w:t xml:space="preserve"> that affect their costs yet. </w:t>
      </w:r>
      <w:r>
        <w:t>We have sought information on some of the OEFs raised by the ACT, NSW and Queensland service providers from the Victorian service providers, but o</w:t>
      </w:r>
      <w:r w:rsidRPr="005F05ED">
        <w:t xml:space="preserve">ur review has focused on the </w:t>
      </w:r>
      <w:r>
        <w:t>OEFs</w:t>
      </w:r>
      <w:r w:rsidRPr="005F05ED">
        <w:t xml:space="preserve"> in the context of the current </w:t>
      </w:r>
      <w:r>
        <w:t>decisions</w:t>
      </w:r>
      <w:r w:rsidRPr="005F05ED">
        <w:t>.</w:t>
      </w:r>
      <w:r w:rsidRPr="00E67BB9">
        <w:t xml:space="preserve"> </w:t>
      </w:r>
      <w:r>
        <w:t>The Victorian service providers have not yet had the same opportunity to present us their cost disadvantages. In future reviews we expect that the Victorian service providers and other stakeholders will provide further information on the effect of OEFs. These submissions may reveal cost advantages that the NSW service providers have relative to the Victorian service providers. Cost advantages have the effect of decreasing the total adjustment made to a service provider's opex for OEFs. Therefore our current approach may favour the ACT, NSW, and Queensland service providers to the extent that not all of their cost advantages have been revealed.</w:t>
      </w:r>
    </w:p>
    <w:p w:rsidR="00051BDB" w:rsidRPr="00B7151E" w:rsidRDefault="00051BDB" w:rsidP="00051BDB">
      <w:pPr>
        <w:numPr>
          <w:ilvl w:val="0"/>
          <w:numId w:val="24"/>
        </w:numPr>
      </w:pPr>
      <w:r>
        <w:t>In line with</w:t>
      </w:r>
      <w:r w:rsidRPr="00B7151E">
        <w:t xml:space="preserve"> the AEMC,</w:t>
      </w:r>
      <w:r w:rsidRPr="00B7151E">
        <w:rPr>
          <w:rStyle w:val="FootnoteReference"/>
        </w:rPr>
        <w:footnoteReference w:id="556"/>
      </w:r>
      <w:r w:rsidRPr="00B7151E">
        <w:t xml:space="preserve"> we have separated the analysed factors into five groups which are considered separately below:</w:t>
      </w:r>
    </w:p>
    <w:p w:rsidR="00051BDB" w:rsidRPr="00CD5D0F" w:rsidRDefault="00051BDB" w:rsidP="00051BDB">
      <w:pPr>
        <w:pStyle w:val="AERbulletlistfirststyle"/>
      </w:pPr>
      <w:r w:rsidRPr="00B7151E">
        <w:t>Customer factors</w:t>
      </w:r>
    </w:p>
    <w:p w:rsidR="00051BDB" w:rsidRPr="00CD5D0F" w:rsidRDefault="00051BDB" w:rsidP="00051BDB">
      <w:pPr>
        <w:pStyle w:val="AERbulletlistfirststyle"/>
      </w:pPr>
      <w:r w:rsidRPr="00B7151E">
        <w:t>Endogenous factors</w:t>
      </w:r>
    </w:p>
    <w:p w:rsidR="00051BDB" w:rsidRPr="00CD5D0F" w:rsidRDefault="00051BDB" w:rsidP="00051BDB">
      <w:pPr>
        <w:pStyle w:val="AERbulletlistfirststyle"/>
      </w:pPr>
      <w:r w:rsidRPr="00B7151E">
        <w:t>Geographic factors</w:t>
      </w:r>
    </w:p>
    <w:p w:rsidR="00051BDB" w:rsidRPr="00CD5D0F" w:rsidRDefault="00051BDB" w:rsidP="00051BDB">
      <w:pPr>
        <w:pStyle w:val="AERbulletlistfirststyle"/>
      </w:pPr>
      <w:r w:rsidRPr="00B7151E">
        <w:t>Jurisdictional factors</w:t>
      </w:r>
    </w:p>
    <w:p w:rsidR="00051BDB" w:rsidRDefault="00051BDB" w:rsidP="00051BDB">
      <w:pPr>
        <w:pStyle w:val="AERbulletlistfirststyle"/>
      </w:pPr>
      <w:r w:rsidRPr="00B7151E">
        <w:t>Network factors</w:t>
      </w:r>
      <w:r w:rsidRPr="00CD5D0F">
        <w:t>.</w:t>
      </w:r>
    </w:p>
    <w:p w:rsidR="00051BDB" w:rsidRDefault="00051BDB" w:rsidP="00051BDB">
      <w:pPr>
        <w:pStyle w:val="Heading9"/>
      </w:pPr>
      <w:bookmarkStart w:id="220" w:name="_Toc417719049"/>
      <w:r>
        <w:t>Draft decision</w:t>
      </w:r>
      <w:bookmarkEnd w:id="220"/>
    </w:p>
    <w:p w:rsidR="00051BDB" w:rsidRDefault="00051BDB" w:rsidP="00051BDB">
      <w:r>
        <w:t xml:space="preserve">In our draft decision we provided adjustments for OEFs. </w:t>
      </w:r>
      <w:r w:rsidRPr="00B7151E">
        <w:t xml:space="preserve">We </w:t>
      </w:r>
      <w:r w:rsidRPr="00882E01">
        <w:t>identified</w:t>
      </w:r>
      <w:r w:rsidRPr="00B7151E">
        <w:t xml:space="preserve"> three</w:t>
      </w:r>
      <w:r>
        <w:t xml:space="preserve"> material</w:t>
      </w:r>
      <w:r w:rsidRPr="00B7151E">
        <w:t xml:space="preserve"> </w:t>
      </w:r>
      <w:r>
        <w:t>OEFs</w:t>
      </w:r>
      <w:r w:rsidRPr="00B7151E">
        <w:t xml:space="preserve"> that require</w:t>
      </w:r>
      <w:r>
        <w:t>d</w:t>
      </w:r>
      <w:r w:rsidRPr="00B7151E">
        <w:t xml:space="preserve"> </w:t>
      </w:r>
      <w:r>
        <w:t>OEF</w:t>
      </w:r>
      <w:r w:rsidRPr="00B7151E">
        <w:t xml:space="preserve"> adj</w:t>
      </w:r>
      <w:r>
        <w:t>ustments. The first adjustment wa</w:t>
      </w:r>
      <w:r w:rsidRPr="00B7151E">
        <w:t xml:space="preserve">s to account for the </w:t>
      </w:r>
      <w:r w:rsidRPr="00B7151E">
        <w:lastRenderedPageBreak/>
        <w:t>effect of differences in subtransmission configurations on service prov</w:t>
      </w:r>
      <w:r>
        <w:t>iders' opex. The second accounted</w:t>
      </w:r>
      <w:r w:rsidRPr="00B7151E">
        <w:t xml:space="preserve"> for the impact of different </w:t>
      </w:r>
      <w:r w:rsidRPr="00882E01">
        <w:t>occupational health and safety regulations on service pro</w:t>
      </w:r>
      <w:r>
        <w:t>viders' opex. The third accounted</w:t>
      </w:r>
      <w:r w:rsidRPr="00882E01">
        <w:t xml:space="preserve"> for differences in the cost of managing bushfire risk across jurisdictions on opex. </w:t>
      </w:r>
      <w:r>
        <w:t xml:space="preserve">We also took into account the collective impact of immaterial factors on opex. </w:t>
      </w:r>
    </w:p>
    <w:p w:rsidR="00051BDB" w:rsidRDefault="00051BDB" w:rsidP="00051BDB">
      <w:r w:rsidRPr="00882E01">
        <w:t>The table below summari</w:t>
      </w:r>
      <w:r>
        <w:t>ses</w:t>
      </w:r>
      <w:r w:rsidRPr="00882E01">
        <w:t xml:space="preserve"> </w:t>
      </w:r>
      <w:r>
        <w:t xml:space="preserve">our draft decision on OEF </w:t>
      </w:r>
      <w:r w:rsidRPr="00882E01">
        <w:t>adjustments.</w:t>
      </w:r>
    </w:p>
    <w:p w:rsidR="00051BDB" w:rsidRDefault="00110327" w:rsidP="00051BDB">
      <w:pPr>
        <w:pStyle w:val="Caption"/>
      </w:pPr>
      <w:r>
        <w:t xml:space="preserve">Table </w:t>
      </w:r>
      <w:fldSimple w:instr=" STYLEREF 7 \s ">
        <w:r w:rsidR="00CF2125">
          <w:rPr>
            <w:noProof/>
          </w:rPr>
          <w:t>A</w:t>
        </w:r>
      </w:fldSimple>
      <w:r w:rsidR="00CF2125">
        <w:t>.</w:t>
      </w:r>
      <w:fldSimple w:instr=" SEQ ATable \* ARABIC \s 7 ">
        <w:r w:rsidR="00CF2125">
          <w:rPr>
            <w:noProof/>
          </w:rPr>
          <w:t>7</w:t>
        </w:r>
      </w:fldSimple>
      <w:r w:rsidR="00051BDB">
        <w:tab/>
      </w:r>
      <w:r w:rsidR="00051BDB" w:rsidRPr="00B7151E">
        <w:t>Summary of</w:t>
      </w:r>
      <w:r w:rsidR="00051BDB">
        <w:t xml:space="preserve"> draft decision on</w:t>
      </w:r>
      <w:r w:rsidR="00051BDB" w:rsidRPr="00B7151E">
        <w:t xml:space="preserve"> </w:t>
      </w:r>
      <w:r w:rsidR="00051BDB">
        <w:t>OEF</w:t>
      </w:r>
      <w:r w:rsidR="00051BDB" w:rsidRPr="00B7151E">
        <w:t xml:space="preserve"> adjustments</w:t>
      </w:r>
    </w:p>
    <w:tbl>
      <w:tblPr>
        <w:tblStyle w:val="AERtable-numbers"/>
        <w:tblW w:w="8755" w:type="dxa"/>
        <w:tblLook w:val="04A0" w:firstRow="1" w:lastRow="0" w:firstColumn="1" w:lastColumn="0" w:noHBand="0" w:noVBand="1"/>
      </w:tblPr>
      <w:tblGrid>
        <w:gridCol w:w="2943"/>
        <w:gridCol w:w="1937"/>
        <w:gridCol w:w="1937"/>
        <w:gridCol w:w="1938"/>
      </w:tblGrid>
      <w:tr w:rsidR="00051BDB" w:rsidTr="00051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51BDB" w:rsidRPr="00051BDB" w:rsidRDefault="00051BDB" w:rsidP="00051BDB">
            <w:pPr>
              <w:pStyle w:val="AERtabletextleft"/>
            </w:pPr>
            <w:r>
              <w:t>Factor</w:t>
            </w:r>
          </w:p>
        </w:tc>
        <w:tc>
          <w:tcPr>
            <w:tcW w:w="1937" w:type="dxa"/>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t>Ausgrid</w:t>
            </w:r>
          </w:p>
        </w:tc>
        <w:tc>
          <w:tcPr>
            <w:tcW w:w="1937" w:type="dxa"/>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t>Endeavour</w:t>
            </w:r>
          </w:p>
        </w:tc>
        <w:tc>
          <w:tcPr>
            <w:tcW w:w="1938" w:type="dxa"/>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t>Essential</w:t>
            </w:r>
          </w:p>
        </w:tc>
      </w:tr>
      <w:tr w:rsidR="00051BDB" w:rsidTr="00051BDB">
        <w:tc>
          <w:tcPr>
            <w:cnfStyle w:val="001000000000" w:firstRow="0" w:lastRow="0" w:firstColumn="1" w:lastColumn="0" w:oddVBand="0" w:evenVBand="0" w:oddHBand="0" w:evenHBand="0" w:firstRowFirstColumn="0" w:firstRowLastColumn="0" w:lastRowFirstColumn="0" w:lastRowLastColumn="0"/>
            <w:tcW w:w="2943" w:type="dxa"/>
          </w:tcPr>
          <w:p w:rsidR="00051BDB" w:rsidRPr="00051BDB" w:rsidRDefault="00051BDB" w:rsidP="00051BDB">
            <w:pPr>
              <w:pStyle w:val="AERtabletextleft"/>
            </w:pPr>
            <w:r>
              <w:t>Subtransmission</w:t>
            </w:r>
          </w:p>
        </w:tc>
        <w:tc>
          <w:tcPr>
            <w:tcW w:w="1937"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5</w:t>
            </w:r>
            <w:r w:rsidRPr="00051BDB">
              <w:t>.5%</w:t>
            </w:r>
          </w:p>
        </w:tc>
        <w:tc>
          <w:tcPr>
            <w:tcW w:w="1937"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B7151E">
              <w:t>5.</w:t>
            </w:r>
            <w:r w:rsidRPr="00051BDB">
              <w:t>0%</w:t>
            </w:r>
          </w:p>
        </w:tc>
        <w:tc>
          <w:tcPr>
            <w:tcW w:w="1938"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2</w:t>
            </w:r>
            <w:r w:rsidRPr="00051BDB">
              <w:t>.5%</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51BDB" w:rsidRPr="00051BDB" w:rsidRDefault="00051BDB" w:rsidP="00051BDB">
            <w:pPr>
              <w:pStyle w:val="AERtabletextleft"/>
            </w:pPr>
            <w:r>
              <w:t>OH&amp;S regulations</w:t>
            </w:r>
          </w:p>
        </w:tc>
        <w:tc>
          <w:tcPr>
            <w:tcW w:w="1937"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937"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938"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r>
      <w:tr w:rsidR="00051BDB" w:rsidTr="00051BDB">
        <w:tc>
          <w:tcPr>
            <w:cnfStyle w:val="001000000000" w:firstRow="0" w:lastRow="0" w:firstColumn="1" w:lastColumn="0" w:oddVBand="0" w:evenVBand="0" w:oddHBand="0" w:evenHBand="0" w:firstRowFirstColumn="0" w:firstRowLastColumn="0" w:lastRowFirstColumn="0" w:lastRowLastColumn="0"/>
            <w:tcW w:w="2943" w:type="dxa"/>
          </w:tcPr>
          <w:p w:rsidR="00051BDB" w:rsidRPr="00051BDB" w:rsidRDefault="00051BDB" w:rsidP="00051BDB">
            <w:pPr>
              <w:pStyle w:val="AERtabletextleft"/>
            </w:pPr>
            <w:r>
              <w:t>Bushfire regulations</w:t>
            </w:r>
          </w:p>
        </w:tc>
        <w:tc>
          <w:tcPr>
            <w:tcW w:w="1937"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-2.4%</w:t>
            </w:r>
          </w:p>
        </w:tc>
        <w:tc>
          <w:tcPr>
            <w:tcW w:w="1937"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-2.4%</w:t>
            </w:r>
          </w:p>
        </w:tc>
        <w:tc>
          <w:tcPr>
            <w:tcW w:w="1938"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-2.4%</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51BDB" w:rsidRPr="00051BDB" w:rsidRDefault="00051BDB" w:rsidP="00051BDB">
            <w:pPr>
              <w:pStyle w:val="AERtabletextleft"/>
            </w:pPr>
            <w:r>
              <w:t>I</w:t>
            </w:r>
            <w:r w:rsidRPr="00051BDB">
              <w:t>ndividually immaterial factors</w:t>
            </w:r>
          </w:p>
        </w:tc>
        <w:tc>
          <w:tcPr>
            <w:tcW w:w="1937"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6.4%</w:t>
            </w:r>
          </w:p>
        </w:tc>
        <w:tc>
          <w:tcPr>
            <w:tcW w:w="1937"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6.9</w:t>
            </w:r>
          </w:p>
        </w:tc>
        <w:tc>
          <w:tcPr>
            <w:tcW w:w="1938"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7.5</w:t>
            </w:r>
          </w:p>
        </w:tc>
      </w:tr>
      <w:tr w:rsidR="00051BDB" w:rsidTr="00051BDB">
        <w:tc>
          <w:tcPr>
            <w:cnfStyle w:val="001000000000" w:firstRow="0" w:lastRow="0" w:firstColumn="1" w:lastColumn="0" w:oddVBand="0" w:evenVBand="0" w:oddHBand="0" w:evenHBand="0" w:firstRowFirstColumn="0" w:firstRowLastColumn="0" w:lastRowFirstColumn="0" w:lastRowLastColumn="0"/>
            <w:tcW w:w="2943" w:type="dxa"/>
          </w:tcPr>
          <w:p w:rsidR="00051BDB" w:rsidRPr="00051BDB" w:rsidRDefault="00051BDB" w:rsidP="00051BDB">
            <w:pPr>
              <w:pStyle w:val="AERtabletextleft"/>
            </w:pPr>
            <w:r>
              <w:t>Total</w:t>
            </w:r>
          </w:p>
        </w:tc>
        <w:tc>
          <w:tcPr>
            <w:tcW w:w="1937"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10%</w:t>
            </w:r>
          </w:p>
        </w:tc>
        <w:tc>
          <w:tcPr>
            <w:tcW w:w="1937"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10%</w:t>
            </w:r>
          </w:p>
        </w:tc>
        <w:tc>
          <w:tcPr>
            <w:tcW w:w="1938"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10%</w:t>
            </w:r>
          </w:p>
        </w:tc>
      </w:tr>
    </w:tbl>
    <w:p w:rsidR="00051BDB" w:rsidRPr="00760FF2" w:rsidRDefault="00051BDB" w:rsidP="00051BDB">
      <w:pPr>
        <w:rPr>
          <w:rStyle w:val="AERtextsize8"/>
        </w:rPr>
      </w:pPr>
      <w:r w:rsidRPr="00760FF2">
        <w:rPr>
          <w:rStyle w:val="AERtextsize8"/>
        </w:rPr>
        <w:t xml:space="preserve">Source: </w:t>
      </w:r>
      <w:r>
        <w:rPr>
          <w:rStyle w:val="AERtextsize8"/>
        </w:rPr>
        <w:tab/>
      </w:r>
      <w:r w:rsidRPr="00760FF2">
        <w:rPr>
          <w:rStyle w:val="AERtextsize8"/>
        </w:rPr>
        <w:t>AER analysis</w:t>
      </w:r>
      <w:r>
        <w:rPr>
          <w:rStyle w:val="AERtextsize8"/>
        </w:rPr>
        <w:t>.</w:t>
      </w:r>
    </w:p>
    <w:p w:rsidR="00051BDB" w:rsidRDefault="00051BDB" w:rsidP="00051BDB">
      <w:pPr>
        <w:pStyle w:val="Heading9"/>
      </w:pPr>
      <w:bookmarkStart w:id="221" w:name="_Toc417719050"/>
      <w:r>
        <w:t>Revised proposals and submissions</w:t>
      </w:r>
      <w:bookmarkEnd w:id="221"/>
    </w:p>
    <w:p w:rsidR="00051BDB" w:rsidRDefault="00051BDB" w:rsidP="00051BDB">
      <w:r>
        <w:t>In response to our draft decision on operating environment factors (OEFs) we received submissions from ActewAGL, Ausgrid, Endeavour Energy, Ergon Energy, and Essential Energy. We also received submissions from their consultants and other stakeholders. We received submissions on the majority of the OEFs examined in our draft decision. Many of these submissions raised no new substantive issues. However, we did receive further substantive submissions on a number of the OEFs examined in the draft decision. We also received submissions on several new OEFs and on our approach to OEFs.</w:t>
      </w:r>
    </w:p>
    <w:p w:rsidR="00051BDB" w:rsidRDefault="00051BDB" w:rsidP="00051BDB">
      <w:r>
        <w:t>We received further submissions on:</w:t>
      </w:r>
    </w:p>
    <w:p w:rsidR="00051BDB" w:rsidRDefault="00051BDB" w:rsidP="00051BDB">
      <w:pPr>
        <w:pStyle w:val="AERbulletlistthirdstyle"/>
      </w:pPr>
      <w:r>
        <w:t>Asset Age</w:t>
      </w:r>
    </w:p>
    <w:p w:rsidR="00051BDB" w:rsidRDefault="00051BDB" w:rsidP="00051BDB">
      <w:pPr>
        <w:pStyle w:val="AERbulletlistthirdstyle"/>
      </w:pPr>
      <w:r>
        <w:t>Asset volumes</w:t>
      </w:r>
    </w:p>
    <w:p w:rsidR="00051BDB" w:rsidRDefault="00051BDB" w:rsidP="00051BDB">
      <w:pPr>
        <w:pStyle w:val="AERbulletlistthirdstyle"/>
      </w:pPr>
      <w:r>
        <w:t>Bushfire risk</w:t>
      </w:r>
    </w:p>
    <w:p w:rsidR="00051BDB" w:rsidRDefault="00051BDB" w:rsidP="00051BDB">
      <w:pPr>
        <w:pStyle w:val="AERbulletlistthirdstyle"/>
      </w:pPr>
      <w:r>
        <w:t>Capitalisation practices</w:t>
      </w:r>
    </w:p>
    <w:p w:rsidR="00051BDB" w:rsidRDefault="00051BDB" w:rsidP="00051BDB">
      <w:pPr>
        <w:pStyle w:val="AERbulletlistthirdstyle"/>
      </w:pPr>
      <w:r>
        <w:t>Customer density</w:t>
      </w:r>
    </w:p>
    <w:p w:rsidR="00051BDB" w:rsidRDefault="00051BDB" w:rsidP="00051BDB">
      <w:pPr>
        <w:pStyle w:val="AERbulletlistthirdstyle"/>
      </w:pPr>
      <w:r>
        <w:t>Environmental regulations</w:t>
      </w:r>
      <w:r w:rsidRPr="00FB3411">
        <w:t xml:space="preserve"> </w:t>
      </w:r>
    </w:p>
    <w:p w:rsidR="00051BDB" w:rsidRDefault="00051BDB" w:rsidP="00051BDB">
      <w:pPr>
        <w:pStyle w:val="AERbulletlistthirdstyle"/>
      </w:pPr>
      <w:r>
        <w:t>Humidity and rainfall</w:t>
      </w:r>
    </w:p>
    <w:p w:rsidR="00051BDB" w:rsidRDefault="00051BDB" w:rsidP="00051BDB">
      <w:pPr>
        <w:pStyle w:val="AERbulletlistthirdstyle"/>
      </w:pPr>
      <w:r>
        <w:t>Licence conditions</w:t>
      </w:r>
    </w:p>
    <w:p w:rsidR="00051BDB" w:rsidRDefault="00051BDB" w:rsidP="00051BDB">
      <w:pPr>
        <w:pStyle w:val="AERbulletlistthirdstyle"/>
      </w:pPr>
      <w:r>
        <w:t>Line length</w:t>
      </w:r>
    </w:p>
    <w:p w:rsidR="00051BDB" w:rsidRDefault="00051BDB" w:rsidP="00051BDB">
      <w:pPr>
        <w:pStyle w:val="AERbulletlistthirdstyle"/>
      </w:pPr>
      <w:r>
        <w:t>Occupational Health and Safety regulations</w:t>
      </w:r>
    </w:p>
    <w:p w:rsidR="00051BDB" w:rsidRDefault="00051BDB" w:rsidP="00051BDB">
      <w:pPr>
        <w:pStyle w:val="AERbulletlistthirdstyle"/>
      </w:pPr>
      <w:r>
        <w:lastRenderedPageBreak/>
        <w:t>Proportion of wooden poles</w:t>
      </w:r>
    </w:p>
    <w:p w:rsidR="00051BDB" w:rsidRDefault="00051BDB" w:rsidP="00051BDB">
      <w:pPr>
        <w:pStyle w:val="AERbulletlistthirdstyle"/>
      </w:pPr>
      <w:r>
        <w:t>Subtransmission</w:t>
      </w:r>
    </w:p>
    <w:p w:rsidR="00051BDB" w:rsidRDefault="00051BDB" w:rsidP="00051BDB">
      <w:r>
        <w:t>New OEFs that were raised included:</w:t>
      </w:r>
    </w:p>
    <w:p w:rsidR="00051BDB" w:rsidRDefault="00051BDB" w:rsidP="00051BDB">
      <w:pPr>
        <w:pStyle w:val="AERbulletlistthirdstyle"/>
      </w:pPr>
      <w:r>
        <w:t>Activity scheduling</w:t>
      </w:r>
    </w:p>
    <w:p w:rsidR="00051BDB" w:rsidRDefault="00051BDB" w:rsidP="00051BDB">
      <w:pPr>
        <w:pStyle w:val="AERbulletlistthirdstyle"/>
      </w:pPr>
      <w:r>
        <w:t>Advanced Metering Infrastructure</w:t>
      </w:r>
    </w:p>
    <w:p w:rsidR="00051BDB" w:rsidRDefault="00051BDB" w:rsidP="00051BDB">
      <w:pPr>
        <w:pStyle w:val="AERbulletlistthirdstyle"/>
      </w:pPr>
      <w:r>
        <w:t>Communication networks</w:t>
      </w:r>
    </w:p>
    <w:p w:rsidR="00051BDB" w:rsidRDefault="00051BDB" w:rsidP="00051BDB">
      <w:pPr>
        <w:pStyle w:val="AERbulletlistthirdstyle"/>
      </w:pPr>
      <w:r>
        <w:t>Contaminated land management</w:t>
      </w:r>
    </w:p>
    <w:p w:rsidR="00051BDB" w:rsidRDefault="00051BDB" w:rsidP="00051BDB">
      <w:pPr>
        <w:pStyle w:val="AERbulletlistthirdstyle"/>
      </w:pPr>
      <w:r>
        <w:t>Critical National Infrastructure</w:t>
      </w:r>
    </w:p>
    <w:p w:rsidR="00051BDB" w:rsidRDefault="00051BDB" w:rsidP="00051BDB">
      <w:pPr>
        <w:pStyle w:val="AERbulletlistthirdstyle"/>
      </w:pPr>
      <w:r>
        <w:t>Cultural heritage obligations</w:t>
      </w:r>
    </w:p>
    <w:p w:rsidR="00051BDB" w:rsidRDefault="00051BDB" w:rsidP="00051BDB">
      <w:pPr>
        <w:pStyle w:val="AERbulletlistthirdstyle"/>
      </w:pPr>
      <w:r>
        <w:t>Demand management</w:t>
      </w:r>
    </w:p>
    <w:p w:rsidR="00051BDB" w:rsidRDefault="00051BDB" w:rsidP="00051BDB">
      <w:pPr>
        <w:pStyle w:val="AERbulletlistthirdstyle"/>
      </w:pPr>
      <w:r>
        <w:t>Division of vegetation management responsibility</w:t>
      </w:r>
    </w:p>
    <w:p w:rsidR="00051BDB" w:rsidRDefault="00051BDB" w:rsidP="00051BDB">
      <w:pPr>
        <w:pStyle w:val="AERbulletlistthirdstyle"/>
      </w:pPr>
      <w:r>
        <w:t>Environmental variability</w:t>
      </w:r>
    </w:p>
    <w:p w:rsidR="00051BDB" w:rsidRDefault="00051BDB" w:rsidP="00051BDB">
      <w:pPr>
        <w:pStyle w:val="AERbulletlistthirdstyle"/>
      </w:pPr>
      <w:r>
        <w:t>Line sag</w:t>
      </w:r>
    </w:p>
    <w:p w:rsidR="00051BDB" w:rsidRDefault="00051BDB" w:rsidP="00051BDB">
      <w:pPr>
        <w:pStyle w:val="AERbulletlistthirdstyle"/>
      </w:pPr>
      <w:r>
        <w:t>Network access</w:t>
      </w:r>
    </w:p>
    <w:p w:rsidR="00051BDB" w:rsidRDefault="00051BDB" w:rsidP="00051BDB">
      <w:pPr>
        <w:pStyle w:val="AERbulletlistthirdstyle"/>
      </w:pPr>
      <w:r w:rsidRPr="006331BD">
        <w:t>Non recurrent costs</w:t>
      </w:r>
    </w:p>
    <w:p w:rsidR="00051BDB" w:rsidRDefault="00051BDB" w:rsidP="00051BDB">
      <w:pPr>
        <w:pStyle w:val="AERbulletlistthirdstyle"/>
      </w:pPr>
      <w:r>
        <w:t>Outsourcing</w:t>
      </w:r>
    </w:p>
    <w:p w:rsidR="00051BDB" w:rsidRDefault="00051BDB" w:rsidP="00051BDB">
      <w:pPr>
        <w:pStyle w:val="AERbulletlistthirdstyle"/>
      </w:pPr>
      <w:r>
        <w:t>Past ownership</w:t>
      </w:r>
    </w:p>
    <w:p w:rsidR="00051BDB" w:rsidRDefault="00051BDB" w:rsidP="00051BDB">
      <w:pPr>
        <w:pStyle w:val="AERbulletlistthirdstyle"/>
      </w:pPr>
      <w:r>
        <w:t>Reliability outcomes</w:t>
      </w:r>
    </w:p>
    <w:p w:rsidR="00051BDB" w:rsidRDefault="00051BDB" w:rsidP="00051BDB">
      <w:pPr>
        <w:pStyle w:val="AERbulletlistthirdstyle"/>
      </w:pPr>
      <w:r>
        <w:t>Rising lateral mains</w:t>
      </w:r>
    </w:p>
    <w:p w:rsidR="00051BDB" w:rsidRDefault="00051BDB" w:rsidP="00051BDB">
      <w:pPr>
        <w:pStyle w:val="AERbulletlistthirdstyle"/>
      </w:pPr>
      <w:r>
        <w:t>Safety outcomes</w:t>
      </w:r>
    </w:p>
    <w:p w:rsidR="00051BDB" w:rsidRDefault="00051BDB" w:rsidP="00051BDB">
      <w:pPr>
        <w:pStyle w:val="AERbulletlistthirdstyle"/>
      </w:pPr>
      <w:r>
        <w:t>Solar uptake</w:t>
      </w:r>
    </w:p>
    <w:p w:rsidR="00051BDB" w:rsidRDefault="00051BDB" w:rsidP="00051BDB">
      <w:pPr>
        <w:pStyle w:val="AERbulletlistthirdstyle"/>
      </w:pPr>
      <w:r>
        <w:t>SWER</w:t>
      </w:r>
    </w:p>
    <w:p w:rsidR="00051BDB" w:rsidRDefault="00051BDB" w:rsidP="00051BDB">
      <w:pPr>
        <w:pStyle w:val="AERbulletlistthirdstyle"/>
      </w:pPr>
      <w:r>
        <w:t>Termite exposure</w:t>
      </w:r>
    </w:p>
    <w:p w:rsidR="00051BDB" w:rsidRDefault="00051BDB" w:rsidP="00051BDB">
      <w:pPr>
        <w:pStyle w:val="AERbulletlistthirdstyle"/>
      </w:pPr>
      <w:r>
        <w:t>Transmission connection point charges</w:t>
      </w:r>
    </w:p>
    <w:p w:rsidR="00051BDB" w:rsidRDefault="00051BDB" w:rsidP="00051BDB">
      <w:pPr>
        <w:pStyle w:val="AERbulletlistthirdstyle"/>
      </w:pPr>
      <w:r>
        <w:t>Unregulated services</w:t>
      </w:r>
    </w:p>
    <w:p w:rsidR="00051BDB" w:rsidRDefault="00051BDB" w:rsidP="00051BDB">
      <w:r>
        <w:t>The following points on our approach were also raised:</w:t>
      </w:r>
    </w:p>
    <w:p w:rsidR="00051BDB" w:rsidRPr="006331BD" w:rsidRDefault="00051BDB" w:rsidP="00051BDB">
      <w:pPr>
        <w:pStyle w:val="ListBullet4"/>
      </w:pPr>
      <w:r w:rsidRPr="006331BD">
        <w:t>Non recurrent costs</w:t>
      </w:r>
    </w:p>
    <w:p w:rsidR="00051BDB" w:rsidRDefault="00051BDB" w:rsidP="00051BDB">
      <w:pPr>
        <w:pStyle w:val="ListBullet4"/>
      </w:pPr>
      <w:r>
        <w:t>Treatment of endogenous factors</w:t>
      </w:r>
    </w:p>
    <w:p w:rsidR="00051BDB" w:rsidRDefault="00051BDB" w:rsidP="00051BDB">
      <w:pPr>
        <w:pStyle w:val="ListBullet4"/>
      </w:pPr>
      <w:r>
        <w:t>Quantum of operating environment factors</w:t>
      </w:r>
    </w:p>
    <w:p w:rsidR="00051BDB" w:rsidRDefault="00051BDB" w:rsidP="00051BDB">
      <w:pPr>
        <w:pStyle w:val="ListBullet4"/>
      </w:pPr>
      <w:r>
        <w:t>Quantum of the effect of material factors</w:t>
      </w:r>
    </w:p>
    <w:p w:rsidR="00051BDB" w:rsidRDefault="00051BDB" w:rsidP="00051BDB">
      <w:pPr>
        <w:pStyle w:val="ListBullet4"/>
      </w:pPr>
      <w:r>
        <w:t>Quantum of the effect of immaterial factors</w:t>
      </w:r>
    </w:p>
    <w:p w:rsidR="00051BDB" w:rsidRDefault="00051BDB" w:rsidP="00051BDB">
      <w:r>
        <w:t>No substantive issues were raised on:</w:t>
      </w:r>
    </w:p>
    <w:p w:rsidR="00051BDB" w:rsidRDefault="00051BDB" w:rsidP="00051BDB">
      <w:pPr>
        <w:pStyle w:val="AERbulletlistthirdstyle"/>
      </w:pPr>
      <w:r>
        <w:t>Building regulations</w:t>
      </w:r>
    </w:p>
    <w:p w:rsidR="00051BDB" w:rsidRDefault="00051BDB" w:rsidP="00051BDB">
      <w:pPr>
        <w:pStyle w:val="AERbulletlistthirdstyle"/>
      </w:pPr>
      <w:r>
        <w:lastRenderedPageBreak/>
        <w:t>Capital Contributions</w:t>
      </w:r>
    </w:p>
    <w:p w:rsidR="00051BDB" w:rsidRDefault="00051BDB" w:rsidP="00051BDB">
      <w:pPr>
        <w:pStyle w:val="AERbulletlistthirdstyle"/>
      </w:pPr>
      <w:r>
        <w:t>Contestable services</w:t>
      </w:r>
    </w:p>
    <w:p w:rsidR="00051BDB" w:rsidRDefault="00051BDB" w:rsidP="00051BDB">
      <w:pPr>
        <w:pStyle w:val="AERbulletlistthirdstyle"/>
      </w:pPr>
      <w:r>
        <w:t>Corrosive environments</w:t>
      </w:r>
    </w:p>
    <w:p w:rsidR="00051BDB" w:rsidRDefault="00051BDB" w:rsidP="00051BDB">
      <w:pPr>
        <w:pStyle w:val="AERbulletlistthirdstyle"/>
      </w:pPr>
      <w:r>
        <w:t>Customer requirements</w:t>
      </w:r>
    </w:p>
    <w:p w:rsidR="00051BDB" w:rsidRDefault="00051BDB" w:rsidP="00051BDB">
      <w:pPr>
        <w:pStyle w:val="AERbulletlistthirdstyle"/>
      </w:pPr>
      <w:r>
        <w:t>Economies of scale</w:t>
      </w:r>
    </w:p>
    <w:p w:rsidR="00051BDB" w:rsidRDefault="00051BDB" w:rsidP="00051BDB">
      <w:pPr>
        <w:pStyle w:val="AERbulletlistthirdstyle"/>
      </w:pPr>
      <w:r>
        <w:t>Environmental regulations</w:t>
      </w:r>
    </w:p>
    <w:p w:rsidR="00051BDB" w:rsidRDefault="00051BDB" w:rsidP="00051BDB">
      <w:pPr>
        <w:pStyle w:val="AERbulletlistthirdstyle"/>
      </w:pPr>
      <w:r>
        <w:t>Extreme weather events</w:t>
      </w:r>
    </w:p>
    <w:p w:rsidR="00051BDB" w:rsidRDefault="00051BDB" w:rsidP="00051BDB">
      <w:pPr>
        <w:pStyle w:val="AERbulletlistthirdstyle"/>
      </w:pPr>
      <w:r>
        <w:t>Grounding conditions</w:t>
      </w:r>
    </w:p>
    <w:p w:rsidR="00051BDB" w:rsidRDefault="00051BDB" w:rsidP="00051BDB">
      <w:pPr>
        <w:pStyle w:val="AERbulletlistthirdstyle"/>
      </w:pPr>
      <w:r>
        <w:t>Topographical conditions</w:t>
      </w:r>
    </w:p>
    <w:p w:rsidR="00051BDB" w:rsidRDefault="00051BDB" w:rsidP="00051BDB">
      <w:pPr>
        <w:pStyle w:val="AERbulletlistthirdstyle"/>
      </w:pPr>
      <w:r>
        <w:t>Load growth</w:t>
      </w:r>
    </w:p>
    <w:p w:rsidR="00051BDB" w:rsidRDefault="00051BDB" w:rsidP="00051BDB">
      <w:pPr>
        <w:pStyle w:val="AERbulletlistthirdstyle"/>
      </w:pPr>
      <w:r>
        <w:t>Load factor</w:t>
      </w:r>
    </w:p>
    <w:p w:rsidR="00051BDB" w:rsidRDefault="00051BDB" w:rsidP="00051BDB">
      <w:pPr>
        <w:pStyle w:val="AERbulletlistthirdstyle"/>
      </w:pPr>
      <w:r>
        <w:t>Mix of demand to non-demand customers</w:t>
      </w:r>
    </w:p>
    <w:p w:rsidR="00051BDB" w:rsidRDefault="00051BDB" w:rsidP="00051BDB">
      <w:pPr>
        <w:pStyle w:val="AERbulletlistthirdstyle"/>
      </w:pPr>
      <w:r>
        <w:t>Planning regulations</w:t>
      </w:r>
    </w:p>
    <w:p w:rsidR="00051BDB" w:rsidRDefault="00051BDB" w:rsidP="00051BDB">
      <w:pPr>
        <w:pStyle w:val="AERbulletlistthirdstyle"/>
      </w:pPr>
      <w:r>
        <w:t>Population growth</w:t>
      </w:r>
    </w:p>
    <w:p w:rsidR="00051BDB" w:rsidRDefault="00051BDB" w:rsidP="00051BDB">
      <w:pPr>
        <w:pStyle w:val="AERbulletlistthirdstyle"/>
      </w:pPr>
      <w:r>
        <w:t>Proportion of 22kV and 11kV lines</w:t>
      </w:r>
    </w:p>
    <w:p w:rsidR="00051BDB" w:rsidRDefault="00051BDB" w:rsidP="00051BDB">
      <w:pPr>
        <w:pStyle w:val="AERbulletlistthirdstyle"/>
      </w:pPr>
      <w:r>
        <w:t>Ratio of underground to overhead lines</w:t>
      </w:r>
    </w:p>
    <w:p w:rsidR="00051BDB" w:rsidRDefault="00051BDB" w:rsidP="00051BDB">
      <w:pPr>
        <w:pStyle w:val="AERbulletlistthirdstyle"/>
      </w:pPr>
      <w:r>
        <w:t>Risk appetite</w:t>
      </w:r>
    </w:p>
    <w:p w:rsidR="00051BDB" w:rsidRDefault="00051BDB" w:rsidP="00051BDB">
      <w:pPr>
        <w:pStyle w:val="AERbulletlistthirdstyle"/>
      </w:pPr>
      <w:r>
        <w:t>Service classification</w:t>
      </w:r>
    </w:p>
    <w:p w:rsidR="00051BDB" w:rsidRDefault="00051BDB" w:rsidP="00051BDB">
      <w:pPr>
        <w:pStyle w:val="AERbulletlistthirdstyle"/>
      </w:pPr>
      <w:r>
        <w:t>Shape factors</w:t>
      </w:r>
    </w:p>
    <w:p w:rsidR="00051BDB" w:rsidRDefault="00051BDB" w:rsidP="00051BDB">
      <w:pPr>
        <w:pStyle w:val="AERbulletlistthirdstyle"/>
      </w:pPr>
      <w:r>
        <w:t>Skills required by service providers</w:t>
      </w:r>
    </w:p>
    <w:p w:rsidR="00051BDB" w:rsidRDefault="00051BDB" w:rsidP="00051BDB">
      <w:pPr>
        <w:pStyle w:val="AERbulletlistthirdstyle"/>
      </w:pPr>
      <w:r>
        <w:t>Temperature</w:t>
      </w:r>
    </w:p>
    <w:p w:rsidR="00051BDB" w:rsidRDefault="00051BDB" w:rsidP="00051BDB">
      <w:pPr>
        <w:pStyle w:val="AERbulletlistthirdstyle"/>
      </w:pPr>
      <w:r>
        <w:t>Topography</w:t>
      </w:r>
    </w:p>
    <w:p w:rsidR="00051BDB" w:rsidRDefault="00051BDB" w:rsidP="00051BDB">
      <w:pPr>
        <w:pStyle w:val="AERbulletlistthirdstyle"/>
      </w:pPr>
      <w:r>
        <w:t>Traffic management requirements</w:t>
      </w:r>
    </w:p>
    <w:p w:rsidR="00051BDB" w:rsidRPr="00CD4F2A" w:rsidRDefault="00051BDB" w:rsidP="00051BDB">
      <w:pPr>
        <w:pStyle w:val="AERbulletlistthirdstyle"/>
      </w:pPr>
      <w:r w:rsidRPr="00CD4F2A">
        <w:t>Underground services</w:t>
      </w:r>
    </w:p>
    <w:p w:rsidR="00051BDB" w:rsidRDefault="00051BDB" w:rsidP="00051BDB">
      <w:pPr>
        <w:pStyle w:val="AERbulletlistthirdstyle"/>
      </w:pPr>
      <w:r>
        <w:t>Work and operating procedures</w:t>
      </w:r>
    </w:p>
    <w:p w:rsidR="00051BDB" w:rsidRDefault="00051BDB" w:rsidP="00051BDB">
      <w:pPr>
        <w:pStyle w:val="AERbulletlistthirdstyle"/>
      </w:pPr>
      <w:r>
        <w:t>Work conditions</w:t>
      </w:r>
    </w:p>
    <w:p w:rsidR="00051BDB" w:rsidRDefault="00051BDB" w:rsidP="00051BDB">
      <w:r w:rsidRPr="00292704">
        <w:t xml:space="preserve">We address all of the new evidence and </w:t>
      </w:r>
      <w:r>
        <w:t>further submissions</w:t>
      </w:r>
      <w:r w:rsidRPr="00292704">
        <w:t xml:space="preserve"> presented to us in the relevant sections below.</w:t>
      </w:r>
      <w:r>
        <w:t xml:space="preserve"> We have not repeated analysis for OEFs considered in the draft decision where no new substantive issues were raised. </w:t>
      </w:r>
    </w:p>
    <w:p w:rsidR="00051BDB" w:rsidRDefault="00051BDB" w:rsidP="00051BDB">
      <w:r>
        <w:t>Additionally, we have also considered OEFs raised by other service providers in their regulatory proposals and revised regulatory proposals. We have also considered submissions on those proposals where relevant. We have done this for consistency in our approach to OEFs and to capture the effect of relevant OEFs on the NSW service providers' opex</w:t>
      </w:r>
      <w:r>
        <w:br w:type="page"/>
      </w:r>
    </w:p>
    <w:p w:rsidR="00051BDB" w:rsidRPr="00CD5D0F" w:rsidRDefault="00051BDB" w:rsidP="00051BDB">
      <w:pPr>
        <w:pStyle w:val="Heading9"/>
      </w:pPr>
      <w:bookmarkStart w:id="222" w:name="_Toc417719051"/>
      <w:r>
        <w:lastRenderedPageBreak/>
        <w:t>Approach to operating environment factors</w:t>
      </w:r>
      <w:bookmarkEnd w:id="222"/>
    </w:p>
    <w:p w:rsidR="00051BDB" w:rsidRPr="00B7151E" w:rsidRDefault="00051BDB" w:rsidP="00051BDB">
      <w:pPr>
        <w:numPr>
          <w:ilvl w:val="0"/>
          <w:numId w:val="24"/>
        </w:numPr>
      </w:pPr>
      <w:r w:rsidRPr="00B7151E">
        <w:t xml:space="preserve">It is important to recognise that service providers do not operate under exactly the same </w:t>
      </w:r>
      <w:r>
        <w:t>operating environment factors (OEFs)</w:t>
      </w:r>
      <w:r w:rsidRPr="00B7151E">
        <w:t xml:space="preserve">. </w:t>
      </w:r>
      <w:r>
        <w:t>OEF</w:t>
      </w:r>
      <w:r w:rsidRPr="00B7151E">
        <w:t xml:space="preserve">s may have a significant impact on measured efficiency through their impact on a service provider's opex. It is desirable to adjust for material </w:t>
      </w:r>
      <w:r>
        <w:t>OEF</w:t>
      </w:r>
      <w:r w:rsidRPr="00B7151E">
        <w:t xml:space="preserve"> differences to ensure that when comparisons are made across service providers, we are comparing like with like to the greatest extent possible. </w:t>
      </w:r>
      <w:r>
        <w:t>B</w:t>
      </w:r>
      <w:r w:rsidRPr="00B7151E">
        <w:t xml:space="preserve">y identifying the effect of </w:t>
      </w:r>
      <w:r>
        <w:t>OEFs</w:t>
      </w:r>
      <w:r w:rsidRPr="00B7151E">
        <w:t xml:space="preserve"> on costs </w:t>
      </w:r>
      <w:r>
        <w:t>one</w:t>
      </w:r>
      <w:r w:rsidRPr="00B7151E">
        <w:t xml:space="preserve"> can determine </w:t>
      </w:r>
      <w:r>
        <w:t>the</w:t>
      </w:r>
      <w:r w:rsidRPr="00B7151E">
        <w:t xml:space="preserve"> extent </w:t>
      </w:r>
      <w:r>
        <w:t xml:space="preserve">to which </w:t>
      </w:r>
      <w:r w:rsidRPr="00B7151E">
        <w:t>cost differences are exogenous or due to inefficiency.</w:t>
      </w:r>
      <w:r w:rsidRPr="00B7151E">
        <w:rPr>
          <w:rStyle w:val="FootnoteReference"/>
        </w:rPr>
        <w:footnoteReference w:id="557"/>
      </w:r>
    </w:p>
    <w:p w:rsidR="00051BDB" w:rsidRDefault="00051BDB" w:rsidP="00051BDB">
      <w:pPr>
        <w:numPr>
          <w:ilvl w:val="0"/>
          <w:numId w:val="24"/>
        </w:numPr>
      </w:pPr>
      <w:r>
        <w:t>Some key OEFs are directly accounted for in Economic Insights' SFA model</w:t>
      </w:r>
      <w:r w:rsidRPr="00B7151E">
        <w:t xml:space="preserve">. </w:t>
      </w:r>
      <w:r>
        <w:t>Where this has not been possible, we have considered the quantum of the impact of the OEF on the NSW service providers' opex relative to the comparison firms. We have then adjusted the SFA efficiency scores based on our findings on the effects of OEFs.</w:t>
      </w:r>
    </w:p>
    <w:p w:rsidR="00051BDB" w:rsidRDefault="00051BDB" w:rsidP="00051BDB">
      <w:pPr>
        <w:numPr>
          <w:ilvl w:val="0"/>
          <w:numId w:val="24"/>
        </w:numPr>
      </w:pPr>
      <w:r>
        <w:t xml:space="preserve">We have accounted for OEFs using a </w:t>
      </w:r>
      <w:r w:rsidR="008C33CA">
        <w:t>two-step</w:t>
      </w:r>
      <w:r>
        <w:t xml:space="preserve"> process. In the first step we have assessed whether an adjustment for an OEF would meet our OEF criteria: exogeneity, materiality, and duplication. In the second step, we assessed OEFs that met the exogeneity and duplication criteria to estimate the collective effect that they may have on service providers' opex. The purpose of the second step is to account for the effect of OEFs that do not meet the materiality criterion individually, but which do meet the criterion when considered collectively.</w:t>
      </w:r>
    </w:p>
    <w:p w:rsidR="00051BDB" w:rsidRPr="00B7151E" w:rsidRDefault="00051BDB" w:rsidP="00051BDB">
      <w:pPr>
        <w:pStyle w:val="HeadingBoldItalic"/>
      </w:pPr>
      <w:r>
        <w:t>OEF assessment: Step one</w:t>
      </w:r>
    </w:p>
    <w:p w:rsidR="00051BDB" w:rsidRPr="00B7151E" w:rsidRDefault="00051BDB" w:rsidP="00051BDB">
      <w:pPr>
        <w:numPr>
          <w:ilvl w:val="0"/>
          <w:numId w:val="24"/>
        </w:numPr>
      </w:pPr>
      <w:r>
        <w:t>Where an OEF meets all three of our OEF adjustment criteria we have provided an OEF adjustment. Our</w:t>
      </w:r>
      <w:r w:rsidRPr="00B7151E">
        <w:t xml:space="preserve"> </w:t>
      </w:r>
      <w:r>
        <w:t>three</w:t>
      </w:r>
      <w:r w:rsidRPr="00B7151E">
        <w:t xml:space="preserve"> </w:t>
      </w:r>
      <w:r>
        <w:t xml:space="preserve">OEF </w:t>
      </w:r>
      <w:r w:rsidRPr="00B7151E">
        <w:t xml:space="preserve">criteria </w:t>
      </w:r>
      <w:r>
        <w:t>are as follows</w:t>
      </w:r>
      <w:r w:rsidRPr="00B7151E">
        <w:t xml:space="preserve">: </w:t>
      </w:r>
    </w:p>
    <w:p w:rsidR="00051BDB" w:rsidRPr="00B7151E" w:rsidRDefault="00051BDB" w:rsidP="00051BDB">
      <w:pPr>
        <w:pStyle w:val="ListNumber"/>
        <w:numPr>
          <w:ilvl w:val="1"/>
          <w:numId w:val="24"/>
        </w:numPr>
      </w:pPr>
      <w:r>
        <w:rPr>
          <w:rStyle w:val="Strong"/>
        </w:rPr>
        <w:t>Exogeneity:</w:t>
      </w:r>
      <w:r w:rsidRPr="00B7151E">
        <w:t xml:space="preserve"> The first criterion is that an </w:t>
      </w:r>
      <w:r>
        <w:t>OEF</w:t>
      </w:r>
      <w:r w:rsidRPr="00B7151E">
        <w:t xml:space="preserve"> </w:t>
      </w:r>
      <w:r>
        <w:t>should</w:t>
      </w:r>
      <w:r w:rsidRPr="00B7151E">
        <w:t xml:space="preserve"> be outside </w:t>
      </w:r>
      <w:r>
        <w:t>the control of service provider</w:t>
      </w:r>
      <w:r w:rsidRPr="00B7151E">
        <w:t>s</w:t>
      </w:r>
      <w:r>
        <w:t>'</w:t>
      </w:r>
      <w:r w:rsidRPr="00B7151E">
        <w:t xml:space="preserve"> management. Where the effect of an </w:t>
      </w:r>
      <w:r>
        <w:t>OEF</w:t>
      </w:r>
      <w:r w:rsidRPr="00B7151E">
        <w:t xml:space="preserve"> is within the control of service provider's management we </w:t>
      </w:r>
      <w:r>
        <w:t>would not generally provide</w:t>
      </w:r>
      <w:r w:rsidRPr="00B7151E">
        <w:t xml:space="preserve"> an adjustment for the </w:t>
      </w:r>
      <w:r>
        <w:t>OEF</w:t>
      </w:r>
      <w:r w:rsidRPr="00B7151E">
        <w:t>.</w:t>
      </w:r>
      <w:r w:rsidRPr="00B7151E">
        <w:rPr>
          <w:rStyle w:val="FootnoteReference"/>
        </w:rPr>
        <w:footnoteReference w:id="558"/>
      </w:r>
      <w:r w:rsidRPr="00B7151E">
        <w:t xml:space="preserve"> Adjusting for that </w:t>
      </w:r>
      <w:r>
        <w:t>OEF</w:t>
      </w:r>
      <w:r w:rsidRPr="00B7151E">
        <w:t xml:space="preserve"> may mask inefficient investment or expenditure.</w:t>
      </w:r>
    </w:p>
    <w:p w:rsidR="00051BDB" w:rsidRPr="00B7151E" w:rsidRDefault="00051BDB" w:rsidP="00051BDB">
      <w:pPr>
        <w:pStyle w:val="ListNumber"/>
        <w:numPr>
          <w:ilvl w:val="1"/>
          <w:numId w:val="24"/>
        </w:numPr>
      </w:pPr>
      <w:r>
        <w:rPr>
          <w:rStyle w:val="Strong"/>
        </w:rPr>
        <w:t>Materiality:</w:t>
      </w:r>
      <w:r w:rsidRPr="00B7151E">
        <w:t xml:space="preserve"> The second criterion is that an </w:t>
      </w:r>
      <w:r>
        <w:t>OEF</w:t>
      </w:r>
      <w:r w:rsidRPr="00B7151E">
        <w:t xml:space="preserve"> </w:t>
      </w:r>
      <w:r>
        <w:t>should</w:t>
      </w:r>
      <w:r w:rsidRPr="00B7151E">
        <w:t xml:space="preserve"> create material differences in service providers' opex. Where the effect of an </w:t>
      </w:r>
      <w:r>
        <w:t>OEF</w:t>
      </w:r>
      <w:r w:rsidRPr="00B7151E">
        <w:t xml:space="preserve"> is not material, we </w:t>
      </w:r>
      <w:r>
        <w:t>would generally</w:t>
      </w:r>
      <w:r w:rsidRPr="00B7151E">
        <w:t xml:space="preserve"> not provide an adjustment for the factor. </w:t>
      </w:r>
      <w:r>
        <w:t>We do note, however, that we have provided a collective adjustment for individually immaterial factors.</w:t>
      </w:r>
      <w:r>
        <w:rPr>
          <w:rStyle w:val="FootnoteReference"/>
        </w:rPr>
        <w:footnoteReference w:id="559"/>
      </w:r>
      <w:r>
        <w:t xml:space="preserve"> </w:t>
      </w:r>
      <w:r>
        <w:rPr>
          <w:rStyle w:val="FootnoteReference"/>
        </w:rPr>
        <w:footnoteReference w:id="560"/>
      </w:r>
    </w:p>
    <w:p w:rsidR="00051BDB" w:rsidRDefault="00051BDB" w:rsidP="00051BDB">
      <w:pPr>
        <w:pStyle w:val="ListNumber"/>
        <w:numPr>
          <w:ilvl w:val="1"/>
          <w:numId w:val="24"/>
        </w:numPr>
      </w:pPr>
      <w:r>
        <w:rPr>
          <w:rStyle w:val="Strong"/>
        </w:rPr>
        <w:lastRenderedPageBreak/>
        <w:t>Duplication:</w:t>
      </w:r>
      <w:r w:rsidRPr="00B7151E">
        <w:rPr>
          <w:rStyle w:val="Strong"/>
        </w:rPr>
        <w:t xml:space="preserve"> </w:t>
      </w:r>
      <w:r w:rsidRPr="00B7151E">
        <w:t xml:space="preserve">The third criterion is that the </w:t>
      </w:r>
      <w:r>
        <w:t>OEF</w:t>
      </w:r>
      <w:r w:rsidRPr="00B7151E">
        <w:t xml:space="preserve"> </w:t>
      </w:r>
      <w:r>
        <w:t>should</w:t>
      </w:r>
      <w:r w:rsidRPr="00B7151E">
        <w:t xml:space="preserve"> not have been accounted for elsewhere. Where the effect of an </w:t>
      </w:r>
      <w:r>
        <w:t>OEF</w:t>
      </w:r>
      <w:r w:rsidRPr="00B7151E">
        <w:t xml:space="preserve"> is accounted for elsewhere, we have not provided an adjustment for that factor. To do so would be to double count the effect of the </w:t>
      </w:r>
      <w:r>
        <w:t>OEF</w:t>
      </w:r>
      <w:r w:rsidRPr="00B7151E">
        <w:t>.</w:t>
      </w:r>
      <w:r w:rsidRPr="00311734">
        <w:rPr>
          <w:rStyle w:val="FootnoteReference"/>
        </w:rPr>
        <w:t xml:space="preserve"> </w:t>
      </w:r>
      <w:r>
        <w:rPr>
          <w:rStyle w:val="FootnoteReference"/>
        </w:rPr>
        <w:footnoteReference w:id="561"/>
      </w:r>
      <w:r>
        <w:t xml:space="preserve"> </w:t>
      </w:r>
      <w:r>
        <w:rPr>
          <w:rStyle w:val="FootnoteReference"/>
        </w:rPr>
        <w:footnoteReference w:id="562"/>
      </w:r>
    </w:p>
    <w:p w:rsidR="00051BDB" w:rsidRDefault="00051BDB" w:rsidP="00051BDB">
      <w:pPr>
        <w:pStyle w:val="ListNumber"/>
        <w:numPr>
          <w:ilvl w:val="0"/>
          <w:numId w:val="24"/>
        </w:numPr>
      </w:pPr>
      <w:r>
        <w:t>Given the nature of OEFs, as circumstances that differ between service providers, we have had to rely on a wide array of different information sources. For each OEF we have considered the evidence before us in making our conclusions. In some cases this has meant calculating the effect of OEFs using different types of data or methods. The calculation of OEF's below explains how we have taken this into account.</w:t>
      </w:r>
    </w:p>
    <w:p w:rsidR="00051BDB" w:rsidRDefault="00051BDB" w:rsidP="00051BDB">
      <w:pPr>
        <w:pStyle w:val="HeadingBoldItalic"/>
      </w:pPr>
      <w:r>
        <w:t>OEF assessment: Step two</w:t>
      </w:r>
    </w:p>
    <w:p w:rsidR="00051BDB" w:rsidRPr="00C84880" w:rsidRDefault="00051BDB" w:rsidP="00051BDB">
      <w:r>
        <w:t>In the second stage of our OEF assessment</w:t>
      </w:r>
      <w:r w:rsidRPr="00C84880">
        <w:t xml:space="preserve"> we have considered if </w:t>
      </w:r>
      <w:r>
        <w:t>each individually immaterial OEF, that meets the exogeneity and duplication criteria,</w:t>
      </w:r>
      <w:r w:rsidRPr="00C84880">
        <w:t xml:space="preserve"> </w:t>
      </w:r>
      <w:r>
        <w:t>will</w:t>
      </w:r>
      <w:r w:rsidRPr="00C84880">
        <w:t xml:space="preserve"> provide a cost advantage or disadvantage to</w:t>
      </w:r>
      <w:r>
        <w:t xml:space="preserve"> the relevant service provider.</w:t>
      </w:r>
    </w:p>
    <w:p w:rsidR="00051BDB" w:rsidRDefault="00051BDB" w:rsidP="00051BDB">
      <w:r>
        <w:t xml:space="preserve">Where </w:t>
      </w:r>
      <w:r w:rsidRPr="00C84880">
        <w:t xml:space="preserve">an </w:t>
      </w:r>
      <w:r>
        <w:t>individually immaterial OEF</w:t>
      </w:r>
      <w:r w:rsidRPr="00C84880">
        <w:t xml:space="preserve"> is likely</w:t>
      </w:r>
      <w:r>
        <w:t xml:space="preserve"> to provide a cost disadvantage we have provided a positive</w:t>
      </w:r>
      <w:r w:rsidRPr="00C84880">
        <w:t xml:space="preserve"> adjustment equ</w:t>
      </w:r>
      <w:r>
        <w:t>al to our materiality threshold,</w:t>
      </w:r>
      <w:r w:rsidRPr="00C84880">
        <w:t xml:space="preserve"> 0.5 per cent</w:t>
      </w:r>
      <w:r>
        <w:t>, in our collective adjustment for immaterial factors</w:t>
      </w:r>
      <w:r w:rsidRPr="00C84880">
        <w:t xml:space="preserve">. </w:t>
      </w:r>
      <w:r>
        <w:t>We have also done this where there is some doubt about if an individually immaterial OEF will provide a cost</w:t>
      </w:r>
      <w:r w:rsidRPr="00C84880">
        <w:t xml:space="preserve"> advantage or di</w:t>
      </w:r>
      <w:r>
        <w:t xml:space="preserve">sadvantage. </w:t>
      </w:r>
      <w:r w:rsidRPr="00C84880">
        <w:t xml:space="preserve">Alternatively, where </w:t>
      </w:r>
      <w:r>
        <w:t>an individually immaterial OEF</w:t>
      </w:r>
      <w:r w:rsidRPr="00C84880">
        <w:t xml:space="preserve"> is likely to provide a cost advantage we have provided an </w:t>
      </w:r>
      <w:r>
        <w:t>OEF</w:t>
      </w:r>
      <w:r w:rsidRPr="00C84880">
        <w:t xml:space="preserve"> adjustment of negative 0.5 per cent</w:t>
      </w:r>
      <w:r>
        <w:t xml:space="preserve"> in our collective adjustment for individually immaterial OEFs.</w:t>
      </w:r>
    </w:p>
    <w:p w:rsidR="00051BDB" w:rsidRPr="00FB42D0" w:rsidRDefault="00051BDB" w:rsidP="00051BDB">
      <w:pPr>
        <w:pStyle w:val="ListParagraph"/>
        <w:numPr>
          <w:ilvl w:val="0"/>
          <w:numId w:val="24"/>
        </w:numPr>
      </w:pPr>
      <w:r w:rsidRPr="00FB42D0">
        <w:t>There is one exception to this. Where we have been able to quantify the effect of a factor that is individually immaterial we have only adjusted for the amount quantified. We consider that this provides a transparent and reasonable approach to estimating the effect of factors that individually may not be material but collectively may be.</w:t>
      </w:r>
    </w:p>
    <w:p w:rsidR="00051BDB" w:rsidRDefault="00051BDB" w:rsidP="00051BDB">
      <w:pPr>
        <w:pStyle w:val="ListParagraph"/>
        <w:numPr>
          <w:ilvl w:val="0"/>
          <w:numId w:val="24"/>
        </w:numPr>
      </w:pPr>
      <w:r>
        <w:t xml:space="preserve">We consider that this is an appropriately conservative approach. We note that the AEMC has stated that the purpose of benchmarking is not to normalise for every possible difference between networks. However, after considering the impact of more than 60 proposed OEFs, in addition to adjusting for 4 material OEFs, we have provided an adjustment for the collective effect of 20 immaterial OEFs. We consider it is appropriate to take this additional step in our benchmarking analysis given this is the first time we have applied benchmarking and the information on OEFs available to us at this stage. We also note that we have provided positive adjustments where the </w:t>
      </w:r>
      <w:r>
        <w:lastRenderedPageBreak/>
        <w:t>direction of advantage for immaterial factors is unclear. This is to</w:t>
      </w:r>
      <w:r w:rsidRPr="00C84880">
        <w:t xml:space="preserve"> allow service providers to recoup at least efficient costs incurred as a result of th</w:t>
      </w:r>
      <w:r>
        <w:t>ose</w:t>
      </w:r>
      <w:r w:rsidRPr="00C84880">
        <w:t xml:space="preserve"> immaterial </w:t>
      </w:r>
      <w:r>
        <w:t>OEF</w:t>
      </w:r>
      <w:r w:rsidRPr="00C84880">
        <w:t>s</w:t>
      </w:r>
      <w:r>
        <w:t>, consistent with the revenue and pricing principles in the NEL. In future, as our information set improves we may reconsider our approach to immaterial OEFs.</w:t>
      </w:r>
    </w:p>
    <w:p w:rsidR="00051BDB" w:rsidRDefault="00051BDB" w:rsidP="00051BDB">
      <w:pPr>
        <w:pStyle w:val="ListParagraph"/>
        <w:numPr>
          <w:ilvl w:val="0"/>
          <w:numId w:val="24"/>
        </w:numPr>
      </w:pPr>
      <w:r>
        <w:t>The table below provides a summary of the quantification of the effect of immaterial factors.</w:t>
      </w:r>
    </w:p>
    <w:p w:rsidR="00051BDB" w:rsidRPr="00B00D4E" w:rsidRDefault="00110327" w:rsidP="00051BDB">
      <w:pPr>
        <w:pStyle w:val="Caption"/>
      </w:pPr>
      <w:r>
        <w:t xml:space="preserve">Table </w:t>
      </w:r>
      <w:fldSimple w:instr=" STYLEREF 7 \s ">
        <w:r w:rsidR="00CF2125">
          <w:rPr>
            <w:noProof/>
          </w:rPr>
          <w:t>A</w:t>
        </w:r>
      </w:fldSimple>
      <w:r w:rsidR="00CF2125">
        <w:t>.</w:t>
      </w:r>
      <w:fldSimple w:instr=" SEQ ATable \* ARABIC \s 7 ">
        <w:r w:rsidR="00CF2125">
          <w:rPr>
            <w:noProof/>
          </w:rPr>
          <w:t>8</w:t>
        </w:r>
      </w:fldSimple>
      <w:r w:rsidR="00051BDB">
        <w:tab/>
      </w:r>
      <w:r w:rsidR="00051BDB" w:rsidRPr="00B00D4E">
        <w:t xml:space="preserve">Summary of </w:t>
      </w:r>
      <w:r w:rsidR="00051BDB">
        <w:t>individually im</w:t>
      </w:r>
      <w:r w:rsidR="00051BDB" w:rsidRPr="00B00D4E">
        <w:t xml:space="preserve">material </w:t>
      </w:r>
      <w:r w:rsidR="00051BDB">
        <w:t>OEF</w:t>
      </w:r>
      <w:r w:rsidR="00051BDB" w:rsidRPr="00B00D4E">
        <w:t xml:space="preserve"> adjustments</w:t>
      </w:r>
      <w:r w:rsidR="00051BDB">
        <w:rPr>
          <w:rStyle w:val="FootnoteReference"/>
        </w:rPr>
        <w:footnoteReference w:id="563"/>
      </w:r>
    </w:p>
    <w:tbl>
      <w:tblPr>
        <w:tblStyle w:val="AERtable-numbers"/>
        <w:tblW w:w="8755" w:type="dxa"/>
        <w:tblLook w:val="04A0" w:firstRow="1" w:lastRow="0" w:firstColumn="1" w:lastColumn="0" w:noHBand="0" w:noVBand="1"/>
      </w:tblPr>
      <w:tblGrid>
        <w:gridCol w:w="4219"/>
        <w:gridCol w:w="1512"/>
        <w:gridCol w:w="1512"/>
        <w:gridCol w:w="1512"/>
      </w:tblGrid>
      <w:tr w:rsidR="00051BDB" w:rsidTr="00051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rsidRPr="00B00D4E">
              <w:t>Factor</w:t>
            </w:r>
          </w:p>
        </w:tc>
        <w:tc>
          <w:tcPr>
            <w:tcW w:w="1512" w:type="dxa"/>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B00D4E">
              <w:t>Ausgrid</w:t>
            </w:r>
          </w:p>
        </w:tc>
        <w:tc>
          <w:tcPr>
            <w:tcW w:w="1512" w:type="dxa"/>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B00D4E">
              <w:t>Endeavour</w:t>
            </w:r>
          </w:p>
        </w:tc>
        <w:tc>
          <w:tcPr>
            <w:tcW w:w="1512" w:type="dxa"/>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B00D4E">
              <w:t>Essential</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Asset lives</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Building regulations</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BD6B0B">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BD6B0B">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BD6B0B">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Bushfires</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w:t>
            </w:r>
            <w:r w:rsidRPr="00051BDB">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BD6B0B">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BD6B0B">
              <w:t>-0.5%</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Capitalisation practices</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Corrosive environments</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BD6B0B">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BD6B0B">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BD6B0B">
              <w:t>0.5%</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Cultural heritage obligations</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Environmental Regulations</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BD6B0B">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BD6B0B">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BD6B0B">
              <w:t>0.5%</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Environmental variability</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Extreme weather events</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Grounding conditions</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BD6B0B">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BD6B0B">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BD6B0B">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Network access</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-0.1%</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r w:rsidRPr="00051BDB">
              <w:t>%</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0.4%</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Planning regulations</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466825">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466825">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466825">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Proportion of 11kV and 22kV lines</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466825">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466825">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466825">
              <w:t>0.5%</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 xml:space="preserve">Rainfall and </w:t>
            </w:r>
            <w:r w:rsidRPr="00051BDB">
              <w:t>humidity</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466825">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466825">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466825">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Specialised skills</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Solar uptake</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Topography</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0.5%</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Traffic management</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466825">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466825">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Transformer capacity owned by customers</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-0.2</w:t>
            </w:r>
            <w:r w:rsidRPr="00051BDB">
              <w:t>%</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466825">
              <w:t>0.</w:t>
            </w:r>
            <w:r w:rsidRPr="00051BDB">
              <w:t>1%</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466825">
              <w:t>0.0%</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t>Division of v</w:t>
            </w:r>
            <w:r w:rsidRPr="00051BDB">
              <w:t xml:space="preserve">egetation management </w:t>
            </w:r>
            <w:r w:rsidRPr="00051BDB">
              <w:lastRenderedPageBreak/>
              <w:t>responsibility</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lastRenderedPageBreak/>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c>
          <w:tcPr>
            <w:tcW w:w="1512" w:type="dxa"/>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0.5%</w:t>
            </w:r>
          </w:p>
        </w:tc>
      </w:tr>
      <w:tr w:rsidR="00051BDB" w:rsidTr="00051BDB">
        <w:tc>
          <w:tcPr>
            <w:cnfStyle w:val="001000000000" w:firstRow="0" w:lastRow="0" w:firstColumn="1" w:lastColumn="0" w:oddVBand="0" w:evenVBand="0" w:oddHBand="0" w:evenHBand="0" w:firstRowFirstColumn="0" w:firstRowLastColumn="0" w:lastRowFirstColumn="0" w:lastRowLastColumn="0"/>
            <w:tcW w:w="4219" w:type="dxa"/>
          </w:tcPr>
          <w:p w:rsidR="00051BDB" w:rsidRPr="00051BDB" w:rsidRDefault="00051BDB" w:rsidP="00051BDB">
            <w:pPr>
              <w:pStyle w:val="AERtabletextleft"/>
            </w:pPr>
            <w:r w:rsidRPr="00B00D4E">
              <w:lastRenderedPageBreak/>
              <w:t>Total</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4.7</w:t>
            </w:r>
            <w:r w:rsidRPr="00051BDB">
              <w:t>%</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6.7</w:t>
            </w:r>
            <w:r w:rsidRPr="00051BDB">
              <w:t>%</w:t>
            </w:r>
          </w:p>
        </w:tc>
        <w:tc>
          <w:tcPr>
            <w:tcW w:w="1512" w:type="dxa"/>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5.4</w:t>
            </w:r>
            <w:r w:rsidRPr="00051BDB">
              <w:t>%</w:t>
            </w:r>
          </w:p>
        </w:tc>
      </w:tr>
    </w:tbl>
    <w:p w:rsidR="00051BDB" w:rsidRPr="00B00D4E" w:rsidRDefault="00051BDB" w:rsidP="00051BDB">
      <w:pPr>
        <w:pStyle w:val="ListParagraph"/>
        <w:numPr>
          <w:ilvl w:val="0"/>
          <w:numId w:val="24"/>
        </w:numPr>
        <w:rPr>
          <w:rStyle w:val="AERtextsize8"/>
        </w:rPr>
      </w:pPr>
      <w:r w:rsidRPr="00B00D4E">
        <w:rPr>
          <w:rStyle w:val="AERtextsize8"/>
        </w:rPr>
        <w:t xml:space="preserve">Source: </w:t>
      </w:r>
      <w:r w:rsidRPr="00B00D4E">
        <w:rPr>
          <w:rStyle w:val="AERtextsize8"/>
        </w:rPr>
        <w:tab/>
        <w:t>AER analysis.</w:t>
      </w:r>
    </w:p>
    <w:p w:rsidR="00051BDB" w:rsidRDefault="00051BDB" w:rsidP="00051BDB">
      <w:pPr>
        <w:pStyle w:val="HeadingBoldItalic"/>
      </w:pPr>
      <w:r>
        <w:t>OEF assessment: comparison point</w:t>
      </w:r>
    </w:p>
    <w:p w:rsidR="00051BDB" w:rsidRPr="00FB42D0" w:rsidRDefault="00051BDB" w:rsidP="00051BDB">
      <w:pPr>
        <w:pStyle w:val="ListParagraph"/>
        <w:numPr>
          <w:ilvl w:val="0"/>
          <w:numId w:val="24"/>
        </w:numPr>
      </w:pPr>
      <w:r w:rsidRPr="00FB42D0">
        <w:t xml:space="preserve">To determine if an OEF provides a cost advantage, or disadvantage, to a service provider we first determine who the service provider is being compared to. For the purpose of estimating the effect of OEFs, the comparison point is the customer weighted average of the service providers that score equal to or above the benchmark comparison point. This compares the service providers being benchmarked to all service providers at or above the benchmark point. This ensures that the operating circumstances of all the comparison firms are taken into account when assessing a service provider's base year opex. This allows a better estimate of service providers' underlying efficiency than a comparison to the service provider at the benchmark comparison point. Using the single firm at the benchmark comparison point could lead to OEF adjustments that unfairly advantage or disadvantage service providers. </w:t>
      </w:r>
    </w:p>
    <w:p w:rsidR="00051BDB" w:rsidRPr="00FB42D0" w:rsidRDefault="00051BDB" w:rsidP="00051BDB">
      <w:pPr>
        <w:pStyle w:val="ListParagraph"/>
        <w:numPr>
          <w:ilvl w:val="0"/>
          <w:numId w:val="24"/>
        </w:numPr>
      </w:pPr>
      <w:r w:rsidRPr="00FB42D0">
        <w:t xml:space="preserve">For example, there may be a situation where there is an OEF that affects the service provider at the benchmark comparison point and other service providers above the benchmark comparison point differently. Providing an OEF based on a comparison to the service provider at the benchmark comparison point would lead to an OEF adjustment that would not reflect the broad variety of operating environments that the comparison firms operate in. This is because there are other service providers above the benchmark comparison point that may be advantaged or disadvantaged by the OEF under consideration. For this reason, as a comparison point for OEF assessment, we use the customer weighted average of all service providers that are at or above the benchmark comparison point. </w:t>
      </w:r>
    </w:p>
    <w:p w:rsidR="00051BDB" w:rsidRPr="00F07F72" w:rsidRDefault="00051BDB" w:rsidP="00051BDB">
      <w:pPr>
        <w:pStyle w:val="HeadingBoldItalic"/>
        <w:numPr>
          <w:ilvl w:val="0"/>
          <w:numId w:val="24"/>
        </w:numPr>
      </w:pPr>
      <w:r w:rsidRPr="00F07F72">
        <w:t xml:space="preserve">OEF assessment: </w:t>
      </w:r>
      <w:r>
        <w:t>calculation of OEFs</w:t>
      </w:r>
    </w:p>
    <w:p w:rsidR="00051BDB" w:rsidRPr="00841D3E" w:rsidRDefault="00051BDB" w:rsidP="00051BDB">
      <w:pPr>
        <w:pStyle w:val="ListParagraph"/>
        <w:numPr>
          <w:ilvl w:val="0"/>
          <w:numId w:val="24"/>
        </w:numPr>
      </w:pPr>
      <w:r w:rsidRPr="00841D3E">
        <w:t>We have had to estimate the impact of OEFs using different data sources. In some circumstances we have had access to the information required to estimate the incremental efficient cost of an OEF. In others we have only had the historical costs of the service provider being benchmarked to estimate the effect.</w:t>
      </w:r>
    </w:p>
    <w:p w:rsidR="00051BDB" w:rsidRDefault="00051BDB" w:rsidP="00051BDB">
      <w:pPr>
        <w:pStyle w:val="ListParagraph"/>
        <w:numPr>
          <w:ilvl w:val="0"/>
          <w:numId w:val="24"/>
        </w:numPr>
      </w:pPr>
      <w:r w:rsidRPr="00841D3E">
        <w:t xml:space="preserve">Where the efficient incremental costs can be estimated, the relevant OEF adjustment can be made in isolation. This is because the OEF adjustment is the percentage increase on the efficient costs estimated by the SFA model. </w:t>
      </w:r>
      <w:r>
        <w:t>An example</w:t>
      </w:r>
      <w:r w:rsidRPr="00841D3E">
        <w:t xml:space="preserve"> </w:t>
      </w:r>
      <w:r>
        <w:t xml:space="preserve">of this </w:t>
      </w:r>
      <w:r w:rsidRPr="00841D3E">
        <w:t xml:space="preserve">is shown in </w:t>
      </w:r>
      <w:r w:rsidR="00DF2BB8">
        <w:fldChar w:fldCharType="begin"/>
      </w:r>
      <w:r w:rsidR="00DF2BB8">
        <w:instrText xml:space="preserve"> REF _Ref417642356 \h </w:instrText>
      </w:r>
      <w:r w:rsidR="00DF2BB8">
        <w:fldChar w:fldCharType="separate"/>
      </w:r>
      <w:r w:rsidR="00C74791">
        <w:t xml:space="preserve">Table </w:t>
      </w:r>
      <w:r w:rsidR="00C74791">
        <w:rPr>
          <w:noProof/>
        </w:rPr>
        <w:t>A</w:t>
      </w:r>
      <w:r w:rsidR="00C74791">
        <w:t>.</w:t>
      </w:r>
      <w:r w:rsidR="00C74791">
        <w:rPr>
          <w:noProof/>
        </w:rPr>
        <w:t>9</w:t>
      </w:r>
      <w:r w:rsidR="00DF2BB8">
        <w:fldChar w:fldCharType="end"/>
      </w:r>
      <w:r w:rsidR="00DF2BB8">
        <w:t xml:space="preserve"> </w:t>
      </w:r>
      <w:r w:rsidRPr="00841D3E">
        <w:t>below.</w:t>
      </w:r>
      <w:r>
        <w:t xml:space="preserve"> The example shows how an adjustment would be calculated, using information on efficient costs, in the case that a service provider required a 50 per cent OEF adjustment.</w:t>
      </w:r>
    </w:p>
    <w:p w:rsidR="00C74791" w:rsidRDefault="00C74791">
      <w:pPr>
        <w:spacing w:line="240" w:lineRule="auto"/>
      </w:pPr>
      <w:r>
        <w:br w:type="page"/>
      </w:r>
    </w:p>
    <w:p w:rsidR="00051BDB" w:rsidRPr="00EA47C2" w:rsidRDefault="00110327" w:rsidP="00051BDB">
      <w:pPr>
        <w:pStyle w:val="Caption"/>
        <w:numPr>
          <w:ilvl w:val="0"/>
          <w:numId w:val="24"/>
        </w:numPr>
      </w:pPr>
      <w:bookmarkStart w:id="223" w:name="_Ref417642356"/>
      <w:r>
        <w:lastRenderedPageBreak/>
        <w:t xml:space="preserve">Table </w:t>
      </w:r>
      <w:fldSimple w:instr=" STYLEREF 7 \s ">
        <w:r w:rsidR="00CF2125">
          <w:rPr>
            <w:noProof/>
          </w:rPr>
          <w:t>A</w:t>
        </w:r>
      </w:fldSimple>
      <w:r w:rsidR="00CF2125">
        <w:t>.</w:t>
      </w:r>
      <w:fldSimple w:instr=" SEQ ATable \* ARABIC \s 7 ">
        <w:r w:rsidR="00CF2125">
          <w:rPr>
            <w:noProof/>
          </w:rPr>
          <w:t>9</w:t>
        </w:r>
      </w:fldSimple>
      <w:bookmarkEnd w:id="223"/>
      <w:r w:rsidR="00051BDB">
        <w:tab/>
      </w:r>
      <w:r w:rsidR="00051BDB" w:rsidRPr="00EA47C2">
        <w:t xml:space="preserve"> Worked example of impact of an OEF where efficiency of costs has been demonstrated</w:t>
      </w:r>
    </w:p>
    <w:tbl>
      <w:tblPr>
        <w:tblStyle w:val="AERtable-numbers"/>
        <w:tblW w:w="0" w:type="auto"/>
        <w:tblLook w:val="04A0" w:firstRow="1" w:lastRow="0" w:firstColumn="1" w:lastColumn="0" w:noHBand="0" w:noVBand="1"/>
      </w:tblPr>
      <w:tblGrid>
        <w:gridCol w:w="4503"/>
        <w:gridCol w:w="2095"/>
        <w:gridCol w:w="2095"/>
      </w:tblGrid>
      <w:tr w:rsidR="00051BDB" w:rsidTr="00051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51BDB" w:rsidRPr="00051BDB" w:rsidRDefault="00051BDB" w:rsidP="00051BDB">
            <w:r w:rsidRPr="00EA47C2">
              <w:t>Cost component</w:t>
            </w:r>
          </w:p>
        </w:tc>
        <w:tc>
          <w:tcPr>
            <w:tcW w:w="2095" w:type="dxa"/>
          </w:tcPr>
          <w:p w:rsidR="00051BDB" w:rsidRPr="00EA47C2" w:rsidRDefault="00051BDB" w:rsidP="00051BDB">
            <w:pPr>
              <w:cnfStyle w:val="100000000000" w:firstRow="1" w:lastRow="0" w:firstColumn="0" w:lastColumn="0" w:oddVBand="0" w:evenVBand="0" w:oddHBand="0" w:evenHBand="0" w:firstRowFirstColumn="0" w:firstRowLastColumn="0" w:lastRowFirstColumn="0" w:lastRowLastColumn="0"/>
            </w:pPr>
          </w:p>
        </w:tc>
        <w:tc>
          <w:tcPr>
            <w:tcW w:w="2095" w:type="dxa"/>
          </w:tcPr>
          <w:p w:rsidR="00051BDB" w:rsidRPr="00051BDB" w:rsidRDefault="00051BDB" w:rsidP="00051BDB">
            <w:pPr>
              <w:cnfStyle w:val="100000000000" w:firstRow="1" w:lastRow="0" w:firstColumn="0" w:lastColumn="0" w:oddVBand="0" w:evenVBand="0" w:oddHBand="0" w:evenHBand="0" w:firstRowFirstColumn="0" w:firstRowLastColumn="0" w:lastRowFirstColumn="0" w:lastRowLastColumn="0"/>
            </w:pPr>
            <w:r w:rsidRPr="00EA47C2">
              <w:t>$m 2013</w:t>
            </w:r>
          </w:p>
        </w:tc>
      </w:tr>
      <w:tr w:rsidR="00051BDB" w:rsidTr="00051BDB">
        <w:tc>
          <w:tcPr>
            <w:cnfStyle w:val="001000000000" w:firstRow="0" w:lastRow="0" w:firstColumn="1" w:lastColumn="0" w:oddVBand="0" w:evenVBand="0" w:oddHBand="0" w:evenHBand="0" w:firstRowFirstColumn="0" w:firstRowLastColumn="0" w:lastRowFirstColumn="0" w:lastRowLastColumn="0"/>
            <w:tcW w:w="4503" w:type="dxa"/>
          </w:tcPr>
          <w:p w:rsidR="00051BDB" w:rsidRPr="00051BDB" w:rsidRDefault="00051BDB" w:rsidP="00051BDB">
            <w:r w:rsidRPr="00EA47C2">
              <w:t>Firm's costs including exogenous factor</w:t>
            </w:r>
          </w:p>
        </w:tc>
        <w:tc>
          <w:tcPr>
            <w:tcW w:w="2095"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EA47C2">
              <w:t>A</w:t>
            </w:r>
          </w:p>
        </w:tc>
        <w:tc>
          <w:tcPr>
            <w:tcW w:w="2095"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EA47C2">
              <w:t>$150</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51BDB" w:rsidRPr="00051BDB" w:rsidRDefault="00051BDB" w:rsidP="00051BDB">
            <w:r w:rsidRPr="00EA47C2">
              <w:t>Efficient costs estimated by SFA model</w:t>
            </w:r>
          </w:p>
        </w:tc>
        <w:tc>
          <w:tcPr>
            <w:tcW w:w="2095" w:type="dxa"/>
          </w:tcPr>
          <w:p w:rsidR="00051BDB" w:rsidRPr="00051BDB" w:rsidRDefault="00051BDB" w:rsidP="00051BDB">
            <w:pPr>
              <w:cnfStyle w:val="000000010000" w:firstRow="0" w:lastRow="0" w:firstColumn="0" w:lastColumn="0" w:oddVBand="0" w:evenVBand="0" w:oddHBand="0" w:evenHBand="1" w:firstRowFirstColumn="0" w:firstRowLastColumn="0" w:lastRowFirstColumn="0" w:lastRowLastColumn="0"/>
            </w:pPr>
            <w:r w:rsidRPr="00EA47C2">
              <w:t>B</w:t>
            </w:r>
          </w:p>
        </w:tc>
        <w:tc>
          <w:tcPr>
            <w:tcW w:w="2095" w:type="dxa"/>
          </w:tcPr>
          <w:p w:rsidR="00051BDB" w:rsidRPr="00051BDB" w:rsidRDefault="00051BDB" w:rsidP="00051BDB">
            <w:pPr>
              <w:cnfStyle w:val="000000010000" w:firstRow="0" w:lastRow="0" w:firstColumn="0" w:lastColumn="0" w:oddVBand="0" w:evenVBand="0" w:oddHBand="0" w:evenHBand="1" w:firstRowFirstColumn="0" w:firstRowLastColumn="0" w:lastRowFirstColumn="0" w:lastRowLastColumn="0"/>
            </w:pPr>
            <w:r w:rsidRPr="00EA47C2">
              <w:t>$100</w:t>
            </w:r>
          </w:p>
        </w:tc>
      </w:tr>
      <w:tr w:rsidR="00051BDB" w:rsidTr="00051BDB">
        <w:tc>
          <w:tcPr>
            <w:cnfStyle w:val="001000000000" w:firstRow="0" w:lastRow="0" w:firstColumn="1" w:lastColumn="0" w:oddVBand="0" w:evenVBand="0" w:oddHBand="0" w:evenHBand="0" w:firstRowFirstColumn="0" w:firstRowLastColumn="0" w:lastRowFirstColumn="0" w:lastRowLastColumn="0"/>
            <w:tcW w:w="4503" w:type="dxa"/>
          </w:tcPr>
          <w:p w:rsidR="00051BDB" w:rsidRPr="00051BDB" w:rsidRDefault="00051BDB" w:rsidP="00051BDB">
            <w:r w:rsidRPr="00EA47C2">
              <w:t>Cost incurred</w:t>
            </w:r>
            <w:r w:rsidRPr="00051BDB">
              <w:t xml:space="preserve"> for OEF</w:t>
            </w:r>
          </w:p>
        </w:tc>
        <w:tc>
          <w:tcPr>
            <w:tcW w:w="2095"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EA47C2">
              <w:t>C</w:t>
            </w:r>
          </w:p>
        </w:tc>
        <w:tc>
          <w:tcPr>
            <w:tcW w:w="2095"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EA47C2">
              <w:t>$50</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51BDB" w:rsidRPr="00051BDB" w:rsidRDefault="00051BDB" w:rsidP="00051BDB">
            <w:r w:rsidRPr="00EA47C2">
              <w:t xml:space="preserve">OEF </w:t>
            </w:r>
            <w:r w:rsidRPr="00051BDB">
              <w:t>adjustment</w:t>
            </w:r>
          </w:p>
        </w:tc>
        <w:tc>
          <w:tcPr>
            <w:tcW w:w="2095" w:type="dxa"/>
          </w:tcPr>
          <w:p w:rsidR="00051BDB" w:rsidRPr="00051BDB" w:rsidRDefault="00051BDB" w:rsidP="00051BDB">
            <w:pPr>
              <w:cnfStyle w:val="000000010000" w:firstRow="0" w:lastRow="0" w:firstColumn="0" w:lastColumn="0" w:oddVBand="0" w:evenVBand="0" w:oddHBand="0" w:evenHBand="1" w:firstRowFirstColumn="0" w:firstRowLastColumn="0" w:lastRowFirstColumn="0" w:lastRowLastColumn="0"/>
            </w:pPr>
            <w:r>
              <w:t>D</w:t>
            </w:r>
            <w:r w:rsidRPr="00051BDB">
              <w:t>=(B+C)/B-1</w:t>
            </w:r>
          </w:p>
        </w:tc>
        <w:tc>
          <w:tcPr>
            <w:tcW w:w="2095" w:type="dxa"/>
          </w:tcPr>
          <w:p w:rsidR="00051BDB" w:rsidRPr="00051BDB" w:rsidRDefault="00051BDB" w:rsidP="00051BDB">
            <w:pPr>
              <w:cnfStyle w:val="000000010000" w:firstRow="0" w:lastRow="0" w:firstColumn="0" w:lastColumn="0" w:oddVBand="0" w:evenVBand="0" w:oddHBand="0" w:evenHBand="1" w:firstRowFirstColumn="0" w:firstRowLastColumn="0" w:lastRowFirstColumn="0" w:lastRowLastColumn="0"/>
            </w:pPr>
            <w:r w:rsidRPr="00EA47C2">
              <w:t>50%</w:t>
            </w:r>
          </w:p>
        </w:tc>
      </w:tr>
      <w:tr w:rsidR="00051BDB" w:rsidTr="00051BDB">
        <w:tc>
          <w:tcPr>
            <w:cnfStyle w:val="001000000000" w:firstRow="0" w:lastRow="0" w:firstColumn="1" w:lastColumn="0" w:oddVBand="0" w:evenVBand="0" w:oddHBand="0" w:evenHBand="0" w:firstRowFirstColumn="0" w:firstRowLastColumn="0" w:lastRowFirstColumn="0" w:lastRowLastColumn="0"/>
            <w:tcW w:w="4503" w:type="dxa"/>
          </w:tcPr>
          <w:p w:rsidR="00051BDB" w:rsidRPr="00051BDB" w:rsidRDefault="00051BDB" w:rsidP="00051BDB">
            <w:r w:rsidRPr="00EA47C2">
              <w:t>Forecast of efficient costs including OEF</w:t>
            </w:r>
          </w:p>
        </w:tc>
        <w:tc>
          <w:tcPr>
            <w:tcW w:w="2095"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t>E</w:t>
            </w:r>
            <w:r w:rsidRPr="00051BDB">
              <w:t>=B*(1+D)</w:t>
            </w:r>
          </w:p>
        </w:tc>
        <w:tc>
          <w:tcPr>
            <w:tcW w:w="2095"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EA47C2">
              <w:t>$150</w:t>
            </w:r>
          </w:p>
        </w:tc>
      </w:tr>
    </w:tbl>
    <w:p w:rsidR="00051BDB" w:rsidRDefault="00051BDB" w:rsidP="00051BDB">
      <w:pPr>
        <w:pStyle w:val="AERtablesource"/>
        <w:numPr>
          <w:ilvl w:val="0"/>
          <w:numId w:val="24"/>
        </w:numPr>
      </w:pPr>
      <w:r w:rsidRPr="00EA47C2">
        <w:t>Source: AER analysis</w:t>
      </w:r>
    </w:p>
    <w:p w:rsidR="00051BDB" w:rsidRDefault="00051BDB" w:rsidP="00051BDB">
      <w:pPr>
        <w:pStyle w:val="ListParagraph"/>
        <w:numPr>
          <w:ilvl w:val="0"/>
          <w:numId w:val="24"/>
        </w:numPr>
      </w:pPr>
      <w:r w:rsidRPr="00841D3E">
        <w:t>Where we only have information on the historical share of opex an OEF represents for the service provider being benchmarked,</w:t>
      </w:r>
      <w:r w:rsidRPr="00841D3E">
        <w:rPr>
          <w:rStyle w:val="FootnoteReference"/>
        </w:rPr>
        <w:footnoteReference w:id="564"/>
      </w:r>
      <w:r w:rsidRPr="00841D3E">
        <w:t xml:space="preserve"> the OEF adjustment must be calculated with reference to the impact of other OEF adjustments. </w:t>
      </w:r>
      <w:r>
        <w:t xml:space="preserve">This change is made to translate the impact of the OEF on the service provider's historical costs, to the OEF adjustment to the efficient base year costs forecast by the SFA model. </w:t>
      </w:r>
    </w:p>
    <w:p w:rsidR="00051BDB" w:rsidRPr="00841D3E" w:rsidRDefault="00051BDB" w:rsidP="00051BDB">
      <w:pPr>
        <w:pStyle w:val="ListParagraph"/>
        <w:numPr>
          <w:ilvl w:val="0"/>
          <w:numId w:val="24"/>
        </w:numPr>
      </w:pPr>
      <w:r>
        <w:t xml:space="preserve">This is done for two reasons. </w:t>
      </w:r>
      <w:r w:rsidRPr="00841D3E">
        <w:t>Treating the historical cost as fully efficient runs the risk of overcompensating the service provider. This is because those costs may contain some inefficiency. Additionally, if the impact of OEFs on historical opex is not taken into account, the OEF may over or undercompensate the service provider; depending on the direction of the adjustment. This is because the starting point to estimate the percentage change in opex due to the OEF will be affected by OEFs.</w:t>
      </w:r>
    </w:p>
    <w:p w:rsidR="00051BDB" w:rsidRPr="00B828F9" w:rsidRDefault="00051BDB" w:rsidP="00051BDB">
      <w:pPr>
        <w:pStyle w:val="ListParagraph"/>
        <w:numPr>
          <w:ilvl w:val="0"/>
          <w:numId w:val="24"/>
        </w:numPr>
      </w:pPr>
      <w:r>
        <w:t>The NSW service providers</w:t>
      </w:r>
      <w:r w:rsidRPr="00B828F9">
        <w:t xml:space="preserve"> </w:t>
      </w:r>
      <w:r>
        <w:t>are</w:t>
      </w:r>
      <w:r w:rsidRPr="00B828F9">
        <w:t xml:space="preserve"> affected by two OEFs where information on the efficient costs is not available: customer owned distribution capacity</w:t>
      </w:r>
      <w:r>
        <w:t xml:space="preserve"> and licence conditions</w:t>
      </w:r>
      <w:r w:rsidRPr="00B828F9">
        <w:t>. The calculation of the adjustment to these factors can be found in the OEF summary spreadsheet attached to this decision.</w:t>
      </w:r>
    </w:p>
    <w:p w:rsidR="00051BDB" w:rsidRPr="00B828F9" w:rsidRDefault="00051BDB" w:rsidP="00051BDB">
      <w:pPr>
        <w:pStyle w:val="ListParagraph"/>
        <w:numPr>
          <w:ilvl w:val="0"/>
          <w:numId w:val="24"/>
        </w:numPr>
      </w:pPr>
      <w:r w:rsidRPr="00B828F9">
        <w:t>In the following sections we consider the points raised by stakeholders in response to the OEF methodology used in our draft decision.</w:t>
      </w:r>
    </w:p>
    <w:p w:rsidR="00051BDB" w:rsidRPr="00B7151E" w:rsidRDefault="00051BDB" w:rsidP="00051BDB">
      <w:pPr>
        <w:pStyle w:val="HeadingBoldItalic"/>
      </w:pPr>
      <w:r>
        <w:t>Treatment of endogenous circumstances</w:t>
      </w:r>
    </w:p>
    <w:p w:rsidR="00051BDB" w:rsidRDefault="00051BDB" w:rsidP="00051BDB">
      <w:r>
        <w:t xml:space="preserve">In response to our draft decision, ActewAGL submitted that controllable OEFs require OEF adjustments. ActewAGL submitted: </w:t>
      </w:r>
    </w:p>
    <w:p w:rsidR="00051BDB" w:rsidRDefault="00051BDB" w:rsidP="00051BDB">
      <w:pPr>
        <w:pStyle w:val="AERquote"/>
      </w:pPr>
      <w:r w:rsidRPr="0014220F">
        <w:t xml:space="preserve">ActewAGL Distribution considers that to be robust and informative benchmarking should recognise and quantify the impact of </w:t>
      </w:r>
      <w:r>
        <w:t xml:space="preserve">[…] </w:t>
      </w:r>
      <w:r w:rsidRPr="0014220F">
        <w:t>controllable drivers of cost differences such as differences in accounting treatments and differences in work practices and operating techniques</w:t>
      </w:r>
      <w:r>
        <w:t>.</w:t>
      </w:r>
      <w:r>
        <w:rPr>
          <w:rStyle w:val="FootnoteReference"/>
        </w:rPr>
        <w:footnoteReference w:id="565"/>
      </w:r>
    </w:p>
    <w:p w:rsidR="00051BDB" w:rsidRDefault="00051BDB" w:rsidP="00051BDB">
      <w:r>
        <w:lastRenderedPageBreak/>
        <w:t>Differences in work practices and operating techniques are endogenous. The AEMC provides guidance on what it considers to be an endogenous factor that should not be taken into account when benchmarking. It stated:</w:t>
      </w:r>
    </w:p>
    <w:p w:rsidR="00051BDB" w:rsidRPr="00C94426" w:rsidRDefault="00051BDB" w:rsidP="00051BDB">
      <w:pPr>
        <w:pStyle w:val="AERquote"/>
      </w:pPr>
      <w:r w:rsidRPr="00C94426">
        <w:t>Endogenous factors not to be taken into account may include:</w:t>
      </w:r>
    </w:p>
    <w:p w:rsidR="00051BDB" w:rsidRPr="00C94426" w:rsidRDefault="00051BDB" w:rsidP="00051BDB">
      <w:pPr>
        <w:pStyle w:val="AERquote"/>
      </w:pPr>
      <w:r w:rsidRPr="00C94426">
        <w:t>• the nature of ownership of the NSP;</w:t>
      </w:r>
    </w:p>
    <w:p w:rsidR="00051BDB" w:rsidRPr="00C94426" w:rsidRDefault="00051BDB" w:rsidP="00051BDB">
      <w:pPr>
        <w:pStyle w:val="AERquote"/>
      </w:pPr>
      <w:r w:rsidRPr="00C94426">
        <w:t>• quality of management; and</w:t>
      </w:r>
    </w:p>
    <w:p w:rsidR="00051BDB" w:rsidRDefault="00051BDB" w:rsidP="00051BDB">
      <w:pPr>
        <w:pStyle w:val="AERquote"/>
      </w:pPr>
      <w:r w:rsidRPr="00C94426">
        <w:t>• financial decisions.</w:t>
      </w:r>
      <w:r>
        <w:rPr>
          <w:rStyle w:val="FootnoteReference"/>
        </w:rPr>
        <w:footnoteReference w:id="566"/>
      </w:r>
    </w:p>
    <w:p w:rsidR="00051BDB" w:rsidRDefault="00051BDB" w:rsidP="00051BDB">
      <w:r>
        <w:t>Differences in opex due to work practices and operating techniques are a direct outcome of management decisions. Therefore we do not provide an OEF adjustment for them. In general we consider that any OEFs that are a result of the quality of management do not meet the exogeneity OEF criterion.</w:t>
      </w:r>
    </w:p>
    <w:p w:rsidR="00051BDB" w:rsidRDefault="00051BDB" w:rsidP="00051BDB">
      <w:r>
        <w:t>We do note that differences in accounting practices may lead to differences in opex that are unrelated to quality of management. As a result we have taken into account the effect of capitalisation practices in our benchmarking.</w:t>
      </w:r>
    </w:p>
    <w:p w:rsidR="00051BDB" w:rsidRPr="00B7151E" w:rsidRDefault="00051BDB" w:rsidP="00051BDB">
      <w:pPr>
        <w:pStyle w:val="HeadingBoldItalic"/>
      </w:pPr>
      <w:r>
        <w:t>Non-recurrent costs</w:t>
      </w:r>
    </w:p>
    <w:p w:rsidR="00051BDB" w:rsidRDefault="00051BDB" w:rsidP="00051BDB">
      <w:r>
        <w:t>In response to our draft decision, ActewAGL raised the issue of non-recurrent costs included in ActewAGL's base year. ActewAGL considers that an OEF adjustment should be made for one off costs included in its base year.</w:t>
      </w:r>
      <w:r>
        <w:rPr>
          <w:rStyle w:val="FootnoteReference"/>
        </w:rPr>
        <w:footnoteReference w:id="567"/>
      </w:r>
    </w:p>
    <w:p w:rsidR="00051BDB" w:rsidRDefault="00051BDB" w:rsidP="00051BDB">
      <w:r>
        <w:t xml:space="preserve">We are not satisfied that an OEF adjustment should be made for non-recurrent costs. Providing an OEF for non-recurrent costs would treat those costs as if they were recurrent. Economic Insights' benchmarking results are used as the basis for our forecast of opex. If we adjust the benchmarking results with an OEF adjustment for non-recurrent costs, it has the effect of including those non-recurrent costs in our opex forecast. </w:t>
      </w:r>
    </w:p>
    <w:p w:rsidR="00051BDB" w:rsidRDefault="00051BDB" w:rsidP="00051BDB">
      <w:r>
        <w:t>Additionally, an OEF adjustment for a non-recurrent cost would not meet the duplication OEF criterion. Economic Insights' SFA model takes non-recurrent costs into account. The SFA efficiency scores are based on the average performance of service providers over the period. Therefore the effects of transitory increases or decreases in relative opex efficiency are reduced. Also SFA modelling accounts for transitory variations in data using a compound stochastic variance term. This statistical technique accounts for random shocks in opex.</w:t>
      </w:r>
      <w:r>
        <w:rPr>
          <w:rStyle w:val="FootnoteReference"/>
        </w:rPr>
        <w:footnoteReference w:id="568"/>
      </w:r>
    </w:p>
    <w:p w:rsidR="00051BDB" w:rsidRDefault="00051BDB" w:rsidP="00051BDB">
      <w:pPr>
        <w:pStyle w:val="HeadingBoldItalic"/>
      </w:pPr>
      <w:r>
        <w:t>Quantum of operating environment factors</w:t>
      </w:r>
    </w:p>
    <w:p w:rsidR="00051BDB" w:rsidRDefault="00051BDB" w:rsidP="00051BDB">
      <w:r>
        <w:lastRenderedPageBreak/>
        <w:t>In response to our draft decision, Huegin and Frontier Economics submitted that we have not taken into account all relevant OEFs.</w:t>
      </w:r>
      <w:r w:rsidRPr="003121D4">
        <w:rPr>
          <w:rStyle w:val="FootnoteReference"/>
        </w:rPr>
        <w:t xml:space="preserve"> </w:t>
      </w:r>
      <w:r>
        <w:rPr>
          <w:rStyle w:val="FootnoteReference"/>
        </w:rPr>
        <w:footnoteReference w:id="569"/>
      </w:r>
      <w:r>
        <w:t xml:space="preserve"> </w:t>
      </w:r>
      <w:r>
        <w:rPr>
          <w:rStyle w:val="FootnoteReference"/>
        </w:rPr>
        <w:footnoteReference w:id="570"/>
      </w:r>
      <w:r>
        <w:t xml:space="preserve"> Frontier considers our examination of OEFs is incomplete because it does not cover all possible differences. Huegin considers that we have not provided detailed analysis or justification for deeming variables as insignificant, and that there is not adequate data available to conduct such tests. Huegin and Frontier also submitted that the AER's quantification of OEFs was arbitrary.</w:t>
      </w:r>
      <w:r>
        <w:rPr>
          <w:rStyle w:val="FootnoteReference"/>
        </w:rPr>
        <w:footnoteReference w:id="571"/>
      </w:r>
      <w:r>
        <w:t xml:space="preserve"> </w:t>
      </w:r>
      <w:r>
        <w:rPr>
          <w:rStyle w:val="FootnoteReference"/>
        </w:rPr>
        <w:footnoteReference w:id="572"/>
      </w:r>
      <w:r>
        <w:t xml:space="preserve"> However, Frontier and Huegin did not explain what elements of our OEF adjustment they considered arbitrary and as such it is difficult to respond to their criticisms.</w:t>
      </w:r>
    </w:p>
    <w:p w:rsidR="00051BDB" w:rsidRDefault="00051BDB" w:rsidP="00051BDB">
      <w:r>
        <w:t>We have examined more than 60 OEFs raised by service providers and other stakeholders, including those suggested by Huegin and Frontier.</w:t>
      </w:r>
    </w:p>
    <w:p w:rsidR="00051BDB" w:rsidRDefault="00051BDB" w:rsidP="00051BDB">
      <w:r>
        <w:t>We consider that we have accounted for all material differences. We have also accounted for some immaterial differences. We agree with Frontier that it is unlikely that we have covered all possible differences between the service providers, but this is not the purpose of our OEF adjustments. The AEMC has stated that the purpose of benchmarking is not to normalise for every possible difference in networks, but to provide a high level view of efficiency taking into account certain exogenous factors.</w:t>
      </w:r>
      <w:r w:rsidRPr="00D91BAB">
        <w:rPr>
          <w:rStyle w:val="FootnoteReference"/>
        </w:rPr>
        <w:t xml:space="preserve"> </w:t>
      </w:r>
      <w:r>
        <w:rPr>
          <w:rStyle w:val="FootnoteReference"/>
        </w:rPr>
        <w:footnoteReference w:id="573"/>
      </w:r>
      <w:r>
        <w:t xml:space="preserve"> Given the number of factors examined, and the incentives for service providers to identify factors that materially increase their costs, we consider it is likely that we have considered all factors that will materially affect the NSW service providers' opex. Further, we have provided a quantification of immaterial factors which is at the upper bound of what we would expect to see on the basis of the information before us. Our benchmark comparison point also includes an appropriate margin for potential modelling,</w:t>
      </w:r>
      <w:r w:rsidRPr="002140E6">
        <w:t xml:space="preserve"> data</w:t>
      </w:r>
      <w:r>
        <w:t>,</w:t>
      </w:r>
      <w:r w:rsidRPr="002140E6">
        <w:t xml:space="preserve"> and other uncertainties</w:t>
      </w:r>
      <w:r>
        <w:t>.</w:t>
      </w:r>
    </w:p>
    <w:p w:rsidR="00051BDB" w:rsidRDefault="00051BDB" w:rsidP="00051BDB">
      <w:r>
        <w:t>Huegin did not provide any examples where we have not provided analysis or justification for deeming variables insignificant. Where quantitative data were available, we tested the materiality of the OEF using that data. Where qualitative information was provided we considered that; for example in our consideration of grounding conditions.</w:t>
      </w:r>
    </w:p>
    <w:p w:rsidR="00051BDB" w:rsidRPr="00B7151E" w:rsidRDefault="00051BDB" w:rsidP="00051BDB">
      <w:pPr>
        <w:pStyle w:val="HeadingBoldItalic"/>
      </w:pPr>
      <w:r>
        <w:t>Quantum of material operating environment factors</w:t>
      </w:r>
    </w:p>
    <w:p w:rsidR="00051BDB" w:rsidRDefault="00051BDB" w:rsidP="00051BDB">
      <w:r>
        <w:t xml:space="preserve">In response to our draft decision Huegin submitted that our quantification of OEF adjustments, identified as material, is inaccurate and will not adequately compensate service providers. It submitted that the total dollar value of opex that our OEF </w:t>
      </w:r>
      <w:r>
        <w:lastRenderedPageBreak/>
        <w:t>adjustments provide Ausgrid is not sufficient to cover the costs that they actually incur in operating its subtransmission network.</w:t>
      </w:r>
      <w:r w:rsidRPr="003121D4">
        <w:rPr>
          <w:rStyle w:val="FootnoteReference"/>
        </w:rPr>
        <w:t xml:space="preserve"> </w:t>
      </w:r>
      <w:r>
        <w:rPr>
          <w:rStyle w:val="FootnoteReference"/>
        </w:rPr>
        <w:footnoteReference w:id="574"/>
      </w:r>
    </w:p>
    <w:p w:rsidR="00051BDB" w:rsidRDefault="00051BDB" w:rsidP="00051BDB">
      <w:r w:rsidRPr="00EA47C2">
        <w:t>The OEF adjustment that we calculated for Ausgrid's subtransmission assets is based on two things. It is based on the costs it incurs for its subtransmission assets, relative to the costs of its other assets, and the amount of subtransmission it has relative to other service providers. Over the period 2001 to 2013, per kilometre, Ausgrid spent up to 94 per cent more on maintaining subtransmission assets above 66kV than on its other assets. We therefore assumed that subtransmission assets are therefore twice as costly to operate as distribution voltage assets. Subtransmission assets account for 5.2 per cent more of Ausgrid's lines than the customer weighted average firms. Therefore if subtransmission lines are twice as costly to operate, then Ausgrid's opex should be 5.2 per cent higher due to the extra subtransmission lines it must operate.</w:t>
      </w:r>
    </w:p>
    <w:p w:rsidR="00051BDB" w:rsidRDefault="00051BDB" w:rsidP="00051BDB">
      <w:r>
        <w:t>Our OEF adjustments are intended to provide an allowance to service providers for the efficient costs of OEFs that impose a cost disadvantage on them relative to the comparison firms. Where material inefficiency exists it is likely that the actual opex a service provider incurs as a result of those OEFs will be greater than the opex that our adjustments provide. Ausgrid and Huegin have not provided evidence to suggest that Ausgrid's subtransmission opex is more efficient than its total opex.</w:t>
      </w:r>
    </w:p>
    <w:p w:rsidR="00051BDB" w:rsidRPr="00EA47C2" w:rsidRDefault="00051BDB" w:rsidP="00051BDB">
      <w:r>
        <w:t>Huegin also notes that we have made adjustments to the frontier target rather than the input opex.</w:t>
      </w:r>
      <w:r>
        <w:rPr>
          <w:rStyle w:val="FootnoteReference"/>
        </w:rPr>
        <w:footnoteReference w:id="575"/>
      </w:r>
      <w:r>
        <w:t xml:space="preserve"> We have done both depending on the information available to us. However, regardless of the method we have used, our OEF adjustments provide a sufficient amount for service providers to recover the efficient costs associated with their OEFs</w:t>
      </w:r>
      <w:r w:rsidRPr="00EA47C2">
        <w:t xml:space="preserve">. This is </w:t>
      </w:r>
      <w:r>
        <w:t>explained in our calculation of OEFs section above</w:t>
      </w:r>
      <w:r w:rsidRPr="00EA47C2">
        <w:t>.</w:t>
      </w:r>
    </w:p>
    <w:p w:rsidR="00051BDB" w:rsidRPr="00EA47C2" w:rsidRDefault="00051BDB" w:rsidP="00051BDB">
      <w:r w:rsidRPr="00EA47C2">
        <w:t>ActewAGL submitted that our approach to OEF's is circular.</w:t>
      </w:r>
      <w:r w:rsidRPr="00EA47C2">
        <w:rPr>
          <w:rStyle w:val="FootnoteReference"/>
        </w:rPr>
        <w:footnoteReference w:id="576"/>
      </w:r>
      <w:r w:rsidRPr="00EA47C2">
        <w:t xml:space="preserve"> ActewAGL submitted:</w:t>
      </w:r>
    </w:p>
    <w:p w:rsidR="00051BDB" w:rsidRPr="00EA47C2" w:rsidRDefault="00051BDB" w:rsidP="00051BDB">
      <w:pPr>
        <w:pStyle w:val="AERquote"/>
      </w:pPr>
      <w:r w:rsidRPr="00EA47C2">
        <w:t>Constructing a substitute base year opex by applying an inefficiency factor to the OEF’s assumes before-hand that ActewAGL Distribution is inefficient. The AER’s approach is circular. The AER assumes (for the purposes of OEF adjustments) that ActewAGL Distribution is inefficient to construct a comparative benchmarked efficiency score, which is then deployed to conclude that ActewAGL Distribution is inefficient relative to other DNSPs.</w:t>
      </w:r>
    </w:p>
    <w:p w:rsidR="00051BDB" w:rsidRPr="00EA47C2" w:rsidRDefault="00051BDB" w:rsidP="00051BDB">
      <w:r w:rsidRPr="00EA47C2">
        <w:t xml:space="preserve">This is not entirely correct. While </w:t>
      </w:r>
      <w:r>
        <w:t>a</w:t>
      </w:r>
      <w:r w:rsidRPr="00EA47C2">
        <w:t xml:space="preserve"> </w:t>
      </w:r>
      <w:r>
        <w:t>service provider's benchmark efficiency</w:t>
      </w:r>
      <w:r w:rsidRPr="00EA47C2">
        <w:t xml:space="preserve"> score </w:t>
      </w:r>
      <w:r>
        <w:t>may</w:t>
      </w:r>
      <w:r w:rsidRPr="00EA47C2">
        <w:t xml:space="preserve"> be lower than it </w:t>
      </w:r>
      <w:r>
        <w:t>w</w:t>
      </w:r>
      <w:r w:rsidRPr="00EA47C2">
        <w:t xml:space="preserve">ould be </w:t>
      </w:r>
      <w:r>
        <w:t>if it were not affected by OEF</w:t>
      </w:r>
      <w:r w:rsidRPr="00EA47C2">
        <w:t xml:space="preserve">s, </w:t>
      </w:r>
      <w:r>
        <w:t>it</w:t>
      </w:r>
      <w:r w:rsidRPr="00EA47C2">
        <w:t xml:space="preserve"> will be able to recoup all of </w:t>
      </w:r>
      <w:r>
        <w:t>its</w:t>
      </w:r>
      <w:r w:rsidRPr="00EA47C2">
        <w:t xml:space="preserve"> efficient costs under our approach. This </w:t>
      </w:r>
      <w:r>
        <w:t xml:space="preserve">is explained our calculation of OEFs section </w:t>
      </w:r>
      <w:r w:rsidRPr="00EA47C2">
        <w:t>above.</w:t>
      </w:r>
    </w:p>
    <w:p w:rsidR="00051BDB" w:rsidRDefault="00051BDB" w:rsidP="00051BDB">
      <w:r w:rsidRPr="00EA47C2">
        <w:lastRenderedPageBreak/>
        <w:t>ActewAGL also submitted that the AER cannot assume that any inefficiency found in a component of opex can be found in others.</w:t>
      </w:r>
      <w:r w:rsidRPr="00EA47C2">
        <w:rPr>
          <w:rStyle w:val="FootnoteReference"/>
        </w:rPr>
        <w:t xml:space="preserve"> </w:t>
      </w:r>
      <w:r w:rsidRPr="00EA47C2">
        <w:rPr>
          <w:rStyle w:val="FootnoteReference"/>
        </w:rPr>
        <w:footnoteReference w:id="577"/>
      </w:r>
      <w:r w:rsidRPr="00EA47C2">
        <w:t xml:space="preserve"> Our approach to OEF adjustments does not assume inefficiency found in a part of ActewAGL's opex can be found in others. Our approach to OEF adjustments applies the estimated level of total opex efficiency to OEF adjustments where there is no evidence that expenditure associated with an OEF is more or less efficient than the service pr</w:t>
      </w:r>
      <w:r w:rsidR="009113BC">
        <w:t>ovider's total opex efficiency.</w:t>
      </w:r>
    </w:p>
    <w:p w:rsidR="00051BDB" w:rsidRPr="00B7151E" w:rsidRDefault="00051BDB" w:rsidP="00051BDB">
      <w:pPr>
        <w:pStyle w:val="HeadingBoldItalic"/>
      </w:pPr>
      <w:r>
        <w:t>Quantum of immaterial operating environment factors</w:t>
      </w:r>
    </w:p>
    <w:p w:rsidR="00051BDB" w:rsidRDefault="00051BDB" w:rsidP="00051BDB">
      <w:r>
        <w:t>ActewAGL, and the consumer challenge panel, submitted that they consider our quantification of the effect of immaterial factors is arbitrary.</w:t>
      </w:r>
      <w:r>
        <w:rPr>
          <w:rStyle w:val="FootnoteReference"/>
        </w:rPr>
        <w:footnoteReference w:id="578"/>
      </w:r>
      <w:r>
        <w:t xml:space="preserve"> </w:t>
      </w:r>
      <w:r>
        <w:rPr>
          <w:rStyle w:val="FootnoteReference"/>
        </w:rPr>
        <w:footnoteReference w:id="579"/>
      </w:r>
    </w:p>
    <w:p w:rsidR="00051BDB" w:rsidRDefault="00051BDB" w:rsidP="00051BDB">
      <w:r>
        <w:t>In our draft decision, we exercised our regulatory judgement and provided the NSW service providers with an adjustment for OEFs that we had found to be immaterial. We did this because the precise quantum of the immaterial factors may not be possible to estimate accurately in all cases. We decided to take an appropriately conservative approach, and provided the NSW service providers an uplift on the quantum of the identified material factors to 10 per cent.</w:t>
      </w:r>
    </w:p>
    <w:p w:rsidR="00051BDB" w:rsidRPr="00A13F60" w:rsidRDefault="00051BDB" w:rsidP="00051BDB">
      <w:r w:rsidRPr="00A13F60">
        <w:t>Having regard to the submissions made on this approach, and in the interest of regulatory consistency and transparency, we have decided to change our approach to quantifying the effect of immaterial OEFs. Our new approach to quantifying the combined impact of immaterial factors is explained in detail in the OEF approach section above.</w:t>
      </w:r>
    </w:p>
    <w:p w:rsidR="00051BDB" w:rsidRPr="00CD5D0F" w:rsidRDefault="00051BDB" w:rsidP="00051BDB">
      <w:pPr>
        <w:pStyle w:val="Heading9"/>
      </w:pPr>
      <w:bookmarkStart w:id="224" w:name="_Toc417719052"/>
      <w:r w:rsidRPr="00B7151E">
        <w:t>Customer factors</w:t>
      </w:r>
      <w:bookmarkEnd w:id="224"/>
    </w:p>
    <w:p w:rsidR="00051BDB" w:rsidRPr="00B7151E" w:rsidRDefault="00051BDB" w:rsidP="00051BDB">
      <w:pPr>
        <w:pStyle w:val="HeadingBoldBlue"/>
        <w:numPr>
          <w:ilvl w:val="0"/>
          <w:numId w:val="24"/>
        </w:numPr>
      </w:pPr>
      <w:r w:rsidRPr="00B7151E">
        <w:t>Customer Density</w:t>
      </w:r>
    </w:p>
    <w:p w:rsidR="00051BDB" w:rsidRDefault="00051BDB" w:rsidP="00051BDB">
      <w:pPr>
        <w:numPr>
          <w:ilvl w:val="0"/>
          <w:numId w:val="24"/>
        </w:numPr>
      </w:pPr>
      <w:r w:rsidRPr="005B57FF">
        <w:t xml:space="preserve">We are </w:t>
      </w:r>
      <w:r>
        <w:t xml:space="preserve">not </w:t>
      </w:r>
      <w:r w:rsidRPr="005B57FF">
        <w:t xml:space="preserve">satisfied that an </w:t>
      </w:r>
      <w:r>
        <w:t xml:space="preserve">OEF </w:t>
      </w:r>
      <w:r w:rsidRPr="005B57FF">
        <w:t xml:space="preserve">adjustment for customer density </w:t>
      </w:r>
      <w:r>
        <w:t>would meet the duplication OEF adjustment</w:t>
      </w:r>
      <w:r w:rsidRPr="005B57FF">
        <w:t xml:space="preserve"> criterion</w:t>
      </w:r>
      <w:r>
        <w:t xml:space="preserve">. The </w:t>
      </w:r>
      <w:r w:rsidRPr="005B57FF">
        <w:t xml:space="preserve">effect of customer density </w:t>
      </w:r>
      <w:r>
        <w:t>is</w:t>
      </w:r>
      <w:r w:rsidRPr="005B57FF">
        <w:t xml:space="preserve"> captured by variables in </w:t>
      </w:r>
      <w:r>
        <w:t>E</w:t>
      </w:r>
      <w:r w:rsidRPr="005B57FF">
        <w:t xml:space="preserve">conomic </w:t>
      </w:r>
      <w:r>
        <w:t>Insights' SFA model</w:t>
      </w:r>
      <w:r w:rsidRPr="005B57FF">
        <w:t xml:space="preserve">. </w:t>
      </w:r>
    </w:p>
    <w:p w:rsidR="00051BDB" w:rsidRDefault="00051BDB" w:rsidP="00051BDB">
      <w:pPr>
        <w:numPr>
          <w:ilvl w:val="0"/>
          <w:numId w:val="24"/>
        </w:numPr>
      </w:pPr>
      <w:r>
        <w:t>We adopted the same position in our draft decision.</w:t>
      </w:r>
    </w:p>
    <w:p w:rsidR="00051BDB" w:rsidRDefault="00051BDB" w:rsidP="00051BDB">
      <w:pPr>
        <w:numPr>
          <w:ilvl w:val="0"/>
          <w:numId w:val="24"/>
        </w:numPr>
      </w:pPr>
      <w:r>
        <w:t>In response to our draft decision we received several submissions from service providers and their consultants on customer density. CEPA, Huegin, and Advisian submitted that linear density fails to adequately capture the cost disadvantage faced by rural networks.</w:t>
      </w:r>
      <w:r>
        <w:rPr>
          <w:rStyle w:val="FootnoteReference"/>
        </w:rPr>
        <w:footnoteReference w:id="580"/>
      </w:r>
      <w:r>
        <w:t xml:space="preserve"> </w:t>
      </w:r>
      <w:r>
        <w:rPr>
          <w:rStyle w:val="FootnoteReference"/>
        </w:rPr>
        <w:footnoteReference w:id="581"/>
      </w:r>
      <w:r>
        <w:t xml:space="preserve"> </w:t>
      </w:r>
      <w:r>
        <w:rPr>
          <w:rStyle w:val="FootnoteReference"/>
        </w:rPr>
        <w:footnoteReference w:id="582"/>
      </w:r>
      <w:r>
        <w:t xml:space="preserve"> </w:t>
      </w:r>
    </w:p>
    <w:p w:rsidR="00051BDB" w:rsidRDefault="00051BDB" w:rsidP="00051BDB">
      <w:pPr>
        <w:numPr>
          <w:ilvl w:val="0"/>
          <w:numId w:val="24"/>
        </w:numPr>
      </w:pPr>
      <w:r>
        <w:lastRenderedPageBreak/>
        <w:t xml:space="preserve">CEPA considered a spatial density variable should be used because it is generally significant in its models. </w:t>
      </w:r>
    </w:p>
    <w:p w:rsidR="00051BDB" w:rsidRDefault="00051BDB" w:rsidP="00051BDB">
      <w:pPr>
        <w:numPr>
          <w:ilvl w:val="0"/>
          <w:numId w:val="24"/>
        </w:numPr>
      </w:pPr>
      <w:r>
        <w:t>Huegin considered that linear density does not appropriately account for differences in customer density because it considers linear density does not account for:</w:t>
      </w:r>
    </w:p>
    <w:p w:rsidR="00051BDB" w:rsidRDefault="00051BDB" w:rsidP="00051BDB">
      <w:pPr>
        <w:pStyle w:val="AERbulletlistfirststyle"/>
      </w:pPr>
      <w:r>
        <w:t>intra–network differences in density</w:t>
      </w:r>
    </w:p>
    <w:p w:rsidR="00051BDB" w:rsidRDefault="00051BDB" w:rsidP="00051BDB">
      <w:pPr>
        <w:pStyle w:val="AERbulletlistfirststyle"/>
      </w:pPr>
      <w:r>
        <w:t>differences in meshed and radial designs and</w:t>
      </w:r>
    </w:p>
    <w:p w:rsidR="00051BDB" w:rsidRDefault="00051BDB" w:rsidP="00051BDB">
      <w:pPr>
        <w:pStyle w:val="AERbulletlistfirststyle"/>
      </w:pPr>
      <w:r>
        <w:t>the increase in decentralised service functions required to service a larger area.</w:t>
      </w:r>
    </w:p>
    <w:p w:rsidR="00051BDB" w:rsidRDefault="00051BDB" w:rsidP="00051BDB">
      <w:pPr>
        <w:numPr>
          <w:ilvl w:val="0"/>
          <w:numId w:val="24"/>
        </w:numPr>
      </w:pPr>
      <w:r>
        <w:t>Advisian submitted that linear density will not account for differences in customer density because:</w:t>
      </w:r>
    </w:p>
    <w:p w:rsidR="00051BDB" w:rsidRDefault="00051BDB" w:rsidP="00051BDB">
      <w:pPr>
        <w:pStyle w:val="AERbulletlistfirststyle"/>
      </w:pPr>
      <w:r>
        <w:t>spatial and linear density are not highly correlated</w:t>
      </w:r>
    </w:p>
    <w:p w:rsidR="00051BDB" w:rsidRDefault="00051BDB" w:rsidP="00051BDB">
      <w:pPr>
        <w:pStyle w:val="AERbulletlistfirststyle"/>
      </w:pPr>
      <w:r>
        <w:t>more decentralised service functions are required to service a larger area and</w:t>
      </w:r>
    </w:p>
    <w:p w:rsidR="00051BDB" w:rsidRDefault="00051BDB" w:rsidP="00051BDB">
      <w:pPr>
        <w:pStyle w:val="AERbulletlistfirststyle"/>
      </w:pPr>
      <w:r>
        <w:t>a study by London Economics and PowerNex found the effect of spatial density to be significant.</w:t>
      </w:r>
    </w:p>
    <w:p w:rsidR="00051BDB" w:rsidRPr="008C70F5" w:rsidRDefault="00051BDB" w:rsidP="00051BDB">
      <w:r w:rsidRPr="008C70F5">
        <w:t xml:space="preserve">We are not satisfied that linear density is insufficient to capture the effects of customer density. This is because opex will be driven by the length of line that must be maintained rather than the area that the service provider nominally covers. Using a measure of spatial density may cover nominally servicing areas in which a service provider has no assets or customers. An example of this, provided by Economic Insights, is the Northern Territory distributor: Power and Water Corporation. </w:t>
      </w:r>
      <w:r w:rsidRPr="008C70F5">
        <w:rPr>
          <w:rStyle w:val="FootnoteReference"/>
        </w:rPr>
        <w:footnoteReference w:id="583"/>
      </w:r>
      <w:r w:rsidRPr="008C70F5">
        <w:t xml:space="preserve"> Nominally, Power and Water Corporation's service area is all of the Northern Territory.</w:t>
      </w:r>
      <w:r w:rsidRPr="008C70F5">
        <w:rPr>
          <w:rStyle w:val="FootnoteReference"/>
        </w:rPr>
        <w:footnoteReference w:id="584"/>
      </w:r>
      <w:r w:rsidRPr="008C70F5">
        <w:t xml:space="preserve"> In reality, Power and Water Corporations electricity distribution network covers Darwin and Katherine (with a transmission line between the two) on its main network with smaller networks around the Territory serviced mostly by isolated, diesel generator–based systems.</w:t>
      </w:r>
      <w:r w:rsidRPr="008C70F5">
        <w:rPr>
          <w:rStyle w:val="FootnoteReference"/>
        </w:rPr>
        <w:footnoteReference w:id="585"/>
      </w:r>
      <w:r w:rsidRPr="008C70F5">
        <w:t xml:space="preserve"> Therefore measuring customer density using Power and Water Corporations nominal service area would provide a misleading picture of the customer density of Power and Water Corporation's network. </w:t>
      </w:r>
    </w:p>
    <w:p w:rsidR="00051BDB" w:rsidRPr="008C70F5" w:rsidRDefault="00051BDB" w:rsidP="00051BDB">
      <w:r w:rsidRPr="008C70F5">
        <w:t>This also applies to the consideration of Ergon Energy, Essential Energy, and SA Power Networks. Although Ergon Energy is nominally responsible for electricity distribution across all of Queensland (except South East Queensland), there are large parts of western Queensland where it has no assets. Similarly, there are parts of western NSW and the great dividing ranges that are nominally part of Essential's service area, but to which Essential provides no services. There are also large parts of northern South Australia where SA Power Networks has no assets.</w:t>
      </w:r>
    </w:p>
    <w:p w:rsidR="00051BDB" w:rsidRPr="008C70F5" w:rsidRDefault="00051BDB" w:rsidP="00051BDB">
      <w:r w:rsidRPr="008C70F5">
        <w:lastRenderedPageBreak/>
        <w:t>We are not satisfied that differences in intra-network density will materially affect Economic Insights' SFA benchmarking results. All service providers will have variations in density within their networks. To the extent that a network has a greater number of lines per customer than other services, this will be captured in customer density at the total level. Huegin has not provided sufficient evidence to demonstrate that intra</w:t>
      </w:r>
      <w:r w:rsidRPr="008C70F5">
        <w:noBreakHyphen/>
        <w:t>network variations will materially affect costs across service providers. Huegin's measure of population dispersion multiplies the number of dwellings in each location by the distance of that location from the state capital. This metric assumes it is necessary to supply each location directly from the state capital. However, each location is not supplied directly from the state capital. Therefore, Huegin's measure is likely to overstate the effect of population dispersion, particularly for larger states. This is because larger states will have more locations far from their state capital, regardless of their density.</w:t>
      </w:r>
    </w:p>
    <w:p w:rsidR="00051BDB" w:rsidRPr="008C70F5" w:rsidRDefault="00051BDB" w:rsidP="00051BDB">
      <w:r w:rsidRPr="008C70F5">
        <w:t xml:space="preserve">We are not satisfied that the variables in Economic Insights benchmarking SFA model are insufficient to account for differences in costs between meshed and radial network designs. Lower density areas will tend to be serviced by radial hub and spoke networks. Higher density areas will tend to be serviced by meshed networks. As Economic Insights SFA model accounts for linear density we consider that it does account for differences in radial and mesh network designs. </w:t>
      </w:r>
    </w:p>
    <w:p w:rsidR="00051BDB" w:rsidRPr="008C70F5" w:rsidRDefault="00051BDB" w:rsidP="00051BDB">
      <w:r w:rsidRPr="008C70F5">
        <w:t>We are also satisfied that Economic Insights' SFA model accounts for the decentralised costs associated with operating hub and spoke distribution networks. This is because a hub and spoke distribution network will have more circuit length per customer. Economic Insights' SFA model uses circuit length as an output variable. As the circuit length variable increases so does opex. The increase in the circuit length variable will therefore compensate service providers for the additional circuit length they must operate.</w:t>
      </w:r>
    </w:p>
    <w:p w:rsidR="00051BDB" w:rsidRPr="008C70F5" w:rsidRDefault="00051BDB" w:rsidP="00051BDB">
      <w:r w:rsidRPr="008C70F5">
        <w:t>We also consider that the study by London Economics and PowerNex Associates does not provide evidence that linear density does not capture the effects of spatial density. The study finds that linear density and customer density can both be used to explain the relationship between cost and customer density. However, the study does not conclude that one measure is better than the other for measuring the relationship between cost and density. We also consider that the results from the London Economics and PowerNex Associates models are not appropriate for estimating the magnitude of the effect of customer density on costs. This is due to the model specifications used and their results. The models use one output, customer numbers, and two density measures (customer density and energy density), which we consider are insufficient to properly capture the output dimensions. Evidence for this is that some of the estimated coefficients have the opposite sign as would be expected (energy density) or implausible values (customer numbers).</w:t>
      </w:r>
      <w:r w:rsidRPr="008C70F5">
        <w:rPr>
          <w:rStyle w:val="FootnoteReference"/>
        </w:rPr>
        <w:footnoteReference w:id="586"/>
      </w:r>
    </w:p>
    <w:p w:rsidR="00051BDB" w:rsidRPr="008C70F5" w:rsidRDefault="00051BDB" w:rsidP="00051BDB">
      <w:r w:rsidRPr="008C70F5">
        <w:lastRenderedPageBreak/>
        <w:t>In response to CEPA's observation that it found spatial density to be a significant explanatory variable, we consider that one should not include variables solely on the basis they appear to have statistically significant explanatory power. Including a variable without a sound economic basis behind it has the opportunity to produce misleading results. We are not satisfied that there is a sound intuition behind including a variable for spatial density. As discussed above including a variable for spatial density has the potential to forecast an increase in opex for servicing areas where service providers have no assets.</w:t>
      </w:r>
    </w:p>
    <w:p w:rsidR="00051BDB" w:rsidRPr="00B7151E" w:rsidRDefault="00051BDB" w:rsidP="00051BDB">
      <w:pPr>
        <w:pStyle w:val="HeadingBoldBlue"/>
        <w:numPr>
          <w:ilvl w:val="0"/>
          <w:numId w:val="24"/>
        </w:numPr>
      </w:pPr>
      <w:r>
        <w:t>Network</w:t>
      </w:r>
      <w:r w:rsidRPr="00B7151E">
        <w:t xml:space="preserve"> length</w:t>
      </w:r>
    </w:p>
    <w:p w:rsidR="00051BDB" w:rsidRDefault="00051BDB" w:rsidP="00051BDB">
      <w:pPr>
        <w:numPr>
          <w:ilvl w:val="0"/>
          <w:numId w:val="24"/>
        </w:numPr>
      </w:pPr>
      <w:r w:rsidRPr="00B7151E">
        <w:t xml:space="preserve">We are </w:t>
      </w:r>
      <w:r>
        <w:t xml:space="preserve">not </w:t>
      </w:r>
      <w:r w:rsidRPr="00B7151E">
        <w:t xml:space="preserve">satisfied that an </w:t>
      </w:r>
      <w:r>
        <w:t>OEF</w:t>
      </w:r>
      <w:r w:rsidRPr="00B7151E">
        <w:t xml:space="preserve"> adjustment to account for differences in </w:t>
      </w:r>
      <w:r>
        <w:t>network</w:t>
      </w:r>
      <w:r w:rsidRPr="00B7151E">
        <w:t xml:space="preserve"> length</w:t>
      </w:r>
      <w:r>
        <w:t xml:space="preserve"> would meet the duplication OEF adjustment criterion</w:t>
      </w:r>
      <w:r w:rsidRPr="00B7151E">
        <w:t xml:space="preserve">. </w:t>
      </w:r>
      <w:r>
        <w:t>T</w:t>
      </w:r>
      <w:r w:rsidRPr="00B7151E">
        <w:t xml:space="preserve">o the extent that line length has an effect on costs, </w:t>
      </w:r>
      <w:r>
        <w:t>E</w:t>
      </w:r>
      <w:r w:rsidRPr="00B7151E">
        <w:t xml:space="preserve">conomic </w:t>
      </w:r>
      <w:r>
        <w:t>Insights' SFA</w:t>
      </w:r>
      <w:r w:rsidRPr="00B7151E">
        <w:t xml:space="preserve"> </w:t>
      </w:r>
      <w:r>
        <w:t xml:space="preserve">model </w:t>
      </w:r>
      <w:r w:rsidRPr="00B7151E">
        <w:t>account</w:t>
      </w:r>
      <w:r>
        <w:t>s</w:t>
      </w:r>
      <w:r w:rsidRPr="00B7151E">
        <w:t xml:space="preserve"> for that effect. </w:t>
      </w:r>
      <w:r>
        <w:t>Economic Insights' SFA</w:t>
      </w:r>
      <w:r w:rsidRPr="00B7151E">
        <w:t xml:space="preserve"> </w:t>
      </w:r>
      <w:r>
        <w:t xml:space="preserve">model </w:t>
      </w:r>
      <w:r w:rsidRPr="00B7151E">
        <w:t>account</w:t>
      </w:r>
      <w:r>
        <w:t>s</w:t>
      </w:r>
      <w:r w:rsidRPr="00B7151E">
        <w:t xml:space="preserve"> f</w:t>
      </w:r>
      <w:r>
        <w:t>or differences in line length as it includes circuit</w:t>
      </w:r>
      <w:r w:rsidRPr="00B7151E">
        <w:t xml:space="preserve"> length as an output </w:t>
      </w:r>
      <w:r>
        <w:t>variable</w:t>
      </w:r>
      <w:r w:rsidRPr="00B7151E">
        <w:t xml:space="preserve">. </w:t>
      </w:r>
    </w:p>
    <w:p w:rsidR="00051BDB" w:rsidRDefault="00051BDB" w:rsidP="00051BDB">
      <w:r>
        <w:t>Network length is the length of a service provider's network. It can be measured using route line length or circuit line length. Route line length is</w:t>
      </w:r>
      <w:r w:rsidRPr="00BB4B4A">
        <w:t xml:space="preserve"> </w:t>
      </w:r>
      <w:r>
        <w:t>distance</w:t>
      </w:r>
      <w:r w:rsidRPr="00BB4B4A">
        <w:t xml:space="preserve"> between </w:t>
      </w:r>
      <w:r>
        <w:t xml:space="preserve">service providers' </w:t>
      </w:r>
      <w:r w:rsidRPr="00BB4B4A">
        <w:t xml:space="preserve">poles. </w:t>
      </w:r>
      <w:r>
        <w:t>Circuit line length is</w:t>
      </w:r>
      <w:r w:rsidRPr="00BB4B4A">
        <w:t xml:space="preserve"> </w:t>
      </w:r>
      <w:r>
        <w:t xml:space="preserve">the </w:t>
      </w:r>
      <w:r w:rsidRPr="00BB4B4A">
        <w:t>length of lines in service</w:t>
      </w:r>
      <w:r>
        <w:t>, where</w:t>
      </w:r>
      <w:r w:rsidRPr="00BB4B4A">
        <w:t xml:space="preserve"> </w:t>
      </w:r>
      <w:r>
        <w:t>a</w:t>
      </w:r>
      <w:r w:rsidRPr="00BB4B4A">
        <w:t xml:space="preserve"> double circuit l</w:t>
      </w:r>
      <w:r>
        <w:t>ine counts as twice the length. All else equal, the longer a service providers' network length is the more costs they will incur.</w:t>
      </w:r>
    </w:p>
    <w:p w:rsidR="00051BDB" w:rsidRPr="00B94D7B" w:rsidRDefault="00051BDB" w:rsidP="00051BDB">
      <w:r>
        <w:t>Advisian considered</w:t>
      </w:r>
      <w:r w:rsidRPr="00B94D7B">
        <w:t xml:space="preserve"> that the results of Economic Insight's </w:t>
      </w:r>
      <w:r>
        <w:t>SFA model</w:t>
      </w:r>
      <w:r w:rsidRPr="00B94D7B">
        <w:t xml:space="preserve"> on line length are not intuitive.</w:t>
      </w:r>
      <w:r w:rsidRPr="00B94D7B">
        <w:rPr>
          <w:rStyle w:val="FootnoteReference"/>
        </w:rPr>
        <w:t xml:space="preserve"> </w:t>
      </w:r>
      <w:r w:rsidRPr="00B94D7B">
        <w:rPr>
          <w:rStyle w:val="FootnoteReference"/>
        </w:rPr>
        <w:footnoteReference w:id="587"/>
      </w:r>
      <w:r w:rsidRPr="00B94D7B">
        <w:t xml:space="preserve"> The example that it gives is that all else being equal the Economic Insights </w:t>
      </w:r>
      <w:r>
        <w:t xml:space="preserve">SFA </w:t>
      </w:r>
      <w:r w:rsidRPr="00B94D7B">
        <w:t xml:space="preserve">model assumes that Ausgrid requires 60 per cent of the opex per meter that CitiPower requires and Endeavour requires 44 per cent per meter. </w:t>
      </w:r>
    </w:p>
    <w:p w:rsidR="00051BDB" w:rsidRPr="00B94D7B" w:rsidRDefault="00051BDB" w:rsidP="00051BDB">
      <w:r w:rsidRPr="00B94D7B">
        <w:t>Line length is not the only output produced in providing electricity distribution services. The intuition behind the model is that if line length increases without customer numbers and demand increasing, the amount that a service provider will need to spend per meter of line will decrease. This makes sense because the service provider will not have to provide extra transformer capacity or customer service for the additional line length. This demonstrates that one would not expect there to be a one to one relationship between line length and cost</w:t>
      </w:r>
      <w:r>
        <w:t>, all else being equal</w:t>
      </w:r>
      <w:r w:rsidRPr="00B94D7B">
        <w:t>. If there were a one to one relationship</w:t>
      </w:r>
      <w:r>
        <w:t xml:space="preserve"> between cost and line length</w:t>
      </w:r>
      <w:r w:rsidRPr="00B94D7B">
        <w:t xml:space="preserve">, then electricity distribution </w:t>
      </w:r>
      <w:r>
        <w:t xml:space="preserve">with multiple outputs </w:t>
      </w:r>
      <w:r w:rsidRPr="00B94D7B">
        <w:t>would exhibit decreasing returns to scale</w:t>
      </w:r>
      <w:r>
        <w:t xml:space="preserve"> when considering all inputs</w:t>
      </w:r>
      <w:r w:rsidRPr="00B94D7B">
        <w:t xml:space="preserve">. </w:t>
      </w:r>
    </w:p>
    <w:p w:rsidR="00051BDB" w:rsidRPr="00C96401" w:rsidRDefault="00051BDB" w:rsidP="00051BDB">
      <w:pPr>
        <w:pStyle w:val="ListParagraph"/>
        <w:numPr>
          <w:ilvl w:val="0"/>
          <w:numId w:val="24"/>
        </w:numPr>
      </w:pPr>
      <w:r>
        <w:t>Advisian also noted</w:t>
      </w:r>
      <w:r w:rsidRPr="00C96401">
        <w:t xml:space="preserve"> that the opex a service provider will incur per km of circuit will be affected by the number of poles it has.</w:t>
      </w:r>
      <w:r w:rsidRPr="00C96401">
        <w:rPr>
          <w:rStyle w:val="FootnoteReference"/>
        </w:rPr>
        <w:footnoteReference w:id="588"/>
      </w:r>
      <w:r w:rsidRPr="00C96401">
        <w:rPr>
          <w:rStyle w:val="FootnoteReference"/>
        </w:rPr>
        <w:t xml:space="preserve"> </w:t>
      </w:r>
      <w:r w:rsidRPr="00C96401">
        <w:rPr>
          <w:rStyle w:val="FootnoteReference"/>
        </w:rPr>
        <w:footnoteReference w:id="589"/>
      </w:r>
      <w:r w:rsidRPr="00C96401">
        <w:t xml:space="preserve"> A</w:t>
      </w:r>
      <w:r>
        <w:t>dvisian noted</w:t>
      </w:r>
      <w:r w:rsidRPr="00C96401">
        <w:t xml:space="preserve"> that urban comparison firms have </w:t>
      </w:r>
      <w:r>
        <w:t>fewer poles</w:t>
      </w:r>
      <w:r w:rsidRPr="00C96401">
        <w:t xml:space="preserve"> per customer than their NSW or</w:t>
      </w:r>
      <w:r>
        <w:t xml:space="preserve"> ACT counterparts. It also noted</w:t>
      </w:r>
      <w:r w:rsidRPr="00C96401">
        <w:t xml:space="preserve"> that Essential has more poles per customer than the rural comparison firms.</w:t>
      </w:r>
      <w:r>
        <w:rPr>
          <w:rStyle w:val="FootnoteReference"/>
        </w:rPr>
        <w:footnoteReference w:id="590"/>
      </w:r>
      <w:r w:rsidRPr="00C96401">
        <w:t xml:space="preserve"> This </w:t>
      </w:r>
      <w:r w:rsidRPr="00C96401">
        <w:lastRenderedPageBreak/>
        <w:t xml:space="preserve">would be expected. Essential has more lines per customer than the rural comparison firms so it </w:t>
      </w:r>
      <w:r>
        <w:t>would typically also</w:t>
      </w:r>
      <w:r w:rsidRPr="00C96401">
        <w:t xml:space="preserve"> have more poles. Similarly, one would expect that ActewAGL, Ausgrid and Endeavour to have more poles per customer than the urban comparison firms because they have more lines per customer. We do note however, that United Energy has a similar number of poles per customer as Ausgrid and ActewAGL despite </w:t>
      </w:r>
      <w:r>
        <w:t>having</w:t>
      </w:r>
      <w:r w:rsidRPr="00C96401">
        <w:t xml:space="preserve"> higher</w:t>
      </w:r>
      <w:r>
        <w:t xml:space="preserve"> customer density.</w:t>
      </w:r>
      <w:r w:rsidRPr="00C96401">
        <w:t xml:space="preserve"> </w:t>
      </w:r>
      <w:r>
        <w:t>T</w:t>
      </w:r>
      <w:r w:rsidRPr="00C96401">
        <w:t>his is likely due to the fact that it has a lower level of undergrounding.</w:t>
      </w:r>
    </w:p>
    <w:p w:rsidR="00051BDB" w:rsidRPr="00C96401" w:rsidRDefault="00051BDB" w:rsidP="00051BDB">
      <w:pPr>
        <w:pStyle w:val="ListParagraph"/>
        <w:numPr>
          <w:ilvl w:val="0"/>
          <w:numId w:val="24"/>
        </w:numPr>
      </w:pPr>
      <w:r w:rsidRPr="00C96401">
        <w:t xml:space="preserve">Economic Insights' </w:t>
      </w:r>
      <w:r>
        <w:t>SFA model</w:t>
      </w:r>
      <w:r w:rsidRPr="00C96401">
        <w:t xml:space="preserve"> account</w:t>
      </w:r>
      <w:r>
        <w:t>s</w:t>
      </w:r>
      <w:r w:rsidRPr="00C96401">
        <w:t xml:space="preserve"> for the number of poles per customer</w:t>
      </w:r>
      <w:r>
        <w:t xml:space="preserve"> through customer</w:t>
      </w:r>
      <w:r w:rsidRPr="00C96401">
        <w:t xml:space="preserve"> density effects</w:t>
      </w:r>
      <w:r>
        <w:t xml:space="preserve"> and the inclusion of a variable for undergrounding</w:t>
      </w:r>
      <w:r w:rsidRPr="00C96401">
        <w:t>. We discuss the effects of customer density in detail in our customer circumstances section.</w:t>
      </w:r>
      <w:r>
        <w:t xml:space="preserve"> Undergrounding was discussed in our draft decision.</w:t>
      </w:r>
    </w:p>
    <w:p w:rsidR="00051BDB" w:rsidRPr="00CD5D0F" w:rsidRDefault="00051BDB" w:rsidP="00051BDB">
      <w:pPr>
        <w:pStyle w:val="Heading9"/>
      </w:pPr>
      <w:bookmarkStart w:id="225" w:name="_Ref403635112"/>
      <w:bookmarkStart w:id="226" w:name="_Toc417719053"/>
      <w:r w:rsidRPr="00B7151E">
        <w:t>Endogenous factors</w:t>
      </w:r>
      <w:bookmarkEnd w:id="225"/>
      <w:bookmarkEnd w:id="226"/>
    </w:p>
    <w:p w:rsidR="00051BDB" w:rsidRDefault="00051BDB" w:rsidP="00051BDB">
      <w:pPr>
        <w:pStyle w:val="HeadingBoldBlue"/>
        <w:numPr>
          <w:ilvl w:val="0"/>
          <w:numId w:val="24"/>
        </w:numPr>
      </w:pPr>
      <w:r>
        <w:t>Activity scheduling</w:t>
      </w:r>
    </w:p>
    <w:p w:rsidR="00051BDB" w:rsidRDefault="00051BDB" w:rsidP="00051BDB">
      <w:r>
        <w:t>We are not satisfied that an OEF adjustment for differences in activity scheduling would meet the exogeneity OEF adjustment criterion. How a service provider chooses to schedule its business processes is a management decision.</w:t>
      </w:r>
    </w:p>
    <w:p w:rsidR="00051BDB" w:rsidRDefault="00051BDB" w:rsidP="00051BDB">
      <w:r>
        <w:t>Activity scheduling is the scheduling of routine network inspection and maintenance activities.</w:t>
      </w:r>
    </w:p>
    <w:p w:rsidR="00051BDB" w:rsidRDefault="00051BDB" w:rsidP="00051BDB">
      <w:r>
        <w:t>Ergon Energy's consultant Huegin, submitted that activity scheduling will lead to cost differences across service providers.</w:t>
      </w:r>
      <w:r>
        <w:rPr>
          <w:rStyle w:val="FootnoteReference"/>
        </w:rPr>
        <w:footnoteReference w:id="591"/>
      </w:r>
      <w:r>
        <w:t xml:space="preserve"> Huegin stated that a high degree of </w:t>
      </w:r>
      <w:r w:rsidRPr="00144D74">
        <w:t xml:space="preserve">maintenance costs for </w:t>
      </w:r>
      <w:r>
        <w:t>service providers</w:t>
      </w:r>
      <w:r w:rsidRPr="00144D74">
        <w:t xml:space="preserve"> are</w:t>
      </w:r>
      <w:r>
        <w:t xml:space="preserve"> </w:t>
      </w:r>
      <w:r w:rsidRPr="00144D74">
        <w:t>preventative</w:t>
      </w:r>
      <w:r>
        <w:t xml:space="preserve"> activities such as inspections.</w:t>
      </w:r>
      <w:r w:rsidRPr="00144D74">
        <w:t xml:space="preserve"> </w:t>
      </w:r>
      <w:r>
        <w:t>The scheduling of</w:t>
      </w:r>
      <w:r w:rsidRPr="00144D74">
        <w:t xml:space="preserve"> inspection</w:t>
      </w:r>
      <w:r>
        <w:t>s</w:t>
      </w:r>
      <w:r w:rsidRPr="00144D74">
        <w:t xml:space="preserve"> will determine the workload, and therefore costs</w:t>
      </w:r>
      <w:r>
        <w:t xml:space="preserve"> of those preventative activities</w:t>
      </w:r>
      <w:r w:rsidRPr="00144D74">
        <w:t>.</w:t>
      </w:r>
    </w:p>
    <w:p w:rsidR="00051BDB" w:rsidRDefault="00051BDB" w:rsidP="00051BDB">
      <w:r>
        <w:t xml:space="preserve">How frequently a service provider chooses to inspect its assets is a management decision. We note that some environmental conditions may lead to more frequent asset inspections or maintenance. We have considered these environmental conditions as they have been raised by stakeholders. Examples of these include asset age and humidity. </w:t>
      </w:r>
    </w:p>
    <w:p w:rsidR="00051BDB" w:rsidRDefault="00051BDB" w:rsidP="00051BDB">
      <w:pPr>
        <w:pStyle w:val="HeadingBoldBlue"/>
        <w:numPr>
          <w:ilvl w:val="0"/>
          <w:numId w:val="24"/>
        </w:numPr>
      </w:pPr>
      <w:r>
        <w:t>Capitalisation practices</w:t>
      </w:r>
    </w:p>
    <w:p w:rsidR="00051BDB" w:rsidRDefault="00051BDB" w:rsidP="00051BDB">
      <w:pPr>
        <w:numPr>
          <w:ilvl w:val="0"/>
          <w:numId w:val="24"/>
        </w:numPr>
      </w:pPr>
      <w:r w:rsidRPr="00B7151E">
        <w:t xml:space="preserve">We are </w:t>
      </w:r>
      <w:r>
        <w:t xml:space="preserve">not </w:t>
      </w:r>
      <w:r w:rsidRPr="00B7151E">
        <w:t xml:space="preserve">satisfied that an </w:t>
      </w:r>
      <w:r>
        <w:t xml:space="preserve">OEF </w:t>
      </w:r>
      <w:r w:rsidRPr="00B7151E">
        <w:t xml:space="preserve">adjustment </w:t>
      </w:r>
      <w:r>
        <w:t xml:space="preserve">for </w:t>
      </w:r>
      <w:r w:rsidRPr="00B7151E">
        <w:t xml:space="preserve">differences in </w:t>
      </w:r>
      <w:r>
        <w:t>capitalisation policy between the NSW service providers and the comparison firms would meet the materiality OEF criterion</w:t>
      </w:r>
      <w:r w:rsidRPr="00B7151E">
        <w:t>.</w:t>
      </w:r>
      <w:r>
        <w:t xml:space="preserve"> Differences in capitalisation policy will not lead to material differences in total opex between the NSW service providers and the comparison firms.</w:t>
      </w:r>
    </w:p>
    <w:p w:rsidR="00051BDB" w:rsidRDefault="00051BDB" w:rsidP="00051BDB">
      <w:pPr>
        <w:numPr>
          <w:ilvl w:val="0"/>
          <w:numId w:val="24"/>
        </w:numPr>
      </w:pPr>
      <w:r>
        <w:t xml:space="preserve">For clarification, capitalisation practices include both service providers decision on the relative quantity of capital and operating costs and also the policies service providers </w:t>
      </w:r>
      <w:r>
        <w:lastRenderedPageBreak/>
        <w:t>use to classify costs as assets or expenses. Using different mixes of assets and expenses to provide will affect the operating expenditure a service provider incurs. Differences in the policies service providers use to classify costs as assets or expenses will affect the opex service providers record. Both of these have the potential to affect service providers' efficiency scores in Economic Insights SFA model. However, choices on capital inputs and accounting policies are management decisions so would not satisfy the exogeneity OEF criterion. Nonetheless, because these differences may lead to differences in costs unrelated to efficiency, we have treated this OEF as if it satisfies the exogeneity OEF criterion.</w:t>
      </w:r>
    </w:p>
    <w:p w:rsidR="00051BDB" w:rsidRDefault="00051BDB" w:rsidP="00051BDB">
      <w:pPr>
        <w:numPr>
          <w:ilvl w:val="0"/>
          <w:numId w:val="24"/>
        </w:numPr>
      </w:pPr>
      <w:r>
        <w:t>In our draft decision, we did not provide an OEF adjustment for capitalisation practices. We considered the effect of capitalisation practices on the service providers. With the exception of ActewAGL who appeared to be an outlier, we were satisfied no adjustment was necessary. This is because the NSW service providers' capex opex ratios were within a similar range of to the comparison firms' ratios. In coming to this conclusion we considered the effects that Australian accounting standards, utilisation of capital, the relative efficiency of service providers' capex and opex programs, and the position of service providers in their asset replacement cycles would have on capitalisation practices.</w:t>
      </w:r>
      <w:r>
        <w:rPr>
          <w:rStyle w:val="FootnoteReference"/>
        </w:rPr>
        <w:footnoteReference w:id="592"/>
      </w:r>
    </w:p>
    <w:p w:rsidR="00051BDB" w:rsidRDefault="00051BDB" w:rsidP="00051BDB">
      <w:r>
        <w:t>Since our draft decision, ActewAGL,</w:t>
      </w:r>
      <w:r>
        <w:rPr>
          <w:rStyle w:val="FootnoteReference"/>
        </w:rPr>
        <w:footnoteReference w:id="593"/>
      </w:r>
      <w:r>
        <w:t xml:space="preserve"> Advisian,</w:t>
      </w:r>
      <w:r>
        <w:rPr>
          <w:rStyle w:val="FootnoteReference"/>
        </w:rPr>
        <w:footnoteReference w:id="594"/>
      </w:r>
      <w:r>
        <w:t xml:space="preserve"> CEPA,</w:t>
      </w:r>
      <w:r>
        <w:rPr>
          <w:rStyle w:val="FootnoteReference"/>
        </w:rPr>
        <w:footnoteReference w:id="595"/>
      </w:r>
      <w:r>
        <w:t xml:space="preserve"> the Consumer Challenge Panel,</w:t>
      </w:r>
      <w:r>
        <w:rPr>
          <w:rStyle w:val="FootnoteReference"/>
        </w:rPr>
        <w:footnoteReference w:id="596"/>
      </w:r>
      <w:r>
        <w:t xml:space="preserve"> Frontier,</w:t>
      </w:r>
      <w:r>
        <w:rPr>
          <w:rStyle w:val="FootnoteReference"/>
        </w:rPr>
        <w:footnoteReference w:id="597"/>
      </w:r>
      <w:r>
        <w:t xml:space="preserve"> SAPN,</w:t>
      </w:r>
      <w:r>
        <w:rPr>
          <w:rStyle w:val="FootnoteReference"/>
        </w:rPr>
        <w:footnoteReference w:id="598"/>
      </w:r>
      <w:r>
        <w:t xml:space="preserve"> and the NSW Service Providers</w:t>
      </w:r>
      <w:r>
        <w:rPr>
          <w:rStyle w:val="FootnoteReference"/>
        </w:rPr>
        <w:footnoteReference w:id="599"/>
      </w:r>
      <w:r>
        <w:t xml:space="preserve"> </w:t>
      </w:r>
      <w:r>
        <w:rPr>
          <w:rStyle w:val="FootnoteReference"/>
        </w:rPr>
        <w:footnoteReference w:id="600"/>
      </w:r>
      <w:r>
        <w:rPr>
          <w:rStyle w:val="FootnoteReference"/>
        </w:rPr>
        <w:footnoteReference w:id="601"/>
      </w:r>
      <w:r>
        <w:t xml:space="preserve"> have all raised the issue of the effect of capitalisation practices on benchmarking.</w:t>
      </w:r>
    </w:p>
    <w:p w:rsidR="00051BDB" w:rsidRDefault="00051BDB" w:rsidP="00051BDB">
      <w:r>
        <w:t>ActewAGL CEPA, and SA Power Networks specifically noted that differences in the allocation of overheads will affect Economic Insights' benchmarking results. Advisian considered that the AER should adjust the comparison firms for their capitalisation practices. The Consumer Challenge Panel considers that NSW and Queensland service providers' access to low cost debt funding would make the AER's approach to capitalisation overly generous. Frontier noted that differences in accounting approaches and capital utilisation would affect Economic Insights' benchmarking results. The NSW and service providers stated that the AER had not analysed the effects of capitalisation policies.</w:t>
      </w:r>
    </w:p>
    <w:p w:rsidR="00051BDB" w:rsidRDefault="00051BDB" w:rsidP="00051BDB">
      <w:r>
        <w:lastRenderedPageBreak/>
        <w:t>After considering all of these submissions, we are satisfied that our initial position remains the best approach. We agree with Frontier Economics that differences in accounting practices and capital utilisation will affect service providers' capitalisation rates. We also consider that the relative efficiency of service providers' opex and capex programs and their position in their asset replacement cycle will affect service providers' capitalisation rates. Some of these factors are related to service providers' efficiency and some are the result of other things, such as accounting decisions. As a result we will only provide a material OEF adjustment to service provider's benchmarking results where their opex as a percentage of total capital and operating expenditure (totex) is not broadly consistent with its peers'. We also note that the results of Economic Insights MTFP benchmarking are broadly consistent with the results of its parametric benchmarking. MTFP estimates productivity across both capex and opex. Similar results on opex benchmarking and MTFP indicate the opex benchmarking results are not heavily influenced by capitalisation practices.</w:t>
      </w:r>
    </w:p>
    <w:p w:rsidR="00051BDB" w:rsidRDefault="00051BDB" w:rsidP="00051BDB">
      <w:r>
        <w:t xml:space="preserve">We are not satisfied that it is necessary to make adjustments to all of the service providers in the sample to adjust for differences in the reported allocation of overheads to opex and capex. The method in which service providers allocate direct costs between capex is also likely to affect capitalisation rates. As a result rather than focusing on indirect costs it is better to compare the ratio of total opex to total capex. This measure will take into account the allocation of overheads between opex and capex, but also other factors such as opex capex trade-offs. </w:t>
      </w:r>
    </w:p>
    <w:p w:rsidR="00051BDB" w:rsidRDefault="00633CC8" w:rsidP="00051BDB">
      <w:r>
        <w:fldChar w:fldCharType="begin"/>
      </w:r>
      <w:r>
        <w:instrText xml:space="preserve"> REF _Ref417503680 \h </w:instrText>
      </w:r>
      <w:r>
        <w:fldChar w:fldCharType="separate"/>
      </w:r>
      <w:r w:rsidR="00C74791">
        <w:t xml:space="preserve">Figure </w:t>
      </w:r>
      <w:r w:rsidR="00C74791">
        <w:rPr>
          <w:noProof/>
        </w:rPr>
        <w:t>A</w:t>
      </w:r>
      <w:r w:rsidR="00C74791">
        <w:t>.</w:t>
      </w:r>
      <w:r w:rsidR="00C74791">
        <w:rPr>
          <w:noProof/>
        </w:rPr>
        <w:t>11</w:t>
      </w:r>
      <w:r>
        <w:fldChar w:fldCharType="end"/>
      </w:r>
      <w:r>
        <w:t xml:space="preserve"> </w:t>
      </w:r>
      <w:r w:rsidR="00051BDB">
        <w:t xml:space="preserve">below shows that opex made up between 30 to 45 per cent of totex for most NEM service providers in the benchmarking period, with the NSW service providers expensing less of their costs than the comparison firms. </w:t>
      </w:r>
    </w:p>
    <w:p w:rsidR="00051BDB" w:rsidRDefault="00633CC8" w:rsidP="00633CC8">
      <w:pPr>
        <w:pStyle w:val="Caption"/>
      </w:pPr>
      <w:bookmarkStart w:id="227" w:name="_Ref417503680"/>
      <w:bookmarkStart w:id="228" w:name="_Ref417642401"/>
      <w:r>
        <w:t xml:space="preserve">Figure </w:t>
      </w:r>
      <w:fldSimple w:instr=" STYLEREF 7 \s ">
        <w:r w:rsidR="00C74791">
          <w:rPr>
            <w:noProof/>
          </w:rPr>
          <w:t>A</w:t>
        </w:r>
      </w:fldSimple>
      <w:r w:rsidR="00A409CB">
        <w:t>.</w:t>
      </w:r>
      <w:fldSimple w:instr=" SEQ AFigure \* ARABIC \s 7 ">
        <w:r w:rsidR="00C74791">
          <w:rPr>
            <w:noProof/>
          </w:rPr>
          <w:t>11</w:t>
        </w:r>
      </w:fldSimple>
      <w:bookmarkEnd w:id="227"/>
      <w:r w:rsidR="00051BDB">
        <w:tab/>
        <w:t>Average opex as a percentage of totex, 2006 to 2013</w:t>
      </w:r>
      <w:bookmarkEnd w:id="228"/>
    </w:p>
    <w:p w:rsidR="00051BDB" w:rsidRDefault="00051BDB" w:rsidP="00051BDB">
      <w:pPr>
        <w:numPr>
          <w:ilvl w:val="0"/>
          <w:numId w:val="24"/>
        </w:numPr>
      </w:pPr>
      <w:r w:rsidRPr="00051BDB">
        <w:rPr>
          <w:noProof/>
          <w:lang w:eastAsia="en-AU"/>
        </w:rPr>
        <w:drawing>
          <wp:inline distT="0" distB="0" distL="0" distR="0" wp14:anchorId="0A864675" wp14:editId="5C49B0DF">
            <wp:extent cx="5324866" cy="3110948"/>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4833" cy="3110929"/>
                    </a:xfrm>
                    <a:prstGeom prst="rect">
                      <a:avLst/>
                    </a:prstGeom>
                    <a:noFill/>
                    <a:ln>
                      <a:noFill/>
                    </a:ln>
                  </pic:spPr>
                </pic:pic>
              </a:graphicData>
            </a:graphic>
          </wp:inline>
        </w:drawing>
      </w:r>
    </w:p>
    <w:p w:rsidR="00051BDB" w:rsidRDefault="00051BDB" w:rsidP="00051BDB">
      <w:pPr>
        <w:pStyle w:val="AERtablesource"/>
      </w:pPr>
      <w:r>
        <w:t xml:space="preserve">Source: </w:t>
      </w:r>
      <w:r>
        <w:tab/>
        <w:t>Economic benchmarking RIN</w:t>
      </w:r>
    </w:p>
    <w:p w:rsidR="00051BDB" w:rsidRDefault="00633CC8" w:rsidP="00051BDB">
      <w:r>
        <w:lastRenderedPageBreak/>
        <w:fldChar w:fldCharType="begin"/>
      </w:r>
      <w:r>
        <w:instrText xml:space="preserve"> REF _Ref417641058 \h </w:instrText>
      </w:r>
      <w:r>
        <w:fldChar w:fldCharType="separate"/>
      </w:r>
      <w:r w:rsidR="00C74791">
        <w:t xml:space="preserve">Figure </w:t>
      </w:r>
      <w:r w:rsidR="00C74791">
        <w:rPr>
          <w:noProof/>
        </w:rPr>
        <w:t>A</w:t>
      </w:r>
      <w:r w:rsidR="00C74791">
        <w:t>.</w:t>
      </w:r>
      <w:r w:rsidR="00C74791">
        <w:rPr>
          <w:noProof/>
        </w:rPr>
        <w:t>12</w:t>
      </w:r>
      <w:r>
        <w:fldChar w:fldCharType="end"/>
      </w:r>
      <w:r>
        <w:t xml:space="preserve"> </w:t>
      </w:r>
      <w:r w:rsidR="00051BDB">
        <w:t xml:space="preserve">below shows opex as a percentage of totex in the forecast period for the ACT, NSW, and Queensland service providers. </w:t>
      </w:r>
      <w:r w:rsidR="002E539A">
        <w:fldChar w:fldCharType="begin"/>
      </w:r>
      <w:r w:rsidR="002E539A">
        <w:instrText xml:space="preserve"> REF _Ref417641058 \h </w:instrText>
      </w:r>
      <w:r w:rsidR="002E539A">
        <w:fldChar w:fldCharType="separate"/>
      </w:r>
      <w:r w:rsidR="00C74791">
        <w:t xml:space="preserve">Figure </w:t>
      </w:r>
      <w:r w:rsidR="00C74791">
        <w:rPr>
          <w:noProof/>
        </w:rPr>
        <w:t>A</w:t>
      </w:r>
      <w:r w:rsidR="00C74791">
        <w:t>.</w:t>
      </w:r>
      <w:r w:rsidR="00C74791">
        <w:rPr>
          <w:noProof/>
        </w:rPr>
        <w:t>12</w:t>
      </w:r>
      <w:r w:rsidR="002E539A">
        <w:fldChar w:fldCharType="end"/>
      </w:r>
      <w:r w:rsidR="00051BDB">
        <w:t xml:space="preserve"> also shows opex as a percentage of totex for all other service providers during the benchmarking period. We note that the forecast of Endeavour's opex as a percentage of totex (43.3 per cent) is similar to the customer weighted average for the comparison firms (42.5 per cent). Opex as a percentage of totex for Ausgrid (38.6 per cent) and Essential</w:t>
      </w:r>
      <w:r w:rsidR="00A33E41">
        <w:t xml:space="preserve"> Energy</w:t>
      </w:r>
      <w:r w:rsidR="00051BDB">
        <w:t xml:space="preserve"> (40.2 per cent) is slightly lower than the customer weighted average for the comparison firms.</w:t>
      </w:r>
    </w:p>
    <w:p w:rsidR="00051BDB" w:rsidRDefault="00633CC8" w:rsidP="00051BDB">
      <w:pPr>
        <w:pStyle w:val="Caption"/>
      </w:pPr>
      <w:bookmarkStart w:id="229" w:name="_Ref417641058"/>
      <w:bookmarkStart w:id="230" w:name="_Ref417651705"/>
      <w:r>
        <w:t xml:space="preserve">Figure </w:t>
      </w:r>
      <w:fldSimple w:instr=" STYLEREF 7 \s ">
        <w:r w:rsidR="00C74791">
          <w:rPr>
            <w:noProof/>
          </w:rPr>
          <w:t>A</w:t>
        </w:r>
      </w:fldSimple>
      <w:r w:rsidR="00A409CB">
        <w:t>.</w:t>
      </w:r>
      <w:fldSimple w:instr=" SEQ AFigure \* ARABIC \s 7 ">
        <w:r w:rsidR="00C74791">
          <w:rPr>
            <w:noProof/>
          </w:rPr>
          <w:t>12</w:t>
        </w:r>
      </w:fldSimple>
      <w:bookmarkEnd w:id="229"/>
      <w:r w:rsidR="00051BDB">
        <w:tab/>
        <w:t>Forecast opex as a percentage of totex for ACT, NSW and Queensland service providers (2014-19 and 2015-20), and average actual opex as a percentage of totex for other service providers (2006 to 2013).</w:t>
      </w:r>
      <w:bookmarkEnd w:id="230"/>
    </w:p>
    <w:p w:rsidR="00051BDB" w:rsidRDefault="00051BDB" w:rsidP="00051BDB">
      <w:r w:rsidRPr="00051BDB">
        <w:rPr>
          <w:noProof/>
          <w:lang w:eastAsia="en-AU"/>
        </w:rPr>
        <w:drawing>
          <wp:inline distT="0" distB="0" distL="0" distR="0" wp14:anchorId="121347F6" wp14:editId="08BC5FE5">
            <wp:extent cx="5382895" cy="307178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071788"/>
                    </a:xfrm>
                    <a:prstGeom prst="rect">
                      <a:avLst/>
                    </a:prstGeom>
                    <a:noFill/>
                    <a:ln>
                      <a:noFill/>
                    </a:ln>
                  </pic:spPr>
                </pic:pic>
              </a:graphicData>
            </a:graphic>
          </wp:inline>
        </w:drawing>
      </w:r>
    </w:p>
    <w:p w:rsidR="00051BDB" w:rsidRDefault="00051BDB" w:rsidP="00051BDB">
      <w:pPr>
        <w:pStyle w:val="AERtablesource"/>
      </w:pPr>
      <w:r>
        <w:t xml:space="preserve">Source: </w:t>
      </w:r>
      <w:r>
        <w:tab/>
        <w:t>Economic Benchmarking RIN responses 2006 to 2013; AER Analysis</w:t>
      </w:r>
    </w:p>
    <w:p w:rsidR="00051BDB" w:rsidRDefault="00051BDB" w:rsidP="00051BDB">
      <w:pPr>
        <w:pStyle w:val="AERtablesource"/>
      </w:pPr>
      <w:r>
        <w:t xml:space="preserve">Note: </w:t>
      </w:r>
      <w:r>
        <w:tab/>
        <w:t>Opex as a percentage of totex is based on standard control services costs for the forecast expenditures. It is based on network services for the historical expenditures. This is because we do not forecasts capex for network services. We forecast capex for standard control services only.</w:t>
      </w:r>
    </w:p>
    <w:p w:rsidR="00051BDB" w:rsidRDefault="00633CC8" w:rsidP="00051BDB">
      <w:r>
        <w:fldChar w:fldCharType="begin"/>
      </w:r>
      <w:r>
        <w:instrText xml:space="preserve"> REF _Ref417503680 \h </w:instrText>
      </w:r>
      <w:r>
        <w:fldChar w:fldCharType="separate"/>
      </w:r>
      <w:r w:rsidR="00C74791">
        <w:t xml:space="preserve">Figure </w:t>
      </w:r>
      <w:r w:rsidR="00C74791">
        <w:rPr>
          <w:noProof/>
        </w:rPr>
        <w:t>A</w:t>
      </w:r>
      <w:r w:rsidR="00C74791">
        <w:t>.</w:t>
      </w:r>
      <w:r w:rsidR="00C74791">
        <w:rPr>
          <w:noProof/>
        </w:rPr>
        <w:t>11</w:t>
      </w:r>
      <w:r>
        <w:fldChar w:fldCharType="end"/>
      </w:r>
      <w:r>
        <w:t xml:space="preserve"> and </w:t>
      </w:r>
      <w:r>
        <w:fldChar w:fldCharType="begin"/>
      </w:r>
      <w:r>
        <w:instrText xml:space="preserve"> REF _Ref417641058 \h </w:instrText>
      </w:r>
      <w:r>
        <w:fldChar w:fldCharType="separate"/>
      </w:r>
      <w:r w:rsidR="00C74791">
        <w:t xml:space="preserve">Figure </w:t>
      </w:r>
      <w:r w:rsidR="00C74791">
        <w:rPr>
          <w:noProof/>
        </w:rPr>
        <w:t>A</w:t>
      </w:r>
      <w:r w:rsidR="00C74791">
        <w:t>.</w:t>
      </w:r>
      <w:r w:rsidR="00C74791">
        <w:rPr>
          <w:noProof/>
        </w:rPr>
        <w:t>12</w:t>
      </w:r>
      <w:r>
        <w:fldChar w:fldCharType="end"/>
      </w:r>
      <w:r>
        <w:t xml:space="preserve"> </w:t>
      </w:r>
      <w:r w:rsidR="00051BDB">
        <w:t>show that in the benchmarking period and the forecast period the NSW service providers have similar opex to capex ratios as the customer weighted average of the comparison firms. As a result we consider that differences in capitalisation practices are not likely to lead to material differences in opex between the NSW service providers and the comparison firms.</w:t>
      </w:r>
    </w:p>
    <w:p w:rsidR="00051BDB" w:rsidRDefault="00051BDB" w:rsidP="00051BDB">
      <w:r>
        <w:t xml:space="preserve">Although we consider that differences in capitalisation practices will not to lead to material differences in opex between the NSW service providers and the comparison firms, we have included it in our adjustment for immaterial factors. Economic Insights' SFA model does not include a variable that directly accounts for differences capitalisation practices. Also as discussed above, differences in capitalisation practices </w:t>
      </w:r>
      <w:r>
        <w:lastRenderedPageBreak/>
        <w:t>may lead to differences in opex that are not related to efficiency and are not accounted for in Economic Insights' SFA model.</w:t>
      </w:r>
    </w:p>
    <w:p w:rsidR="00051BDB" w:rsidRPr="00AC171F" w:rsidRDefault="00051BDB" w:rsidP="00051BDB">
      <w:r>
        <w:t xml:space="preserve">Ausgrid and Essential </w:t>
      </w:r>
      <w:r w:rsidR="00A33E41">
        <w:t xml:space="preserve">Energy </w:t>
      </w:r>
      <w:r>
        <w:t>are likely to have a cost advantage as they tend to expense fewer costs than the comparison firms</w:t>
      </w:r>
      <w:r w:rsidR="003F3860">
        <w:t>.</w:t>
      </w:r>
      <w:r w:rsidR="00633CC8">
        <w:t xml:space="preserve"> </w:t>
      </w:r>
      <w:r w:rsidR="00633CC8">
        <w:fldChar w:fldCharType="begin"/>
      </w:r>
      <w:r w:rsidR="00633CC8">
        <w:instrText xml:space="preserve"> REF _Ref417503680 \h </w:instrText>
      </w:r>
      <w:r w:rsidR="00633CC8">
        <w:fldChar w:fldCharType="separate"/>
      </w:r>
      <w:r w:rsidR="00C74791">
        <w:t xml:space="preserve">Figure </w:t>
      </w:r>
      <w:r w:rsidR="00C74791">
        <w:rPr>
          <w:noProof/>
        </w:rPr>
        <w:t>A</w:t>
      </w:r>
      <w:r w:rsidR="00C74791">
        <w:t>.</w:t>
      </w:r>
      <w:r w:rsidR="00C74791">
        <w:rPr>
          <w:noProof/>
        </w:rPr>
        <w:t>11</w:t>
      </w:r>
      <w:r w:rsidR="00633CC8">
        <w:fldChar w:fldCharType="end"/>
      </w:r>
      <w:r w:rsidR="00633CC8">
        <w:t xml:space="preserve"> and </w:t>
      </w:r>
      <w:r w:rsidR="00633CC8">
        <w:fldChar w:fldCharType="begin"/>
      </w:r>
      <w:r w:rsidR="00633CC8">
        <w:instrText xml:space="preserve"> REF _Ref417641058 \h </w:instrText>
      </w:r>
      <w:r w:rsidR="00633CC8">
        <w:fldChar w:fldCharType="separate"/>
      </w:r>
      <w:r w:rsidR="00C74791">
        <w:t xml:space="preserve">Figure </w:t>
      </w:r>
      <w:r w:rsidR="00C74791">
        <w:rPr>
          <w:noProof/>
        </w:rPr>
        <w:t>A</w:t>
      </w:r>
      <w:r w:rsidR="00C74791">
        <w:t>.</w:t>
      </w:r>
      <w:r w:rsidR="00C74791">
        <w:rPr>
          <w:noProof/>
        </w:rPr>
        <w:t>12</w:t>
      </w:r>
      <w:r w:rsidR="00633CC8">
        <w:fldChar w:fldCharType="end"/>
      </w:r>
      <w:r w:rsidR="00633CC8">
        <w:t xml:space="preserve"> </w:t>
      </w:r>
      <w:r>
        <w:t xml:space="preserve"> above show classify less of their costs as opex than the comparison firms. As a result, capitalisation practices contribute negative 0.5 per cent to the adjustment for immaterial OEFs for Ausgrid and Essential. Conversely, we have provided a positive 0.5 per cent adjustment for Endeavour. This is because although </w:t>
      </w:r>
      <w:r w:rsidR="00DF2BB8">
        <w:fldChar w:fldCharType="begin"/>
      </w:r>
      <w:r w:rsidR="00DF2BB8">
        <w:instrText xml:space="preserve"> REF _Ref417503680 \h </w:instrText>
      </w:r>
      <w:r w:rsidR="00DF2BB8">
        <w:fldChar w:fldCharType="separate"/>
      </w:r>
      <w:r w:rsidR="00C74791">
        <w:t xml:space="preserve">Figure </w:t>
      </w:r>
      <w:r w:rsidR="00C74791">
        <w:rPr>
          <w:noProof/>
        </w:rPr>
        <w:t>A</w:t>
      </w:r>
      <w:r w:rsidR="00C74791">
        <w:t>.</w:t>
      </w:r>
      <w:r w:rsidR="00C74791">
        <w:rPr>
          <w:noProof/>
        </w:rPr>
        <w:t>11</w:t>
      </w:r>
      <w:r w:rsidR="00DF2BB8">
        <w:fldChar w:fldCharType="end"/>
      </w:r>
      <w:r w:rsidR="00DF2BB8">
        <w:t xml:space="preserve"> </w:t>
      </w:r>
      <w:r>
        <w:t xml:space="preserve">shows that in the past it expensed less of its costs than the comparison firms, </w:t>
      </w:r>
      <w:r w:rsidR="00DF2BB8">
        <w:fldChar w:fldCharType="begin"/>
      </w:r>
      <w:r w:rsidR="00DF2BB8">
        <w:instrText xml:space="preserve"> REF _Ref417641058 \h </w:instrText>
      </w:r>
      <w:r w:rsidR="00DF2BB8">
        <w:fldChar w:fldCharType="separate"/>
      </w:r>
      <w:r w:rsidR="00C74791">
        <w:t xml:space="preserve">Figure </w:t>
      </w:r>
      <w:r w:rsidR="00C74791">
        <w:rPr>
          <w:noProof/>
        </w:rPr>
        <w:t>A</w:t>
      </w:r>
      <w:r w:rsidR="00C74791">
        <w:t>.</w:t>
      </w:r>
      <w:r w:rsidR="00C74791">
        <w:rPr>
          <w:noProof/>
        </w:rPr>
        <w:t>12</w:t>
      </w:r>
      <w:r w:rsidR="00DF2BB8">
        <w:fldChar w:fldCharType="end"/>
      </w:r>
      <w:r w:rsidR="00DF2BB8">
        <w:t xml:space="preserve"> </w:t>
      </w:r>
      <w:r>
        <w:t>shows that in the future it will expense more of its costs. As a result we consider that Endeavour's capitalisation practices may provide it a slight cost disadvantage on opex benchmarking.</w:t>
      </w:r>
    </w:p>
    <w:p w:rsidR="00051BDB" w:rsidRPr="00D136DE" w:rsidRDefault="00051BDB" w:rsidP="00051BDB">
      <w:pPr>
        <w:pStyle w:val="HeadingBoldBlue"/>
      </w:pPr>
      <w:r w:rsidRPr="00D136DE">
        <w:t>Communication networks</w:t>
      </w:r>
    </w:p>
    <w:p w:rsidR="00051BDB" w:rsidRPr="00D136DE" w:rsidRDefault="00051BDB" w:rsidP="00051BDB">
      <w:pPr>
        <w:rPr>
          <w:rStyle w:val="AERbody"/>
        </w:rPr>
      </w:pPr>
      <w:r w:rsidRPr="00D136DE">
        <w:rPr>
          <w:rStyle w:val="AERbody"/>
        </w:rPr>
        <w:t xml:space="preserve">We are not satisfied that an OEF for the availability of commercially available communication networks would meet our </w:t>
      </w:r>
      <w:r>
        <w:rPr>
          <w:rStyle w:val="AERbody"/>
        </w:rPr>
        <w:t xml:space="preserve">materiality or </w:t>
      </w:r>
      <w:r w:rsidRPr="00D136DE">
        <w:rPr>
          <w:rStyle w:val="AERbody"/>
        </w:rPr>
        <w:t>dupl</w:t>
      </w:r>
      <w:r>
        <w:rPr>
          <w:rStyle w:val="AERbody"/>
        </w:rPr>
        <w:t>ication OEF adjustment criteria</w:t>
      </w:r>
      <w:r w:rsidRPr="00D136DE">
        <w:rPr>
          <w:rStyle w:val="AERbody"/>
        </w:rPr>
        <w:t>. To the extent that service providers in low customer density areas may have to use alternative solutions where there is no mobile telephone coverage, this will be correlated with customer density.</w:t>
      </w:r>
      <w:r>
        <w:rPr>
          <w:rStyle w:val="AERbody"/>
        </w:rPr>
        <w:t xml:space="preserve"> Also, three of the five comparison firms also face similar challenges in providing network services.</w:t>
      </w:r>
    </w:p>
    <w:p w:rsidR="00051BDB" w:rsidRPr="00D136DE" w:rsidRDefault="00051BDB" w:rsidP="00051BDB">
      <w:pPr>
        <w:rPr>
          <w:rStyle w:val="AERbody"/>
        </w:rPr>
      </w:pPr>
      <w:r w:rsidRPr="00D136DE">
        <w:rPr>
          <w:rStyle w:val="AERbody"/>
        </w:rPr>
        <w:t xml:space="preserve">In support of Essential Energy's revised proposal, Essential Energy's COO, Mr. Humphreys, </w:t>
      </w:r>
      <w:r>
        <w:rPr>
          <w:rStyle w:val="AERbody"/>
        </w:rPr>
        <w:t>submitted</w:t>
      </w:r>
      <w:r w:rsidRPr="00D136DE">
        <w:rPr>
          <w:rStyle w:val="AERbody"/>
        </w:rPr>
        <w:t xml:space="preserve"> that Essential Energy is unique in terms of the need to provide a two way radio network across 95 per cent of NSW.</w:t>
      </w:r>
      <w:r w:rsidRPr="00D136DE">
        <w:rPr>
          <w:rStyle w:val="FootnoteReference"/>
        </w:rPr>
        <w:footnoteReference w:id="602"/>
      </w:r>
      <w:r w:rsidRPr="00D136DE">
        <w:rPr>
          <w:rStyle w:val="AERbody"/>
        </w:rPr>
        <w:t xml:space="preserve"> Mr Humphreys also </w:t>
      </w:r>
      <w:r>
        <w:rPr>
          <w:rStyle w:val="AERbody"/>
        </w:rPr>
        <w:t>submitted</w:t>
      </w:r>
      <w:r w:rsidRPr="00D136DE">
        <w:rPr>
          <w:rStyle w:val="AERbody"/>
        </w:rPr>
        <w:t xml:space="preserve"> that there is no commercial service available that provides state wide coverage with required reliability at an economic cost.</w:t>
      </w:r>
    </w:p>
    <w:p w:rsidR="00051BDB" w:rsidRDefault="00051BDB" w:rsidP="00051BDB">
      <w:pPr>
        <w:rPr>
          <w:rStyle w:val="AERbody"/>
        </w:rPr>
      </w:pPr>
      <w:r w:rsidRPr="00D136DE">
        <w:rPr>
          <w:rStyle w:val="AERbody"/>
        </w:rPr>
        <w:t>The need for two way communication in areas where there are limited commercial alternatives will be correlated with customer density. This is because the fewer customers there are in a service area, the less likely it is to be covered by a commercial communications network. As Economic Insights</w:t>
      </w:r>
      <w:r>
        <w:rPr>
          <w:rStyle w:val="AERbody"/>
        </w:rPr>
        <w:t>'</w:t>
      </w:r>
      <w:r w:rsidRPr="00D136DE">
        <w:rPr>
          <w:rStyle w:val="AERbody"/>
        </w:rPr>
        <w:t xml:space="preserve"> SFA model accounts for customer density, as discussed above, </w:t>
      </w:r>
      <w:r>
        <w:rPr>
          <w:rStyle w:val="AERbody"/>
        </w:rPr>
        <w:t xml:space="preserve">we are not satisfied that it does not appropriately account for </w:t>
      </w:r>
      <w:r w:rsidRPr="00D136DE">
        <w:rPr>
          <w:rStyle w:val="AERbody"/>
        </w:rPr>
        <w:t>the availability of commercial communications networks.</w:t>
      </w:r>
    </w:p>
    <w:p w:rsidR="00051BDB" w:rsidRPr="00D136DE" w:rsidRDefault="00051BDB" w:rsidP="00051BDB">
      <w:pPr>
        <w:rPr>
          <w:rStyle w:val="AERbody"/>
        </w:rPr>
      </w:pPr>
      <w:r>
        <w:rPr>
          <w:rStyle w:val="AERbody"/>
        </w:rPr>
        <w:t xml:space="preserve">Also an adjustment for differences in communication networks is not likely to meet the materiality OEF adjustment criterion. </w:t>
      </w:r>
      <w:r w:rsidRPr="00D136DE">
        <w:rPr>
          <w:rStyle w:val="AERbody"/>
        </w:rPr>
        <w:t>The necessity to provide an extensive two way communication system between control room and field staff</w:t>
      </w:r>
      <w:r w:rsidRPr="009E22C2">
        <w:rPr>
          <w:rStyle w:val="AERbody"/>
        </w:rPr>
        <w:t>, where there are limited commercial options,</w:t>
      </w:r>
      <w:r w:rsidRPr="00D136DE">
        <w:rPr>
          <w:rStyle w:val="AERbody"/>
        </w:rPr>
        <w:t xml:space="preserve"> is not unique to Essential Energy. Other rural service providers, including </w:t>
      </w:r>
      <w:r>
        <w:rPr>
          <w:rStyle w:val="AERbody"/>
        </w:rPr>
        <w:t xml:space="preserve">the comparison firms </w:t>
      </w:r>
      <w:r w:rsidRPr="00D136DE">
        <w:rPr>
          <w:rStyle w:val="AERbody"/>
        </w:rPr>
        <w:t xml:space="preserve">AusNet Services, Powercor, and SA Power Networks face similar challenges providing a reliable communication system. There are areas in </w:t>
      </w:r>
      <w:r w:rsidRPr="00D136DE">
        <w:rPr>
          <w:rStyle w:val="AERbody"/>
        </w:rPr>
        <w:lastRenderedPageBreak/>
        <w:t>all three of those service providers' network areas that do not have mobile telephone coverage.</w:t>
      </w:r>
      <w:r w:rsidRPr="00D136DE">
        <w:rPr>
          <w:rStyle w:val="FootnoteReference"/>
        </w:rPr>
        <w:footnoteReference w:id="603"/>
      </w:r>
    </w:p>
    <w:p w:rsidR="00051BDB" w:rsidRDefault="00051BDB" w:rsidP="00051BDB">
      <w:pPr>
        <w:pStyle w:val="HeadingBoldBlue"/>
      </w:pPr>
      <w:r>
        <w:t>Contaminated land management</w:t>
      </w:r>
    </w:p>
    <w:p w:rsidR="00051BDB" w:rsidRDefault="00051BDB" w:rsidP="00051BDB">
      <w:r>
        <w:t>We are not satisfied that an OEF adjustment for contaminated land management would meet the exogeneity or materiality OEF criteria. To the extent that electricity distribution assets have the potential to contaminate land, all service providers must manage this risk. The cost consequences of not managing this risk prudently in the past should not be visited on consumers.</w:t>
      </w:r>
    </w:p>
    <w:p w:rsidR="00051BDB" w:rsidRDefault="00051BDB" w:rsidP="00051BDB">
      <w:r>
        <w:t>We are not satisfied that an OEF adjustment for contaminated land management would meet the materiality OEF adjustment criterion. All NEM service providers have obligations to prevent land contamination due to the operations of their networks. Where environmental regulations were not as stringent in the past due to a lack of knowledge industry wide, this is a problem that would have affected all service providers. Therefore if this were the case, all service providers would face similar problems with contaminated land.</w:t>
      </w:r>
    </w:p>
    <w:p w:rsidR="00051BDB" w:rsidRDefault="00051BDB" w:rsidP="00051BDB">
      <w:r>
        <w:t xml:space="preserve">We consider that an OEF adjustment for contaminated land management would not satisfy the exogeneity OEF criterion. A prudent service provider would take appropriate action to minimise the risk of land contamination associated with its activities. </w:t>
      </w:r>
    </w:p>
    <w:p w:rsidR="00051BDB" w:rsidRDefault="00051BDB" w:rsidP="00051BDB">
      <w:r>
        <w:t>There may be some circumstances in which environmental regulations are different across jurisdictions. In this case a prudent service provider operating under the less stringent regulations would take action to appropriately manage its environmental risk being mindful of obligations in other jurisdictions. If a service provider did not undertake sufficient risk mitigation, where best industry practice is to manage that risk, that is a reflection of the quality of that service provider's management. The costs of such mismanagement should not be visited on consumers.</w:t>
      </w:r>
    </w:p>
    <w:p w:rsidR="00051BDB" w:rsidRDefault="00051BDB" w:rsidP="00051BDB">
      <w:r>
        <w:t>In the case that a service provider acquired assets with land contamination from another service provider, in a competitive market, the cost of that remediation will be factored into the price of the acquisition. That is the firm responsible for the contamination will have paid for the future remediation costs by receiving a lower payment for the contaminated assets. As a result end users would not need to pay for contaminated land remediation.</w:t>
      </w:r>
    </w:p>
    <w:p w:rsidR="00051BDB" w:rsidRDefault="00051BDB" w:rsidP="00051BDB">
      <w:pPr>
        <w:pStyle w:val="HeadingBoldBlue"/>
      </w:pPr>
      <w:r>
        <w:t>Outsourcing</w:t>
      </w:r>
    </w:p>
    <w:p w:rsidR="00051BDB" w:rsidRPr="00B7151E" w:rsidRDefault="00051BDB" w:rsidP="00051BDB">
      <w:pPr>
        <w:numPr>
          <w:ilvl w:val="0"/>
          <w:numId w:val="24"/>
        </w:numPr>
      </w:pPr>
      <w:r w:rsidRPr="00B7151E">
        <w:t xml:space="preserve">We are </w:t>
      </w:r>
      <w:r>
        <w:t xml:space="preserve">not </w:t>
      </w:r>
      <w:r w:rsidRPr="00B7151E">
        <w:t xml:space="preserve">satisfied that an </w:t>
      </w:r>
      <w:r>
        <w:t>OEF</w:t>
      </w:r>
      <w:r w:rsidRPr="00B7151E">
        <w:t xml:space="preserve"> adjustment for differences </w:t>
      </w:r>
      <w:r>
        <w:t>outsourcing practices between the NSW service providers and the comparison firms would meet the exogeneity OEF adjustment criterion. S</w:t>
      </w:r>
      <w:r w:rsidRPr="00B7151E">
        <w:t xml:space="preserve">ervice providers choose </w:t>
      </w:r>
      <w:r>
        <w:t>to what extent they</w:t>
      </w:r>
      <w:r w:rsidRPr="00B7151E">
        <w:t xml:space="preserve"> </w:t>
      </w:r>
      <w:r>
        <w:t>outsource</w:t>
      </w:r>
      <w:r w:rsidRPr="00B7151E">
        <w:t>.</w:t>
      </w:r>
    </w:p>
    <w:p w:rsidR="00051BDB" w:rsidRDefault="00051BDB" w:rsidP="00051BDB">
      <w:pPr>
        <w:numPr>
          <w:ilvl w:val="0"/>
          <w:numId w:val="24"/>
        </w:numPr>
      </w:pPr>
      <w:r>
        <w:lastRenderedPageBreak/>
        <w:t>In response to our 2014 draft decision for ActewAGL, Advisian raised opportunities for outsourcing as an OEF that might lead to material differences in opex.</w:t>
      </w:r>
      <w:r>
        <w:rPr>
          <w:rStyle w:val="FootnoteReference"/>
        </w:rPr>
        <w:footnoteReference w:id="604"/>
      </w:r>
      <w:r>
        <w:t xml:space="preserve"> Advisian noted that the small size of the ACT and the small number of network service providers in its area prevents ActewAGL from utilising contractors in a similar manner to the comparison firms. Advisian considered that the smaller amount of available work prevents contractors from achieving efficiencies that are available in denser areas serviced by a greater number of service providers. </w:t>
      </w:r>
    </w:p>
    <w:p w:rsidR="00051BDB" w:rsidRDefault="00051BDB" w:rsidP="00051BDB">
      <w:pPr>
        <w:numPr>
          <w:ilvl w:val="0"/>
          <w:numId w:val="24"/>
        </w:numPr>
      </w:pPr>
      <w:r>
        <w:t>We consider that the scale of the NSW service providers would allow them to support a mature and efficient contracting market. All of the NSW service providers have more customers than any of the comparison firms. As a result we consider that the NSW service providers have the opportunity to outsource. The extent to which they do or do not is a management decision. We discuss outsourcing in more detail in our detailed review of the NSW service providers' labour practices.</w:t>
      </w:r>
    </w:p>
    <w:p w:rsidR="00051BDB" w:rsidRDefault="00051BDB" w:rsidP="00051BDB">
      <w:pPr>
        <w:numPr>
          <w:ilvl w:val="0"/>
          <w:numId w:val="24"/>
        </w:numPr>
      </w:pPr>
      <w:r>
        <w:t>Advisian also notes that service providers must retain sufficient in house capacity to act as an informed purchaser when interacting with contractors.</w:t>
      </w:r>
      <w:r w:rsidRPr="008E47CB">
        <w:rPr>
          <w:rStyle w:val="FootnoteReference"/>
        </w:rPr>
        <w:t xml:space="preserve"> </w:t>
      </w:r>
      <w:r>
        <w:rPr>
          <w:rStyle w:val="FootnoteReference"/>
        </w:rPr>
        <w:footnoteReference w:id="605"/>
      </w:r>
      <w:r>
        <w:t xml:space="preserve"> We do not consider that this would limit the NSW service providers' ability to assess contractors' bids. The amount of expertise that would need to be maintained is minimal in terms of overall employees. It would be sufficient to maintain one or two experienced staff to assess tenders.</w:t>
      </w:r>
    </w:p>
    <w:p w:rsidR="00051BDB" w:rsidRDefault="00051BDB" w:rsidP="00051BDB">
      <w:pPr>
        <w:pStyle w:val="HeadingBoldBlue"/>
      </w:pPr>
      <w:r>
        <w:t>Reliability outcomes</w:t>
      </w:r>
    </w:p>
    <w:p w:rsidR="00051BDB" w:rsidRDefault="00051BDB" w:rsidP="00051BDB">
      <w:r>
        <w:t xml:space="preserve">We are satisfied that an OEF adjustment for reliability outcomes is not necessary. It raises the first and third operating environment criterion. </w:t>
      </w:r>
      <w:r w:rsidRPr="00BD3F8C">
        <w:t xml:space="preserve">We are not satisfied that an OEF adjustment for reliability outcomes would meet the duplication and exogeneity OEF adjustment criteria. </w:t>
      </w:r>
      <w:r>
        <w:t>Reliability is appropriately captured by Economic Insights' Cobb Douglas SFA model. Further, reliability outcomes are to some extent within management control.</w:t>
      </w:r>
    </w:p>
    <w:p w:rsidR="00051BDB" w:rsidRDefault="00051BDB" w:rsidP="00051BDB">
      <w:r w:rsidRPr="00FE43BF">
        <w:t>In response to our draft de</w:t>
      </w:r>
      <w:r>
        <w:t>cis</w:t>
      </w:r>
      <w:r w:rsidRPr="00FE43BF">
        <w:t xml:space="preserve">ion the service providers and their consultants </w:t>
      </w:r>
      <w:r>
        <w:t>submitted</w:t>
      </w:r>
      <w:r w:rsidRPr="00FE43BF">
        <w:t xml:space="preserve"> that</w:t>
      </w:r>
      <w:r>
        <w:t xml:space="preserve"> t</w:t>
      </w:r>
      <w:r w:rsidRPr="00FE43BF">
        <w:t>he benchmarking</w:t>
      </w:r>
      <w:r>
        <w:t xml:space="preserve"> we</w:t>
      </w:r>
      <w:r w:rsidRPr="00FE43BF">
        <w:t xml:space="preserve"> used to estimate base year opex did not incorporate reliability.</w:t>
      </w:r>
      <w:r w:rsidRPr="00FE43BF">
        <w:rPr>
          <w:rStyle w:val="FootnoteReference"/>
        </w:rPr>
        <w:footnoteReference w:id="606"/>
      </w:r>
      <w:r>
        <w:t xml:space="preserve"> PEG and Advisian also had some detailed comments regarding the incorporation of reliability into our benchmarking.</w:t>
      </w:r>
      <w:r>
        <w:rPr>
          <w:rStyle w:val="FootnoteReference"/>
        </w:rPr>
        <w:footnoteReference w:id="607"/>
      </w:r>
      <w:r>
        <w:t xml:space="preserve"> </w:t>
      </w:r>
      <w:r w:rsidRPr="00FE43BF">
        <w:t xml:space="preserve">We </w:t>
      </w:r>
      <w:r>
        <w:t>address</w:t>
      </w:r>
      <w:r w:rsidRPr="00FE43BF">
        <w:t xml:space="preserve"> the</w:t>
      </w:r>
      <w:r>
        <w:t>se</w:t>
      </w:r>
      <w:r w:rsidRPr="00FE43BF">
        <w:t xml:space="preserve"> concerns below. </w:t>
      </w:r>
      <w:r>
        <w:t>In this section we also outline why we consider our estimate of base opex is sufficient for the NSW service providers are able to meet their minimum reliability standards.</w:t>
      </w:r>
    </w:p>
    <w:p w:rsidR="00051BDB" w:rsidRDefault="00051BDB" w:rsidP="00051BDB">
      <w:pPr>
        <w:pStyle w:val="HeadingBoldItalic"/>
      </w:pPr>
      <w:r>
        <w:lastRenderedPageBreak/>
        <w:t xml:space="preserve">Consideration of reliability in setting our base year opex </w:t>
      </w:r>
    </w:p>
    <w:p w:rsidR="00051BDB" w:rsidRPr="00E17BEB" w:rsidRDefault="00051BDB" w:rsidP="00051BDB">
      <w:pPr>
        <w:pStyle w:val="ListParagraph"/>
        <w:numPr>
          <w:ilvl w:val="0"/>
          <w:numId w:val="24"/>
        </w:numPr>
      </w:pPr>
      <w:r w:rsidRPr="00E17BEB">
        <w:t>In our draft decision we co</w:t>
      </w:r>
      <w:r>
        <w:t>nsidered the reliability of the NSW service providers</w:t>
      </w:r>
      <w:r w:rsidRPr="00E17BEB">
        <w:t xml:space="preserve"> </w:t>
      </w:r>
      <w:r>
        <w:t>as it was incorporated as an output in</w:t>
      </w:r>
      <w:r w:rsidRPr="00E17BEB">
        <w:t xml:space="preserve"> </w:t>
      </w:r>
      <w:r>
        <w:t>Economic Insights'</w:t>
      </w:r>
      <w:r w:rsidRPr="00E17BEB">
        <w:t xml:space="preserve"> MPFP benchmarking. The consistency between our opex MPFP benchmarking and our Cobb Douglas SFA model indicated that the Cobb Douglas SFA efficiency scores reasonably reflected the efficient, prudent opex costs of </w:t>
      </w:r>
      <w:r>
        <w:t>the NSW service providers</w:t>
      </w:r>
      <w:r w:rsidRPr="00E17BEB">
        <w:t xml:space="preserve"> meeting </w:t>
      </w:r>
      <w:r>
        <w:t>their</w:t>
      </w:r>
      <w:r w:rsidRPr="00E17BEB">
        <w:t xml:space="preserve"> </w:t>
      </w:r>
      <w:r>
        <w:t xml:space="preserve">relevant </w:t>
      </w:r>
      <w:r w:rsidRPr="00E17BEB">
        <w:t>reliability obligations</w:t>
      </w:r>
      <w:r>
        <w:t>.</w:t>
      </w:r>
    </w:p>
    <w:p w:rsidR="00051BDB" w:rsidRDefault="00051BDB" w:rsidP="00051BDB">
      <w:r w:rsidRPr="00B15218">
        <w:t xml:space="preserve">Economic Insights' MTFP and opex MPFP benchmarking indicated that the NSW networks could provide their current levels of </w:t>
      </w:r>
      <w:r>
        <w:t>reliability</w:t>
      </w:r>
      <w:r w:rsidRPr="00B15218">
        <w:t xml:space="preserve"> at much lower cost. </w:t>
      </w:r>
      <w:r>
        <w:t xml:space="preserve">The </w:t>
      </w:r>
      <w:r w:rsidRPr="00B15218">
        <w:t xml:space="preserve">MTFP and opex MPFP benchmarking included the number of customer minutes off supply as a negative output. Hence, poor reliability would be reflected in poor MTFP and opex MPFP performance. </w:t>
      </w:r>
    </w:p>
    <w:p w:rsidR="00051BDB" w:rsidRDefault="00633CC8" w:rsidP="00051BDB">
      <w:r>
        <w:fldChar w:fldCharType="begin"/>
      </w:r>
      <w:r>
        <w:instrText xml:space="preserve"> REF _Ref417641146 \h </w:instrText>
      </w:r>
      <w:r>
        <w:fldChar w:fldCharType="separate"/>
      </w:r>
      <w:r w:rsidR="00C74791">
        <w:t xml:space="preserve">Figure </w:t>
      </w:r>
      <w:r w:rsidR="00C74791">
        <w:rPr>
          <w:noProof/>
        </w:rPr>
        <w:t>A</w:t>
      </w:r>
      <w:r w:rsidR="00C74791">
        <w:t>.</w:t>
      </w:r>
      <w:r w:rsidR="00C74791">
        <w:rPr>
          <w:noProof/>
        </w:rPr>
        <w:t>13</w:t>
      </w:r>
      <w:r>
        <w:fldChar w:fldCharType="end"/>
      </w:r>
      <w:r>
        <w:t xml:space="preserve"> </w:t>
      </w:r>
      <w:r w:rsidR="00051BDB">
        <w:t xml:space="preserve">shows Economic Insights' opex MPFP, SFA and LSE scores for each of the service providers. This figure indicates that, measured under all our different economic benchmarking techniques, the NSW service providers could provide their services at lower cost. </w:t>
      </w:r>
    </w:p>
    <w:p w:rsidR="00051BDB" w:rsidRDefault="00633CC8" w:rsidP="00051BDB">
      <w:pPr>
        <w:pStyle w:val="Caption"/>
      </w:pPr>
      <w:bookmarkStart w:id="231" w:name="_Ref417641146"/>
      <w:r>
        <w:t xml:space="preserve">Figure </w:t>
      </w:r>
      <w:fldSimple w:instr=" STYLEREF 7 \s ">
        <w:r w:rsidR="00C74791">
          <w:rPr>
            <w:noProof/>
          </w:rPr>
          <w:t>A</w:t>
        </w:r>
      </w:fldSimple>
      <w:r w:rsidR="00A409CB">
        <w:t>.</w:t>
      </w:r>
      <w:fldSimple w:instr=" SEQ AFigure \* ARABIC \s 7 ">
        <w:r w:rsidR="00C74791">
          <w:rPr>
            <w:noProof/>
          </w:rPr>
          <w:t>13</w:t>
        </w:r>
      </w:fldSimple>
      <w:bookmarkEnd w:id="231"/>
      <w:r w:rsidR="00051BDB">
        <w:tab/>
      </w:r>
      <w:r w:rsidR="00AC227C">
        <w:t xml:space="preserve">Distributors' </w:t>
      </w:r>
      <w:r w:rsidR="00051BDB">
        <w:t>average opex efficiency scores, 2006-13</w:t>
      </w:r>
    </w:p>
    <w:p w:rsidR="00051BDB" w:rsidRDefault="00051BDB" w:rsidP="00051BDB">
      <w:pPr>
        <w:pStyle w:val="Caption"/>
      </w:pPr>
      <w:r w:rsidRPr="00051BDB">
        <w:rPr>
          <w:noProof/>
          <w:lang w:eastAsia="en-AU"/>
        </w:rPr>
        <w:drawing>
          <wp:inline distT="0" distB="0" distL="0" distR="0" wp14:anchorId="3DB77828" wp14:editId="42897790">
            <wp:extent cx="5105400"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105150"/>
                    </a:xfrm>
                    <a:prstGeom prst="rect">
                      <a:avLst/>
                    </a:prstGeom>
                    <a:noFill/>
                    <a:ln>
                      <a:noFill/>
                    </a:ln>
                  </pic:spPr>
                </pic:pic>
              </a:graphicData>
            </a:graphic>
          </wp:inline>
        </w:drawing>
      </w:r>
    </w:p>
    <w:p w:rsidR="00051BDB" w:rsidRDefault="00051BDB" w:rsidP="00051BDB">
      <w:r>
        <w:t>Importantly, the opex MPFP scores are closely aligned with the efficiency scores of our Cobb Douglas SFA model. This is demonstrated by the two sets of efficiency scores being highly correlated with a correlation coefficient of 0.95. This means that to the extent that reliability performance is different across service providers, its impact on opex efficiency is not significant.</w:t>
      </w:r>
      <w:r w:rsidRPr="001D2A7E">
        <w:t xml:space="preserve"> </w:t>
      </w:r>
      <w:r>
        <w:t xml:space="preserve">Therefore, we consider the Cobb Douglas SFA model reasonably reflects the efficient and prudent costs of providing efficient services, taking into account reliability performance. </w:t>
      </w:r>
    </w:p>
    <w:p w:rsidR="00051BDB" w:rsidRDefault="00051BDB" w:rsidP="00051BDB">
      <w:r>
        <w:lastRenderedPageBreak/>
        <w:t xml:space="preserve">While there is not perfect correlation between the opex MPFP scores and the Cobb Douglas efficiency scores, the scores are very close for AusGrid and Endeavour. We also note that as Essential performs slightly worse under the opex MPFP benchmarking, so the adoption of the Cobb Douglas SFA model is to its advantage. </w:t>
      </w:r>
    </w:p>
    <w:p w:rsidR="00051BDB" w:rsidRDefault="00051BDB" w:rsidP="00051BDB">
      <w:r>
        <w:t xml:space="preserve">To cross-check that the results of our Cobb Douglas SFA model and our opex MPFP model appropriately factor in reliability performance, we have further looked at the reliability performance of the NSPs and developed some reliability partial performance indicators (PPIs). </w:t>
      </w:r>
    </w:p>
    <w:p w:rsidR="00051BDB" w:rsidRDefault="00633CC8" w:rsidP="00051BDB">
      <w:r>
        <w:fldChar w:fldCharType="begin"/>
      </w:r>
      <w:r>
        <w:instrText xml:space="preserve"> REF _Ref417641170 \h </w:instrText>
      </w:r>
      <w:r>
        <w:fldChar w:fldCharType="separate"/>
      </w:r>
      <w:r w:rsidR="00C74791">
        <w:t xml:space="preserve">Figure </w:t>
      </w:r>
      <w:r w:rsidR="00C74791">
        <w:rPr>
          <w:noProof/>
        </w:rPr>
        <w:t>A</w:t>
      </w:r>
      <w:r w:rsidR="00C74791">
        <w:t>.</w:t>
      </w:r>
      <w:r w:rsidR="00C74791">
        <w:rPr>
          <w:noProof/>
        </w:rPr>
        <w:t>14</w:t>
      </w:r>
      <w:r>
        <w:fldChar w:fldCharType="end"/>
      </w:r>
      <w:r>
        <w:t xml:space="preserve"> </w:t>
      </w:r>
      <w:r w:rsidR="00051BDB">
        <w:t>shows the relationship between the number of interruptions per customer (SAIFI) and customer density.</w:t>
      </w:r>
    </w:p>
    <w:p w:rsidR="00051BDB" w:rsidRDefault="00633CC8" w:rsidP="00051BDB">
      <w:r>
        <w:fldChar w:fldCharType="begin"/>
      </w:r>
      <w:r>
        <w:instrText xml:space="preserve"> REF _Ref417641180 \h </w:instrText>
      </w:r>
      <w:r>
        <w:fldChar w:fldCharType="separate"/>
      </w:r>
      <w:r w:rsidR="00C74791">
        <w:t xml:space="preserve">Figure </w:t>
      </w:r>
      <w:r w:rsidR="00C74791">
        <w:rPr>
          <w:noProof/>
        </w:rPr>
        <w:t>A</w:t>
      </w:r>
      <w:r w:rsidR="00C74791">
        <w:t>.</w:t>
      </w:r>
      <w:r w:rsidR="00C74791">
        <w:rPr>
          <w:noProof/>
        </w:rPr>
        <w:t>15</w:t>
      </w:r>
      <w:r>
        <w:fldChar w:fldCharType="end"/>
      </w:r>
      <w:r>
        <w:t xml:space="preserve"> </w:t>
      </w:r>
      <w:r w:rsidR="00051BDB">
        <w:t>shows the relationship between the average minutes off supply per customer (SAIDI) and customer density.</w:t>
      </w:r>
    </w:p>
    <w:p w:rsidR="00051BDB" w:rsidRDefault="00633CC8" w:rsidP="00051BDB">
      <w:pPr>
        <w:pStyle w:val="Caption"/>
      </w:pPr>
      <w:bookmarkStart w:id="232" w:name="_Ref417641170"/>
      <w:r>
        <w:t xml:space="preserve">Figure </w:t>
      </w:r>
      <w:fldSimple w:instr=" STYLEREF 7 \s ">
        <w:r w:rsidR="00C74791">
          <w:rPr>
            <w:noProof/>
          </w:rPr>
          <w:t>A</w:t>
        </w:r>
      </w:fldSimple>
      <w:r w:rsidR="00A409CB">
        <w:t>.</w:t>
      </w:r>
      <w:fldSimple w:instr=" SEQ AFigure \* ARABIC \s 7 ">
        <w:r w:rsidR="00C74791">
          <w:rPr>
            <w:noProof/>
          </w:rPr>
          <w:t>14</w:t>
        </w:r>
      </w:fldSimple>
      <w:bookmarkEnd w:id="232"/>
      <w:r w:rsidR="00051BDB">
        <w:tab/>
        <w:t>SAIFI against customer density</w:t>
      </w:r>
    </w:p>
    <w:p w:rsidR="00051BDB" w:rsidRDefault="00051BDB" w:rsidP="00051BDB">
      <w:r w:rsidRPr="00051BDB">
        <w:rPr>
          <w:noProof/>
          <w:lang w:eastAsia="en-AU"/>
        </w:rPr>
        <w:drawing>
          <wp:inline distT="0" distB="0" distL="0" distR="0" wp14:anchorId="2EBCB1C5" wp14:editId="17FC9FF8">
            <wp:extent cx="4772025" cy="32550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3255010"/>
                    </a:xfrm>
                    <a:prstGeom prst="rect">
                      <a:avLst/>
                    </a:prstGeom>
                    <a:noFill/>
                    <a:ln>
                      <a:noFill/>
                    </a:ln>
                  </pic:spPr>
                </pic:pic>
              </a:graphicData>
            </a:graphic>
          </wp:inline>
        </w:drawing>
      </w:r>
    </w:p>
    <w:p w:rsidR="00051BDB" w:rsidRDefault="00633CC8" w:rsidP="00051BDB">
      <w:pPr>
        <w:pStyle w:val="Caption"/>
      </w:pPr>
      <w:bookmarkStart w:id="233" w:name="_Ref417641180"/>
      <w:r>
        <w:lastRenderedPageBreak/>
        <w:t xml:space="preserve">Figure </w:t>
      </w:r>
      <w:fldSimple w:instr=" STYLEREF 7 \s ">
        <w:r w:rsidR="00C74791">
          <w:rPr>
            <w:noProof/>
          </w:rPr>
          <w:t>A</w:t>
        </w:r>
      </w:fldSimple>
      <w:r w:rsidR="00A409CB">
        <w:t>.</w:t>
      </w:r>
      <w:fldSimple w:instr=" SEQ AFigure \* ARABIC \s 7 ">
        <w:r w:rsidR="00C74791">
          <w:rPr>
            <w:noProof/>
          </w:rPr>
          <w:t>15</w:t>
        </w:r>
      </w:fldSimple>
      <w:bookmarkEnd w:id="233"/>
      <w:r w:rsidR="00051BDB">
        <w:tab/>
        <w:t>SAIDI against customer density</w:t>
      </w:r>
    </w:p>
    <w:p w:rsidR="00051BDB" w:rsidRPr="00176BE6" w:rsidRDefault="00051BDB" w:rsidP="00051BDB">
      <w:r w:rsidRPr="00051BDB">
        <w:rPr>
          <w:noProof/>
          <w:lang w:eastAsia="en-AU"/>
        </w:rPr>
        <w:drawing>
          <wp:inline distT="0" distB="0" distL="0" distR="0" wp14:anchorId="5191B8EC" wp14:editId="5E7008AE">
            <wp:extent cx="4761865" cy="3249295"/>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1865" cy="3249295"/>
                    </a:xfrm>
                    <a:prstGeom prst="rect">
                      <a:avLst/>
                    </a:prstGeom>
                    <a:noFill/>
                    <a:ln>
                      <a:noFill/>
                    </a:ln>
                  </pic:spPr>
                </pic:pic>
              </a:graphicData>
            </a:graphic>
          </wp:inline>
        </w:drawing>
      </w:r>
    </w:p>
    <w:p w:rsidR="00051BDB" w:rsidRDefault="00051BDB" w:rsidP="00051BDB">
      <w:r>
        <w:t xml:space="preserve">As shown in these figures there is an inverse relationship between customer density and reliability. This is expected to be the case as less dense networks will have more exposed lines per customer. Holding everything else constant, the more exposed lines within a network, the greater the chance for incidences that will adversely affect reliability.  </w:t>
      </w:r>
    </w:p>
    <w:p w:rsidR="00051BDB" w:rsidRDefault="00051BDB" w:rsidP="00051BDB">
      <w:r>
        <w:t xml:space="preserve">Most networks have a level of reliability that is close to their expected level given their customer density, as reflected by the reliability scores being close to the trend line. This indicates that the reliability performance of the benchmark service providers is not materially different from that of the NSW service providers.  </w:t>
      </w:r>
    </w:p>
    <w:p w:rsidR="00051BDB" w:rsidRDefault="00051BDB" w:rsidP="00051BDB">
      <w:pPr>
        <w:pStyle w:val="HeadingBoldItalic"/>
      </w:pPr>
      <w:r>
        <w:t>Detailed criticisms</w:t>
      </w:r>
    </w:p>
    <w:p w:rsidR="00051BDB" w:rsidRPr="00715392" w:rsidRDefault="00051BDB" w:rsidP="00051BDB">
      <w:r>
        <w:t>In response to our draft determination the consultants of the NSW and ACT service providers, Advisian and PEG raised some detailed concerns regarding the incorporation of reliability into our benchmarking analysis. We address these concerns below.</w:t>
      </w:r>
    </w:p>
    <w:p w:rsidR="00051BDB" w:rsidRDefault="00051BDB" w:rsidP="00051BDB">
      <w:pPr>
        <w:pStyle w:val="HeadingItalic"/>
      </w:pPr>
      <w:r>
        <w:t>Advisian</w:t>
      </w:r>
    </w:p>
    <w:p w:rsidR="00051BDB" w:rsidRPr="007D5BF4" w:rsidRDefault="00051BDB" w:rsidP="00051BDB">
      <w:r>
        <w:t>On the issue of reliability, Advisian submitted:</w:t>
      </w:r>
    </w:p>
    <w:p w:rsidR="00051BDB" w:rsidRPr="00D613D3" w:rsidRDefault="00051BDB" w:rsidP="00051BDB">
      <w:pPr>
        <w:pStyle w:val="AERquote"/>
      </w:pPr>
      <w:r>
        <w:t>1) "T</w:t>
      </w:r>
      <w:r w:rsidRPr="007D5BF4">
        <w:t>he “ceteris paribus” assumption of constant reliability implicit in the benchmark</w:t>
      </w:r>
      <w:r w:rsidRPr="00D613D3">
        <w:t xml:space="preserve"> model does not hold, and some adjustment is necessary to reflect changes in reliability, an issue not dealt with at all in the preferred SFA model.</w:t>
      </w:r>
    </w:p>
    <w:p w:rsidR="00051BDB" w:rsidRPr="00D613D3" w:rsidRDefault="00051BDB" w:rsidP="00051BDB">
      <w:pPr>
        <w:pStyle w:val="AERquote"/>
      </w:pPr>
      <w:r>
        <w:t xml:space="preserve">2) </w:t>
      </w:r>
      <w:r w:rsidRPr="009A19A5">
        <w:t>Economic Insights</w:t>
      </w:r>
      <w:r>
        <w:t>'</w:t>
      </w:r>
      <w:r w:rsidRPr="009A19A5">
        <w:t xml:space="preserve"> reliance on analysis period averages for its benchmarking</w:t>
      </w:r>
      <w:r w:rsidRPr="00D613D3">
        <w:t xml:space="preserve"> models means that the effect of declining reliability performance on opex over the analysis period is not captured in its models (which by </w:t>
      </w:r>
      <w:r w:rsidRPr="00D613D3">
        <w:lastRenderedPageBreak/>
        <w:t>implication assumes that opex is driven by absolute SAIDI). In practice the relationship between opex and reliability is driven by a combination of the absolute level that has historically been achieved, the specific network environment and the change in SAIDI over the analysis period.</w:t>
      </w:r>
    </w:p>
    <w:p w:rsidR="00051BDB" w:rsidRPr="00D613D3" w:rsidRDefault="00051BDB" w:rsidP="00051BDB">
      <w:pPr>
        <w:pStyle w:val="AERquote"/>
      </w:pPr>
      <w:r>
        <w:t>3) T</w:t>
      </w:r>
      <w:r w:rsidRPr="009A19A5">
        <w:t>he trade-off between SAIFI and CAIDI to achieve a SAIDI target highlights that</w:t>
      </w:r>
      <w:r w:rsidRPr="00D613D3">
        <w:t xml:space="preserve"> reliability can be achieved by a combination of Opex and Capex programs. No attempt has been made in the AER’s benchmarking to “normalise” the approaches taken by DNSPs in this regard. This gives rise to the potential for what otherwise may be a sensible and efficient Opex / Capex trade off being judged as an Opex efficiency / inefficiency.</w:t>
      </w:r>
      <w:r>
        <w:t>"</w:t>
      </w:r>
      <w:r>
        <w:rPr>
          <w:rStyle w:val="FootnoteReference"/>
        </w:rPr>
        <w:footnoteReference w:id="608"/>
      </w:r>
    </w:p>
    <w:p w:rsidR="00051BDB" w:rsidRDefault="00051BDB" w:rsidP="00051BDB">
      <w:pPr>
        <w:pStyle w:val="BodyText"/>
      </w:pPr>
      <w:r>
        <w:t>We address these points below.</w:t>
      </w:r>
    </w:p>
    <w:p w:rsidR="00051BDB" w:rsidRDefault="00051BDB" w:rsidP="00051BDB">
      <w:r>
        <w:t xml:space="preserve">Advisian submitted that the frontier networks have exhibited decreasing reliability performance. It considered that the assumption of constant reliability in the AER's modelling does not hold and that the AER's benchmarking should be adjusted to reflect this. </w:t>
      </w:r>
    </w:p>
    <w:p w:rsidR="00051BDB" w:rsidRPr="00472286" w:rsidRDefault="00051BDB" w:rsidP="00051BDB">
      <w:r>
        <w:t>We do not consider that the frontier networks have exhibited decreasing reliability performance. On both SAIDI and SAIFI measures the performance of the frontier networks have improved</w:t>
      </w:r>
      <w:r w:rsidR="00633CC8">
        <w:t xml:space="preserve">. </w:t>
      </w:r>
      <w:r w:rsidR="00633CC8">
        <w:fldChar w:fldCharType="begin"/>
      </w:r>
      <w:r w:rsidR="00633CC8">
        <w:instrText xml:space="preserve"> REF _Ref417641234 \h </w:instrText>
      </w:r>
      <w:r w:rsidR="00633CC8">
        <w:fldChar w:fldCharType="separate"/>
      </w:r>
      <w:r w:rsidR="00C74791">
        <w:t xml:space="preserve">Figure </w:t>
      </w:r>
      <w:r w:rsidR="00C74791">
        <w:rPr>
          <w:noProof/>
        </w:rPr>
        <w:t>A</w:t>
      </w:r>
      <w:r w:rsidR="00C74791">
        <w:t>.</w:t>
      </w:r>
      <w:r w:rsidR="00C74791">
        <w:rPr>
          <w:noProof/>
        </w:rPr>
        <w:t>16</w:t>
      </w:r>
      <w:r w:rsidR="00633CC8">
        <w:fldChar w:fldCharType="end"/>
      </w:r>
      <w:r w:rsidR="00633CC8">
        <w:t xml:space="preserve"> </w:t>
      </w:r>
      <w:r>
        <w:t>shows the weighted average SAIDI of the frontier networks over the benchmarking period.</w:t>
      </w:r>
      <w:r>
        <w:rPr>
          <w:rStyle w:val="FootnoteReference"/>
        </w:rPr>
        <w:footnoteReference w:id="609"/>
      </w:r>
      <w:r>
        <w:t xml:space="preserve"> This shows that the SAIDI of the frontier networks has improved over the benchmarking period.</w:t>
      </w:r>
    </w:p>
    <w:p w:rsidR="00051BDB" w:rsidRPr="00C74791" w:rsidRDefault="00C74791" w:rsidP="00C74791">
      <w:pPr>
        <w:pStyle w:val="Caption"/>
      </w:pPr>
      <w:bookmarkStart w:id="234" w:name="_Ref417641234"/>
      <w:r w:rsidRPr="00051BDB">
        <w:rPr>
          <w:noProof/>
          <w:lang w:eastAsia="en-AU"/>
        </w:rPr>
        <w:drawing>
          <wp:anchor distT="0" distB="0" distL="114300" distR="114300" simplePos="0" relativeHeight="251664384" behindDoc="0" locked="0" layoutInCell="1" allowOverlap="1" wp14:anchorId="0B09D7FA" wp14:editId="13AF405B">
            <wp:simplePos x="0" y="0"/>
            <wp:positionH relativeFrom="column">
              <wp:posOffset>8890</wp:posOffset>
            </wp:positionH>
            <wp:positionV relativeFrom="paragraph">
              <wp:posOffset>487680</wp:posOffset>
            </wp:positionV>
            <wp:extent cx="4354830" cy="2625090"/>
            <wp:effectExtent l="0" t="0" r="762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54830" cy="262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CC8" w:rsidRPr="00C74791">
        <w:t xml:space="preserve">Figure </w:t>
      </w:r>
      <w:fldSimple w:instr=" STYLEREF 7 \s ">
        <w:r w:rsidRPr="00C74791">
          <w:t>A</w:t>
        </w:r>
      </w:fldSimple>
      <w:r w:rsidR="00A409CB" w:rsidRPr="00C74791">
        <w:t>.</w:t>
      </w:r>
      <w:fldSimple w:instr=" SEQ AFigure \* ARABIC \s 7 ">
        <w:r w:rsidRPr="00C74791">
          <w:t>16</w:t>
        </w:r>
      </w:fldSimple>
      <w:bookmarkEnd w:id="234"/>
      <w:r w:rsidR="00051BDB" w:rsidRPr="00C74791">
        <w:tab/>
        <w:t>SAIDI of frontier networks against long term average</w:t>
      </w:r>
    </w:p>
    <w:p w:rsidR="00051BDB" w:rsidRDefault="00051BDB" w:rsidP="00051BDB"/>
    <w:p w:rsidR="00051BDB" w:rsidRDefault="00051BDB" w:rsidP="00051BDB">
      <w:pPr>
        <w:pStyle w:val="Source"/>
      </w:pPr>
      <w:r>
        <w:t>Note: SAIDI is calculated excluding excluded outages and MED days consistent with Advisian's approach.</w:t>
      </w:r>
    </w:p>
    <w:p w:rsidR="00051BDB" w:rsidRDefault="00633CC8" w:rsidP="00051BDB">
      <w:r>
        <w:rPr>
          <w:rStyle w:val="Strong"/>
        </w:rPr>
        <w:fldChar w:fldCharType="begin"/>
      </w:r>
      <w:r>
        <w:instrText xml:space="preserve"> REF _Ref417641274 \h </w:instrText>
      </w:r>
      <w:r>
        <w:rPr>
          <w:rStyle w:val="Strong"/>
        </w:rPr>
      </w:r>
      <w:r>
        <w:rPr>
          <w:rStyle w:val="Strong"/>
        </w:rPr>
        <w:fldChar w:fldCharType="separate"/>
      </w:r>
      <w:r w:rsidR="00C74791">
        <w:t xml:space="preserve">Figure </w:t>
      </w:r>
      <w:r w:rsidR="00C74791">
        <w:rPr>
          <w:noProof/>
        </w:rPr>
        <w:t>A</w:t>
      </w:r>
      <w:r w:rsidR="00C74791">
        <w:t>.</w:t>
      </w:r>
      <w:r w:rsidR="00C74791">
        <w:rPr>
          <w:noProof/>
        </w:rPr>
        <w:t>17</w:t>
      </w:r>
      <w:r>
        <w:rPr>
          <w:rStyle w:val="Strong"/>
        </w:rPr>
        <w:fldChar w:fldCharType="end"/>
      </w:r>
      <w:r>
        <w:rPr>
          <w:rStyle w:val="Strong"/>
        </w:rPr>
        <w:t xml:space="preserve"> </w:t>
      </w:r>
      <w:r w:rsidR="00051BDB">
        <w:t xml:space="preserve">presents the SAIFI performance of the frontier networks. Again under this analysis SAIFI of the frontier networks has improved over the benchmarking period. </w:t>
      </w:r>
      <w:r>
        <w:fldChar w:fldCharType="begin"/>
      </w:r>
      <w:r>
        <w:instrText xml:space="preserve"> REF _Ref417641234 \h </w:instrText>
      </w:r>
      <w:r>
        <w:fldChar w:fldCharType="separate"/>
      </w:r>
      <w:r w:rsidR="00C74791">
        <w:t xml:space="preserve">Figure </w:t>
      </w:r>
      <w:r w:rsidR="00C74791">
        <w:rPr>
          <w:noProof/>
        </w:rPr>
        <w:t>A</w:t>
      </w:r>
      <w:r w:rsidR="00C74791">
        <w:t>.</w:t>
      </w:r>
      <w:r w:rsidR="00C74791">
        <w:rPr>
          <w:noProof/>
        </w:rPr>
        <w:t>16</w:t>
      </w:r>
      <w:r>
        <w:fldChar w:fldCharType="end"/>
      </w:r>
      <w:r>
        <w:t xml:space="preserve"> </w:t>
      </w:r>
      <w:r w:rsidR="00051BDB">
        <w:t xml:space="preserve">and </w:t>
      </w:r>
      <w:r>
        <w:fldChar w:fldCharType="begin"/>
      </w:r>
      <w:r>
        <w:instrText xml:space="preserve"> REF _Ref417641274 \h </w:instrText>
      </w:r>
      <w:r>
        <w:fldChar w:fldCharType="separate"/>
      </w:r>
      <w:r w:rsidR="00C74791">
        <w:t xml:space="preserve">Figure </w:t>
      </w:r>
      <w:r w:rsidR="00C74791">
        <w:rPr>
          <w:noProof/>
        </w:rPr>
        <w:t>A</w:t>
      </w:r>
      <w:r w:rsidR="00C74791">
        <w:t>.</w:t>
      </w:r>
      <w:r w:rsidR="00C74791">
        <w:rPr>
          <w:noProof/>
        </w:rPr>
        <w:t>17</w:t>
      </w:r>
      <w:r>
        <w:fldChar w:fldCharType="end"/>
      </w:r>
      <w:r>
        <w:t xml:space="preserve"> </w:t>
      </w:r>
      <w:r w:rsidR="00051BDB">
        <w:t>show that SAIFI has been improving at a faster rate than SAIDI for the frontier networks. This means that CAIDI of the frontier networks will appear to deteriorate over time.</w:t>
      </w:r>
    </w:p>
    <w:p w:rsidR="00051BDB" w:rsidRDefault="00633CC8" w:rsidP="00051BDB">
      <w:pPr>
        <w:pStyle w:val="Caption"/>
      </w:pPr>
      <w:bookmarkStart w:id="235" w:name="_Ref417641274"/>
      <w:r>
        <w:t xml:space="preserve">Figure </w:t>
      </w:r>
      <w:fldSimple w:instr=" STYLEREF 7 \s ">
        <w:r w:rsidR="00C74791">
          <w:rPr>
            <w:noProof/>
          </w:rPr>
          <w:t>A</w:t>
        </w:r>
      </w:fldSimple>
      <w:r w:rsidR="00A409CB">
        <w:t>.</w:t>
      </w:r>
      <w:fldSimple w:instr=" SEQ AFigure \* ARABIC \s 7 ">
        <w:r w:rsidR="00C74791">
          <w:rPr>
            <w:noProof/>
          </w:rPr>
          <w:t>17</w:t>
        </w:r>
      </w:fldSimple>
      <w:bookmarkEnd w:id="235"/>
      <w:r w:rsidR="00051BDB">
        <w:tab/>
        <w:t>SAIFI of frontier networks against long term average</w:t>
      </w:r>
    </w:p>
    <w:p w:rsidR="00051BDB" w:rsidRDefault="00051BDB" w:rsidP="00051BDB">
      <w:r w:rsidRPr="00051BDB">
        <w:rPr>
          <w:noProof/>
          <w:lang w:eastAsia="en-AU"/>
        </w:rPr>
        <w:drawing>
          <wp:anchor distT="0" distB="0" distL="114300" distR="114300" simplePos="0" relativeHeight="251663360" behindDoc="0" locked="0" layoutInCell="1" allowOverlap="1" wp14:anchorId="45448ED1" wp14:editId="7227C4C2">
            <wp:simplePos x="0" y="0"/>
            <wp:positionH relativeFrom="column">
              <wp:posOffset>152400</wp:posOffset>
            </wp:positionH>
            <wp:positionV relativeFrom="paragraph">
              <wp:posOffset>152400</wp:posOffset>
            </wp:positionV>
            <wp:extent cx="5063490" cy="2737485"/>
            <wp:effectExtent l="0" t="0" r="381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3490"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BDB" w:rsidRDefault="00051BDB" w:rsidP="00051BDB">
      <w:pPr>
        <w:pStyle w:val="Source"/>
      </w:pPr>
      <w:r>
        <w:t>Note: SAIDI is calculated excluding excluded outages and MED days consistent with Advisian's approach.</w:t>
      </w:r>
    </w:p>
    <w:p w:rsidR="00051BDB" w:rsidRDefault="00051BDB" w:rsidP="00051BDB">
      <w:r>
        <w:t xml:space="preserve">Advisian stated that CAIDI for the frontier networks has declined across the benchmarking period. We agree that this is the case, but </w:t>
      </w:r>
      <w:r w:rsidRPr="00053B47">
        <w:t>consider</w:t>
      </w:r>
      <w:r>
        <w:t xml:space="preserve"> that this is not a concern. </w:t>
      </w:r>
      <w:r w:rsidRPr="00BD3BD2">
        <w:t>CAIDI represents the average time required to restore service</w:t>
      </w:r>
      <w:r w:rsidRPr="00010D53">
        <w:t>.</w:t>
      </w:r>
      <w:r w:rsidRPr="00053B47">
        <w:rPr>
          <w:rStyle w:val="FootnoteReference"/>
        </w:rPr>
        <w:t xml:space="preserve"> </w:t>
      </w:r>
      <w:r>
        <w:rPr>
          <w:rStyle w:val="FootnoteReference"/>
        </w:rPr>
        <w:footnoteReference w:id="610"/>
      </w:r>
      <w:r>
        <w:t xml:space="preserve"> CAIDI is not a measure of the detriment of outages to consumers.</w:t>
      </w:r>
      <w:r w:rsidRPr="00010D53">
        <w:t xml:space="preserve"> </w:t>
      </w:r>
      <w:r>
        <w:t>The IEEE calculate SAIDI in the following manner:</w:t>
      </w:r>
      <w:r>
        <w:rPr>
          <w:rStyle w:val="FootnoteReference"/>
        </w:rPr>
        <w:footnoteReference w:id="611"/>
      </w:r>
    </w:p>
    <w:p w:rsidR="00051BDB" w:rsidRPr="00F90D1B" w:rsidRDefault="00051BDB" w:rsidP="00051BDB">
      <m:oMathPara>
        <m:oMath>
          <m:r>
            <w:rPr>
              <w:rFonts w:ascii="Cambria Math" w:hAnsi="Cambria Math"/>
            </w:rPr>
            <m:t xml:space="preserve">CAIDI= </m:t>
          </m:r>
          <m:f>
            <m:fPr>
              <m:ctrlPr>
                <w:rPr>
                  <w:rFonts w:ascii="Cambria Math" w:hAnsi="Cambria Math"/>
                </w:rPr>
              </m:ctrlPr>
            </m:fPr>
            <m:num>
              <m:r>
                <w:rPr>
                  <w:rFonts w:ascii="Cambria Math" w:hAnsi="Cambria Math"/>
                </w:rPr>
                <m:t>SAIDI</m:t>
              </m:r>
            </m:num>
            <m:den>
              <m:r>
                <w:rPr>
                  <w:rFonts w:ascii="Cambria Math" w:hAnsi="Cambria Math"/>
                </w:rPr>
                <m:t>SAIFI</m:t>
              </m:r>
            </m:den>
          </m:f>
        </m:oMath>
      </m:oMathPara>
    </w:p>
    <w:p w:rsidR="00051BDB" w:rsidRDefault="00051BDB" w:rsidP="00051BDB">
      <w:r>
        <w:t>Under this calculation CAIDI will deteriorate if SAIFI improves at a faster rate than SAIDI. This is the case for the frontier networks. However, under this scenario customers experience fewer interruptions and fewer minutes off supply and are hence better off.</w:t>
      </w:r>
    </w:p>
    <w:p w:rsidR="00051BDB" w:rsidRDefault="00051BDB" w:rsidP="00051BDB">
      <w:r>
        <w:lastRenderedPageBreak/>
        <w:t>Advisian submitted that</w:t>
      </w:r>
      <w:r w:rsidRPr="00B420AF">
        <w:t xml:space="preserve"> Economic Insights</w:t>
      </w:r>
      <w:r>
        <w:t>'</w:t>
      </w:r>
      <w:r w:rsidRPr="00B420AF">
        <w:t xml:space="preserve"> reliance on analysis period averages for its benchmarking</w:t>
      </w:r>
      <w:r>
        <w:t xml:space="preserve"> </w:t>
      </w:r>
      <w:r w:rsidRPr="00B420AF">
        <w:t>models means that the effect of declining reliability performance on opex over the analysis period</w:t>
      </w:r>
      <w:r>
        <w:t xml:space="preserve"> </w:t>
      </w:r>
      <w:r w:rsidRPr="00B420AF">
        <w:t>is not captured in its</w:t>
      </w:r>
      <w:r>
        <w:t xml:space="preserve"> modelling</w:t>
      </w:r>
      <w:r w:rsidRPr="00B420AF">
        <w:t>.</w:t>
      </w:r>
      <w:r>
        <w:rPr>
          <w:rStyle w:val="FootnoteReference"/>
        </w:rPr>
        <w:footnoteReference w:id="612"/>
      </w:r>
      <w:r>
        <w:t xml:space="preserve"> As noted above, this statement appears to be incorrect as reliability performance for the frontier networks as measured by SAIDI and SAIFI has improved over the period according to our measures. Advisian also submitted that that the </w:t>
      </w:r>
      <w:r w:rsidRPr="00C6278B">
        <w:t>trade-off between SAIFI and CAIDI to achieve a SAIDI target highlights that reliability can be achieved by a combination of Opex and Capex programs.</w:t>
      </w:r>
      <w:r>
        <w:rPr>
          <w:rStyle w:val="FootnoteReference"/>
        </w:rPr>
        <w:footnoteReference w:id="613"/>
      </w:r>
      <w:r w:rsidRPr="00C6278B">
        <w:t xml:space="preserve"> </w:t>
      </w:r>
      <w:r>
        <w:t>Advisian submitted that no</w:t>
      </w:r>
      <w:r w:rsidRPr="00C6278B">
        <w:t xml:space="preserve"> attempt has been made in the AER’s benchmarking to “normalise” the approaches taken by </w:t>
      </w:r>
      <w:r w:rsidR="009664DF">
        <w:t>distributors</w:t>
      </w:r>
      <w:r w:rsidR="009664DF" w:rsidRPr="00C6278B">
        <w:t xml:space="preserve"> </w:t>
      </w:r>
      <w:r w:rsidRPr="00C6278B">
        <w:t xml:space="preserve">in this regard. </w:t>
      </w:r>
      <w:r>
        <w:t xml:space="preserve">As we point out in our consideration of capitalisation policies above the NSW networks have spent more on capex over the benchmarking period than the frontier networks. This should put these networks at an advantage under our benchmarking analysis. This is because the additional expenditure on capex should reduce outages and improve their opex performance under our benchmarking. </w:t>
      </w:r>
    </w:p>
    <w:p w:rsidR="00051BDB" w:rsidRDefault="00051BDB" w:rsidP="00051BDB">
      <w:r>
        <w:t>Further, we note that the frontier networks have significantly increased their opex on maintenance and vegetation management.</w:t>
      </w:r>
      <w:r>
        <w:rPr>
          <w:rStyle w:val="FootnoteReference"/>
        </w:rPr>
        <w:footnoteReference w:id="614"/>
      </w:r>
      <w:r>
        <w:t xml:space="preserve"> This additional opex should reduce outages caused by vegetation and asset failure. However increasing opex will disadvantage the frontier networks under our benchmarking of opex. This is because, as Advisian states, these networks could have instead undertaken capital programs to reduce outages. Therefore, we do not consider that normalisation of the results to account for the trade-off between SAIFI and CAIDI is necessary.</w:t>
      </w:r>
    </w:p>
    <w:p w:rsidR="00051BDB" w:rsidRDefault="00051BDB" w:rsidP="00051BDB">
      <w:pPr>
        <w:pStyle w:val="HeadingItalic"/>
      </w:pPr>
      <w:r>
        <w:t>Pacific Economic Group Research</w:t>
      </w:r>
    </w:p>
    <w:p w:rsidR="00051BDB" w:rsidRDefault="00051BDB" w:rsidP="00051BDB">
      <w:r>
        <w:t xml:space="preserve">PEGR </w:t>
      </w:r>
      <w:r w:rsidRPr="00F25BD4">
        <w:t>question</w:t>
      </w:r>
      <w:r>
        <w:t>ed</w:t>
      </w:r>
      <w:r w:rsidRPr="00F25BD4">
        <w:t xml:space="preserve"> the way in which reliability was included in the scale index</w:t>
      </w:r>
      <w:r>
        <w:t>:</w:t>
      </w:r>
    </w:p>
    <w:p w:rsidR="00051BDB" w:rsidRDefault="00051BDB" w:rsidP="00051BDB">
      <w:pPr>
        <w:pStyle w:val="AERquote"/>
      </w:pPr>
      <w:r w:rsidRPr="00F25BD4">
        <w:t xml:space="preserve">The impact of reliability on opex is a complicated empirical issue. Good reliability may </w:t>
      </w:r>
      <w:r>
        <w:t>r</w:t>
      </w:r>
      <w:r w:rsidRPr="00F25BD4">
        <w:t xml:space="preserve">equire higher opex, but it also depends </w:t>
      </w:r>
      <w:r>
        <w:t>on weather, forestation, system u</w:t>
      </w:r>
      <w:r w:rsidRPr="00F25BD4">
        <w:t xml:space="preserve">ndergrounding, AMI, and system reinforcements. EI’s approach to reliability unfairly </w:t>
      </w:r>
      <w:r w:rsidR="008C33CA" w:rsidRPr="00F25BD4">
        <w:t>favours</w:t>
      </w:r>
      <w:r w:rsidRPr="00F25BD4">
        <w:t xml:space="preserve"> urban utilities in Victoria and ACT since these utilities enjoy </w:t>
      </w:r>
      <w:r w:rsidR="008C33CA" w:rsidRPr="00F25BD4">
        <w:t>favourable</w:t>
      </w:r>
      <w:r w:rsidRPr="00F25BD4">
        <w:t xml:space="preserve"> reliability operating conditions.</w:t>
      </w:r>
      <w:r>
        <w:rPr>
          <w:rStyle w:val="FootnoteReference"/>
        </w:rPr>
        <w:footnoteReference w:id="615"/>
      </w:r>
    </w:p>
    <w:p w:rsidR="00051BDB" w:rsidRDefault="00051BDB" w:rsidP="00051BDB">
      <w:r>
        <w:t>In response to this comment Economic Insights notes that PEGR does not provide an</w:t>
      </w:r>
      <w:r w:rsidRPr="00A5073E">
        <w:t xml:space="preserve"> explanation how </w:t>
      </w:r>
      <w:r>
        <w:t>the Victorian and ACT service providers</w:t>
      </w:r>
      <w:r w:rsidRPr="00A5073E">
        <w:t xml:space="preserve"> differ from the NSW urban </w:t>
      </w:r>
      <w:r>
        <w:t>service providers</w:t>
      </w:r>
      <w:r w:rsidRPr="00A5073E">
        <w:t xml:space="preserve"> which face broadly similar ‘reliability operating conditions’. Rather, </w:t>
      </w:r>
      <w:r>
        <w:t xml:space="preserve">Economic Insights notes that </w:t>
      </w:r>
      <w:r w:rsidRPr="00A5073E">
        <w:t>it is likely that the Victorian and ACT DNSPs have focussed more on improving their reliability</w:t>
      </w:r>
      <w:r>
        <w:t>.</w:t>
      </w:r>
      <w:r>
        <w:rPr>
          <w:rStyle w:val="FootnoteReference"/>
        </w:rPr>
        <w:footnoteReference w:id="616"/>
      </w:r>
    </w:p>
    <w:p w:rsidR="00051BDB" w:rsidRDefault="00051BDB" w:rsidP="00051BDB">
      <w:pPr>
        <w:pStyle w:val="HeadingBoldItalic"/>
      </w:pPr>
      <w:r>
        <w:t>Management control of reliability</w:t>
      </w:r>
    </w:p>
    <w:p w:rsidR="00051BDB" w:rsidRDefault="00051BDB" w:rsidP="00051BDB">
      <w:pPr>
        <w:rPr>
          <w:rStyle w:val="AERbody"/>
        </w:rPr>
      </w:pPr>
      <w:r>
        <w:rPr>
          <w:rStyle w:val="AERbody"/>
        </w:rPr>
        <w:lastRenderedPageBreak/>
        <w:t>We consider that there are a number of actions that management can undertake in order to control the level of reliability within their networks. This includes spending more on vegetation management and maintenance. Advisian also notes actions that management can take to manage reliability.</w:t>
      </w:r>
      <w:r>
        <w:rPr>
          <w:rStyle w:val="FootnoteReference"/>
        </w:rPr>
        <w:footnoteReference w:id="617"/>
      </w:r>
      <w:r>
        <w:rPr>
          <w:rStyle w:val="AERbody"/>
        </w:rPr>
        <w:t xml:space="preserve"> Though outages are often caused by exogenous circumstances, reliability outcomes are not fully exogenous to management control. </w:t>
      </w:r>
    </w:p>
    <w:p w:rsidR="00051BDB" w:rsidRDefault="00051BDB" w:rsidP="00051BDB">
      <w:pPr>
        <w:rPr>
          <w:rStyle w:val="AERbody"/>
        </w:rPr>
      </w:pPr>
      <w:r>
        <w:rPr>
          <w:rStyle w:val="AERbody"/>
        </w:rPr>
        <w:t xml:space="preserve">Further, in our benchmarking we apply the </w:t>
      </w:r>
      <w:r w:rsidRPr="00B258D8">
        <w:rPr>
          <w:rStyle w:val="AERbody"/>
        </w:rPr>
        <w:t>Institute of Electrical and Electronics Engineers</w:t>
      </w:r>
      <w:r>
        <w:rPr>
          <w:rStyle w:val="AERbody"/>
        </w:rPr>
        <w:t xml:space="preserve"> standard to exclude the effects of major events that are caused by</w:t>
      </w:r>
      <w:r w:rsidRPr="00B258D8">
        <w:rPr>
          <w:rStyle w:val="AERbody"/>
        </w:rPr>
        <w:t xml:space="preserve"> to extreme weather or other events</w:t>
      </w:r>
      <w:r>
        <w:rPr>
          <w:rStyle w:val="AERbody"/>
        </w:rPr>
        <w:t xml:space="preserve">. Consequently reliability outcomes that we have included in our benchmarking reflect business as usual circumstances. Thus the reliability in our benchmarking relates to events that are within management control. </w:t>
      </w:r>
    </w:p>
    <w:p w:rsidR="00051BDB" w:rsidRDefault="00051BDB" w:rsidP="00051BDB">
      <w:pPr>
        <w:pStyle w:val="HeadingBoldItalic"/>
        <w:rPr>
          <w:rStyle w:val="AERbody"/>
        </w:rPr>
      </w:pPr>
      <w:r w:rsidRPr="00943F49">
        <w:rPr>
          <w:rStyle w:val="AERbody"/>
        </w:rPr>
        <w:t>Meeting reliability standards</w:t>
      </w:r>
    </w:p>
    <w:p w:rsidR="00051BDB" w:rsidRPr="00FE43BF" w:rsidRDefault="00051BDB" w:rsidP="00051BDB">
      <w:r>
        <w:t>Under the NER we must set opex at the level consistent with the operating expenditure criteria. This includes the prudent, efficient opex to meet reliability standards.</w:t>
      </w:r>
      <w:r>
        <w:rPr>
          <w:rStyle w:val="FootnoteReference"/>
        </w:rPr>
        <w:footnoteReference w:id="618"/>
      </w:r>
      <w:r>
        <w:t xml:space="preserve"> </w:t>
      </w:r>
    </w:p>
    <w:p w:rsidR="00051BDB" w:rsidRDefault="00051BDB" w:rsidP="00051BDB">
      <w:r>
        <w:t xml:space="preserve">We consider that our estimate of base opex reasonably reflects the efficient and prudent costs for meeting reliability standards. Based on our benchmarking analysis, as outlined above, we consider that that the NSW service providers can deliver their current levels of reliability at lower cost. </w:t>
      </w:r>
      <w:r w:rsidRPr="007108A6">
        <w:t xml:space="preserve">Our base year opex is sufficient for </w:t>
      </w:r>
      <w:r>
        <w:t>the NSW service providers</w:t>
      </w:r>
      <w:r w:rsidRPr="007108A6">
        <w:t xml:space="preserve"> to maintain </w:t>
      </w:r>
      <w:r>
        <w:t>their</w:t>
      </w:r>
      <w:r w:rsidRPr="007108A6">
        <w:t xml:space="preserve"> reliability at </w:t>
      </w:r>
      <w:r>
        <w:t>their</w:t>
      </w:r>
      <w:r w:rsidRPr="007108A6">
        <w:t xml:space="preserve"> </w:t>
      </w:r>
      <w:r>
        <w:t>current</w:t>
      </w:r>
      <w:r w:rsidRPr="007108A6">
        <w:t xml:space="preserve"> level</w:t>
      </w:r>
      <w:r>
        <w:t>s</w:t>
      </w:r>
      <w:r w:rsidRPr="007108A6">
        <w:t xml:space="preserve"> as the base year opex allowance is based upon </w:t>
      </w:r>
      <w:r>
        <w:t>their</w:t>
      </w:r>
      <w:r w:rsidRPr="007108A6">
        <w:t xml:space="preserve"> reliability over the benchmarking period.  </w:t>
      </w:r>
    </w:p>
    <w:p w:rsidR="00051BDB" w:rsidRDefault="00051BDB" w:rsidP="00051BDB">
      <w:r>
        <w:t xml:space="preserve">If the current level of reliability was worse than the minimum reliability standards then the opex allowance might not reflect the costs of meeting these standards. However, the NSW service providers have been outperforming their minimum reliability standards. </w:t>
      </w:r>
    </w:p>
    <w:p w:rsidR="00051BDB" w:rsidRDefault="000744A9" w:rsidP="00051BDB">
      <w:r>
        <w:fldChar w:fldCharType="begin"/>
      </w:r>
      <w:r>
        <w:instrText xml:space="preserve"> REF _Ref417641462 \h </w:instrText>
      </w:r>
      <w:r>
        <w:fldChar w:fldCharType="separate"/>
      </w:r>
      <w:r w:rsidR="00C74791">
        <w:t xml:space="preserve">Figure </w:t>
      </w:r>
      <w:r w:rsidR="00C74791">
        <w:rPr>
          <w:noProof/>
        </w:rPr>
        <w:t>A</w:t>
      </w:r>
      <w:r w:rsidR="00C74791">
        <w:t>.</w:t>
      </w:r>
      <w:r w:rsidR="00C74791">
        <w:rPr>
          <w:noProof/>
        </w:rPr>
        <w:t>18</w:t>
      </w:r>
      <w:r>
        <w:fldChar w:fldCharType="end"/>
      </w:r>
      <w:r>
        <w:t xml:space="preserve"> </w:t>
      </w:r>
      <w:r w:rsidR="00051BDB" w:rsidRPr="000744A9">
        <w:t xml:space="preserve">and </w:t>
      </w:r>
      <w:r>
        <w:fldChar w:fldCharType="begin"/>
      </w:r>
      <w:r>
        <w:instrText xml:space="preserve"> REF _Ref417641476 \h </w:instrText>
      </w:r>
      <w:r>
        <w:fldChar w:fldCharType="separate"/>
      </w:r>
      <w:r w:rsidR="00C74791">
        <w:t xml:space="preserve">Figure </w:t>
      </w:r>
      <w:r w:rsidR="00C74791">
        <w:rPr>
          <w:noProof/>
        </w:rPr>
        <w:t>A</w:t>
      </w:r>
      <w:r w:rsidR="00C74791">
        <w:t>.</w:t>
      </w:r>
      <w:r w:rsidR="00C74791">
        <w:rPr>
          <w:noProof/>
        </w:rPr>
        <w:t>19</w:t>
      </w:r>
      <w:r>
        <w:fldChar w:fldCharType="end"/>
      </w:r>
      <w:r>
        <w:t xml:space="preserve"> </w:t>
      </w:r>
      <w:r w:rsidR="00051BDB" w:rsidRPr="000744A9">
        <w:t xml:space="preserve">show that Essential </w:t>
      </w:r>
      <w:r w:rsidR="00A33E41">
        <w:t xml:space="preserve">Energy </w:t>
      </w:r>
      <w:r w:rsidR="00051BDB" w:rsidRPr="000744A9">
        <w:t xml:space="preserve">and Endeavour </w:t>
      </w:r>
      <w:r w:rsidR="00A33E41">
        <w:t xml:space="preserve">Energy </w:t>
      </w:r>
      <w:r w:rsidR="00051BDB" w:rsidRPr="000744A9">
        <w:t xml:space="preserve">have outperformed their reliability targets in every instance over the last five years. </w:t>
      </w:r>
      <w:r>
        <w:fldChar w:fldCharType="begin"/>
      </w:r>
      <w:r>
        <w:instrText xml:space="preserve"> REF _Ref417641488 \h </w:instrText>
      </w:r>
      <w:r>
        <w:fldChar w:fldCharType="separate"/>
      </w:r>
      <w:r w:rsidR="00C74791">
        <w:t xml:space="preserve">Figure </w:t>
      </w:r>
      <w:r w:rsidR="00C74791">
        <w:rPr>
          <w:noProof/>
        </w:rPr>
        <w:t>A</w:t>
      </w:r>
      <w:r w:rsidR="00C74791">
        <w:t>.</w:t>
      </w:r>
      <w:r w:rsidR="00C74791">
        <w:rPr>
          <w:noProof/>
        </w:rPr>
        <w:t>20</w:t>
      </w:r>
      <w:r>
        <w:fldChar w:fldCharType="end"/>
      </w:r>
      <w:r>
        <w:t xml:space="preserve"> </w:t>
      </w:r>
      <w:r w:rsidR="00051BDB">
        <w:t>show's Ausgrid's performance against its reliability standards. This Figure indicates that Ausgrid has been meeting the standards in almost every ins</w:t>
      </w:r>
      <w:r>
        <w:t>tance over the last five years.</w:t>
      </w:r>
    </w:p>
    <w:p w:rsidR="00051BDB" w:rsidRDefault="00051BDB" w:rsidP="00051BDB">
      <w:r>
        <w:t>As such, we are comfortable that our substitute base opex reflects the efficient, prudent costs of meeting the reliability standards. Given this we do not consider that the NSW service providers require and adjustment to meet their minimum reliability standards.</w:t>
      </w:r>
    </w:p>
    <w:p w:rsidR="00051BDB" w:rsidRPr="0098454E" w:rsidRDefault="00633CC8" w:rsidP="00051BDB">
      <w:pPr>
        <w:pStyle w:val="Caption"/>
      </w:pPr>
      <w:bookmarkStart w:id="236" w:name="_Ref417641462"/>
      <w:r>
        <w:lastRenderedPageBreak/>
        <w:t xml:space="preserve">Figure </w:t>
      </w:r>
      <w:fldSimple w:instr=" STYLEREF 7 \s ">
        <w:r w:rsidR="00C74791">
          <w:rPr>
            <w:noProof/>
          </w:rPr>
          <w:t>A</w:t>
        </w:r>
      </w:fldSimple>
      <w:r w:rsidR="00A409CB">
        <w:t>.</w:t>
      </w:r>
      <w:fldSimple w:instr=" SEQ AFigure \* ARABIC \s 7 ">
        <w:r w:rsidR="00C74791">
          <w:rPr>
            <w:noProof/>
          </w:rPr>
          <w:t>18</w:t>
        </w:r>
      </w:fldSimple>
      <w:bookmarkEnd w:id="236"/>
      <w:r w:rsidR="00051BDB">
        <w:tab/>
        <w:t>Essential Energy's performance against its current reliability standards</w:t>
      </w:r>
    </w:p>
    <w:tbl>
      <w:tblPr>
        <w:tblStyle w:val="TableGrid"/>
        <w:tblW w:w="0" w:type="auto"/>
        <w:tblLook w:val="0480" w:firstRow="0" w:lastRow="0" w:firstColumn="1" w:lastColumn="0" w:noHBand="0" w:noVBand="1"/>
      </w:tblPr>
      <w:tblGrid>
        <w:gridCol w:w="4346"/>
        <w:gridCol w:w="4347"/>
      </w:tblGrid>
      <w:tr w:rsidR="00051BDB" w:rsidTr="00051BDB">
        <w:tc>
          <w:tcPr>
            <w:cnfStyle w:val="001000000000" w:firstRow="0" w:lastRow="0" w:firstColumn="1" w:lastColumn="0" w:oddVBand="0" w:evenVBand="0" w:oddHBand="0" w:evenHBand="0" w:firstRowFirstColumn="0" w:firstRowLastColumn="0" w:lastRowFirstColumn="0" w:lastRowLastColumn="0"/>
            <w:tcW w:w="4621" w:type="dxa"/>
          </w:tcPr>
          <w:p w:rsidR="00051BDB" w:rsidRPr="00051BDB" w:rsidRDefault="00051BDB" w:rsidP="00051BDB">
            <w:r w:rsidRPr="00051BDB">
              <w:rPr>
                <w:noProof/>
                <w:lang w:eastAsia="en-AU"/>
              </w:rPr>
              <w:drawing>
                <wp:anchor distT="0" distB="0" distL="114300" distR="114300" simplePos="0" relativeHeight="251665408" behindDoc="0" locked="0" layoutInCell="1" allowOverlap="1" wp14:anchorId="7AB448B3" wp14:editId="7155EF63">
                  <wp:simplePos x="0" y="0"/>
                  <wp:positionH relativeFrom="column">
                    <wp:posOffset>0</wp:posOffset>
                  </wp:positionH>
                  <wp:positionV relativeFrom="paragraph">
                    <wp:posOffset>0</wp:posOffset>
                  </wp:positionV>
                  <wp:extent cx="2879725" cy="179578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051BDB">
              <w:rPr>
                <w:noProof/>
                <w:lang w:eastAsia="en-AU"/>
              </w:rPr>
              <w:drawing>
                <wp:anchor distT="0" distB="0" distL="114300" distR="114300" simplePos="0" relativeHeight="251666432" behindDoc="0" locked="0" layoutInCell="1" allowOverlap="1" wp14:anchorId="08CDAC9E" wp14:editId="5563E26B">
                  <wp:simplePos x="0" y="0"/>
                  <wp:positionH relativeFrom="column">
                    <wp:posOffset>0</wp:posOffset>
                  </wp:positionH>
                  <wp:positionV relativeFrom="paragraph">
                    <wp:posOffset>0</wp:posOffset>
                  </wp:positionV>
                  <wp:extent cx="2879725" cy="179578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BDB" w:rsidTr="00051BDB">
        <w:tc>
          <w:tcPr>
            <w:cnfStyle w:val="001000000000" w:firstRow="0" w:lastRow="0" w:firstColumn="1" w:lastColumn="0" w:oddVBand="0" w:evenVBand="0" w:oddHBand="0" w:evenHBand="0" w:firstRowFirstColumn="0" w:firstRowLastColumn="0" w:lastRowFirstColumn="0" w:lastRowLastColumn="0"/>
            <w:tcW w:w="4621" w:type="dxa"/>
          </w:tcPr>
          <w:p w:rsidR="00051BDB" w:rsidRPr="00051BDB" w:rsidRDefault="00051BDB" w:rsidP="00051BDB">
            <w:r w:rsidRPr="00051BDB">
              <w:rPr>
                <w:noProof/>
                <w:lang w:eastAsia="en-AU"/>
              </w:rPr>
              <w:drawing>
                <wp:anchor distT="0" distB="0" distL="114300" distR="114300" simplePos="0" relativeHeight="251667456" behindDoc="0" locked="0" layoutInCell="1" allowOverlap="1" wp14:anchorId="73F20579" wp14:editId="26C8F4A9">
                  <wp:simplePos x="0" y="0"/>
                  <wp:positionH relativeFrom="column">
                    <wp:posOffset>0</wp:posOffset>
                  </wp:positionH>
                  <wp:positionV relativeFrom="paragraph">
                    <wp:posOffset>0</wp:posOffset>
                  </wp:positionV>
                  <wp:extent cx="2879725" cy="179578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051BDB">
              <w:rPr>
                <w:noProof/>
                <w:lang w:eastAsia="en-AU"/>
              </w:rPr>
              <w:drawing>
                <wp:anchor distT="0" distB="0" distL="114300" distR="114300" simplePos="0" relativeHeight="251670528" behindDoc="0" locked="0" layoutInCell="1" allowOverlap="1" wp14:anchorId="065EBB0F" wp14:editId="7B3AE2BF">
                  <wp:simplePos x="0" y="0"/>
                  <wp:positionH relativeFrom="column">
                    <wp:posOffset>0</wp:posOffset>
                  </wp:positionH>
                  <wp:positionV relativeFrom="paragraph">
                    <wp:posOffset>0</wp:posOffset>
                  </wp:positionV>
                  <wp:extent cx="2879725" cy="179578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BDB" w:rsidTr="00051BDB">
        <w:tc>
          <w:tcPr>
            <w:cnfStyle w:val="001000000000" w:firstRow="0" w:lastRow="0" w:firstColumn="1" w:lastColumn="0" w:oddVBand="0" w:evenVBand="0" w:oddHBand="0" w:evenHBand="0" w:firstRowFirstColumn="0" w:firstRowLastColumn="0" w:lastRowFirstColumn="0" w:lastRowLastColumn="0"/>
            <w:tcW w:w="4621" w:type="dxa"/>
          </w:tcPr>
          <w:p w:rsidR="00051BDB" w:rsidRPr="00051BDB" w:rsidRDefault="00051BDB" w:rsidP="00051BDB">
            <w:r w:rsidRPr="00051BDB">
              <w:rPr>
                <w:noProof/>
                <w:lang w:eastAsia="en-AU"/>
              </w:rPr>
              <w:drawing>
                <wp:anchor distT="0" distB="0" distL="114300" distR="114300" simplePos="0" relativeHeight="251668480" behindDoc="0" locked="0" layoutInCell="1" allowOverlap="1" wp14:anchorId="1D19B159" wp14:editId="7DB575D3">
                  <wp:simplePos x="0" y="0"/>
                  <wp:positionH relativeFrom="column">
                    <wp:posOffset>0</wp:posOffset>
                  </wp:positionH>
                  <wp:positionV relativeFrom="paragraph">
                    <wp:posOffset>0</wp:posOffset>
                  </wp:positionV>
                  <wp:extent cx="2879725" cy="179578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051BDB">
              <w:rPr>
                <w:noProof/>
                <w:lang w:eastAsia="en-AU"/>
              </w:rPr>
              <w:drawing>
                <wp:anchor distT="0" distB="0" distL="114300" distR="114300" simplePos="0" relativeHeight="251669504" behindDoc="0" locked="0" layoutInCell="1" allowOverlap="1" wp14:anchorId="35761F55" wp14:editId="0F9CC724">
                  <wp:simplePos x="0" y="0"/>
                  <wp:positionH relativeFrom="column">
                    <wp:posOffset>0</wp:posOffset>
                  </wp:positionH>
                  <wp:positionV relativeFrom="paragraph">
                    <wp:posOffset>0</wp:posOffset>
                  </wp:positionV>
                  <wp:extent cx="2879725" cy="179578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51BDB" w:rsidRDefault="00051BDB" w:rsidP="00051BDB">
      <w:pPr>
        <w:pStyle w:val="AERtablesource"/>
      </w:pPr>
      <w:bookmarkStart w:id="237" w:name="_Ref412463473"/>
      <w:r>
        <w:t>Source: AER analysis</w:t>
      </w:r>
    </w:p>
    <w:p w:rsidR="00051BDB" w:rsidRDefault="00633CC8" w:rsidP="00051BDB">
      <w:pPr>
        <w:pStyle w:val="Caption"/>
      </w:pPr>
      <w:bookmarkStart w:id="238" w:name="_Ref417641476"/>
      <w:bookmarkEnd w:id="237"/>
      <w:r>
        <w:lastRenderedPageBreak/>
        <w:t xml:space="preserve">Figure </w:t>
      </w:r>
      <w:fldSimple w:instr=" STYLEREF 7 \s ">
        <w:r w:rsidR="00C74791">
          <w:rPr>
            <w:noProof/>
          </w:rPr>
          <w:t>A</w:t>
        </w:r>
      </w:fldSimple>
      <w:r w:rsidR="00A409CB">
        <w:t>.</w:t>
      </w:r>
      <w:fldSimple w:instr=" SEQ AFigure \* ARABIC \s 7 ">
        <w:r w:rsidR="00C74791">
          <w:rPr>
            <w:noProof/>
          </w:rPr>
          <w:t>19</w:t>
        </w:r>
      </w:fldSimple>
      <w:bookmarkEnd w:id="238"/>
      <w:r w:rsidR="00051BDB">
        <w:tab/>
        <w:t>Endeavour Energy's performance against its current reliability standards</w:t>
      </w:r>
    </w:p>
    <w:tbl>
      <w:tblPr>
        <w:tblStyle w:val="TableGrid"/>
        <w:tblW w:w="0" w:type="auto"/>
        <w:tblLook w:val="0480" w:firstRow="0" w:lastRow="0" w:firstColumn="1" w:lastColumn="0" w:noHBand="0" w:noVBand="1"/>
      </w:tblPr>
      <w:tblGrid>
        <w:gridCol w:w="4346"/>
        <w:gridCol w:w="4347"/>
      </w:tblGrid>
      <w:tr w:rsidR="00051BDB" w:rsidTr="00051BDB">
        <w:tc>
          <w:tcPr>
            <w:cnfStyle w:val="001000000000" w:firstRow="0" w:lastRow="0" w:firstColumn="1" w:lastColumn="0" w:oddVBand="0" w:evenVBand="0" w:oddHBand="0" w:evenHBand="0" w:firstRowFirstColumn="0" w:firstRowLastColumn="0" w:lastRowFirstColumn="0" w:lastRowLastColumn="0"/>
            <w:tcW w:w="4346" w:type="dxa"/>
          </w:tcPr>
          <w:p w:rsidR="00051BDB" w:rsidRPr="00051BDB" w:rsidRDefault="00051BDB" w:rsidP="00051BDB">
            <w:r w:rsidRPr="00051BDB">
              <w:rPr>
                <w:noProof/>
                <w:lang w:eastAsia="en-AU"/>
              </w:rPr>
              <w:drawing>
                <wp:anchor distT="0" distB="0" distL="114300" distR="114300" simplePos="0" relativeHeight="251673600" behindDoc="0" locked="0" layoutInCell="1" allowOverlap="1" wp14:anchorId="0C905998" wp14:editId="18C9C176">
                  <wp:simplePos x="0" y="0"/>
                  <wp:positionH relativeFrom="column">
                    <wp:posOffset>0</wp:posOffset>
                  </wp:positionH>
                  <wp:positionV relativeFrom="paragraph">
                    <wp:posOffset>0</wp:posOffset>
                  </wp:positionV>
                  <wp:extent cx="2878455" cy="179578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051BDB">
              <w:rPr>
                <w:noProof/>
                <w:lang w:eastAsia="en-AU"/>
              </w:rPr>
              <w:drawing>
                <wp:anchor distT="0" distB="0" distL="114300" distR="114300" simplePos="0" relativeHeight="251674624" behindDoc="0" locked="0" layoutInCell="1" allowOverlap="1" wp14:anchorId="0F0F89E9" wp14:editId="622A7267">
                  <wp:simplePos x="0" y="0"/>
                  <wp:positionH relativeFrom="column">
                    <wp:posOffset>0</wp:posOffset>
                  </wp:positionH>
                  <wp:positionV relativeFrom="paragraph">
                    <wp:posOffset>0</wp:posOffset>
                  </wp:positionV>
                  <wp:extent cx="2879725" cy="179578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BDB" w:rsidTr="00051BDB">
        <w:tc>
          <w:tcPr>
            <w:cnfStyle w:val="001000000000" w:firstRow="0" w:lastRow="0" w:firstColumn="1" w:lastColumn="0" w:oddVBand="0" w:evenVBand="0" w:oddHBand="0" w:evenHBand="0" w:firstRowFirstColumn="0" w:firstRowLastColumn="0" w:lastRowFirstColumn="0" w:lastRowLastColumn="0"/>
            <w:tcW w:w="4346" w:type="dxa"/>
          </w:tcPr>
          <w:p w:rsidR="00051BDB" w:rsidRPr="00051BDB" w:rsidRDefault="00051BDB" w:rsidP="00051BDB">
            <w:r w:rsidRPr="00051BDB">
              <w:rPr>
                <w:noProof/>
                <w:lang w:eastAsia="en-AU"/>
              </w:rPr>
              <w:drawing>
                <wp:anchor distT="0" distB="0" distL="114300" distR="114300" simplePos="0" relativeHeight="251671552" behindDoc="0" locked="0" layoutInCell="1" allowOverlap="1" wp14:anchorId="1173D38E" wp14:editId="2387A4E9">
                  <wp:simplePos x="0" y="0"/>
                  <wp:positionH relativeFrom="column">
                    <wp:posOffset>0</wp:posOffset>
                  </wp:positionH>
                  <wp:positionV relativeFrom="paragraph">
                    <wp:posOffset>0</wp:posOffset>
                  </wp:positionV>
                  <wp:extent cx="2879725" cy="179578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051BDB">
              <w:rPr>
                <w:noProof/>
                <w:lang w:eastAsia="en-AU"/>
              </w:rPr>
              <w:drawing>
                <wp:anchor distT="0" distB="0" distL="114300" distR="114300" simplePos="0" relativeHeight="251672576" behindDoc="0" locked="0" layoutInCell="1" allowOverlap="1" wp14:anchorId="25CE4C92" wp14:editId="765C5347">
                  <wp:simplePos x="0" y="0"/>
                  <wp:positionH relativeFrom="column">
                    <wp:posOffset>0</wp:posOffset>
                  </wp:positionH>
                  <wp:positionV relativeFrom="paragraph">
                    <wp:posOffset>0</wp:posOffset>
                  </wp:positionV>
                  <wp:extent cx="2879725" cy="179578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51BDB" w:rsidRDefault="00051BDB" w:rsidP="00051BDB">
      <w:pPr>
        <w:pStyle w:val="AERtablesource"/>
      </w:pPr>
      <w:bookmarkStart w:id="239" w:name="_Ref412461876"/>
      <w:r>
        <w:t>Source: AER analysis</w:t>
      </w:r>
    </w:p>
    <w:p w:rsidR="00051BDB" w:rsidRPr="00AC57F0" w:rsidRDefault="00633CC8" w:rsidP="00051BDB">
      <w:pPr>
        <w:pStyle w:val="Caption"/>
      </w:pPr>
      <w:bookmarkStart w:id="240" w:name="_Ref417641488"/>
      <w:bookmarkEnd w:id="239"/>
      <w:r>
        <w:t xml:space="preserve">Figure </w:t>
      </w:r>
      <w:fldSimple w:instr=" STYLEREF 7 \s ">
        <w:r w:rsidR="00C74791">
          <w:rPr>
            <w:noProof/>
          </w:rPr>
          <w:t>A</w:t>
        </w:r>
      </w:fldSimple>
      <w:r w:rsidR="00A409CB">
        <w:t>.</w:t>
      </w:r>
      <w:fldSimple w:instr=" SEQ AFigure \* ARABIC \s 7 ">
        <w:r w:rsidR="00C74791">
          <w:rPr>
            <w:noProof/>
          </w:rPr>
          <w:t>20</w:t>
        </w:r>
      </w:fldSimple>
      <w:bookmarkEnd w:id="240"/>
      <w:r w:rsidR="00051BDB">
        <w:tab/>
        <w:t>Ausgrid's performance against its current reliability standards</w:t>
      </w:r>
    </w:p>
    <w:tbl>
      <w:tblPr>
        <w:tblStyle w:val="TableGrid"/>
        <w:tblW w:w="0" w:type="auto"/>
        <w:tblLook w:val="0480" w:firstRow="0" w:lastRow="0" w:firstColumn="1" w:lastColumn="0" w:noHBand="0" w:noVBand="1"/>
      </w:tblPr>
      <w:tblGrid>
        <w:gridCol w:w="4346"/>
        <w:gridCol w:w="4347"/>
      </w:tblGrid>
      <w:tr w:rsidR="00051BDB" w:rsidRPr="00244FD1" w:rsidTr="00051BDB">
        <w:tc>
          <w:tcPr>
            <w:cnfStyle w:val="001000000000" w:firstRow="0" w:lastRow="0" w:firstColumn="1" w:lastColumn="0" w:oddVBand="0" w:evenVBand="0" w:oddHBand="0" w:evenHBand="0" w:firstRowFirstColumn="0" w:firstRowLastColumn="0" w:lastRowFirstColumn="0" w:lastRowLastColumn="0"/>
            <w:tcW w:w="0" w:type="auto"/>
          </w:tcPr>
          <w:p w:rsidR="00051BDB" w:rsidRPr="00051BDB" w:rsidRDefault="00051BDB" w:rsidP="00051BDB">
            <w:r w:rsidRPr="00051BDB">
              <w:rPr>
                <w:noProof/>
                <w:lang w:eastAsia="en-AU"/>
              </w:rPr>
              <w:drawing>
                <wp:anchor distT="0" distB="0" distL="114300" distR="114300" simplePos="0" relativeHeight="251675648" behindDoc="0" locked="0" layoutInCell="1" allowOverlap="1" wp14:anchorId="4EF3CD9E" wp14:editId="7A2405C7">
                  <wp:simplePos x="0" y="0"/>
                  <wp:positionH relativeFrom="column">
                    <wp:posOffset>0</wp:posOffset>
                  </wp:positionH>
                  <wp:positionV relativeFrom="paragraph">
                    <wp:posOffset>0</wp:posOffset>
                  </wp:positionV>
                  <wp:extent cx="2878455" cy="179578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t xml:space="preserve"> </w:t>
            </w:r>
            <w:r w:rsidRPr="00051BDB">
              <w:rPr>
                <w:noProof/>
                <w:lang w:eastAsia="en-AU"/>
              </w:rPr>
              <w:drawing>
                <wp:anchor distT="0" distB="0" distL="114300" distR="114300" simplePos="0" relativeHeight="251676672" behindDoc="0" locked="0" layoutInCell="1" allowOverlap="1" wp14:anchorId="52FEAC43" wp14:editId="0F2361AE">
                  <wp:simplePos x="0" y="0"/>
                  <wp:positionH relativeFrom="column">
                    <wp:posOffset>0</wp:posOffset>
                  </wp:positionH>
                  <wp:positionV relativeFrom="paragraph">
                    <wp:posOffset>0</wp:posOffset>
                  </wp:positionV>
                  <wp:extent cx="2879725" cy="179578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BDB" w:rsidRPr="00244FD1" w:rsidTr="00051BDB">
        <w:tc>
          <w:tcPr>
            <w:cnfStyle w:val="001000000000" w:firstRow="0" w:lastRow="0" w:firstColumn="1" w:lastColumn="0" w:oddVBand="0" w:evenVBand="0" w:oddHBand="0" w:evenHBand="0" w:firstRowFirstColumn="0" w:firstRowLastColumn="0" w:lastRowFirstColumn="0" w:lastRowLastColumn="0"/>
            <w:tcW w:w="0" w:type="auto"/>
          </w:tcPr>
          <w:p w:rsidR="00051BDB" w:rsidRPr="00051BDB" w:rsidRDefault="00051BDB" w:rsidP="00051BDB">
            <w:r w:rsidRPr="00051BDB">
              <w:rPr>
                <w:noProof/>
                <w:lang w:eastAsia="en-AU"/>
              </w:rPr>
              <w:lastRenderedPageBreak/>
              <w:drawing>
                <wp:anchor distT="0" distB="0" distL="114300" distR="114300" simplePos="0" relativeHeight="251677696" behindDoc="0" locked="0" layoutInCell="1" allowOverlap="1" wp14:anchorId="5B6713CB" wp14:editId="1C6F4CCF">
                  <wp:simplePos x="0" y="0"/>
                  <wp:positionH relativeFrom="column">
                    <wp:posOffset>0</wp:posOffset>
                  </wp:positionH>
                  <wp:positionV relativeFrom="paragraph">
                    <wp:posOffset>0</wp:posOffset>
                  </wp:positionV>
                  <wp:extent cx="2878455" cy="179578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051BDB">
              <w:rPr>
                <w:noProof/>
                <w:lang w:eastAsia="en-AU"/>
              </w:rPr>
              <w:drawing>
                <wp:anchor distT="0" distB="0" distL="114300" distR="114300" simplePos="0" relativeHeight="251678720" behindDoc="0" locked="0" layoutInCell="1" allowOverlap="1" wp14:anchorId="74E2508D" wp14:editId="293929A2">
                  <wp:simplePos x="0" y="0"/>
                  <wp:positionH relativeFrom="column">
                    <wp:posOffset>0</wp:posOffset>
                  </wp:positionH>
                  <wp:positionV relativeFrom="paragraph">
                    <wp:posOffset>0</wp:posOffset>
                  </wp:positionV>
                  <wp:extent cx="2879725" cy="179578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BDB" w:rsidRPr="00244FD1" w:rsidTr="00051BDB">
        <w:tc>
          <w:tcPr>
            <w:cnfStyle w:val="001000000000" w:firstRow="0" w:lastRow="0" w:firstColumn="1" w:lastColumn="0" w:oddVBand="0" w:evenVBand="0" w:oddHBand="0" w:evenHBand="0" w:firstRowFirstColumn="0" w:firstRowLastColumn="0" w:lastRowFirstColumn="0" w:lastRowLastColumn="0"/>
            <w:tcW w:w="0" w:type="auto"/>
          </w:tcPr>
          <w:p w:rsidR="00051BDB" w:rsidRPr="00051BDB" w:rsidRDefault="00051BDB" w:rsidP="00051BDB">
            <w:r w:rsidRPr="00051BDB">
              <w:rPr>
                <w:noProof/>
                <w:lang w:eastAsia="en-AU"/>
              </w:rPr>
              <w:drawing>
                <wp:anchor distT="0" distB="0" distL="114300" distR="114300" simplePos="0" relativeHeight="251679744" behindDoc="0" locked="0" layoutInCell="1" allowOverlap="1" wp14:anchorId="10FF01CC" wp14:editId="21F4AFB3">
                  <wp:simplePos x="0" y="0"/>
                  <wp:positionH relativeFrom="column">
                    <wp:posOffset>0</wp:posOffset>
                  </wp:positionH>
                  <wp:positionV relativeFrom="paragraph">
                    <wp:posOffset>0</wp:posOffset>
                  </wp:positionV>
                  <wp:extent cx="2879725" cy="179578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051BDB">
              <w:rPr>
                <w:noProof/>
                <w:lang w:eastAsia="en-AU"/>
              </w:rPr>
              <w:drawing>
                <wp:anchor distT="0" distB="0" distL="114300" distR="114300" simplePos="0" relativeHeight="251680768" behindDoc="0" locked="0" layoutInCell="1" allowOverlap="1" wp14:anchorId="43052F88" wp14:editId="38FD5584">
                  <wp:simplePos x="0" y="0"/>
                  <wp:positionH relativeFrom="column">
                    <wp:posOffset>0</wp:posOffset>
                  </wp:positionH>
                  <wp:positionV relativeFrom="paragraph">
                    <wp:posOffset>0</wp:posOffset>
                  </wp:positionV>
                  <wp:extent cx="2878455" cy="179578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BDB" w:rsidRPr="00244FD1" w:rsidTr="00051BDB">
        <w:tc>
          <w:tcPr>
            <w:cnfStyle w:val="001000000000" w:firstRow="0" w:lastRow="0" w:firstColumn="1" w:lastColumn="0" w:oddVBand="0" w:evenVBand="0" w:oddHBand="0" w:evenHBand="0" w:firstRowFirstColumn="0" w:firstRowLastColumn="0" w:lastRowFirstColumn="0" w:lastRowLastColumn="0"/>
            <w:tcW w:w="0" w:type="auto"/>
          </w:tcPr>
          <w:p w:rsidR="00051BDB" w:rsidRPr="00051BDB" w:rsidRDefault="00051BDB" w:rsidP="00051BDB">
            <w:r w:rsidRPr="00051BDB">
              <w:rPr>
                <w:noProof/>
                <w:lang w:eastAsia="en-AU"/>
              </w:rPr>
              <w:drawing>
                <wp:anchor distT="0" distB="0" distL="114300" distR="114300" simplePos="0" relativeHeight="251681792" behindDoc="0" locked="0" layoutInCell="1" allowOverlap="1" wp14:anchorId="69C66C03" wp14:editId="7C2A9EBB">
                  <wp:simplePos x="0" y="0"/>
                  <wp:positionH relativeFrom="column">
                    <wp:posOffset>0</wp:posOffset>
                  </wp:positionH>
                  <wp:positionV relativeFrom="paragraph">
                    <wp:posOffset>0</wp:posOffset>
                  </wp:positionV>
                  <wp:extent cx="2879725" cy="179578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051BDB">
              <w:rPr>
                <w:noProof/>
                <w:lang w:eastAsia="en-AU"/>
              </w:rPr>
              <w:drawing>
                <wp:anchor distT="0" distB="0" distL="114300" distR="114300" simplePos="0" relativeHeight="251682816" behindDoc="0" locked="0" layoutInCell="1" allowOverlap="1" wp14:anchorId="0A185E81" wp14:editId="63EE23FF">
                  <wp:simplePos x="0" y="0"/>
                  <wp:positionH relativeFrom="column">
                    <wp:posOffset>0</wp:posOffset>
                  </wp:positionH>
                  <wp:positionV relativeFrom="paragraph">
                    <wp:posOffset>0</wp:posOffset>
                  </wp:positionV>
                  <wp:extent cx="2879725" cy="179578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51BDB" w:rsidRDefault="00051BDB" w:rsidP="00051BDB">
      <w:pPr>
        <w:pStyle w:val="HeadingBoldBlue"/>
      </w:pPr>
      <w:r>
        <w:t>Safety outcomes</w:t>
      </w:r>
    </w:p>
    <w:p w:rsidR="00051BDB" w:rsidRDefault="00051BDB" w:rsidP="00051BDB">
      <w:pPr>
        <w:pStyle w:val="ListParagraph"/>
        <w:numPr>
          <w:ilvl w:val="0"/>
          <w:numId w:val="24"/>
        </w:numPr>
      </w:pPr>
      <w:r>
        <w:t xml:space="preserve">We are not satisfied that an OEF adjustment for service providers' safety outcomes would meet the duplication OEF adjustment criterion. Safety outcomes are implicitly accounted for in the SFA benchmarking model as the comparison firms all operate safe networks. </w:t>
      </w:r>
    </w:p>
    <w:p w:rsidR="00051BDB" w:rsidRDefault="00051BDB" w:rsidP="00051BDB">
      <w:pPr>
        <w:pStyle w:val="ListParagraph"/>
        <w:numPr>
          <w:ilvl w:val="0"/>
          <w:numId w:val="24"/>
        </w:numPr>
      </w:pPr>
      <w:r>
        <w:t>In response to our draft decision, t</w:t>
      </w:r>
      <w:r w:rsidRPr="00814024">
        <w:t>he</w:t>
      </w:r>
      <w:r>
        <w:t xml:space="preserve"> NSW service providers stated that:</w:t>
      </w:r>
    </w:p>
    <w:p w:rsidR="00051BDB" w:rsidRDefault="00051BDB" w:rsidP="00051BDB">
      <w:pPr>
        <w:pStyle w:val="AERquote"/>
      </w:pPr>
      <w:r w:rsidRPr="00367163">
        <w:lastRenderedPageBreak/>
        <w:t xml:space="preserve">It is </w:t>
      </w:r>
      <w:r>
        <w:t>…</w:t>
      </w:r>
      <w:r w:rsidRPr="00367163">
        <w:t xml:space="preserve"> our view that the AER draft decision does not provide sufficient revenues to maintain the safety of the system consiste</w:t>
      </w:r>
      <w:r>
        <w:t>nt with achievement of the NEO.</w:t>
      </w:r>
      <w:r w:rsidRPr="00814024">
        <w:rPr>
          <w:rStyle w:val="FootnoteReference"/>
        </w:rPr>
        <w:t xml:space="preserve"> </w:t>
      </w:r>
      <w:r w:rsidRPr="00814024">
        <w:rPr>
          <w:rStyle w:val="FootnoteReference"/>
        </w:rPr>
        <w:footnoteReference w:id="619"/>
      </w:r>
      <w:r w:rsidRPr="00814024">
        <w:t xml:space="preserve"> </w:t>
      </w:r>
      <w:r w:rsidRPr="00814024">
        <w:rPr>
          <w:rStyle w:val="FootnoteReference"/>
        </w:rPr>
        <w:footnoteReference w:id="620"/>
      </w:r>
      <w:r w:rsidRPr="00814024">
        <w:t xml:space="preserve"> </w:t>
      </w:r>
      <w:r w:rsidRPr="00814024">
        <w:rPr>
          <w:rStyle w:val="FootnoteReference"/>
        </w:rPr>
        <w:footnoteReference w:id="621"/>
      </w:r>
      <w:r>
        <w:t xml:space="preserve"> </w:t>
      </w:r>
    </w:p>
    <w:p w:rsidR="00051BDB" w:rsidRDefault="00051BDB" w:rsidP="00051BDB">
      <w:pPr>
        <w:pStyle w:val="ListParagraph"/>
        <w:numPr>
          <w:ilvl w:val="0"/>
          <w:numId w:val="24"/>
        </w:numPr>
      </w:pPr>
      <w:r>
        <w:t>In response to our statement, that p</w:t>
      </w:r>
      <w:r w:rsidRPr="00367163">
        <w:t>eers in other states are able to provide safe reliable services at lower overall levels of opex</w:t>
      </w:r>
      <w:r>
        <w:t>,</w:t>
      </w:r>
      <w:r w:rsidRPr="00367163">
        <w:t xml:space="preserve"> </w:t>
      </w:r>
      <w:r>
        <w:t>they submitted:</w:t>
      </w:r>
    </w:p>
    <w:p w:rsidR="00051BDB" w:rsidRDefault="00051BDB" w:rsidP="00051BDB">
      <w:pPr>
        <w:pStyle w:val="AERquote"/>
      </w:pPr>
      <w:r w:rsidRPr="00367163">
        <w:t>We disagree with this statement and draw the attention of the AER to recent critical electrical network failure events in other states which have had, or had the potential to, impact the lives and wellbeing of the public.</w:t>
      </w:r>
      <w:r w:rsidRPr="00367163">
        <w:rPr>
          <w:rStyle w:val="FootnoteReference"/>
        </w:rPr>
        <w:t xml:space="preserve"> </w:t>
      </w:r>
      <w:r w:rsidRPr="00814024">
        <w:rPr>
          <w:rStyle w:val="FootnoteReference"/>
        </w:rPr>
        <w:footnoteReference w:id="622"/>
      </w:r>
      <w:r w:rsidRPr="00814024">
        <w:t xml:space="preserve"> </w:t>
      </w:r>
      <w:r w:rsidRPr="00814024">
        <w:rPr>
          <w:rStyle w:val="FootnoteReference"/>
        </w:rPr>
        <w:footnoteReference w:id="623"/>
      </w:r>
      <w:r w:rsidRPr="00814024">
        <w:t xml:space="preserve"> </w:t>
      </w:r>
      <w:r w:rsidRPr="00814024">
        <w:rPr>
          <w:rStyle w:val="FootnoteReference"/>
        </w:rPr>
        <w:footnoteReference w:id="624"/>
      </w:r>
    </w:p>
    <w:p w:rsidR="00051BDB" w:rsidRDefault="00051BDB" w:rsidP="00051BDB">
      <w:pPr>
        <w:pStyle w:val="ListParagraph"/>
        <w:numPr>
          <w:ilvl w:val="0"/>
          <w:numId w:val="24"/>
        </w:numPr>
      </w:pPr>
      <w:r>
        <w:t>The critical network failures to which they refer are bushfires in Victoria and Western Australia.</w:t>
      </w:r>
      <w:r w:rsidRPr="001B2933">
        <w:rPr>
          <w:rStyle w:val="FootnoteReference"/>
        </w:rPr>
        <w:t xml:space="preserve"> </w:t>
      </w:r>
      <w:r w:rsidRPr="00814024">
        <w:rPr>
          <w:rStyle w:val="FootnoteReference"/>
        </w:rPr>
        <w:footnoteReference w:id="625"/>
      </w:r>
      <w:r w:rsidRPr="00814024">
        <w:t xml:space="preserve"> </w:t>
      </w:r>
      <w:r w:rsidRPr="00814024">
        <w:rPr>
          <w:rStyle w:val="FootnoteReference"/>
        </w:rPr>
        <w:footnoteReference w:id="626"/>
      </w:r>
      <w:r w:rsidRPr="00814024">
        <w:t xml:space="preserve"> </w:t>
      </w:r>
      <w:r w:rsidRPr="00814024">
        <w:rPr>
          <w:rStyle w:val="FootnoteReference"/>
        </w:rPr>
        <w:footnoteReference w:id="627"/>
      </w:r>
    </w:p>
    <w:p w:rsidR="00051BDB" w:rsidRDefault="00051BDB" w:rsidP="00051BDB">
      <w:pPr>
        <w:pStyle w:val="ListParagraph"/>
        <w:numPr>
          <w:ilvl w:val="0"/>
          <w:numId w:val="24"/>
        </w:numPr>
      </w:pPr>
      <w:r>
        <w:t>They also quote the Victorian Bushfires Royal Commission (VBRC) which stated:</w:t>
      </w:r>
    </w:p>
    <w:p w:rsidR="00051BDB" w:rsidRDefault="00051BDB" w:rsidP="00051BDB">
      <w:pPr>
        <w:pStyle w:val="AERquote"/>
      </w:pPr>
      <w:r>
        <w:t>"</w:t>
      </w:r>
      <w:r w:rsidRPr="003F5ED3">
        <w:t>Distribution businesses’ capacity to respond to an ageing network is, however, constrained by the electricity indust</w:t>
      </w:r>
      <w:r>
        <w:t>ry’s economic regulatory regime</w:t>
      </w:r>
      <w:r w:rsidRPr="003F5ED3">
        <w:t>.</w:t>
      </w:r>
      <w:r>
        <w:t>"</w:t>
      </w:r>
      <w:r w:rsidRPr="003F5ED3">
        <w:rPr>
          <w:rStyle w:val="FootnoteReference"/>
        </w:rPr>
        <w:t xml:space="preserve"> </w:t>
      </w:r>
      <w:r w:rsidRPr="00814024">
        <w:rPr>
          <w:rStyle w:val="FootnoteReference"/>
        </w:rPr>
        <w:footnoteReference w:id="628"/>
      </w:r>
      <w:r w:rsidRPr="00814024">
        <w:t xml:space="preserve"> </w:t>
      </w:r>
      <w:r w:rsidRPr="00814024">
        <w:rPr>
          <w:rStyle w:val="FootnoteReference"/>
        </w:rPr>
        <w:footnoteReference w:id="629"/>
      </w:r>
      <w:r w:rsidRPr="00814024">
        <w:t xml:space="preserve"> </w:t>
      </w:r>
      <w:r w:rsidRPr="00814024">
        <w:rPr>
          <w:rStyle w:val="FootnoteReference"/>
        </w:rPr>
        <w:footnoteReference w:id="630"/>
      </w:r>
    </w:p>
    <w:p w:rsidR="00051BDB" w:rsidRPr="00814024" w:rsidRDefault="00051BDB" w:rsidP="00051BDB">
      <w:pPr>
        <w:pStyle w:val="ListParagraph"/>
        <w:numPr>
          <w:ilvl w:val="0"/>
          <w:numId w:val="24"/>
        </w:numPr>
      </w:pPr>
      <w:r>
        <w:t>The NSW service providers</w:t>
      </w:r>
      <w:r w:rsidRPr="00814024">
        <w:t xml:space="preserve"> list their safety obligations and describe how the</w:t>
      </w:r>
      <w:r>
        <w:t xml:space="preserve">ir asset management systems </w:t>
      </w:r>
      <w:r w:rsidRPr="00814024">
        <w:t>allow them to discharge their regulatory obligations</w:t>
      </w:r>
      <w:r>
        <w:t xml:space="preserve"> at lowest cost</w:t>
      </w:r>
      <w:r w:rsidRPr="00814024">
        <w:t>.</w:t>
      </w:r>
      <w:r w:rsidRPr="007C11FA">
        <w:rPr>
          <w:rStyle w:val="FootnoteReference"/>
        </w:rPr>
        <w:t xml:space="preserve"> </w:t>
      </w:r>
      <w:r w:rsidRPr="00814024">
        <w:rPr>
          <w:rStyle w:val="FootnoteReference"/>
        </w:rPr>
        <w:footnoteReference w:id="631"/>
      </w:r>
      <w:r w:rsidRPr="00814024">
        <w:t xml:space="preserve"> </w:t>
      </w:r>
      <w:r w:rsidRPr="00814024">
        <w:rPr>
          <w:rStyle w:val="FootnoteReference"/>
        </w:rPr>
        <w:footnoteReference w:id="632"/>
      </w:r>
      <w:r w:rsidRPr="00814024">
        <w:t xml:space="preserve"> </w:t>
      </w:r>
      <w:r w:rsidRPr="00814024">
        <w:rPr>
          <w:rStyle w:val="FootnoteReference"/>
        </w:rPr>
        <w:footnoteReference w:id="633"/>
      </w:r>
      <w:r w:rsidRPr="00814024">
        <w:t xml:space="preserve"> They consider that if </w:t>
      </w:r>
      <w:r>
        <w:t>they</w:t>
      </w:r>
      <w:r w:rsidRPr="00814024">
        <w:t xml:space="preserve"> were to operate at a lower cost it would lead to an increase in safety risk</w:t>
      </w:r>
      <w:r>
        <w:t>s</w:t>
      </w:r>
      <w:r w:rsidRPr="00814024">
        <w:t xml:space="preserve"> for </w:t>
      </w:r>
      <w:r>
        <w:t>their</w:t>
      </w:r>
      <w:r w:rsidRPr="00814024">
        <w:t xml:space="preserve"> workers and members of the public. They commissioned R2A and Jacobs to </w:t>
      </w:r>
      <w:r>
        <w:t>analyse</w:t>
      </w:r>
      <w:r w:rsidRPr="00814024">
        <w:t xml:space="preserve"> the effects of the decrease in opex</w:t>
      </w:r>
      <w:r>
        <w:t xml:space="preserve"> on safety outcomes.</w:t>
      </w:r>
      <w:r w:rsidRPr="00814024">
        <w:t xml:space="preserve"> R2A</w:t>
      </w:r>
      <w:r>
        <w:rPr>
          <w:rStyle w:val="FootnoteReference"/>
        </w:rPr>
        <w:footnoteReference w:id="634"/>
      </w:r>
      <w:r w:rsidRPr="00814024">
        <w:t xml:space="preserve"> and Jacobs</w:t>
      </w:r>
      <w:r>
        <w:rPr>
          <w:rStyle w:val="FootnoteReference"/>
        </w:rPr>
        <w:footnoteReference w:id="635"/>
      </w:r>
      <w:r w:rsidRPr="00814024">
        <w:t xml:space="preserve"> found that the </w:t>
      </w:r>
      <w:r>
        <w:t>number of</w:t>
      </w:r>
      <w:r w:rsidRPr="00814024">
        <w:t xml:space="preserve"> safet</w:t>
      </w:r>
      <w:r>
        <w:t>y incidents would increase. The</w:t>
      </w:r>
      <w:r w:rsidRPr="00814024">
        <w:t xml:space="preserve"> </w:t>
      </w:r>
      <w:r>
        <w:t xml:space="preserve">NSW service providers </w:t>
      </w:r>
      <w:r w:rsidRPr="00814024">
        <w:t>also note</w:t>
      </w:r>
      <w:r>
        <w:t>d</w:t>
      </w:r>
      <w:r w:rsidRPr="00814024">
        <w:t xml:space="preserve"> backlogs in maintenance tasks and increases in asset fires identified by Energy Safe Victoria</w:t>
      </w:r>
      <w:r>
        <w:t xml:space="preserve"> (ESV)</w:t>
      </w:r>
      <w:r w:rsidRPr="00814024">
        <w:t>. ActewAGL made similar statements and provided a report by AECOM which was based on a similar premise to the R2A report commissioned by the NSW service providers.</w:t>
      </w:r>
      <w:r w:rsidRPr="00814024">
        <w:rPr>
          <w:rStyle w:val="FootnoteReference"/>
        </w:rPr>
        <w:footnoteReference w:id="636"/>
      </w:r>
      <w:r>
        <w:t xml:space="preserve"> Ausgrid, Endeavour</w:t>
      </w:r>
      <w:r w:rsidR="00A33E41">
        <w:t xml:space="preserve"> Energy</w:t>
      </w:r>
      <w:r>
        <w:t xml:space="preserve">, and Essential </w:t>
      </w:r>
      <w:r w:rsidR="00A33E41">
        <w:t xml:space="preserve">Energy </w:t>
      </w:r>
      <w:r>
        <w:t xml:space="preserve">also submitted statements from their Chief </w:t>
      </w:r>
      <w:r>
        <w:lastRenderedPageBreak/>
        <w:t>Operating Officers (COOs) that presented their opinions on the safety and reliability outcomes of our draft decision on opex.</w:t>
      </w:r>
      <w:r w:rsidRPr="0033696C">
        <w:rPr>
          <w:rStyle w:val="FootnoteReference"/>
        </w:rPr>
        <w:t xml:space="preserve"> </w:t>
      </w:r>
      <w:r>
        <w:rPr>
          <w:rStyle w:val="FootnoteReference"/>
        </w:rPr>
        <w:footnoteReference w:id="637"/>
      </w:r>
      <w:r>
        <w:t xml:space="preserve"> </w:t>
      </w:r>
      <w:r>
        <w:rPr>
          <w:rStyle w:val="FootnoteReference"/>
        </w:rPr>
        <w:footnoteReference w:id="638"/>
      </w:r>
      <w:r>
        <w:t xml:space="preserve"> </w:t>
      </w:r>
      <w:r>
        <w:rPr>
          <w:rStyle w:val="FootnoteReference"/>
        </w:rPr>
        <w:footnoteReference w:id="639"/>
      </w:r>
    </w:p>
    <w:p w:rsidR="00051BDB" w:rsidRDefault="00051BDB" w:rsidP="00051BDB">
      <w:pPr>
        <w:pStyle w:val="ListParagraph"/>
        <w:numPr>
          <w:ilvl w:val="0"/>
          <w:numId w:val="24"/>
        </w:numPr>
      </w:pPr>
      <w:r>
        <w:t>We are not satisfied that an OEF adjustment for safety outcomes would meet the duplication OEF adjustment criterion. All of Economic Insights' models implicitly account for safety. This is because the comparison firms operate safe networks.</w:t>
      </w:r>
    </w:p>
    <w:p w:rsidR="00051BDB" w:rsidRDefault="00051BDB" w:rsidP="00051BDB">
      <w:pPr>
        <w:pStyle w:val="ListParagraph"/>
        <w:numPr>
          <w:ilvl w:val="0"/>
          <w:numId w:val="24"/>
        </w:numPr>
      </w:pPr>
      <w:r>
        <w:t xml:space="preserve">The </w:t>
      </w:r>
      <w:r w:rsidRPr="00814024">
        <w:t xml:space="preserve">Victorian </w:t>
      </w:r>
      <w:r>
        <w:t>service provider</w:t>
      </w:r>
      <w:r w:rsidRPr="00814024">
        <w:t xml:space="preserve">s operate safe networks. Just as the NSW service providers are required to submit Safety Management Systems to the NSW Department of Resources and Energy, the Victorian service providers are required under Part 10 of the </w:t>
      </w:r>
      <w:r w:rsidRPr="007C11FA">
        <w:rPr>
          <w:rStyle w:val="AERtextitalic"/>
        </w:rPr>
        <w:t>Electricity Safety Act 1998</w:t>
      </w:r>
      <w:r w:rsidRPr="00814024">
        <w:t xml:space="preserve"> to submit Electricity Safety Management S</w:t>
      </w:r>
      <w:r>
        <w:t>chemes to ESV</w:t>
      </w:r>
      <w:r w:rsidRPr="00814024">
        <w:t>. In addition to this they are also required to submit Bushfire Mitigation Plans and Electric Line Clearance Management Plans.</w:t>
      </w:r>
      <w:r w:rsidRPr="00814024">
        <w:rPr>
          <w:rStyle w:val="FootnoteReference"/>
        </w:rPr>
        <w:t xml:space="preserve"> </w:t>
      </w:r>
      <w:r w:rsidRPr="00814024">
        <w:rPr>
          <w:rStyle w:val="FootnoteReference"/>
        </w:rPr>
        <w:footnoteReference w:id="640"/>
      </w:r>
      <w:r w:rsidRPr="00814024">
        <w:t xml:space="preserve"> The NSW service providers have claimed that the effect of the Black Saturday bushfires is evidence that the Victorian service providers do not operate safe networks. However, prior to the Black Saturday bushfires ESV found AusNet Services and Powercor, the two </w:t>
      </w:r>
      <w:r>
        <w:t>service provider</w:t>
      </w:r>
      <w:r w:rsidRPr="00814024">
        <w:t>s subject of class actions after Black Saturday, were “generally compliant” with their regulatory obligations.</w:t>
      </w:r>
      <w:r w:rsidRPr="00814024">
        <w:rPr>
          <w:rStyle w:val="FootnoteReference"/>
        </w:rPr>
        <w:t xml:space="preserve"> </w:t>
      </w:r>
      <w:r w:rsidRPr="00814024">
        <w:rPr>
          <w:rStyle w:val="FootnoteReference"/>
        </w:rPr>
        <w:footnoteReference w:id="641"/>
      </w:r>
      <w:r w:rsidRPr="00814024">
        <w:t xml:space="preserve"> We also note that the fact that Endeavour Energy is currently facing a class action relating to the 2013 Blue Mountains bushfires does not necessarily mean that Endeavour Energy operates an unsafe network.</w:t>
      </w:r>
      <w:r>
        <w:t xml:space="preserve"> We discuss bushfire risk and regulations in more detail in Geographic factors below.</w:t>
      </w:r>
    </w:p>
    <w:p w:rsidR="00051BDB" w:rsidRPr="00227485" w:rsidRDefault="00051BDB" w:rsidP="00051BDB">
      <w:pPr>
        <w:pStyle w:val="ListParagraph"/>
        <w:numPr>
          <w:ilvl w:val="0"/>
          <w:numId w:val="24"/>
        </w:numPr>
      </w:pPr>
      <w:r w:rsidRPr="00227485">
        <w:t>The comments by VBRC raised by the NSW service providers relate to asset replacement rather than opex. We determine forecasts for total capital and operating expenditure not asset replacement programs. Nonetheless our capex forecast, which is determined in part by reference to our repex model, takes into account the specific circumstances of service providers, including the rate at which their assets fail. We also note that the VBRC made its comment prior to our last determination for the Victorian service providers. In the AER's following determination the AER acknowledged that</w:t>
      </w:r>
      <w:r>
        <w:t>:</w:t>
      </w:r>
      <w:r w:rsidRPr="00227485">
        <w:t xml:space="preserve"> </w:t>
      </w:r>
    </w:p>
    <w:p w:rsidR="00051BDB" w:rsidRDefault="00051BDB" w:rsidP="00051BDB">
      <w:pPr>
        <w:pStyle w:val="AERquote"/>
      </w:pPr>
      <w:r>
        <w:t>there have</w:t>
      </w:r>
      <w:r w:rsidRPr="00E672CE">
        <w:t xml:space="preserve"> been changes to the safety regime that applies to</w:t>
      </w:r>
      <w:r>
        <w:t xml:space="preserve"> the Victorian DNSPs. … </w:t>
      </w:r>
      <w:r w:rsidRPr="009979F9">
        <w:t>This has led to a</w:t>
      </w:r>
      <w:r>
        <w:t xml:space="preserve"> </w:t>
      </w:r>
      <w:r w:rsidRPr="009979F9">
        <w:t>reassessment of replacement expenditure for a number of the DNSPs, which the AER</w:t>
      </w:r>
      <w:r>
        <w:t xml:space="preserve"> </w:t>
      </w:r>
      <w:r w:rsidRPr="009979F9">
        <w:t>has undertaken in consultation with Energy Safe Victoria (ESV), and a substantial</w:t>
      </w:r>
      <w:r>
        <w:t xml:space="preserve"> </w:t>
      </w:r>
      <w:r w:rsidRPr="009979F9">
        <w:t>increase in the allowance.</w:t>
      </w:r>
      <w:r>
        <w:rPr>
          <w:rStyle w:val="FootnoteReference"/>
        </w:rPr>
        <w:footnoteReference w:id="642"/>
      </w:r>
    </w:p>
    <w:p w:rsidR="00051BDB" w:rsidRDefault="00051BDB" w:rsidP="00051BDB">
      <w:pPr>
        <w:pStyle w:val="ListParagraph"/>
        <w:numPr>
          <w:ilvl w:val="0"/>
          <w:numId w:val="24"/>
        </w:numPr>
      </w:pPr>
      <w:r w:rsidRPr="00814024">
        <w:t>The NSW service providers</w:t>
      </w:r>
      <w:r>
        <w:t>, and R2A,</w:t>
      </w:r>
      <w:r w:rsidRPr="008C1B49">
        <w:rPr>
          <w:rStyle w:val="FootnoteReference"/>
        </w:rPr>
        <w:t xml:space="preserve"> </w:t>
      </w:r>
      <w:r>
        <w:rPr>
          <w:rStyle w:val="FootnoteReference"/>
        </w:rPr>
        <w:footnoteReference w:id="643"/>
      </w:r>
      <w:r w:rsidRPr="00814024">
        <w:t xml:space="preserve"> </w:t>
      </w:r>
      <w:r>
        <w:t>have also noted that ESV has</w:t>
      </w:r>
      <w:r w:rsidRPr="00814024">
        <w:t xml:space="preserve"> </w:t>
      </w:r>
      <w:r>
        <w:t>stated</w:t>
      </w:r>
      <w:r w:rsidRPr="00814024">
        <w:t xml:space="preserve"> that there has been an increase in the number of asset failures over the </w:t>
      </w:r>
      <w:r>
        <w:t xml:space="preserve">2011 to 2013 </w:t>
      </w:r>
      <w:r>
        <w:lastRenderedPageBreak/>
        <w:t>period</w:t>
      </w:r>
      <w:r w:rsidRPr="00814024">
        <w:t xml:space="preserve">. This is true, but ESV also noted that given the works done by the Victorian </w:t>
      </w:r>
      <w:r>
        <w:t>service provider</w:t>
      </w:r>
      <w:r w:rsidRPr="00814024">
        <w:t>s it would have expected that the number of asset failures would decrease.</w:t>
      </w:r>
      <w:r w:rsidRPr="00814024">
        <w:rPr>
          <w:rStyle w:val="FootnoteReference"/>
        </w:rPr>
        <w:t xml:space="preserve"> </w:t>
      </w:r>
      <w:r w:rsidRPr="00814024">
        <w:rPr>
          <w:rStyle w:val="FootnoteReference"/>
        </w:rPr>
        <w:footnoteReference w:id="644"/>
      </w:r>
      <w:r w:rsidRPr="00814024">
        <w:t xml:space="preserve"> </w:t>
      </w:r>
      <w:r>
        <w:t>ESV</w:t>
      </w:r>
      <w:r w:rsidRPr="00814024">
        <w:t xml:space="preserve"> </w:t>
      </w:r>
      <w:r>
        <w:t>therefore considers</w:t>
      </w:r>
      <w:r w:rsidRPr="00814024">
        <w:t xml:space="preserve"> that the increase in failures may have been due to unfavourable weather conditions and the increasing average age of assets in Victoria.</w:t>
      </w:r>
      <w:r w:rsidRPr="00814024">
        <w:rPr>
          <w:rStyle w:val="FootnoteReference"/>
        </w:rPr>
        <w:t xml:space="preserve"> </w:t>
      </w:r>
      <w:r w:rsidRPr="00814024">
        <w:rPr>
          <w:rStyle w:val="FootnoteReference"/>
        </w:rPr>
        <w:footnoteReference w:id="645"/>
      </w:r>
      <w:r w:rsidRPr="00814024">
        <w:t xml:space="preserve"> </w:t>
      </w:r>
      <w:r w:rsidRPr="00814024">
        <w:rPr>
          <w:rStyle w:val="FootnoteReference"/>
        </w:rPr>
        <w:footnoteReference w:id="646"/>
      </w:r>
      <w:r w:rsidRPr="00814024">
        <w:t xml:space="preserve"> </w:t>
      </w:r>
    </w:p>
    <w:p w:rsidR="00051BDB" w:rsidRDefault="00051BDB" w:rsidP="00051BDB">
      <w:pPr>
        <w:pStyle w:val="ListParagraph"/>
        <w:numPr>
          <w:ilvl w:val="0"/>
          <w:numId w:val="24"/>
        </w:numPr>
      </w:pPr>
      <w:r w:rsidRPr="00814024">
        <w:t>ESV noted that in 2012 overall management of the Victorian Networks was good.</w:t>
      </w:r>
      <w:r w:rsidRPr="00814024">
        <w:rPr>
          <w:rStyle w:val="FootnoteReference"/>
        </w:rPr>
        <w:t xml:space="preserve"> </w:t>
      </w:r>
      <w:r w:rsidRPr="00814024">
        <w:rPr>
          <w:rStyle w:val="FootnoteReference"/>
        </w:rPr>
        <w:footnoteReference w:id="647"/>
      </w:r>
      <w:r w:rsidRPr="00814024">
        <w:t xml:space="preserve"> ESV noted that in 2011 the performanc</w:t>
      </w:r>
      <w:r>
        <w:t xml:space="preserve">e of the Victorian Networks, </w:t>
      </w:r>
      <w:r w:rsidRPr="00814024">
        <w:t>with regard to asset failure</w:t>
      </w:r>
      <w:r>
        <w:t>,</w:t>
      </w:r>
      <w:r w:rsidRPr="00814024">
        <w:t xml:space="preserve"> was consistent with the performance of networks elsewhere in Australia and that in other areas they performed adequately.</w:t>
      </w:r>
      <w:r w:rsidRPr="00814024">
        <w:rPr>
          <w:rStyle w:val="FootnoteReference"/>
        </w:rPr>
        <w:t xml:space="preserve"> </w:t>
      </w:r>
      <w:r w:rsidRPr="00814024">
        <w:rPr>
          <w:rStyle w:val="FootnoteReference"/>
        </w:rPr>
        <w:footnoteReference w:id="648"/>
      </w:r>
      <w:r w:rsidRPr="00814024">
        <w:t xml:space="preserve"> ESV found in 2010 that overall there was a good standard of inspection and timely repair by the industry although some </w:t>
      </w:r>
      <w:r>
        <w:t>service provider</w:t>
      </w:r>
      <w:r w:rsidRPr="00814024">
        <w:t>s performed better than others.</w:t>
      </w:r>
      <w:r w:rsidRPr="00814024">
        <w:rPr>
          <w:rStyle w:val="FootnoteReference"/>
        </w:rPr>
        <w:t xml:space="preserve"> </w:t>
      </w:r>
      <w:r w:rsidRPr="00814024">
        <w:rPr>
          <w:rStyle w:val="FootnoteReference"/>
        </w:rPr>
        <w:footnoteReference w:id="649"/>
      </w:r>
      <w:r>
        <w:t xml:space="preserve"> More recently, in 2014 ESV noted:</w:t>
      </w:r>
    </w:p>
    <w:p w:rsidR="00051BDB" w:rsidRDefault="00051BDB" w:rsidP="00051BDB">
      <w:pPr>
        <w:pStyle w:val="AERbulletlistfirststyle"/>
      </w:pPr>
      <w:r>
        <w:t>The Victorian service providers have comprehensive Electricity Safety Management Systems, many supplemented by other management systems and certification such as PAS 55, ISO 9001, ISO 14001, AS4801 and OHSAS 18001</w:t>
      </w:r>
      <w:r w:rsidRPr="00814024">
        <w:rPr>
          <w:rStyle w:val="FootnoteReference"/>
        </w:rPr>
        <w:footnoteReference w:id="650"/>
      </w:r>
    </w:p>
    <w:p w:rsidR="00051BDB" w:rsidRDefault="00051BDB" w:rsidP="00051BDB">
      <w:pPr>
        <w:pStyle w:val="AERbulletlistfirststyle"/>
      </w:pPr>
      <w:r>
        <w:t>Asset maintenance in Victoria, in accordance with bushfire mitigation plans, was adequate for the 2013-2014 bushfire season, with no areas of non-compliance observed</w:t>
      </w:r>
      <w:r w:rsidRPr="00553D1D">
        <w:rPr>
          <w:rStyle w:val="FootnoteReference"/>
        </w:rPr>
        <w:t xml:space="preserve"> </w:t>
      </w:r>
      <w:r w:rsidRPr="00814024">
        <w:rPr>
          <w:rStyle w:val="FootnoteReference"/>
        </w:rPr>
        <w:footnoteReference w:id="651"/>
      </w:r>
      <w:r>
        <w:t xml:space="preserve"> </w:t>
      </w:r>
    </w:p>
    <w:p w:rsidR="00051BDB" w:rsidRDefault="00051BDB" w:rsidP="00051BDB">
      <w:pPr>
        <w:pStyle w:val="AERbulletlistfirststyle"/>
      </w:pPr>
      <w:r>
        <w:t>In general, the Victorian service providers' Electric Line Clearance Management Plans were clear, well presented and that there was a strong connection between safety plans and activities in the field</w:t>
      </w:r>
      <w:r w:rsidRPr="00814024">
        <w:rPr>
          <w:rStyle w:val="FootnoteReference"/>
        </w:rPr>
        <w:footnoteReference w:id="652"/>
      </w:r>
    </w:p>
    <w:p w:rsidR="00051BDB" w:rsidRDefault="00051BDB" w:rsidP="00051BDB">
      <w:pPr>
        <w:pStyle w:val="AERbulletlistfirststyle"/>
      </w:pPr>
      <w:r>
        <w:t>Despite the extensive effort put into condition assessment and asset replacement, failure rates in Victoria had increased. While some service providers, notably United Energy, were behind schedule in their asset replacement programs all would be able to complete their five year programs by 2015</w:t>
      </w:r>
      <w:r w:rsidRPr="00814024">
        <w:rPr>
          <w:rStyle w:val="FootnoteReference"/>
        </w:rPr>
        <w:footnoteReference w:id="653"/>
      </w:r>
    </w:p>
    <w:p w:rsidR="00051BDB" w:rsidRDefault="00051BDB" w:rsidP="00051BDB">
      <w:pPr>
        <w:pStyle w:val="AERbulletlistfirststyle"/>
      </w:pPr>
      <w:r>
        <w:t>The number of fire starts in Victoria was above the F factor set by the AER, partly due the increasing age of assets and partly due to adverse weather conditions.</w:t>
      </w:r>
      <w:r w:rsidRPr="00DD3969">
        <w:rPr>
          <w:rStyle w:val="FootnoteReference"/>
        </w:rPr>
        <w:t xml:space="preserve"> </w:t>
      </w:r>
      <w:r w:rsidRPr="00814024">
        <w:rPr>
          <w:rStyle w:val="FootnoteReference"/>
        </w:rPr>
        <w:footnoteReference w:id="654"/>
      </w:r>
    </w:p>
    <w:p w:rsidR="00051BDB" w:rsidRDefault="00051BDB" w:rsidP="00051BDB">
      <w:pPr>
        <w:pStyle w:val="AERbulletlistfirststyle"/>
      </w:pPr>
      <w:r>
        <w:t>All of the Victorian service providers were on schedule to meet the electric line clearance requirements as agreed upon with ESV. Although CitiPower and Powercor were granted 12 months extensions from the original timeframes.</w:t>
      </w:r>
      <w:r w:rsidRPr="00814024">
        <w:rPr>
          <w:rStyle w:val="FootnoteReference"/>
        </w:rPr>
        <w:footnoteReference w:id="655"/>
      </w:r>
    </w:p>
    <w:p w:rsidR="00051BDB" w:rsidRDefault="00051BDB" w:rsidP="00051BDB">
      <w:pPr>
        <w:pStyle w:val="AERbulletlistfirststyle"/>
      </w:pPr>
      <w:r>
        <w:lastRenderedPageBreak/>
        <w:t>The Victorian service providers go to considerable lengths to prevent unauthorised access and ensure that assets are secure</w:t>
      </w:r>
      <w:r>
        <w:rPr>
          <w:rStyle w:val="FootnoteReference"/>
        </w:rPr>
        <w:footnoteReference w:id="656"/>
      </w:r>
    </w:p>
    <w:p w:rsidR="00051BDB" w:rsidRDefault="00051BDB" w:rsidP="00051BDB">
      <w:pPr>
        <w:pStyle w:val="AERbulletlistfirststyle"/>
      </w:pPr>
      <w:r>
        <w:t>The underlying trend for serious injuries from electrical causes to the public and Victorian service providers workers was similar to previous years</w:t>
      </w:r>
      <w:r>
        <w:rPr>
          <w:rStyle w:val="FootnoteReference"/>
        </w:rPr>
        <w:footnoteReference w:id="657"/>
      </w:r>
    </w:p>
    <w:p w:rsidR="00051BDB" w:rsidRDefault="00051BDB" w:rsidP="00051BDB">
      <w:pPr>
        <w:pStyle w:val="AERbulletlistfirststyle"/>
      </w:pPr>
      <w:r>
        <w:t>There were some opportunities for improvement and areas requiring attention in the Victorian service provider's work practices</w:t>
      </w:r>
      <w:r>
        <w:rPr>
          <w:rStyle w:val="FootnoteReference"/>
        </w:rPr>
        <w:footnoteReference w:id="658"/>
      </w:r>
    </w:p>
    <w:p w:rsidR="00051BDB" w:rsidRPr="00A55DDC" w:rsidRDefault="00051BDB" w:rsidP="00051BDB">
      <w:pPr>
        <w:pStyle w:val="AERbulletlistfirststyle"/>
      </w:pPr>
      <w:r>
        <w:t>We note that ESV highlighted issues</w:t>
      </w:r>
      <w:r w:rsidRPr="00A55DDC">
        <w:t xml:space="preserve"> relating to fire starts, asset failures, and work practices. ESV notes that the increase in fire starts in 2013 may be due to adverse weather conditions and aging assets. The replacement rate of assets relates to repex, not opex, as discussed above. On concerns about work practices, we note that service providers in Victorian tend to have higher levels of workplace safety than other areas of the NEM. This is discussed below.</w:t>
      </w:r>
    </w:p>
    <w:p w:rsidR="00051BDB" w:rsidRPr="00814024" w:rsidRDefault="00051BDB" w:rsidP="00051BDB">
      <w:pPr>
        <w:pStyle w:val="ListParagraph"/>
        <w:numPr>
          <w:ilvl w:val="0"/>
          <w:numId w:val="24"/>
        </w:numPr>
      </w:pPr>
      <w:r w:rsidRPr="00814024">
        <w:t xml:space="preserve">Other measures of network safety also suggest that the comparison firms perform similarly or better than the NSW service providers. These measures include LTIFR, vegetation contacts with assets, and reliability for customers on life support devices. </w:t>
      </w:r>
    </w:p>
    <w:p w:rsidR="00051BDB" w:rsidRDefault="00051BDB" w:rsidP="00051BDB">
      <w:pPr>
        <w:pStyle w:val="ListParagraph"/>
        <w:numPr>
          <w:ilvl w:val="0"/>
          <w:numId w:val="24"/>
        </w:numPr>
      </w:pPr>
      <w:r w:rsidRPr="00814024">
        <w:t xml:space="preserve">On </w:t>
      </w:r>
      <w:r>
        <w:t>Lost Time Injury Frequency Rate (</w:t>
      </w:r>
      <w:r w:rsidRPr="00814024">
        <w:t>LTIFR</w:t>
      </w:r>
      <w:r>
        <w:t>)</w:t>
      </w:r>
      <w:r w:rsidRPr="00814024">
        <w:t xml:space="preserve"> the comparison firms </w:t>
      </w:r>
      <w:r>
        <w:t xml:space="preserve">generally </w:t>
      </w:r>
      <w:r w:rsidRPr="00814024">
        <w:t>tend to outperform the ACT, NSW, and QLD service providers.</w:t>
      </w:r>
      <w:r w:rsidRPr="00814024">
        <w:rPr>
          <w:rStyle w:val="FootnoteReference"/>
        </w:rPr>
        <w:t xml:space="preserve"> </w:t>
      </w:r>
      <w:r>
        <w:t>LTIFR measures the number of injuries suffered in the workplace that lead to one or more shifts being missed for every million hours worked. The LTIFR for the NEM service providers over the 2009 to 2013 period is shown below.</w:t>
      </w:r>
    </w:p>
    <w:p w:rsidR="00051BDB" w:rsidRDefault="008E1562" w:rsidP="008E1562">
      <w:pPr>
        <w:pStyle w:val="Caption"/>
      </w:pPr>
      <w:r>
        <w:lastRenderedPageBreak/>
        <w:t xml:space="preserve">Figure </w:t>
      </w:r>
      <w:fldSimple w:instr=" STYLEREF 7 \s ">
        <w:r w:rsidR="00C74791">
          <w:rPr>
            <w:noProof/>
          </w:rPr>
          <w:t>A</w:t>
        </w:r>
      </w:fldSimple>
      <w:r w:rsidR="00A409CB">
        <w:t>.</w:t>
      </w:r>
      <w:fldSimple w:instr=" SEQ AFigure \* ARABIC \s 7 ">
        <w:r w:rsidR="00C74791">
          <w:rPr>
            <w:noProof/>
          </w:rPr>
          <w:t>21</w:t>
        </w:r>
      </w:fldSimple>
      <w:r w:rsidR="00051BDB">
        <w:tab/>
        <w:t>LTIFR for NEM service providers (2009 to 2013)</w:t>
      </w:r>
    </w:p>
    <w:p w:rsidR="00051BDB" w:rsidRDefault="00051BDB" w:rsidP="00051BDB">
      <w:pPr>
        <w:pStyle w:val="Caption"/>
      </w:pPr>
      <w:r w:rsidRPr="00051BDB">
        <w:rPr>
          <w:noProof/>
          <w:lang w:eastAsia="en-AU"/>
        </w:rPr>
        <w:drawing>
          <wp:inline distT="0" distB="0" distL="0" distR="0" wp14:anchorId="41E7E320" wp14:editId="78011545">
            <wp:extent cx="5382895" cy="2949254"/>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82895" cy="2949254"/>
                    </a:xfrm>
                    <a:prstGeom prst="rect">
                      <a:avLst/>
                    </a:prstGeom>
                    <a:noFill/>
                    <a:ln>
                      <a:noFill/>
                    </a:ln>
                  </pic:spPr>
                </pic:pic>
              </a:graphicData>
            </a:graphic>
          </wp:inline>
        </w:drawing>
      </w:r>
    </w:p>
    <w:p w:rsidR="00051BDB" w:rsidRDefault="00051BDB" w:rsidP="00051BDB">
      <w:pPr>
        <w:pStyle w:val="Source"/>
      </w:pPr>
      <w:r>
        <w:t xml:space="preserve">Source: </w:t>
      </w:r>
      <w:r>
        <w:tab/>
        <w:t>ActewAGL,</w:t>
      </w:r>
      <w:r>
        <w:rPr>
          <w:rStyle w:val="FootnoteReference"/>
        </w:rPr>
        <w:footnoteReference w:id="659"/>
      </w:r>
      <w:r>
        <w:t xml:space="preserve"> Ausgrid,</w:t>
      </w:r>
      <w:r>
        <w:rPr>
          <w:rStyle w:val="FootnoteReference"/>
        </w:rPr>
        <w:footnoteReference w:id="660"/>
      </w:r>
      <w:r>
        <w:t xml:space="preserve"> AusNet Services,</w:t>
      </w:r>
      <w:r>
        <w:rPr>
          <w:rStyle w:val="FootnoteReference"/>
        </w:rPr>
        <w:footnoteReference w:id="661"/>
      </w:r>
      <w:r>
        <w:t xml:space="preserve"> CitiPower,</w:t>
      </w:r>
      <w:r>
        <w:rPr>
          <w:rStyle w:val="FootnoteReference"/>
        </w:rPr>
        <w:footnoteReference w:id="662"/>
      </w:r>
      <w:r>
        <w:t xml:space="preserve"> Endeavour Energy,</w:t>
      </w:r>
      <w:r>
        <w:rPr>
          <w:rStyle w:val="FootnoteReference"/>
        </w:rPr>
        <w:footnoteReference w:id="663"/>
      </w:r>
      <w:r>
        <w:t xml:space="preserve"> Energex,</w:t>
      </w:r>
      <w:r>
        <w:rPr>
          <w:rStyle w:val="FootnoteReference"/>
        </w:rPr>
        <w:footnoteReference w:id="664"/>
      </w:r>
      <w:r>
        <w:t xml:space="preserve"> Ergon Energy,</w:t>
      </w:r>
      <w:r>
        <w:rPr>
          <w:rStyle w:val="FootnoteReference"/>
        </w:rPr>
        <w:footnoteReference w:id="665"/>
      </w:r>
      <w:r>
        <w:t xml:space="preserve"> Essential Energy,</w:t>
      </w:r>
      <w:r>
        <w:rPr>
          <w:rStyle w:val="FootnoteReference"/>
        </w:rPr>
        <w:footnoteReference w:id="666"/>
      </w:r>
      <w:r>
        <w:t xml:space="preserve"> Powercor,</w:t>
      </w:r>
      <w:r w:rsidRPr="00E44744">
        <w:rPr>
          <w:rStyle w:val="FootnoteReference"/>
        </w:rPr>
        <w:t xml:space="preserve"> </w:t>
      </w:r>
      <w:r>
        <w:rPr>
          <w:rStyle w:val="FootnoteReference"/>
        </w:rPr>
        <w:footnoteReference w:id="667"/>
      </w:r>
      <w:r>
        <w:t xml:space="preserve"> SAPN,</w:t>
      </w:r>
      <w:r>
        <w:rPr>
          <w:rStyle w:val="FootnoteReference"/>
        </w:rPr>
        <w:footnoteReference w:id="668"/>
      </w:r>
      <w:r>
        <w:t xml:space="preserve"> TasNetworks,</w:t>
      </w:r>
      <w:r>
        <w:rPr>
          <w:rStyle w:val="FootnoteReference"/>
        </w:rPr>
        <w:footnoteReference w:id="669"/>
      </w:r>
      <w:r>
        <w:t xml:space="preserve"> United Energy.</w:t>
      </w:r>
      <w:r>
        <w:rPr>
          <w:rStyle w:val="FootnoteReference"/>
        </w:rPr>
        <w:footnoteReference w:id="670"/>
      </w:r>
    </w:p>
    <w:p w:rsidR="00051BDB" w:rsidRDefault="00051BDB" w:rsidP="00051BDB">
      <w:pPr>
        <w:pStyle w:val="Source"/>
      </w:pPr>
      <w:r>
        <w:t xml:space="preserve">Notes: </w:t>
      </w:r>
      <w:r>
        <w:tab/>
      </w:r>
      <w:r w:rsidRPr="008171E3">
        <w:t>ActewAGL changed its reporting systems in 2011 therefore its datum only covers the period July 2011 to December 2013. TasNetwork's datum does not include contractors prior to 2012. Endeavour, Essential and SAPN data do not included contractors. AusNet's Datum relates to its gas, distribution and transmission business segments. Jemena is not displayed because it claimed confidentiality over its datum.</w:t>
      </w:r>
    </w:p>
    <w:p w:rsidR="00051BDB" w:rsidRPr="00814024" w:rsidRDefault="00051BDB" w:rsidP="00051BDB">
      <w:pPr>
        <w:pStyle w:val="ListParagraph"/>
        <w:numPr>
          <w:ilvl w:val="0"/>
          <w:numId w:val="24"/>
        </w:numPr>
      </w:pPr>
      <w:r w:rsidRPr="00814024">
        <w:t xml:space="preserve">On vegetation contacts causing fires </w:t>
      </w:r>
      <w:r>
        <w:t xml:space="preserve">per 1000km of overhead route line length, </w:t>
      </w:r>
      <w:r w:rsidRPr="00814024">
        <w:t xml:space="preserve">the </w:t>
      </w:r>
      <w:r>
        <w:t>comparison firm</w:t>
      </w:r>
      <w:r w:rsidRPr="00814024">
        <w:t xml:space="preserve">s tended to have similar performance to the NSW and QLD </w:t>
      </w:r>
      <w:r w:rsidR="009664DF">
        <w:t>distributors</w:t>
      </w:r>
      <w:r>
        <w:t>,</w:t>
      </w:r>
      <w:r w:rsidRPr="00814024">
        <w:t xml:space="preserve"> with ActewAGL having a higher number of defects.</w:t>
      </w:r>
      <w:r w:rsidRPr="00814024">
        <w:rPr>
          <w:rStyle w:val="FootnoteReference"/>
        </w:rPr>
        <w:t xml:space="preserve"> </w:t>
      </w:r>
      <w:r w:rsidRPr="00814024">
        <w:rPr>
          <w:rStyle w:val="FootnoteReference"/>
        </w:rPr>
        <w:footnoteReference w:id="671"/>
      </w:r>
      <w:r w:rsidRPr="00814024">
        <w:t xml:space="preserve"> </w:t>
      </w:r>
      <w:r>
        <w:rPr>
          <w:rStyle w:val="FootnoteReference"/>
        </w:rPr>
        <w:footnoteReference w:id="672"/>
      </w:r>
      <w:r>
        <w:t xml:space="preserve"> </w:t>
      </w:r>
      <w:r>
        <w:rPr>
          <w:rStyle w:val="FootnoteReference"/>
        </w:rPr>
        <w:footnoteReference w:id="673"/>
      </w:r>
      <w:r>
        <w:t xml:space="preserve"> </w:t>
      </w:r>
      <w:r>
        <w:rPr>
          <w:rStyle w:val="FootnoteReference"/>
        </w:rPr>
        <w:footnoteReference w:id="674"/>
      </w:r>
    </w:p>
    <w:p w:rsidR="00051BDB" w:rsidRPr="002070F5" w:rsidRDefault="00051BDB" w:rsidP="00051BDB">
      <w:pPr>
        <w:pStyle w:val="ListParagraph"/>
        <w:numPr>
          <w:ilvl w:val="0"/>
          <w:numId w:val="24"/>
        </w:numPr>
      </w:pPr>
      <w:r w:rsidRPr="002070F5">
        <w:t xml:space="preserve">In the absence of other available data we have considered the measures available to us. One such measure relates to incidents in which businesses report (under the Retail </w:t>
      </w:r>
      <w:r w:rsidRPr="002070F5">
        <w:lastRenderedPageBreak/>
        <w:t xml:space="preserve">Law Compliance procedures and guidelines) breaches, or potential breaches, of the life support provisions in the Retail Law and Rules. These provisions set out the manner and timing by which businesses provide registered life support customers with notice of a planned interruption and prohibit disconnection of premises with registered life support needs. We acknowledge that this is an incomplete measure as data are only available for the ACT, NSW, SA and Tasmanian service providers and rely on reports from businesses. However, based on the information available, there is no evidence that the </w:t>
      </w:r>
      <w:r>
        <w:t>comparison firm</w:t>
      </w:r>
      <w:r w:rsidRPr="002070F5">
        <w:t xml:space="preserve">s perform worse on this measure. </w:t>
      </w:r>
    </w:p>
    <w:p w:rsidR="00051BDB" w:rsidRDefault="00051BDB" w:rsidP="00051BDB">
      <w:pPr>
        <w:pStyle w:val="ListParagraph"/>
        <w:numPr>
          <w:ilvl w:val="0"/>
          <w:numId w:val="24"/>
        </w:numPr>
      </w:pPr>
      <w:r w:rsidRPr="002070F5">
        <w:t xml:space="preserve">Since the AER assumed enforcement responsibilities in South Australia it has not issued any infringement notices in relation to (alleged) breaches of the life support provisions by </w:t>
      </w:r>
      <w:r>
        <w:t>SA Power networks</w:t>
      </w:r>
      <w:r w:rsidRPr="00814024">
        <w:t>. However, Essential Energy, Endeavour Energy, and Ausgrid - have paid penalties total</w:t>
      </w:r>
      <w:r>
        <w:t>ling $140</w:t>
      </w:r>
      <w:r w:rsidRPr="00814024">
        <w:t xml:space="preserve"> 000 following the issue of infringement notices by the Australian Energy Regulator in relation to </w:t>
      </w:r>
      <w:r>
        <w:t xml:space="preserve">7 </w:t>
      </w:r>
      <w:r w:rsidRPr="00814024">
        <w:t>incidents in which customers known to require life support equipment lost electricity supply unexpectedly.</w:t>
      </w:r>
      <w:r w:rsidRPr="00814024">
        <w:rPr>
          <w:rStyle w:val="FootnoteReference"/>
        </w:rPr>
        <w:t xml:space="preserve"> </w:t>
      </w:r>
      <w:r w:rsidRPr="00814024">
        <w:rPr>
          <w:rStyle w:val="FootnoteReference"/>
        </w:rPr>
        <w:footnoteReference w:id="675"/>
      </w:r>
      <w:r w:rsidRPr="00814024">
        <w:rPr>
          <w:rStyle w:val="FootnoteReference"/>
        </w:rPr>
        <w:footnoteReference w:id="676"/>
      </w:r>
      <w:r>
        <w:t xml:space="preserve"> The AER assumed responsibility for retail regulation under the NECF in South Australia on 1 February 2013 and 1 July 2013 in NSW. While South Australia has a smaller population than NSW, SA Power Networks has a similar number of customers (851766) to Endeavour Energy (940028) and Essential Energy (854231).</w:t>
      </w:r>
    </w:p>
    <w:p w:rsidR="00051BDB" w:rsidRDefault="00051BDB" w:rsidP="00051BDB">
      <w:r>
        <w:t>The findings of the</w:t>
      </w:r>
      <w:r w:rsidRPr="00814024">
        <w:t xml:space="preserve"> </w:t>
      </w:r>
      <w:r>
        <w:t xml:space="preserve">Jacobs and </w:t>
      </w:r>
      <w:r w:rsidRPr="00814024">
        <w:t>R2A</w:t>
      </w:r>
      <w:r>
        <w:t xml:space="preserve"> reports</w:t>
      </w:r>
      <w:r w:rsidRPr="00814024">
        <w:t xml:space="preserve"> are based on the assumption that the NSW service providers will reduce their work</w:t>
      </w:r>
      <w:r>
        <w:t xml:space="preserve"> </w:t>
      </w:r>
      <w:r w:rsidRPr="00814024">
        <w:t xml:space="preserve">programs </w:t>
      </w:r>
      <w:r>
        <w:t>in response to our draft decision.</w:t>
      </w:r>
      <w:r>
        <w:rPr>
          <w:rStyle w:val="FootnoteReference"/>
        </w:rPr>
        <w:footnoteReference w:id="677"/>
      </w:r>
      <w:r>
        <w:t xml:space="preserve"> </w:t>
      </w:r>
      <w:r>
        <w:rPr>
          <w:rStyle w:val="FootnoteReference"/>
        </w:rPr>
        <w:footnoteReference w:id="678"/>
      </w:r>
      <w:r w:rsidRPr="00814024">
        <w:t xml:space="preserve"> </w:t>
      </w:r>
      <w:r>
        <w:t>The COO statements are also based on this premise.</w:t>
      </w:r>
      <w:r w:rsidRPr="00775340">
        <w:rPr>
          <w:rStyle w:val="FootnoteReference"/>
        </w:rPr>
        <w:t xml:space="preserve"> </w:t>
      </w:r>
      <w:r>
        <w:rPr>
          <w:rStyle w:val="FootnoteReference"/>
        </w:rPr>
        <w:footnoteReference w:id="679"/>
      </w:r>
      <w:r>
        <w:t xml:space="preserve"> </w:t>
      </w:r>
      <w:r>
        <w:rPr>
          <w:rStyle w:val="FootnoteReference"/>
        </w:rPr>
        <w:footnoteReference w:id="680"/>
      </w:r>
      <w:r>
        <w:t xml:space="preserve"> </w:t>
      </w:r>
      <w:r>
        <w:rPr>
          <w:rStyle w:val="FootnoteReference"/>
        </w:rPr>
        <w:footnoteReference w:id="681"/>
      </w:r>
      <w:r>
        <w:t xml:space="preserve"> R2A and Mr Armstrong assume no efficiencies will be found, while Jacobs, assume that the NSW service providers will be able to find some opex efficiencies, Mr Howard and Mr Humphreys do not make clear what level of efficiencies they consider Endeavour </w:t>
      </w:r>
      <w:r w:rsidR="00A33E41">
        <w:t xml:space="preserve">Energy </w:t>
      </w:r>
      <w:r>
        <w:t xml:space="preserve">and Essential </w:t>
      </w:r>
      <w:r w:rsidR="00A33E41">
        <w:t xml:space="preserve">Energy </w:t>
      </w:r>
      <w:r>
        <w:t xml:space="preserve">could find. </w:t>
      </w:r>
    </w:p>
    <w:p w:rsidR="00051BDB" w:rsidRDefault="00051BDB" w:rsidP="00051BDB">
      <w:r>
        <w:t>Our draft decision was not made on the assumption that the</w:t>
      </w:r>
      <w:r w:rsidRPr="00814024">
        <w:t xml:space="preserve"> NSW </w:t>
      </w:r>
      <w:r>
        <w:t>service provider</w:t>
      </w:r>
      <w:r w:rsidRPr="00814024">
        <w:t xml:space="preserve">s </w:t>
      </w:r>
      <w:r>
        <w:t>would</w:t>
      </w:r>
      <w:r w:rsidRPr="00814024">
        <w:t xml:space="preserve"> reduce their work programs. </w:t>
      </w:r>
      <w:r>
        <w:t>It was made on the basis</w:t>
      </w:r>
      <w:r w:rsidRPr="00814024">
        <w:t xml:space="preserve"> that the </w:t>
      </w:r>
      <w:r>
        <w:t>comparison firm</w:t>
      </w:r>
      <w:r w:rsidRPr="00814024">
        <w:t xml:space="preserve">s can provide a safe service for less </w:t>
      </w:r>
      <w:r>
        <w:t xml:space="preserve">opex </w:t>
      </w:r>
      <w:r w:rsidRPr="00814024">
        <w:t>than the NSW service providers. The NSW service providers have not provided sufficient evidence to show that they are not be capable of finding similar efficiencies</w:t>
      </w:r>
      <w:r>
        <w:t xml:space="preserve"> or that the comparison firms operate unsafe networks.</w:t>
      </w:r>
    </w:p>
    <w:p w:rsidR="00051BDB" w:rsidRDefault="00051BDB" w:rsidP="00051BDB">
      <w:r>
        <w:lastRenderedPageBreak/>
        <w:t xml:space="preserve">The Jacobs and R2A reports also did not </w:t>
      </w:r>
      <w:r w:rsidRPr="00814024">
        <w:t>p</w:t>
      </w:r>
      <w:r>
        <w:t>rovide</w:t>
      </w:r>
      <w:r w:rsidRPr="00814024">
        <w:t xml:space="preserve"> </w:t>
      </w:r>
      <w:r>
        <w:t>sufficient</w:t>
      </w:r>
      <w:r w:rsidRPr="00814024">
        <w:t xml:space="preserve"> evidence to suggest that the </w:t>
      </w:r>
      <w:r>
        <w:t>comparison firm</w:t>
      </w:r>
      <w:r w:rsidRPr="00814024">
        <w:t>s</w:t>
      </w:r>
      <w:r>
        <w:t>'</w:t>
      </w:r>
      <w:r w:rsidRPr="00814024">
        <w:t xml:space="preserve"> opex is at a level that prevents them from providing services at an acceptable level of safety.</w:t>
      </w:r>
      <w:r>
        <w:rPr>
          <w:rStyle w:val="FootnoteReference"/>
        </w:rPr>
        <w:footnoteReference w:id="682"/>
      </w:r>
      <w:r>
        <w:t xml:space="preserve"> </w:t>
      </w:r>
      <w:r>
        <w:rPr>
          <w:rStyle w:val="FootnoteReference"/>
        </w:rPr>
        <w:footnoteReference w:id="683"/>
      </w:r>
      <w:r>
        <w:t xml:space="preserve"> </w:t>
      </w:r>
    </w:p>
    <w:p w:rsidR="00051BDB" w:rsidRDefault="00051BDB" w:rsidP="00051BDB">
      <w:r>
        <w:t>The R2A report raised the issue of recent increases in asset failure in Victoria already discussed above. R2A also submitted that the proposed changes would lead to Ausgrid's asset inspection cycles to increase to eight years from five years.</w:t>
      </w:r>
      <w:r w:rsidRPr="00B871D8">
        <w:rPr>
          <w:rStyle w:val="FootnoteReference"/>
        </w:rPr>
        <w:t xml:space="preserve"> </w:t>
      </w:r>
      <w:r>
        <w:rPr>
          <w:rStyle w:val="FootnoteReference"/>
        </w:rPr>
        <w:footnoteReference w:id="684"/>
      </w:r>
      <w:r>
        <w:t xml:space="preserve"> However, the Victorian service providers, which make up the majority of the comparison firms, are required to inspect their assets every three years in Hazardous Bushfire Risk Areas and every five years in all other areas.</w:t>
      </w:r>
      <w:r w:rsidRPr="00B871D8">
        <w:rPr>
          <w:rStyle w:val="FootnoteReference"/>
        </w:rPr>
        <w:t xml:space="preserve"> </w:t>
      </w:r>
      <w:r>
        <w:rPr>
          <w:rStyle w:val="FootnoteReference"/>
        </w:rPr>
        <w:footnoteReference w:id="685"/>
      </w:r>
    </w:p>
    <w:p w:rsidR="00051BDB" w:rsidRDefault="00051BDB" w:rsidP="00051BDB">
      <w:r>
        <w:t>Jacobs submitted that we have not</w:t>
      </w:r>
      <w:r w:rsidRPr="00C225CB">
        <w:t xml:space="preserve"> robustly substantiated a position on whether</w:t>
      </w:r>
      <w:r>
        <w:t xml:space="preserve"> </w:t>
      </w:r>
      <w:r w:rsidRPr="00C225CB">
        <w:t xml:space="preserve">the asset age profiles of the </w:t>
      </w:r>
      <w:r>
        <w:t>comparison firms</w:t>
      </w:r>
      <w:r w:rsidRPr="00C225CB">
        <w:t xml:space="preserve"> are appropriate for benchmarking the</w:t>
      </w:r>
      <w:r>
        <w:t xml:space="preserve"> NSW </w:t>
      </w:r>
      <w:r w:rsidR="009664DF">
        <w:t>distributors</w:t>
      </w:r>
      <w:r>
        <w:t>.</w:t>
      </w:r>
      <w:r w:rsidRPr="00876CCB">
        <w:rPr>
          <w:rStyle w:val="FootnoteReference"/>
        </w:rPr>
        <w:t xml:space="preserve"> </w:t>
      </w:r>
      <w:r>
        <w:rPr>
          <w:rStyle w:val="FootnoteReference"/>
        </w:rPr>
        <w:footnoteReference w:id="686"/>
      </w:r>
      <w:r>
        <w:t xml:space="preserve"> However, it provided no analysis of our WARL measure to support the claim and even noted that Endeavour Energy itself uses a WARL model to forecast its repex costs.</w:t>
      </w:r>
      <w:r w:rsidRPr="00C225CB">
        <w:rPr>
          <w:rStyle w:val="FootnoteReference"/>
        </w:rPr>
        <w:t xml:space="preserve"> </w:t>
      </w:r>
      <w:r>
        <w:rPr>
          <w:rStyle w:val="FootnoteReference"/>
        </w:rPr>
        <w:footnoteReference w:id="687"/>
      </w:r>
      <w:r>
        <w:t xml:space="preserve"> Jacobs also considered that we have overlooked the FMECA/RCM models used by the NSW service providers.</w:t>
      </w:r>
      <w:r w:rsidRPr="002730D3">
        <w:rPr>
          <w:rStyle w:val="FootnoteReference"/>
        </w:rPr>
        <w:t xml:space="preserve"> </w:t>
      </w:r>
      <w:r>
        <w:rPr>
          <w:rStyle w:val="FootnoteReference"/>
        </w:rPr>
        <w:footnoteReference w:id="688"/>
      </w:r>
      <w:r>
        <w:t xml:space="preserve"> The comparison firms also use similar condition based service optimisation models</w:t>
      </w:r>
      <w:r>
        <w:rPr>
          <w:rStyle w:val="FootnoteReference"/>
        </w:rPr>
        <w:footnoteReference w:id="689"/>
      </w:r>
      <w:r>
        <w:t xml:space="preserve"> </w:t>
      </w:r>
      <w:r w:rsidRPr="004D4393">
        <w:rPr>
          <w:rStyle w:val="FootnoteReference"/>
        </w:rPr>
        <w:footnoteReference w:id="690"/>
      </w:r>
      <w:r>
        <w:rPr>
          <w:rStyle w:val="FootnoteReference"/>
        </w:rPr>
        <w:footnoteReference w:id="691"/>
      </w:r>
      <w:r>
        <w:rPr>
          <w:rStyle w:val="FootnoteReference"/>
        </w:rPr>
        <w:footnoteReference w:id="692"/>
      </w:r>
      <w:r>
        <w:t xml:space="preserve"> but provide services at a lower cost.</w:t>
      </w:r>
    </w:p>
    <w:p w:rsidR="00051BDB" w:rsidRDefault="00051BDB" w:rsidP="00051BDB">
      <w:pPr>
        <w:pStyle w:val="ListParagraph"/>
        <w:numPr>
          <w:ilvl w:val="0"/>
          <w:numId w:val="24"/>
        </w:numPr>
      </w:pPr>
      <w:r>
        <w:t>Jacobs has also stated that it considers we have not adequately substantiated a position on the proportion of expenditure reductions which are expected to be absorbed through an increase in risk profile.</w:t>
      </w:r>
      <w:r w:rsidRPr="00BD4A03">
        <w:rPr>
          <w:rStyle w:val="FootnoteReference"/>
        </w:rPr>
        <w:t xml:space="preserve"> </w:t>
      </w:r>
      <w:r>
        <w:rPr>
          <w:rStyle w:val="FootnoteReference"/>
        </w:rPr>
        <w:footnoteReference w:id="693"/>
      </w:r>
      <w:r w:rsidRPr="002730D3">
        <w:rPr>
          <w:rStyle w:val="FootnoteReference"/>
        </w:rPr>
        <w:t xml:space="preserve"> </w:t>
      </w:r>
      <w:r>
        <w:t xml:space="preserve"> We expect all opex reductions to be made through finding opex efficiencies with no negative impact on safety outcomes. Where the NSW service providers are unable to provide a prudent level of safety with the level of opex that reflects the opex criteria, we would expect their shareholders to bear the cost.</w:t>
      </w:r>
    </w:p>
    <w:p w:rsidR="00051BDB" w:rsidRDefault="00051BDB" w:rsidP="00051BDB">
      <w:pPr>
        <w:pStyle w:val="ListParagraph"/>
        <w:numPr>
          <w:ilvl w:val="0"/>
          <w:numId w:val="24"/>
        </w:numPr>
      </w:pPr>
      <w:r>
        <w:t xml:space="preserve">The COO statements do not offer evidence </w:t>
      </w:r>
      <w:r w:rsidRPr="00814024">
        <w:t xml:space="preserve">to suggest that the </w:t>
      </w:r>
      <w:r>
        <w:t>comparison firm</w:t>
      </w:r>
      <w:r w:rsidRPr="00814024">
        <w:t>s</w:t>
      </w:r>
      <w:r>
        <w:t>'</w:t>
      </w:r>
      <w:r w:rsidRPr="00814024">
        <w:t xml:space="preserve"> opex is at a level that prevents them from providing services at an acceptable level of safety.</w:t>
      </w:r>
    </w:p>
    <w:p w:rsidR="00051BDB" w:rsidRDefault="00051BDB" w:rsidP="00051BDB">
      <w:pPr>
        <w:pStyle w:val="ListParagraph"/>
        <w:numPr>
          <w:ilvl w:val="0"/>
          <w:numId w:val="24"/>
        </w:numPr>
      </w:pPr>
      <w:bookmarkStart w:id="241" w:name="_Ref400698395"/>
      <w:r w:rsidRPr="00941384">
        <w:lastRenderedPageBreak/>
        <w:t>Based on the above evidence, we consider that the comparison firms operate safe networks at lower levels of opex, such that no OEF adjustment is necessary to account for safety.</w:t>
      </w:r>
    </w:p>
    <w:p w:rsidR="00051BDB" w:rsidRDefault="00051BDB" w:rsidP="00051BDB">
      <w:pPr>
        <w:pStyle w:val="HeadingBoldBlue"/>
        <w:numPr>
          <w:ilvl w:val="0"/>
          <w:numId w:val="24"/>
        </w:numPr>
      </w:pPr>
      <w:r>
        <w:t>Unregulated Services</w:t>
      </w:r>
    </w:p>
    <w:p w:rsidR="00051BDB" w:rsidRDefault="00051BDB" w:rsidP="00051BDB">
      <w:r>
        <w:t>We are not satisfied that an OEF adjustment for differences in the unregulated services that service providers engage in would meet the exogeneity OEF adjustment criterion. The extent to which a service provider engages in unregulated activities is under management's control.</w:t>
      </w:r>
    </w:p>
    <w:p w:rsidR="00051BDB" w:rsidRDefault="00051BDB" w:rsidP="00051BDB">
      <w:r>
        <w:t>In response to our 2014 draft decision for ActewAGL, Advisian submitted that ActewAGL will have a cost disadvantage relative to the comparison firms because of differences in the provision of unregulated activities.</w:t>
      </w:r>
      <w:r>
        <w:rPr>
          <w:rStyle w:val="FootnoteReference"/>
        </w:rPr>
        <w:footnoteReference w:id="694"/>
      </w:r>
      <w:r>
        <w:t xml:space="preserve"> Advisian submitted that </w:t>
      </w:r>
      <w:r w:rsidRPr="00B24952">
        <w:t>the volume or appetite for pursing unregulated revenue is fundamentally an internal</w:t>
      </w:r>
      <w:r>
        <w:t xml:space="preserve"> </w:t>
      </w:r>
      <w:r w:rsidRPr="00B24952">
        <w:t xml:space="preserve">matter for </w:t>
      </w:r>
      <w:r>
        <w:t>service providers'</w:t>
      </w:r>
      <w:r w:rsidRPr="00B24952">
        <w:t xml:space="preserve">, </w:t>
      </w:r>
      <w:r>
        <w:t>and therefore an OEF</w:t>
      </w:r>
      <w:r w:rsidRPr="00B24952">
        <w:t xml:space="preserve"> adjustment for the scale of</w:t>
      </w:r>
      <w:r>
        <w:t xml:space="preserve"> </w:t>
      </w:r>
      <w:r w:rsidRPr="00B24952">
        <w:t xml:space="preserve">unregulated activities is </w:t>
      </w:r>
      <w:r>
        <w:t>in</w:t>
      </w:r>
      <w:r w:rsidRPr="00B24952">
        <w:t>appropriate</w:t>
      </w:r>
      <w:r>
        <w:t>.</w:t>
      </w:r>
      <w:r w:rsidRPr="00B24952">
        <w:rPr>
          <w:rStyle w:val="FootnoteReference"/>
        </w:rPr>
        <w:t xml:space="preserve"> </w:t>
      </w:r>
      <w:r>
        <w:rPr>
          <w:rStyle w:val="FootnoteReference"/>
        </w:rPr>
        <w:footnoteReference w:id="695"/>
      </w:r>
      <w:r>
        <w:t xml:space="preserve"> However, Advisian submitted that ActewAGL is prevented from providing unregulated services because of its geographically isolated position. </w:t>
      </w:r>
    </w:p>
    <w:p w:rsidR="00051BDB" w:rsidRPr="00941384" w:rsidRDefault="00051BDB" w:rsidP="00051BDB">
      <w:pPr>
        <w:numPr>
          <w:ilvl w:val="0"/>
          <w:numId w:val="24"/>
        </w:numPr>
      </w:pPr>
      <w:r>
        <w:t>We are satisfied that there are opportunities for the NSW service providers to provide unregulated services. This is because they have large markets available to them. All of the NSW service providers have more customers than any of the comparison firms. As a result we consider that the NSW service providers have the opportunity to provide unregulated services. The extent to which they do provide unregulated services is a management decision.</w:t>
      </w:r>
    </w:p>
    <w:p w:rsidR="00051BDB" w:rsidRPr="00CD5D0F" w:rsidRDefault="00051BDB" w:rsidP="00051BDB">
      <w:pPr>
        <w:pStyle w:val="Heading9"/>
      </w:pPr>
      <w:bookmarkStart w:id="242" w:name="_Toc417719054"/>
      <w:r w:rsidRPr="00B7151E">
        <w:t>Geographic factors</w:t>
      </w:r>
      <w:bookmarkEnd w:id="241"/>
      <w:bookmarkEnd w:id="242"/>
    </w:p>
    <w:p w:rsidR="00051BDB" w:rsidRPr="00B7151E" w:rsidRDefault="00051BDB" w:rsidP="00051BDB">
      <w:pPr>
        <w:pStyle w:val="HeadingBoldBlue"/>
        <w:numPr>
          <w:ilvl w:val="0"/>
          <w:numId w:val="24"/>
        </w:numPr>
      </w:pPr>
      <w:r w:rsidRPr="00B7151E">
        <w:t>Bushfire risk</w:t>
      </w:r>
    </w:p>
    <w:p w:rsidR="00051BDB" w:rsidRPr="00E65047" w:rsidRDefault="00051BDB" w:rsidP="00051BDB">
      <w:pPr>
        <w:numPr>
          <w:ilvl w:val="0"/>
          <w:numId w:val="24"/>
        </w:numPr>
      </w:pPr>
      <w:r w:rsidRPr="00E65047">
        <w:t xml:space="preserve">We are </w:t>
      </w:r>
      <w:r>
        <w:t xml:space="preserve">not </w:t>
      </w:r>
      <w:r w:rsidRPr="00E65047">
        <w:t xml:space="preserve">satisfied that an </w:t>
      </w:r>
      <w:r>
        <w:t>OEF</w:t>
      </w:r>
      <w:r w:rsidRPr="00E65047">
        <w:t xml:space="preserve"> adjustment for </w:t>
      </w:r>
      <w:r>
        <w:t xml:space="preserve">differences in </w:t>
      </w:r>
      <w:r w:rsidRPr="00E65047">
        <w:t>bushfire risk</w:t>
      </w:r>
      <w:r>
        <w:t xml:space="preserve"> between the NSW service providers and the comparison firms</w:t>
      </w:r>
      <w:r w:rsidRPr="00E65047">
        <w:t xml:space="preserve"> </w:t>
      </w:r>
      <w:r>
        <w:t>would meet the materiality OEF adjustment criterion</w:t>
      </w:r>
      <w:r w:rsidRPr="00E65047">
        <w:t>.</w:t>
      </w:r>
      <w:r>
        <w:t xml:space="preserve"> Differences in bushfire risk between the NSW service providers and the comparison firms will not lead to material differences in opex. </w:t>
      </w:r>
      <w:r w:rsidRPr="00E65047">
        <w:t xml:space="preserve"> </w:t>
      </w:r>
    </w:p>
    <w:p w:rsidR="00051BDB" w:rsidRDefault="00051BDB" w:rsidP="00051BDB">
      <w:pPr>
        <w:numPr>
          <w:ilvl w:val="0"/>
          <w:numId w:val="24"/>
        </w:numPr>
      </w:pPr>
      <w:r>
        <w:t>In our draft decision, we provided a negative OEF adjustment for bushfire risk. This was for three reasons. Although s</w:t>
      </w:r>
      <w:r w:rsidRPr="00182966">
        <w:t xml:space="preserve">ervice providers can take action to manage their bushfire risk, the natural environment and regulations with which they must comply are beyond their control. </w:t>
      </w:r>
      <w:r>
        <w:t>In the aftermath</w:t>
      </w:r>
      <w:r w:rsidRPr="00182966">
        <w:t xml:space="preserve"> </w:t>
      </w:r>
      <w:r>
        <w:t xml:space="preserve">of the Black Saturday bushfires additional requirements were placed on the Victorian service providers which has led to an increase in the </w:t>
      </w:r>
      <w:r w:rsidRPr="00182966">
        <w:t>opex</w:t>
      </w:r>
      <w:r>
        <w:t xml:space="preserve"> they require</w:t>
      </w:r>
      <w:r w:rsidRPr="00182966">
        <w:t xml:space="preserve">. Also, bushfire risk is not accounted for in Economic Insights' </w:t>
      </w:r>
      <w:r>
        <w:t>SFA model</w:t>
      </w:r>
      <w:r w:rsidRPr="00182966">
        <w:t>.</w:t>
      </w:r>
    </w:p>
    <w:p w:rsidR="00051BDB" w:rsidRDefault="00051BDB" w:rsidP="00051BDB">
      <w:pPr>
        <w:numPr>
          <w:ilvl w:val="0"/>
          <w:numId w:val="24"/>
        </w:numPr>
      </w:pPr>
      <w:r>
        <w:lastRenderedPageBreak/>
        <w:t>In response to our draft decision we received submissions from Essential Energy</w:t>
      </w:r>
      <w:r>
        <w:rPr>
          <w:rStyle w:val="FootnoteReference"/>
        </w:rPr>
        <w:footnoteReference w:id="696"/>
      </w:r>
      <w:r>
        <w:t xml:space="preserve"> and Ergon Energy</w:t>
      </w:r>
      <w:r>
        <w:rPr>
          <w:rStyle w:val="FootnoteReference"/>
        </w:rPr>
        <w:footnoteReference w:id="697"/>
      </w:r>
      <w:r>
        <w:t xml:space="preserve"> on the effect of differences in bushfire regulations and bushfire risk on opex.</w:t>
      </w:r>
    </w:p>
    <w:p w:rsidR="00051BDB" w:rsidRDefault="00051BDB" w:rsidP="00051BDB">
      <w:pPr>
        <w:numPr>
          <w:ilvl w:val="0"/>
          <w:numId w:val="24"/>
        </w:numPr>
      </w:pPr>
      <w:r>
        <w:t>Essential Energy submitted that the vegetation management standard, an important driver of bushfire mitigation costs, in NSW is similar to the Victorian standard but more onerous than the Queensland standard.</w:t>
      </w:r>
      <w:r w:rsidRPr="00EC5A0E">
        <w:rPr>
          <w:rStyle w:val="FootnoteReference"/>
        </w:rPr>
        <w:t xml:space="preserve"> </w:t>
      </w:r>
      <w:r w:rsidRPr="00EC5A0E">
        <w:rPr>
          <w:rStyle w:val="FootnoteReference"/>
        </w:rPr>
        <w:footnoteReference w:id="698"/>
      </w:r>
      <w:r>
        <w:t xml:space="preserve"> Essential Energy also submitted that</w:t>
      </w:r>
      <w:r w:rsidRPr="00EC2F9C">
        <w:t xml:space="preserve"> </w:t>
      </w:r>
      <w:r>
        <w:t>although</w:t>
      </w:r>
      <w:r w:rsidRPr="00EC2F9C">
        <w:t xml:space="preserve"> it was not directly governed by the resulting Victorian legislation, it would be </w:t>
      </w:r>
      <w:r>
        <w:t>negligent for it to ignore the</w:t>
      </w:r>
      <w:r w:rsidRPr="00EC2F9C">
        <w:t xml:space="preserve"> findings </w:t>
      </w:r>
      <w:r>
        <w:t>of Victorian Bushfires Royal Commission (VBRC).</w:t>
      </w:r>
      <w:r w:rsidRPr="00EC5A0E">
        <w:rPr>
          <w:rStyle w:val="FootnoteReference"/>
        </w:rPr>
        <w:footnoteReference w:id="699"/>
      </w:r>
      <w:r w:rsidRPr="00EC2F9C">
        <w:t xml:space="preserve"> </w:t>
      </w:r>
      <w:r>
        <w:t xml:space="preserve">Essential </w:t>
      </w:r>
      <w:r w:rsidR="00A33E41">
        <w:t xml:space="preserve">Energy </w:t>
      </w:r>
      <w:r>
        <w:t>also submitted bushfire mapping to show that it operated in some areas of high bushfire risk.</w:t>
      </w:r>
      <w:r w:rsidRPr="00EC5A0E">
        <w:rPr>
          <w:rStyle w:val="FootnoteReference"/>
        </w:rPr>
        <w:t xml:space="preserve"> </w:t>
      </w:r>
      <w:r w:rsidRPr="00EC5A0E">
        <w:rPr>
          <w:rStyle w:val="FootnoteReference"/>
        </w:rPr>
        <w:footnoteReference w:id="700"/>
      </w:r>
    </w:p>
    <w:p w:rsidR="00051BDB" w:rsidRDefault="00051BDB" w:rsidP="00051BDB">
      <w:pPr>
        <w:numPr>
          <w:ilvl w:val="0"/>
          <w:numId w:val="24"/>
        </w:numPr>
      </w:pPr>
      <w:r>
        <w:t>Ergon Energy submitted that the AER should consider if the additional bushfire risk mitigation measures put in place were to increase the prudency of the Victorian service providers' expenditures. It also noted that because regulations exist in the context of broader obligations it is difficult to quantify the cost impact of changes in obligations.</w:t>
      </w:r>
      <w:r>
        <w:rPr>
          <w:rStyle w:val="FootnoteReference"/>
        </w:rPr>
        <w:footnoteReference w:id="701"/>
      </w:r>
    </w:p>
    <w:p w:rsidR="00051BDB" w:rsidRDefault="00051BDB" w:rsidP="00051BDB">
      <w:pPr>
        <w:numPr>
          <w:ilvl w:val="0"/>
          <w:numId w:val="24"/>
        </w:numPr>
      </w:pPr>
      <w:r w:rsidRPr="00EC5A0E">
        <w:t xml:space="preserve">Essential, Endeavour, and Ausgrid all raised </w:t>
      </w:r>
      <w:r>
        <w:t xml:space="preserve">the safety implications of </w:t>
      </w:r>
      <w:r w:rsidRPr="00EC5A0E">
        <w:t>bushfire risk in their revised regulatory proposals.</w:t>
      </w:r>
      <w:r w:rsidRPr="00EC5A0E">
        <w:rPr>
          <w:rStyle w:val="FootnoteReference"/>
        </w:rPr>
        <w:footnoteReference w:id="702"/>
      </w:r>
      <w:r w:rsidRPr="00EC5A0E">
        <w:t xml:space="preserve"> </w:t>
      </w:r>
      <w:r w:rsidRPr="00EC5A0E">
        <w:rPr>
          <w:rStyle w:val="FootnoteReference"/>
        </w:rPr>
        <w:footnoteReference w:id="703"/>
      </w:r>
      <w:r w:rsidRPr="00EC5A0E">
        <w:t xml:space="preserve"> </w:t>
      </w:r>
      <w:r w:rsidRPr="00EC5A0E">
        <w:rPr>
          <w:rStyle w:val="FootnoteReference"/>
        </w:rPr>
        <w:footnoteReference w:id="704"/>
      </w:r>
      <w:r>
        <w:t xml:space="preserve"> The safety outcomes for the comparison firms and the NSW service providers are considered under safety outcomes in the endogenous factors section above. We consider the effect of bushfire risk and regulations on opex below.</w:t>
      </w:r>
    </w:p>
    <w:p w:rsidR="00051BDB" w:rsidRDefault="00051BDB" w:rsidP="00051BDB">
      <w:pPr>
        <w:pStyle w:val="HeadingBoldItalic"/>
      </w:pPr>
      <w:r>
        <w:t>Environmental risk</w:t>
      </w:r>
    </w:p>
    <w:p w:rsidR="00051BDB" w:rsidRPr="0033444D" w:rsidRDefault="00051BDB" w:rsidP="00051BDB">
      <w:pPr>
        <w:numPr>
          <w:ilvl w:val="0"/>
          <w:numId w:val="24"/>
        </w:numPr>
      </w:pPr>
      <w:r>
        <w:t xml:space="preserve">We are still satisfied that the Victorian service providers face a higher level of bushfire risk than the NSW service providers. This is based on the evidence presented in our draft decision, data from the Bureau of Transport Economics, mapping provided by Essential Energy, and statements made by Essential Energy on the bushfire risk faced by Victorian service providers. </w:t>
      </w:r>
    </w:p>
    <w:p w:rsidR="00051BDB" w:rsidRDefault="00051BDB" w:rsidP="00051BDB">
      <w:r>
        <w:t>Data collected by the Bureau of Transport Economics shows that on average over the period 1967 to 1999 bushfires caused more economic losses in Victoria than in NSW.</w:t>
      </w:r>
    </w:p>
    <w:p w:rsidR="00051BDB" w:rsidRPr="00B7151E" w:rsidRDefault="00110327" w:rsidP="00051BDB">
      <w:pPr>
        <w:pStyle w:val="Caption"/>
      </w:pPr>
      <w:r>
        <w:lastRenderedPageBreak/>
        <w:t xml:space="preserve">Table </w:t>
      </w:r>
      <w:fldSimple w:instr=" STYLEREF 7 \s ">
        <w:r w:rsidR="00CF2125">
          <w:rPr>
            <w:noProof/>
          </w:rPr>
          <w:t>A</w:t>
        </w:r>
      </w:fldSimple>
      <w:r w:rsidR="00CF2125">
        <w:t>.</w:t>
      </w:r>
      <w:fldSimple w:instr=" SEQ ATable \* ARABIC \s 7 ">
        <w:r w:rsidR="00CF2125">
          <w:rPr>
            <w:noProof/>
          </w:rPr>
          <w:t>10</w:t>
        </w:r>
      </w:fldSimple>
      <w:r w:rsidR="00051BDB">
        <w:tab/>
        <w:t>Past</w:t>
      </w:r>
      <w:r w:rsidR="00051BDB" w:rsidRPr="00B7151E">
        <w:t xml:space="preserve"> cost of bushfires </w:t>
      </w:r>
      <w:r w:rsidR="00051BDB">
        <w:t>1967-1999</w:t>
      </w:r>
    </w:p>
    <w:tbl>
      <w:tblPr>
        <w:tblStyle w:val="AERtable-numbers"/>
        <w:tblW w:w="5591" w:type="pct"/>
        <w:tblLayout w:type="fixed"/>
        <w:tblLook w:val="04A0" w:firstRow="1" w:lastRow="0" w:firstColumn="1" w:lastColumn="0" w:noHBand="0" w:noVBand="1"/>
      </w:tblPr>
      <w:tblGrid>
        <w:gridCol w:w="2524"/>
        <w:gridCol w:w="1133"/>
        <w:gridCol w:w="1130"/>
        <w:gridCol w:w="1415"/>
        <w:gridCol w:w="1176"/>
        <w:gridCol w:w="1176"/>
        <w:gridCol w:w="1167"/>
      </w:tblGrid>
      <w:tr w:rsidR="00051BDB" w:rsidRPr="0029153F" w:rsidTr="00051BD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051BDB" w:rsidRPr="00051BDB" w:rsidRDefault="00051BDB" w:rsidP="00051BDB">
            <w:pPr>
              <w:pStyle w:val="AERtabletextleft"/>
            </w:pPr>
            <w:r w:rsidRPr="00E65047">
              <w:t xml:space="preserve"> </w:t>
            </w:r>
          </w:p>
        </w:tc>
        <w:tc>
          <w:tcPr>
            <w:tcW w:w="583" w:type="pct"/>
            <w:noWrap/>
            <w:vAlign w:val="top"/>
            <w:hideMark/>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E65047">
              <w:t>ACT</w:t>
            </w:r>
          </w:p>
        </w:tc>
        <w:tc>
          <w:tcPr>
            <w:tcW w:w="581" w:type="pct"/>
            <w:noWrap/>
            <w:vAlign w:val="top"/>
            <w:hideMark/>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E65047">
              <w:t>New South Wales</w:t>
            </w:r>
          </w:p>
        </w:tc>
        <w:tc>
          <w:tcPr>
            <w:tcW w:w="728" w:type="pct"/>
            <w:noWrap/>
            <w:vAlign w:val="top"/>
            <w:hideMark/>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E65047">
              <w:t>Queensland</w:t>
            </w:r>
          </w:p>
        </w:tc>
        <w:tc>
          <w:tcPr>
            <w:tcW w:w="605" w:type="pct"/>
            <w:noWrap/>
            <w:vAlign w:val="top"/>
            <w:hideMark/>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E65047">
              <w:t>South Australia</w:t>
            </w:r>
          </w:p>
        </w:tc>
        <w:tc>
          <w:tcPr>
            <w:tcW w:w="605" w:type="pct"/>
            <w:noWrap/>
            <w:vAlign w:val="top"/>
            <w:hideMark/>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E65047">
              <w:t>Tasmania</w:t>
            </w:r>
          </w:p>
        </w:tc>
        <w:tc>
          <w:tcPr>
            <w:tcW w:w="601" w:type="pct"/>
            <w:noWrap/>
            <w:vAlign w:val="top"/>
            <w:hideMark/>
          </w:tcPr>
          <w:p w:rsidR="00051BDB" w:rsidRPr="00051BDB"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E65047">
              <w:t>Victoria</w:t>
            </w:r>
          </w:p>
        </w:tc>
      </w:tr>
      <w:tr w:rsidR="00051BDB" w:rsidRPr="0029153F" w:rsidTr="00051BDB">
        <w:trPr>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051BDB" w:rsidRPr="00051BDB" w:rsidRDefault="00051BDB" w:rsidP="00051BDB">
            <w:pPr>
              <w:pStyle w:val="AERtabletextleft"/>
            </w:pPr>
            <w:r w:rsidRPr="00E65047">
              <w:t xml:space="preserve">GSP </w:t>
            </w:r>
            <w:r w:rsidRPr="00051BDB">
              <w:t>2012/13 ($m 2013)</w:t>
            </w:r>
          </w:p>
        </w:tc>
        <w:tc>
          <w:tcPr>
            <w:tcW w:w="583"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E65047">
              <w:t>35 088</w:t>
            </w:r>
          </w:p>
        </w:tc>
        <w:tc>
          <w:tcPr>
            <w:tcW w:w="581"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E65047">
              <w:t>476 434</w:t>
            </w:r>
          </w:p>
        </w:tc>
        <w:tc>
          <w:tcPr>
            <w:tcW w:w="728"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E65047">
              <w:t>290 158</w:t>
            </w:r>
          </w:p>
        </w:tc>
        <w:tc>
          <w:tcPr>
            <w:tcW w:w="605"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E65047">
              <w:t>95 123</w:t>
            </w:r>
          </w:p>
        </w:tc>
        <w:tc>
          <w:tcPr>
            <w:tcW w:w="605"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E65047">
              <w:t>24 360</w:t>
            </w:r>
          </w:p>
        </w:tc>
        <w:tc>
          <w:tcPr>
            <w:tcW w:w="601"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E65047">
              <w:t>337 493</w:t>
            </w:r>
          </w:p>
        </w:tc>
      </w:tr>
      <w:tr w:rsidR="00051BDB" w:rsidRPr="0029153F" w:rsidTr="00051BDB">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051BDB" w:rsidRPr="00051BDB" w:rsidRDefault="00051BDB" w:rsidP="00051BDB">
            <w:pPr>
              <w:pStyle w:val="AERtabletextleft"/>
            </w:pPr>
            <w:r>
              <w:t>Average</w:t>
            </w:r>
            <w:r w:rsidRPr="00051BDB">
              <w:t xml:space="preserve"> cost of bushfires 1967-1999 ($m 2013)</w:t>
            </w:r>
          </w:p>
        </w:tc>
        <w:tc>
          <w:tcPr>
            <w:tcW w:w="583" w:type="pct"/>
            <w:noWrap/>
            <w:vAlign w:val="top"/>
            <w:hideMark/>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10.9</w:t>
            </w:r>
            <w:r w:rsidRPr="00051BDB">
              <w:rPr>
                <w:rStyle w:val="FootnoteReference"/>
              </w:rPr>
              <w:footnoteReference w:id="705"/>
            </w:r>
          </w:p>
        </w:tc>
        <w:tc>
          <w:tcPr>
            <w:tcW w:w="581" w:type="pct"/>
            <w:noWrap/>
            <w:vAlign w:val="top"/>
            <w:hideMark/>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16.8</w:t>
            </w:r>
          </w:p>
        </w:tc>
        <w:tc>
          <w:tcPr>
            <w:tcW w:w="728" w:type="pct"/>
            <w:noWrap/>
            <w:vAlign w:val="top"/>
            <w:hideMark/>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0.4</w:t>
            </w:r>
          </w:p>
        </w:tc>
        <w:tc>
          <w:tcPr>
            <w:tcW w:w="605" w:type="pct"/>
            <w:noWrap/>
            <w:vAlign w:val="top"/>
            <w:hideMark/>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11.9</w:t>
            </w:r>
          </w:p>
        </w:tc>
        <w:tc>
          <w:tcPr>
            <w:tcW w:w="605" w:type="pct"/>
            <w:noWrap/>
            <w:vAlign w:val="top"/>
            <w:hideMark/>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11.2</w:t>
            </w:r>
          </w:p>
        </w:tc>
        <w:tc>
          <w:tcPr>
            <w:tcW w:w="601" w:type="pct"/>
            <w:noWrap/>
            <w:vAlign w:val="top"/>
            <w:hideMark/>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32.4</w:t>
            </w:r>
          </w:p>
        </w:tc>
      </w:tr>
      <w:tr w:rsidR="00051BDB" w:rsidRPr="0029153F" w:rsidTr="00051BDB">
        <w:trPr>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051BDB" w:rsidRPr="00051BDB" w:rsidRDefault="00051BDB" w:rsidP="00051BDB">
            <w:pPr>
              <w:pStyle w:val="AERtabletextleft"/>
            </w:pPr>
            <w:r w:rsidRPr="00E65047">
              <w:t>% of GSP</w:t>
            </w:r>
          </w:p>
        </w:tc>
        <w:tc>
          <w:tcPr>
            <w:tcW w:w="583"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w:t>
            </w:r>
            <w:r w:rsidRPr="00051BDB">
              <w:t>03%</w:t>
            </w:r>
          </w:p>
        </w:tc>
        <w:tc>
          <w:tcPr>
            <w:tcW w:w="581"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0.0</w:t>
            </w:r>
            <w:r w:rsidRPr="00051BDB">
              <w:t>0%</w:t>
            </w:r>
          </w:p>
        </w:tc>
        <w:tc>
          <w:tcPr>
            <w:tcW w:w="728"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E65047">
              <w:t>0.00%</w:t>
            </w:r>
          </w:p>
        </w:tc>
        <w:tc>
          <w:tcPr>
            <w:tcW w:w="605"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0.0</w:t>
            </w:r>
            <w:r w:rsidRPr="00051BDB">
              <w:t>1%</w:t>
            </w:r>
          </w:p>
        </w:tc>
        <w:tc>
          <w:tcPr>
            <w:tcW w:w="605"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w:t>
            </w:r>
            <w:r w:rsidRPr="00051BDB">
              <w:t>05%</w:t>
            </w:r>
          </w:p>
        </w:tc>
        <w:tc>
          <w:tcPr>
            <w:tcW w:w="601" w:type="pct"/>
            <w:noWrap/>
            <w:vAlign w:val="top"/>
            <w:hideMark/>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t>0.0</w:t>
            </w:r>
            <w:r w:rsidRPr="00051BDB">
              <w:t>1%</w:t>
            </w:r>
          </w:p>
        </w:tc>
      </w:tr>
    </w:tbl>
    <w:p w:rsidR="00051BDB" w:rsidRPr="00B7151E" w:rsidRDefault="00051BDB" w:rsidP="00051BDB">
      <w:pPr>
        <w:pStyle w:val="AERtablesource"/>
        <w:numPr>
          <w:ilvl w:val="0"/>
          <w:numId w:val="24"/>
        </w:numPr>
      </w:pPr>
      <w:r w:rsidRPr="00B7151E">
        <w:t>Source: BTE</w:t>
      </w:r>
      <w:r w:rsidRPr="00B7151E">
        <w:rPr>
          <w:rStyle w:val="FootnoteReference"/>
        </w:rPr>
        <w:footnoteReference w:id="706"/>
      </w:r>
      <w:r w:rsidRPr="00B7151E">
        <w:t xml:space="preserve"> and ABS</w:t>
      </w:r>
      <w:r w:rsidRPr="00B7151E">
        <w:rPr>
          <w:rStyle w:val="FootnoteReference"/>
        </w:rPr>
        <w:footnoteReference w:id="707"/>
      </w:r>
      <w:r w:rsidRPr="00B7151E">
        <w:t xml:space="preserve"> </w:t>
      </w:r>
      <w:r w:rsidRPr="00B7151E">
        <w:rPr>
          <w:rStyle w:val="FootnoteReference"/>
        </w:rPr>
        <w:footnoteReference w:id="708"/>
      </w:r>
      <w:r w:rsidRPr="00B7151E">
        <w:t xml:space="preserve"> </w:t>
      </w:r>
      <w:r w:rsidRPr="00B7151E">
        <w:rPr>
          <w:rStyle w:val="FootnoteReference"/>
        </w:rPr>
        <w:footnoteReference w:id="709"/>
      </w:r>
    </w:p>
    <w:p w:rsidR="00051BDB" w:rsidRDefault="00051BDB" w:rsidP="00051BDB">
      <w:r>
        <w:t xml:space="preserve">In its revised proposal Essential Energy provided two bushfire risk maps. Both maps show that most of Victoria is at high risk due to bushfires. These two maps are shown in </w:t>
      </w:r>
      <w:r w:rsidR="008E1562">
        <w:fldChar w:fldCharType="begin"/>
      </w:r>
      <w:r w:rsidR="008E1562">
        <w:instrText xml:space="preserve"> REF _Ref417641599 \h </w:instrText>
      </w:r>
      <w:r w:rsidR="008E1562">
        <w:fldChar w:fldCharType="separate"/>
      </w:r>
      <w:r w:rsidR="00C74791">
        <w:t xml:space="preserve">Figure </w:t>
      </w:r>
      <w:r w:rsidR="00C74791">
        <w:rPr>
          <w:noProof/>
        </w:rPr>
        <w:t>A</w:t>
      </w:r>
      <w:r w:rsidR="00C74791">
        <w:t>.</w:t>
      </w:r>
      <w:r w:rsidR="00C74791">
        <w:rPr>
          <w:noProof/>
        </w:rPr>
        <w:t>22</w:t>
      </w:r>
      <w:r w:rsidR="008E1562">
        <w:fldChar w:fldCharType="end"/>
      </w:r>
      <w:r w:rsidR="008E1562">
        <w:t xml:space="preserve"> and </w:t>
      </w:r>
      <w:r w:rsidR="008E1562">
        <w:fldChar w:fldCharType="begin"/>
      </w:r>
      <w:r w:rsidR="008E1562">
        <w:instrText xml:space="preserve"> REF _Ref417641603 \h </w:instrText>
      </w:r>
      <w:r w:rsidR="008E1562">
        <w:fldChar w:fldCharType="separate"/>
      </w:r>
      <w:r w:rsidR="00C74791">
        <w:t xml:space="preserve">Figure </w:t>
      </w:r>
      <w:r w:rsidR="00C74791">
        <w:rPr>
          <w:noProof/>
        </w:rPr>
        <w:t>A</w:t>
      </w:r>
      <w:r w:rsidR="00C74791">
        <w:t>.</w:t>
      </w:r>
      <w:r w:rsidR="00C74791">
        <w:rPr>
          <w:noProof/>
        </w:rPr>
        <w:t>23</w:t>
      </w:r>
      <w:r w:rsidR="008E1562">
        <w:fldChar w:fldCharType="end"/>
      </w:r>
      <w:r w:rsidR="008E1562">
        <w:t xml:space="preserve"> </w:t>
      </w:r>
      <w:r>
        <w:t>below.</w:t>
      </w:r>
    </w:p>
    <w:p w:rsidR="00051BDB" w:rsidRDefault="008E1562" w:rsidP="008E1562">
      <w:pPr>
        <w:pStyle w:val="Caption"/>
      </w:pPr>
      <w:bookmarkStart w:id="243" w:name="_Ref417641599"/>
      <w:r>
        <w:t xml:space="preserve">Figure </w:t>
      </w:r>
      <w:fldSimple w:instr=" STYLEREF 7 \s ">
        <w:r w:rsidR="00C74791">
          <w:rPr>
            <w:noProof/>
          </w:rPr>
          <w:t>A</w:t>
        </w:r>
      </w:fldSimple>
      <w:r w:rsidR="00A409CB">
        <w:t>.</w:t>
      </w:r>
      <w:fldSimple w:instr=" SEQ AFigure \* ARABIC \s 7 ">
        <w:r w:rsidR="00C74791">
          <w:rPr>
            <w:noProof/>
          </w:rPr>
          <w:t>22</w:t>
        </w:r>
      </w:fldSimple>
      <w:bookmarkEnd w:id="243"/>
      <w:r w:rsidR="00051BDB">
        <w:tab/>
        <w:t>Map of potential fire intensity</w:t>
      </w:r>
    </w:p>
    <w:p w:rsidR="00051BDB" w:rsidRDefault="00051BDB" w:rsidP="00051BDB">
      <w:r w:rsidRPr="00051BDB">
        <w:rPr>
          <w:noProof/>
          <w:lang w:eastAsia="en-AU"/>
        </w:rPr>
        <w:drawing>
          <wp:inline distT="0" distB="0" distL="0" distR="0" wp14:anchorId="5C99DF51" wp14:editId="16190BCF">
            <wp:extent cx="4051257" cy="3476847"/>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60845" cy="3485076"/>
                    </a:xfrm>
                    <a:prstGeom prst="rect">
                      <a:avLst/>
                    </a:prstGeom>
                  </pic:spPr>
                </pic:pic>
              </a:graphicData>
            </a:graphic>
          </wp:inline>
        </w:drawing>
      </w:r>
    </w:p>
    <w:p w:rsidR="00051BDB" w:rsidRDefault="00051BDB" w:rsidP="00051BDB">
      <w:pPr>
        <w:pStyle w:val="Source"/>
      </w:pPr>
      <w:r>
        <w:t>Source: Dr Kevin Tolhurst</w:t>
      </w:r>
      <w:r>
        <w:rPr>
          <w:rStyle w:val="FootnoteReference"/>
        </w:rPr>
        <w:footnoteReference w:id="710"/>
      </w:r>
    </w:p>
    <w:p w:rsidR="00051BDB" w:rsidRPr="00B06E1A" w:rsidRDefault="008E1562" w:rsidP="008E1562">
      <w:pPr>
        <w:pStyle w:val="Caption"/>
      </w:pPr>
      <w:bookmarkStart w:id="244" w:name="_Ref417641603"/>
      <w:r>
        <w:lastRenderedPageBreak/>
        <w:t xml:space="preserve">Figure </w:t>
      </w:r>
      <w:fldSimple w:instr=" STYLEREF 7 \s ">
        <w:r w:rsidR="00C74791">
          <w:rPr>
            <w:noProof/>
          </w:rPr>
          <w:t>A</w:t>
        </w:r>
      </w:fldSimple>
      <w:r w:rsidR="00A409CB">
        <w:t>.</w:t>
      </w:r>
      <w:fldSimple w:instr=" SEQ AFigure \* ARABIC \s 7 ">
        <w:r w:rsidR="00C74791">
          <w:rPr>
            <w:noProof/>
          </w:rPr>
          <w:t>23</w:t>
        </w:r>
      </w:fldSimple>
      <w:bookmarkEnd w:id="244"/>
      <w:r w:rsidR="00051BDB">
        <w:tab/>
      </w:r>
      <w:r w:rsidR="00051BDB" w:rsidRPr="00B06E1A">
        <w:t>Map of bushfire potential zones in Australia</w:t>
      </w:r>
    </w:p>
    <w:p w:rsidR="00051BDB" w:rsidRPr="00B06E1A" w:rsidRDefault="00051BDB" w:rsidP="00051BDB">
      <w:r w:rsidRPr="00051BDB">
        <w:rPr>
          <w:noProof/>
          <w:lang w:eastAsia="en-AU"/>
        </w:rPr>
        <w:drawing>
          <wp:inline distT="0" distB="0" distL="0" distR="0" wp14:anchorId="59E6AE75" wp14:editId="01BFA96E">
            <wp:extent cx="3511305" cy="2945219"/>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19629" cy="2952201"/>
                    </a:xfrm>
                    <a:prstGeom prst="rect">
                      <a:avLst/>
                    </a:prstGeom>
                  </pic:spPr>
                </pic:pic>
              </a:graphicData>
            </a:graphic>
          </wp:inline>
        </w:drawing>
      </w:r>
    </w:p>
    <w:p w:rsidR="00051BDB" w:rsidRDefault="00051BDB" w:rsidP="00051BDB">
      <w:pPr>
        <w:pStyle w:val="Source"/>
      </w:pPr>
      <w:r w:rsidRPr="00B06E1A">
        <w:t xml:space="preserve">Source: Johnson, R. W., Blong R. J. and Ryan C.J. </w:t>
      </w:r>
      <w:r w:rsidRPr="00B06E1A">
        <w:rPr>
          <w:rStyle w:val="FootnoteReference"/>
        </w:rPr>
        <w:footnoteReference w:id="711"/>
      </w:r>
    </w:p>
    <w:p w:rsidR="00051BDB" w:rsidRDefault="00051BDB" w:rsidP="00051BDB">
      <w:r>
        <w:t>Additionally Essential Energy has stated:</w:t>
      </w:r>
    </w:p>
    <w:p w:rsidR="00051BDB" w:rsidRDefault="00051BDB" w:rsidP="00051BDB">
      <w:r>
        <w:t>"</w:t>
      </w:r>
      <w:r w:rsidRPr="006066E9">
        <w:t xml:space="preserve"> South-eastern Australia contains large areas of relatively high bushfire risk with historically, the likelihood and consequence of catastrophic fires being more prominent in Victoria in comparison to other states.</w:t>
      </w:r>
      <w:r>
        <w:t>"</w:t>
      </w:r>
      <w:r>
        <w:rPr>
          <w:rStyle w:val="FootnoteReference"/>
        </w:rPr>
        <w:footnoteReference w:id="712"/>
      </w:r>
    </w:p>
    <w:p w:rsidR="00051BDB" w:rsidRDefault="00051BDB" w:rsidP="00051BDB">
      <w:pPr>
        <w:pStyle w:val="HeadingBoldItalic"/>
      </w:pPr>
      <w:r>
        <w:t>Bushfire related regulatory requirements</w:t>
      </w:r>
    </w:p>
    <w:p w:rsidR="00051BDB" w:rsidRDefault="00051BDB" w:rsidP="00051BDB">
      <w:r>
        <w:t>Another indicator of bushfire risk is the bushfire related regulations that apply to a service provider. The regulations that a service provider must comply with are a direct imposition on a service provider's costs. The regulations related to mitigating bushfire risk were more stringent in Victoria than in NSW during the benchmarking period. There were increased regulatory obligations placed on the Victorian service providers after the Black Saturday bushfires which occurred in 2009. Also, during the benchmarking period, vegetation management regulations were stricter for Victorian service providers than for the NSW service providers.</w:t>
      </w:r>
    </w:p>
    <w:p w:rsidR="00051BDB" w:rsidRDefault="00051BDB" w:rsidP="00051BDB">
      <w:r>
        <w:t xml:space="preserve">In the aftermath of the Black Saturday bushfires many changes were </w:t>
      </w:r>
      <w:r w:rsidRPr="00E65047">
        <w:t>recommended to the operation and management of the Victorian distribution system</w:t>
      </w:r>
      <w:r>
        <w:t>s</w:t>
      </w:r>
      <w:r w:rsidRPr="00E65047">
        <w:t xml:space="preserve">. These obligations do not exist in </w:t>
      </w:r>
      <w:r>
        <w:t>NSW and include:</w:t>
      </w:r>
      <w:r w:rsidRPr="00D67CFD">
        <w:t xml:space="preserve"> </w:t>
      </w:r>
    </w:p>
    <w:p w:rsidR="00051BDB" w:rsidRDefault="00051BDB" w:rsidP="00051BDB">
      <w:pPr>
        <w:pStyle w:val="AERbulletlistfirststyle"/>
      </w:pPr>
      <w:r>
        <w:lastRenderedPageBreak/>
        <w:t>Changes to the Electric Line Clearance Regulations leading to a forecast step change in opex of $205 million ($2010) over the 2011 to 2015 period</w:t>
      </w:r>
      <w:r>
        <w:rPr>
          <w:rStyle w:val="FootnoteReference"/>
        </w:rPr>
        <w:footnoteReference w:id="713"/>
      </w:r>
      <w:r>
        <w:t xml:space="preserve"> </w:t>
      </w:r>
      <w:r>
        <w:rPr>
          <w:rStyle w:val="FootnoteReference"/>
        </w:rPr>
        <w:footnoteReference w:id="714"/>
      </w:r>
    </w:p>
    <w:p w:rsidR="00051BDB" w:rsidRDefault="00051BDB" w:rsidP="00051BDB">
      <w:pPr>
        <w:pStyle w:val="AERbulletlistfirststyle"/>
      </w:pPr>
      <w:r>
        <w:t>Audit programs for line spreaders</w:t>
      </w:r>
      <w:r>
        <w:rPr>
          <w:rStyle w:val="FootnoteReference"/>
        </w:rPr>
        <w:footnoteReference w:id="715"/>
      </w:r>
    </w:p>
    <w:p w:rsidR="00051BDB" w:rsidRDefault="00051BDB" w:rsidP="00051BDB">
      <w:pPr>
        <w:pStyle w:val="AERbulletlistfirststyle"/>
      </w:pPr>
      <w:r>
        <w:t>Audit programs for vibration dampeners</w:t>
      </w:r>
      <w:r>
        <w:rPr>
          <w:rStyle w:val="FootnoteReference"/>
        </w:rPr>
        <w:footnoteReference w:id="716"/>
      </w:r>
    </w:p>
    <w:p w:rsidR="00051BDB" w:rsidRDefault="00051BDB" w:rsidP="00051BDB">
      <w:pPr>
        <w:pStyle w:val="AERbulletlistfirststyle"/>
      </w:pPr>
      <w:r>
        <w:t xml:space="preserve">Increased </w:t>
      </w:r>
      <w:r w:rsidRPr="00D67CFD">
        <w:t xml:space="preserve">asset inspection </w:t>
      </w:r>
      <w:r>
        <w:t>frequencies</w:t>
      </w:r>
      <w:r w:rsidRPr="00D67CFD">
        <w:t>,</w:t>
      </w:r>
      <w:r>
        <w:rPr>
          <w:rStyle w:val="FootnoteReference"/>
        </w:rPr>
        <w:footnoteReference w:id="717"/>
      </w:r>
      <w:r w:rsidRPr="00D67CFD">
        <w:t xml:space="preserve"> </w:t>
      </w:r>
      <w:r>
        <w:t>and</w:t>
      </w:r>
    </w:p>
    <w:p w:rsidR="00051BDB" w:rsidRDefault="00051BDB" w:rsidP="00051BDB">
      <w:pPr>
        <w:pStyle w:val="AERbulletlistfirststyle"/>
      </w:pPr>
      <w:r>
        <w:t xml:space="preserve">Audits of </w:t>
      </w:r>
      <w:r w:rsidRPr="00D67CFD">
        <w:t>asset inspect</w:t>
      </w:r>
      <w:r>
        <w:t>ors.</w:t>
      </w:r>
      <w:r>
        <w:rPr>
          <w:rStyle w:val="FootnoteReference"/>
        </w:rPr>
        <w:footnoteReference w:id="718"/>
      </w:r>
      <w:r w:rsidRPr="00D67CFD">
        <w:t xml:space="preserve"> </w:t>
      </w:r>
    </w:p>
    <w:p w:rsidR="00051BDB" w:rsidRDefault="00051BDB" w:rsidP="00051BDB">
      <w:r>
        <w:t>The largest part of these step changes in opex were related to changes in the Victorian Electric Line Clearance obligations. The Victorian regulations set out clearance distances that must be observed, except where otherwise approved by the Victorian safety regulator, Energy Safe Victoria (ESV). On the other hand the NSW regulations allow the NSW service providers some discretion on the clearances they observe.</w:t>
      </w:r>
    </w:p>
    <w:p w:rsidR="00051BDB" w:rsidRDefault="00051BDB" w:rsidP="00051BDB">
      <w:r>
        <w:t>The</w:t>
      </w:r>
      <w:r w:rsidRPr="00E65047">
        <w:t xml:space="preserve"> Victorian </w:t>
      </w:r>
      <w:r w:rsidRPr="00E65047">
        <w:rPr>
          <w:rStyle w:val="AERtextitalic"/>
        </w:rPr>
        <w:t>Electricity Safety (Electric Line Clearance) Regulations 2010</w:t>
      </w:r>
      <w:r>
        <w:rPr>
          <w:rStyle w:val="AERtextitalic"/>
        </w:rPr>
        <w:t xml:space="preserve"> </w:t>
      </w:r>
      <w:r w:rsidRPr="007F6328">
        <w:t xml:space="preserve">and </w:t>
      </w:r>
      <w:r>
        <w:rPr>
          <w:rStyle w:val="AERtextitalic"/>
        </w:rPr>
        <w:t>2005,</w:t>
      </w:r>
      <w:r w:rsidRPr="00E65047">
        <w:t xml:space="preserve"> prescribe (among other things) minimum clearance spaces for power lines that become progressively stricter in areas of higher bushfire risk.</w:t>
      </w:r>
      <w:r w:rsidRPr="00E65047">
        <w:rPr>
          <w:rStyle w:val="FootnoteReference"/>
        </w:rPr>
        <w:footnoteReference w:id="719"/>
      </w:r>
      <w:r>
        <w:t xml:space="preserve"> Under the </w:t>
      </w:r>
      <w:r w:rsidRPr="00E65047">
        <w:rPr>
          <w:rStyle w:val="AERtextitalic"/>
        </w:rPr>
        <w:t xml:space="preserve">Electricity Safety (Electric Line Clearance) Regulations </w:t>
      </w:r>
      <w:r>
        <w:t>the Victorian service providers are able to ask for exemptions from the regulations, where they can demonstrate to ESV that appropriate risk mitigation is in place, under regulation 10. Many of these exemptions were removed after the Black Saturday bushfires and have led to an increase in costs for the Victorian service providers.</w:t>
      </w:r>
      <w:r>
        <w:rPr>
          <w:rStyle w:val="FootnoteReference"/>
        </w:rPr>
        <w:footnoteReference w:id="720"/>
      </w:r>
      <w:r>
        <w:t xml:space="preserve"> </w:t>
      </w:r>
      <w:r>
        <w:rPr>
          <w:rStyle w:val="FootnoteReference"/>
        </w:rPr>
        <w:footnoteReference w:id="721"/>
      </w:r>
      <w:r>
        <w:t xml:space="preserve"> </w:t>
      </w:r>
      <w:r>
        <w:rPr>
          <w:rStyle w:val="FootnoteReference"/>
        </w:rPr>
        <w:footnoteReference w:id="722"/>
      </w:r>
      <w:r>
        <w:t xml:space="preserve"> </w:t>
      </w:r>
      <w:r>
        <w:rPr>
          <w:rStyle w:val="FootnoteReference"/>
        </w:rPr>
        <w:footnoteReference w:id="723"/>
      </w:r>
      <w:r>
        <w:t xml:space="preserve"> We do note that the Victorian service providers have been provided with some temporary exemptions while they transition to compliance with the new requirements.</w:t>
      </w:r>
      <w:r>
        <w:rPr>
          <w:rStyle w:val="FootnoteReference"/>
        </w:rPr>
        <w:footnoteReference w:id="724"/>
      </w:r>
    </w:p>
    <w:p w:rsidR="00051BDB" w:rsidRPr="005926F1" w:rsidRDefault="00051BDB" w:rsidP="00051BDB">
      <w:r w:rsidRPr="000A6533">
        <w:t xml:space="preserve">The NSW </w:t>
      </w:r>
      <w:r w:rsidRPr="000A6533">
        <w:rPr>
          <w:rStyle w:val="AERtextitalic"/>
        </w:rPr>
        <w:t>Electricity Supply (Safety and Network Management) Regulation 2014, 2008 and 2002</w:t>
      </w:r>
      <w:r w:rsidRPr="000A6533">
        <w:t xml:space="preserve"> set out the statutory objectives for the NSW service providers relating to vegetation clearance and bushfire risk. The regulations require the NSW service </w:t>
      </w:r>
      <w:r w:rsidRPr="000A6533">
        <w:lastRenderedPageBreak/>
        <w:t>providers to prepare a safety management system. Part of this plan relates to vegetation management. The NSW regulations however do not mandate minimum vegetation clearance distances.</w:t>
      </w:r>
      <w:r w:rsidRPr="000A6533">
        <w:rPr>
          <w:rStyle w:val="FootnoteReference"/>
        </w:rPr>
        <w:footnoteReference w:id="725"/>
      </w:r>
      <w:r w:rsidRPr="000A6533">
        <w:t xml:space="preserve"> </w:t>
      </w:r>
      <w:r w:rsidRPr="000A6533">
        <w:rPr>
          <w:rStyle w:val="FootnoteReference"/>
        </w:rPr>
        <w:footnoteReference w:id="726"/>
      </w:r>
      <w:r w:rsidRPr="000A6533">
        <w:t xml:space="preserve"> </w:t>
      </w:r>
      <w:r w:rsidRPr="000A6533">
        <w:rPr>
          <w:rStyle w:val="FootnoteReference"/>
        </w:rPr>
        <w:footnoteReference w:id="727"/>
      </w:r>
      <w:r w:rsidRPr="005926F1">
        <w:t xml:space="preserve">The practices in the NSW service providers' vegetation management plans, contained in the safety management systems, refer to ISSC3: Guideline for managing vegetation near </w:t>
      </w:r>
      <w:r w:rsidR="008C33CA" w:rsidRPr="005926F1">
        <w:t>power lines</w:t>
      </w:r>
      <w:r w:rsidRPr="005926F1">
        <w:t>. ISSC3 provides guidance on vegetation clearance distances. While compliance with the safety management system is mandatory, organisations or individuals may choose to depart from the recommendations of the guideline provided that the necessary duty of care is exercised and regulatory requirements are fulfilled.</w:t>
      </w:r>
      <w:r w:rsidRPr="005926F1">
        <w:rPr>
          <w:rStyle w:val="FootnoteReference"/>
        </w:rPr>
        <w:footnoteReference w:id="728"/>
      </w:r>
      <w:r w:rsidRPr="005926F1">
        <w:t xml:space="preserve"> </w:t>
      </w:r>
    </w:p>
    <w:p w:rsidR="00051BDB" w:rsidRDefault="00051BDB" w:rsidP="00051BDB">
      <w:r w:rsidRPr="005926F1">
        <w:t xml:space="preserve">Also under the NSW </w:t>
      </w:r>
      <w:r w:rsidRPr="005926F1">
        <w:rPr>
          <w:rStyle w:val="AERtextitalic"/>
        </w:rPr>
        <w:t xml:space="preserve">Electricity Supply (Safety and Network Management) Regulation 2014, </w:t>
      </w:r>
      <w:r w:rsidRPr="005926F1">
        <w:t>the Director-general of the Department of Water and Energy directed the NSW service providers to incorporate the Code of Practice - Electricity Transmission and Distributio</w:t>
      </w:r>
      <w:r>
        <w:t>n Asset Management 2009 into their</w:t>
      </w:r>
      <w:r w:rsidRPr="005926F1">
        <w:t xml:space="preserve"> safety management system</w:t>
      </w:r>
      <w:r>
        <w:t>s</w:t>
      </w:r>
      <w:r w:rsidRPr="005926F1">
        <w:t>.</w:t>
      </w:r>
      <w:r w:rsidRPr="005926F1">
        <w:rPr>
          <w:rStyle w:val="FootnoteReference"/>
        </w:rPr>
        <w:footnoteReference w:id="729"/>
      </w:r>
      <w:r w:rsidRPr="005926F1">
        <w:t xml:space="preserve"> Although the code lists ISSC3 as a standard relevant to the code</w:t>
      </w:r>
      <w:r>
        <w:t>,</w:t>
      </w:r>
      <w:r w:rsidRPr="005926F1">
        <w:t xml:space="preserve"> the NSW service providers are able to depart from the code if they provide justification in their licence compliance annual report.</w:t>
      </w:r>
      <w:r w:rsidRPr="005926F1">
        <w:rPr>
          <w:rStyle w:val="FootnoteReference"/>
        </w:rPr>
        <w:footnoteReference w:id="730"/>
      </w:r>
    </w:p>
    <w:p w:rsidR="00051BDB" w:rsidRDefault="00051BDB" w:rsidP="00051BDB">
      <w:r>
        <w:t xml:space="preserve">Given the requirements set out in </w:t>
      </w:r>
      <w:r w:rsidRPr="005926F1">
        <w:rPr>
          <w:rStyle w:val="AERtextitalic"/>
        </w:rPr>
        <w:t>Electricity Supply (Safety and Network Management) Regulation 2014</w:t>
      </w:r>
      <w:r>
        <w:t xml:space="preserve"> mentioned above, the NSW service providers are able to unilaterally change their vegetation standards. Although the Victorian service providers can negotiate their standards with ESV, they are not able to change their standards unilaterally.</w:t>
      </w:r>
    </w:p>
    <w:p w:rsidR="00051BDB" w:rsidRDefault="00051BDB" w:rsidP="00051BDB">
      <w:r>
        <w:t>ISSC3 also appears to be less restrictive in the practices it recommends than the Victorian regulations. In general, for distribution voltages, the clearances set out in the Victorian regulations are larger than those in the NSW guideline: in particular for short low voltage lines. The below tables provide a comparison of the clearances in ISSC3 and the Electric Line Clearance Regulations 2005. Comparison has been made between ISSC3 and the 2005 Electric Line Clearance Regulations. The 2010 Electric Line Clearance Regulations require larger clearances.</w:t>
      </w:r>
    </w:p>
    <w:p w:rsidR="00CF2125" w:rsidRDefault="00CF2125">
      <w:pPr>
        <w:spacing w:line="240" w:lineRule="auto"/>
      </w:pPr>
      <w:r>
        <w:br w:type="page"/>
      </w:r>
    </w:p>
    <w:p w:rsidR="00051BDB" w:rsidRDefault="00110327" w:rsidP="00CF2125">
      <w:r>
        <w:lastRenderedPageBreak/>
        <w:t xml:space="preserve">Table </w:t>
      </w:r>
      <w:fldSimple w:instr=" STYLEREF 7 \s ">
        <w:r w:rsidR="00CF2125">
          <w:rPr>
            <w:noProof/>
          </w:rPr>
          <w:t>A</w:t>
        </w:r>
      </w:fldSimple>
      <w:r w:rsidR="00CF2125">
        <w:t>.</w:t>
      </w:r>
      <w:fldSimple w:instr=" SEQ ATable \* ARABIC \s 7 ">
        <w:r w:rsidR="00CF2125">
          <w:rPr>
            <w:noProof/>
          </w:rPr>
          <w:t>11</w:t>
        </w:r>
      </w:fldSimple>
      <w:r w:rsidR="00051BDB">
        <w:tab/>
        <w:t>Comparison of clearances for insulated cables in all areas</w:t>
      </w:r>
    </w:p>
    <w:tbl>
      <w:tblPr>
        <w:tblStyle w:val="AERTable-Text"/>
        <w:tblW w:w="0" w:type="auto"/>
        <w:tblLook w:val="04A0" w:firstRow="1" w:lastRow="0" w:firstColumn="1" w:lastColumn="0" w:noHBand="0" w:noVBand="1"/>
      </w:tblPr>
      <w:tblGrid>
        <w:gridCol w:w="1696"/>
        <w:gridCol w:w="1744"/>
        <w:gridCol w:w="1744"/>
        <w:gridCol w:w="1745"/>
        <w:gridCol w:w="1764"/>
      </w:tblGrid>
      <w:tr w:rsidR="00051BDB" w:rsidTr="00051BDB">
        <w:trPr>
          <w:cnfStyle w:val="100000000000" w:firstRow="1" w:lastRow="0" w:firstColumn="0" w:lastColumn="0" w:oddVBand="0" w:evenVBand="0" w:oddHBand="0" w:evenHBand="0" w:firstRowFirstColumn="0" w:firstRowLastColumn="0" w:lastRowFirstColumn="0" w:lastRowLastColumn="0"/>
        </w:trPr>
        <w:tc>
          <w:tcPr>
            <w:tcW w:w="1848" w:type="dxa"/>
          </w:tcPr>
          <w:p w:rsidR="00051BDB" w:rsidRDefault="00051BDB" w:rsidP="00051BDB"/>
        </w:tc>
        <w:tc>
          <w:tcPr>
            <w:tcW w:w="1848" w:type="dxa"/>
          </w:tcPr>
          <w:p w:rsidR="00051BDB" w:rsidRPr="00051BDB" w:rsidRDefault="00051BDB" w:rsidP="00051BDB">
            <w:r>
              <w:t>Near the pole</w:t>
            </w:r>
          </w:p>
        </w:tc>
        <w:tc>
          <w:tcPr>
            <w:tcW w:w="1848" w:type="dxa"/>
          </w:tcPr>
          <w:p w:rsidR="00051BDB" w:rsidRPr="00051BDB" w:rsidRDefault="00051BDB" w:rsidP="00051BDB">
            <w:r>
              <w:t>Spans</w:t>
            </w:r>
            <w:r w:rsidRPr="00051BDB">
              <w:t xml:space="preserve"> up to 40 meters</w:t>
            </w:r>
          </w:p>
        </w:tc>
        <w:tc>
          <w:tcPr>
            <w:tcW w:w="1849" w:type="dxa"/>
          </w:tcPr>
          <w:p w:rsidR="00051BDB" w:rsidRPr="00051BDB" w:rsidRDefault="00051BDB" w:rsidP="00051BDB">
            <w:r>
              <w:t>Spans above 40 meters but less than 70 meters</w:t>
            </w:r>
          </w:p>
        </w:tc>
        <w:tc>
          <w:tcPr>
            <w:tcW w:w="1849" w:type="dxa"/>
          </w:tcPr>
          <w:p w:rsidR="00051BDB" w:rsidRPr="00051BDB" w:rsidRDefault="00051BDB" w:rsidP="00051BDB">
            <w:r>
              <w:t>Spans exceeding 70 meters</w:t>
            </w:r>
          </w:p>
        </w:tc>
      </w:tr>
      <w:tr w:rsidR="00051BDB" w:rsidTr="00051BDB">
        <w:tc>
          <w:tcPr>
            <w:tcW w:w="1848" w:type="dxa"/>
          </w:tcPr>
          <w:p w:rsidR="00051BDB" w:rsidRPr="00051BDB" w:rsidRDefault="00051BDB" w:rsidP="00051BDB">
            <w:r>
              <w:t>Aerial bundled cable</w:t>
            </w:r>
          </w:p>
        </w:tc>
        <w:tc>
          <w:tcPr>
            <w:tcW w:w="1848" w:type="dxa"/>
          </w:tcPr>
          <w:p w:rsidR="00051BDB" w:rsidRPr="00051BDB" w:rsidRDefault="00051BDB" w:rsidP="00051BDB">
            <w:r>
              <w:t xml:space="preserve">NSW requirement </w:t>
            </w:r>
            <w:r w:rsidRPr="00051BDB">
              <w:t>larger</w:t>
            </w:r>
          </w:p>
        </w:tc>
        <w:tc>
          <w:tcPr>
            <w:tcW w:w="1848" w:type="dxa"/>
          </w:tcPr>
          <w:p w:rsidR="00051BDB" w:rsidRPr="00051BDB" w:rsidRDefault="00051BDB" w:rsidP="00051BDB">
            <w:r>
              <w:t xml:space="preserve">NSW requirement </w:t>
            </w:r>
            <w:r w:rsidRPr="00051BDB">
              <w:t>larger</w:t>
            </w:r>
          </w:p>
        </w:tc>
        <w:tc>
          <w:tcPr>
            <w:tcW w:w="1849" w:type="dxa"/>
          </w:tcPr>
          <w:p w:rsidR="00051BDB" w:rsidRPr="00051BDB" w:rsidRDefault="00051BDB" w:rsidP="00051BDB">
            <w:r>
              <w:t xml:space="preserve">Victorian requirement </w:t>
            </w:r>
            <w:r w:rsidRPr="00051BDB">
              <w:t>larger</w:t>
            </w:r>
          </w:p>
        </w:tc>
        <w:tc>
          <w:tcPr>
            <w:tcW w:w="1849" w:type="dxa"/>
          </w:tcPr>
          <w:p w:rsidR="00051BDB" w:rsidRPr="00051BDB" w:rsidRDefault="00051BDB" w:rsidP="00051BDB">
            <w:r>
              <w:t xml:space="preserve">NSW requirement </w:t>
            </w:r>
            <w:r w:rsidRPr="00051BDB">
              <w:t>larger</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848" w:type="dxa"/>
          </w:tcPr>
          <w:p w:rsidR="00051BDB" w:rsidRPr="00051BDB" w:rsidRDefault="00051BDB" w:rsidP="00051BDB">
            <w:r>
              <w:t>Insulated cable</w:t>
            </w:r>
          </w:p>
        </w:tc>
        <w:tc>
          <w:tcPr>
            <w:tcW w:w="1848" w:type="dxa"/>
          </w:tcPr>
          <w:p w:rsidR="00051BDB" w:rsidRPr="00051BDB" w:rsidRDefault="00051BDB" w:rsidP="00051BDB">
            <w:r>
              <w:t xml:space="preserve">Victorian requirement </w:t>
            </w:r>
            <w:r w:rsidRPr="00051BDB">
              <w:t>larger</w:t>
            </w:r>
          </w:p>
        </w:tc>
        <w:tc>
          <w:tcPr>
            <w:tcW w:w="1848" w:type="dxa"/>
          </w:tcPr>
          <w:p w:rsidR="00051BDB" w:rsidRPr="00051BDB" w:rsidRDefault="00051BDB" w:rsidP="00051BDB">
            <w:r>
              <w:t xml:space="preserve">Victorian requirement </w:t>
            </w:r>
            <w:r w:rsidRPr="00051BDB">
              <w:t>larger</w:t>
            </w:r>
          </w:p>
        </w:tc>
        <w:tc>
          <w:tcPr>
            <w:tcW w:w="1849" w:type="dxa"/>
          </w:tcPr>
          <w:p w:rsidR="00051BDB" w:rsidRPr="00051BDB" w:rsidRDefault="00051BDB" w:rsidP="00051BDB">
            <w:r>
              <w:t xml:space="preserve">Victorian requirement </w:t>
            </w:r>
            <w:r w:rsidRPr="00051BDB">
              <w:t>larger</w:t>
            </w:r>
          </w:p>
        </w:tc>
        <w:tc>
          <w:tcPr>
            <w:tcW w:w="1849" w:type="dxa"/>
          </w:tcPr>
          <w:p w:rsidR="00051BDB" w:rsidRPr="00051BDB" w:rsidRDefault="00051BDB" w:rsidP="00051BDB">
            <w:r>
              <w:t xml:space="preserve">Victorian requirement </w:t>
            </w:r>
            <w:r w:rsidRPr="00051BDB">
              <w:t>larger</w:t>
            </w:r>
          </w:p>
        </w:tc>
      </w:tr>
    </w:tbl>
    <w:p w:rsidR="00051BDB" w:rsidRPr="00540FB6" w:rsidRDefault="00051BDB" w:rsidP="00051BDB">
      <w:pPr>
        <w:pStyle w:val="Source"/>
      </w:pPr>
      <w:r>
        <w:t>Source: ISSC3</w:t>
      </w:r>
      <w:r>
        <w:rPr>
          <w:rStyle w:val="FootnoteReference"/>
        </w:rPr>
        <w:footnoteReference w:id="731"/>
      </w:r>
      <w:r>
        <w:t xml:space="preserve"> and Electric Line Clearance Regulations 2005</w:t>
      </w:r>
      <w:r>
        <w:rPr>
          <w:rStyle w:val="FootnoteReference"/>
        </w:rPr>
        <w:footnoteReference w:id="732"/>
      </w:r>
    </w:p>
    <w:p w:rsidR="00051BDB" w:rsidRDefault="00110327" w:rsidP="00051BDB">
      <w:pPr>
        <w:pStyle w:val="Caption"/>
      </w:pPr>
      <w:r>
        <w:t xml:space="preserve">Table </w:t>
      </w:r>
      <w:fldSimple w:instr=" STYLEREF 7 \s ">
        <w:r w:rsidR="00CF2125">
          <w:rPr>
            <w:noProof/>
          </w:rPr>
          <w:t>A</w:t>
        </w:r>
      </w:fldSimple>
      <w:r w:rsidR="00CF2125">
        <w:t>.</w:t>
      </w:r>
      <w:fldSimple w:instr=" SEQ ATable \* ARABIC \s 7 ">
        <w:r w:rsidR="00CF2125">
          <w:rPr>
            <w:noProof/>
          </w:rPr>
          <w:t>12</w:t>
        </w:r>
      </w:fldSimple>
      <w:r w:rsidR="00051BDB">
        <w:tab/>
        <w:t>Comparison of clearances in low bushfire risk areas</w:t>
      </w:r>
    </w:p>
    <w:tbl>
      <w:tblPr>
        <w:tblStyle w:val="AERTable-Text"/>
        <w:tblW w:w="0" w:type="auto"/>
        <w:tblLook w:val="04A0" w:firstRow="1" w:lastRow="0" w:firstColumn="1" w:lastColumn="0" w:noHBand="0" w:noVBand="1"/>
      </w:tblPr>
      <w:tblGrid>
        <w:gridCol w:w="2163"/>
        <w:gridCol w:w="2176"/>
        <w:gridCol w:w="2177"/>
        <w:gridCol w:w="2177"/>
      </w:tblGrid>
      <w:tr w:rsidR="00051BDB" w:rsidTr="00051BDB">
        <w:trPr>
          <w:cnfStyle w:val="100000000000" w:firstRow="1" w:lastRow="0" w:firstColumn="0" w:lastColumn="0" w:oddVBand="0" w:evenVBand="0" w:oddHBand="0" w:evenHBand="0" w:firstRowFirstColumn="0" w:firstRowLastColumn="0" w:lastRowFirstColumn="0" w:lastRowLastColumn="0"/>
        </w:trPr>
        <w:tc>
          <w:tcPr>
            <w:tcW w:w="2163" w:type="dxa"/>
          </w:tcPr>
          <w:p w:rsidR="00051BDB" w:rsidRDefault="00051BDB" w:rsidP="00051BDB"/>
        </w:tc>
        <w:tc>
          <w:tcPr>
            <w:tcW w:w="2176" w:type="dxa"/>
          </w:tcPr>
          <w:p w:rsidR="00051BDB" w:rsidRPr="00051BDB" w:rsidRDefault="00051BDB" w:rsidP="00051BDB">
            <w:r>
              <w:t>Near the pole</w:t>
            </w:r>
          </w:p>
        </w:tc>
        <w:tc>
          <w:tcPr>
            <w:tcW w:w="2177" w:type="dxa"/>
          </w:tcPr>
          <w:p w:rsidR="00051BDB" w:rsidRPr="00051BDB" w:rsidRDefault="00051BDB" w:rsidP="00051BDB">
            <w:r>
              <w:t>Spans up to and including 40 meters</w:t>
            </w:r>
          </w:p>
        </w:tc>
        <w:tc>
          <w:tcPr>
            <w:tcW w:w="2177" w:type="dxa"/>
          </w:tcPr>
          <w:p w:rsidR="00051BDB" w:rsidRPr="00051BDB" w:rsidRDefault="00051BDB" w:rsidP="00051BDB">
            <w:r>
              <w:t>Spans greater than 40 meters</w:t>
            </w:r>
          </w:p>
        </w:tc>
      </w:tr>
      <w:tr w:rsidR="00051BDB" w:rsidTr="00051BDB">
        <w:tc>
          <w:tcPr>
            <w:tcW w:w="2163" w:type="dxa"/>
          </w:tcPr>
          <w:p w:rsidR="00051BDB" w:rsidRPr="00051BDB" w:rsidRDefault="00051BDB" w:rsidP="00051BDB">
            <w:r>
              <w:t>Bare and Covered Low voltage</w:t>
            </w:r>
          </w:p>
        </w:tc>
        <w:tc>
          <w:tcPr>
            <w:tcW w:w="2176" w:type="dxa"/>
          </w:tcPr>
          <w:p w:rsidR="00051BDB" w:rsidRPr="00051BDB" w:rsidRDefault="00051BDB" w:rsidP="00051BDB">
            <w:r>
              <w:t xml:space="preserve">Victorian requirement </w:t>
            </w:r>
            <w:r w:rsidRPr="00051BDB">
              <w:t>larger</w:t>
            </w:r>
          </w:p>
        </w:tc>
        <w:tc>
          <w:tcPr>
            <w:tcW w:w="2177" w:type="dxa"/>
          </w:tcPr>
          <w:p w:rsidR="00051BDB" w:rsidRPr="00051BDB" w:rsidRDefault="00051BDB" w:rsidP="00051BDB">
            <w:r>
              <w:t xml:space="preserve">Victorian requirement </w:t>
            </w:r>
            <w:r w:rsidRPr="00051BDB">
              <w:t>larger</w:t>
            </w:r>
          </w:p>
        </w:tc>
        <w:tc>
          <w:tcPr>
            <w:tcW w:w="2177" w:type="dxa"/>
          </w:tcPr>
          <w:p w:rsidR="00051BDB" w:rsidRPr="00051BDB" w:rsidRDefault="00051BDB" w:rsidP="00051BDB">
            <w:r>
              <w:t xml:space="preserve">NSW requirement </w:t>
            </w:r>
            <w:r w:rsidRPr="00051BDB">
              <w:t>larger</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2163" w:type="dxa"/>
          </w:tcPr>
          <w:p w:rsidR="00051BDB" w:rsidRPr="00051BDB" w:rsidRDefault="00051BDB" w:rsidP="00051BDB">
            <w:r>
              <w:t>High voltage distribution</w:t>
            </w:r>
          </w:p>
        </w:tc>
        <w:tc>
          <w:tcPr>
            <w:tcW w:w="2176" w:type="dxa"/>
          </w:tcPr>
          <w:p w:rsidR="00051BDB" w:rsidRPr="00051BDB" w:rsidRDefault="00051BDB" w:rsidP="00051BDB">
            <w:r>
              <w:t xml:space="preserve">Victorian requirement </w:t>
            </w:r>
            <w:r w:rsidRPr="00051BDB">
              <w:t>larger</w:t>
            </w:r>
          </w:p>
        </w:tc>
        <w:tc>
          <w:tcPr>
            <w:tcW w:w="2177" w:type="dxa"/>
          </w:tcPr>
          <w:p w:rsidR="00051BDB" w:rsidRPr="00051BDB" w:rsidRDefault="00051BDB" w:rsidP="00051BDB">
            <w:r>
              <w:t>Same</w:t>
            </w:r>
          </w:p>
        </w:tc>
        <w:tc>
          <w:tcPr>
            <w:tcW w:w="2177" w:type="dxa"/>
          </w:tcPr>
          <w:p w:rsidR="00051BDB" w:rsidRPr="00051BDB" w:rsidRDefault="00051BDB" w:rsidP="00051BDB">
            <w:r>
              <w:t xml:space="preserve">NSW requirement </w:t>
            </w:r>
            <w:r w:rsidRPr="00051BDB">
              <w:t>larger</w:t>
            </w:r>
          </w:p>
        </w:tc>
      </w:tr>
      <w:tr w:rsidR="00051BDB" w:rsidTr="00051BDB">
        <w:tc>
          <w:tcPr>
            <w:tcW w:w="2163" w:type="dxa"/>
          </w:tcPr>
          <w:p w:rsidR="00051BDB" w:rsidRPr="00051BDB" w:rsidRDefault="00051BDB" w:rsidP="00051BDB">
            <w:r>
              <w:t>66kV</w:t>
            </w:r>
          </w:p>
        </w:tc>
        <w:tc>
          <w:tcPr>
            <w:tcW w:w="2176" w:type="dxa"/>
          </w:tcPr>
          <w:p w:rsidR="00051BDB" w:rsidRPr="00051BDB" w:rsidRDefault="00051BDB" w:rsidP="00051BDB">
            <w:r>
              <w:t xml:space="preserve">Victorian requirement </w:t>
            </w:r>
            <w:r w:rsidRPr="00051BDB">
              <w:t>larger</w:t>
            </w:r>
          </w:p>
        </w:tc>
        <w:tc>
          <w:tcPr>
            <w:tcW w:w="2177" w:type="dxa"/>
          </w:tcPr>
          <w:p w:rsidR="00051BDB" w:rsidRPr="00051BDB" w:rsidRDefault="00051BDB" w:rsidP="00051BDB">
            <w:r>
              <w:t xml:space="preserve">Victorian requirement </w:t>
            </w:r>
            <w:r w:rsidRPr="00051BDB">
              <w:t>larger</w:t>
            </w:r>
          </w:p>
        </w:tc>
        <w:tc>
          <w:tcPr>
            <w:tcW w:w="2177" w:type="dxa"/>
          </w:tcPr>
          <w:p w:rsidR="00051BDB" w:rsidRPr="00051BDB" w:rsidRDefault="00051BDB" w:rsidP="00051BDB">
            <w:r>
              <w:t xml:space="preserve">NSW requirement </w:t>
            </w:r>
            <w:r w:rsidRPr="00051BDB">
              <w:t>larger</w:t>
            </w:r>
          </w:p>
        </w:tc>
      </w:tr>
    </w:tbl>
    <w:p w:rsidR="00051BDB" w:rsidRDefault="00051BDB" w:rsidP="00051BDB">
      <w:pPr>
        <w:pStyle w:val="Source"/>
      </w:pPr>
      <w:r>
        <w:t>Source: ISSC3</w:t>
      </w:r>
      <w:r>
        <w:rPr>
          <w:rStyle w:val="FootnoteReference"/>
        </w:rPr>
        <w:footnoteReference w:id="733"/>
      </w:r>
      <w:r>
        <w:t xml:space="preserve"> and Electric Line Clearance Regulations 2005</w:t>
      </w:r>
      <w:r>
        <w:rPr>
          <w:rStyle w:val="FootnoteReference"/>
        </w:rPr>
        <w:footnoteReference w:id="734"/>
      </w:r>
    </w:p>
    <w:p w:rsidR="00CF2125" w:rsidRDefault="00CF2125">
      <w:pPr>
        <w:spacing w:line="240" w:lineRule="auto"/>
        <w:rPr>
          <w:sz w:val="16"/>
          <w:szCs w:val="16"/>
        </w:rPr>
      </w:pPr>
      <w:r>
        <w:br w:type="page"/>
      </w:r>
    </w:p>
    <w:p w:rsidR="00051BDB" w:rsidRDefault="00110327" w:rsidP="00051BDB">
      <w:pPr>
        <w:pStyle w:val="Caption"/>
      </w:pPr>
      <w:r>
        <w:lastRenderedPageBreak/>
        <w:t xml:space="preserve">Table </w:t>
      </w:r>
      <w:fldSimple w:instr=" STYLEREF 7 \s ">
        <w:r w:rsidR="00CF2125">
          <w:rPr>
            <w:noProof/>
          </w:rPr>
          <w:t>A</w:t>
        </w:r>
      </w:fldSimple>
      <w:r w:rsidR="00CF2125">
        <w:t>.</w:t>
      </w:r>
      <w:fldSimple w:instr=" SEQ ATable \* ARABIC \s 7 ">
        <w:r w:rsidR="00CF2125">
          <w:rPr>
            <w:noProof/>
          </w:rPr>
          <w:t>13</w:t>
        </w:r>
      </w:fldSimple>
      <w:r w:rsidR="00051BDB">
        <w:tab/>
        <w:t>Comparison of clearances in high bushfire risk areas</w:t>
      </w:r>
    </w:p>
    <w:tbl>
      <w:tblPr>
        <w:tblStyle w:val="AERTable-Text"/>
        <w:tblW w:w="0" w:type="auto"/>
        <w:tblLook w:val="04A0" w:firstRow="1" w:lastRow="0" w:firstColumn="1" w:lastColumn="0" w:noHBand="0" w:noVBand="1"/>
      </w:tblPr>
      <w:tblGrid>
        <w:gridCol w:w="1404"/>
        <w:gridCol w:w="1441"/>
        <w:gridCol w:w="1441"/>
        <w:gridCol w:w="1441"/>
        <w:gridCol w:w="1483"/>
        <w:gridCol w:w="1483"/>
      </w:tblGrid>
      <w:tr w:rsidR="00051BDB" w:rsidTr="00051BDB">
        <w:trPr>
          <w:cnfStyle w:val="100000000000" w:firstRow="1" w:lastRow="0" w:firstColumn="0" w:lastColumn="0" w:oddVBand="0" w:evenVBand="0" w:oddHBand="0" w:evenHBand="0" w:firstRowFirstColumn="0" w:firstRowLastColumn="0" w:lastRowFirstColumn="0" w:lastRowLastColumn="0"/>
        </w:trPr>
        <w:tc>
          <w:tcPr>
            <w:tcW w:w="1404" w:type="dxa"/>
          </w:tcPr>
          <w:p w:rsidR="00051BDB" w:rsidRDefault="00051BDB" w:rsidP="00051BDB"/>
        </w:tc>
        <w:tc>
          <w:tcPr>
            <w:tcW w:w="1441" w:type="dxa"/>
          </w:tcPr>
          <w:p w:rsidR="00051BDB" w:rsidRPr="00051BDB" w:rsidRDefault="00051BDB" w:rsidP="00051BDB">
            <w:r>
              <w:t>Near the pole and spans up to 30m</w:t>
            </w:r>
          </w:p>
        </w:tc>
        <w:tc>
          <w:tcPr>
            <w:tcW w:w="1441" w:type="dxa"/>
          </w:tcPr>
          <w:p w:rsidR="00051BDB" w:rsidRPr="00051BDB" w:rsidRDefault="00051BDB" w:rsidP="00051BDB">
            <w:r>
              <w:t>Spans above 30m and up to 45m</w:t>
            </w:r>
          </w:p>
        </w:tc>
        <w:tc>
          <w:tcPr>
            <w:tcW w:w="1441" w:type="dxa"/>
          </w:tcPr>
          <w:p w:rsidR="00051BDB" w:rsidRPr="00051BDB" w:rsidRDefault="00051BDB" w:rsidP="00051BDB">
            <w:r>
              <w:t>Spans above 45m up to 70m</w:t>
            </w:r>
          </w:p>
        </w:tc>
        <w:tc>
          <w:tcPr>
            <w:tcW w:w="1483" w:type="dxa"/>
          </w:tcPr>
          <w:p w:rsidR="00051BDB" w:rsidRPr="00051BDB" w:rsidRDefault="00051BDB" w:rsidP="00051BDB">
            <w:r>
              <w:t>Spans exceeding 70m up to 350 metres</w:t>
            </w:r>
          </w:p>
        </w:tc>
        <w:tc>
          <w:tcPr>
            <w:tcW w:w="1483" w:type="dxa"/>
          </w:tcPr>
          <w:p w:rsidR="00051BDB" w:rsidRPr="00051BDB" w:rsidRDefault="00051BDB" w:rsidP="00051BDB">
            <w:r>
              <w:t>Spans exceeding 350 metres</w:t>
            </w:r>
          </w:p>
        </w:tc>
      </w:tr>
      <w:tr w:rsidR="00051BDB" w:rsidTr="00051BDB">
        <w:tc>
          <w:tcPr>
            <w:tcW w:w="1404" w:type="dxa"/>
          </w:tcPr>
          <w:p w:rsidR="00051BDB" w:rsidRPr="00051BDB" w:rsidRDefault="00051BDB" w:rsidP="00051BDB">
            <w:r>
              <w:t>Bare and low covered low voltage</w:t>
            </w:r>
          </w:p>
        </w:tc>
        <w:tc>
          <w:tcPr>
            <w:tcW w:w="1441" w:type="dxa"/>
          </w:tcPr>
          <w:p w:rsidR="00051BDB" w:rsidRPr="00051BDB" w:rsidRDefault="00051BDB" w:rsidP="00051BDB">
            <w:r>
              <w:t xml:space="preserve">Victorian requirement </w:t>
            </w:r>
            <w:r w:rsidRPr="00051BDB">
              <w:t>larger</w:t>
            </w:r>
          </w:p>
        </w:tc>
        <w:tc>
          <w:tcPr>
            <w:tcW w:w="1441" w:type="dxa"/>
          </w:tcPr>
          <w:p w:rsidR="00051BDB" w:rsidRPr="00051BDB" w:rsidRDefault="00051BDB" w:rsidP="00051BDB">
            <w:r>
              <w:t xml:space="preserve">Victorian requirement </w:t>
            </w:r>
            <w:r w:rsidRPr="00051BDB">
              <w:t>larger</w:t>
            </w:r>
          </w:p>
        </w:tc>
        <w:tc>
          <w:tcPr>
            <w:tcW w:w="1441" w:type="dxa"/>
          </w:tcPr>
          <w:p w:rsidR="00051BDB" w:rsidRPr="00051BDB" w:rsidRDefault="00051BDB" w:rsidP="00051BDB">
            <w:r>
              <w:t xml:space="preserve">Victorian requirement </w:t>
            </w:r>
            <w:r w:rsidRPr="00051BDB">
              <w:t>larger</w:t>
            </w:r>
          </w:p>
        </w:tc>
        <w:tc>
          <w:tcPr>
            <w:tcW w:w="1483" w:type="dxa"/>
          </w:tcPr>
          <w:p w:rsidR="00051BDB" w:rsidRPr="00051BDB" w:rsidRDefault="00051BDB" w:rsidP="00051BDB">
            <w:r>
              <w:t xml:space="preserve">NSW requirement </w:t>
            </w:r>
            <w:r w:rsidRPr="00051BDB">
              <w:t>larger</w:t>
            </w:r>
          </w:p>
        </w:tc>
        <w:tc>
          <w:tcPr>
            <w:tcW w:w="1483" w:type="dxa"/>
          </w:tcPr>
          <w:p w:rsidR="00051BDB" w:rsidRPr="00051BDB" w:rsidRDefault="00051BDB" w:rsidP="00051BDB">
            <w:r>
              <w:t xml:space="preserve">NSW requirement </w:t>
            </w:r>
            <w:r w:rsidRPr="00051BDB">
              <w:t>larger</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404" w:type="dxa"/>
          </w:tcPr>
          <w:p w:rsidR="00051BDB" w:rsidRPr="00051BDB" w:rsidRDefault="00051BDB" w:rsidP="00051BDB">
            <w:r>
              <w:t>High voltage distribution</w:t>
            </w:r>
          </w:p>
        </w:tc>
        <w:tc>
          <w:tcPr>
            <w:tcW w:w="1441" w:type="dxa"/>
          </w:tcPr>
          <w:p w:rsidR="00051BDB" w:rsidRPr="00051BDB" w:rsidRDefault="00051BDB" w:rsidP="00051BDB">
            <w:r>
              <w:t xml:space="preserve">Victorian requirement </w:t>
            </w:r>
            <w:r w:rsidRPr="00051BDB">
              <w:t>larger</w:t>
            </w:r>
          </w:p>
        </w:tc>
        <w:tc>
          <w:tcPr>
            <w:tcW w:w="1441" w:type="dxa"/>
          </w:tcPr>
          <w:p w:rsidR="00051BDB" w:rsidRPr="00051BDB" w:rsidRDefault="00051BDB" w:rsidP="00051BDB">
            <w:r>
              <w:t>Same</w:t>
            </w:r>
          </w:p>
        </w:tc>
        <w:tc>
          <w:tcPr>
            <w:tcW w:w="1441" w:type="dxa"/>
          </w:tcPr>
          <w:p w:rsidR="00051BDB" w:rsidRPr="00051BDB" w:rsidRDefault="00051BDB" w:rsidP="00051BDB">
            <w:r>
              <w:t xml:space="preserve">NSW requirement </w:t>
            </w:r>
            <w:r w:rsidRPr="00051BDB">
              <w:t>larger</w:t>
            </w:r>
          </w:p>
        </w:tc>
        <w:tc>
          <w:tcPr>
            <w:tcW w:w="1483" w:type="dxa"/>
          </w:tcPr>
          <w:p w:rsidR="00051BDB" w:rsidRPr="00051BDB" w:rsidRDefault="00051BDB" w:rsidP="00051BDB">
            <w:r>
              <w:t xml:space="preserve">NSW requirement </w:t>
            </w:r>
            <w:r w:rsidRPr="00051BDB">
              <w:t>larger</w:t>
            </w:r>
          </w:p>
        </w:tc>
        <w:tc>
          <w:tcPr>
            <w:tcW w:w="1483" w:type="dxa"/>
          </w:tcPr>
          <w:p w:rsidR="00051BDB" w:rsidRPr="00051BDB" w:rsidRDefault="00051BDB" w:rsidP="00051BDB">
            <w:r>
              <w:t xml:space="preserve">NSW </w:t>
            </w:r>
            <w:r w:rsidRPr="00051BDB">
              <w:t>requirement larger</w:t>
            </w:r>
          </w:p>
        </w:tc>
      </w:tr>
      <w:tr w:rsidR="00051BDB" w:rsidTr="00051BDB">
        <w:tc>
          <w:tcPr>
            <w:tcW w:w="1404" w:type="dxa"/>
          </w:tcPr>
          <w:p w:rsidR="00051BDB" w:rsidRPr="00051BDB" w:rsidRDefault="00051BDB" w:rsidP="00051BDB">
            <w:r>
              <w:t>66kV</w:t>
            </w:r>
          </w:p>
        </w:tc>
        <w:tc>
          <w:tcPr>
            <w:tcW w:w="1441" w:type="dxa"/>
          </w:tcPr>
          <w:p w:rsidR="00051BDB" w:rsidRPr="00051BDB" w:rsidRDefault="00051BDB" w:rsidP="00051BDB">
            <w:r>
              <w:t xml:space="preserve">Victorian requirement </w:t>
            </w:r>
            <w:r w:rsidRPr="00051BDB">
              <w:t>larger</w:t>
            </w:r>
          </w:p>
        </w:tc>
        <w:tc>
          <w:tcPr>
            <w:tcW w:w="1441" w:type="dxa"/>
          </w:tcPr>
          <w:p w:rsidR="00051BDB" w:rsidRPr="00051BDB" w:rsidRDefault="00051BDB" w:rsidP="00051BDB">
            <w:r>
              <w:t xml:space="preserve">Victorian requirement </w:t>
            </w:r>
            <w:r w:rsidRPr="00051BDB">
              <w:t>larger</w:t>
            </w:r>
          </w:p>
        </w:tc>
        <w:tc>
          <w:tcPr>
            <w:tcW w:w="1441" w:type="dxa"/>
          </w:tcPr>
          <w:p w:rsidR="00051BDB" w:rsidRPr="00051BDB" w:rsidRDefault="00051BDB" w:rsidP="00051BDB">
            <w:r>
              <w:t>Same</w:t>
            </w:r>
          </w:p>
        </w:tc>
        <w:tc>
          <w:tcPr>
            <w:tcW w:w="1483" w:type="dxa"/>
          </w:tcPr>
          <w:p w:rsidR="00051BDB" w:rsidRPr="00051BDB" w:rsidRDefault="00051BDB" w:rsidP="00051BDB">
            <w:r>
              <w:t xml:space="preserve">NSW requirement </w:t>
            </w:r>
            <w:r w:rsidRPr="00051BDB">
              <w:t>larger</w:t>
            </w:r>
          </w:p>
        </w:tc>
        <w:tc>
          <w:tcPr>
            <w:tcW w:w="1483" w:type="dxa"/>
          </w:tcPr>
          <w:p w:rsidR="00051BDB" w:rsidRPr="00051BDB" w:rsidRDefault="00051BDB" w:rsidP="00051BDB">
            <w:r>
              <w:t xml:space="preserve">NSW requirement </w:t>
            </w:r>
            <w:r w:rsidRPr="00051BDB">
              <w:t>larger</w:t>
            </w:r>
          </w:p>
        </w:tc>
      </w:tr>
    </w:tbl>
    <w:p w:rsidR="00051BDB" w:rsidRDefault="00051BDB" w:rsidP="00051BDB">
      <w:pPr>
        <w:pStyle w:val="Source"/>
      </w:pPr>
      <w:r>
        <w:t>Source: ISSC3</w:t>
      </w:r>
      <w:r>
        <w:rPr>
          <w:rStyle w:val="FootnoteReference"/>
        </w:rPr>
        <w:footnoteReference w:id="735"/>
      </w:r>
      <w:r>
        <w:t xml:space="preserve"> and Electric Line Clearance Regulations 2005</w:t>
      </w:r>
      <w:r>
        <w:rPr>
          <w:rStyle w:val="FootnoteReference"/>
        </w:rPr>
        <w:footnoteReference w:id="736"/>
      </w:r>
    </w:p>
    <w:p w:rsidR="00051BDB" w:rsidRDefault="00051BDB" w:rsidP="00051BDB">
      <w:r>
        <w:t>Both ISSC3 and the Electric Line Clearance Regulations allow exceptions from the clearances they contain provided the service provider takes appropriate risk mitigation measures.</w:t>
      </w:r>
      <w:r w:rsidRPr="006C5FFE">
        <w:rPr>
          <w:rStyle w:val="FootnoteReference"/>
        </w:rPr>
        <w:t xml:space="preserve"> </w:t>
      </w:r>
      <w:r>
        <w:rPr>
          <w:rStyle w:val="FootnoteReference"/>
        </w:rPr>
        <w:footnoteReference w:id="737"/>
      </w:r>
      <w:r>
        <w:t xml:space="preserve"> </w:t>
      </w:r>
      <w:r>
        <w:rPr>
          <w:rStyle w:val="FootnoteReference"/>
        </w:rPr>
        <w:footnoteReference w:id="738"/>
      </w:r>
      <w:r>
        <w:t xml:space="preserve"> </w:t>
      </w:r>
      <w:r>
        <w:rPr>
          <w:rStyle w:val="FootnoteReference"/>
        </w:rPr>
        <w:footnoteReference w:id="739"/>
      </w:r>
      <w:r>
        <w:t xml:space="preserve"> Of the $205 million (2010) approved by the AER for the change in the Victorian Electric Line Clearance Regulations, the two largest changes were the removal of exceptions for regrowth around insulated cables and in high bushfire risk areas outside of the fire season. The removal of these two exceptions led to a $158 million (2010) step change in opex. With regard to these two exemptions it appears that the obligations were similar prior to the introduction of the 2010 regulations, but more stringent in Victoria after.</w:t>
      </w:r>
    </w:p>
    <w:p w:rsidR="00051BDB" w:rsidRDefault="00051BDB" w:rsidP="00051BDB">
      <w:r>
        <w:t xml:space="preserve">Both ISSC3 and the </w:t>
      </w:r>
      <w:r w:rsidRPr="006C5FFE">
        <w:t>Electric Line Clearance Regulations 2005</w:t>
      </w:r>
      <w:r>
        <w:t xml:space="preserve"> allow exceptions for insulated cables.</w:t>
      </w:r>
      <w:r>
        <w:rPr>
          <w:rStyle w:val="FootnoteReference"/>
        </w:rPr>
        <w:footnoteReference w:id="740"/>
      </w:r>
      <w:r>
        <w:t xml:space="preserve"> </w:t>
      </w:r>
      <w:r>
        <w:rPr>
          <w:rStyle w:val="FootnoteReference"/>
        </w:rPr>
        <w:footnoteReference w:id="741"/>
      </w:r>
      <w:r>
        <w:t xml:space="preserve"> These exceptions allow small branches and leaves to enter clearance zones provided they are not thicker than 15mm and 10mm respectively. The 2005 regulations also allowed for larger branches to enter the clearance zone provided an annual risk assessment was conducted. This exception was removed from the </w:t>
      </w:r>
      <w:r w:rsidRPr="006C5FFE">
        <w:t>Electric Line Clearance Regulations 2010</w:t>
      </w:r>
      <w:r>
        <w:t>. In this respect the current Victorian obligations require more than the industry guideline in NSW, while the 2005 regulations were similar.</w:t>
      </w:r>
    </w:p>
    <w:p w:rsidR="00051BDB" w:rsidRDefault="00051BDB" w:rsidP="00051BDB">
      <w:r>
        <w:lastRenderedPageBreak/>
        <w:t xml:space="preserve">Under the </w:t>
      </w:r>
      <w:r w:rsidRPr="006C5FFE">
        <w:t>Electric Line Clearance Regulations 2005</w:t>
      </w:r>
      <w:r>
        <w:t xml:space="preserve"> Energy Safe Victoria gave exemptions to the Victorian service providers which allowed vegetation to grow into clearance zones in bushfire prone areas, provided no vegetation defects remained at the beginning of the fire season. When the </w:t>
      </w:r>
      <w:r w:rsidRPr="006C5FFE">
        <w:t>Electric Line Clearance Regulations 2010</w:t>
      </w:r>
      <w:r>
        <w:t xml:space="preserve"> replaced the 2005 regulations, the exemptions were not renewed. ISSC3 does not recommend any seasonal difference in clearance zones. </w:t>
      </w:r>
    </w:p>
    <w:p w:rsidR="00051BDB" w:rsidRDefault="00051BDB" w:rsidP="00051BDB">
      <w:r>
        <w:t xml:space="preserve">While in this situation, the current Victorian regulations and ISSC3 seem to be similar, there is evidence to suggest that ISSC3 allows the NSW service providers some flexibility with its recommended clearance zones. </w:t>
      </w:r>
      <w:r w:rsidRPr="00A025BE">
        <w:t xml:space="preserve">In practice the NSW </w:t>
      </w:r>
      <w:r>
        <w:t>service provider</w:t>
      </w:r>
      <w:r w:rsidRPr="00A025BE">
        <w:t xml:space="preserve">s have exercised judgement and applied the state guideline for vegetation management in a flexible manner. </w:t>
      </w:r>
    </w:p>
    <w:p w:rsidR="00051BDB" w:rsidRDefault="00051BDB" w:rsidP="00051BDB">
      <w:r w:rsidRPr="00A025BE">
        <w:t>ISSC3 has been the industry guideline for vegetation management in NSW since 2005</w:t>
      </w:r>
      <w:r>
        <w:t>. The guideline states that service provider</w:t>
      </w:r>
      <w:r w:rsidRPr="00A025BE">
        <w:t xml:space="preserve">s may depart from the guideline provided they take appropriate risk mitigation measures. </w:t>
      </w:r>
      <w:r>
        <w:t xml:space="preserve">The differences in the way the NSW service providers apply the guideline demonstrates the flexibility that it affords. </w:t>
      </w:r>
      <w:r w:rsidRPr="00A025BE">
        <w:t xml:space="preserve">For example, </w:t>
      </w:r>
      <w:r>
        <w:t>Ausgrid and Essential</w:t>
      </w:r>
      <w:r w:rsidRPr="00A025BE">
        <w:t xml:space="preserve"> </w:t>
      </w:r>
      <w:r w:rsidR="005E57AD">
        <w:t xml:space="preserve">Energy </w:t>
      </w:r>
      <w:r w:rsidRPr="00A025BE">
        <w:t>allow regrowth into the ISSC3 recommended clearance zones in between clearance cycles.</w:t>
      </w:r>
      <w:r>
        <w:rPr>
          <w:rStyle w:val="FootnoteReference"/>
        </w:rPr>
        <w:footnoteReference w:id="742"/>
      </w:r>
      <w:r w:rsidRPr="00A025BE">
        <w:t xml:space="preserve"> </w:t>
      </w:r>
    </w:p>
    <w:p w:rsidR="00051BDB" w:rsidRDefault="00051BDB" w:rsidP="00051BDB">
      <w:r w:rsidRPr="00A025BE">
        <w:t xml:space="preserve">Additionally, there seems to be a focus on maintaining the visual amenity of trees in ISSC3 that provides the NSW </w:t>
      </w:r>
      <w:r w:rsidR="009664DF">
        <w:t>distributors</w:t>
      </w:r>
      <w:r w:rsidR="009664DF" w:rsidRPr="00A025BE">
        <w:t xml:space="preserve"> </w:t>
      </w:r>
      <w:r w:rsidRPr="00A025BE">
        <w:t>flexibility in how they treat vegetation which is not present in the Victorian Electric Line Clearance Regulations</w:t>
      </w:r>
      <w:r>
        <w:t>.</w:t>
      </w:r>
      <w:r>
        <w:rPr>
          <w:rStyle w:val="FootnoteReference"/>
        </w:rPr>
        <w:footnoteReference w:id="743"/>
      </w:r>
      <w:r w:rsidRPr="00A025BE">
        <w:t xml:space="preserve"> </w:t>
      </w:r>
      <w:r>
        <w:rPr>
          <w:rStyle w:val="FootnoteReference"/>
        </w:rPr>
        <w:footnoteReference w:id="744"/>
      </w:r>
    </w:p>
    <w:p w:rsidR="00051BDB" w:rsidRDefault="00051BDB" w:rsidP="00051BDB">
      <w:r>
        <w:t>Therefore the two changes in bushfire related regulatory obligations that have most affected the opex of the Victorian service providers represent an increase in obligations relative to those faced by the NSW service providers.</w:t>
      </w:r>
    </w:p>
    <w:p w:rsidR="00051BDB" w:rsidRDefault="00051BDB" w:rsidP="00051BDB">
      <w:pPr>
        <w:pStyle w:val="HeadingBoldItalic"/>
      </w:pPr>
      <w:r>
        <w:t>Duty of care</w:t>
      </w:r>
    </w:p>
    <w:p w:rsidR="00051BDB" w:rsidRDefault="00051BDB" w:rsidP="00051BDB">
      <w:r>
        <w:t>Essential Energy submitted:</w:t>
      </w:r>
    </w:p>
    <w:p w:rsidR="00051BDB" w:rsidRDefault="00051BDB" w:rsidP="00051BDB">
      <w:pPr>
        <w:pStyle w:val="AERquote"/>
      </w:pPr>
      <w:r>
        <w:t>"</w:t>
      </w:r>
      <w:r w:rsidRPr="005627BC">
        <w:t>Despite not being directly subject to the regulatory instruments applicable to Victoria, Essential Energy concluded that in the event that there were bushfires in its distribution area that compromise public safety and property or that damage the environment, and it could be shown that Essential Energy had not reasonably foreseen and taken all reasonable actions to mitigate the possibility of vegetation encroachment and equipment failure being the cause, Essential Energy would be exposed to the significant likelihood of criminal prosecution and civil action at the highest levels of the state and federal courts.</w:t>
      </w:r>
      <w:r>
        <w:t>"</w:t>
      </w:r>
      <w:r>
        <w:rPr>
          <w:rStyle w:val="FootnoteReference"/>
        </w:rPr>
        <w:footnoteReference w:id="745"/>
      </w:r>
    </w:p>
    <w:p w:rsidR="00051BDB" w:rsidRDefault="00051BDB" w:rsidP="00051BDB">
      <w:r>
        <w:lastRenderedPageBreak/>
        <w:t xml:space="preserve">We consider that this point has merit to the extent that service providers in NSW and Victoria face similar risks due to bushfire. On the evidence before us, Victorian has greater bushfire risk to NSW. Therefore, one would expect that less expenditure would be required to mitigate those risks in NSW. </w:t>
      </w:r>
    </w:p>
    <w:p w:rsidR="00051BDB" w:rsidRDefault="00051BDB" w:rsidP="00051BDB">
      <w:r w:rsidRPr="008714A9">
        <w:t xml:space="preserve">Additionally, although each of the NSW </w:t>
      </w:r>
      <w:r w:rsidR="009664DF">
        <w:t>distributors</w:t>
      </w:r>
      <w:r w:rsidR="009664DF" w:rsidRPr="008714A9">
        <w:t xml:space="preserve"> </w:t>
      </w:r>
      <w:r w:rsidRPr="008714A9">
        <w:t>must in exercising their duty of care take notice of events in other jurisdictions, any changes to their practices would be in response to their individual risks. This continual evolution of the duty of care is something all service providers will face</w:t>
      </w:r>
      <w:r>
        <w:t xml:space="preserve">. </w:t>
      </w:r>
      <w:r w:rsidRPr="00A025BE">
        <w:t>For example, even before the Black Saturday bushfires Powercor began trialling LiDAR technology.</w:t>
      </w:r>
      <w:r>
        <w:rPr>
          <w:rStyle w:val="FootnoteReference"/>
        </w:rPr>
        <w:footnoteReference w:id="746"/>
      </w:r>
    </w:p>
    <w:p w:rsidR="00051BDB" w:rsidRPr="00A025BE" w:rsidRDefault="00051BDB" w:rsidP="00051BDB">
      <w:r w:rsidRPr="000612AD">
        <w:t>On balance we are satisfied that in discharging their duty of care, the NSW service providers may choose to adopt bushfire mitigation practices such as those applying to the Victorian providers after Black Saturday, where they are relevant to the risks they face.</w:t>
      </w:r>
    </w:p>
    <w:p w:rsidR="00051BDB" w:rsidRDefault="00051BDB" w:rsidP="00051BDB">
      <w:pPr>
        <w:pStyle w:val="HeadingBoldItalic"/>
      </w:pPr>
      <w:r>
        <w:t>Impact of differences on opex</w:t>
      </w:r>
    </w:p>
    <w:p w:rsidR="00051BDB" w:rsidRDefault="00051BDB" w:rsidP="00051BDB">
      <w:r>
        <w:t>Differences in bushfire risk and related regulations between the comparison firms and each of the NSW service providers will provide each of the NSW service providers with a cost advantage.</w:t>
      </w:r>
    </w:p>
    <w:p w:rsidR="00051BDB" w:rsidRPr="00E65047" w:rsidRDefault="00051BDB" w:rsidP="00051BDB">
      <w:pPr>
        <w:numPr>
          <w:ilvl w:val="0"/>
          <w:numId w:val="24"/>
        </w:numPr>
      </w:pPr>
      <w:r>
        <w:t>Differences in bushfire risk</w:t>
      </w:r>
      <w:r w:rsidRPr="00E65047">
        <w:t xml:space="preserve"> ha</w:t>
      </w:r>
      <w:r>
        <w:t>ve</w:t>
      </w:r>
      <w:r w:rsidRPr="00E65047">
        <w:t xml:space="preserve"> the potential to</w:t>
      </w:r>
      <w:r>
        <w:t xml:space="preserve"> create material differences in the opex required to operate the comparison firm</w:t>
      </w:r>
      <w:r w:rsidRPr="00E65047">
        <w:t xml:space="preserve">s' </w:t>
      </w:r>
      <w:r>
        <w:t>opex relative to any one of the NSW service providers</w:t>
      </w:r>
      <w:r w:rsidRPr="00E65047">
        <w:t xml:space="preserve">. </w:t>
      </w:r>
      <w:r>
        <w:t>I</w:t>
      </w:r>
      <w:r w:rsidRPr="00E65047">
        <w:t>n Victoria for the 2011</w:t>
      </w:r>
      <w:r>
        <w:t>–</w:t>
      </w:r>
      <w:r w:rsidRPr="00E65047">
        <w:t xml:space="preserve">2015 period, the </w:t>
      </w:r>
      <w:r>
        <w:t xml:space="preserve">increase in </w:t>
      </w:r>
      <w:r w:rsidRPr="00E65047">
        <w:t xml:space="preserve">regulatory obligations related to bushfires </w:t>
      </w:r>
      <w:r>
        <w:t>was</w:t>
      </w:r>
      <w:r w:rsidRPr="00E65047">
        <w:t xml:space="preserve"> forecast to</w:t>
      </w:r>
      <w:r>
        <w:t xml:space="preserve"> account for 9.0 per cent of total opex.</w:t>
      </w:r>
      <w:r w:rsidRPr="00E65047">
        <w:rPr>
          <w:rStyle w:val="FootnoteReference"/>
        </w:rPr>
        <w:footnoteReference w:id="747"/>
      </w:r>
      <w:r w:rsidRPr="00E65047">
        <w:t xml:space="preserve"> </w:t>
      </w:r>
      <w:r w:rsidRPr="00E65047">
        <w:rPr>
          <w:rStyle w:val="FootnoteReference"/>
        </w:rPr>
        <w:footnoteReference w:id="748"/>
      </w:r>
      <w:r w:rsidRPr="00E65047">
        <w:t xml:space="preserve"> </w:t>
      </w:r>
      <w:r w:rsidRPr="00E65047">
        <w:rPr>
          <w:rStyle w:val="FootnoteReference"/>
        </w:rPr>
        <w:footnoteReference w:id="749"/>
      </w:r>
      <w:r w:rsidRPr="00E65047">
        <w:t xml:space="preserve"> </w:t>
      </w:r>
      <w:r w:rsidRPr="00E65047">
        <w:rPr>
          <w:rStyle w:val="FootnoteReference"/>
        </w:rPr>
        <w:footnoteReference w:id="750"/>
      </w:r>
      <w:r w:rsidRPr="00E65047">
        <w:t xml:space="preserve"> </w:t>
      </w:r>
      <w:r w:rsidRPr="00E65047">
        <w:rPr>
          <w:rStyle w:val="FootnoteReference"/>
        </w:rPr>
        <w:footnoteReference w:id="751"/>
      </w:r>
      <w:r w:rsidRPr="00E65047">
        <w:t xml:space="preserve"> </w:t>
      </w:r>
      <w:r w:rsidRPr="00E65047">
        <w:rPr>
          <w:rStyle w:val="FootnoteReference"/>
        </w:rPr>
        <w:footnoteReference w:id="752"/>
      </w:r>
      <w:r w:rsidRPr="00E65047">
        <w:t xml:space="preserve"> </w:t>
      </w:r>
      <w:r w:rsidRPr="00E65047">
        <w:rPr>
          <w:rStyle w:val="FootnoteReference"/>
        </w:rPr>
        <w:footnoteReference w:id="753"/>
      </w:r>
      <w:r w:rsidRPr="00E65047">
        <w:t xml:space="preserve"> </w:t>
      </w:r>
      <w:r w:rsidRPr="00E65047">
        <w:rPr>
          <w:rStyle w:val="FootnoteReference"/>
        </w:rPr>
        <w:footnoteReference w:id="754"/>
      </w:r>
      <w:r w:rsidRPr="00E65047">
        <w:t xml:space="preserve"> </w:t>
      </w:r>
      <w:r w:rsidRPr="00E65047">
        <w:rPr>
          <w:rStyle w:val="FootnoteReference"/>
        </w:rPr>
        <w:footnoteReference w:id="755"/>
      </w:r>
      <w:r>
        <w:t xml:space="preserve"> Although a prudent service provider would take into consideration changes in practices in other states, it would only adopt those practices to the extent that they are appropriate given their circumstances. On the evidence in front of us, in general, Victoria faces higher risk of bushfires than NSW. Additionally, our examination of vegetation management regulations, the most costly part of electricity service providers' bushfire mitigation practices, show the requirements in Victoria are stricter.</w:t>
      </w:r>
    </w:p>
    <w:p w:rsidR="00051BDB" w:rsidRDefault="00051BDB" w:rsidP="00051BDB">
      <w:r>
        <w:lastRenderedPageBreak/>
        <w:t>Although we consider it is likely that the Victorian service providers will have a cost disadvantage relative to the NSW service providers due to differences in bushfire risk and related regulatory obligations, we consider there will be some mitigating factors. The change in regulations only came about after the Black Saturday bushfires. All service providers have a duty of care. Also other factors will affect bushfire mitigation costs such as v</w:t>
      </w:r>
      <w:r w:rsidRPr="00936C24">
        <w:t xml:space="preserve">egetation density, urbanity, undergrounding, and divisions in responsibility </w:t>
      </w:r>
      <w:r>
        <w:t>for</w:t>
      </w:r>
      <w:r w:rsidRPr="00936C24">
        <w:t xml:space="preserve"> vegetation management</w:t>
      </w:r>
      <w:r>
        <w:t>. We note that urbanity (customer density) and undergrounding are accounted for in Economic Insights' SFA model so we have focussed on the effect of the timing of the change, duty of care, and vegetation density.</w:t>
      </w:r>
    </w:p>
    <w:p w:rsidR="00051BDB" w:rsidRDefault="00051BDB" w:rsidP="00051BDB">
      <w:r>
        <w:t>Although the increase in opex associated with the new bushfire risk mitigation obligations for the Victorian service providers was quite large, it only affected the end of the benchmarking period. The new obligations came into effect at various times from 2010. As a result they only affected the last three years of the benchmarking period. This more than halves the effect of the impact of the change in regulations on the benchmarking results.</w:t>
      </w:r>
    </w:p>
    <w:p w:rsidR="00051BDB" w:rsidRPr="004B5FDC" w:rsidRDefault="00051BDB" w:rsidP="00051BDB">
      <w:r>
        <w:t>As mentioned above all service providers have a duty of care. As a result they must take all reasonable measures to ensure the safety of their networks. As the NSW service providers also face bushfire risk, although not to the same extent as those in Victoria, it may be prudent for them to adopt some of the practices required in Victoria after the Black Saturday bushfires. However, the Victorian service providers were still affected by the regulations for the final three years of the benchmarking period.</w:t>
      </w:r>
    </w:p>
    <w:p w:rsidR="00051BDB" w:rsidRDefault="00051BDB" w:rsidP="00051BDB">
      <w:r>
        <w:t>In its report for the NSW service providers, Pacific Economics Group noted that forestation may affect service providers' opex.</w:t>
      </w:r>
      <w:r>
        <w:rPr>
          <w:rStyle w:val="FootnoteReference"/>
        </w:rPr>
        <w:footnoteReference w:id="756"/>
      </w:r>
      <w:r>
        <w:t xml:space="preserve"> </w:t>
      </w:r>
      <w:r w:rsidRPr="004B5FDC">
        <w:t>Ausgrid and Endeavour have higher vegetation density in their rural service areas than some of the comparison firms</w:t>
      </w:r>
      <w:r>
        <w:t xml:space="preserve"> (shown in </w:t>
      </w:r>
      <w:r w:rsidR="00A409CB">
        <w:fldChar w:fldCharType="begin"/>
      </w:r>
      <w:r w:rsidR="00A409CB">
        <w:instrText xml:space="preserve"> REF _Ref417641668 \h </w:instrText>
      </w:r>
      <w:r w:rsidR="00A409CB">
        <w:fldChar w:fldCharType="separate"/>
      </w:r>
      <w:r w:rsidR="00C74791">
        <w:t xml:space="preserve">Figure </w:t>
      </w:r>
      <w:r w:rsidR="00C74791">
        <w:rPr>
          <w:noProof/>
        </w:rPr>
        <w:t>A</w:t>
      </w:r>
      <w:r w:rsidR="00C74791">
        <w:t>.</w:t>
      </w:r>
      <w:r w:rsidR="00C74791">
        <w:rPr>
          <w:noProof/>
        </w:rPr>
        <w:t>24</w:t>
      </w:r>
      <w:r w:rsidR="00A409CB">
        <w:fldChar w:fldCharType="end"/>
      </w:r>
      <w:r w:rsidR="00A409CB">
        <w:t xml:space="preserve"> </w:t>
      </w:r>
      <w:r>
        <w:t>below)</w:t>
      </w:r>
      <w:r w:rsidRPr="004B5FDC">
        <w:t>, this may offset some of the effect of the more stringent bushfire regulations in Victoria. The fact that AusNet, which operates in a higher vegetation density region than Powercor, required a similar i</w:t>
      </w:r>
      <w:r>
        <w:t>ncrease in expenditure for the increase in vegetation clearance obligations to Powercor,</w:t>
      </w:r>
      <w:r w:rsidRPr="004B5FDC">
        <w:t xml:space="preserve"> despite having only half the network length</w:t>
      </w:r>
      <w:r>
        <w:t>,</w:t>
      </w:r>
      <w:r w:rsidRPr="004B5FDC">
        <w:t xml:space="preserve"> supports this conclusion. </w:t>
      </w:r>
      <w:r>
        <w:t>On the other hand vegetation density in</w:t>
      </w:r>
      <w:r w:rsidRPr="004B5FDC">
        <w:t xml:space="preserve"> the NSW service providers’ network areas may not be as great an issue because most lines are run through road easements or paddocks</w:t>
      </w:r>
      <w:r>
        <w:t>.</w:t>
      </w:r>
      <w:r w:rsidRPr="004B5FDC">
        <w:t xml:space="preserve"> </w:t>
      </w:r>
      <w:r>
        <w:t>Also,</w:t>
      </w:r>
      <w:r w:rsidRPr="004B5FDC">
        <w:t xml:space="preserve"> as a percentage of </w:t>
      </w:r>
      <w:r>
        <w:t xml:space="preserve">network services </w:t>
      </w:r>
      <w:r w:rsidRPr="004B5FDC">
        <w:t>opex</w:t>
      </w:r>
      <w:r>
        <w:t>,</w:t>
      </w:r>
      <w:r w:rsidRPr="004B5FDC">
        <w:t xml:space="preserve"> Ausgrid spend</w:t>
      </w:r>
      <w:r>
        <w:t>s</w:t>
      </w:r>
      <w:r w:rsidRPr="004B5FDC">
        <w:t xml:space="preserve"> less on vegetation management than AusNet, Powercor, SA</w:t>
      </w:r>
      <w:r>
        <w:t xml:space="preserve"> </w:t>
      </w:r>
      <w:r w:rsidRPr="004B5FDC">
        <w:t>P</w:t>
      </w:r>
      <w:r>
        <w:t xml:space="preserve">ower </w:t>
      </w:r>
      <w:r w:rsidRPr="004B5FDC">
        <w:t>N</w:t>
      </w:r>
      <w:r>
        <w:t>etworks</w:t>
      </w:r>
      <w:r w:rsidRPr="004B5FDC">
        <w:t>, and U</w:t>
      </w:r>
      <w:r>
        <w:t xml:space="preserve">nited </w:t>
      </w:r>
      <w:r w:rsidRPr="004B5FDC">
        <w:t>E</w:t>
      </w:r>
      <w:r>
        <w:t>nergy</w:t>
      </w:r>
      <w:r w:rsidRPr="004B5FDC">
        <w:t>.</w:t>
      </w:r>
      <w:r>
        <w:t xml:space="preserve"> Endeavour spends less than </w:t>
      </w:r>
      <w:r w:rsidRPr="004B5FDC">
        <w:t>AusNet, Powercor, SA</w:t>
      </w:r>
      <w:r>
        <w:t xml:space="preserve"> </w:t>
      </w:r>
      <w:r w:rsidRPr="004B5FDC">
        <w:t>P</w:t>
      </w:r>
      <w:r>
        <w:t xml:space="preserve">ower </w:t>
      </w:r>
      <w:r w:rsidRPr="004B5FDC">
        <w:t>N</w:t>
      </w:r>
      <w:r>
        <w:t>etworks, and a slightly more than United Energy.</w:t>
      </w:r>
      <w:r>
        <w:rPr>
          <w:rStyle w:val="FootnoteReference"/>
        </w:rPr>
        <w:footnoteReference w:id="757"/>
      </w:r>
      <w:r>
        <w:t xml:space="preserve"> </w:t>
      </w:r>
      <w:r>
        <w:rPr>
          <w:rStyle w:val="FootnoteReference"/>
        </w:rPr>
        <w:footnoteReference w:id="758"/>
      </w:r>
    </w:p>
    <w:p w:rsidR="00051BDB" w:rsidRDefault="00A409CB" w:rsidP="00A409CB">
      <w:pPr>
        <w:pStyle w:val="Caption"/>
      </w:pPr>
      <w:bookmarkStart w:id="245" w:name="_Ref417641668"/>
      <w:r>
        <w:lastRenderedPageBreak/>
        <w:t xml:space="preserve">Figure </w:t>
      </w:r>
      <w:fldSimple w:instr=" STYLEREF 7 \s ">
        <w:r w:rsidR="00C74791">
          <w:rPr>
            <w:noProof/>
          </w:rPr>
          <w:t>A</w:t>
        </w:r>
      </w:fldSimple>
      <w:r>
        <w:t>.</w:t>
      </w:r>
      <w:fldSimple w:instr=" SEQ AFigure \* ARABIC \s 7 ">
        <w:r w:rsidR="00C74791">
          <w:rPr>
            <w:noProof/>
          </w:rPr>
          <w:t>24</w:t>
        </w:r>
      </w:fldSimple>
      <w:bookmarkEnd w:id="245"/>
      <w:r w:rsidR="00051BDB">
        <w:tab/>
        <w:t>Normalised Difference Vegetation Index: 6 Month Average September 2014 to 28 February 2015</w:t>
      </w:r>
    </w:p>
    <w:p w:rsidR="00051BDB" w:rsidRPr="001D1F95" w:rsidRDefault="00051BDB" w:rsidP="00051BDB">
      <w:r w:rsidRPr="00051BDB">
        <w:rPr>
          <w:noProof/>
          <w:lang w:eastAsia="en-AU"/>
        </w:rPr>
        <w:drawing>
          <wp:inline distT="0" distB="0" distL="0" distR="0" wp14:anchorId="30D39C28" wp14:editId="411A710B">
            <wp:extent cx="4300157" cy="2980706"/>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304266" cy="2983554"/>
                    </a:xfrm>
                    <a:prstGeom prst="rect">
                      <a:avLst/>
                    </a:prstGeom>
                  </pic:spPr>
                </pic:pic>
              </a:graphicData>
            </a:graphic>
          </wp:inline>
        </w:drawing>
      </w:r>
    </w:p>
    <w:p w:rsidR="00051BDB" w:rsidRDefault="00051BDB" w:rsidP="00051BDB">
      <w:pPr>
        <w:pStyle w:val="Source"/>
      </w:pPr>
      <w:r>
        <w:t>Source: Bureau of Meteorology</w:t>
      </w:r>
      <w:r>
        <w:rPr>
          <w:rStyle w:val="FootnoteReference"/>
        </w:rPr>
        <w:footnoteReference w:id="759"/>
      </w:r>
    </w:p>
    <w:p w:rsidR="00051BDB" w:rsidRDefault="00051BDB" w:rsidP="00051BDB">
      <w:r>
        <w:t>W</w:t>
      </w:r>
      <w:r w:rsidRPr="004B5FDC">
        <w:t xml:space="preserve">e </w:t>
      </w:r>
      <w:r>
        <w:t>are satisfied that</w:t>
      </w:r>
      <w:r w:rsidRPr="004B5FDC">
        <w:t xml:space="preserve"> the more stringent vegetation management obligations and bushfire risks in Victoria are likely to outweigh the higher vegetation density in Ausgrid and Endeavour’s service </w:t>
      </w:r>
      <w:r>
        <w:t>area. The forecast percentage</w:t>
      </w:r>
      <w:r w:rsidRPr="004B5FDC">
        <w:t xml:space="preserve"> increase</w:t>
      </w:r>
      <w:r>
        <w:t>s</w:t>
      </w:r>
      <w:r w:rsidRPr="004B5FDC">
        <w:t xml:space="preserve"> in opex due to the change in bushfire regulation</w:t>
      </w:r>
      <w:r>
        <w:t>s for Powercor and AusNet were 11.5 and 11.3 per cent respectively.</w:t>
      </w:r>
      <w:r w:rsidRPr="004B5FDC">
        <w:t xml:space="preserve"> </w:t>
      </w:r>
      <w:r>
        <w:t>These are both</w:t>
      </w:r>
      <w:r w:rsidRPr="004B5FDC">
        <w:t xml:space="preserve"> greater than the average </w:t>
      </w:r>
      <w:r>
        <w:t>percentage</w:t>
      </w:r>
      <w:r w:rsidRPr="004B5FDC">
        <w:t xml:space="preserve"> of opex that that Ausgrid and Endeavour spent on vegetation management during the 2009 to 2013 period</w:t>
      </w:r>
      <w:r>
        <w:t>, 6 and 8 per cent respectively.</w:t>
      </w:r>
      <w:r w:rsidRPr="00A5018A">
        <w:rPr>
          <w:rStyle w:val="FootnoteReference"/>
        </w:rPr>
        <w:t xml:space="preserve"> </w:t>
      </w:r>
      <w:r>
        <w:rPr>
          <w:rStyle w:val="FootnoteReference"/>
        </w:rPr>
        <w:footnoteReference w:id="760"/>
      </w:r>
      <w:r>
        <w:t xml:space="preserve"> </w:t>
      </w:r>
      <w:r>
        <w:rPr>
          <w:rStyle w:val="FootnoteReference"/>
        </w:rPr>
        <w:footnoteReference w:id="761"/>
      </w:r>
      <w:r w:rsidRPr="004B5FDC">
        <w:t xml:space="preserve"> </w:t>
      </w:r>
    </w:p>
    <w:p w:rsidR="00051BDB" w:rsidRPr="004B5FDC" w:rsidRDefault="00A409CB" w:rsidP="00051BDB">
      <w:r>
        <w:fldChar w:fldCharType="begin"/>
      </w:r>
      <w:r>
        <w:instrText xml:space="preserve"> REF _Ref417641668 \h </w:instrText>
      </w:r>
      <w:r>
        <w:fldChar w:fldCharType="separate"/>
      </w:r>
      <w:r w:rsidR="00C74791">
        <w:t xml:space="preserve">Figure </w:t>
      </w:r>
      <w:r w:rsidR="00C74791">
        <w:rPr>
          <w:noProof/>
        </w:rPr>
        <w:t>A</w:t>
      </w:r>
      <w:r w:rsidR="00C74791">
        <w:t>.</w:t>
      </w:r>
      <w:r w:rsidR="00C74791">
        <w:rPr>
          <w:noProof/>
        </w:rPr>
        <w:t>24</w:t>
      </w:r>
      <w:r>
        <w:fldChar w:fldCharType="end"/>
      </w:r>
      <w:r>
        <w:t xml:space="preserve"> </w:t>
      </w:r>
      <w:r w:rsidR="00051BDB">
        <w:t xml:space="preserve">above shows that overall </w:t>
      </w:r>
      <w:r w:rsidR="00051BDB" w:rsidRPr="004B5FDC">
        <w:t xml:space="preserve">Essential </w:t>
      </w:r>
      <w:r w:rsidR="005E57AD">
        <w:t xml:space="preserve">Energy </w:t>
      </w:r>
      <w:r w:rsidR="00051BDB" w:rsidRPr="004B5FDC">
        <w:t xml:space="preserve">has vegetation density comparable to </w:t>
      </w:r>
      <w:r w:rsidR="00051BDB">
        <w:t>western Victoria</w:t>
      </w:r>
      <w:r w:rsidR="00051BDB" w:rsidRPr="004B5FDC">
        <w:t xml:space="preserve">. Essential </w:t>
      </w:r>
      <w:r w:rsidR="005E57AD">
        <w:t xml:space="preserve">Energy </w:t>
      </w:r>
      <w:r w:rsidR="00051BDB" w:rsidRPr="004B5FDC">
        <w:t>spend</w:t>
      </w:r>
      <w:r w:rsidR="00051BDB">
        <w:t>s a similar percentage of opex, 20 per cent,</w:t>
      </w:r>
      <w:r w:rsidR="00051BDB" w:rsidRPr="004B5FDC">
        <w:t xml:space="preserve"> on vegetat</w:t>
      </w:r>
      <w:r w:rsidR="00051BDB">
        <w:t>ion management as Powercor (18 per cent) and AusNet (22 per cent).</w:t>
      </w:r>
      <w:r w:rsidR="00051BDB" w:rsidRPr="00F95D11">
        <w:rPr>
          <w:rStyle w:val="FootnoteReference"/>
        </w:rPr>
        <w:footnoteReference w:id="762"/>
      </w:r>
    </w:p>
    <w:p w:rsidR="00051BDB" w:rsidRDefault="00051BDB" w:rsidP="00051BDB">
      <w:r>
        <w:t xml:space="preserve">On balance we are satisfied that the Victorian service providers will face a cost disadvantage relative to the NSW service providers due to differences in bushfire risk and related regulations. However, as there are offsetting factors mentioned above, it is uncertain if those differences will lead to a material cost advantage for the NSW service providers. As a result we have decided to treat bushfire risk as an immaterial OEF for the purpose of </w:t>
      </w:r>
      <w:r w:rsidRPr="00223FFD">
        <w:t>benchmarking</w:t>
      </w:r>
      <w:r>
        <w:t xml:space="preserve"> comparisons between the NSW service </w:t>
      </w:r>
      <w:r>
        <w:lastRenderedPageBreak/>
        <w:t xml:space="preserve">providers and the comparison firms. The geographic characteristics and settlement patterns of a network area are beyond the control of service providers. Economic Insights' SFA model does not account for differences in bushfire risk. Therefore, in accordance with our treatment of individually immaterial OEFs we have provided a negative 0.5 per cent adjustment in our collective adjustment for immaterial OEFs to account for differences in bushfire risk. </w:t>
      </w:r>
    </w:p>
    <w:p w:rsidR="00051BDB" w:rsidRDefault="00051BDB" w:rsidP="00051BDB">
      <w:pPr>
        <w:pStyle w:val="HeadingBoldBlue"/>
        <w:numPr>
          <w:ilvl w:val="0"/>
          <w:numId w:val="24"/>
        </w:numPr>
      </w:pPr>
      <w:r>
        <w:t>Corrosive elements</w:t>
      </w:r>
    </w:p>
    <w:p w:rsidR="00051BDB" w:rsidRPr="00B7151E" w:rsidRDefault="00051BDB" w:rsidP="00051BDB">
      <w:pPr>
        <w:numPr>
          <w:ilvl w:val="0"/>
          <w:numId w:val="24"/>
        </w:numPr>
      </w:pPr>
      <w:r>
        <w:t>We are not satisfied that an</w:t>
      </w:r>
      <w:r w:rsidRPr="00B7151E">
        <w:t xml:space="preserve"> </w:t>
      </w:r>
      <w:r>
        <w:t>OEF</w:t>
      </w:r>
      <w:r w:rsidRPr="00B7151E">
        <w:t xml:space="preserve"> adjustment for corrosive environments</w:t>
      </w:r>
      <w:r>
        <w:t xml:space="preserve"> would meet the materiality OEF</w:t>
      </w:r>
      <w:r w:rsidRPr="00B7151E">
        <w:t xml:space="preserve"> adjustment criterion. All service providers have assets that corrosive elements affect.</w:t>
      </w:r>
    </w:p>
    <w:p w:rsidR="00051BDB" w:rsidRDefault="00051BDB" w:rsidP="00051BDB">
      <w:pPr>
        <w:numPr>
          <w:ilvl w:val="0"/>
          <w:numId w:val="24"/>
        </w:numPr>
      </w:pPr>
      <w:r>
        <w:t>In our draft decision we did not provide an OEF adjustment for corrosive elements. This was on the basis that all service providers are affected by corrosive elements.</w:t>
      </w:r>
      <w:r w:rsidRPr="00B7151E">
        <w:t xml:space="preserve"> While salts affect assets in coastal areas, dusts affect assets in inland areas. </w:t>
      </w:r>
      <w:r>
        <w:t>While all service providers will be affected to some extent, the</w:t>
      </w:r>
      <w:r w:rsidRPr="00B7151E">
        <w:t xml:space="preserve"> differences </w:t>
      </w:r>
      <w:r>
        <w:t xml:space="preserve">in the corrosive elements in each area will </w:t>
      </w:r>
      <w:r w:rsidRPr="00B7151E">
        <w:t>lead to differences in design</w:t>
      </w:r>
      <w:r>
        <w:t xml:space="preserve"> and operational considerations that may affect opex. </w:t>
      </w:r>
      <w:r w:rsidRPr="00B7151E">
        <w:t xml:space="preserve">However, sufficient evidence </w:t>
      </w:r>
      <w:r>
        <w:t>was not provided to show</w:t>
      </w:r>
      <w:r w:rsidRPr="00B7151E">
        <w:t xml:space="preserve"> that these differences </w:t>
      </w:r>
      <w:r>
        <w:t>would</w:t>
      </w:r>
      <w:r w:rsidRPr="00B7151E">
        <w:t xml:space="preserve"> </w:t>
      </w:r>
      <w:r>
        <w:t>be material.</w:t>
      </w:r>
    </w:p>
    <w:p w:rsidR="00051BDB" w:rsidRDefault="00051BDB" w:rsidP="00051BDB">
      <w:pPr>
        <w:numPr>
          <w:ilvl w:val="0"/>
          <w:numId w:val="24"/>
        </w:numPr>
      </w:pPr>
      <w:r>
        <w:t>In response to our draft decision, we received no evidence that the NSW service providers have greater or lesser exposure to corrosive elements than the comparison firms.</w:t>
      </w:r>
    </w:p>
    <w:p w:rsidR="00051BDB" w:rsidRDefault="00051BDB" w:rsidP="00051BDB">
      <w:pPr>
        <w:numPr>
          <w:ilvl w:val="0"/>
          <w:numId w:val="24"/>
        </w:numPr>
      </w:pPr>
      <w:r>
        <w:t>However, in accordance with our treatment of immaterial OEFs we have provided a positive 0.5 per cent adjustment for differences in exposure to corrosive elements. Although an OEF adjustment for differences in exposure to corrosive elements is not likely to lead to material differences in opex, the differences they do cause would meet the exogeneity and duplication OEF criteria. The prevalence of corrosive compounds in a network area is beyond service providers' control and Economic Insights' SFA model does not have a variable to account for it. We have provided a positive 0.5 per cent adjustment because it is unclear if differences in exposure to corrosive elements will lead to a cost advantage or disadvantage for the NSW service providers relative to the comparison firms.</w:t>
      </w:r>
    </w:p>
    <w:p w:rsidR="00051BDB" w:rsidRDefault="00051BDB" w:rsidP="00051BDB">
      <w:pPr>
        <w:pStyle w:val="HeadingBoldBlue"/>
        <w:numPr>
          <w:ilvl w:val="0"/>
          <w:numId w:val="24"/>
        </w:numPr>
      </w:pPr>
      <w:r>
        <w:t>Environmental Variability</w:t>
      </w:r>
    </w:p>
    <w:p w:rsidR="00051BDB" w:rsidRDefault="00051BDB" w:rsidP="00051BDB">
      <w:r>
        <w:t>We are not satisfied that an OEF adjustment for environmental variability would meet the materiality OEF adjustment criterion. Intra-network environmental variability will not lead to material differences in opex.</w:t>
      </w:r>
    </w:p>
    <w:p w:rsidR="00051BDB" w:rsidRDefault="00051BDB" w:rsidP="00051BDB">
      <w:r>
        <w:t xml:space="preserve">In its regulatory proposal Ergon Energy raised intra-network environmental variability as an issue that would lead to material differences in opex between it and the </w:t>
      </w:r>
      <w:r>
        <w:lastRenderedPageBreak/>
        <w:t>comparison firms.</w:t>
      </w:r>
      <w:r>
        <w:rPr>
          <w:rStyle w:val="FootnoteReference"/>
        </w:rPr>
        <w:footnoteReference w:id="763"/>
      </w:r>
      <w:r>
        <w:t xml:space="preserve"> Ergon Energy submitted metrics on the variability of temperature, rainfall, and humidity to support this claim. These metrics showed that Ergon has the highest level of intra-network variability in humidity, rainfall, and temperature. Ergon considers this variability of environment </w:t>
      </w:r>
      <w:r w:rsidRPr="00853382">
        <w:t xml:space="preserve">within </w:t>
      </w:r>
      <w:r>
        <w:t>its</w:t>
      </w:r>
      <w:r w:rsidRPr="00853382">
        <w:t xml:space="preserve"> network pres</w:t>
      </w:r>
      <w:r>
        <w:t xml:space="preserve">ents Ergon Energy with a </w:t>
      </w:r>
      <w:r w:rsidRPr="00853382">
        <w:t xml:space="preserve">significant </w:t>
      </w:r>
      <w:r>
        <w:t>challenge</w:t>
      </w:r>
      <w:r w:rsidRPr="00853382">
        <w:t xml:space="preserve"> </w:t>
      </w:r>
      <w:r>
        <w:t>in the</w:t>
      </w:r>
      <w:r w:rsidRPr="00853382">
        <w:t xml:space="preserve"> development of optimal</w:t>
      </w:r>
      <w:r>
        <w:t xml:space="preserve"> </w:t>
      </w:r>
      <w:r w:rsidRPr="00853382">
        <w:t>maintenance schedules and resource allocation.</w:t>
      </w:r>
      <w:r>
        <w:t xml:space="preserve"> Ergon did not quantify the effect of these scheduling and logistic issues on its opex. Further, Ergon Energy did not adequately explain the link between environmental variability and increased maintenance scheduling costs or resource allocation costs.</w:t>
      </w:r>
    </w:p>
    <w:p w:rsidR="00051BDB" w:rsidRDefault="00051BDB" w:rsidP="00051BDB">
      <w:r>
        <w:t>We are not satisfied that differences in environmental variability will lead to material differences in opex. In developing maintenance schedules and managing inventories, all service providers must manage a large range of assets. The major driver of this heterogeneity is technological change. As the technology of electricity distribution advances over time, service providers install different types of assets. However, the older assets, based on a different technology remain. Managing this complexity is one of the core competencies of an asset manager. Ergon has provided no information that demonstrates that the incremental complexity involved in managing the potential differences in assets in different environmental zones will materially add to the challenges that all service providers face.</w:t>
      </w:r>
    </w:p>
    <w:p w:rsidR="00051BDB" w:rsidRDefault="00051BDB" w:rsidP="00051BDB">
      <w:r>
        <w:t>Additionally we note that the majority of the comparison firms (AusNet services, Powercor, and SA Power Networks) are predominantly rural service providers that must operate in environmentally diverse circumstances.</w:t>
      </w:r>
    </w:p>
    <w:p w:rsidR="00051BDB" w:rsidRDefault="00051BDB" w:rsidP="00051BDB">
      <w:r>
        <w:t>However, as this factor satisfies the exogeneity and duplication OEF criteria, we have included it in our OEF adjustment for immaterial factors. As the majority of comparison firms are rural service providers, the customer weighted average comparison firm is likely to operate in a service area with a more variable climate than Ausgrid or Endeavour</w:t>
      </w:r>
      <w:r w:rsidR="005E57AD">
        <w:t xml:space="preserve"> Energy </w:t>
      </w:r>
      <w:r>
        <w:t xml:space="preserve">. However, as the comparison firms include CitiPower and United Energy, Essential </w:t>
      </w:r>
      <w:r w:rsidR="005E57AD">
        <w:t xml:space="preserve">Energy </w:t>
      </w:r>
      <w:r>
        <w:t xml:space="preserve">is likely to have a cost disadvantage. An OEF adjustment for environmental variability is also likely to satisfy the exogeneity and materiality OEF adjustment criteria. Differences in environment within a network's service are beyond service providers' control and Economic Insights' SFA model does not capture differences in environmental variability. As a result we have provided a negative 0.5 per cent adjustment to Ausgrid and Endeavour but a positive 0.5 per cent adjustment to Essential </w:t>
      </w:r>
      <w:r w:rsidR="005E57AD">
        <w:t xml:space="preserve">Energy </w:t>
      </w:r>
      <w:r>
        <w:t>in our OEF adjustment for immaterial factors.</w:t>
      </w:r>
    </w:p>
    <w:p w:rsidR="00051BDB" w:rsidRPr="009F21E8" w:rsidRDefault="00051BDB" w:rsidP="00051BDB">
      <w:pPr>
        <w:pStyle w:val="HeadingBoldBlue"/>
        <w:numPr>
          <w:ilvl w:val="0"/>
          <w:numId w:val="24"/>
        </w:numPr>
      </w:pPr>
      <w:r>
        <w:t>Extreme weather events</w:t>
      </w:r>
    </w:p>
    <w:p w:rsidR="00051BDB" w:rsidRPr="009F21E8" w:rsidRDefault="00051BDB" w:rsidP="00051BDB">
      <w:r w:rsidRPr="009F21E8">
        <w:t xml:space="preserve">We are </w:t>
      </w:r>
      <w:r>
        <w:t xml:space="preserve">not </w:t>
      </w:r>
      <w:r w:rsidRPr="009F21E8">
        <w:t xml:space="preserve">satisfied that an </w:t>
      </w:r>
      <w:r>
        <w:t>OEF</w:t>
      </w:r>
      <w:r w:rsidRPr="009F21E8">
        <w:t xml:space="preserve"> adjustment for differences in </w:t>
      </w:r>
      <w:r>
        <w:t>exposure to extreme weather events would meet the materiality OEF adjustment criterion.</w:t>
      </w:r>
    </w:p>
    <w:p w:rsidR="00051BDB" w:rsidRDefault="00051BDB" w:rsidP="00051BDB">
      <w:r>
        <w:lastRenderedPageBreak/>
        <w:t>In support of its 2014 regulatory proposal, Ausgrid submitted a report by Evan</w:t>
      </w:r>
      <w:r w:rsidRPr="009F21E8">
        <w:t xml:space="preserve">s and Peck </w:t>
      </w:r>
      <w:r>
        <w:t xml:space="preserve">that </w:t>
      </w:r>
      <w:r w:rsidRPr="009F21E8">
        <w:t xml:space="preserve">identified major weather events as an </w:t>
      </w:r>
      <w:r>
        <w:t>OEF</w:t>
      </w:r>
      <w:r w:rsidRPr="009F21E8">
        <w:t xml:space="preserve"> that may affect benchmarking results.</w:t>
      </w:r>
      <w:r w:rsidRPr="009F21E8">
        <w:rPr>
          <w:rStyle w:val="FootnoteReference"/>
        </w:rPr>
        <w:footnoteReference w:id="764"/>
      </w:r>
      <w:r w:rsidRPr="009F21E8">
        <w:t xml:space="preserve"> Evans and Peck present analysis from the Bureau of Transport Economics (BTE) that estimate the magnitude of the costs imposed by disasters in Australia. These costs include the estimated costs of bushfires, cyclones, earthquakes, floods, landslides, and severe storms in Australia over the period 1967-1999.</w:t>
      </w:r>
      <w:r w:rsidRPr="009F21E8">
        <w:rPr>
          <w:rStyle w:val="FootnoteReference"/>
        </w:rPr>
        <w:footnoteReference w:id="765"/>
      </w:r>
    </w:p>
    <w:p w:rsidR="00051BDB" w:rsidRDefault="00051BDB" w:rsidP="00051BDB">
      <w:r>
        <w:t>In our draft decision we did not provide an OEF for extreme weather events.</w:t>
      </w:r>
      <w:r>
        <w:rPr>
          <w:rStyle w:val="FootnoteReference"/>
        </w:rPr>
        <w:footnoteReference w:id="766"/>
      </w:r>
      <w:r>
        <w:t xml:space="preserve"> This is because they</w:t>
      </w:r>
      <w:r w:rsidRPr="009F21E8">
        <w:t xml:space="preserve"> </w:t>
      </w:r>
      <w:r>
        <w:t>are not</w:t>
      </w:r>
      <w:r w:rsidRPr="009F21E8">
        <w:t xml:space="preserve"> likely to create material differences in opex between </w:t>
      </w:r>
      <w:r>
        <w:t>the NSW service providers</w:t>
      </w:r>
      <w:r w:rsidRPr="009F21E8">
        <w:t xml:space="preserve"> and t</w:t>
      </w:r>
      <w:r>
        <w:t>he comparison firms. On the basis of the data from the BTE, the average annual economic impact of severe storms is low in NSW, Victoria, and South Australia. The NSW service providers did not make any submissions on our draft position for this OEF.</w:t>
      </w:r>
    </w:p>
    <w:p w:rsidR="00051BDB" w:rsidRDefault="00051BDB" w:rsidP="00051BDB">
      <w:r>
        <w:t>However, we have included this factor in our adjustment for immaterial factors. It satisfies the exogeneity and duplication criteria. Service providers cannot control the weather and Economic Insights' SFA model does not include variables that account for the effects of extreme weather. As the impact of extreme weather events is higher in NSW than in Victoria or South Australia, when normalised for GSP, we have provided a positive 0.5 per cent adjustment for extreme weather events.</w:t>
      </w:r>
    </w:p>
    <w:p w:rsidR="00051BDB" w:rsidRDefault="00051BDB" w:rsidP="00051BDB">
      <w:pPr>
        <w:pStyle w:val="HeadingBoldBlue"/>
        <w:numPr>
          <w:ilvl w:val="0"/>
          <w:numId w:val="24"/>
        </w:numPr>
      </w:pPr>
      <w:r>
        <w:t>Grounding conditions</w:t>
      </w:r>
    </w:p>
    <w:p w:rsidR="00051BDB" w:rsidRDefault="00051BDB" w:rsidP="00051BDB">
      <w:pPr>
        <w:numPr>
          <w:ilvl w:val="0"/>
          <w:numId w:val="24"/>
        </w:numPr>
      </w:pPr>
      <w:r w:rsidRPr="00B7151E">
        <w:t>We are</w:t>
      </w:r>
      <w:r>
        <w:t xml:space="preserve"> not</w:t>
      </w:r>
      <w:r w:rsidRPr="00B7151E">
        <w:t xml:space="preserve"> satisfied that an </w:t>
      </w:r>
      <w:r>
        <w:t>OEF</w:t>
      </w:r>
      <w:r w:rsidRPr="00B7151E">
        <w:t xml:space="preserve"> for grounding conditions</w:t>
      </w:r>
      <w:r>
        <w:t xml:space="preserve"> would meet</w:t>
      </w:r>
      <w:r w:rsidRPr="00B7151E">
        <w:t xml:space="preserve"> </w:t>
      </w:r>
      <w:r>
        <w:t>the materiality OEF</w:t>
      </w:r>
      <w:r w:rsidRPr="00B7151E">
        <w:t xml:space="preserve"> adjustment criterion. The installation of earth grids is a very small part of service providers' costs</w:t>
      </w:r>
      <w:r>
        <w:t>. There is no evidence to suggest that there are material differences in grounding conditions between the NSW service providers and the comparison firms</w:t>
      </w:r>
      <w:r w:rsidRPr="00B7151E">
        <w:t>.</w:t>
      </w:r>
    </w:p>
    <w:p w:rsidR="00051BDB" w:rsidRPr="00B7151E" w:rsidRDefault="00051BDB" w:rsidP="00051BDB">
      <w:pPr>
        <w:numPr>
          <w:ilvl w:val="0"/>
          <w:numId w:val="24"/>
        </w:numPr>
      </w:pPr>
      <w:r w:rsidRPr="008C74B0">
        <w:t>Electricity distribution requires the use of earthing or grounding connection to aid in the protection and monitoring of the network. In rural areas, service providers use the earth as the return path for some forms of electricity distribution. These systems require service providers to create an electrical earth, usually from embedding conductors or rods in the ground. The effectiveness of these earths varies depending on the soil type and the amount of moisture in the soil.</w:t>
      </w:r>
    </w:p>
    <w:p w:rsidR="00051BDB" w:rsidRDefault="00051BDB" w:rsidP="00051BDB">
      <w:pPr>
        <w:rPr>
          <w:rStyle w:val="AERbody"/>
        </w:rPr>
      </w:pPr>
      <w:r>
        <w:t xml:space="preserve">In our draft decision we did not provide an OEF adjustment for grounding conditions. This was on the basis that </w:t>
      </w:r>
      <w:r>
        <w:rPr>
          <w:rStyle w:val="AERbody"/>
        </w:rPr>
        <w:t>t</w:t>
      </w:r>
      <w:r w:rsidRPr="00B7151E">
        <w:rPr>
          <w:rStyle w:val="AERbody"/>
        </w:rPr>
        <w:t xml:space="preserve">he maintenance of earth grids are a very small part of service provider's costs. </w:t>
      </w:r>
    </w:p>
    <w:p w:rsidR="00051BDB" w:rsidRDefault="00051BDB" w:rsidP="00051BDB">
      <w:pPr>
        <w:numPr>
          <w:ilvl w:val="0"/>
          <w:numId w:val="24"/>
        </w:numPr>
      </w:pPr>
      <w:r>
        <w:lastRenderedPageBreak/>
        <w:t xml:space="preserve">In response to our draft decision, we received no evidence that there are </w:t>
      </w:r>
      <w:r w:rsidRPr="00B7151E">
        <w:rPr>
          <w:rStyle w:val="AERbody"/>
        </w:rPr>
        <w:t xml:space="preserve">differences in grounding costs between </w:t>
      </w:r>
      <w:r>
        <w:rPr>
          <w:rStyle w:val="AERbody"/>
        </w:rPr>
        <w:t>the NSW service providers and the comparison firms</w:t>
      </w:r>
      <w:r w:rsidRPr="00B7151E">
        <w:t xml:space="preserve"> </w:t>
      </w:r>
      <w:r>
        <w:t>that would lead to material differences in opex.</w:t>
      </w:r>
    </w:p>
    <w:p w:rsidR="00051BDB" w:rsidRDefault="00051BDB" w:rsidP="00051BDB">
      <w:pPr>
        <w:numPr>
          <w:ilvl w:val="0"/>
          <w:numId w:val="24"/>
        </w:numPr>
      </w:pPr>
      <w:r>
        <w:t>However, in accordance with our treatment of immaterial OEFs we have provided a positive 0.5 per cent adjustment for differences in grounding conditions. An adjustment for grounding conditions would satisfy the exogeneity and duplication OEF criteria. Soil conditions are beyond service providers' control and Economic Insights' SFA model does not have a variable that accounts for them. We have provided a positive 0.5 per cent adjustment because it is unclear if differences in grounding conditions will lead to a cost advantage or disadvantage for the NSW service providers relative to the comparison firms.</w:t>
      </w:r>
    </w:p>
    <w:p w:rsidR="00051BDB" w:rsidRDefault="00051BDB" w:rsidP="00051BDB">
      <w:pPr>
        <w:pStyle w:val="HeadingBoldBlue"/>
        <w:numPr>
          <w:ilvl w:val="0"/>
          <w:numId w:val="24"/>
        </w:numPr>
      </w:pPr>
      <w:r>
        <w:t>Humidity and rainfall</w:t>
      </w:r>
    </w:p>
    <w:p w:rsidR="00051BDB" w:rsidRDefault="00051BDB" w:rsidP="00051BDB">
      <w:r>
        <w:t>We are not satisfied that an OEF for differences in humidity and rainfall between the NSW service providers and the comparison firms would meet the materiality OEF adjustment criterion. Differences in humidity between the NSW service providers and the comparison firms are unlikely to lead to material differences in opex. This is because differences in humidity are will have a greater impact on asset replacement rather than maintenance costs.</w:t>
      </w:r>
    </w:p>
    <w:p w:rsidR="00051BDB" w:rsidRDefault="00051BDB" w:rsidP="00051BDB">
      <w:r>
        <w:t>In response to our draft decision, Essential Energy submitted that we had not taken into account differences in the rate of fungal rot between the NSW service providers and the comparison firms.</w:t>
      </w:r>
      <w:r>
        <w:rPr>
          <w:rStyle w:val="FootnoteReference"/>
        </w:rPr>
        <w:footnoteReference w:id="767"/>
      </w:r>
      <w:r>
        <w:t xml:space="preserve"> Essential Energy presented two maps produced by the CSIRO that indicated that wooden objects in the northern half of coastal NSW are more prone to fungal rot than Victoria. Essential Energy stated this would lead to greater pole maintenance costs. Essential Energy provided no quantification of the impact that these differences would have on costs.</w:t>
      </w:r>
    </w:p>
    <w:p w:rsidR="00051BDB" w:rsidRDefault="00051BDB" w:rsidP="00051BDB">
      <w:r>
        <w:t>In response to questions from the AER about the effect of rainfall and humidity on poles, cross arms, transformers and assets using SF6 as an insulator, Ergon Energy submitted that high rainfall and humidity increases the degradation of timber assets.</w:t>
      </w:r>
      <w:r>
        <w:rPr>
          <w:rStyle w:val="FootnoteReference"/>
        </w:rPr>
        <w:footnoteReference w:id="768"/>
      </w:r>
      <w:r>
        <w:t xml:space="preserve"> It also submitted that asset failures in high rainfall areas make up 40 per cent of asset failures although they only make up five per cent of the area of Queensland.</w:t>
      </w:r>
      <w:r>
        <w:rPr>
          <w:rStyle w:val="FootnoteReference"/>
        </w:rPr>
        <w:footnoteReference w:id="769"/>
      </w:r>
      <w:r>
        <w:t xml:space="preserve"> Ergon Energy also stated that it has a special inspection program for pole tops in areas that have rainfall of above 1500mm per annum. This leads to inspection costs being higher for poles in its higher rainfall areas.</w:t>
      </w:r>
    </w:p>
    <w:p w:rsidR="00051BDB" w:rsidRDefault="00051BDB" w:rsidP="00051BDB">
      <w:r>
        <w:t xml:space="preserve">We agree with Essential Energy that wooden poles in the north of coastal NSW will be more susceptible to fungal rot than poles in the comparison firms' service areas. However, we do not consider that this will lead to material differences in opex between the comparison firms and the NSW service providers. This is because fungal rot is </w:t>
      </w:r>
      <w:r>
        <w:lastRenderedPageBreak/>
        <w:t xml:space="preserve">more likely to lead to increased pole replacement than increased maintenance costs. Maintenance activities for poles are predominantly inspection and antifungal treatment. These are generally carried out at the same time. </w:t>
      </w:r>
    </w:p>
    <w:p w:rsidR="00051BDB" w:rsidRDefault="00051BDB" w:rsidP="00051BDB">
      <w:r>
        <w:t>The Victorian service providers are required to inspect their assets every three years in Hazardous Bushfire Risk Areas and every five years in Low Bushfire Risk Areas.</w:t>
      </w:r>
      <w:r>
        <w:rPr>
          <w:rStyle w:val="FootnoteReference"/>
        </w:rPr>
        <w:footnoteReference w:id="770"/>
      </w:r>
      <w:r>
        <w:t xml:space="preserve"> This practice has been in place since 2011.</w:t>
      </w:r>
      <w:r>
        <w:rPr>
          <w:rStyle w:val="FootnoteReference"/>
        </w:rPr>
        <w:footnoteReference w:id="771"/>
      </w:r>
      <w:r>
        <w:t xml:space="preserve"> Ergon</w:t>
      </w:r>
      <w:r>
        <w:rPr>
          <w:rStyle w:val="FootnoteReference"/>
        </w:rPr>
        <w:footnoteReference w:id="772"/>
      </w:r>
      <w:r>
        <w:t xml:space="preserve"> and Essential</w:t>
      </w:r>
      <w:r>
        <w:rPr>
          <w:rStyle w:val="FootnoteReference"/>
        </w:rPr>
        <w:footnoteReference w:id="773"/>
      </w:r>
      <w:r>
        <w:t xml:space="preserve"> generally inspect their pole assets and pole top assets every four years. Ausgrid</w:t>
      </w:r>
      <w:r>
        <w:rPr>
          <w:rStyle w:val="FootnoteReference"/>
        </w:rPr>
        <w:footnoteReference w:id="774"/>
      </w:r>
      <w:r>
        <w:t xml:space="preserve"> and Energex</w:t>
      </w:r>
      <w:r>
        <w:rPr>
          <w:rStyle w:val="FootnoteReference"/>
        </w:rPr>
        <w:footnoteReference w:id="775"/>
      </w:r>
      <w:r>
        <w:t xml:space="preserve"> reported five year inspection cycles and Endeavour Energy</w:t>
      </w:r>
      <w:r>
        <w:rPr>
          <w:rStyle w:val="FootnoteReference"/>
        </w:rPr>
        <w:footnoteReference w:id="776"/>
      </w:r>
      <w:r>
        <w:t xml:space="preserve"> reported four and a half year cycles.</w:t>
      </w:r>
      <w:r w:rsidRPr="007E40DA">
        <w:t xml:space="preserve"> </w:t>
      </w:r>
    </w:p>
    <w:p w:rsidR="00051BDB" w:rsidRDefault="00051BDB" w:rsidP="00051BDB">
      <w:r>
        <w:t xml:space="preserve">We do note that the Ergon Energy carries out more expensive </w:t>
      </w:r>
      <w:r w:rsidR="008C33CA">
        <w:t>cross arm</w:t>
      </w:r>
      <w:r>
        <w:t xml:space="preserve"> inspections in high rainfall areas. However, Ergon Energy has provided no evidence to indicate that the benefit of these inspections outweighs the additional costs relative to the aerial inspections used by other service providers to inspect </w:t>
      </w:r>
      <w:r w:rsidR="008C33CA">
        <w:t>cross arm</w:t>
      </w:r>
      <w:r>
        <w:t xml:space="preserve"> health. Further in the case of the NSW service providers, only Essential Energy has a small part of its network that is subject to average rainfalls in excess of 1500mm a year. </w:t>
      </w:r>
      <w:r w:rsidR="00A409CB">
        <w:fldChar w:fldCharType="begin"/>
      </w:r>
      <w:r w:rsidR="00A409CB">
        <w:instrText xml:space="preserve"> REF _Ref417504296 \h </w:instrText>
      </w:r>
      <w:r w:rsidR="00A409CB">
        <w:fldChar w:fldCharType="separate"/>
      </w:r>
      <w:r w:rsidR="00C74791">
        <w:t xml:space="preserve">Figure </w:t>
      </w:r>
      <w:r w:rsidR="00C74791">
        <w:rPr>
          <w:noProof/>
        </w:rPr>
        <w:t>A</w:t>
      </w:r>
      <w:r w:rsidR="00C74791">
        <w:t>.</w:t>
      </w:r>
      <w:r w:rsidR="00C74791">
        <w:rPr>
          <w:noProof/>
        </w:rPr>
        <w:t>25</w:t>
      </w:r>
      <w:r w:rsidR="00A409CB">
        <w:fldChar w:fldCharType="end"/>
      </w:r>
      <w:r w:rsidR="00A409CB">
        <w:t xml:space="preserve"> </w:t>
      </w:r>
      <w:r>
        <w:t>below.</w:t>
      </w:r>
    </w:p>
    <w:p w:rsidR="00051BDB" w:rsidRDefault="00A409CB" w:rsidP="00051BDB">
      <w:pPr>
        <w:pStyle w:val="Caption"/>
      </w:pPr>
      <w:bookmarkStart w:id="246" w:name="_Ref417504296"/>
      <w:r>
        <w:lastRenderedPageBreak/>
        <w:t>Figure</w:t>
      </w:r>
      <w:r w:rsidR="00051BDB">
        <w:t xml:space="preserve"> </w:t>
      </w:r>
      <w:fldSimple w:instr=" STYLEREF 7 \s ">
        <w:r w:rsidR="00C74791">
          <w:rPr>
            <w:noProof/>
          </w:rPr>
          <w:t>A</w:t>
        </w:r>
      </w:fldSimple>
      <w:r>
        <w:t>.</w:t>
      </w:r>
      <w:fldSimple w:instr=" SEQ AFigure \* ARABIC \s 7 ">
        <w:r w:rsidR="00C74791">
          <w:rPr>
            <w:noProof/>
          </w:rPr>
          <w:t>25</w:t>
        </w:r>
      </w:fldSimple>
      <w:bookmarkEnd w:id="246"/>
      <w:r w:rsidR="00051BDB">
        <w:tab/>
        <w:t>Average Annual Rainfall in Australia 1961 to 1990</w:t>
      </w:r>
    </w:p>
    <w:p w:rsidR="00051BDB" w:rsidRDefault="00051BDB" w:rsidP="00051BDB">
      <w:pPr>
        <w:pStyle w:val="Caption"/>
      </w:pPr>
      <w:r w:rsidRPr="00051BDB">
        <w:rPr>
          <w:noProof/>
          <w:lang w:eastAsia="en-AU"/>
        </w:rPr>
        <w:drawing>
          <wp:inline distT="0" distB="0" distL="0" distR="0" wp14:anchorId="2E6F7A8E" wp14:editId="05BD5EF9">
            <wp:extent cx="4884821" cy="335201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78248" cy="3347502"/>
                    </a:xfrm>
                    <a:prstGeom prst="rect">
                      <a:avLst/>
                    </a:prstGeom>
                  </pic:spPr>
                </pic:pic>
              </a:graphicData>
            </a:graphic>
          </wp:inline>
        </w:drawing>
      </w:r>
    </w:p>
    <w:p w:rsidR="00051BDB" w:rsidRPr="007635D5" w:rsidRDefault="00051BDB" w:rsidP="00051BDB">
      <w:pPr>
        <w:pStyle w:val="Source"/>
      </w:pPr>
      <w:r w:rsidRPr="007635D5">
        <w:t>Source: Bureau of meteorology</w:t>
      </w:r>
      <w:r w:rsidRPr="007635D5">
        <w:rPr>
          <w:rStyle w:val="FootnoteReference"/>
        </w:rPr>
        <w:footnoteReference w:id="777"/>
      </w:r>
    </w:p>
    <w:p w:rsidR="00051BDB" w:rsidRDefault="00051BDB" w:rsidP="00051BDB">
      <w:r>
        <w:t xml:space="preserve">We note that the increased rate of timber degradation in NSW and Queensland may manifest itself in higher replacement rates. Our repex model takes this into account by using observed replacement rates as the basis for forecast replacement quantities. </w:t>
      </w:r>
    </w:p>
    <w:p w:rsidR="00051BDB" w:rsidRPr="007E7766" w:rsidRDefault="00051BDB" w:rsidP="00051BDB">
      <w:r>
        <w:t>On balance we are not satisfied that differences in rainfall and humidity are likely to lead to material increases in opex between the NSW service providers and the comparison firms. However we consider that the increased susceptibility of timber to fungal rot on the north and central coast of NSW may lead to a marginal increase in opex for the NSW service providers. It is also appropriate to provide an adjustment for humidity and rainfall as it would satisfy the exogeneity and duplication criteria. The weather and climate are beyond the control of service providers and there is no variable in Economic Insights' SFA model that accounts for differences in humidity between the NEM service providers. In accordance with our approach to immaterial OEFs, we therefore consider it appropriate to provide a positive 0.5 per cent adjustment for humidity and rainfall to the NSW service providers.</w:t>
      </w:r>
    </w:p>
    <w:p w:rsidR="00051BDB" w:rsidRPr="009F21E8" w:rsidRDefault="00051BDB" w:rsidP="00051BDB">
      <w:pPr>
        <w:pStyle w:val="HeadingBoldBlue"/>
        <w:numPr>
          <w:ilvl w:val="0"/>
          <w:numId w:val="24"/>
        </w:numPr>
      </w:pPr>
      <w:r w:rsidRPr="009F21E8">
        <w:t>Skills required by service providers</w:t>
      </w:r>
    </w:p>
    <w:p w:rsidR="00051BDB" w:rsidRDefault="00051BDB" w:rsidP="00051BDB">
      <w:r w:rsidRPr="009F21E8">
        <w:t xml:space="preserve">We are </w:t>
      </w:r>
      <w:r>
        <w:t xml:space="preserve">not </w:t>
      </w:r>
      <w:r w:rsidRPr="009F21E8">
        <w:t xml:space="preserve">satisfied that an </w:t>
      </w:r>
      <w:r>
        <w:t>OEF</w:t>
      </w:r>
      <w:r w:rsidRPr="009F21E8">
        <w:t xml:space="preserve"> adjustment for differences in skills required by service providers</w:t>
      </w:r>
      <w:r>
        <w:t xml:space="preserve"> would meet</w:t>
      </w:r>
      <w:r w:rsidRPr="009F21E8">
        <w:t xml:space="preserve"> </w:t>
      </w:r>
      <w:r>
        <w:t>the materiality OEF</w:t>
      </w:r>
      <w:r w:rsidRPr="009F21E8">
        <w:t xml:space="preserve"> adjustment criterion. Differences in the skills </w:t>
      </w:r>
      <w:r w:rsidRPr="009F21E8">
        <w:lastRenderedPageBreak/>
        <w:t>required by service providers are not likely to lead to material differences in costs. All service providers require broadly the same skills.</w:t>
      </w:r>
    </w:p>
    <w:p w:rsidR="00051BDB" w:rsidRDefault="00051BDB" w:rsidP="00051BDB">
      <w:r>
        <w:t>As service providers operate in different environments, they may require different skills. For example, rural networks may hire pilots to carry out asset inspections and transport staff and equipment.</w:t>
      </w:r>
      <w:r w:rsidRPr="009F21E8">
        <w:t xml:space="preserve"> </w:t>
      </w:r>
      <w:r>
        <w:t>However, overall, s</w:t>
      </w:r>
      <w:r w:rsidRPr="009F21E8">
        <w:t xml:space="preserve">ervice providers require employees with similar qualifications and skills. We </w:t>
      </w:r>
      <w:r>
        <w:t xml:space="preserve">note that we </w:t>
      </w:r>
      <w:r w:rsidRPr="009F21E8">
        <w:t>are benchmarking the same core ser</w:t>
      </w:r>
      <w:r>
        <w:t>vices provided by all networks.</w:t>
      </w:r>
    </w:p>
    <w:p w:rsidR="00051BDB" w:rsidRDefault="00051BDB" w:rsidP="00051BDB">
      <w:r>
        <w:t>In our draft decision we did not provide an adjustment for these reasons. We received no new substantive submissions on this OEF in response to our draft decision.</w:t>
      </w:r>
    </w:p>
    <w:p w:rsidR="00051BDB" w:rsidRPr="009F21E8" w:rsidRDefault="00051BDB" w:rsidP="00051BDB">
      <w:r>
        <w:t xml:space="preserve">We have </w:t>
      </w:r>
      <w:r w:rsidRPr="009F21E8">
        <w:t xml:space="preserve">included this factor as part of the allowance for </w:t>
      </w:r>
      <w:r>
        <w:t>immaterial OEFs</w:t>
      </w:r>
      <w:r w:rsidRPr="009F21E8">
        <w:t>.</w:t>
      </w:r>
      <w:r>
        <w:t xml:space="preserve"> This is because although differences in the skills required by service providers are unlikely to lead to material differences in opex, it is logical that there will be some differences. An adjustment for differences in skills required would satisfy the exogeneity OEF adjustment criterion. Different environmental conditions may require specialised expertise not required by other NEM service providers. Also differences in the skills required are not accounted for in Economic Insights' SFA model. As there is uncertainty as to which service providers will have cost advantages on this OEF we have provided a positive 0.5 per cent OEF for differences in skills required by service providers.</w:t>
      </w:r>
    </w:p>
    <w:p w:rsidR="00051BDB" w:rsidRDefault="00051BDB" w:rsidP="00051BDB">
      <w:pPr>
        <w:pStyle w:val="HeadingBoldBlue"/>
      </w:pPr>
      <w:r>
        <w:t>Termites</w:t>
      </w:r>
    </w:p>
    <w:p w:rsidR="00051BDB" w:rsidRPr="004A70A1" w:rsidRDefault="00051BDB" w:rsidP="00051BDB">
      <w:r w:rsidRPr="004A70A1">
        <w:t xml:space="preserve">We are satisfied that an OEF adjustment for differences in termite exposure between the </w:t>
      </w:r>
      <w:r>
        <w:t>NSW</w:t>
      </w:r>
      <w:r w:rsidRPr="004A70A1">
        <w:t xml:space="preserve"> service providers and the comparison firms would satisfy all of our OEF adjustment criteria. The range of termites is beyond service providers' control. Termite management can be a material cost. T</w:t>
      </w:r>
      <w:r>
        <w:t>here are no variables in E</w:t>
      </w:r>
      <w:r w:rsidRPr="004A70A1">
        <w:t xml:space="preserve">conomic Insights' </w:t>
      </w:r>
      <w:r>
        <w:t xml:space="preserve">SFA </w:t>
      </w:r>
      <w:r w:rsidRPr="004A70A1">
        <w:t>model for difference in termite exposure.</w:t>
      </w:r>
    </w:p>
    <w:p w:rsidR="00051BDB" w:rsidRDefault="00051BDB" w:rsidP="00051BDB">
      <w:r>
        <w:t>In response to our draft decision, the NSW service providers' consultant Huegin raised termites as an OEF that may lead to differences in opex between the NSW service providers and the comparison firms.</w:t>
      </w:r>
      <w:r>
        <w:rPr>
          <w:rStyle w:val="FootnoteReference"/>
        </w:rPr>
        <w:footnoteReference w:id="778"/>
      </w:r>
      <w:r>
        <w:t xml:space="preserve"> Ergon Energy also raised this point in its regulatory proposal.</w:t>
      </w:r>
      <w:r>
        <w:rPr>
          <w:rStyle w:val="FootnoteReference"/>
        </w:rPr>
        <w:footnoteReference w:id="779"/>
      </w:r>
      <w:r>
        <w:t xml:space="preserve"> Both Huegin and Ergon Energy submitted different maps to substantiate their claims. Both broadly show that Southern and Eastern Victoria are low risk, North Western Victoria and NSW are moderate risk, and coastal Queensland is high risk. It is not clear what the source of the data behind these maps are.</w:t>
      </w:r>
    </w:p>
    <w:p w:rsidR="00051BDB" w:rsidRDefault="00051BDB" w:rsidP="00051BDB">
      <w:r>
        <w:t>The CSIRO has published a similar map,</w:t>
      </w:r>
      <w:r>
        <w:rPr>
          <w:rStyle w:val="FootnoteReference"/>
        </w:rPr>
        <w:footnoteReference w:id="780"/>
      </w:r>
      <w:r>
        <w:t xml:space="preserve"> based on surveys of the incidence of termites and termite infestations of dwellings across Australia. It is shown below in </w:t>
      </w:r>
      <w:r>
        <w:fldChar w:fldCharType="begin"/>
      </w:r>
      <w:r>
        <w:instrText xml:space="preserve"> REF _Ref417504314 \h </w:instrText>
      </w:r>
      <w:r>
        <w:fldChar w:fldCharType="separate"/>
      </w:r>
      <w:r w:rsidR="00C74791">
        <w:t xml:space="preserve">Figure </w:t>
      </w:r>
      <w:r w:rsidR="00C74791">
        <w:rPr>
          <w:noProof/>
        </w:rPr>
        <w:t>A</w:t>
      </w:r>
      <w:r w:rsidR="00C74791">
        <w:t>.</w:t>
      </w:r>
      <w:r w:rsidR="00C74791">
        <w:rPr>
          <w:noProof/>
        </w:rPr>
        <w:t>26</w:t>
      </w:r>
      <w:r>
        <w:fldChar w:fldCharType="end"/>
      </w:r>
      <w:r>
        <w:t>.</w:t>
      </w:r>
    </w:p>
    <w:p w:rsidR="00051BDB" w:rsidRDefault="00A409CB" w:rsidP="00051BDB">
      <w:pPr>
        <w:pStyle w:val="Caption"/>
      </w:pPr>
      <w:bookmarkStart w:id="247" w:name="_Ref417504314"/>
      <w:r>
        <w:lastRenderedPageBreak/>
        <w:t>Figure</w:t>
      </w:r>
      <w:r w:rsidR="00051BDB">
        <w:t xml:space="preserve"> </w:t>
      </w:r>
      <w:fldSimple w:instr=" STYLEREF 7 \s ">
        <w:r w:rsidR="00C74791">
          <w:rPr>
            <w:noProof/>
          </w:rPr>
          <w:t>A</w:t>
        </w:r>
      </w:fldSimple>
      <w:r>
        <w:t>.</w:t>
      </w:r>
      <w:fldSimple w:instr=" SEQ AFigure \* ARABIC \s 7 ">
        <w:r w:rsidR="00C74791">
          <w:rPr>
            <w:noProof/>
          </w:rPr>
          <w:t>26</w:t>
        </w:r>
      </w:fldSimple>
      <w:bookmarkEnd w:id="247"/>
      <w:r w:rsidR="00051BDB">
        <w:tab/>
        <w:t>CSIRO Termite Hazard Map of Australia</w:t>
      </w:r>
      <w:r w:rsidR="00051BDB" w:rsidRPr="00051BDB">
        <w:rPr>
          <w:noProof/>
          <w:lang w:eastAsia="en-AU"/>
        </w:rPr>
        <w:drawing>
          <wp:inline distT="0" distB="0" distL="0" distR="0" wp14:anchorId="4CF13193" wp14:editId="5C07BA4E">
            <wp:extent cx="5005137" cy="4108384"/>
            <wp:effectExtent l="0" t="0" r="508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98402" cy="4102856"/>
                    </a:xfrm>
                    <a:prstGeom prst="rect">
                      <a:avLst/>
                    </a:prstGeom>
                  </pic:spPr>
                </pic:pic>
              </a:graphicData>
            </a:graphic>
          </wp:inline>
        </w:drawing>
      </w:r>
    </w:p>
    <w:p w:rsidR="00051BDB" w:rsidRDefault="00051BDB" w:rsidP="00051BDB">
      <w:r>
        <w:t>In its 2011 regulatory proposal, Powercor requested a step change for increased expenditure on treating termite infested poles. Powercor forecast that over the 2011 to 2015 period its average annual expenditure on termite management would be $0.3 million ($2010) per year.</w:t>
      </w:r>
      <w:r>
        <w:rPr>
          <w:rStyle w:val="FootnoteReference"/>
        </w:rPr>
        <w:footnoteReference w:id="781"/>
      </w:r>
      <w:r>
        <w:t xml:space="preserve"> Using this figure in conjunction with data from Powercor's response to the Category Analysis RIN, this indicates that the average cost of termite treatment per wooden pole for Powercor is around 96 cents per annum ($2013/14). Ergon Energy, also provided some information that showed the average opex for responding to asset failures caused by termites was 22.7 per cent of the cost of treating infested poles for the 2011/12 to 2013/14 period.</w:t>
      </w:r>
      <w:r>
        <w:rPr>
          <w:rStyle w:val="FootnoteReference"/>
        </w:rPr>
        <w:footnoteReference w:id="782"/>
      </w:r>
      <w:r>
        <w:t xml:space="preserve"> Therefore we estimate that the average total cost of treating infested poles and responding to termite induced asset failures is $1.18 per wooden pole for Powercor.</w:t>
      </w:r>
      <w:r>
        <w:rPr>
          <w:rStyle w:val="FootnoteReference"/>
        </w:rPr>
        <w:footnoteReference w:id="783"/>
      </w:r>
    </w:p>
    <w:p w:rsidR="00051BDB" w:rsidRPr="00355092" w:rsidRDefault="00051BDB" w:rsidP="00051BDB">
      <w:pPr>
        <w:pStyle w:val="ListParagraph"/>
        <w:numPr>
          <w:ilvl w:val="0"/>
          <w:numId w:val="24"/>
        </w:numPr>
      </w:pPr>
      <w:r w:rsidRPr="00355092">
        <w:t xml:space="preserve">We estimated termite management costs per pole for the </w:t>
      </w:r>
      <w:r>
        <w:t>NSW</w:t>
      </w:r>
      <w:r w:rsidRPr="00355092">
        <w:t xml:space="preserve"> service providers and the comparison firms. We multiplied the </w:t>
      </w:r>
      <w:r>
        <w:t>cost per pole</w:t>
      </w:r>
      <w:r w:rsidRPr="00355092">
        <w:t xml:space="preserve"> for Powercor by different rates, </w:t>
      </w:r>
      <w:r w:rsidRPr="00355092">
        <w:lastRenderedPageBreak/>
        <w:t>depending on the location of the relevant firm and infestation rates from the CSIRO.</w:t>
      </w:r>
      <w:r w:rsidRPr="00355092">
        <w:rPr>
          <w:rStyle w:val="FootnoteReference"/>
        </w:rPr>
        <w:footnoteReference w:id="784"/>
      </w:r>
      <w:r w:rsidRPr="00355092">
        <w:t xml:space="preserve"> </w:t>
      </w:r>
      <w:r w:rsidRPr="00355092">
        <w:rPr>
          <w:rStyle w:val="FootnoteReference"/>
        </w:rPr>
        <w:footnoteReference w:id="785"/>
      </w:r>
      <w:r w:rsidRPr="00355092">
        <w:t xml:space="preserve"> This was to account for differences in infestation rates across service areas.</w:t>
      </w:r>
    </w:p>
    <w:p w:rsidR="00051BDB" w:rsidRPr="00355092" w:rsidRDefault="00051BDB" w:rsidP="00051BDB">
      <w:pPr>
        <w:pStyle w:val="ListParagraph"/>
        <w:numPr>
          <w:ilvl w:val="0"/>
          <w:numId w:val="24"/>
        </w:numPr>
      </w:pPr>
      <w:r w:rsidRPr="00355092">
        <w:t xml:space="preserve">We estimate that </w:t>
      </w:r>
      <w:r>
        <w:t>the NSW service providers</w:t>
      </w:r>
      <w:r w:rsidRPr="00355092">
        <w:t xml:space="preserve"> would spend $1</w:t>
      </w:r>
      <w:r>
        <w:t>.2</w:t>
      </w:r>
      <w:r w:rsidRPr="00355092">
        <w:t xml:space="preserve"> ($2013/14) more per pole than the </w:t>
      </w:r>
      <w:r>
        <w:t xml:space="preserve">customer </w:t>
      </w:r>
      <w:r w:rsidRPr="00355092">
        <w:t xml:space="preserve">weighted average of the comparison firms for termite management. </w:t>
      </w:r>
      <w:r>
        <w:t>Multiplying the marginal termite management cost per wooden pole by the number of wooden poles for each service provider,</w:t>
      </w:r>
      <w:r>
        <w:rPr>
          <w:rStyle w:val="FootnoteReference"/>
        </w:rPr>
        <w:footnoteReference w:id="786"/>
      </w:r>
      <w:r>
        <w:t xml:space="preserve"> provides an estimate of the value of the cost disadvantage. The disadvantage is $0.09 million, $0.3</w:t>
      </w:r>
      <w:r w:rsidRPr="00355092">
        <w:t xml:space="preserve"> million</w:t>
      </w:r>
      <w:r>
        <w:t>, and $1.4 million</w:t>
      </w:r>
      <w:r w:rsidRPr="00355092">
        <w:t xml:space="preserve"> (2013/14) for </w:t>
      </w:r>
      <w:r>
        <w:t>Ausgrid, Endeavour</w:t>
      </w:r>
      <w:r w:rsidR="005E57AD">
        <w:t xml:space="preserve"> Energy</w:t>
      </w:r>
      <w:r>
        <w:t>, and Essential</w:t>
      </w:r>
      <w:r w:rsidRPr="00355092">
        <w:t xml:space="preserve"> </w:t>
      </w:r>
      <w:r w:rsidR="005E57AD">
        <w:t xml:space="preserve">Energy </w:t>
      </w:r>
      <w:r w:rsidRPr="00355092">
        <w:t>respectively</w:t>
      </w:r>
      <w:r>
        <w:t xml:space="preserve"> annually</w:t>
      </w:r>
      <w:r w:rsidRPr="00355092">
        <w:t xml:space="preserve">. Adding these </w:t>
      </w:r>
      <w:r>
        <w:t>estimates</w:t>
      </w:r>
      <w:r w:rsidRPr="00355092">
        <w:t xml:space="preserve"> to the efficient opex, determined by the SFA model, suggests a </w:t>
      </w:r>
      <w:r>
        <w:t>0 per cent, 0.2 per cent, and 0.6</w:t>
      </w:r>
      <w:r w:rsidRPr="00355092">
        <w:t xml:space="preserve"> per cent cost disadvantage for </w:t>
      </w:r>
      <w:r>
        <w:t>Ausgrid, Endeavour, and Essential</w:t>
      </w:r>
      <w:r w:rsidRPr="00355092">
        <w:t>.</w:t>
      </w:r>
    </w:p>
    <w:p w:rsidR="00051BDB" w:rsidRPr="00355092" w:rsidRDefault="00051BDB" w:rsidP="00051BDB">
      <w:pPr>
        <w:pStyle w:val="ListParagraph"/>
        <w:numPr>
          <w:ilvl w:val="0"/>
          <w:numId w:val="24"/>
        </w:numPr>
      </w:pPr>
      <w:r w:rsidRPr="00355092">
        <w:t xml:space="preserve">Although the effect of termites on </w:t>
      </w:r>
      <w:r>
        <w:t>Ausgrid and Endeavour's</w:t>
      </w:r>
      <w:r w:rsidRPr="00355092">
        <w:t xml:space="preserve"> opex is immaterial, in accordance with our approach to quantifying immaterial OEFs, we will provide an OEF adjustment that reflects the quantified impact.</w:t>
      </w:r>
    </w:p>
    <w:p w:rsidR="00051BDB" w:rsidRPr="00355092" w:rsidRDefault="00051BDB" w:rsidP="00051BDB">
      <w:pPr>
        <w:pStyle w:val="ListParagraph"/>
        <w:numPr>
          <w:ilvl w:val="0"/>
          <w:numId w:val="24"/>
        </w:numPr>
      </w:pPr>
      <w:r w:rsidRPr="00355092">
        <w:t xml:space="preserve">As a result </w:t>
      </w:r>
      <w:r>
        <w:t xml:space="preserve">we consider that </w:t>
      </w:r>
      <w:r w:rsidRPr="00355092">
        <w:t>OEF adjustment</w:t>
      </w:r>
      <w:r>
        <w:t>s</w:t>
      </w:r>
      <w:r w:rsidRPr="00355092">
        <w:t xml:space="preserve"> of </w:t>
      </w:r>
      <w:r>
        <w:t>0 per cent, 0.2 per cent, and 0.6</w:t>
      </w:r>
      <w:r w:rsidRPr="00355092">
        <w:t xml:space="preserve"> per cent for </w:t>
      </w:r>
      <w:r>
        <w:t>Ausgrid, Endeavour, and Essential</w:t>
      </w:r>
      <w:r w:rsidRPr="00355092">
        <w:t xml:space="preserve"> </w:t>
      </w:r>
      <w:r>
        <w:t>are</w:t>
      </w:r>
      <w:r w:rsidRPr="00355092">
        <w:t xml:space="preserve"> appropriate.</w:t>
      </w:r>
    </w:p>
    <w:p w:rsidR="00051BDB" w:rsidRDefault="00051BDB" w:rsidP="00051BDB">
      <w:pPr>
        <w:pStyle w:val="HeadingBoldBlue"/>
        <w:numPr>
          <w:ilvl w:val="0"/>
          <w:numId w:val="24"/>
        </w:numPr>
      </w:pPr>
      <w:r>
        <w:t>Topography</w:t>
      </w:r>
    </w:p>
    <w:p w:rsidR="00051BDB" w:rsidRDefault="00051BDB" w:rsidP="00051BDB">
      <w:r>
        <w:t xml:space="preserve">We are not satisfied that an OEF adjustment for topography would meet the materiality OEF adjustment criterion. Differences in topography between the service providers are not likely to lead to material differences in opex. </w:t>
      </w:r>
    </w:p>
    <w:p w:rsidR="00051BDB" w:rsidRDefault="00051BDB" w:rsidP="00051BDB">
      <w:pPr>
        <w:numPr>
          <w:ilvl w:val="0"/>
          <w:numId w:val="24"/>
        </w:numPr>
      </w:pPr>
      <w:r>
        <w:t>Our draft decision did not make any adjustment for topography. In response to our draft decision, we received no evidence that the NSW service providers incur greater opex than the comparison firms due to differences in topography.</w:t>
      </w:r>
    </w:p>
    <w:p w:rsidR="00051BDB" w:rsidRDefault="00051BDB" w:rsidP="00051BDB">
      <w:r w:rsidRPr="00980C4E">
        <w:t xml:space="preserve">Adverse topographical conditions </w:t>
      </w:r>
      <w:r>
        <w:t xml:space="preserve">affect many </w:t>
      </w:r>
      <w:r w:rsidRPr="00980C4E">
        <w:t>NEM service providers. For example, the Great Dividing Range runs through some distribution network areas. Operating in mountainous regions may lead to higher costs in some operating areas such as maintenance, emergency response, and vegetation management due to access issues</w:t>
      </w:r>
      <w:r>
        <w:t>, even if this is not likely to be a material cost</w:t>
      </w:r>
      <w:r w:rsidRPr="00980C4E">
        <w:t xml:space="preserve">. </w:t>
      </w:r>
      <w:r>
        <w:t>We note that</w:t>
      </w:r>
      <w:r w:rsidRPr="00980C4E">
        <w:t xml:space="preserve"> AusNet Services, </w:t>
      </w:r>
      <w:r>
        <w:t>the comparison service provider at the benchmark comparison point</w:t>
      </w:r>
      <w:r w:rsidRPr="00980C4E">
        <w:t>, has a similar</w:t>
      </w:r>
      <w:r>
        <w:t>ly</w:t>
      </w:r>
      <w:r w:rsidRPr="00980C4E">
        <w:t xml:space="preserve"> </w:t>
      </w:r>
      <w:r>
        <w:t>mountainous operating environment to Ausgrid and Endeavour</w:t>
      </w:r>
      <w:r w:rsidR="005E57AD">
        <w:t xml:space="preserve"> Energy</w:t>
      </w:r>
      <w:r>
        <w:t>, but a more mountainous operating area than Essential</w:t>
      </w:r>
      <w:r w:rsidR="005E57AD">
        <w:t xml:space="preserve"> Energy</w:t>
      </w:r>
      <w:r>
        <w:t>. However, m</w:t>
      </w:r>
      <w:r w:rsidRPr="00980C4E">
        <w:t xml:space="preserve">ost of the comparison service providers operate in a relatively flat area compared to </w:t>
      </w:r>
      <w:r>
        <w:t xml:space="preserve">NSW service </w:t>
      </w:r>
      <w:r w:rsidR="008C33CA">
        <w:t>providers</w:t>
      </w:r>
      <w:r>
        <w:t>. Therefore,</w:t>
      </w:r>
      <w:r w:rsidRPr="00980C4E">
        <w:t xml:space="preserve"> </w:t>
      </w:r>
      <w:r>
        <w:t xml:space="preserve">the NSW service providers </w:t>
      </w:r>
      <w:r w:rsidRPr="00980C4E">
        <w:t xml:space="preserve">may have a cost disadvantage relative to the comparison service providers due to topography. </w:t>
      </w:r>
      <w:r>
        <w:t xml:space="preserve">  </w:t>
      </w:r>
    </w:p>
    <w:p w:rsidR="00051BDB" w:rsidRDefault="00051BDB" w:rsidP="00051BDB">
      <w:r>
        <w:lastRenderedPageBreak/>
        <w:t>However, in accordance with our treatment of immaterial OEFs we have provided a positive 0.5 per cent adjustment for differences in topography. An adjustment for topography would satisfy the exogeneity and duplication OEF criteria. The landforms in service providers' network areas are beyond their control and there is no variable in Economic Insights' SFA model to account for differences topography. We have provided a positive 0.5 per cent adjustment because it is unclear if differences in topography will lead to a cost disadvantage for the NSW service providers relative to the comparison firms.</w:t>
      </w:r>
    </w:p>
    <w:p w:rsidR="00051BDB" w:rsidRPr="00CD5D0F" w:rsidRDefault="00051BDB" w:rsidP="00051BDB">
      <w:pPr>
        <w:pStyle w:val="Heading9"/>
      </w:pPr>
      <w:bookmarkStart w:id="248" w:name="_Toc417719055"/>
      <w:r w:rsidRPr="00B7151E">
        <w:t>Jurisdictional factors</w:t>
      </w:r>
      <w:bookmarkEnd w:id="248"/>
    </w:p>
    <w:p w:rsidR="00051BDB" w:rsidRPr="00B7151E" w:rsidRDefault="00051BDB" w:rsidP="00051BDB">
      <w:pPr>
        <w:pStyle w:val="HeadingBoldBlue"/>
        <w:numPr>
          <w:ilvl w:val="0"/>
          <w:numId w:val="24"/>
        </w:numPr>
      </w:pPr>
      <w:r w:rsidRPr="00B7151E">
        <w:t>Building regulations</w:t>
      </w:r>
    </w:p>
    <w:p w:rsidR="00051BDB" w:rsidRPr="00B7151E" w:rsidRDefault="00051BDB" w:rsidP="00051BDB">
      <w:pPr>
        <w:numPr>
          <w:ilvl w:val="0"/>
          <w:numId w:val="24"/>
        </w:numPr>
      </w:pPr>
      <w:r w:rsidRPr="00B7151E">
        <w:t xml:space="preserve">We are </w:t>
      </w:r>
      <w:r>
        <w:t xml:space="preserve">not </w:t>
      </w:r>
      <w:r w:rsidRPr="00B7151E">
        <w:t xml:space="preserve">satisfied that an </w:t>
      </w:r>
      <w:r>
        <w:t>OEF</w:t>
      </w:r>
      <w:r w:rsidRPr="00B7151E">
        <w:t xml:space="preserve"> adjustment for differences in building regulations across jurisdictions</w:t>
      </w:r>
      <w:r>
        <w:t xml:space="preserve"> would meet the materiality OEF criterion</w:t>
      </w:r>
      <w:r w:rsidRPr="00B7151E">
        <w:t>. The Building Code of Australia (BCA) provides a set of nationally consistent, minimum necessary standards of relevant safety (including structural safety and safety from fire), health, amenity and sustainability objectives for buildings and construction.</w:t>
      </w:r>
      <w:r w:rsidRPr="00B7151E">
        <w:rPr>
          <w:rStyle w:val="FootnoteReference"/>
        </w:rPr>
        <w:footnoteReference w:id="787"/>
      </w:r>
    </w:p>
    <w:p w:rsidR="00051BDB" w:rsidRDefault="00051BDB" w:rsidP="00051BDB">
      <w:pPr>
        <w:numPr>
          <w:ilvl w:val="0"/>
          <w:numId w:val="24"/>
        </w:numPr>
      </w:pPr>
      <w:r w:rsidRPr="00B7151E">
        <w:t>The Australian Building Codes Board (ABCB) is a Council of Australian Government standards writing body that is responsible for the National Construction Code (NCC) that comprises the BCA and the Plumbing Code of Australia (PCA). It is a joint initiative of all three levels of government in Australia and was established by an intergovernment agreement (IGA) signed by the Commonwealth, States and Territories on 1 March 1994. Ministers signed a new IGA, with effect from 30 April 2012.</w:t>
      </w:r>
      <w:r w:rsidRPr="00B7151E">
        <w:rPr>
          <w:rStyle w:val="FootnoteReference"/>
        </w:rPr>
        <w:footnoteReference w:id="788"/>
      </w:r>
      <w:r w:rsidRPr="00B7151E">
        <w:t xml:space="preserve"> The BCA contains technical provisions for the design and construction of buildings and other structures, covering such matters as structure, fire resistance, access and egress, services and equipment, and energy efficiency as well as certain aspects of health and amenity.</w:t>
      </w:r>
      <w:r w:rsidRPr="00B7151E">
        <w:rPr>
          <w:rStyle w:val="FootnoteReference"/>
        </w:rPr>
        <w:footnoteReference w:id="789"/>
      </w:r>
    </w:p>
    <w:p w:rsidR="00051BDB" w:rsidRPr="00B7151E" w:rsidRDefault="00051BDB" w:rsidP="00051BDB">
      <w:pPr>
        <w:numPr>
          <w:ilvl w:val="0"/>
          <w:numId w:val="24"/>
        </w:numPr>
      </w:pPr>
      <w:r>
        <w:t>Therefore we did not provide an OEF adjustment for Building regulations in our draft decision.</w:t>
      </w:r>
    </w:p>
    <w:p w:rsidR="00051BDB" w:rsidRPr="00E46058" w:rsidRDefault="00051BDB" w:rsidP="00051BDB">
      <w:pPr>
        <w:numPr>
          <w:ilvl w:val="0"/>
          <w:numId w:val="24"/>
        </w:numPr>
      </w:pPr>
      <w:r w:rsidRPr="00E46058">
        <w:rPr>
          <w:rStyle w:val="AERbody"/>
        </w:rPr>
        <w:t xml:space="preserve">We are </w:t>
      </w:r>
      <w:r>
        <w:rPr>
          <w:rStyle w:val="AERbody"/>
        </w:rPr>
        <w:t xml:space="preserve">still </w:t>
      </w:r>
      <w:r w:rsidRPr="00E46058">
        <w:rPr>
          <w:rStyle w:val="AERbody"/>
        </w:rPr>
        <w:t xml:space="preserve">satisfied that an </w:t>
      </w:r>
      <w:r>
        <w:rPr>
          <w:rStyle w:val="AERbody"/>
        </w:rPr>
        <w:t>OEF</w:t>
      </w:r>
      <w:r w:rsidRPr="00E46058">
        <w:rPr>
          <w:rStyle w:val="AERbody"/>
        </w:rPr>
        <w:t xml:space="preserve"> adjustment for differences in </w:t>
      </w:r>
      <w:r>
        <w:rPr>
          <w:rStyle w:val="AERbody"/>
        </w:rPr>
        <w:t>building regulations</w:t>
      </w:r>
      <w:r w:rsidRPr="00E46058">
        <w:rPr>
          <w:rStyle w:val="AERbody"/>
        </w:rPr>
        <w:t xml:space="preserve"> between the NSW service provi</w:t>
      </w:r>
      <w:r>
        <w:rPr>
          <w:rStyle w:val="AERbody"/>
        </w:rPr>
        <w:t xml:space="preserve">ders and the comparison </w:t>
      </w:r>
      <w:r w:rsidRPr="00E46058">
        <w:rPr>
          <w:rStyle w:val="AERbody"/>
        </w:rPr>
        <w:t xml:space="preserve">firms does not satisfy </w:t>
      </w:r>
      <w:r>
        <w:rPr>
          <w:rStyle w:val="AERbody"/>
        </w:rPr>
        <w:t>the materiality OEF</w:t>
      </w:r>
      <w:r w:rsidRPr="00E46058">
        <w:rPr>
          <w:rStyle w:val="AERbody"/>
        </w:rPr>
        <w:t xml:space="preserve"> adjustment criterion. We were unable to identify any </w:t>
      </w:r>
      <w:r>
        <w:rPr>
          <w:rStyle w:val="AERbody"/>
        </w:rPr>
        <w:t>building</w:t>
      </w:r>
      <w:r w:rsidRPr="00E46058">
        <w:rPr>
          <w:rStyle w:val="AERbody"/>
        </w:rPr>
        <w:t xml:space="preserve"> regulations that would lead to material differences in opex. The NSW service providers also did not submit evidence that demonstrated that there were material differences. </w:t>
      </w:r>
      <w:r w:rsidRPr="00E46058">
        <w:t xml:space="preserve">However, in accordance with our treatment of immaterial </w:t>
      </w:r>
      <w:r>
        <w:t>OEFs</w:t>
      </w:r>
      <w:r w:rsidRPr="00E46058">
        <w:t xml:space="preserve"> we have provided a positive 0.5 per cent adjustment for differences in </w:t>
      </w:r>
      <w:r>
        <w:t>building</w:t>
      </w:r>
      <w:r w:rsidRPr="00E46058">
        <w:t xml:space="preserve"> </w:t>
      </w:r>
      <w:r>
        <w:t>regulations</w:t>
      </w:r>
      <w:r w:rsidRPr="00E46058">
        <w:t xml:space="preserve">. </w:t>
      </w:r>
      <w:r>
        <w:t xml:space="preserve">An adjustment </w:t>
      </w:r>
      <w:r>
        <w:lastRenderedPageBreak/>
        <w:t xml:space="preserve">for differences in building regulations would satisfy the exogeneity and duplication OEF adjustment criteria. Building regulations are not determined by service providers and there are no variables in Economic Insights' SFA model that account for differences in them. </w:t>
      </w:r>
      <w:r w:rsidRPr="00E46058">
        <w:t xml:space="preserve">We have </w:t>
      </w:r>
      <w:r>
        <w:t>provided a positive 0.5 per cent adjustment in our collective adjustment for immaterial OEFs because</w:t>
      </w:r>
      <w:r w:rsidRPr="00E46058">
        <w:t xml:space="preserve"> it is unclear if </w:t>
      </w:r>
      <w:r>
        <w:t>building</w:t>
      </w:r>
      <w:r w:rsidRPr="00E46058">
        <w:t xml:space="preserve"> </w:t>
      </w:r>
      <w:r>
        <w:t>regulations</w:t>
      </w:r>
      <w:r w:rsidRPr="00E46058">
        <w:t xml:space="preserve"> will lead to a cost advantage or disadvantage for the NSW service providers relative to the comparison firms.</w:t>
      </w:r>
    </w:p>
    <w:p w:rsidR="00051BDB" w:rsidRPr="00956AD3" w:rsidRDefault="00051BDB" w:rsidP="00051BDB">
      <w:pPr>
        <w:pStyle w:val="HeadingBoldBlue"/>
        <w:numPr>
          <w:ilvl w:val="0"/>
          <w:numId w:val="24"/>
        </w:numPr>
      </w:pPr>
      <w:r w:rsidRPr="00956AD3">
        <w:t>Cultural heritage</w:t>
      </w:r>
    </w:p>
    <w:p w:rsidR="00051BDB" w:rsidRPr="00956AD3" w:rsidRDefault="00051BDB" w:rsidP="00051BDB">
      <w:pPr>
        <w:numPr>
          <w:ilvl w:val="0"/>
          <w:numId w:val="24"/>
        </w:numPr>
      </w:pPr>
      <w:r w:rsidRPr="00956AD3">
        <w:t xml:space="preserve">We are </w:t>
      </w:r>
      <w:r>
        <w:t xml:space="preserve">not </w:t>
      </w:r>
      <w:r w:rsidRPr="00956AD3">
        <w:t xml:space="preserve">satisfied that an OEF adjustment for differences in cultural heritage management across jurisdictions would </w:t>
      </w:r>
      <w:r>
        <w:t>meet the materiality</w:t>
      </w:r>
      <w:r w:rsidRPr="00956AD3">
        <w:t xml:space="preserve"> OEF adjustment criterion. </w:t>
      </w:r>
      <w:r>
        <w:t>We do not see evidence to suggest that d</w:t>
      </w:r>
      <w:r w:rsidRPr="00956AD3">
        <w:t xml:space="preserve">ifferences in cultural heritage management requirements </w:t>
      </w:r>
      <w:r>
        <w:t>would</w:t>
      </w:r>
      <w:r w:rsidRPr="00956AD3">
        <w:t xml:space="preserve"> lead to material differences in opex.</w:t>
      </w:r>
    </w:p>
    <w:p w:rsidR="00051BDB" w:rsidRPr="00956AD3" w:rsidRDefault="00051BDB" w:rsidP="00051BDB">
      <w:r w:rsidRPr="00956AD3">
        <w:t>In response to questions from the AER on the OEFs that materially affect its costs, Ergon Energy submitted that cultural heritage obligations impose additional management and operational costs on it.</w:t>
      </w:r>
      <w:r w:rsidRPr="00956AD3">
        <w:rPr>
          <w:rStyle w:val="FootnoteReference"/>
        </w:rPr>
        <w:footnoteReference w:id="790"/>
      </w:r>
      <w:r w:rsidRPr="00956AD3">
        <w:t xml:space="preserve"> Specifically Ergon Energy identified staff training and awareness, special alert and management processes and additional operational precautions for native title cultural heritage. Ergon Energy provided a map showing areas where native title has been found to exist and where claims have been made. Ergon Energy did not quantify the costs it incurs for its native title </w:t>
      </w:r>
      <w:r>
        <w:t xml:space="preserve">or other </w:t>
      </w:r>
      <w:r w:rsidRPr="00956AD3">
        <w:t>cultural heritage programs.</w:t>
      </w:r>
    </w:p>
    <w:p w:rsidR="00051BDB" w:rsidRPr="00956AD3" w:rsidRDefault="00051BDB" w:rsidP="00051BDB">
      <w:pPr>
        <w:numPr>
          <w:ilvl w:val="0"/>
          <w:numId w:val="24"/>
        </w:numPr>
      </w:pPr>
      <w:r>
        <w:t>Many</w:t>
      </w:r>
      <w:r w:rsidRPr="00956AD3">
        <w:t xml:space="preserve"> service providers have cultural heritage obligations. For example, the Victorian service providers most comply with the </w:t>
      </w:r>
      <w:r w:rsidRPr="00956AD3">
        <w:rPr>
          <w:rStyle w:val="AERtextitalic"/>
        </w:rPr>
        <w:t>Planning and Environment Act 1987</w:t>
      </w:r>
      <w:r w:rsidRPr="00956AD3">
        <w:t xml:space="preserve">, the </w:t>
      </w:r>
      <w:r w:rsidRPr="00956AD3">
        <w:rPr>
          <w:rStyle w:val="AERtextitalic"/>
        </w:rPr>
        <w:t>Heritage Act 1995</w:t>
      </w:r>
      <w:r w:rsidRPr="00956AD3">
        <w:t xml:space="preserve">, and the </w:t>
      </w:r>
      <w:r w:rsidRPr="00956AD3">
        <w:rPr>
          <w:rStyle w:val="AERtextitalic"/>
        </w:rPr>
        <w:t>Aboriginal Heritage Act 2006</w:t>
      </w:r>
      <w:r w:rsidRPr="00956AD3">
        <w:t xml:space="preserve"> in providing services. </w:t>
      </w:r>
      <w:r>
        <w:t>The NSW service providers have</w:t>
      </w:r>
      <w:r w:rsidRPr="00956AD3">
        <w:t xml:space="preserve"> not provided evidence to suggest the costs </w:t>
      </w:r>
      <w:r>
        <w:t>they incur</w:t>
      </w:r>
      <w:r w:rsidRPr="00956AD3">
        <w:t xml:space="preserve"> to meet </w:t>
      </w:r>
      <w:r>
        <w:t>their</w:t>
      </w:r>
      <w:r w:rsidRPr="00956AD3">
        <w:t xml:space="preserve"> obligations will be materially </w:t>
      </w:r>
      <w:r>
        <w:t>different to</w:t>
      </w:r>
      <w:r w:rsidRPr="00956AD3">
        <w:t xml:space="preserve"> comparison firms.</w:t>
      </w:r>
    </w:p>
    <w:p w:rsidR="00051BDB" w:rsidRPr="00956AD3" w:rsidRDefault="00051BDB" w:rsidP="00051BDB">
      <w:pPr>
        <w:numPr>
          <w:ilvl w:val="0"/>
          <w:numId w:val="24"/>
        </w:numPr>
      </w:pPr>
      <w:r w:rsidRPr="00956AD3">
        <w:t xml:space="preserve">Therefore we are </w:t>
      </w:r>
      <w:r>
        <w:t xml:space="preserve">not </w:t>
      </w:r>
      <w:r w:rsidRPr="00956AD3">
        <w:t xml:space="preserve">satisfied that differences in cultural heritage obligations will lead to material differences in opex between the </w:t>
      </w:r>
      <w:r>
        <w:t>NSW service providers</w:t>
      </w:r>
      <w:r w:rsidRPr="00956AD3">
        <w:t xml:space="preserve"> and the comparison </w:t>
      </w:r>
      <w:r>
        <w:t>firms</w:t>
      </w:r>
      <w:r w:rsidRPr="00956AD3">
        <w:t xml:space="preserve">. However, there is likely to be some differences in obligations that will lead to immaterial differences in opex. </w:t>
      </w:r>
      <w:r>
        <w:t xml:space="preserve">An adjustment for differences in cultural heritage obligations would also satisfy the exogeneity and duplication OEF adjustment criteria. Cultural heritage obligations are not determined by service providers and there are no variables in Economic Insights' SFA model that account for differences in them. </w:t>
      </w:r>
      <w:r w:rsidRPr="00956AD3">
        <w:t>As the direction of cost advantage is unclear, we have included an adjustment of positive 0.5 per cent for differences in cultural heritage obligations in our adjustment for immaterial factors.</w:t>
      </w:r>
    </w:p>
    <w:p w:rsidR="00051BDB" w:rsidRPr="00B7151E" w:rsidRDefault="00051BDB" w:rsidP="00051BDB">
      <w:pPr>
        <w:pStyle w:val="HeadingBoldBlue"/>
        <w:numPr>
          <w:ilvl w:val="0"/>
          <w:numId w:val="24"/>
        </w:numPr>
      </w:pPr>
      <w:r w:rsidRPr="00B7151E">
        <w:t>Environmental regulations</w:t>
      </w:r>
    </w:p>
    <w:p w:rsidR="00051BDB" w:rsidRPr="00B7151E" w:rsidRDefault="00051BDB" w:rsidP="00051BDB">
      <w:pPr>
        <w:numPr>
          <w:ilvl w:val="0"/>
          <w:numId w:val="24"/>
        </w:numPr>
      </w:pPr>
      <w:r w:rsidRPr="00B7151E">
        <w:lastRenderedPageBreak/>
        <w:t xml:space="preserve">We are </w:t>
      </w:r>
      <w:r>
        <w:t xml:space="preserve">not </w:t>
      </w:r>
      <w:r w:rsidRPr="00B7151E">
        <w:t xml:space="preserve">satisfied that an </w:t>
      </w:r>
      <w:r>
        <w:t>OEF</w:t>
      </w:r>
      <w:r w:rsidRPr="00B7151E">
        <w:t xml:space="preserve"> adjustment for differences in environmental r</w:t>
      </w:r>
      <w:r>
        <w:t>egulations across jurisdictions would meet</w:t>
      </w:r>
      <w:r w:rsidRPr="00B7151E">
        <w:t xml:space="preserve"> </w:t>
      </w:r>
      <w:r>
        <w:t>the materiality OEF</w:t>
      </w:r>
      <w:r w:rsidRPr="00B7151E">
        <w:t xml:space="preserve"> adjustment criteri</w:t>
      </w:r>
      <w:r>
        <w:t>on</w:t>
      </w:r>
      <w:r w:rsidRPr="00B7151E">
        <w:t xml:space="preserve">. Environmental regulations are </w:t>
      </w:r>
      <w:r>
        <w:t xml:space="preserve">not </w:t>
      </w:r>
      <w:r w:rsidRPr="00B7151E">
        <w:t xml:space="preserve">likely to create material differences in costs </w:t>
      </w:r>
      <w:r>
        <w:t>between the NSW service providers and the comparison firms</w:t>
      </w:r>
      <w:r w:rsidRPr="00B7151E">
        <w:t xml:space="preserve">. </w:t>
      </w:r>
    </w:p>
    <w:p w:rsidR="00051BDB" w:rsidRDefault="00051BDB" w:rsidP="00051BDB">
      <w:pPr>
        <w:numPr>
          <w:ilvl w:val="0"/>
          <w:numId w:val="24"/>
        </w:numPr>
      </w:pPr>
      <w:r>
        <w:t xml:space="preserve">In our draft decision, we investigated how environmental regulations may lead to material differences for the opex that service providers require, but were unable to find any reliable evidence that such differences exist. </w:t>
      </w:r>
      <w:r w:rsidRPr="00B7151E">
        <w:t>The way various jurisdictions administer environmental regulation varies considerably.</w:t>
      </w:r>
      <w:r w:rsidRPr="00B7151E">
        <w:rPr>
          <w:rStyle w:val="FootnoteReference"/>
        </w:rPr>
        <w:footnoteReference w:id="791"/>
      </w:r>
      <w:r w:rsidRPr="00B7151E">
        <w:t xml:space="preserve"> While the </w:t>
      </w:r>
      <w:r>
        <w:t>C</w:t>
      </w:r>
      <w:r w:rsidRPr="00B7151E">
        <w:t>ommonwealth has some involvement, most environmental planning functions are carried out by state or local governments.</w:t>
      </w:r>
      <w:r>
        <w:t xml:space="preserve"> We consider it is likely that differences in environmental regulations faced by service providers will lead to differences in costs, but we do not have any evidence to suggest that these differences will lead to material differences in opex.</w:t>
      </w:r>
    </w:p>
    <w:p w:rsidR="00051BDB" w:rsidRDefault="00051BDB" w:rsidP="00051BDB">
      <w:r>
        <w:t xml:space="preserve">In response to our draft decision, Ausgrid stated that our opex forecast would not provide it with sufficient opex to manage its environmental programs. Programs it stated would be affected include: </w:t>
      </w:r>
    </w:p>
    <w:p w:rsidR="00051BDB" w:rsidRDefault="00051BDB" w:rsidP="00051BDB">
      <w:pPr>
        <w:pStyle w:val="AERbulletlistfirststyle"/>
      </w:pPr>
      <w:r>
        <w:t>contaminated site assessment</w:t>
      </w:r>
    </w:p>
    <w:p w:rsidR="00051BDB" w:rsidRDefault="00051BDB" w:rsidP="00051BDB">
      <w:pPr>
        <w:pStyle w:val="AERbulletlistfirststyle"/>
      </w:pPr>
      <w:r w:rsidRPr="00112D6E">
        <w:t>oil containment</w:t>
      </w:r>
      <w:r>
        <w:t xml:space="preserve"> installation and maintenance</w:t>
      </w:r>
    </w:p>
    <w:p w:rsidR="00051BDB" w:rsidRDefault="00051BDB" w:rsidP="00051BDB">
      <w:pPr>
        <w:pStyle w:val="AERbulletlistfirststyle"/>
      </w:pPr>
      <w:r w:rsidRPr="00112D6E">
        <w:t>environmental civil works</w:t>
      </w:r>
    </w:p>
    <w:p w:rsidR="00051BDB" w:rsidRDefault="00051BDB" w:rsidP="00051BDB">
      <w:pPr>
        <w:pStyle w:val="AERbulletlistfirststyle"/>
      </w:pPr>
      <w:r w:rsidRPr="00112D6E">
        <w:t>fluid filled cab</w:t>
      </w:r>
      <w:r>
        <w:t>le maintenance and replacement</w:t>
      </w:r>
    </w:p>
    <w:p w:rsidR="00051BDB" w:rsidRDefault="00051BDB" w:rsidP="00051BDB">
      <w:pPr>
        <w:pStyle w:val="AERbulletlistfirststyle"/>
      </w:pPr>
      <w:r w:rsidRPr="00112D6E">
        <w:t>washbay</w:t>
      </w:r>
      <w:r>
        <w:t xml:space="preserve"> monitoring and maintenance</w:t>
      </w:r>
    </w:p>
    <w:p w:rsidR="00051BDB" w:rsidRDefault="00051BDB" w:rsidP="00051BDB">
      <w:pPr>
        <w:pStyle w:val="AERbulletlistfirststyle"/>
      </w:pPr>
      <w:r w:rsidRPr="00112D6E">
        <w:t xml:space="preserve">water treatment plant </w:t>
      </w:r>
      <w:r>
        <w:t>monitoring and maintenance</w:t>
      </w:r>
    </w:p>
    <w:p w:rsidR="00051BDB" w:rsidRDefault="00051BDB" w:rsidP="00051BDB">
      <w:pPr>
        <w:pStyle w:val="AERbulletlistfirststyle"/>
      </w:pPr>
      <w:r>
        <w:t xml:space="preserve">Polychlorinated biphenyl </w:t>
      </w:r>
      <w:r w:rsidRPr="00112D6E">
        <w:t>removal programs.</w:t>
      </w:r>
      <w:r>
        <w:rPr>
          <w:rStyle w:val="FootnoteReference"/>
        </w:rPr>
        <w:footnoteReference w:id="792"/>
      </w:r>
    </w:p>
    <w:p w:rsidR="00051BDB" w:rsidRDefault="00051BDB" w:rsidP="00051BDB">
      <w:r>
        <w:t>Essential Energy raised the same issues.</w:t>
      </w:r>
      <w:r>
        <w:rPr>
          <w:rStyle w:val="FootnoteReference"/>
        </w:rPr>
        <w:footnoteReference w:id="793"/>
      </w:r>
      <w:r>
        <w:t xml:space="preserve"> Endeavour Energy did not raise all of the issues raised by Ausgrid and Essential Energy, but it did raise contaminated site assessment and oil containment, installation and maintenance.</w:t>
      </w:r>
      <w:r>
        <w:rPr>
          <w:rStyle w:val="FootnoteReference"/>
        </w:rPr>
        <w:footnoteReference w:id="794"/>
      </w:r>
      <w:r>
        <w:t xml:space="preserve"> Neither Ausgrid, Endeavour</w:t>
      </w:r>
      <w:r w:rsidR="005E57AD">
        <w:t xml:space="preserve"> Energy</w:t>
      </w:r>
      <w:r>
        <w:t xml:space="preserve">, or Essential </w:t>
      </w:r>
      <w:r w:rsidR="005E57AD">
        <w:t xml:space="preserve">Energy </w:t>
      </w:r>
      <w:r>
        <w:t xml:space="preserve">quantified the opex associated with these programs. </w:t>
      </w:r>
    </w:p>
    <w:p w:rsidR="00051BDB" w:rsidRDefault="00051BDB" w:rsidP="00051BDB">
      <w:pPr>
        <w:numPr>
          <w:ilvl w:val="0"/>
          <w:numId w:val="24"/>
        </w:numPr>
      </w:pPr>
      <w:r>
        <w:rPr>
          <w:rStyle w:val="AERbody"/>
        </w:rPr>
        <w:t>ActewAGL also submitted that environmental obligations in the ACT differ.</w:t>
      </w:r>
      <w:r>
        <w:rPr>
          <w:rStyle w:val="FootnoteReference"/>
        </w:rPr>
        <w:footnoteReference w:id="795"/>
      </w:r>
      <w:r>
        <w:rPr>
          <w:rStyle w:val="AERbody"/>
        </w:rPr>
        <w:t xml:space="preserve"> However, ActewAGL did not explain how its obligations differ or provide any evidence that any differences, to the extent that they exist, will lead to material differences in opex.</w:t>
      </w:r>
    </w:p>
    <w:p w:rsidR="00051BDB" w:rsidRDefault="00051BDB" w:rsidP="00051BDB">
      <w:r>
        <w:lastRenderedPageBreak/>
        <w:t>While Ausgrid has provided an explanation of the works it must undertake, it did not provide evidence that there are any differences in the scope of those works relative to the Victorian service providers. Additionally it did not provide evidence that any difference in the scope of environmental impact mitigation works, to the extent that it exists, would lead to material differences in opex.</w:t>
      </w:r>
    </w:p>
    <w:p w:rsidR="00051BDB" w:rsidRDefault="00051BDB" w:rsidP="00051BDB">
      <w:r>
        <w:t>All of the NEM service providers undertake similar environmental impact mitigation activities to those identified by Ausgrid. While the relative expenditure of these activities may vary across service providers, they are practices that are common industry wide. This in, conjunction with our benchmarking results, suggests that the comparison firms undertake similar activities at lower cost. We do note that some service providers may have already finished their PCB removal programs. Additionally, although small area treatment as it relates to substations is common, large scale water treatment is not a common practice. Ausgrid did not provide any evidence that its water treatment plant monitoring and maintenance program related to large scale water treatment.</w:t>
      </w:r>
    </w:p>
    <w:p w:rsidR="00051BDB" w:rsidRDefault="00051BDB" w:rsidP="00051BDB">
      <w:pPr>
        <w:numPr>
          <w:ilvl w:val="0"/>
          <w:numId w:val="24"/>
        </w:numPr>
        <w:rPr>
          <w:rStyle w:val="AERbody"/>
        </w:rPr>
      </w:pPr>
      <w:r w:rsidRPr="00AB1CAC">
        <w:rPr>
          <w:rStyle w:val="AERbody"/>
        </w:rPr>
        <w:t xml:space="preserve">We are </w:t>
      </w:r>
      <w:r>
        <w:rPr>
          <w:rStyle w:val="AERbody"/>
        </w:rPr>
        <w:t xml:space="preserve">not </w:t>
      </w:r>
      <w:r w:rsidRPr="00AB1CAC">
        <w:rPr>
          <w:rStyle w:val="AERbody"/>
        </w:rPr>
        <w:t xml:space="preserve">satisfied that an </w:t>
      </w:r>
      <w:r>
        <w:rPr>
          <w:rStyle w:val="AERbody"/>
        </w:rPr>
        <w:t xml:space="preserve">OEF </w:t>
      </w:r>
      <w:r w:rsidRPr="00AB1CAC">
        <w:rPr>
          <w:rStyle w:val="AERbody"/>
        </w:rPr>
        <w:t xml:space="preserve">adjustment for </w:t>
      </w:r>
      <w:r>
        <w:rPr>
          <w:rStyle w:val="AERbody"/>
        </w:rPr>
        <w:t>differences in environmental</w:t>
      </w:r>
      <w:r w:rsidRPr="00AB1CAC">
        <w:rPr>
          <w:rStyle w:val="AERbody"/>
        </w:rPr>
        <w:t xml:space="preserve"> regulation</w:t>
      </w:r>
      <w:r>
        <w:rPr>
          <w:rStyle w:val="AERbody"/>
        </w:rPr>
        <w:t>s</w:t>
      </w:r>
      <w:r w:rsidRPr="00AB1CAC">
        <w:rPr>
          <w:rStyle w:val="AERbody"/>
        </w:rPr>
        <w:t xml:space="preserve"> </w:t>
      </w:r>
      <w:r>
        <w:rPr>
          <w:rStyle w:val="AERbody"/>
        </w:rPr>
        <w:t>between the NSW service providers and the comparison firms would meet the materiality OEF adjustment criterion. We were unable to identify</w:t>
      </w:r>
      <w:r w:rsidRPr="00AB1CAC">
        <w:rPr>
          <w:rStyle w:val="AERbody"/>
        </w:rPr>
        <w:t xml:space="preserve"> any environmental regulations that would lead to material differences in opex</w:t>
      </w:r>
      <w:r>
        <w:rPr>
          <w:rStyle w:val="AERbody"/>
        </w:rPr>
        <w:t>. The NSW service providers also did not submit evidence that demonstrated that there were material differences</w:t>
      </w:r>
      <w:r w:rsidRPr="00AB1CAC">
        <w:rPr>
          <w:rStyle w:val="AERbody"/>
        </w:rPr>
        <w:t xml:space="preserve">. </w:t>
      </w:r>
    </w:p>
    <w:p w:rsidR="00051BDB" w:rsidRPr="00252901" w:rsidRDefault="00051BDB" w:rsidP="00051BDB">
      <w:pPr>
        <w:numPr>
          <w:ilvl w:val="0"/>
          <w:numId w:val="24"/>
        </w:numPr>
      </w:pPr>
      <w:r>
        <w:t>However, in accordance with our treatment of immaterial OEFs we have provided a positive 0.5 per cent adjustment for differences in environmental obligations. An OEF adjustment for environmental obligations would also satisfy the exogeneity and duplication OEF criteria. Environmental obligations are not determined by service providers and Economic Insights' SFA model does not include any variables that account for differences in them. We have provided a positive 0.5 per cent OEF in our collective adjustment for immaterial OEFs because it is unclear if environmental obligations will lead to a cost advantage or disadvantage for the NSW service providers relative to the comparison firms.</w:t>
      </w:r>
    </w:p>
    <w:p w:rsidR="00CF2125" w:rsidRDefault="00CF2125">
      <w:pPr>
        <w:spacing w:line="240" w:lineRule="auto"/>
        <w:rPr>
          <w:rFonts w:eastAsiaTheme="majorEastAsia" w:cstheme="majorBidi"/>
          <w:b/>
          <w:bCs/>
          <w:color w:val="70635A" w:themeColor="text2"/>
          <w:sz w:val="28"/>
        </w:rPr>
      </w:pPr>
      <w:r>
        <w:br w:type="page"/>
      </w:r>
    </w:p>
    <w:p w:rsidR="00051BDB" w:rsidRPr="00B7151E" w:rsidRDefault="00051BDB" w:rsidP="00051BDB">
      <w:pPr>
        <w:pStyle w:val="HeadingBoldBlue"/>
        <w:numPr>
          <w:ilvl w:val="0"/>
          <w:numId w:val="24"/>
        </w:numPr>
      </w:pPr>
      <w:r w:rsidRPr="00B7151E">
        <w:lastRenderedPageBreak/>
        <w:t xml:space="preserve">Occupational Health and Safety </w:t>
      </w:r>
      <w:r>
        <w:t>r</w:t>
      </w:r>
      <w:r w:rsidRPr="00B7151E">
        <w:t>egulations</w:t>
      </w:r>
    </w:p>
    <w:p w:rsidR="00051BDB" w:rsidRPr="00B7151E" w:rsidRDefault="00051BDB" w:rsidP="00051BDB">
      <w:r w:rsidRPr="00B7151E">
        <w:t xml:space="preserve">We are satisfied that it is necessary to provide </w:t>
      </w:r>
      <w:r>
        <w:t>the NSW service providers with a positive 0.5 per cent</w:t>
      </w:r>
      <w:r w:rsidRPr="00B7151E">
        <w:t xml:space="preserve"> </w:t>
      </w:r>
      <w:r>
        <w:t>OEF</w:t>
      </w:r>
      <w:r w:rsidRPr="00B7151E">
        <w:t xml:space="preserve"> adjustment for differences in Occupational Health and Safety Regulations (OH&amp;S). This is because an </w:t>
      </w:r>
      <w:r>
        <w:t>OEF</w:t>
      </w:r>
      <w:r w:rsidRPr="00B7151E">
        <w:t xml:space="preserve"> adjustment for OH&amp;S regulations satisfies all three </w:t>
      </w:r>
      <w:r>
        <w:t>OEF adjustment</w:t>
      </w:r>
      <w:r w:rsidRPr="00B7151E">
        <w:t xml:space="preserve"> criteria. OH&amp;S regulations are outside of the control of service providers. Differences in OH&amp;S regulation are likely to create material differences in </w:t>
      </w:r>
      <w:r>
        <w:t>opex between the NSW service providers and the comparison firms</w:t>
      </w:r>
      <w:r w:rsidRPr="00B7151E">
        <w:t xml:space="preserve">. </w:t>
      </w:r>
      <w:r>
        <w:t>E</w:t>
      </w:r>
      <w:r w:rsidRPr="00B7151E">
        <w:t>conomic</w:t>
      </w:r>
      <w:r>
        <w:t xml:space="preserve"> Insights'</w:t>
      </w:r>
      <w:r w:rsidRPr="00B7151E">
        <w:t xml:space="preserve"> </w:t>
      </w:r>
      <w:r>
        <w:t>SFA</w:t>
      </w:r>
      <w:r w:rsidRPr="00B7151E">
        <w:t xml:space="preserve"> </w:t>
      </w:r>
      <w:r>
        <w:t>model</w:t>
      </w:r>
      <w:r w:rsidRPr="00B7151E">
        <w:t xml:space="preserve"> do</w:t>
      </w:r>
      <w:r>
        <w:t>es</w:t>
      </w:r>
      <w:r w:rsidRPr="00B7151E">
        <w:t xml:space="preserve"> not account for differences in OH&amp;S regulations.</w:t>
      </w:r>
    </w:p>
    <w:p w:rsidR="00051BDB" w:rsidRDefault="00051BDB" w:rsidP="00051BDB">
      <w:pPr>
        <w:numPr>
          <w:ilvl w:val="0"/>
          <w:numId w:val="24"/>
        </w:numPr>
      </w:pPr>
      <w:r>
        <w:t>We provided an OEF adjustment for OH&amp;S regulations in our draft decision for the above reasons. Details on the quantification of our OH&amp;S adjustment can be found in our draft decision. The quantification was based on findings from a report by PwC.</w:t>
      </w:r>
      <w:r w:rsidRPr="00041EE1">
        <w:rPr>
          <w:rStyle w:val="FootnoteReference"/>
        </w:rPr>
        <w:t xml:space="preserve"> </w:t>
      </w:r>
      <w:r w:rsidRPr="00CA0DBF">
        <w:rPr>
          <w:rStyle w:val="FootnoteReference"/>
        </w:rPr>
        <w:footnoteReference w:id="796"/>
      </w:r>
      <w:r>
        <w:t xml:space="preserve"> This report was commissioned by the Victorian Government to estimate the cost to the Victorian economy of transitioning to the Work Health and Safety (WHS) Laws that apply in the other NEM jurisdictions.</w:t>
      </w:r>
    </w:p>
    <w:p w:rsidR="00051BDB" w:rsidRDefault="00051BDB" w:rsidP="00051BDB">
      <w:pPr>
        <w:numPr>
          <w:ilvl w:val="0"/>
          <w:numId w:val="24"/>
        </w:numPr>
      </w:pPr>
      <w:r>
        <w:t>In response to our draft decision Ergon Energy's consultant, PwC, made a submission on our adjustment for differences in jurisdictional OH&amp;S differences.</w:t>
      </w:r>
      <w:r>
        <w:rPr>
          <w:rStyle w:val="FootnoteReference"/>
        </w:rPr>
        <w:footnoteReference w:id="797"/>
      </w:r>
      <w:r>
        <w:t xml:space="preserve"> PwC made four observations on our application of its findings to estimate an OEF adjustment for differences in OH&amp;S obligations. PwC stated that its report on the impact of the WHS laws only considered the potential costs borne by Victorian businesses. It stated that the total cost of complying with the new WHS laws was not considered. It stated that its findings do not directly reflect costs facing network service providers. It also considered normalising the annualised cost by Victoria's Gross State Product (GSP) could be misleading. We address each of these comments below.</w:t>
      </w:r>
    </w:p>
    <w:p w:rsidR="00051BDB" w:rsidRDefault="00051BDB" w:rsidP="00051BDB">
      <w:pPr>
        <w:numPr>
          <w:ilvl w:val="0"/>
          <w:numId w:val="24"/>
        </w:numPr>
      </w:pPr>
      <w:r>
        <w:t>The OEF adjustment for OH&amp;S obligations is designed to quantify the effect of the cost advantage that the Victorian service providers have over other service providers. As the report estimates the cost of transitioning to the WHS laws for Victoria, it provides an estimate of the cost avoided by Victorian businesses by not having to comply with the WHS laws. We also note that PwC has provided no evidence that the costs of complying with the WHS laws would be different in Queensland than Victoria.</w:t>
      </w:r>
    </w:p>
    <w:p w:rsidR="00051BDB" w:rsidRDefault="00051BDB" w:rsidP="00051BDB">
      <w:r>
        <w:t xml:space="preserve">It is not appropriate to consider the total cost of complying with and implementing the WHS laws for the purpose of an OEF adjustment. OEF adjustments are not required for non-recurrent costs. Providing an OEF for non-recurrent costs treats those costs as if they were recurrent. Economic Insights' benchmarking results are used as the basis for our forecast of opex. If we adjust the benchmarking results with an OEF adjustment for non-recurrent costs, it has the effect of including those non-recurrent costs in our forecast of opex. Essentially, providing an OEF adjustment for non-recurrent costs </w:t>
      </w:r>
      <w:r>
        <w:lastRenderedPageBreak/>
        <w:t>leads to those costs being treated as recurrent costs. This is not appropriate because it would provide an allowance for costs that will not be incurred.</w:t>
      </w:r>
    </w:p>
    <w:p w:rsidR="00051BDB" w:rsidRDefault="00051BDB" w:rsidP="00051BDB">
      <w:r>
        <w:t>The challenges in safely operating high voltage assets that network service providers must take into account will be similar to those that power generators face. Although PwC's report's findings show that the costs of adopting the laws are not uniformly distributed across Victorian businesses we have taken steps to account for this. We adjusted the average impact across the Victorian economy to reflect the observed differences between most firms surveyed and the business type that most resembled the network service providers: power generators. We note that network service providers are likely to incur higher costs for OH&amp;S obligations than power generators due to their scale. This is why we adopted a percentage adjustment, calculated using the average cost to the Victorian economy,</w:t>
      </w:r>
      <w:r>
        <w:rPr>
          <w:rStyle w:val="FootnoteReference"/>
        </w:rPr>
        <w:footnoteReference w:id="798"/>
      </w:r>
      <w:r>
        <w:t xml:space="preserve"> rather than the average annualised cost per power generator, which was only $5,210 ($2011-12). PwC did not propose an alternative method to account for differences between the state average and network service providers.</w:t>
      </w:r>
    </w:p>
    <w:p w:rsidR="00051BDB" w:rsidRPr="00CA0DBF" w:rsidRDefault="00051BDB" w:rsidP="00051BDB">
      <w:r>
        <w:t>Using Victorian Gross State Product (GSP) to estimate the materiality of regulatory changes within Victoria is appropriate. Volatility in growth rates across states will not affect this. We estimated the percentage of goods and services produced in Victoria that the annualised increase in OH&amp;S costs would have accounted for if they were incurred in 2012. The estimate of GSP used was from 2012. The estimates of compliance costs which formed the basis for PwC's report were also from financial year 2012. Because we are comparing two figures that relate to the same state, variability between states will not affect the comparison.</w:t>
      </w:r>
    </w:p>
    <w:p w:rsidR="00051BDB" w:rsidRPr="00B7151E" w:rsidRDefault="00051BDB" w:rsidP="00051BDB">
      <w:pPr>
        <w:pStyle w:val="HeadingBoldBlue"/>
        <w:numPr>
          <w:ilvl w:val="0"/>
          <w:numId w:val="24"/>
        </w:numPr>
      </w:pPr>
      <w:r w:rsidRPr="00B7151E">
        <w:t>Licence conditions</w:t>
      </w:r>
    </w:p>
    <w:p w:rsidR="00051BDB" w:rsidRDefault="00051BDB" w:rsidP="00051BDB">
      <w:pPr>
        <w:numPr>
          <w:ilvl w:val="0"/>
          <w:numId w:val="24"/>
        </w:numPr>
      </w:pPr>
      <w:r w:rsidRPr="00B7151E">
        <w:t xml:space="preserve">We are satisfied that it is necessary to provide an </w:t>
      </w:r>
      <w:r>
        <w:t>OEF</w:t>
      </w:r>
      <w:r w:rsidRPr="00B7151E">
        <w:t xml:space="preserve"> adjustment for differences in licence conditions across jurisdictions. </w:t>
      </w:r>
      <w:r>
        <w:t>The adjustments are 1 per cent, 0.6 per cent, and 1 per cent for Ausgrid, Endeavour Energy, and Essential Energy respectively. OEF adjustments for the 2005 and 2007 licence conditions meet</w:t>
      </w:r>
      <w:r w:rsidRPr="00B7151E">
        <w:t xml:space="preserve"> </w:t>
      </w:r>
      <w:r>
        <w:t>the exogeneity, materiality, and duplication OEF criteria</w:t>
      </w:r>
      <w:r w:rsidRPr="00B7151E">
        <w:t xml:space="preserve">. </w:t>
      </w:r>
      <w:r>
        <w:t>Past l</w:t>
      </w:r>
      <w:r w:rsidRPr="00B7151E">
        <w:t xml:space="preserve">icence conditions are likely to materially affect opex because </w:t>
      </w:r>
      <w:r>
        <w:t xml:space="preserve">they mandated that the NSW service providers install significant redundant capacity they may not have in the absence of those conditions. Economic Insight's SFA model will only account for feeders installed to meet those standards, not substation capacity. On the basis of the Economic Benchmarking RIN and Category </w:t>
      </w:r>
      <w:r>
        <w:lastRenderedPageBreak/>
        <w:t>Analysis RIN data the effect on opex of the past licence conditions is greater than 0.5 per cent of opex.</w:t>
      </w:r>
    </w:p>
    <w:p w:rsidR="00051BDB" w:rsidRPr="00B7151E" w:rsidRDefault="00051BDB" w:rsidP="00051BDB">
      <w:pPr>
        <w:numPr>
          <w:ilvl w:val="0"/>
          <w:numId w:val="24"/>
        </w:numPr>
      </w:pPr>
      <w:r>
        <w:t xml:space="preserve">In our draft decision we did not provide an OEF adjustment for licence conditions. This is because most of the expenditures made to meet the licence conditions were capital in nature, the conditions for the forecast period were similar to those in other states, and reliability was accounted for in some of Economic Insights' models. </w:t>
      </w:r>
    </w:p>
    <w:p w:rsidR="00051BDB" w:rsidRDefault="00051BDB" w:rsidP="00051BDB">
      <w:r>
        <w:t>In response to our draft decision, ActewAGL and the NSW service providers' consultant Advisian noted that the number of assets that a service provider uses to operate its network will drive its operating costs.</w:t>
      </w:r>
      <w:r>
        <w:rPr>
          <w:rStyle w:val="FootnoteReference"/>
        </w:rPr>
        <w:footnoteReference w:id="799"/>
      </w:r>
      <w:r>
        <w:t xml:space="preserve"> </w:t>
      </w:r>
      <w:r>
        <w:rPr>
          <w:rStyle w:val="FootnoteReference"/>
        </w:rPr>
        <w:footnoteReference w:id="800"/>
      </w:r>
      <w:r>
        <w:t xml:space="preserve"> Advisian submitted that it considers that the variables in Economic Insights' models ignore the cost </w:t>
      </w:r>
      <w:r w:rsidRPr="00F8707B">
        <w:t>of maintaining a larger number of assets</w:t>
      </w:r>
      <w:r>
        <w:t xml:space="preserve">. In particular, Advisian raised the effect of assets installed for the purpose of compliance with planning standards in schedule 1 of the 2005 and 2007 NSW licence conditions. </w:t>
      </w:r>
      <w:r w:rsidRPr="00365350">
        <w:t xml:space="preserve">We have not considered the effects of schedules 2 and 3 because they provide interruption frequency and duration targets </w:t>
      </w:r>
      <w:r>
        <w:t>similar to</w:t>
      </w:r>
      <w:r w:rsidRPr="00365350">
        <w:t xml:space="preserve"> those found in other jurisdictions.</w:t>
      </w:r>
      <w:r w:rsidRPr="00365350">
        <w:rPr>
          <w:rStyle w:val="FootnoteReference"/>
        </w:rPr>
        <w:t xml:space="preserve"> </w:t>
      </w:r>
      <w:r w:rsidRPr="00365350">
        <w:rPr>
          <w:rStyle w:val="FootnoteReference"/>
        </w:rPr>
        <w:footnoteReference w:id="801"/>
      </w:r>
      <w:r w:rsidRPr="00365350">
        <w:t xml:space="preserve"> </w:t>
      </w:r>
      <w:r w:rsidRPr="00365350">
        <w:rPr>
          <w:rStyle w:val="FootnoteReference"/>
        </w:rPr>
        <w:footnoteReference w:id="802"/>
      </w:r>
    </w:p>
    <w:p w:rsidR="00051BDB" w:rsidRDefault="00051BDB" w:rsidP="00051BDB">
      <w:r>
        <w:t>We consider capital investment to meet the 2005 and 2007 planning requirements may warrant an OEF adjustment. This is because the planning requirements were determined by parties that were beyond the NSW service providers' control. Therefore it satisfies the exogeneity OEF. It is also not accounted for in the ratcheted demand variable in Economic Insights' SFA model. This is because it required the NSW service providers to install transformer capacity that was not required to meet peak demand.</w:t>
      </w:r>
    </w:p>
    <w:p w:rsidR="00051BDB" w:rsidRDefault="00051BDB" w:rsidP="00051BDB">
      <w:r>
        <w:t>We also consider that an OEF adjustment for capex to meet the 2005 and 2007 planning requirements is not sufficiently captured by the variables in the SFA model. While expenditure on feeder redundancy will be captured by the circuit length variable, not all expenditure in transformer capacity redundancy is captured by the ratcheted maximum demand variable. Circuit length captures the effect of investment in new feeders because each new feeder installed will increase the circuit length variable. This in turn will increase the opex forecast by Economic Insights SFA model. However, increases in transformer capacity do not increase the ratcheted demand variable. As a result, the SFA model will forecast no change in required opex where there is an increase in transformer capacity that is not made in response to an increase in demand.</w:t>
      </w:r>
    </w:p>
    <w:p w:rsidR="00051BDB" w:rsidRDefault="00051BDB" w:rsidP="00051BDB">
      <w:r>
        <w:t xml:space="preserve">We have estimated the impact of the increased transformer capacity required to meet the 2005 and 2007 planning requirements using the Economic Benchmarking and Category Analysis RIN responses. The Economic Benchmarking RIN responses </w:t>
      </w:r>
      <w:r>
        <w:lastRenderedPageBreak/>
        <w:t xml:space="preserve">provide data on the amount of transformer capacity at the distribution and zone substation levels. The Category Analysis RIN provides some indication of the amount of expenditure that is related to maintaining those assets. Both the RINs provide information at the zone and distribution substation level. While the Economic Benchmarking RIN provides some information on the capacity for subtransmission transformers, the category analysis RINs do not provide expenditure data. We have estimated the share of opex attributable to subtransmission substation maintenance using data from AusGrid's category analysis RIN responses. This is because Ausgrid provides data on the costs associated with its dual function assets and its single function assets separately. Neither Endeavour </w:t>
      </w:r>
      <w:r w:rsidR="005E57AD">
        <w:t xml:space="preserve">Energy </w:t>
      </w:r>
      <w:r>
        <w:t xml:space="preserve">nor Essential </w:t>
      </w:r>
      <w:r w:rsidR="005E57AD">
        <w:t xml:space="preserve">Energy </w:t>
      </w:r>
      <w:r>
        <w:t>have any assets classified as dual function.</w:t>
      </w:r>
    </w:p>
    <w:p w:rsidR="00051BDB" w:rsidRDefault="00051BDB" w:rsidP="00051BDB">
      <w:r>
        <w:t xml:space="preserve">To estimate the increase in transformer capacity due to the planning standards for each </w:t>
      </w:r>
      <w:r w:rsidR="009664DF">
        <w:t xml:space="preserve">distributor </w:t>
      </w:r>
      <w:r>
        <w:t>we have used the percentage increase in transformer capacity less the percentage increase in ratcheted demand over the 2006 to 2013 period. For Ausgrid we have used the total increase in capacity. For Essential Energy and Endeavour Energy we have excluded the increase in distribution transformer capacity. This is because Essential Energy and Endeavour Energy were not required to increase their distribution transformer capacity to comply with the 2005 and 2007 planning standards.</w:t>
      </w:r>
      <w:r>
        <w:rPr>
          <w:rStyle w:val="FootnoteReference"/>
        </w:rPr>
        <w:footnoteReference w:id="803"/>
      </w:r>
      <w:r>
        <w:t xml:space="preserve"> </w:t>
      </w:r>
      <w:r>
        <w:rPr>
          <w:rStyle w:val="FootnoteReference"/>
        </w:rPr>
        <w:footnoteReference w:id="804"/>
      </w:r>
      <w:r>
        <w:t xml:space="preserve"> The 2005 and 2007 planning requirements mandated N-2 redundancy in CBD areas and N-1 redundancy in all other areas for subtransmission and zone substation transformer capacity.</w:t>
      </w:r>
      <w:r>
        <w:rPr>
          <w:rStyle w:val="FootnoteReference"/>
        </w:rPr>
        <w:footnoteReference w:id="805"/>
      </w:r>
      <w:r>
        <w:t xml:space="preserve"> The planning requirements also mandated N-1 redundancy for distribution substations in CBD areas. Endeavour Energy and Essential Energy have no CBD feeders.</w:t>
      </w:r>
      <w:r w:rsidRPr="00D14CC8">
        <w:rPr>
          <w:rStyle w:val="FootnoteReference"/>
        </w:rPr>
        <w:t xml:space="preserve"> </w:t>
      </w:r>
      <w:r>
        <w:rPr>
          <w:rStyle w:val="FootnoteReference"/>
        </w:rPr>
        <w:footnoteReference w:id="806"/>
      </w:r>
      <w:r>
        <w:t xml:space="preserve"> </w:t>
      </w:r>
      <w:r>
        <w:rPr>
          <w:rStyle w:val="FootnoteReference"/>
        </w:rPr>
        <w:footnoteReference w:id="807"/>
      </w:r>
      <w:r>
        <w:t xml:space="preserve"> Therefore the redundancy conditions for distribution substations would not have led to any increases in opex for them. The Economic Benchmarking RIN data indicate that after accounting for increases in demand, Ausgrid, Endeavour Energy, and Essential Energy's </w:t>
      </w:r>
      <w:r w:rsidR="008C33CA">
        <w:t>subtransmission</w:t>
      </w:r>
      <w:r>
        <w:t xml:space="preserve"> and zone substation transformer capacities increased by 22, 18, and 31 per cent respectively. </w:t>
      </w:r>
      <w:r w:rsidR="004E5D91">
        <w:t xml:space="preserve"> </w:t>
      </w:r>
      <w:r>
        <w:t>Ausgrid's distribution transformer substation capacity also increased by 10 per cent.</w:t>
      </w:r>
    </w:p>
    <w:p w:rsidR="00051BDB" w:rsidRDefault="00051BDB" w:rsidP="00051BDB">
      <w:r>
        <w:t>To estimate the percentage of opex the NSW service providers expend on subtran</w:t>
      </w:r>
      <w:r w:rsidR="004E5D91">
        <w:t>s</w:t>
      </w:r>
      <w:r>
        <w:t xml:space="preserve">mission, zone, and distribution substation transformer maintenance, we used data from the Category Analysis RIN. Specifically, we used the amounts the NSW service providers allocated to zone and distribution substation maintenance in response to template 2.7 of the Category Analysis RINs. In financial year 2014 Ausgrid, Endeavour Energy, and Essential Energy reported that zone substation maintenance made up 3.4, 3.6, and 3.9 per cent of opex respectively. In financial year 2014 Ausgrid reported that distribution substation maintenance made up 3.5 per cent </w:t>
      </w:r>
      <w:r>
        <w:lastRenderedPageBreak/>
        <w:t xml:space="preserve">of its opex. To estimate the impact of </w:t>
      </w:r>
      <w:r w:rsidR="004E5D91">
        <w:t>subtransmission</w:t>
      </w:r>
      <w:r>
        <w:t xml:space="preserve"> maintenance, we found what percentage zone substation maintenance was of total maintenance for Ausgrid and applied this percentage to Ausgrid's dual function asset maintenance opex. This results in an estimate of 0.3 per cent of opex being attributable to subtransmission substation </w:t>
      </w:r>
      <w:r w:rsidR="004E5D91">
        <w:t>maintenance</w:t>
      </w:r>
      <w:r>
        <w:t>.</w:t>
      </w:r>
    </w:p>
    <w:p w:rsidR="00051BDB" w:rsidRDefault="00051BDB" w:rsidP="00051BDB">
      <w:r>
        <w:t xml:space="preserve">This suggests that the amount of opex required to maintain the mandated transformer capacity is 1 per cent ([1-{1/1.22}] x 3.7+[1-{1/1.1}] x 3.8), 0.6 per cent ([1-{1/1.18}]x3.9), and 1 per cent ([1-{1/1.31}]x4.2) of historical opex for Ausgrid, Endeavour Energy, and Essential Energy respectively. When converted from the OEF adjustment to historical opex to the OEF adjustment to the efficient level of opex, as discussed in our calculation of OEFs section above, these figures imply a 1.2, 0.7, and 1.2 per cent OEF adjustment for Ausgrid, Endeavour </w:t>
      </w:r>
      <w:r w:rsidR="005E57AD">
        <w:t xml:space="preserve">Energy </w:t>
      </w:r>
      <w:r>
        <w:t>and Essential</w:t>
      </w:r>
      <w:r w:rsidR="005E57AD">
        <w:t xml:space="preserve"> Energy</w:t>
      </w:r>
      <w:r>
        <w:t xml:space="preserve"> respectively. Therefore an OEF adjustment for transformer capacity installed to meet the 2005 and 2007 planning standards satisfies the materiality OEF adjustment criterion.</w:t>
      </w:r>
    </w:p>
    <w:p w:rsidR="00051BDB" w:rsidRPr="00B7151E" w:rsidRDefault="00051BDB" w:rsidP="00051BDB">
      <w:pPr>
        <w:pStyle w:val="HeadingBoldBlue"/>
        <w:numPr>
          <w:ilvl w:val="0"/>
          <w:numId w:val="24"/>
        </w:numPr>
      </w:pPr>
      <w:r w:rsidRPr="00B7151E">
        <w:t>Planning regulations</w:t>
      </w:r>
    </w:p>
    <w:p w:rsidR="00051BDB" w:rsidRPr="00B7151E" w:rsidRDefault="00051BDB" w:rsidP="00051BDB">
      <w:pPr>
        <w:numPr>
          <w:ilvl w:val="0"/>
          <w:numId w:val="24"/>
        </w:numPr>
      </w:pPr>
      <w:r w:rsidRPr="00B7151E">
        <w:t xml:space="preserve">We are </w:t>
      </w:r>
      <w:r>
        <w:t xml:space="preserve">not </w:t>
      </w:r>
      <w:r w:rsidRPr="00B7151E">
        <w:t xml:space="preserve">satisfied that an </w:t>
      </w:r>
      <w:r>
        <w:t>OEF</w:t>
      </w:r>
      <w:r w:rsidRPr="00B7151E">
        <w:t xml:space="preserve"> adjustment for differences in planning regulations across jurisdictions</w:t>
      </w:r>
      <w:r>
        <w:t xml:space="preserve"> would meet the materiality OEF</w:t>
      </w:r>
      <w:r w:rsidRPr="00B7151E">
        <w:t xml:space="preserve"> adjustment criteri</w:t>
      </w:r>
      <w:r>
        <w:t>on</w:t>
      </w:r>
      <w:r w:rsidRPr="00B7151E">
        <w:t xml:space="preserve">. </w:t>
      </w:r>
      <w:r>
        <w:t>Differences in p</w:t>
      </w:r>
      <w:r w:rsidRPr="00B7151E">
        <w:t xml:space="preserve">lanning regulations are </w:t>
      </w:r>
      <w:r>
        <w:t xml:space="preserve">not </w:t>
      </w:r>
      <w:r w:rsidRPr="00B7151E">
        <w:t xml:space="preserve">likely to create material differences in </w:t>
      </w:r>
      <w:r>
        <w:t>opex</w:t>
      </w:r>
      <w:r w:rsidRPr="00B7151E">
        <w:t xml:space="preserve"> across jurisdictions. </w:t>
      </w:r>
    </w:p>
    <w:p w:rsidR="00051BDB" w:rsidRDefault="00051BDB" w:rsidP="00051BDB">
      <w:pPr>
        <w:numPr>
          <w:ilvl w:val="0"/>
          <w:numId w:val="24"/>
        </w:numPr>
      </w:pPr>
      <w:r>
        <w:t>In our draft decision we did not provide an OEF adjustment for differences in planning obligations. This was on the basis of the findings of a Productivity commission review of the impact of planning regulations on businesses across Australia.</w:t>
      </w:r>
      <w:r w:rsidRPr="00B7151E">
        <w:rPr>
          <w:rStyle w:val="FootnoteReference"/>
        </w:rPr>
        <w:footnoteReference w:id="808"/>
      </w:r>
      <w:r w:rsidRPr="00B7151E">
        <w:t xml:space="preserve"> The finding of this review was that given the extent of differences, it is a challenge to compare the planning systems of the states and territories: individual indicators are often heavily qualified and thus so are comparisons between jurisdictions.</w:t>
      </w:r>
      <w:r w:rsidRPr="00B7151E">
        <w:rPr>
          <w:rStyle w:val="FootnoteReference"/>
        </w:rPr>
        <w:t xml:space="preserve"> </w:t>
      </w:r>
      <w:r w:rsidRPr="00B7151E">
        <w:rPr>
          <w:rStyle w:val="FootnoteReference"/>
        </w:rPr>
        <w:footnoteReference w:id="809"/>
      </w:r>
      <w:r w:rsidRPr="00B7151E">
        <w:t xml:space="preserve"> As a result, the </w:t>
      </w:r>
      <w:r>
        <w:t xml:space="preserve">Productivity </w:t>
      </w:r>
      <w:r w:rsidRPr="00B7151E">
        <w:t>Commission did not attempt to construct an overall ‘league table’ of state and territory performance.</w:t>
      </w:r>
      <w:r w:rsidRPr="00B7151E">
        <w:rPr>
          <w:rStyle w:val="FootnoteReference"/>
        </w:rPr>
        <w:footnoteReference w:id="810"/>
      </w:r>
      <w:r>
        <w:t xml:space="preserve"> This suggests that although planning regulations differ across jurisdictions, and are therefore likely to create some differences in costs, that differences in planning regulations are not likely to lead to material differences in costs.</w:t>
      </w:r>
    </w:p>
    <w:p w:rsidR="00051BDB" w:rsidRDefault="00051BDB" w:rsidP="00051BDB">
      <w:pPr>
        <w:numPr>
          <w:ilvl w:val="0"/>
          <w:numId w:val="24"/>
        </w:numPr>
        <w:rPr>
          <w:rStyle w:val="AERbody"/>
        </w:rPr>
      </w:pPr>
      <w:r w:rsidRPr="00AB1CAC">
        <w:rPr>
          <w:rStyle w:val="AERbody"/>
        </w:rPr>
        <w:t xml:space="preserve">We are </w:t>
      </w:r>
      <w:r>
        <w:rPr>
          <w:rStyle w:val="AERbody"/>
        </w:rPr>
        <w:t xml:space="preserve">not </w:t>
      </w:r>
      <w:r w:rsidRPr="00AB1CAC">
        <w:rPr>
          <w:rStyle w:val="AERbody"/>
        </w:rPr>
        <w:t xml:space="preserve">satisfied that an </w:t>
      </w:r>
      <w:r>
        <w:rPr>
          <w:rStyle w:val="AERbody"/>
        </w:rPr>
        <w:t xml:space="preserve">OEF </w:t>
      </w:r>
      <w:r w:rsidRPr="00AB1CAC">
        <w:rPr>
          <w:rStyle w:val="AERbody"/>
        </w:rPr>
        <w:t xml:space="preserve">adjustment for </w:t>
      </w:r>
      <w:r>
        <w:rPr>
          <w:rStyle w:val="AERbody"/>
        </w:rPr>
        <w:t>differences in planning</w:t>
      </w:r>
      <w:r w:rsidRPr="00AB1CAC">
        <w:rPr>
          <w:rStyle w:val="AERbody"/>
        </w:rPr>
        <w:t xml:space="preserve"> regulation</w:t>
      </w:r>
      <w:r>
        <w:rPr>
          <w:rStyle w:val="AERbody"/>
        </w:rPr>
        <w:t>s</w:t>
      </w:r>
      <w:r w:rsidRPr="00AB1CAC">
        <w:rPr>
          <w:rStyle w:val="AERbody"/>
        </w:rPr>
        <w:t xml:space="preserve"> </w:t>
      </w:r>
      <w:r>
        <w:rPr>
          <w:rStyle w:val="AERbody"/>
        </w:rPr>
        <w:t>between the NSW service providers and the comparison firms meets the materiality OEF adjustment criterion. We were unable to identify</w:t>
      </w:r>
      <w:r w:rsidRPr="00AB1CAC">
        <w:rPr>
          <w:rStyle w:val="AERbody"/>
        </w:rPr>
        <w:t xml:space="preserve"> any </w:t>
      </w:r>
      <w:r>
        <w:rPr>
          <w:rStyle w:val="AERbody"/>
        </w:rPr>
        <w:t>planning</w:t>
      </w:r>
      <w:r w:rsidRPr="00AB1CAC">
        <w:rPr>
          <w:rStyle w:val="AERbody"/>
        </w:rPr>
        <w:t xml:space="preserve"> regulations that would lead to material differences in opex</w:t>
      </w:r>
      <w:r>
        <w:rPr>
          <w:rStyle w:val="AERbody"/>
        </w:rPr>
        <w:t xml:space="preserve"> nor were the NSW service providers</w:t>
      </w:r>
      <w:r w:rsidRPr="00AB1CAC">
        <w:rPr>
          <w:rStyle w:val="AERbody"/>
        </w:rPr>
        <w:t xml:space="preserve">. </w:t>
      </w:r>
    </w:p>
    <w:p w:rsidR="00051BDB" w:rsidRPr="00252901" w:rsidRDefault="00051BDB" w:rsidP="00051BDB">
      <w:pPr>
        <w:numPr>
          <w:ilvl w:val="0"/>
          <w:numId w:val="24"/>
        </w:numPr>
      </w:pPr>
      <w:r>
        <w:lastRenderedPageBreak/>
        <w:t>However, in accordance with our treatment of immaterial OEFs we have provided a positive 0.5 per cent adjustment for differences in planning obligations. An OEF adjustment for difference in planning regulations would meet the exogeneity and duplication OEF adjustment criteria. Planning regulations are not determined by service providers and Economic Insights' SFA model does not include variables to account for differences in planning regulations. We have provided a positive 0.5 per cent adjustment because it is unclear if planning obligations will lead to a cost advantage or disadvantage for the NSW service providers relative to the comparison firms.</w:t>
      </w:r>
    </w:p>
    <w:p w:rsidR="00051BDB" w:rsidRPr="00B7151E" w:rsidRDefault="00051BDB" w:rsidP="00051BDB">
      <w:pPr>
        <w:pStyle w:val="HeadingBoldBlue"/>
        <w:numPr>
          <w:ilvl w:val="0"/>
          <w:numId w:val="24"/>
        </w:numPr>
      </w:pPr>
      <w:r>
        <w:t>Division of vegetation management respon</w:t>
      </w:r>
      <w:r w:rsidRPr="00B7151E">
        <w:t>s</w:t>
      </w:r>
      <w:r>
        <w:t>ibility</w:t>
      </w:r>
    </w:p>
    <w:p w:rsidR="00051BDB" w:rsidRDefault="00051BDB" w:rsidP="00051BDB">
      <w:r>
        <w:t>We are not satisfied that an OEF adjustment for the division of responsibility for vegetation management would meet the materiality OEF adjustment criterion. This is because it is not likely to lead to a material difference in costs between the NSW DNSPs and the comparison firms.</w:t>
      </w:r>
    </w:p>
    <w:p w:rsidR="00051BDB" w:rsidRDefault="00051BDB" w:rsidP="00051BDB">
      <w:r>
        <w:t>ActewAGL,</w:t>
      </w:r>
      <w:r>
        <w:rPr>
          <w:rStyle w:val="FootnoteReference"/>
        </w:rPr>
        <w:footnoteReference w:id="811"/>
      </w:r>
      <w:r>
        <w:t xml:space="preserve"> Ausgrid,</w:t>
      </w:r>
      <w:r>
        <w:rPr>
          <w:rStyle w:val="FootnoteReference"/>
        </w:rPr>
        <w:footnoteReference w:id="812"/>
      </w:r>
      <w:r>
        <w:t xml:space="preserve"> Endeavour,</w:t>
      </w:r>
      <w:r>
        <w:rPr>
          <w:rStyle w:val="FootnoteReference"/>
        </w:rPr>
        <w:footnoteReference w:id="813"/>
      </w:r>
      <w:r>
        <w:t xml:space="preserve"> Ergon,</w:t>
      </w:r>
      <w:r>
        <w:rPr>
          <w:rStyle w:val="FootnoteReference"/>
        </w:rPr>
        <w:footnoteReference w:id="814"/>
      </w:r>
      <w:r>
        <w:t xml:space="preserve"> </w:t>
      </w:r>
      <w:r>
        <w:rPr>
          <w:rStyle w:val="FootnoteReference"/>
        </w:rPr>
        <w:footnoteReference w:id="815"/>
      </w:r>
      <w:r>
        <w:t>and Essential,</w:t>
      </w:r>
      <w:r>
        <w:rPr>
          <w:rStyle w:val="FootnoteReference"/>
        </w:rPr>
        <w:footnoteReference w:id="816"/>
      </w:r>
      <w:r>
        <w:t xml:space="preserve"> have all raised the division of responsibility for vegetation management as a factor that may affect benchmarking results. In some jurisdictions, for example Queensland, service providers are responsible for vegetation clearance from all network assets. In others, other parties, notably councils and roads authorities, are responsible for some vegetation clearance. As a result some service providers must undertake additional activities in the provision of network services.</w:t>
      </w:r>
    </w:p>
    <w:p w:rsidR="00051BDB" w:rsidRDefault="00051BDB" w:rsidP="00051BDB">
      <w:r w:rsidRPr="00B7151E">
        <w:t xml:space="preserve">Overall, we are </w:t>
      </w:r>
      <w:r>
        <w:t xml:space="preserve">not </w:t>
      </w:r>
      <w:r w:rsidRPr="00B7151E">
        <w:t xml:space="preserve">satisfied that differences in </w:t>
      </w:r>
      <w:r>
        <w:t>the division of responsibility for vegetation</w:t>
      </w:r>
      <w:r w:rsidRPr="00B7151E">
        <w:t xml:space="preserve"> management </w:t>
      </w:r>
      <w:r>
        <w:t>will</w:t>
      </w:r>
      <w:r w:rsidRPr="00B7151E">
        <w:t xml:space="preserve"> </w:t>
      </w:r>
      <w:r>
        <w:t xml:space="preserve">lead to material differences in opex between the NSW </w:t>
      </w:r>
      <w:r w:rsidR="009664DF">
        <w:t xml:space="preserve">distributors </w:t>
      </w:r>
      <w:r>
        <w:t>and the comparison firms</w:t>
      </w:r>
      <w:r w:rsidRPr="00B7151E">
        <w:t xml:space="preserve">. </w:t>
      </w:r>
      <w:r>
        <w:t xml:space="preserve">Service providers in NSW and Victoria all share responsibility for vegetation management with other parties. </w:t>
      </w:r>
    </w:p>
    <w:p w:rsidR="00051BDB" w:rsidRDefault="00051BDB" w:rsidP="00051BDB">
      <w:r>
        <w:t xml:space="preserve">Section 48 of the </w:t>
      </w:r>
      <w:r w:rsidRPr="00F65AE9">
        <w:rPr>
          <w:rStyle w:val="AERtextitalic"/>
        </w:rPr>
        <w:t>Electricity Supply Act 1995</w:t>
      </w:r>
      <w:r>
        <w:rPr>
          <w:rStyle w:val="AERtextitalic"/>
        </w:rPr>
        <w:t xml:space="preserve"> </w:t>
      </w:r>
      <w:r w:rsidRPr="00F67AB3">
        <w:t>(ES Act)</w:t>
      </w:r>
      <w:r>
        <w:t xml:space="preserve"> sets out the division of responsibility for vegetation management between service providers and other parties in NSW. Under Section 48 of the ES Act, the cost of carrying out vegetation management </w:t>
      </w:r>
      <w:r w:rsidRPr="00F67AB3">
        <w:t xml:space="preserve">may be recovered by </w:t>
      </w:r>
      <w:r>
        <w:t>service providers</w:t>
      </w:r>
      <w:r w:rsidRPr="00F67AB3">
        <w:t xml:space="preserve"> </w:t>
      </w:r>
      <w:r>
        <w:t xml:space="preserve">from </w:t>
      </w:r>
      <w:r w:rsidRPr="00F67AB3">
        <w:t>the owner of the premises on</w:t>
      </w:r>
      <w:r>
        <w:t xml:space="preserve"> which a</w:t>
      </w:r>
      <w:r w:rsidRPr="00F67AB3">
        <w:t xml:space="preserve"> tree is situated</w:t>
      </w:r>
      <w:r>
        <w:t xml:space="preserve"> if:</w:t>
      </w:r>
    </w:p>
    <w:p w:rsidR="00051BDB" w:rsidRDefault="00051BDB" w:rsidP="00051BDB">
      <w:pPr>
        <w:pStyle w:val="AERbulletlistfirststyle"/>
      </w:pPr>
      <w:r w:rsidRPr="00F67AB3">
        <w:t>after the electricity works were first</w:t>
      </w:r>
      <w:r>
        <w:t xml:space="preserve"> installed, an owner or </w:t>
      </w:r>
      <w:r w:rsidRPr="00F67AB3">
        <w:t>occupier of the premises caused or permitted the tree to</w:t>
      </w:r>
      <w:r>
        <w:t xml:space="preserve"> </w:t>
      </w:r>
      <w:r w:rsidRPr="00F67AB3">
        <w:t>be planted, in circumstances in which the owner or occupier ought reasonably</w:t>
      </w:r>
      <w:r>
        <w:t xml:space="preserve"> </w:t>
      </w:r>
      <w:r w:rsidRPr="00F67AB3">
        <w:t>to have known that interference with the works</w:t>
      </w:r>
      <w:r>
        <w:t xml:space="preserve"> would result; or</w:t>
      </w:r>
    </w:p>
    <w:p w:rsidR="00051BDB" w:rsidRDefault="00051BDB" w:rsidP="00051BDB">
      <w:pPr>
        <w:pStyle w:val="AERbulletlistfirststyle"/>
      </w:pPr>
      <w:r>
        <w:lastRenderedPageBreak/>
        <w:t>the land</w:t>
      </w:r>
      <w:r w:rsidRPr="00BA6835">
        <w:t xml:space="preserve"> on which the tree is located,</w:t>
      </w:r>
      <w:r>
        <w:t xml:space="preserve"> and which the works </w:t>
      </w:r>
      <w:r w:rsidRPr="00BA6835">
        <w:t xml:space="preserve">are located, was the subject of an easement in favour of the </w:t>
      </w:r>
      <w:r>
        <w:t xml:space="preserve">service provider </w:t>
      </w:r>
      <w:r w:rsidRPr="00BA6835">
        <w:t xml:space="preserve">(or a predecessor of the </w:t>
      </w:r>
      <w:r>
        <w:t>service provider</w:t>
      </w:r>
      <w:r w:rsidRPr="00BA6835">
        <w:t>) when the tree was planted.</w:t>
      </w:r>
    </w:p>
    <w:p w:rsidR="00051BDB" w:rsidRDefault="00051BDB" w:rsidP="00051BDB">
      <w:r>
        <w:t>As a result the NSW service providers are able to recover the costs of vegetation management of trees belonging to councils or other landholders.</w:t>
      </w:r>
    </w:p>
    <w:p w:rsidR="00051BDB" w:rsidRDefault="00051BDB" w:rsidP="00051BDB">
      <w:r>
        <w:t xml:space="preserve">In Victoria, Sections 84A to 84D of the </w:t>
      </w:r>
      <w:r w:rsidRPr="007C11FA">
        <w:rPr>
          <w:rStyle w:val="AERtextitalic"/>
        </w:rPr>
        <w:t>Electricity Safety Act 1998</w:t>
      </w:r>
      <w:r>
        <w:t xml:space="preserve"> set out the division of responsibility for vegetation management between service providers and other parties.</w:t>
      </w:r>
      <w:r>
        <w:rPr>
          <w:rStyle w:val="FootnoteReference"/>
        </w:rPr>
        <w:footnoteReference w:id="817"/>
      </w:r>
      <w:r>
        <w:t xml:space="preserve"> </w:t>
      </w:r>
      <w:r>
        <w:rPr>
          <w:rStyle w:val="FootnoteReference"/>
        </w:rPr>
        <w:footnoteReference w:id="818"/>
      </w:r>
      <w:r>
        <w:rPr>
          <w:rStyle w:val="FootnoteReference"/>
        </w:rPr>
        <w:footnoteReference w:id="819"/>
      </w:r>
      <w:r>
        <w:t xml:space="preserve"> Landholders are responsible for vegetation management of any lines that exclusively service their property. Councils are responsible for vegetation management of any trees on public land in a declared area.</w:t>
      </w:r>
      <w:r>
        <w:rPr>
          <w:rStyle w:val="FootnoteReference"/>
        </w:rPr>
        <w:footnoteReference w:id="820"/>
      </w:r>
      <w:r>
        <w:t xml:space="preserve"> Service providers are responsible for vegetation management of all other trees that encroach on their network.</w:t>
      </w:r>
    </w:p>
    <w:p w:rsidR="00051BDB" w:rsidRDefault="00051BDB" w:rsidP="00051BDB">
      <w:r>
        <w:t>In South Australia, Part 5 of the</w:t>
      </w:r>
      <w:r w:rsidRPr="006442B7">
        <w:t xml:space="preserve"> Electricity Act 1996 (SA) and the Electricity (Principles of Vegetation Clearance) Regulations 2010</w:t>
      </w:r>
      <w:r>
        <w:t xml:space="preserve"> set out the division of responsibility for vegetation management between service providers and other parties.</w:t>
      </w:r>
      <w:r>
        <w:rPr>
          <w:rStyle w:val="FootnoteReference"/>
        </w:rPr>
        <w:footnoteReference w:id="821"/>
      </w:r>
      <w:r>
        <w:t xml:space="preserve"> Under this legislation SA Power Networks is responsible for clearance of all lines with three exceptions. SA Power Networks is not responsible</w:t>
      </w:r>
      <w:r w:rsidRPr="00FB7D3A">
        <w:t xml:space="preserve"> </w:t>
      </w:r>
      <w:r>
        <w:t xml:space="preserve">where it has </w:t>
      </w:r>
      <w:r w:rsidRPr="00FB7D3A">
        <w:t>entered into a vegetation clearance scheme with a council</w:t>
      </w:r>
      <w:r>
        <w:t xml:space="preserve"> under</w:t>
      </w:r>
      <w:r w:rsidRPr="00FB7D3A">
        <w:t xml:space="preserve"> section 55(1a) of the </w:t>
      </w:r>
      <w:r w:rsidRPr="007C11FA">
        <w:rPr>
          <w:rStyle w:val="AERtextitalic"/>
        </w:rPr>
        <w:t>Electricity Act 1996 (SA</w:t>
      </w:r>
      <w:r w:rsidRPr="00A16973">
        <w:rPr>
          <w:rStyle w:val="AERtextitalic"/>
        </w:rPr>
        <w:t>)</w:t>
      </w:r>
      <w:r w:rsidRPr="00FB7D3A">
        <w:t>. There are no such agreements with councils currently in place</w:t>
      </w:r>
      <w:r>
        <w:t>.</w:t>
      </w:r>
      <w:r>
        <w:rPr>
          <w:rStyle w:val="FootnoteReference"/>
        </w:rPr>
        <w:footnoteReference w:id="822"/>
      </w:r>
      <w:r>
        <w:t xml:space="preserve"> SA Power Networks is not responsible for clearance of cultivated vegetation from private </w:t>
      </w:r>
      <w:r w:rsidR="004E5D91">
        <w:t>power lines</w:t>
      </w:r>
      <w:r>
        <w:t>.</w:t>
      </w:r>
      <w:r w:rsidRPr="00FB7D3A">
        <w:rPr>
          <w:rStyle w:val="FootnoteReference"/>
        </w:rPr>
        <w:t xml:space="preserve"> </w:t>
      </w:r>
      <w:r>
        <w:rPr>
          <w:rStyle w:val="FootnoteReference"/>
        </w:rPr>
        <w:footnoteReference w:id="823"/>
      </w:r>
      <w:r>
        <w:t xml:space="preserve"> SA Power Networks is also not responsible for clearing trees encroaching on </w:t>
      </w:r>
      <w:r w:rsidR="004E5D91">
        <w:t>power lines</w:t>
      </w:r>
      <w:r>
        <w:t xml:space="preserve"> where the tree was planted in contravention of the </w:t>
      </w:r>
      <w:r w:rsidRPr="006442B7">
        <w:t>(Principles of Vegetation Clearance) Regulations 2010</w:t>
      </w:r>
      <w:r>
        <w:t xml:space="preserve"> schedule 2.</w:t>
      </w:r>
      <w:r>
        <w:rPr>
          <w:rStyle w:val="FootnoteReference"/>
        </w:rPr>
        <w:footnoteReference w:id="824"/>
      </w:r>
      <w:r>
        <w:t xml:space="preserve"> This is similar to the requirement under subsection 48(4) of the ES Act, except that there is more guidance on what will</w:t>
      </w:r>
      <w:r w:rsidRPr="00F67AB3">
        <w:t xml:space="preserve"> </w:t>
      </w:r>
      <w:r>
        <w:t>interfere</w:t>
      </w:r>
      <w:r w:rsidRPr="00F67AB3">
        <w:t xml:space="preserve"> with the works</w:t>
      </w:r>
      <w:r>
        <w:t>.</w:t>
      </w:r>
    </w:p>
    <w:p w:rsidR="00051BDB" w:rsidRDefault="00051BDB" w:rsidP="00051BDB">
      <w:r>
        <w:t>The NSW service providers stated that they are responsible for vegetation management of their entire network. This is because they have a duty to ensure the safety of their networks. They also stated that there are few situations in which other parties are responsible for vegetation management in their networks. This is because the service provider must confirm</w:t>
      </w:r>
      <w:r w:rsidRPr="00F96E3B">
        <w:t xml:space="preserve"> the tree was planted after the electricity works were established and that the curren</w:t>
      </w:r>
      <w:r>
        <w:t>t owner planted th</w:t>
      </w:r>
      <w:r w:rsidRPr="00F96E3B">
        <w:t>e</w:t>
      </w:r>
      <w:r>
        <w:t xml:space="preserve"> </w:t>
      </w:r>
      <w:r w:rsidRPr="00F96E3B">
        <w:t>trees</w:t>
      </w:r>
      <w:r>
        <w:t xml:space="preserve"> in order to establish responsibility</w:t>
      </w:r>
      <w:r w:rsidRPr="00F96E3B">
        <w:t>.</w:t>
      </w:r>
      <w:r>
        <w:t xml:space="preserve"> The NSW service providers also noted that they have failed to recoup </w:t>
      </w:r>
      <w:r>
        <w:lastRenderedPageBreak/>
        <w:t>their vegetation management costs from other responsible parties in the past despite formal notifications to councils.</w:t>
      </w:r>
      <w:r w:rsidRPr="008D3EA7">
        <w:rPr>
          <w:rStyle w:val="FootnoteReference"/>
        </w:rPr>
        <w:t xml:space="preserve"> </w:t>
      </w:r>
      <w:r>
        <w:rPr>
          <w:rStyle w:val="FootnoteReference"/>
        </w:rPr>
        <w:footnoteReference w:id="825"/>
      </w:r>
      <w:r>
        <w:t xml:space="preserve"> </w:t>
      </w:r>
      <w:r>
        <w:rPr>
          <w:rStyle w:val="FootnoteReference"/>
        </w:rPr>
        <w:footnoteReference w:id="826"/>
      </w:r>
      <w:r>
        <w:rPr>
          <w:rStyle w:val="FootnoteReference"/>
        </w:rPr>
        <w:footnoteReference w:id="827"/>
      </w:r>
    </w:p>
    <w:p w:rsidR="00051BDB" w:rsidRDefault="00051BDB" w:rsidP="00051BDB">
      <w:r>
        <w:t>We do not consider that this makes the NSW service providers financially responsible for vegetation management of their entire network. The Victorian service providers also have a duty to ensure the safety of their networks.</w:t>
      </w:r>
      <w:r w:rsidRPr="008D3EA7">
        <w:rPr>
          <w:rStyle w:val="FootnoteReference"/>
        </w:rPr>
        <w:t xml:space="preserve"> </w:t>
      </w:r>
      <w:r>
        <w:rPr>
          <w:rStyle w:val="FootnoteReference"/>
        </w:rPr>
        <w:footnoteReference w:id="828"/>
      </w:r>
      <w:r>
        <w:rPr>
          <w:rStyle w:val="FootnoteReference"/>
        </w:rPr>
        <w:footnoteReference w:id="829"/>
      </w:r>
      <w:r>
        <w:t xml:space="preserve"> The Victorian service providers are able to organise for other responsible parties (for example councils and other landholders) to fulfil their responsibilities under the </w:t>
      </w:r>
      <w:r w:rsidRPr="00F15DCB">
        <w:rPr>
          <w:rStyle w:val="AERtextitalic"/>
        </w:rPr>
        <w:t>Electric Line Clearance Regulations</w:t>
      </w:r>
      <w:r>
        <w:t>. The NSW service providers have not demonstrated that it is not possible for them to do the same.</w:t>
      </w:r>
    </w:p>
    <w:p w:rsidR="00051BDB" w:rsidRDefault="00051BDB" w:rsidP="00051BDB">
      <w:r>
        <w:t>We are not satisfied that differences in the division of responsibility for vegetation management in Victoria, South Australia and NSW will lead to material differences in opex between the NSW service providers and the comparison firms. Both the Victorian Service providers and the NSW service providers have advantages and disadvantages with regard to the division of responsibility between service providers and other parties. Additionally the division in responsibility between service providers and other parties is similar for the NSW service providers and SA Power Networks as discussed above.</w:t>
      </w:r>
    </w:p>
    <w:p w:rsidR="00051BDB" w:rsidRDefault="00051BDB" w:rsidP="00051BDB">
      <w:r>
        <w:t xml:space="preserve">The Victorian service providers have some cost advantage because </w:t>
      </w:r>
      <w:r w:rsidRPr="00014F71">
        <w:t>private residents are responsible for keeping tree</w:t>
      </w:r>
      <w:r>
        <w:t>s</w:t>
      </w:r>
      <w:r w:rsidRPr="00014F71">
        <w:t xml:space="preserve"> clear from </w:t>
      </w:r>
      <w:r>
        <w:t>service</w:t>
      </w:r>
      <w:r w:rsidRPr="00014F71">
        <w:t xml:space="preserve"> line</w:t>
      </w:r>
      <w:r>
        <w:t>s</w:t>
      </w:r>
      <w:r w:rsidRPr="00014F71">
        <w:t xml:space="preserve"> w</w:t>
      </w:r>
      <w:r>
        <w:t xml:space="preserve">hich solely services their land. However, under section 48 of the ES Act, some private residents in NSW are also responsible for trimming trees that encroach on their service lines. Under section 48 of the ES Act a party is responsible for trimming trees if they planted the tree </w:t>
      </w:r>
      <w:r w:rsidRPr="00F67AB3">
        <w:t>after the electricity works were first</w:t>
      </w:r>
      <w:r>
        <w:t xml:space="preserve"> installed. This includes trees encroaching on service lines. Also, the NSW service providers may have some cost advantage with regard to the responsibilities of councils to trim encroaching vegetation. This is because section 48 of the ES Act applies to all of NSW meaning that wherever councils plant a tree, or permit a tree to be planted, they are responsible for the trimming of that tree. In Victoria, councils are only responsible for vegetation management of trees on public land in specific areas declared under section 81 of the Electricity Safety Act 1998.</w:t>
      </w:r>
    </w:p>
    <w:p w:rsidR="00051BDB" w:rsidRDefault="00051BDB" w:rsidP="00051BDB">
      <w:r>
        <w:t xml:space="preserve">The division of responsibility for vegetation management between service providers and other parties in SA and NSW are similar. Both service providers are responsible for all ensuring that vegetation is kept clear from all lines unless that vegetation was planted in a way that would interfere with </w:t>
      </w:r>
      <w:r w:rsidR="004E5D91">
        <w:t>power lines</w:t>
      </w:r>
      <w:r>
        <w:t xml:space="preserve">. However SA Power Networks is not required to trim trees encroaching on private </w:t>
      </w:r>
      <w:r w:rsidR="004E5D91">
        <w:t>power lines</w:t>
      </w:r>
      <w:r>
        <w:t xml:space="preserve">. This is unlikely to lead to </w:t>
      </w:r>
      <w:r>
        <w:lastRenderedPageBreak/>
        <w:t>a material difference in costs because private overhead lines only make up 1.5 per cent of SA Power Network's total overhead route line length.</w:t>
      </w:r>
      <w:r w:rsidRPr="00CF5E0E">
        <w:rPr>
          <w:rStyle w:val="FootnoteReference"/>
        </w:rPr>
        <w:t xml:space="preserve"> </w:t>
      </w:r>
      <w:r>
        <w:rPr>
          <w:rStyle w:val="FootnoteReference"/>
        </w:rPr>
        <w:footnoteReference w:id="830"/>
      </w:r>
    </w:p>
    <w:p w:rsidR="00051BDB" w:rsidRDefault="00051BDB" w:rsidP="00051BDB">
      <w:r>
        <w:t>We have included these differences in our adjustment for immaterial factors. Although we are not satisfied that there will be material differences in costs between the NSW service providers and the comparison firms, they are likely to lead to some differences in opex. Also an OEF adjustment for differences in the division of responsibility for vegetation management would meet the exogeneity and duplication OEF adjustment criteria. The division of responsibility for vegetation management is not determined by service providers and it is not accounted for by variables in Economic Insights' SFA model. As there is some uncertainty of the direction of cost advantage due to differences in vegetation management, it contributes positive 0.5 per cent to the collective adjustment for immaterial factors for the NSW service providers.</w:t>
      </w:r>
    </w:p>
    <w:p w:rsidR="00051BDB" w:rsidRPr="00B1527A" w:rsidRDefault="00051BDB" w:rsidP="00051BDB">
      <w:pPr>
        <w:pStyle w:val="HeadingBoldBlue"/>
        <w:numPr>
          <w:ilvl w:val="0"/>
          <w:numId w:val="24"/>
        </w:numPr>
      </w:pPr>
      <w:r>
        <w:t>Traffic management</w:t>
      </w:r>
    </w:p>
    <w:p w:rsidR="00051BDB" w:rsidRDefault="00051BDB" w:rsidP="00051BDB">
      <w:r>
        <w:t>We are not satisfied that an OEF adjustment for traffic management would meet the materiality or duplication OEF adjustment criteria. Traffic management requirements across Australia are based on a nationally consistent standard. Differences in traffic management costs related to density will be captured by Economic Insights' SFA model.</w:t>
      </w:r>
    </w:p>
    <w:p w:rsidR="00051BDB" w:rsidRPr="00675B14" w:rsidRDefault="00051BDB" w:rsidP="00051BDB">
      <w:r w:rsidRPr="00675B14">
        <w:t xml:space="preserve">Traffic management is the direction of </w:t>
      </w:r>
      <w:r>
        <w:t>motorist and pedestrian movements</w:t>
      </w:r>
      <w:r w:rsidRPr="00675B14">
        <w:t xml:space="preserve"> around worksites using temporary traffic signage and traffic controllers.</w:t>
      </w:r>
    </w:p>
    <w:p w:rsidR="00051BDB" w:rsidRDefault="00051BDB" w:rsidP="00051BDB">
      <w:r w:rsidRPr="009F21E8">
        <w:t>State and territory road authorities generally base their traffic control at roadwork sites requirements on AS1742 Part 3: Guide to traffic control devices for works on roads</w:t>
      </w:r>
      <w:r>
        <w:t>.</w:t>
      </w:r>
      <w:r w:rsidRPr="009F21E8">
        <w:rPr>
          <w:rStyle w:val="FootnoteReference"/>
        </w:rPr>
        <w:footnoteReference w:id="831"/>
      </w:r>
      <w:r>
        <w:t xml:space="preserve"> Therefore cost differences due to jurisdictionally differences will be immaterial.</w:t>
      </w:r>
    </w:p>
    <w:p w:rsidR="00051BDB" w:rsidRDefault="00051BDB" w:rsidP="00051BDB">
      <w:r>
        <w:t>T</w:t>
      </w:r>
      <w:r w:rsidRPr="009F21E8">
        <w:t>raffic management costs generally correlate with the volume of traffic near the worksite. We consider that traffic management will have a greater overall impact on expenditure in higher density areas than in lower density areas.</w:t>
      </w:r>
      <w:r>
        <w:t xml:space="preserve"> Economic insights' SFA model accounts for differences in customer density. For more detail see our consideration of customer density above and in our draft decision.</w:t>
      </w:r>
    </w:p>
    <w:p w:rsidR="00051BDB" w:rsidRDefault="00051BDB" w:rsidP="00051BDB">
      <w:r>
        <w:t>In response to our draft decision we received no evidence to suggest that differences in traffic management practices in NSW, Victoria, and SA lead to material differences in opex.</w:t>
      </w:r>
    </w:p>
    <w:p w:rsidR="00051BDB" w:rsidRDefault="00051BDB" w:rsidP="00051BDB">
      <w:r>
        <w:t xml:space="preserve">We have included jurisdictional differences in traffic management in our adjustment for immaterial factors. Although the density related differences in traffic management are captured in Economic Insights' SFA model, the jurisdictional differences in requirements are not. These jurisdictional differences are likely to lead to some difference in cost and are not determined by service providers. As a result an OEF </w:t>
      </w:r>
      <w:r>
        <w:lastRenderedPageBreak/>
        <w:t>adjustment for traffic management would satisfy the exogeneity OEF adjustment criterion. Also, because Economic Insight's SFA model does not account for differences in traffic management regulations it would satisfy the duplication OEF adjustment criterion. Therefore, we have provided included a 0.5 per cent adjustment for the NSW service providers in our collective adjustment for immaterial factors.</w:t>
      </w:r>
    </w:p>
    <w:p w:rsidR="00051BDB" w:rsidRPr="00CD5D0F" w:rsidRDefault="00051BDB" w:rsidP="00051BDB">
      <w:pPr>
        <w:pStyle w:val="Heading9"/>
      </w:pPr>
      <w:bookmarkStart w:id="249" w:name="_Ref400702371"/>
      <w:bookmarkStart w:id="250" w:name="_Toc417719056"/>
      <w:r w:rsidRPr="00B7151E">
        <w:t>Network factors</w:t>
      </w:r>
      <w:bookmarkEnd w:id="249"/>
      <w:bookmarkEnd w:id="250"/>
    </w:p>
    <w:p w:rsidR="00051BDB" w:rsidRPr="00B1527A" w:rsidRDefault="00051BDB" w:rsidP="00051BDB">
      <w:pPr>
        <w:pStyle w:val="HeadingBoldBlue"/>
        <w:numPr>
          <w:ilvl w:val="0"/>
          <w:numId w:val="24"/>
        </w:numPr>
      </w:pPr>
      <w:r w:rsidRPr="00B1527A">
        <w:t>Advanced metering infrastructure</w:t>
      </w:r>
    </w:p>
    <w:p w:rsidR="00051BDB" w:rsidRDefault="00051BDB" w:rsidP="00051BDB">
      <w:pPr>
        <w:pStyle w:val="ListParagraph"/>
        <w:numPr>
          <w:ilvl w:val="0"/>
          <w:numId w:val="24"/>
        </w:numPr>
      </w:pPr>
      <w:r w:rsidRPr="00A4390A">
        <w:t xml:space="preserve">We are </w:t>
      </w:r>
      <w:r>
        <w:t xml:space="preserve">not </w:t>
      </w:r>
      <w:r w:rsidRPr="00A4390A">
        <w:t xml:space="preserve">satisfied that an OEF adjustment for differences in Advanced Metering Infrastructure (AMI) deployments would satisfy </w:t>
      </w:r>
      <w:r>
        <w:t xml:space="preserve">the </w:t>
      </w:r>
      <w:r w:rsidRPr="00A4390A">
        <w:t xml:space="preserve">OEF adjustment criteria. </w:t>
      </w:r>
      <w:r>
        <w:t>Pursuing t</w:t>
      </w:r>
      <w:r w:rsidRPr="00A4390A">
        <w:t xml:space="preserve">he ability to share overheads between network services and other services is a business decision on service diversification. </w:t>
      </w:r>
      <w:r>
        <w:t xml:space="preserve">The ability to share overheads between network services and metering services are not likely to lead to material differences in network services opex. </w:t>
      </w:r>
      <w:r w:rsidRPr="00A4390A">
        <w:t>AMI costs are excluded from network services opex.</w:t>
      </w:r>
    </w:p>
    <w:p w:rsidR="00051BDB" w:rsidRPr="00A4390A" w:rsidRDefault="00051BDB" w:rsidP="00051BDB">
      <w:pPr>
        <w:pStyle w:val="ListParagraph"/>
        <w:numPr>
          <w:ilvl w:val="0"/>
          <w:numId w:val="24"/>
        </w:numPr>
      </w:pPr>
      <w:r>
        <w:t xml:space="preserve">Advanced metering infrastructure is another term for smart meters. </w:t>
      </w:r>
      <w:r w:rsidRPr="00F24FFE">
        <w:t>Smart meters</w:t>
      </w:r>
      <w:r>
        <w:t xml:space="preserve"> are electricity usage meters that communicate</w:t>
      </w:r>
      <w:r w:rsidRPr="00F24FFE">
        <w:t xml:space="preserve"> meter readings directly to electricity distributors</w:t>
      </w:r>
      <w:r>
        <w:t xml:space="preserve">, </w:t>
      </w:r>
      <w:r w:rsidRPr="00F24FFE">
        <w:t xml:space="preserve">eliminating the need for </w:t>
      </w:r>
      <w:r>
        <w:t>staff</w:t>
      </w:r>
      <w:r w:rsidRPr="00F24FFE">
        <w:t xml:space="preserve"> </w:t>
      </w:r>
      <w:r>
        <w:t>to</w:t>
      </w:r>
      <w:r w:rsidRPr="00F24FFE">
        <w:t xml:space="preserve"> read meters</w:t>
      </w:r>
      <w:r>
        <w:t xml:space="preserve"> in person.</w:t>
      </w:r>
    </w:p>
    <w:p w:rsidR="00051BDB" w:rsidRDefault="00051BDB" w:rsidP="00051BDB">
      <w:r>
        <w:t>In response to our 2014 draft decision Advisian, ActewAGL's consultant, suggested the point that the Victorian service providers can share their fixed overhead costs with their AMI programs.</w:t>
      </w:r>
      <w:r>
        <w:rPr>
          <w:rStyle w:val="FootnoteReference"/>
        </w:rPr>
        <w:footnoteReference w:id="832"/>
      </w:r>
      <w:r>
        <w:t xml:space="preserve"> Huegin also noted that Ofgem excludes costs related to smart meter deployments.</w:t>
      </w:r>
      <w:r>
        <w:rPr>
          <w:rStyle w:val="FootnoteReference"/>
        </w:rPr>
        <w:footnoteReference w:id="833"/>
      </w:r>
    </w:p>
    <w:p w:rsidR="00051BDB" w:rsidRDefault="00051BDB" w:rsidP="00051BDB">
      <w:r>
        <w:t>Advisian considers that this gives the Victorian service providers a cost advantage relative to other service providers. Other service providers also provide metering services, but are not making a major change in their metering fleet in the way the Victorian service providers are. Overhead costs are often shared on the basis of costs incurred by functional areas. Therefore, Advisian considers the large costs involved in the AMI deployment will allow the Victorian service providers to allocate more of their overhead costs to metering than other service providers.</w:t>
      </w:r>
    </w:p>
    <w:p w:rsidR="00051BDB" w:rsidRDefault="00051BDB" w:rsidP="00051BDB">
      <w:r>
        <w:t>There are two issues with Advisian's analysis. The first is that the extent to which a service provider can share overheads across its services is the result of management decisions. The second is that differences in AMI deployments will not materially affect network services opex.</w:t>
      </w:r>
    </w:p>
    <w:p w:rsidR="00051BDB" w:rsidRDefault="00051BDB" w:rsidP="00051BDB">
      <w:r>
        <w:t>As discussed in the unregulated services section above the extent to which service providers can share overheads across services is the result of business decisions on service diversification. Therefore an OEF adjustment for differences in AMI programs would not satisfy the exogeneity OEF adjustment criterion.</w:t>
      </w:r>
    </w:p>
    <w:p w:rsidR="00051BDB" w:rsidRPr="007D05CB" w:rsidRDefault="00051BDB" w:rsidP="00051BDB">
      <w:r>
        <w:lastRenderedPageBreak/>
        <w:t>Additionally, f</w:t>
      </w:r>
      <w:r w:rsidRPr="007D05CB">
        <w:t>ixed overheads are only a part of total overheads. As service providers increase in scale and scope they will incur more overheads.</w:t>
      </w:r>
      <w:r>
        <w:t xml:space="preserve"> As a result, although the Victorian service providers are able to share fixed costs between network services and its AMI programs, the AMI programs also add to the pool of shared overheads. As a result an OEF adjustment for differences in AMI programs would not meet the materiality OEF adjustment criterion.</w:t>
      </w:r>
    </w:p>
    <w:p w:rsidR="00051BDB" w:rsidRDefault="00051BDB" w:rsidP="00051BDB">
      <w:r>
        <w:t>We also note that Advisian's analysis relates to the Victorian service providers rather than the comparison firms. SA Power Networks, is also one of the comparison firms. We note that although SA Power Networks did not have the ability to share its fixed overheads between network services and an AMI program, it is one of the best ranking service providers under all of Economic Insights' benchmarking models.</w:t>
      </w:r>
    </w:p>
    <w:p w:rsidR="00051BDB" w:rsidRDefault="00051BDB" w:rsidP="00051BDB">
      <w:r>
        <w:t>We are also satisfied that an adjustment for AMI deployments would not satisfy the duplication OEF criterion. Network services opex, which has been used in Economic Insights' SFA model excludes metering services costs. As metering services costs are not included in the network services costs, the efficiency scores from Economic Insights' SFA model will not be affected by metering services costs.</w:t>
      </w:r>
    </w:p>
    <w:p w:rsidR="00051BDB" w:rsidRPr="00B7151E" w:rsidRDefault="00051BDB" w:rsidP="00051BDB">
      <w:pPr>
        <w:pStyle w:val="HeadingBoldBlue"/>
      </w:pPr>
      <w:r>
        <w:t>Asset age</w:t>
      </w:r>
    </w:p>
    <w:p w:rsidR="00051BDB" w:rsidRDefault="00051BDB" w:rsidP="00051BDB">
      <w:pPr>
        <w:numPr>
          <w:ilvl w:val="0"/>
          <w:numId w:val="24"/>
        </w:numPr>
      </w:pPr>
      <w:r>
        <w:t>We are not satisfied that an OEF for differences in asset age between the NSW service providers and the comparison firms would meet the materiality OEF adjustment criterion. Asset age is not likely to lead to material differences in opex between the NSW service providers and the comparison firms. Asset age is only likely to affect some opex categories. Also the NSW service providers seem to have similar weighted average remaining lives (WARLs) to the comparison firms.</w:t>
      </w:r>
    </w:p>
    <w:p w:rsidR="00051BDB" w:rsidRDefault="00051BDB" w:rsidP="00051BDB">
      <w:pPr>
        <w:numPr>
          <w:ilvl w:val="0"/>
          <w:numId w:val="24"/>
        </w:numPr>
      </w:pPr>
      <w:r>
        <w:t xml:space="preserve">Not all opex categories are affected by asset age. The opex categories that will generally be affected by differences in asset age are emergency response and routine preventative maintenance on high value assets. </w:t>
      </w:r>
    </w:p>
    <w:p w:rsidR="00051BDB" w:rsidRDefault="00051BDB" w:rsidP="00051BDB">
      <w:pPr>
        <w:numPr>
          <w:ilvl w:val="0"/>
          <w:numId w:val="24"/>
        </w:numPr>
      </w:pPr>
      <w:r>
        <w:t>The amount of maintenance opex does not increase with age for all assets. Asset age will not greatly affect maintenance opex for most assets. Low value assets, such as distribution lines and transformers make up the bulk of service providers' assets. Low value assets like these are inspected on a regular basis but they will generally not incur routine maintenance interventions in the way higher voltage assets do.</w:t>
      </w:r>
      <w:r>
        <w:rPr>
          <w:rStyle w:val="FootnoteReference"/>
        </w:rPr>
        <w:footnoteReference w:id="834"/>
      </w:r>
      <w:r>
        <w:t xml:space="preserve"> Asset age will more often affect routine maintenance intervals for high value, strategically important, assets such as subtransmission lines and zone substations. However, maintenance on zone substations and assets operating above subtransmission lines generally only accounts for a small part of service providers' opex.</w:t>
      </w:r>
    </w:p>
    <w:p w:rsidR="00051BDB" w:rsidRPr="009F21E8" w:rsidRDefault="00051BDB" w:rsidP="00051BDB">
      <w:pPr>
        <w:numPr>
          <w:ilvl w:val="0"/>
          <w:numId w:val="24"/>
        </w:numPr>
      </w:pPr>
      <w:r>
        <w:t xml:space="preserve">While a network with an older asset base will tend to experience more asset failures, asset failures only account for a part of emergency response costs. As assets age, </w:t>
      </w:r>
      <w:r>
        <w:lastRenderedPageBreak/>
        <w:t>they in general they will become more likely to fail. Therefore a service provider with older assets would be more likely to incur emergency response costs for asset failure. However emergency response opex is also incurred for other occurrences including: weather, 3rd party damage to the network, vegetation, and animal contact.</w:t>
      </w:r>
      <w:r w:rsidRPr="00D57FE5">
        <w:rPr>
          <w:rStyle w:val="FootnoteReference"/>
        </w:rPr>
        <w:t xml:space="preserve"> </w:t>
      </w:r>
      <w:r>
        <w:rPr>
          <w:rStyle w:val="FootnoteReference"/>
        </w:rPr>
        <w:footnoteReference w:id="835"/>
      </w:r>
    </w:p>
    <w:p w:rsidR="00051BDB" w:rsidRDefault="00051BDB" w:rsidP="00051BDB">
      <w:pPr>
        <w:numPr>
          <w:ilvl w:val="0"/>
          <w:numId w:val="24"/>
        </w:numPr>
      </w:pPr>
      <w:r>
        <w:t>In our draft decision, we did not provide an OEF adjustment for asset age. We considered the effect of asset age on service providers' costs and we were satisfied no adjustment was necessary. In coming to this conclusion we considered estimates of the service providers' Weighted Average Replacement Lives (WARL).</w:t>
      </w:r>
      <w:r w:rsidRPr="004D1A52">
        <w:rPr>
          <w:rStyle w:val="FootnoteReference"/>
        </w:rPr>
        <w:t xml:space="preserve"> </w:t>
      </w:r>
      <w:r>
        <w:rPr>
          <w:rStyle w:val="FootnoteReference"/>
        </w:rPr>
        <w:footnoteReference w:id="836"/>
      </w:r>
      <w:r>
        <w:t xml:space="preserve"> The NSW service providers did not appear to have WARLs materially different to those of the comparison firms.</w:t>
      </w:r>
    </w:p>
    <w:p w:rsidR="00051BDB" w:rsidRDefault="00051BDB" w:rsidP="00051BDB">
      <w:pPr>
        <w:numPr>
          <w:ilvl w:val="0"/>
          <w:numId w:val="24"/>
        </w:numPr>
      </w:pPr>
      <w:r>
        <w:t>Since our draft, Advisian,</w:t>
      </w:r>
      <w:r w:rsidRPr="00071F07">
        <w:rPr>
          <w:rStyle w:val="FootnoteReference"/>
        </w:rPr>
        <w:t xml:space="preserve"> </w:t>
      </w:r>
      <w:r>
        <w:rPr>
          <w:rStyle w:val="FootnoteReference"/>
        </w:rPr>
        <w:footnoteReference w:id="837"/>
      </w:r>
      <w:r>
        <w:t xml:space="preserve"> Ausgrid</w:t>
      </w:r>
      <w:r>
        <w:rPr>
          <w:rStyle w:val="FootnoteReference"/>
        </w:rPr>
        <w:footnoteReference w:id="838"/>
      </w:r>
      <w:r>
        <w:t xml:space="preserve"> and Essential Energy</w:t>
      </w:r>
      <w:r>
        <w:rPr>
          <w:rStyle w:val="FootnoteReference"/>
        </w:rPr>
        <w:footnoteReference w:id="839"/>
      </w:r>
      <w:r>
        <w:t xml:space="preserve"> have all raised the issue of the effect of asset age on the results of Economic Insights' benchmarking.</w:t>
      </w:r>
    </w:p>
    <w:p w:rsidR="00051BDB" w:rsidRDefault="00051BDB" w:rsidP="00051BDB">
      <w:pPr>
        <w:numPr>
          <w:ilvl w:val="0"/>
          <w:numId w:val="24"/>
        </w:numPr>
      </w:pPr>
      <w:r>
        <w:t>Advisian, Ausgrid and Essential Energy stated that the AER's assessment of asset age is incorrect because the standard lives reported in the AER's RIN data do not appropriately represent the age of service providers' assets. Advisian then presented two alternative methods of measuring average network asset age. One shows the cumulative percentage of assets above the reported mean asset life and the other shows the cumulative percentage of assets over 50 years old.</w:t>
      </w:r>
    </w:p>
    <w:p w:rsidR="00051BDB" w:rsidRDefault="00051BDB" w:rsidP="00051BDB">
      <w:pPr>
        <w:numPr>
          <w:ilvl w:val="0"/>
          <w:numId w:val="24"/>
        </w:numPr>
      </w:pPr>
      <w:r>
        <w:t>Our calculation of the WARL and standard asset lives in our repex model are different to this. Rather than using the standard asset lives reported in the RINs, the standard lives assumed in the calculation of the WARL, used in our draft decision, were based on benchmark standard lives calculated by the repex model. As a result, the asset lives were not based on depreciation assumptions. They were based on the average asset lifespans realised for each asset class by the NEM service providers. Therefore the statements made by Advisian on our calculation of the WARL used in our draft decision do not hold true.</w:t>
      </w:r>
    </w:p>
    <w:p w:rsidR="00051BDB" w:rsidRDefault="00051BDB" w:rsidP="00051BDB">
      <w:pPr>
        <w:numPr>
          <w:ilvl w:val="0"/>
          <w:numId w:val="24"/>
        </w:numPr>
      </w:pPr>
      <w:r>
        <w:t xml:space="preserve">The alternative methods of presenting asset age proposed by Advisian also have drawbacks. The first method, the cumulative percentage of assets over their mean asset age, is subject to the problem Advisian considered that our calculation of the WARL was subject to. That is it is dependent on the mean asset lives reported in the category analysis RINs, which in some cases may be dependent on service providers' accounting assumptions. The second method, which compares the percentage of assets older than 50 years, is affected by, as noted by Advisian, differences in assets </w:t>
      </w:r>
      <w:r>
        <w:lastRenderedPageBreak/>
        <w:t>used by the service providers.</w:t>
      </w:r>
      <w:r w:rsidRPr="00D60158">
        <w:rPr>
          <w:rStyle w:val="FootnoteReference"/>
        </w:rPr>
        <w:t xml:space="preserve"> </w:t>
      </w:r>
      <w:r>
        <w:rPr>
          <w:rStyle w:val="FootnoteReference"/>
        </w:rPr>
        <w:footnoteReference w:id="840"/>
      </w:r>
      <w:r>
        <w:t xml:space="preserve"> </w:t>
      </w:r>
      <w:r w:rsidR="004E5D91">
        <w:t>The example used by Advisian is that SA Power Networks uses Stobie poles that have long asset lives.</w:t>
      </w:r>
    </w:p>
    <w:p w:rsidR="00051BDB" w:rsidRDefault="00051BDB" w:rsidP="00051BDB">
      <w:pPr>
        <w:numPr>
          <w:ilvl w:val="0"/>
          <w:numId w:val="24"/>
        </w:numPr>
      </w:pPr>
      <w:r>
        <w:t>Our calculation of the WARL is not subject to either of these issues. As mentioned before, the asset lives in our calculation of the WARL are based on benchmarked asset lives. As a result we consider that it is a better measure for network age comparisons. Further, we note Endeavour Energy itself uses WARL measures to forecast its repex costs.</w:t>
      </w:r>
      <w:r w:rsidRPr="00C225CB">
        <w:rPr>
          <w:rStyle w:val="FootnoteReference"/>
        </w:rPr>
        <w:t xml:space="preserve"> </w:t>
      </w:r>
      <w:r>
        <w:rPr>
          <w:rStyle w:val="FootnoteReference"/>
        </w:rPr>
        <w:footnoteReference w:id="841"/>
      </w:r>
    </w:p>
    <w:p w:rsidR="00051BDB" w:rsidRDefault="00051BDB" w:rsidP="00051BDB">
      <w:pPr>
        <w:numPr>
          <w:ilvl w:val="0"/>
          <w:numId w:val="24"/>
        </w:numPr>
      </w:pPr>
      <w:r>
        <w:t xml:space="preserve">Nonetheless, in considering Advisian's statements we have considered an additional measure of asset age. In addition to our consideration of the benchmark WARL used in the draft decision, we have considered a measure based on the observed level of replacement for each service provider. </w:t>
      </w:r>
    </w:p>
    <w:p w:rsidR="00051BDB" w:rsidRPr="009F21E8" w:rsidRDefault="00051BDB" w:rsidP="00051BDB">
      <w:r>
        <w:t xml:space="preserve">The WARL in our draft decision uses benchmark unit rates and asset lives based on the unit rates and replacement rates observed across the NEM (benchmark WARL). The new measure uses service providers' own unit rates and replacement rates (observed WARL). </w:t>
      </w:r>
      <w:r>
        <w:fldChar w:fldCharType="begin"/>
      </w:r>
      <w:r>
        <w:instrText xml:space="preserve"> REF _Ref417504360 \h </w:instrText>
      </w:r>
      <w:r>
        <w:fldChar w:fldCharType="separate"/>
      </w:r>
      <w:r w:rsidR="00C74791">
        <w:t xml:space="preserve">Figure </w:t>
      </w:r>
      <w:r w:rsidR="00C74791">
        <w:rPr>
          <w:noProof/>
        </w:rPr>
        <w:t>A</w:t>
      </w:r>
      <w:r w:rsidR="00C74791">
        <w:t>.</w:t>
      </w:r>
      <w:r w:rsidR="00C74791">
        <w:rPr>
          <w:noProof/>
        </w:rPr>
        <w:t>27</w:t>
      </w:r>
      <w:r>
        <w:fldChar w:fldCharType="end"/>
      </w:r>
      <w:r>
        <w:t xml:space="preserve"> and </w:t>
      </w:r>
      <w:r>
        <w:fldChar w:fldCharType="begin"/>
      </w:r>
      <w:r>
        <w:instrText xml:space="preserve"> REF _Ref417504375 \h </w:instrText>
      </w:r>
      <w:r>
        <w:fldChar w:fldCharType="separate"/>
      </w:r>
      <w:r w:rsidR="00C74791">
        <w:t xml:space="preserve">Figure </w:t>
      </w:r>
      <w:r w:rsidR="00C74791">
        <w:rPr>
          <w:noProof/>
        </w:rPr>
        <w:t>A</w:t>
      </w:r>
      <w:r w:rsidR="00C74791">
        <w:t>.</w:t>
      </w:r>
      <w:r w:rsidR="00C74791">
        <w:rPr>
          <w:noProof/>
        </w:rPr>
        <w:t>28</w:t>
      </w:r>
      <w:r>
        <w:fldChar w:fldCharType="end"/>
      </w:r>
      <w:r>
        <w:t xml:space="preserve"> </w:t>
      </w:r>
      <w:r w:rsidRPr="009F21E8">
        <w:t>below compares al</w:t>
      </w:r>
      <w:r>
        <w:t>l NEM service providers' on both WARLs. We note that we have excluded Jemena and United Energy because we have some concerns with some of their asset replacement data.</w:t>
      </w:r>
    </w:p>
    <w:p w:rsidR="00051BDB" w:rsidRPr="009F21E8" w:rsidRDefault="00A409CB" w:rsidP="00051BDB">
      <w:pPr>
        <w:pStyle w:val="Caption"/>
      </w:pPr>
      <w:bookmarkStart w:id="251" w:name="_Ref417504360"/>
      <w:r>
        <w:t>Figure</w:t>
      </w:r>
      <w:r w:rsidR="00051BDB">
        <w:t xml:space="preserve"> </w:t>
      </w:r>
      <w:fldSimple w:instr=" STYLEREF 7 \s ">
        <w:r w:rsidR="00C74791">
          <w:rPr>
            <w:noProof/>
          </w:rPr>
          <w:t>A</w:t>
        </w:r>
      </w:fldSimple>
      <w:r>
        <w:t>.</w:t>
      </w:r>
      <w:fldSimple w:instr=" SEQ AFigure \* ARABIC \s 7 ">
        <w:r w:rsidR="00C74791">
          <w:rPr>
            <w:noProof/>
          </w:rPr>
          <w:t>27</w:t>
        </w:r>
      </w:fldSimple>
      <w:bookmarkEnd w:id="251"/>
      <w:r w:rsidR="00051BDB">
        <w:tab/>
        <w:t>Benchmarked Weighted Average Remaining L</w:t>
      </w:r>
      <w:r w:rsidR="00051BDB" w:rsidRPr="009F21E8">
        <w:t>ife for each NEM service provider</w:t>
      </w:r>
    </w:p>
    <w:p w:rsidR="00051BDB" w:rsidRPr="009F21E8" w:rsidRDefault="00051BDB" w:rsidP="00051BDB">
      <w:pPr>
        <w:numPr>
          <w:ilvl w:val="0"/>
          <w:numId w:val="24"/>
        </w:numPr>
      </w:pPr>
      <w:r w:rsidRPr="00051BDB">
        <w:rPr>
          <w:noProof/>
          <w:lang w:eastAsia="en-AU"/>
        </w:rPr>
        <w:drawing>
          <wp:inline distT="0" distB="0" distL="0" distR="0" wp14:anchorId="2F831D60" wp14:editId="540AB9F3">
            <wp:extent cx="5464098" cy="32670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64098" cy="3267075"/>
                    </a:xfrm>
                    <a:prstGeom prst="rect">
                      <a:avLst/>
                    </a:prstGeom>
                    <a:noFill/>
                    <a:ln>
                      <a:noFill/>
                    </a:ln>
                  </pic:spPr>
                </pic:pic>
              </a:graphicData>
            </a:graphic>
          </wp:inline>
        </w:drawing>
      </w:r>
    </w:p>
    <w:p w:rsidR="00051BDB" w:rsidRPr="009F21E8" w:rsidRDefault="00051BDB" w:rsidP="00051BDB">
      <w:pPr>
        <w:pStyle w:val="AERtablesource"/>
      </w:pPr>
      <w:r w:rsidRPr="009F21E8">
        <w:lastRenderedPageBreak/>
        <w:t>Source: Category analysis RIN data, AER Analysis</w:t>
      </w:r>
    </w:p>
    <w:p w:rsidR="00051BDB" w:rsidRPr="009F21E8" w:rsidRDefault="00A409CB" w:rsidP="00051BDB">
      <w:pPr>
        <w:pStyle w:val="Caption"/>
      </w:pPr>
      <w:bookmarkStart w:id="252" w:name="_Ref417504375"/>
      <w:r>
        <w:t>Figure</w:t>
      </w:r>
      <w:r w:rsidR="00051BDB">
        <w:t xml:space="preserve"> </w:t>
      </w:r>
      <w:fldSimple w:instr=" STYLEREF 7 \s ">
        <w:r w:rsidR="00C74791">
          <w:rPr>
            <w:noProof/>
          </w:rPr>
          <w:t>A</w:t>
        </w:r>
      </w:fldSimple>
      <w:r>
        <w:t>.</w:t>
      </w:r>
      <w:fldSimple w:instr=" SEQ AFigure \* ARABIC \s 7 ">
        <w:r w:rsidR="00C74791">
          <w:rPr>
            <w:noProof/>
          </w:rPr>
          <w:t>28</w:t>
        </w:r>
      </w:fldSimple>
      <w:bookmarkEnd w:id="252"/>
      <w:r w:rsidR="00051BDB">
        <w:tab/>
        <w:t>Observed Weighted Average Remaining L</w:t>
      </w:r>
      <w:r w:rsidR="00051BDB" w:rsidRPr="009F21E8">
        <w:t>ife for ea</w:t>
      </w:r>
      <w:r w:rsidR="00051BDB">
        <w:t>ch NEM service provider</w:t>
      </w:r>
    </w:p>
    <w:p w:rsidR="00051BDB" w:rsidRPr="009F21E8" w:rsidRDefault="00051BDB" w:rsidP="00051BDB">
      <w:pPr>
        <w:numPr>
          <w:ilvl w:val="0"/>
          <w:numId w:val="24"/>
        </w:numPr>
      </w:pPr>
      <w:r w:rsidRPr="00051BDB">
        <w:rPr>
          <w:noProof/>
          <w:lang w:eastAsia="en-AU"/>
        </w:rPr>
        <w:drawing>
          <wp:inline distT="0" distB="0" distL="0" distR="0" wp14:anchorId="3A8C8375" wp14:editId="3B9BF3B9">
            <wp:extent cx="5480028" cy="32766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0028" cy="3276600"/>
                    </a:xfrm>
                    <a:prstGeom prst="rect">
                      <a:avLst/>
                    </a:prstGeom>
                    <a:noFill/>
                    <a:ln>
                      <a:noFill/>
                    </a:ln>
                  </pic:spPr>
                </pic:pic>
              </a:graphicData>
            </a:graphic>
          </wp:inline>
        </w:drawing>
      </w:r>
    </w:p>
    <w:p w:rsidR="00051BDB" w:rsidRDefault="00051BDB" w:rsidP="00051BDB">
      <w:pPr>
        <w:pStyle w:val="AERtablesource"/>
      </w:pPr>
      <w:r w:rsidRPr="009F21E8">
        <w:t>Source: Category analysis RIN data, AER Analysis</w:t>
      </w:r>
    </w:p>
    <w:p w:rsidR="00051BDB" w:rsidRDefault="00051BDB" w:rsidP="00051BDB">
      <w:pPr>
        <w:numPr>
          <w:ilvl w:val="0"/>
          <w:numId w:val="24"/>
        </w:numPr>
      </w:pPr>
      <w:r>
        <w:t xml:space="preserve">Both the benchmarked WARL and observed WARL have strengths and weaknesses as measures. The benchmarked WARL allows comparison of service providers independent of the quality of service providers' management, because the same unit costs and standard lives are used for all service providers. The observed WARL accounts for unobservable differences between service providers as it is based on the unit rates and standard lives revealed by service providers' actions over the 2009 to 2013 period. </w:t>
      </w:r>
    </w:p>
    <w:p w:rsidR="00051BDB" w:rsidRDefault="00051BDB" w:rsidP="00051BDB">
      <w:pPr>
        <w:numPr>
          <w:ilvl w:val="0"/>
          <w:numId w:val="24"/>
        </w:numPr>
      </w:pPr>
      <w:r>
        <w:t>The drawback of the benchmarked WARL is that it treats all service providers as if they operate in the same operating environment. This is because differences in service providers' operating environment will affect their asset lives and also their unit costs.</w:t>
      </w:r>
    </w:p>
    <w:p w:rsidR="00051BDB" w:rsidRDefault="00051BDB" w:rsidP="00051BDB">
      <w:pPr>
        <w:numPr>
          <w:ilvl w:val="0"/>
          <w:numId w:val="24"/>
        </w:numPr>
      </w:pPr>
      <w:r>
        <w:t>The drawback of the observed WARL is that it is affected by service providers' management strategies. This is because the unit rates and standard asset lives realised will be affected by management decisions during the sample period.</w:t>
      </w:r>
    </w:p>
    <w:p w:rsidR="00051BDB" w:rsidRDefault="00051BDB" w:rsidP="00051BDB">
      <w:pPr>
        <w:numPr>
          <w:ilvl w:val="0"/>
          <w:numId w:val="24"/>
        </w:numPr>
      </w:pPr>
      <w:r>
        <w:t>As both WARL measures have strength and weaknesses, we have considered both in comparing the relative asset ages of the NEM service providers.</w:t>
      </w:r>
    </w:p>
    <w:p w:rsidR="00051BDB" w:rsidRDefault="00051BDB" w:rsidP="00051BDB">
      <w:pPr>
        <w:numPr>
          <w:ilvl w:val="0"/>
          <w:numId w:val="24"/>
        </w:numPr>
      </w:pPr>
      <w:r>
        <w:t>Ausgrid has a lower remaining life than the comparison firms on both WARL measures. This suggests that Ausgrid's asset base is relatively further from old age than the comparison firms. As a result it is likely that Ausgrid has a cost disadvantage relative to the comparison firms due to asset age.</w:t>
      </w:r>
    </w:p>
    <w:p w:rsidR="00051BDB" w:rsidRDefault="00051BDB" w:rsidP="00051BDB">
      <w:pPr>
        <w:numPr>
          <w:ilvl w:val="0"/>
          <w:numId w:val="24"/>
        </w:numPr>
      </w:pPr>
      <w:r>
        <w:lastRenderedPageBreak/>
        <w:t>Endeavour has a higher benchmarked WARL but a lower observed WARL than the comparison firms. On this basis it is difficult to determine if Endeavour will have a cost advantage or disadvantage relative to the comparison firms due to asset age.</w:t>
      </w:r>
    </w:p>
    <w:p w:rsidR="00051BDB" w:rsidRDefault="00051BDB" w:rsidP="00051BDB">
      <w:pPr>
        <w:numPr>
          <w:ilvl w:val="0"/>
          <w:numId w:val="24"/>
        </w:numPr>
      </w:pPr>
      <w:r>
        <w:t xml:space="preserve">Essential </w:t>
      </w:r>
      <w:r w:rsidR="005E57AD">
        <w:t xml:space="preserve">Energy </w:t>
      </w:r>
      <w:r>
        <w:t xml:space="preserve">has a higher remaining life than the comparison firms on both WARL measures. This suggests that Essential's asset base is relatively further from old age than the comparison firms. As a result it is likely that Essential </w:t>
      </w:r>
      <w:r w:rsidR="005E57AD">
        <w:t xml:space="preserve">Energy </w:t>
      </w:r>
      <w:r>
        <w:t>has a cost advantage relative to the comparison firms due to asset age.</w:t>
      </w:r>
    </w:p>
    <w:p w:rsidR="00051BDB" w:rsidRDefault="00051BDB" w:rsidP="00051BDB">
      <w:pPr>
        <w:numPr>
          <w:ilvl w:val="0"/>
          <w:numId w:val="24"/>
        </w:numPr>
      </w:pPr>
      <w:r>
        <w:t>Although it will not lead to material differences in opex, asset age is likely to lead to some difference in opex between the comparison firms and NSW service providers. An OEF adjustment for asset age would also meet the exogeneity and duplication OEF adjustment criteria. The date a network was established is beyond service providers' control and there are no variables in Economic Insights' SFA model that account for it. Therefore we have included adjustments for asset age in our adjustments for immaterial factors for Ausgrid, Endeavour</w:t>
      </w:r>
      <w:r w:rsidR="005E57AD">
        <w:t xml:space="preserve"> Energy</w:t>
      </w:r>
      <w:r>
        <w:t>, and Essential</w:t>
      </w:r>
      <w:r w:rsidR="005E57AD">
        <w:t xml:space="preserve"> Energy</w:t>
      </w:r>
      <w:r>
        <w:t xml:space="preserve">. As Ausgrid appears to have a cost disadvantage on asset age, and it is unclear if Endeavour has a cost disadvantage, we have provided a positive 0.5 per cent adjustment for those service providers. As Essential </w:t>
      </w:r>
      <w:r w:rsidR="005E57AD">
        <w:t xml:space="preserve">Energy </w:t>
      </w:r>
      <w:r>
        <w:t>appears to have a cost advantage we have made a negative 0.5 per cent adjustment to Essential</w:t>
      </w:r>
      <w:r w:rsidR="005E57AD">
        <w:t xml:space="preserve"> Energy</w:t>
      </w:r>
      <w:r>
        <w:t>.</w:t>
      </w:r>
    </w:p>
    <w:p w:rsidR="00051BDB" w:rsidRDefault="00051BDB" w:rsidP="00051BDB">
      <w:pPr>
        <w:pStyle w:val="HeadingBoldBlue"/>
        <w:numPr>
          <w:ilvl w:val="0"/>
          <w:numId w:val="24"/>
        </w:numPr>
      </w:pPr>
      <w:r>
        <w:t>Asset volumes</w:t>
      </w:r>
    </w:p>
    <w:p w:rsidR="00051BDB" w:rsidRDefault="00051BDB" w:rsidP="00051BDB">
      <w:pPr>
        <w:pStyle w:val="ListParagraph"/>
        <w:numPr>
          <w:ilvl w:val="0"/>
          <w:numId w:val="24"/>
        </w:numPr>
      </w:pPr>
      <w:r w:rsidRPr="007809FA">
        <w:t xml:space="preserve">We are </w:t>
      </w:r>
      <w:r>
        <w:t xml:space="preserve">not </w:t>
      </w:r>
      <w:r w:rsidRPr="007809FA">
        <w:t xml:space="preserve">satisfied that an </w:t>
      </w:r>
      <w:r>
        <w:t>OEF</w:t>
      </w:r>
      <w:r w:rsidRPr="007809FA">
        <w:t xml:space="preserve"> adjustment for the </w:t>
      </w:r>
      <w:r>
        <w:t>volume of assets used to provide services over its network</w:t>
      </w:r>
      <w:r w:rsidRPr="007809FA">
        <w:t xml:space="preserve"> would </w:t>
      </w:r>
      <w:r>
        <w:t>meet</w:t>
      </w:r>
      <w:r w:rsidRPr="007809FA">
        <w:t xml:space="preserve"> </w:t>
      </w:r>
      <w:r>
        <w:t>the exogeneity or duplication OEF adjustment criteria</w:t>
      </w:r>
      <w:r w:rsidRPr="007809FA">
        <w:t>.</w:t>
      </w:r>
      <w:r>
        <w:t xml:space="preserve"> Network service providers have direct control over the assets that they choose to install and Economic Insights SFA model account for the drivers of asset installation.</w:t>
      </w:r>
    </w:p>
    <w:p w:rsidR="00051BDB" w:rsidRDefault="00051BDB" w:rsidP="00051BDB">
      <w:pPr>
        <w:pStyle w:val="ListParagraph"/>
        <w:numPr>
          <w:ilvl w:val="0"/>
          <w:numId w:val="24"/>
        </w:numPr>
      </w:pPr>
      <w:r>
        <w:t>In our draft decision we did not provide an adjustment for the volume of assets used by service providers. We examined if an OEF was required for demand supplied and line length. We concluded that Economic Insights' SFA model adequately account for these factors so no adjustment was required.</w:t>
      </w:r>
    </w:p>
    <w:p w:rsidR="00051BDB" w:rsidRDefault="00051BDB" w:rsidP="00051BDB">
      <w:r>
        <w:t>In response to our draft decision, ActewAGL, the NSW service providers' consultant Advisian, and the NSW Chief Operating Officers noted that the number of assets that a service provider uses to operate its network will drive its operating costs.</w:t>
      </w:r>
      <w:r>
        <w:rPr>
          <w:rStyle w:val="FootnoteReference"/>
        </w:rPr>
        <w:footnoteReference w:id="842"/>
      </w:r>
      <w:r>
        <w:rPr>
          <w:rStyle w:val="FootnoteReference"/>
        </w:rPr>
        <w:footnoteReference w:id="843"/>
      </w:r>
      <w:r w:rsidRPr="004140A1">
        <w:rPr>
          <w:rStyle w:val="FootnoteReference"/>
        </w:rPr>
        <w:t xml:space="preserve"> </w:t>
      </w:r>
      <w:r>
        <w:rPr>
          <w:rStyle w:val="FootnoteReference"/>
        </w:rPr>
        <w:footnoteReference w:id="844"/>
      </w:r>
      <w:r>
        <w:t xml:space="preserve"> </w:t>
      </w:r>
      <w:r>
        <w:rPr>
          <w:rStyle w:val="FootnoteReference"/>
        </w:rPr>
        <w:footnoteReference w:id="845"/>
      </w:r>
      <w:r>
        <w:t xml:space="preserve"> Advisian submitted that it considers that the variables in Economic Insights' SFA model ignores the cost </w:t>
      </w:r>
      <w:r w:rsidRPr="00F8707B">
        <w:t>of maintaining a larger number of assets</w:t>
      </w:r>
      <w:r>
        <w:t>. In particular, Advisian raised these points with regard to line length and transformer capacity. We address line length above in our consideration of customer factors.</w:t>
      </w:r>
    </w:p>
    <w:p w:rsidR="00051BDB" w:rsidRDefault="00051BDB" w:rsidP="00051BDB">
      <w:r w:rsidRPr="00365350">
        <w:t xml:space="preserve">In general, we consider that demand side variables should be used to determine the benchmark opex required. This is because it is a good measure of the capacity that a </w:t>
      </w:r>
      <w:r w:rsidRPr="00365350">
        <w:lastRenderedPageBreak/>
        <w:t>service provider must maintain to provide distribution services. Using measures driven by the value of assets</w:t>
      </w:r>
      <w:r w:rsidRPr="00365350">
        <w:rPr>
          <w:rStyle w:val="FootnoteReference"/>
        </w:rPr>
        <w:footnoteReference w:id="846"/>
      </w:r>
      <w:r w:rsidRPr="00365350">
        <w:t xml:space="preserve"> or volume of assets installed runs the risk of rewarding service providers for inefficiently overinvesting. As a result, such expenditure would not meet </w:t>
      </w:r>
      <w:r>
        <w:t>the exogeneity OEF</w:t>
      </w:r>
      <w:r w:rsidRPr="00365350">
        <w:t xml:space="preserve"> criterion. This is because the extent of investment in assets to meet the realised customer demand is at the discretion of the service provider.</w:t>
      </w:r>
    </w:p>
    <w:p w:rsidR="00051BDB" w:rsidRDefault="00051BDB" w:rsidP="00051BDB">
      <w:r>
        <w:t>Advisian submitted that the amount of transformer capacity installed by service providers is likely to affect our benchmarking results.</w:t>
      </w:r>
      <w:r w:rsidRPr="00B90DFE">
        <w:rPr>
          <w:rStyle w:val="FootnoteReference"/>
        </w:rPr>
        <w:t xml:space="preserve"> </w:t>
      </w:r>
      <w:r>
        <w:rPr>
          <w:rStyle w:val="FootnoteReference"/>
        </w:rPr>
        <w:footnoteReference w:id="847"/>
      </w:r>
      <w:r>
        <w:t xml:space="preserve"> </w:t>
      </w:r>
      <w:r>
        <w:rPr>
          <w:rStyle w:val="FootnoteReference"/>
        </w:rPr>
        <w:footnoteReference w:id="848"/>
      </w:r>
      <w:r>
        <w:t xml:space="preserve"> Advisian considers that the ratcheted peak demand variable will not take into account the spatial element of demand or additional capacity installed for system security. We address the issue of additional capacity installed for system security under our consideration of licence conditions.</w:t>
      </w:r>
    </w:p>
    <w:p w:rsidR="00051BDB" w:rsidRDefault="00051BDB" w:rsidP="00051BDB">
      <w:r>
        <w:t>The ratcheted peak demand variable in Economic Insights' SFA model accounts for the spatial element of demand. This is because it uses non-coincident system demand. As a result service providers that have separated commercial and residential areas will not be disadvantaged in Economic Insights' SFA model.</w:t>
      </w:r>
    </w:p>
    <w:p w:rsidR="00051BDB" w:rsidRDefault="00051BDB" w:rsidP="00051BDB">
      <w:r>
        <w:t xml:space="preserve">Advisian also submitted that service providers should be compensated for transformer capacity installed. This is because it must be installed to meet forecast demand. </w:t>
      </w:r>
      <w:r w:rsidRPr="005B2B0E">
        <w:rPr>
          <w:rStyle w:val="FootnoteReference"/>
        </w:rPr>
        <w:footnoteReference w:id="849"/>
      </w:r>
      <w:r>
        <w:t xml:space="preserve"> Therefore having excess capacity is not necessarily inefficient.</w:t>
      </w:r>
    </w:p>
    <w:p w:rsidR="00051BDB" w:rsidRDefault="00051BDB" w:rsidP="00051BDB">
      <w:r>
        <w:t>This dilemma faces all service providers. All service providers must install transformer capacity to meet forecast demand. Therefore to the extent that a service provider must invest in excess capacity, this will be captured in ratcheted maximum demand. As a result if a service provider systematically overinvests in excess capacity transformer capacity, this is evidence that service provider's management performs relatively worse in responding to changes in demand conditions. As a result, benchmarking on the basis of installed capacity rather than ratcheted peak demand has the potential to reward inefficient investment.</w:t>
      </w:r>
    </w:p>
    <w:p w:rsidR="00051BDB" w:rsidRDefault="00051BDB" w:rsidP="00051BDB">
      <w:pPr>
        <w:pStyle w:val="HeadingBoldBlue"/>
        <w:numPr>
          <w:ilvl w:val="0"/>
          <w:numId w:val="24"/>
        </w:numPr>
      </w:pPr>
      <w:r>
        <w:t>Critical National Infrastructure</w:t>
      </w:r>
    </w:p>
    <w:p w:rsidR="00051BDB" w:rsidRDefault="00051BDB" w:rsidP="00051BDB">
      <w:pPr>
        <w:numPr>
          <w:ilvl w:val="0"/>
          <w:numId w:val="24"/>
        </w:numPr>
      </w:pPr>
      <w:r>
        <w:t>We are not satisfied that an OEF for Critical National Infrastructure (CNI) meets the exogeneity OEF adjustment criteria. To the extent that a service provider decides to invest in physical security to a greater extent than other service providers, that is a management decision for the service provider.</w:t>
      </w:r>
    </w:p>
    <w:p w:rsidR="00051BDB" w:rsidRDefault="00051BDB" w:rsidP="00051BDB">
      <w:r>
        <w:t>In response to our draft decision, Huegin raised CNI as an OEF that may lead to differences in opex.</w:t>
      </w:r>
      <w:r>
        <w:rPr>
          <w:rStyle w:val="FootnoteReference"/>
        </w:rPr>
        <w:footnoteReference w:id="850"/>
      </w:r>
      <w:r>
        <w:t xml:space="preserve"> Huegin noted that Ofgem excludes costs associated with CNI from its totex benchmarking. CNI are electricity distribution sites designated by the UK </w:t>
      </w:r>
      <w:r>
        <w:lastRenderedPageBreak/>
        <w:t>Department of Energy and Climate Change (DECC).</w:t>
      </w:r>
      <w:r>
        <w:rPr>
          <w:rStyle w:val="FootnoteReference"/>
        </w:rPr>
        <w:footnoteReference w:id="851"/>
      </w:r>
      <w:r>
        <w:t xml:space="preserve"> All sites </w:t>
      </w:r>
      <w:r w:rsidRPr="007D1559">
        <w:t xml:space="preserve">confirmed by DECC as Category 3 CNI or above are eligible for ex ante funding in accordance with the </w:t>
      </w:r>
      <w:r>
        <w:t>"</w:t>
      </w:r>
      <w:r w:rsidRPr="007D1559">
        <w:t>Phys</w:t>
      </w:r>
      <w:r>
        <w:t>ical Security Upgrade Programme".</w:t>
      </w:r>
      <w:r>
        <w:rPr>
          <w:rStyle w:val="FootnoteReference"/>
        </w:rPr>
        <w:footnoteReference w:id="852"/>
      </w:r>
      <w:r>
        <w:t xml:space="preserve"> We note that Huegin has provided no explanation of how this relates to the Australian context.</w:t>
      </w:r>
    </w:p>
    <w:p w:rsidR="00051BDB" w:rsidRPr="007D1559" w:rsidRDefault="00051BDB" w:rsidP="00051BDB">
      <w:r>
        <w:t xml:space="preserve">Ofgem provides an allowance for CNI programs in the UK following guidance from a government agency called </w:t>
      </w:r>
      <w:r w:rsidRPr="00374450">
        <w:t>The Centre for the Protection of National Infrastructure</w:t>
      </w:r>
      <w:r>
        <w:t xml:space="preserve"> (CPNI)</w:t>
      </w:r>
      <w:r>
        <w:rPr>
          <w:rStyle w:val="FootnoteReference"/>
        </w:rPr>
        <w:footnoteReference w:id="853"/>
      </w:r>
      <w:r>
        <w:t>. In Australia CNI projects are undertaken at the discretion of service providers following industry wide guidelines.</w:t>
      </w:r>
      <w:r>
        <w:rPr>
          <w:rStyle w:val="FootnoteReference"/>
        </w:rPr>
        <w:footnoteReference w:id="854"/>
      </w:r>
    </w:p>
    <w:p w:rsidR="00051BDB" w:rsidRPr="008C0AAC" w:rsidRDefault="00051BDB" w:rsidP="00051BDB">
      <w:pPr>
        <w:pStyle w:val="ListParagraph"/>
        <w:numPr>
          <w:ilvl w:val="0"/>
          <w:numId w:val="24"/>
        </w:numPr>
      </w:pPr>
      <w:r>
        <w:t>Based on the evidence before us,</w:t>
      </w:r>
      <w:r w:rsidRPr="008C0AAC">
        <w:t xml:space="preserve"> we are not satisfied that </w:t>
      </w:r>
      <w:r>
        <w:t>the NSW service providers'</w:t>
      </w:r>
      <w:r w:rsidRPr="008C0AAC">
        <w:t xml:space="preserve"> regulatory responsibilities for CNI are greater than other service providers'. As a result, providing an OEF adjustment for CNI does not meet the exogeneity OEF adjustment criterion. To the extent that </w:t>
      </w:r>
      <w:r>
        <w:t>the NSW service providers choose</w:t>
      </w:r>
      <w:r w:rsidRPr="008C0AAC">
        <w:t xml:space="preserve"> to invest more in physical security than other service providers, that is a management decision for </w:t>
      </w:r>
      <w:r>
        <w:t>the NSW service providers</w:t>
      </w:r>
      <w:r w:rsidRPr="008C0AAC">
        <w:t>.</w:t>
      </w:r>
    </w:p>
    <w:p w:rsidR="00051BDB" w:rsidRDefault="00051BDB" w:rsidP="00051BDB">
      <w:pPr>
        <w:pStyle w:val="HeadingBoldBlue"/>
        <w:numPr>
          <w:ilvl w:val="0"/>
          <w:numId w:val="24"/>
        </w:numPr>
      </w:pPr>
      <w:r>
        <w:t>Customer owned distribution transformers</w:t>
      </w:r>
    </w:p>
    <w:p w:rsidR="00051BDB" w:rsidRDefault="00051BDB" w:rsidP="00051BDB">
      <w:r>
        <w:t xml:space="preserve">We are not satisfied that an OEF adjustment to account for differences in the amount of transformer capacity owned by customers would meet the materiality OEF criterion. The amount of distribution capacity owned by customers is relatively small, and the distribution transformer maintenance as a percentage of opex is also small. </w:t>
      </w:r>
      <w:r w:rsidRPr="00C83F22">
        <w:t xml:space="preserve">As a result, the maintenance avoided by </w:t>
      </w:r>
      <w:r>
        <w:t>service provider</w:t>
      </w:r>
      <w:r w:rsidRPr="00C83F22">
        <w:t>s with customers who own their substations is not considered material.</w:t>
      </w:r>
    </w:p>
    <w:p w:rsidR="00051BDB" w:rsidRPr="00356ADF" w:rsidRDefault="00051BDB" w:rsidP="00051BDB">
      <w:r w:rsidRPr="00356ADF">
        <w:t>In some cases, customers take electricity from service providers at higher voltages. In these cases the customer will own and operate transformer equipment to deliver electricity to the voltages they require for their uses. By not having to maintain distribution transformer equipment to service those customers, service providers gain a cost saving when compared against energy and demand throughput.</w:t>
      </w:r>
    </w:p>
    <w:p w:rsidR="00051BDB" w:rsidRDefault="00051BDB" w:rsidP="00051BDB">
      <w:r w:rsidRPr="006F6C99">
        <w:t xml:space="preserve">In response to our draft decision, </w:t>
      </w:r>
      <w:r>
        <w:t>ActewAGL'</w:t>
      </w:r>
      <w:r w:rsidRPr="006F6C99">
        <w:t>s consultant Adv</w:t>
      </w:r>
      <w:r>
        <w:t>isian noted that the differences in the amount of distribution transformer capacity owned by customers</w:t>
      </w:r>
      <w:r w:rsidRPr="006F6C99">
        <w:t xml:space="preserve"> </w:t>
      </w:r>
      <w:r>
        <w:t>will lead to differences in</w:t>
      </w:r>
      <w:r w:rsidRPr="006F6C99">
        <w:t xml:space="preserve"> service provider</w:t>
      </w:r>
      <w:r>
        <w:t>'s</w:t>
      </w:r>
      <w:r w:rsidRPr="006F6C99">
        <w:t xml:space="preserve"> </w:t>
      </w:r>
      <w:r>
        <w:t>opex</w:t>
      </w:r>
      <w:r w:rsidRPr="006F6C99">
        <w:t>.</w:t>
      </w:r>
      <w:r w:rsidRPr="006F6C99">
        <w:rPr>
          <w:rStyle w:val="FootnoteReference"/>
        </w:rPr>
        <w:footnoteReference w:id="855"/>
      </w:r>
      <w:r w:rsidRPr="006F6C99">
        <w:t xml:space="preserve"> Advisian submitted that </w:t>
      </w:r>
      <w:r>
        <w:t>ActewAGL would have a cost disadvantage because it has a lower percentage of customer owned distribution transformation equipment connected to its network than other service providers.</w:t>
      </w:r>
    </w:p>
    <w:p w:rsidR="00051BDB" w:rsidRDefault="00051BDB" w:rsidP="00051BDB">
      <w:r w:rsidRPr="00EA0CA7">
        <w:t xml:space="preserve">Differences in the amount of distribution transformer capacity owned by customers is also not likely to lead to material differences in opex between the service providers. </w:t>
      </w:r>
      <w:r w:rsidRPr="00EA0CA7">
        <w:lastRenderedPageBreak/>
        <w:t>These differences may lea</w:t>
      </w:r>
      <w:r>
        <w:t>d to a cost disadvantage of 0.1</w:t>
      </w:r>
      <w:r w:rsidRPr="00EA0CA7">
        <w:t xml:space="preserve"> per cent for </w:t>
      </w:r>
      <w:r>
        <w:t>Endeavour and a cost advantage of 0.1 per cent for Ausgrid</w:t>
      </w:r>
      <w:r w:rsidRPr="00EA0CA7">
        <w:t xml:space="preserve">. </w:t>
      </w:r>
      <w:r>
        <w:t xml:space="preserve">It appears that Essential </w:t>
      </w:r>
      <w:r w:rsidR="005E57AD">
        <w:t xml:space="preserve">Energy </w:t>
      </w:r>
      <w:r>
        <w:t>would have neither an advantage or disadvantage.</w:t>
      </w:r>
    </w:p>
    <w:p w:rsidR="00051BDB" w:rsidRDefault="00051BDB" w:rsidP="00051BDB">
      <w:r w:rsidRPr="00EA0CA7">
        <w:t xml:space="preserve">Distribution substation maintenance </w:t>
      </w:r>
      <w:r>
        <w:t>only accounts for on average 2.6, 1.9, and 0.1</w:t>
      </w:r>
      <w:r w:rsidRPr="00EA0CA7">
        <w:t xml:space="preserve"> per cent of </w:t>
      </w:r>
      <w:r>
        <w:t>Ausgrid's, Endeavour's, and Essential's</w:t>
      </w:r>
      <w:r w:rsidRPr="00EA0CA7">
        <w:t xml:space="preserve"> network services opex.</w:t>
      </w:r>
      <w:r w:rsidRPr="00EA0CA7">
        <w:rPr>
          <w:rStyle w:val="FootnoteReference"/>
        </w:rPr>
        <w:footnoteReference w:id="856"/>
      </w:r>
      <w:r w:rsidRPr="00EA0CA7">
        <w:t xml:space="preserve"> </w:t>
      </w:r>
      <w:r>
        <w:t>Ausgrid, Endeavour</w:t>
      </w:r>
      <w:r w:rsidR="005E57AD">
        <w:t xml:space="preserve"> Energy</w:t>
      </w:r>
      <w:r>
        <w:t xml:space="preserve">, and Essential </w:t>
      </w:r>
      <w:r w:rsidR="005E57AD">
        <w:t xml:space="preserve">Energy </w:t>
      </w:r>
      <w:r>
        <w:t>own</w:t>
      </w:r>
      <w:r w:rsidRPr="00EA0CA7">
        <w:t xml:space="preserve"> </w:t>
      </w:r>
      <w:r>
        <w:t>89.6, 99.2, and 90.8</w:t>
      </w:r>
      <w:r w:rsidRPr="00EA0CA7">
        <w:t xml:space="preserve"> per cent of distribution transformer capacity </w:t>
      </w:r>
      <w:r>
        <w:t>connected to their networks</w:t>
      </w:r>
      <w:r w:rsidRPr="00EA0CA7">
        <w:t>.</w:t>
      </w:r>
      <w:r w:rsidRPr="00EA0CA7">
        <w:rPr>
          <w:rStyle w:val="FootnoteReference"/>
        </w:rPr>
        <w:footnoteReference w:id="857"/>
      </w:r>
      <w:r w:rsidRPr="00EA0CA7">
        <w:t xml:space="preserve"> The Frontier firms on average, weighted by customer numbers, own 93.9 per cent of distribution transformer capacity.</w:t>
      </w:r>
      <w:r w:rsidRPr="00EA0CA7">
        <w:rPr>
          <w:rStyle w:val="FootnoteReference"/>
        </w:rPr>
        <w:t xml:space="preserve"> </w:t>
      </w:r>
      <w:r w:rsidRPr="00EA0CA7">
        <w:rPr>
          <w:rStyle w:val="FootnoteReference"/>
        </w:rPr>
        <w:footnoteReference w:id="858"/>
      </w:r>
      <w:r w:rsidRPr="00EA0CA7">
        <w:t xml:space="preserve"> On this basis </w:t>
      </w:r>
      <w:r>
        <w:t>Ausgrid's and Essential</w:t>
      </w:r>
      <w:r w:rsidR="005E57AD">
        <w:t xml:space="preserve"> Energy’s</w:t>
      </w:r>
      <w:r w:rsidRPr="00EA0CA7">
        <w:t xml:space="preserve"> distribution substation maintenance opex may be </w:t>
      </w:r>
      <w:r>
        <w:t>4.5 and 3.3 per cent lower and Endeavour Energy's may be 5.6</w:t>
      </w:r>
      <w:r w:rsidRPr="00EA0CA7">
        <w:t> per cent higher</w:t>
      </w:r>
      <w:r>
        <w:t xml:space="preserve"> </w:t>
      </w:r>
      <w:r w:rsidRPr="00EA0CA7">
        <w:t xml:space="preserve">than </w:t>
      </w:r>
      <w:r>
        <w:t>they</w:t>
      </w:r>
      <w:r w:rsidRPr="00EA0CA7">
        <w:t xml:space="preserve"> would be if </w:t>
      </w:r>
      <w:r>
        <w:t>their</w:t>
      </w:r>
      <w:r w:rsidRPr="00EA0CA7">
        <w:t xml:space="preserve"> customers owned a similar percentage of distribution transformers as the frontier service providers' custome</w:t>
      </w:r>
      <w:r>
        <w:t>rs. This suggests Endeavour may have a 0.1</w:t>
      </w:r>
      <w:r w:rsidRPr="00EA0CA7">
        <w:t> per cent cost disadvantage at the total network services opex level</w:t>
      </w:r>
      <w:r>
        <w:t>, while Ausgrid and Essential have cost advantages of 0.1 and zero per cent respectively. As these figures represent increases and decreases in the NSW service providers' historical opex, they must be adjusted represent changes in efficient opex as discussed in the calculation of OEFs section above. This suggests a decrease in efficient opex of 0.2 per cent for Ausgrid no change for Essential</w:t>
      </w:r>
      <w:r w:rsidR="005E57AD">
        <w:t xml:space="preserve"> Energy</w:t>
      </w:r>
      <w:r>
        <w:t>, and a 0.1 per cent cost advantage for Endeavour</w:t>
      </w:r>
      <w:r w:rsidR="005E57AD">
        <w:t xml:space="preserve"> Energy</w:t>
      </w:r>
      <w:r>
        <w:t>.</w:t>
      </w:r>
    </w:p>
    <w:p w:rsidR="00051BDB" w:rsidRPr="00EA0CA7" w:rsidRDefault="00051BDB" w:rsidP="00051BDB">
      <w:r>
        <w:t xml:space="preserve">However, following our approach to accounting for immaterial factors we have included differences in the amount of customer owned distribution transformer capacity in our adjustment for immaterial OEFs. An OEF adjustment for differences in customer owned distribution transformer capacity would meet the exogeneity and duplication OEF adjustment criteria. The number of customers that take electricity at high distribution voltages is not determined by service providers and there are no variables in Economic Insights' SFA model to account for it. Given that we are able to estimate the potential cost impact of differences in ownership of distribution transformer capacity, we have used these figures for the relevant contributions to the immaterial factors OEF adjustment. </w:t>
      </w:r>
    </w:p>
    <w:p w:rsidR="00051BDB" w:rsidRPr="00D43E71" w:rsidRDefault="00051BDB" w:rsidP="00051BDB">
      <w:pPr>
        <w:pStyle w:val="HeadingBoldBlue"/>
        <w:numPr>
          <w:ilvl w:val="0"/>
          <w:numId w:val="24"/>
        </w:numPr>
      </w:pPr>
      <w:r w:rsidRPr="00D43E71">
        <w:t>Demand management</w:t>
      </w:r>
    </w:p>
    <w:p w:rsidR="00051BDB" w:rsidRDefault="00051BDB" w:rsidP="00051BDB">
      <w:pPr>
        <w:pStyle w:val="ListParagraph"/>
        <w:numPr>
          <w:ilvl w:val="0"/>
          <w:numId w:val="24"/>
        </w:numPr>
      </w:pPr>
      <w:r w:rsidRPr="00D43E71">
        <w:t xml:space="preserve">We are </w:t>
      </w:r>
      <w:r>
        <w:t xml:space="preserve">not </w:t>
      </w:r>
      <w:r w:rsidRPr="00D43E71">
        <w:t xml:space="preserve">satisfied that an OEF adjustment for differences in the demand management service providers' </w:t>
      </w:r>
      <w:r>
        <w:t>undertake</w:t>
      </w:r>
      <w:r w:rsidRPr="00D43E71">
        <w:t xml:space="preserve"> would </w:t>
      </w:r>
      <w:r>
        <w:t>meet</w:t>
      </w:r>
      <w:r w:rsidRPr="00D43E71">
        <w:t xml:space="preserve"> </w:t>
      </w:r>
      <w:r>
        <w:t xml:space="preserve">the duplication </w:t>
      </w:r>
      <w:r w:rsidRPr="00D43E71">
        <w:t>OEF criterion. Demand management is a capex opex trade-off. We have considered the impact of capex opex trade-offs under the capitalisation practice OEF.</w:t>
      </w:r>
    </w:p>
    <w:p w:rsidR="00051BDB" w:rsidRPr="00D43E71" w:rsidRDefault="00051BDB" w:rsidP="00051BDB">
      <w:pPr>
        <w:pStyle w:val="ListParagraph"/>
        <w:numPr>
          <w:ilvl w:val="0"/>
          <w:numId w:val="24"/>
        </w:numPr>
      </w:pPr>
      <w:r>
        <w:t>Demand management is the use of various strategies to change customers' electricity use. By changing energy use, service providers can avoid the need for large investments in network upgrades to meet a peak demand that only occurs for a small part of the year. In this way service providers can reduce their capex by using opex.</w:t>
      </w:r>
    </w:p>
    <w:p w:rsidR="00051BDB" w:rsidRPr="00D43E71" w:rsidRDefault="00051BDB" w:rsidP="00051BDB">
      <w:pPr>
        <w:pStyle w:val="ListParagraph"/>
        <w:numPr>
          <w:ilvl w:val="0"/>
          <w:numId w:val="24"/>
        </w:numPr>
      </w:pPr>
      <w:r w:rsidRPr="00D43E71">
        <w:lastRenderedPageBreak/>
        <w:t>The decision to undertake demand management is a capex opex trade-off. Service providers face many of these trade-offs. Other examples include the choice to rent or buy depots, to run lines over or underground, to replace or maintain. We consider that where a capex opex trade-off exists,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focusing only on opex capex trade-off OEFs that disadvantage service providers will upwardly bias the total OEF adjustment.</w:t>
      </w:r>
    </w:p>
    <w:p w:rsidR="00051BDB" w:rsidRPr="00D43E71" w:rsidRDefault="00051BDB" w:rsidP="00051BDB">
      <w:pPr>
        <w:pStyle w:val="ListParagraph"/>
        <w:numPr>
          <w:ilvl w:val="0"/>
          <w:numId w:val="24"/>
        </w:numPr>
      </w:pPr>
      <w:r w:rsidRPr="00D43E71">
        <w:t xml:space="preserve">In our capitalisation practices section we compare the capex opex ratios for the NEM service providers. </w:t>
      </w:r>
      <w:r w:rsidR="003844CD">
        <w:fldChar w:fldCharType="begin"/>
      </w:r>
      <w:r w:rsidR="003844CD">
        <w:instrText xml:space="preserve"> REF _Ref417641058 \h </w:instrText>
      </w:r>
      <w:r w:rsidR="003844CD">
        <w:fldChar w:fldCharType="separate"/>
      </w:r>
      <w:r w:rsidR="00C74791">
        <w:t xml:space="preserve">Figure </w:t>
      </w:r>
      <w:r w:rsidR="00C74791">
        <w:rPr>
          <w:noProof/>
        </w:rPr>
        <w:t>A</w:t>
      </w:r>
      <w:r w:rsidR="00C74791">
        <w:t>.</w:t>
      </w:r>
      <w:r w:rsidR="00C74791">
        <w:rPr>
          <w:noProof/>
        </w:rPr>
        <w:t>12</w:t>
      </w:r>
      <w:r w:rsidR="003844CD">
        <w:fldChar w:fldCharType="end"/>
      </w:r>
      <w:r w:rsidRPr="00D43E71">
        <w:t xml:space="preserve">shows that, after our adjustment for differences in capitalisation practices, </w:t>
      </w:r>
      <w:r>
        <w:t xml:space="preserve">the NSW service providers </w:t>
      </w:r>
      <w:r w:rsidRPr="00D43E71">
        <w:t xml:space="preserve">expense a similar amount of </w:t>
      </w:r>
      <w:r>
        <w:t>their</w:t>
      </w:r>
      <w:r w:rsidRPr="00D43E71">
        <w:t xml:space="preserve"> costs to the comparison firms. We have </w:t>
      </w:r>
      <w:r>
        <w:t>accounted for differences in capitalisation practices in our collective adjustment for individually immaterial OEFs</w:t>
      </w:r>
      <w:r w:rsidRPr="00D43E71">
        <w:t>. Therefore, we are satisfied that differences in opex due to demand management in service provider's networks are accounted in our consideration of capitalisation practices.</w:t>
      </w:r>
    </w:p>
    <w:p w:rsidR="00051BDB" w:rsidRPr="00047F8A" w:rsidRDefault="00051BDB" w:rsidP="00051BDB">
      <w:pPr>
        <w:pStyle w:val="HeadingBoldBlue"/>
        <w:numPr>
          <w:ilvl w:val="0"/>
          <w:numId w:val="24"/>
        </w:numPr>
      </w:pPr>
      <w:r w:rsidRPr="00047F8A">
        <w:t>Line sag</w:t>
      </w:r>
    </w:p>
    <w:p w:rsidR="00051BDB" w:rsidRDefault="00051BDB" w:rsidP="00051BDB">
      <w:r>
        <w:t>We are not satisfied that</w:t>
      </w:r>
      <w:r w:rsidRPr="00047F8A">
        <w:t xml:space="preserve"> OEF adjustment for line sag would </w:t>
      </w:r>
      <w:r>
        <w:t>meet</w:t>
      </w:r>
      <w:r w:rsidRPr="00047F8A">
        <w:t xml:space="preserve"> </w:t>
      </w:r>
      <w:r>
        <w:t xml:space="preserve">the exogeneity </w:t>
      </w:r>
      <w:r w:rsidRPr="00047F8A">
        <w:t>OEF criterion</w:t>
      </w:r>
      <w:r>
        <w:t>.</w:t>
      </w:r>
      <w:r w:rsidRPr="00047F8A">
        <w:t xml:space="preserve"> </w:t>
      </w:r>
      <w:r>
        <w:t>A</w:t>
      </w:r>
      <w:r w:rsidRPr="00047F8A">
        <w:t xml:space="preserve"> prudent service provider would design its network to take into account the demand it services and the environment it operates in. Specifically, network businesses design and construct overhead lines so that they are compliant with the statutory obligations under all standard operating conditions.</w:t>
      </w:r>
    </w:p>
    <w:p w:rsidR="00051BDB" w:rsidRPr="00047F8A" w:rsidRDefault="00051BDB" w:rsidP="00051BDB">
      <w:r w:rsidRPr="00047F8A">
        <w:t>Overhead electrical lines expand when heated and this results in the “sag” of the line increasing. Line heating is caused by environmental factors and by the delivery of energy through the line</w:t>
      </w:r>
      <w:r>
        <w:t>.</w:t>
      </w:r>
    </w:p>
    <w:p w:rsidR="00051BDB" w:rsidRPr="00047F8A" w:rsidRDefault="00051BDB" w:rsidP="00051BDB">
      <w:r w:rsidRPr="00047F8A">
        <w:t>Ergon Energy raised the point that high loads and temperatures lead to significant conductor sag. As Ergon Energy is obliged to maintain regulatory clearances of all conductors, its opex includes a system of measuring and actively repairing line sag to ensure regulatory compliance.</w:t>
      </w:r>
      <w:r w:rsidRPr="00047F8A">
        <w:rPr>
          <w:rStyle w:val="FootnoteReference"/>
        </w:rPr>
        <w:footnoteReference w:id="859"/>
      </w:r>
    </w:p>
    <w:p w:rsidR="00051BDB" w:rsidRPr="00047F8A" w:rsidRDefault="00051BDB" w:rsidP="00051BDB">
      <w:r w:rsidRPr="00047F8A">
        <w:t xml:space="preserve">All NEM service providers use similar line design criteria to account for sag which take into account, among other things, ambient temperature, solar radiation, and wind speed. The extent to which a service provider finds that it has a systemic issue with regard to line sag is a reflection of the quality of its management in applying the line design criteria. As a result </w:t>
      </w:r>
      <w:r>
        <w:t>an OEF adjustment for line sag</w:t>
      </w:r>
      <w:r w:rsidRPr="00047F8A">
        <w:t xml:space="preserve"> would not satisfy </w:t>
      </w:r>
      <w:r>
        <w:t xml:space="preserve">the exogeneity </w:t>
      </w:r>
      <w:r w:rsidRPr="00047F8A">
        <w:t>OEF adjustment criterion.</w:t>
      </w:r>
    </w:p>
    <w:p w:rsidR="00CF2125" w:rsidRDefault="00CF2125">
      <w:pPr>
        <w:spacing w:line="240" w:lineRule="auto"/>
        <w:rPr>
          <w:rFonts w:eastAsiaTheme="majorEastAsia" w:cstheme="majorBidi"/>
          <w:b/>
          <w:bCs/>
          <w:color w:val="70635A" w:themeColor="text2"/>
          <w:sz w:val="28"/>
        </w:rPr>
      </w:pPr>
      <w:r>
        <w:br w:type="page"/>
      </w:r>
    </w:p>
    <w:p w:rsidR="00051BDB" w:rsidRPr="00C214BE" w:rsidRDefault="00051BDB" w:rsidP="00051BDB">
      <w:pPr>
        <w:pStyle w:val="HeadingBoldBlue"/>
        <w:numPr>
          <w:ilvl w:val="0"/>
          <w:numId w:val="24"/>
        </w:numPr>
      </w:pPr>
      <w:r w:rsidRPr="00C214BE">
        <w:lastRenderedPageBreak/>
        <w:t>Network Accessibility</w:t>
      </w:r>
    </w:p>
    <w:p w:rsidR="00051BDB" w:rsidRPr="00096491" w:rsidRDefault="00051BDB" w:rsidP="00051BDB">
      <w:pPr>
        <w:pStyle w:val="ListParagraph"/>
        <w:numPr>
          <w:ilvl w:val="0"/>
          <w:numId w:val="24"/>
        </w:numPr>
      </w:pPr>
      <w:r w:rsidRPr="00096491">
        <w:t xml:space="preserve">We are not satisfied that an OEF adjustment for differences in network accessibility would meet the materiality OEF adjustment criterion. We estimate access track maintenance does not contribute </w:t>
      </w:r>
      <w:r>
        <w:t>to</w:t>
      </w:r>
      <w:r w:rsidRPr="00096491">
        <w:t xml:space="preserve"> material </w:t>
      </w:r>
      <w:r>
        <w:t>differences in</w:t>
      </w:r>
      <w:r w:rsidRPr="00096491">
        <w:t xml:space="preserve"> opex </w:t>
      </w:r>
      <w:r>
        <w:t>between</w:t>
      </w:r>
      <w:r w:rsidRPr="00096491">
        <w:t xml:space="preserve"> the comparison firms</w:t>
      </w:r>
      <w:r>
        <w:t xml:space="preserve"> and the NSW service providers</w:t>
      </w:r>
      <w:r w:rsidRPr="00096491">
        <w:t>.</w:t>
      </w:r>
    </w:p>
    <w:p w:rsidR="00051BDB" w:rsidRPr="00C214BE" w:rsidRDefault="00051BDB" w:rsidP="00051BDB">
      <w:r w:rsidRPr="00C214BE">
        <w:t>In response to AER questions, Ergon Energy indicated that it considered differences in network accessibility as an OEF that materially affects its costs.</w:t>
      </w:r>
      <w:r w:rsidRPr="00C214BE">
        <w:rPr>
          <w:rStyle w:val="FootnoteReference"/>
        </w:rPr>
        <w:footnoteReference w:id="860"/>
      </w:r>
      <w:r w:rsidRPr="00C214BE">
        <w:t xml:space="preserve"> Vegetation management, line maintenance and asset inspections require access to assets. Ergon Energy considers that high rainfall results in significant damage to access tracks due to washouts, vegetation growth and subsidence. When asked, Ergon Energy did not provide evidence of differences in costs in access track maintenance between high and low rainfall areas of its network.</w:t>
      </w:r>
      <w:r w:rsidRPr="00C214BE">
        <w:rPr>
          <w:rStyle w:val="FootnoteReference"/>
        </w:rPr>
        <w:footnoteReference w:id="861"/>
      </w:r>
      <w:r w:rsidRPr="00C214BE">
        <w:t xml:space="preserve"> Nonetheless, economic benchmarking RIN data indicates that Ergon Energy has a greater percentage of its network that does not have standard vehicle access than the comparison firms. In 2013/14, 36 per cent of Ergon Energy's network did not have standard vehicle access. In comparison, the weighted average for the comparison firms was only 5 per cent.</w:t>
      </w:r>
      <w:r w:rsidRPr="00C214BE">
        <w:rPr>
          <w:rStyle w:val="FootnoteReference"/>
        </w:rPr>
        <w:footnoteReference w:id="862"/>
      </w:r>
    </w:p>
    <w:p w:rsidR="00051BDB" w:rsidRDefault="00051BDB" w:rsidP="00051BDB">
      <w:r>
        <w:t>Ergon Energy indicated that over the 2010 to 2014 period on average it incurred $4.9 million ($2014/15) for access track maintenance at a cost of $97 per kilometre of network route with non-standard vehicle access.</w:t>
      </w:r>
      <w:r w:rsidRPr="00842A9D">
        <w:rPr>
          <w:rStyle w:val="FootnoteReference"/>
        </w:rPr>
        <w:t xml:space="preserve"> </w:t>
      </w:r>
      <w:r>
        <w:rPr>
          <w:rStyle w:val="FootnoteReference"/>
        </w:rPr>
        <w:footnoteReference w:id="863"/>
      </w:r>
      <w:r>
        <w:t xml:space="preserve"> </w:t>
      </w:r>
      <w:r>
        <w:rPr>
          <w:rStyle w:val="FootnoteReference"/>
        </w:rPr>
        <w:footnoteReference w:id="864"/>
      </w:r>
    </w:p>
    <w:p w:rsidR="00051BDB" w:rsidRPr="00C214BE" w:rsidRDefault="00051BDB" w:rsidP="00051BDB">
      <w:r w:rsidRPr="00C214BE">
        <w:t xml:space="preserve">Using the unit rate for Ergon Energy's access track maintenance, and route line lengths without standard vehicle access, we estimated the percentage </w:t>
      </w:r>
      <w:r>
        <w:t xml:space="preserve">of </w:t>
      </w:r>
      <w:r w:rsidRPr="00C214BE">
        <w:t xml:space="preserve">network services </w:t>
      </w:r>
      <w:r>
        <w:t xml:space="preserve">opex </w:t>
      </w:r>
      <w:r w:rsidRPr="00C214BE">
        <w:t xml:space="preserve">that the comparison firms expend on access track maintenance. Using these </w:t>
      </w:r>
      <w:r>
        <w:t>figures we estimate that on average over the 2010 to 2014 period</w:t>
      </w:r>
      <w:r w:rsidRPr="00C214BE">
        <w:t>, the percentage of the comparison firms' network services opex, weighted by customer numbers, for access track</w:t>
      </w:r>
      <w:r>
        <w:t xml:space="preserve"> maintenance was 0.15 per cent.</w:t>
      </w:r>
    </w:p>
    <w:p w:rsidR="00051BDB" w:rsidRDefault="00051BDB" w:rsidP="00051BDB">
      <w:r w:rsidRPr="00C214BE">
        <w:t>Using the same method</w:t>
      </w:r>
      <w:r>
        <w:t>,</w:t>
      </w:r>
      <w:r w:rsidRPr="00C214BE">
        <w:t xml:space="preserve"> we estimate</w:t>
      </w:r>
      <w:r>
        <w:t>d</w:t>
      </w:r>
      <w:r w:rsidRPr="00C214BE">
        <w:t xml:space="preserve"> that access tra</w:t>
      </w:r>
      <w:r>
        <w:t>ck maintenance accounts for 0.02, 0.69, and 0.55 per cent of</w:t>
      </w:r>
      <w:r w:rsidRPr="00C214BE">
        <w:t xml:space="preserve"> network services opex</w:t>
      </w:r>
      <w:r>
        <w:t xml:space="preserve"> </w:t>
      </w:r>
      <w:r w:rsidRPr="00C214BE">
        <w:t>for Ausgrid, Endeavour</w:t>
      </w:r>
      <w:r w:rsidR="005E57AD">
        <w:t xml:space="preserve"> Energy</w:t>
      </w:r>
      <w:r w:rsidRPr="00C214BE">
        <w:t>, and Essential</w:t>
      </w:r>
      <w:r>
        <w:t xml:space="preserve"> </w:t>
      </w:r>
      <w:r w:rsidR="005E57AD">
        <w:t>Energy</w:t>
      </w:r>
      <w:r>
        <w:t>respectively</w:t>
      </w:r>
      <w:r w:rsidRPr="00C214BE">
        <w:t>. This implies that, relative to the comparison firms, Ausgrid,</w:t>
      </w:r>
      <w:r>
        <w:t xml:space="preserve"> has</w:t>
      </w:r>
      <w:r w:rsidRPr="00C214BE">
        <w:t xml:space="preserve"> a negative 0.1 per cent cost advantage on access track maintenance costs.</w:t>
      </w:r>
      <w:r>
        <w:t xml:space="preserve"> We estimate that Endeavour </w:t>
      </w:r>
      <w:r w:rsidR="005E57AD">
        <w:t xml:space="preserve">Energy </w:t>
      </w:r>
      <w:r>
        <w:t xml:space="preserve">has a 0.5 per cent cost advantage and Essential </w:t>
      </w:r>
      <w:r w:rsidR="005E57AD">
        <w:t xml:space="preserve">Energy </w:t>
      </w:r>
      <w:r>
        <w:t>has a</w:t>
      </w:r>
      <w:r w:rsidRPr="00C214BE">
        <w:t xml:space="preserve"> 0.4 per cent</w:t>
      </w:r>
      <w:r>
        <w:t xml:space="preserve"> cost advantage. </w:t>
      </w:r>
    </w:p>
    <w:p w:rsidR="00051BDB" w:rsidRPr="00C214BE" w:rsidRDefault="00051BDB" w:rsidP="00051BDB">
      <w:r>
        <w:t xml:space="preserve">We have included these advantages and disadvantages in our collective OEF adjustments for immaterial factors. This is because although an OEF for network access does not meet the materiality OEF criterion it meets the exogeneity and duplication criteria. The amount of a service provider's network with non-standard </w:t>
      </w:r>
      <w:r>
        <w:lastRenderedPageBreak/>
        <w:t xml:space="preserve">vehicle access is likely to be determined by land use that is beyond service providers' control. Also, there are no variables in Economic Insights' SFA model that account for differences in non-standard vehicle access. </w:t>
      </w:r>
    </w:p>
    <w:p w:rsidR="00051BDB" w:rsidRDefault="00051BDB" w:rsidP="00051BDB">
      <w:pPr>
        <w:pStyle w:val="HeadingBoldBlue"/>
        <w:numPr>
          <w:ilvl w:val="0"/>
          <w:numId w:val="24"/>
        </w:numPr>
      </w:pPr>
      <w:r>
        <w:t>Past ownership</w:t>
      </w:r>
    </w:p>
    <w:p w:rsidR="00051BDB" w:rsidRDefault="00051BDB" w:rsidP="00051BDB">
      <w:r>
        <w:t>We are not satisfied that an OEF adjustment for past ownership would meet the exogeneity or materiality OEF adjustment criteria. The AEMC has stated that the nature of ownership should not be taken into account as it is endogenous. Managing a fleet of various asset types installed in response to different management, environmental, demand, and technological circumstances is a core business function of electricity network service providers.</w:t>
      </w:r>
    </w:p>
    <w:p w:rsidR="00051BDB" w:rsidRDefault="00051BDB" w:rsidP="00051BDB">
      <w:r>
        <w:t>In response to our draft decision Essential Energy raised intra-network variability as an issue that would lead to material differences in opex between it and the comparison firms.</w:t>
      </w:r>
      <w:r>
        <w:rPr>
          <w:rStyle w:val="FootnoteReference"/>
        </w:rPr>
        <w:footnoteReference w:id="865"/>
      </w:r>
      <w:r>
        <w:t xml:space="preserve"> It stated that the legacy of being an amalgamation of different service providers with different practices and standards would lead to it having a cost disadvantage relative to the Victorian service providers. Essential Energy provided no practical examples of how these differences would lead to it having a cost disadvantage. It is not clear how Essential </w:t>
      </w:r>
      <w:r w:rsidR="005E57AD">
        <w:t xml:space="preserve">Energy </w:t>
      </w:r>
      <w:r>
        <w:t>considers this will affect costs, but one interpretation is that Essential's precursor organisations may have adopted different technologies, potentially leading to increased complexity in asset management. We note that the other NSW service providers are also the amalgamation of various service providers.</w:t>
      </w:r>
      <w:r>
        <w:rPr>
          <w:rStyle w:val="FootnoteReference"/>
        </w:rPr>
        <w:footnoteReference w:id="866"/>
      </w:r>
      <w:r>
        <w:t xml:space="preserve"> Ausgrid and Endeavour did not raise this as an issue that would materially affect their costs.</w:t>
      </w:r>
    </w:p>
    <w:p w:rsidR="00051BDB" w:rsidRDefault="00051BDB" w:rsidP="00051BDB">
      <w:r>
        <w:t>The Victorian service providers did not inherit a highly homogenous network derived from one legacy network. Up until privatisation there were 12 municipal service providers,</w:t>
      </w:r>
      <w:r>
        <w:rPr>
          <w:rStyle w:val="FootnoteReference"/>
        </w:rPr>
        <w:footnoteReference w:id="867"/>
      </w:r>
      <w:r>
        <w:t xml:space="preserve"> known as Municipal Electricity Undertakings, operating across the Melbourne area in addition to the State Electricity Commission of Victoria. CitiPower, Jemena, Powercor and United Energy all own assets that were previously owned by one or more of these Municipal service providers. Additionally, all of the NEM Electricity service providers must manage a variety of different assets installed in response to different circumstances and evolving technologies. The optimal choice of asset will depend on the technology available at the time, the demand the asset must serve, and the environment in which the asset is being installed. All service providers will have a variety of different assets installed at different times. </w:t>
      </w:r>
    </w:p>
    <w:p w:rsidR="00051BDB" w:rsidRDefault="00051BDB" w:rsidP="00051BDB">
      <w:r>
        <w:t>Further Essential Energy has not demonstrated that if its asset base is more heterogeneous, that any such difference in heterogeneity will lead to a material increase in costs.</w:t>
      </w:r>
    </w:p>
    <w:p w:rsidR="00051BDB" w:rsidRDefault="00051BDB" w:rsidP="00051BDB">
      <w:r>
        <w:lastRenderedPageBreak/>
        <w:t>Therefore we are not satisfied that that differences past ownership between the NSW service providers and the Victorian service providers will lead to material differences in opex.</w:t>
      </w:r>
    </w:p>
    <w:p w:rsidR="00051BDB" w:rsidRDefault="00051BDB" w:rsidP="00051BDB">
      <w:r>
        <w:t>We are also not satisfied that an adjustment for differences in past ownership satisfies the exogeneity OEF adjustment criterion. The AEMC has stated that the nature of ownership of service providers is an endogenous factor that should not be taken into account when undertaking benchmarking.</w:t>
      </w:r>
      <w:r w:rsidRPr="00B81CF8">
        <w:rPr>
          <w:rStyle w:val="FootnoteReference"/>
        </w:rPr>
        <w:t xml:space="preserve"> </w:t>
      </w:r>
      <w:r>
        <w:rPr>
          <w:rStyle w:val="FootnoteReference"/>
        </w:rPr>
        <w:footnoteReference w:id="868"/>
      </w:r>
    </w:p>
    <w:p w:rsidR="00051BDB" w:rsidRPr="00B06EA5" w:rsidRDefault="00051BDB" w:rsidP="00051BDB">
      <w:pPr>
        <w:pStyle w:val="HeadingBoldBlue"/>
        <w:numPr>
          <w:ilvl w:val="0"/>
          <w:numId w:val="24"/>
        </w:numPr>
      </w:pPr>
      <w:r w:rsidRPr="00B06EA5">
        <w:t>Proportion of 22kV and 11kV lines</w:t>
      </w:r>
    </w:p>
    <w:p w:rsidR="00051BDB" w:rsidRDefault="00051BDB" w:rsidP="00051BDB">
      <w:r w:rsidRPr="00B06EA5">
        <w:t xml:space="preserve">We are </w:t>
      </w:r>
      <w:r>
        <w:t xml:space="preserve">not </w:t>
      </w:r>
      <w:r w:rsidRPr="00B06EA5">
        <w:t xml:space="preserve">satisfied an </w:t>
      </w:r>
      <w:r>
        <w:t>OEF</w:t>
      </w:r>
      <w:r w:rsidRPr="00B06EA5">
        <w:t xml:space="preserve"> adjustment for the proportions of 22k</w:t>
      </w:r>
      <w:r>
        <w:t xml:space="preserve">V and 11kV lines in the network </w:t>
      </w:r>
      <w:r w:rsidRPr="00B06EA5">
        <w:t xml:space="preserve">would </w:t>
      </w:r>
      <w:r>
        <w:t>meet the materiality</w:t>
      </w:r>
      <w:r w:rsidRPr="00B06EA5">
        <w:t xml:space="preserve"> </w:t>
      </w:r>
      <w:r>
        <w:t>OEF</w:t>
      </w:r>
      <w:r w:rsidRPr="00B06EA5">
        <w:t xml:space="preserve"> adjustment criterion. Operating a network using a 22 kV high-voltage distribution system rather than an 11kV high-voltage distribution system is unlikely to create material differences in opex between service providers.</w:t>
      </w:r>
    </w:p>
    <w:p w:rsidR="00051BDB" w:rsidRPr="00B06EA5" w:rsidRDefault="00051BDB" w:rsidP="00051BDB">
      <w:r>
        <w:t xml:space="preserve">The comparison firms include service providers with both 22kV and 11kV network configurations. </w:t>
      </w:r>
      <w:r w:rsidRPr="00B06EA5">
        <w:t>Powercor and AusNet, and CitiPower and SAPN, represent the two extremes in terms of 11kV and 22kV networks - Powercor and AusNet are predominantly 22kV syst</w:t>
      </w:r>
      <w:r>
        <w:t>ems while CitiPower and SAPN have</w:t>
      </w:r>
      <w:r w:rsidRPr="00B06EA5">
        <w:t xml:space="preserve"> predominantly 11kV system</w:t>
      </w:r>
      <w:r>
        <w:t>s</w:t>
      </w:r>
      <w:r w:rsidRPr="00B06EA5">
        <w:t xml:space="preserve">. If this factor were material to the costs of the service providers, we would expect this to be most apparent when comparing these four service providers. </w:t>
      </w:r>
      <w:r w:rsidRPr="00F172B6">
        <w:t>On Economic Insights' MPFP and opex cost function benchmarking AusNet, CitiPower, Powercor and SAPN all perform well. This suggests that this factor is not material to overall performance.</w:t>
      </w:r>
    </w:p>
    <w:p w:rsidR="00051BDB" w:rsidRDefault="00051BDB" w:rsidP="00051BDB">
      <w:r>
        <w:t>In our draft decision we adopted this approach and included differences in high voltage distribution system configuration in our adjustment for immaterial OEFs.</w:t>
      </w:r>
    </w:p>
    <w:p w:rsidR="00051BDB" w:rsidRDefault="00051BDB" w:rsidP="00051BDB">
      <w:r>
        <w:t>In response to our draft decisions, Advisian made observations already included in the initial regulatory proposals.</w:t>
      </w:r>
      <w:r>
        <w:rPr>
          <w:rStyle w:val="FootnoteReference"/>
        </w:rPr>
        <w:footnoteReference w:id="869"/>
      </w:r>
      <w:r>
        <w:t xml:space="preserve"> However, Advisian provided no new evidence to suggest that differences in high voltage distribution system configuration would lead to material differences in opex between the NSW service providers and the comparison firms.</w:t>
      </w:r>
    </w:p>
    <w:p w:rsidR="00051BDB" w:rsidRPr="00B06EA5" w:rsidRDefault="00051BDB" w:rsidP="00051BDB">
      <w:r>
        <w:t xml:space="preserve">In accordance with our approach to estimating the combined effect of OEFs that do not meet the materiality OEF adjustment criterion, we have accounted for differences in high voltage distribution systems in our immaterial OEF adjustment. </w:t>
      </w:r>
      <w:r w:rsidRPr="007716D5">
        <w:t xml:space="preserve">Although it does not satisfy the materiality criterion, an adjustment for the proportions of 22kV and 11kV lines would satisfy the exogeneity and duplication criteria. The technology that was available at the time a network was established is beyond service providers' control. Economic Insights' SFA model dos not include any variables that account for the proportion of 11kV and 22kV lines. </w:t>
      </w:r>
      <w:r>
        <w:t xml:space="preserve">In theory operating a 22kV network would provide a </w:t>
      </w:r>
      <w:r>
        <w:lastRenderedPageBreak/>
        <w:t>small reduction in opex costs. Therefore differences in high voltage distribution systems contribute 0.5 per cent to the immaterial factor adjustments for the NSW service providers.</w:t>
      </w:r>
    </w:p>
    <w:p w:rsidR="00051BDB" w:rsidRDefault="00051BDB" w:rsidP="00051BDB">
      <w:pPr>
        <w:pStyle w:val="HeadingBoldBlue"/>
      </w:pPr>
      <w:r>
        <w:t>Proportion of wooden poles</w:t>
      </w:r>
    </w:p>
    <w:p w:rsidR="00051BDB" w:rsidRDefault="00051BDB" w:rsidP="00051BDB">
      <w:pPr>
        <w:numPr>
          <w:ilvl w:val="0"/>
          <w:numId w:val="24"/>
        </w:numPr>
      </w:pPr>
      <w:r>
        <w:t>We are not satisfied that an OEF adjustment for differences in the proportion of wooden poles in service providers' networks would not meet the duplication OEF criterion. The decision on whether to use wooden, concrete, steel, or fiberglass poles is a trade-off between capex, opex and service levels. We have considered the impact of capex opex trade-offs under the capitalisation practices OEF and service levels under reliability outcomes.</w:t>
      </w:r>
    </w:p>
    <w:p w:rsidR="00051BDB" w:rsidRDefault="00051BDB" w:rsidP="00051BDB">
      <w:pPr>
        <w:numPr>
          <w:ilvl w:val="0"/>
          <w:numId w:val="24"/>
        </w:numPr>
      </w:pPr>
      <w:r>
        <w:t>In response to our draft decision Essential Energy raised the proportion of wooden poles in its network as a factor that may increase its opex relative to the comparison firms.</w:t>
      </w:r>
      <w:r>
        <w:rPr>
          <w:rStyle w:val="FootnoteReference"/>
        </w:rPr>
        <w:footnoteReference w:id="870"/>
      </w:r>
      <w:r>
        <w:t xml:space="preserve"> It submitted that because wooden poles make up a greater part of its network than the comparison firms it is more exposed to the effects of timber decay than other service providers. Essential Energy did not provide any quantification of the effect that this may have on its costs.</w:t>
      </w:r>
    </w:p>
    <w:p w:rsidR="00051BDB" w:rsidRPr="007716D5" w:rsidRDefault="00051BDB" w:rsidP="00051BDB">
      <w:pPr>
        <w:numPr>
          <w:ilvl w:val="0"/>
          <w:numId w:val="24"/>
        </w:numPr>
      </w:pPr>
      <w:r w:rsidRPr="007716D5">
        <w:t>In addition to this, we consider that the decision on whether to use wooden, concrete, steel, or fiberglass poles is a capex opex trade-off. This is because higher capital cost poles are generally less opex intensive. For example concrete poles do not require the inspection drillings and anti-fungal treatments that wooden poles do. However concrete poles are more costly to install.</w:t>
      </w:r>
    </w:p>
    <w:p w:rsidR="00051BDB" w:rsidRDefault="00051BDB" w:rsidP="00051BDB">
      <w:pPr>
        <w:numPr>
          <w:ilvl w:val="0"/>
          <w:numId w:val="24"/>
        </w:numPr>
      </w:pPr>
      <w:r>
        <w:t>Service providers face many of these trade-offs. Other examples include the choice to rent or lease depots, to run lines over or underground, to replace or maintain. We consider that where a capex opex trade-off exists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there will be other areas of their operations where it utilises capital intensive solutions but will not receive negative OEF adjustments.</w:t>
      </w:r>
    </w:p>
    <w:p w:rsidR="00051BDB" w:rsidRDefault="00051BDB" w:rsidP="00051BDB">
      <w:pPr>
        <w:numPr>
          <w:ilvl w:val="0"/>
          <w:numId w:val="24"/>
        </w:numPr>
      </w:pPr>
      <w:r>
        <w:t xml:space="preserve">In our capitalisation practices section we compare the capex opex ratios for the NEM service providers. </w:t>
      </w:r>
      <w:r w:rsidR="00DF2BB8">
        <w:fldChar w:fldCharType="begin"/>
      </w:r>
      <w:r w:rsidR="00DF2BB8">
        <w:instrText xml:space="preserve"> REF _Ref417503680 \h </w:instrText>
      </w:r>
      <w:r w:rsidR="00DF2BB8">
        <w:fldChar w:fldCharType="separate"/>
      </w:r>
      <w:r w:rsidR="00C74791">
        <w:t xml:space="preserve">Figure </w:t>
      </w:r>
      <w:r w:rsidR="00C74791">
        <w:rPr>
          <w:noProof/>
        </w:rPr>
        <w:t>A</w:t>
      </w:r>
      <w:r w:rsidR="00C74791">
        <w:t>.</w:t>
      </w:r>
      <w:r w:rsidR="00C74791">
        <w:rPr>
          <w:noProof/>
        </w:rPr>
        <w:t>11</w:t>
      </w:r>
      <w:r w:rsidR="00DF2BB8">
        <w:fldChar w:fldCharType="end"/>
      </w:r>
      <w:r w:rsidR="00DF2BB8">
        <w:t xml:space="preserve"> and </w:t>
      </w:r>
      <w:r w:rsidR="00DF2BB8">
        <w:fldChar w:fldCharType="begin"/>
      </w:r>
      <w:r w:rsidR="00DF2BB8">
        <w:instrText xml:space="preserve"> REF _Ref417641058 \h </w:instrText>
      </w:r>
      <w:r w:rsidR="00DF2BB8">
        <w:fldChar w:fldCharType="separate"/>
      </w:r>
      <w:r w:rsidR="00C74791">
        <w:t xml:space="preserve">Figure </w:t>
      </w:r>
      <w:r w:rsidR="00C74791">
        <w:rPr>
          <w:noProof/>
        </w:rPr>
        <w:t>A</w:t>
      </w:r>
      <w:r w:rsidR="00C74791">
        <w:t>.</w:t>
      </w:r>
      <w:r w:rsidR="00C74791">
        <w:rPr>
          <w:noProof/>
        </w:rPr>
        <w:t>12</w:t>
      </w:r>
      <w:r w:rsidR="00DF2BB8">
        <w:fldChar w:fldCharType="end"/>
      </w:r>
      <w:r w:rsidR="00DF2BB8">
        <w:t xml:space="preserve"> show</w:t>
      </w:r>
      <w:r>
        <w:t xml:space="preserve"> that the NSW service providers tend to capitalise a similar amount of costs to the comparison firms. As they capitalise a similar amount to the comparison firms at a total level, providing an OEF adjustment for differences in the proportion of timber poles used would overcompensate them. This is because focusing only on opex capex trade-off OEFs that disadvantage the NSW service providers will upwardly bias the total OEF adjustment. The appropriate </w:t>
      </w:r>
      <w:r>
        <w:lastRenderedPageBreak/>
        <w:t>measure is the opex capex ratio at the total level. We have included an adjustment for differences in capitalisation practices in our collective adjustment for individually immaterial factors.</w:t>
      </w:r>
    </w:p>
    <w:p w:rsidR="00051BDB" w:rsidRPr="00B7151E" w:rsidRDefault="00051BDB" w:rsidP="00051BDB">
      <w:pPr>
        <w:numPr>
          <w:ilvl w:val="0"/>
          <w:numId w:val="24"/>
        </w:numPr>
      </w:pPr>
      <w:r>
        <w:t xml:space="preserve">Therefore, we are not satisfied that differences in opex due to the proportion of wooden poles in service provider's networks are not accounted for in our consideration of capitalisation practices. </w:t>
      </w:r>
    </w:p>
    <w:p w:rsidR="00051BDB" w:rsidRDefault="00051BDB" w:rsidP="00051BDB">
      <w:pPr>
        <w:pStyle w:val="HeadingBoldBlue"/>
        <w:numPr>
          <w:ilvl w:val="0"/>
          <w:numId w:val="24"/>
        </w:numPr>
      </w:pPr>
      <w:r>
        <w:t>Rising lateral mains</w:t>
      </w:r>
    </w:p>
    <w:p w:rsidR="00051BDB" w:rsidRDefault="00051BDB" w:rsidP="00051BDB">
      <w:pPr>
        <w:numPr>
          <w:ilvl w:val="0"/>
          <w:numId w:val="24"/>
        </w:numPr>
      </w:pPr>
      <w:r>
        <w:t>We are not satisfied that an OEF adjustment for rising lateral mains would meet the materiality OEF adjustment criterion. Service providers in the NEM are generally not responsible for maintaining mains within apartment complexes.</w:t>
      </w:r>
    </w:p>
    <w:p w:rsidR="00051BDB" w:rsidRDefault="00051BDB" w:rsidP="00051BDB">
      <w:pPr>
        <w:numPr>
          <w:ilvl w:val="0"/>
          <w:numId w:val="24"/>
        </w:numPr>
      </w:pPr>
      <w:r w:rsidRPr="00112C02">
        <w:t>Rising and lateral mains are three phase mains, or busbars, that run through apartment buildings to which multiple service lines are connected.</w:t>
      </w:r>
      <w:r w:rsidRPr="00112C02">
        <w:rPr>
          <w:rStyle w:val="FootnoteReference"/>
        </w:rPr>
        <w:footnoteReference w:id="871"/>
      </w:r>
    </w:p>
    <w:p w:rsidR="00051BDB" w:rsidRDefault="00051BDB" w:rsidP="00051BDB">
      <w:pPr>
        <w:numPr>
          <w:ilvl w:val="0"/>
          <w:numId w:val="24"/>
        </w:numPr>
      </w:pPr>
      <w:r>
        <w:t>In response to our draft decision, Huegin raised rising and lateral mains as an OEF that may lead to differences in opex.</w:t>
      </w:r>
      <w:r>
        <w:rPr>
          <w:rStyle w:val="FootnoteReference"/>
        </w:rPr>
        <w:footnoteReference w:id="872"/>
      </w:r>
      <w:r>
        <w:t xml:space="preserve"> Huegin noted that Ofgem excludes costs associated with rising and lateral mains from its totex benchmarking. In the UK some service providers have a significant amount of mains running throughout apartment complexes.</w:t>
      </w:r>
      <w:r>
        <w:rPr>
          <w:rStyle w:val="FootnoteReference"/>
        </w:rPr>
        <w:footnoteReference w:id="873"/>
      </w:r>
      <w:r>
        <w:t xml:space="preserve"> Ofgem adjusts its totex benchmarking to remove costs associated with those assets.</w:t>
      </w:r>
      <w:r>
        <w:rPr>
          <w:rStyle w:val="FootnoteReference"/>
        </w:rPr>
        <w:footnoteReference w:id="874"/>
      </w:r>
      <w:r>
        <w:t xml:space="preserve"> </w:t>
      </w:r>
      <w:r w:rsidRPr="00C37590">
        <w:t>Huegin did not provide any indication of why this may be an issue in the NEM.</w:t>
      </w:r>
    </w:p>
    <w:p w:rsidR="00051BDB" w:rsidRDefault="00051BDB" w:rsidP="00051BDB">
      <w:pPr>
        <w:numPr>
          <w:ilvl w:val="0"/>
          <w:numId w:val="24"/>
        </w:numPr>
      </w:pPr>
      <w:r>
        <w:t>We are not satisfied that it is necessary to provide an OEF adjustment for rising and lateral mains. While some service providers in the UK have substantial rising and lateral mains fleets, in general NEM service providers do not run electricity distribution mains through apartment complexes. In NEM jurisdictions, usually the demarcation between the service providers' assets and customers' assets is either at the boundary of the customer's property or on the outside of the customer's building. In some situations, service providers do own mains that run through a customer's premises that supply a substation. However, all NEM service providers have some substations located on customers' premises and there is no indication that this provides a cost disadvantage where it occurs.</w:t>
      </w:r>
      <w:r w:rsidRPr="00434879">
        <w:t xml:space="preserve"> </w:t>
      </w:r>
      <w:r>
        <w:t>Aside from mains that supply substations, it is exceedingly unusual for a service provider to own distribution mains within an apartment building.</w:t>
      </w:r>
    </w:p>
    <w:p w:rsidR="00051BDB" w:rsidRPr="007434E2" w:rsidRDefault="00051BDB" w:rsidP="00051BDB">
      <w:pPr>
        <w:numPr>
          <w:ilvl w:val="0"/>
          <w:numId w:val="24"/>
        </w:numPr>
      </w:pPr>
      <w:r>
        <w:t xml:space="preserve">We are not satisfied that an adjustment for rising and lateral mains satisfies the materiality OEF criterion. In general NEM service providers do not own, and are not </w:t>
      </w:r>
      <w:r>
        <w:lastRenderedPageBreak/>
        <w:t>responsible for maintaining rising and lateral mains. As a result we estimate that rising lateral mains maintenance will lead to no differences in the opex incurred by NEM service providers.</w:t>
      </w:r>
    </w:p>
    <w:p w:rsidR="00051BDB" w:rsidRPr="00FB5638" w:rsidRDefault="00051BDB" w:rsidP="00051BDB">
      <w:pPr>
        <w:pStyle w:val="HeadingBoldBlue"/>
        <w:numPr>
          <w:ilvl w:val="0"/>
          <w:numId w:val="24"/>
        </w:numPr>
      </w:pPr>
      <w:r w:rsidRPr="00FB5638">
        <w:t>Solar uptake</w:t>
      </w:r>
    </w:p>
    <w:p w:rsidR="00051BDB" w:rsidRPr="00FB5638" w:rsidRDefault="00051BDB" w:rsidP="00051BDB">
      <w:pPr>
        <w:pStyle w:val="ListParagraph"/>
        <w:numPr>
          <w:ilvl w:val="0"/>
          <w:numId w:val="24"/>
        </w:numPr>
      </w:pPr>
      <w:r w:rsidRPr="00FB5638">
        <w:t xml:space="preserve">An OEF adjustment for differences in solar photovoltaic (PV) installations between </w:t>
      </w:r>
      <w:r>
        <w:t>the NSW service providers</w:t>
      </w:r>
      <w:r w:rsidRPr="00FB5638">
        <w:t xml:space="preserve"> and the comparison </w:t>
      </w:r>
      <w:r>
        <w:t>firms</w:t>
      </w:r>
      <w:r w:rsidRPr="00FB5638">
        <w:t xml:space="preserve"> would not satisfy </w:t>
      </w:r>
      <w:r>
        <w:t xml:space="preserve">the materiality </w:t>
      </w:r>
      <w:r w:rsidRPr="00FB5638">
        <w:t xml:space="preserve">OEF adjustment criterion. The penetration rate for small scale solar installations is similar for Victoria and </w:t>
      </w:r>
      <w:r>
        <w:t>NSW</w:t>
      </w:r>
      <w:r w:rsidRPr="00FB5638">
        <w:t>.</w:t>
      </w:r>
    </w:p>
    <w:p w:rsidR="00051BDB" w:rsidRPr="00FB5638" w:rsidRDefault="00051BDB" w:rsidP="00051BDB">
      <w:r>
        <w:t>In response to inquiries from the AER, Energex</w:t>
      </w:r>
      <w:r w:rsidRPr="00FB5638">
        <w:t xml:space="preserve"> stated that solar PV had impacted its network field operating costs due to an increase in voltage complaints, investigations and requirement to re-balance the loading on the three phase network.</w:t>
      </w:r>
      <w:r w:rsidRPr="00FB5638">
        <w:rPr>
          <w:rStyle w:val="FootnoteReference"/>
        </w:rPr>
        <w:footnoteReference w:id="875"/>
      </w:r>
      <w:r w:rsidRPr="00FB5638">
        <w:t xml:space="preserve"> </w:t>
      </w:r>
    </w:p>
    <w:p w:rsidR="00051BDB" w:rsidRPr="00FB5638" w:rsidRDefault="00051BDB" w:rsidP="00051BDB">
      <w:pPr>
        <w:pStyle w:val="ListParagraph"/>
        <w:numPr>
          <w:ilvl w:val="0"/>
          <w:numId w:val="24"/>
        </w:numPr>
      </w:pPr>
      <w:r w:rsidRPr="00FB5638">
        <w:t>We looked to compare the uptake of PV installations in service providers' networks. We compared the number of solar PV installations deemed by the Clean Energy Regulator per customer in each jurisdiction.</w:t>
      </w:r>
      <w:r w:rsidRPr="00FB5638">
        <w:rPr>
          <w:rStyle w:val="FootnoteReference"/>
        </w:rPr>
        <w:footnoteReference w:id="876"/>
      </w:r>
      <w:r w:rsidRPr="00FB5638">
        <w:t xml:space="preserve"> The number of deemed solar installations was greatest in South Australia. SA Power Networks, the sole </w:t>
      </w:r>
      <w:r>
        <w:t>service provider</w:t>
      </w:r>
      <w:r w:rsidRPr="00FB5638">
        <w:t xml:space="preserve"> in South Australia, is one of the comparison firms.</w:t>
      </w:r>
    </w:p>
    <w:p w:rsidR="00051BDB" w:rsidRPr="00FB5638" w:rsidRDefault="00633CC8" w:rsidP="00051BDB">
      <w:pPr>
        <w:pStyle w:val="Caption"/>
        <w:numPr>
          <w:ilvl w:val="0"/>
          <w:numId w:val="24"/>
        </w:numPr>
      </w:pPr>
      <w:r>
        <w:t xml:space="preserve">Table </w:t>
      </w:r>
      <w:fldSimple w:instr=" STYLEREF 7 \s ">
        <w:r w:rsidR="00CF2125">
          <w:rPr>
            <w:noProof/>
          </w:rPr>
          <w:t>A</w:t>
        </w:r>
      </w:fldSimple>
      <w:r w:rsidR="00CF2125">
        <w:t>.</w:t>
      </w:r>
      <w:fldSimple w:instr=" SEQ ATable \* ARABIC \s 7 ">
        <w:r w:rsidR="00CF2125">
          <w:rPr>
            <w:noProof/>
          </w:rPr>
          <w:t>14</w:t>
        </w:r>
      </w:fldSimple>
      <w:r w:rsidR="00051BDB" w:rsidRPr="00FB5638">
        <w:tab/>
        <w:t xml:space="preserve">Deemed PV installations per 100 connections </w:t>
      </w:r>
    </w:p>
    <w:tbl>
      <w:tblPr>
        <w:tblStyle w:val="AERtable-numbers"/>
        <w:tblW w:w="0" w:type="auto"/>
        <w:tblLayout w:type="fixed"/>
        <w:tblLook w:val="04A0" w:firstRow="1" w:lastRow="0" w:firstColumn="1" w:lastColumn="0" w:noHBand="0" w:noVBand="1"/>
      </w:tblPr>
      <w:tblGrid>
        <w:gridCol w:w="1302"/>
        <w:gridCol w:w="7170"/>
      </w:tblGrid>
      <w:tr w:rsidR="00051BDB" w:rsidRPr="0070118F" w:rsidTr="00051B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051BDB" w:rsidRPr="00FB5638" w:rsidRDefault="00051BDB" w:rsidP="00051BDB"/>
        </w:tc>
        <w:tc>
          <w:tcPr>
            <w:tcW w:w="7170" w:type="dxa"/>
            <w:noWrap/>
            <w:hideMark/>
          </w:tcPr>
          <w:p w:rsidR="00051BDB" w:rsidRPr="00051BDB" w:rsidRDefault="00051BDB" w:rsidP="00051BDB">
            <w:pPr>
              <w:cnfStyle w:val="100000000000" w:firstRow="1" w:lastRow="0" w:firstColumn="0" w:lastColumn="0" w:oddVBand="0" w:evenVBand="0" w:oddHBand="0" w:evenHBand="0" w:firstRowFirstColumn="0" w:firstRowLastColumn="0" w:lastRowFirstColumn="0" w:lastRowLastColumn="0"/>
            </w:pPr>
            <w:r w:rsidRPr="00FB5638">
              <w:t>Deemed small scale solar installations per 100 connections</w:t>
            </w:r>
          </w:p>
        </w:tc>
      </w:tr>
      <w:tr w:rsidR="00051BDB" w:rsidRPr="0070118F" w:rsidTr="00051BDB">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051BDB" w:rsidRPr="00051BDB" w:rsidRDefault="00051BDB" w:rsidP="00051BDB">
            <w:r w:rsidRPr="00FB5638">
              <w:t>ACT</w:t>
            </w:r>
          </w:p>
        </w:tc>
        <w:tc>
          <w:tcPr>
            <w:tcW w:w="7170" w:type="dxa"/>
            <w:noWrap/>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FB5638">
              <w:t>8.7</w:t>
            </w:r>
          </w:p>
        </w:tc>
      </w:tr>
      <w:tr w:rsidR="00051BDB" w:rsidRPr="0070118F" w:rsidTr="00051B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051BDB" w:rsidRPr="00051BDB" w:rsidRDefault="00051BDB" w:rsidP="00051BDB">
            <w:r w:rsidRPr="00FB5638">
              <w:t>NSW</w:t>
            </w:r>
          </w:p>
        </w:tc>
        <w:tc>
          <w:tcPr>
            <w:tcW w:w="7170" w:type="dxa"/>
            <w:noWrap/>
          </w:tcPr>
          <w:p w:rsidR="00051BDB" w:rsidRPr="00051BDB" w:rsidRDefault="00051BDB" w:rsidP="00051BDB">
            <w:pPr>
              <w:cnfStyle w:val="000000010000" w:firstRow="0" w:lastRow="0" w:firstColumn="0" w:lastColumn="0" w:oddVBand="0" w:evenVBand="0" w:oddHBand="0" w:evenHBand="1" w:firstRowFirstColumn="0" w:firstRowLastColumn="0" w:lastRowFirstColumn="0" w:lastRowLastColumn="0"/>
            </w:pPr>
            <w:r w:rsidRPr="00FB5638">
              <w:t>8.7</w:t>
            </w:r>
          </w:p>
        </w:tc>
      </w:tr>
      <w:tr w:rsidR="00051BDB" w:rsidRPr="0070118F" w:rsidTr="00051BDB">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051BDB" w:rsidRPr="00051BDB" w:rsidRDefault="00051BDB" w:rsidP="00051BDB">
            <w:r w:rsidRPr="00FB5638">
              <w:t>Queensland</w:t>
            </w:r>
          </w:p>
        </w:tc>
        <w:tc>
          <w:tcPr>
            <w:tcW w:w="7170" w:type="dxa"/>
            <w:noWrap/>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FB5638">
              <w:t>20.8</w:t>
            </w:r>
          </w:p>
        </w:tc>
      </w:tr>
      <w:tr w:rsidR="00051BDB" w:rsidRPr="0070118F" w:rsidTr="00051B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051BDB" w:rsidRPr="00051BDB" w:rsidRDefault="00051BDB" w:rsidP="00051BDB">
            <w:r w:rsidRPr="00FB5638">
              <w:t>South Australia</w:t>
            </w:r>
          </w:p>
        </w:tc>
        <w:tc>
          <w:tcPr>
            <w:tcW w:w="7170" w:type="dxa"/>
            <w:noWrap/>
          </w:tcPr>
          <w:p w:rsidR="00051BDB" w:rsidRPr="00051BDB" w:rsidRDefault="00051BDB" w:rsidP="00051BDB">
            <w:pPr>
              <w:cnfStyle w:val="000000010000" w:firstRow="0" w:lastRow="0" w:firstColumn="0" w:lastColumn="0" w:oddVBand="0" w:evenVBand="0" w:oddHBand="0" w:evenHBand="1" w:firstRowFirstColumn="0" w:firstRowLastColumn="0" w:lastRowFirstColumn="0" w:lastRowLastColumn="0"/>
            </w:pPr>
            <w:r w:rsidRPr="00FB5638">
              <w:t>21.5</w:t>
            </w:r>
          </w:p>
        </w:tc>
      </w:tr>
      <w:tr w:rsidR="00051BDB" w:rsidRPr="0070118F" w:rsidTr="00051BDB">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051BDB" w:rsidRPr="00051BDB" w:rsidRDefault="00051BDB" w:rsidP="00051BDB">
            <w:r w:rsidRPr="00FB5638">
              <w:t>Victoria</w:t>
            </w:r>
          </w:p>
        </w:tc>
        <w:tc>
          <w:tcPr>
            <w:tcW w:w="7170" w:type="dxa"/>
            <w:noWrap/>
          </w:tcPr>
          <w:p w:rsidR="00051BDB" w:rsidRPr="00051BDB" w:rsidRDefault="00051BDB" w:rsidP="00051BDB">
            <w:pPr>
              <w:cnfStyle w:val="000000000000" w:firstRow="0" w:lastRow="0" w:firstColumn="0" w:lastColumn="0" w:oddVBand="0" w:evenVBand="0" w:oddHBand="0" w:evenHBand="0" w:firstRowFirstColumn="0" w:firstRowLastColumn="0" w:lastRowFirstColumn="0" w:lastRowLastColumn="0"/>
            </w:pPr>
            <w:r w:rsidRPr="00FB5638">
              <w:t>9.1</w:t>
            </w:r>
          </w:p>
        </w:tc>
      </w:tr>
    </w:tbl>
    <w:p w:rsidR="00051BDB" w:rsidRPr="00FB5638" w:rsidRDefault="00051BDB" w:rsidP="00051BDB">
      <w:pPr>
        <w:pStyle w:val="AERtablesource"/>
        <w:numPr>
          <w:ilvl w:val="0"/>
          <w:numId w:val="24"/>
        </w:numPr>
      </w:pPr>
      <w:r w:rsidRPr="00FB5638">
        <w:t>Source:</w:t>
      </w:r>
      <w:r w:rsidRPr="00FB5638">
        <w:tab/>
        <w:t>Clean Energy Regulator; AER analysis.</w:t>
      </w:r>
    </w:p>
    <w:p w:rsidR="00051BDB" w:rsidRPr="00FB5638" w:rsidRDefault="00051BDB" w:rsidP="00051BDB">
      <w:pPr>
        <w:pStyle w:val="ListParagraph"/>
        <w:numPr>
          <w:ilvl w:val="0"/>
          <w:numId w:val="24"/>
        </w:numPr>
      </w:pPr>
      <w:r w:rsidRPr="00FB5638">
        <w:t xml:space="preserve">The number of deemed solar installations per customer is roughly the same for Victoria, where most of the comparison firms are located, </w:t>
      </w:r>
      <w:r>
        <w:t>and NSW</w:t>
      </w:r>
      <w:r w:rsidRPr="00FB5638">
        <w:t>.</w:t>
      </w:r>
    </w:p>
    <w:p w:rsidR="00051BDB" w:rsidRPr="00FB5638" w:rsidRDefault="00051BDB" w:rsidP="00051BDB">
      <w:pPr>
        <w:pStyle w:val="ListParagraph"/>
        <w:numPr>
          <w:ilvl w:val="0"/>
          <w:numId w:val="24"/>
        </w:numPr>
      </w:pPr>
      <w:r w:rsidRPr="00FB5638">
        <w:t xml:space="preserve">Given this, there is not sufficient evidence to conclude that differences in the rate of PV installations between </w:t>
      </w:r>
      <w:r>
        <w:t>the NSW service providers</w:t>
      </w:r>
      <w:r w:rsidRPr="00FB5638">
        <w:t xml:space="preserve"> and the comparison firms, will lead to material differences in opex.</w:t>
      </w:r>
    </w:p>
    <w:p w:rsidR="00051BDB" w:rsidRPr="00FB5638" w:rsidRDefault="00051BDB" w:rsidP="00051BDB">
      <w:r w:rsidRPr="00FB5638">
        <w:t xml:space="preserve">However, as the PV penetration rate is higher in SA and slightly higher in Victoria than in </w:t>
      </w:r>
      <w:r>
        <w:t>NSW</w:t>
      </w:r>
      <w:r w:rsidRPr="00FB5638">
        <w:t xml:space="preserve">, it is likely that the comparison firms will have a cost disadvantage relative to </w:t>
      </w:r>
      <w:r>
        <w:t>the NSW service providers</w:t>
      </w:r>
      <w:r w:rsidRPr="00FB5638">
        <w:t xml:space="preserve"> due to differences in PV uptake. </w:t>
      </w:r>
      <w:r>
        <w:t xml:space="preserve">An adjustment for </w:t>
      </w:r>
      <w:r>
        <w:lastRenderedPageBreak/>
        <w:t xml:space="preserve">differences in PV penetration would meet the exogeneity and materiality OEF adjustment criteria. The decision to install PV is a customer's choice and there are no variables to account for differences in PV penetration rates in Economic Insights' SFA model. </w:t>
      </w:r>
      <w:r w:rsidRPr="00FB5638">
        <w:t xml:space="preserve">As a result we have included differences in opex due to solar PV installations as a 0.5 percentage point decrease in our immaterial OEF adjustments for </w:t>
      </w:r>
      <w:r>
        <w:t>the NSW service providers</w:t>
      </w:r>
      <w:r w:rsidRPr="00FB5638">
        <w:t>.</w:t>
      </w:r>
    </w:p>
    <w:p w:rsidR="00051BDB" w:rsidRPr="00B7151E" w:rsidRDefault="00051BDB" w:rsidP="00051BDB">
      <w:pPr>
        <w:pStyle w:val="HeadingBoldBlue"/>
        <w:numPr>
          <w:ilvl w:val="0"/>
          <w:numId w:val="24"/>
        </w:numPr>
      </w:pPr>
      <w:r w:rsidRPr="00B7151E">
        <w:t>Subtransmission</w:t>
      </w:r>
    </w:p>
    <w:p w:rsidR="00051BDB" w:rsidRPr="00112C02" w:rsidRDefault="00051BDB" w:rsidP="00051BDB">
      <w:pPr>
        <w:pStyle w:val="ListParagraph"/>
        <w:numPr>
          <w:ilvl w:val="0"/>
          <w:numId w:val="24"/>
        </w:numPr>
      </w:pPr>
      <w:r w:rsidRPr="00BE4D61">
        <w:t xml:space="preserve">We are satisfied that it is necessary to provide an </w:t>
      </w:r>
      <w:r>
        <w:t>OEF</w:t>
      </w:r>
      <w:r w:rsidRPr="00BE4D61">
        <w:t xml:space="preserve"> adjustment for differences in subtransmission network configuration between the NSW service providers and the </w:t>
      </w:r>
      <w:r>
        <w:t>comparison firm</w:t>
      </w:r>
      <w:r w:rsidRPr="00BE4D61">
        <w:t xml:space="preserve">s. An adjustment for differences in subtransmission network configuration raises all of our three </w:t>
      </w:r>
      <w:r>
        <w:t xml:space="preserve">OEF </w:t>
      </w:r>
      <w:r w:rsidRPr="00BE4D61">
        <w:t xml:space="preserve">adjustment criteria. The boundary between transmission and distribution networks is the result of historical decisions made by state governments when dividing electricity networks. Differences in subtransmission configuration are likely to lead to material differences in the cost of providing network services. Differences in subtransmission configurations are not accounted for elsewhere in </w:t>
      </w:r>
      <w:r>
        <w:t>Economic Insights' SFA model</w:t>
      </w:r>
      <w:r w:rsidRPr="00BE4D61">
        <w:t>.</w:t>
      </w:r>
    </w:p>
    <w:p w:rsidR="00051BDB" w:rsidRDefault="00051BDB" w:rsidP="00051BDB">
      <w:pPr>
        <w:pStyle w:val="ListParagraph"/>
        <w:numPr>
          <w:ilvl w:val="0"/>
          <w:numId w:val="24"/>
        </w:numPr>
      </w:pPr>
      <w:r>
        <w:t>In our draft decision we provided an OEF adjustment for the same reasons.</w:t>
      </w:r>
    </w:p>
    <w:p w:rsidR="00051BDB" w:rsidRPr="00BE4D61" w:rsidRDefault="00051BDB" w:rsidP="00051BDB">
      <w:pPr>
        <w:pStyle w:val="ListParagraph"/>
        <w:numPr>
          <w:ilvl w:val="0"/>
          <w:numId w:val="24"/>
        </w:numPr>
      </w:pPr>
      <w:r w:rsidRPr="00112C02">
        <w:t xml:space="preserve">The transition point between transmission and distribution varies across jurisdictions and within service providers. All service providers take supply from transmission Grid Exit Points (GXPs) across a range of voltages. </w:t>
      </w:r>
      <w:r>
        <w:t xml:space="preserve">In some jurisdictions the transition point occurs at a higher voltage. This means that distribution service providers are responsible for the operation, and costs, of more of the electricity supply chain. </w:t>
      </w:r>
    </w:p>
    <w:p w:rsidR="00051BDB" w:rsidRDefault="00051BDB" w:rsidP="00051BDB">
      <w:pPr>
        <w:pStyle w:val="ListParagraph"/>
        <w:numPr>
          <w:ilvl w:val="0"/>
          <w:numId w:val="24"/>
        </w:numPr>
      </w:pPr>
      <w:r>
        <w:t>In response to our draft decision, t</w:t>
      </w:r>
      <w:r w:rsidRPr="00BE4D61">
        <w:t>his issue was raised by Advisian,</w:t>
      </w:r>
      <w:r w:rsidRPr="00BE4D61">
        <w:rPr>
          <w:rStyle w:val="FootnoteReference"/>
        </w:rPr>
        <w:footnoteReference w:id="877"/>
      </w:r>
      <w:r w:rsidRPr="00BE4D61">
        <w:rPr>
          <w:rStyle w:val="FootnoteReference"/>
        </w:rPr>
        <w:footnoteReference w:id="878"/>
      </w:r>
      <w:r w:rsidRPr="00BE4D61">
        <w:t xml:space="preserve"> Frontier</w:t>
      </w:r>
      <w:r>
        <w:t xml:space="preserve"> Economics</w:t>
      </w:r>
      <w:r w:rsidRPr="00BE4D61">
        <w:t>,</w:t>
      </w:r>
      <w:r w:rsidRPr="00BE4D61">
        <w:rPr>
          <w:rStyle w:val="FootnoteReference"/>
        </w:rPr>
        <w:footnoteReference w:id="879"/>
      </w:r>
      <w:r w:rsidRPr="00BE4D61">
        <w:t xml:space="preserve"> and </w:t>
      </w:r>
      <w:r>
        <w:t>CEPA</w:t>
      </w:r>
      <w:r w:rsidRPr="00BE4D61">
        <w:rPr>
          <w:rStyle w:val="FootnoteReference"/>
        </w:rPr>
        <w:footnoteReference w:id="880"/>
      </w:r>
      <w:r w:rsidRPr="00BE4D61">
        <w:t>.</w:t>
      </w:r>
      <w:r>
        <w:t xml:space="preserve"> Advisian submitted that we should have considered the effect of differences in undergrounding in our adjustment. </w:t>
      </w:r>
      <w:r w:rsidRPr="00BE4D61">
        <w:t xml:space="preserve">Frontier and </w:t>
      </w:r>
      <w:r>
        <w:t>CEPA</w:t>
      </w:r>
      <w:r w:rsidRPr="00BE4D61">
        <w:t xml:space="preserve"> considered that the proportion of subtransmission should be used as an environmental variable in Economic Insights’ SFA model. Both noted that it is statistically significant and its inclusion reduces the observed difference in efficiency scores between Australian DNSPs.</w:t>
      </w:r>
    </w:p>
    <w:p w:rsidR="00051BDB" w:rsidRDefault="00051BDB" w:rsidP="00051BDB">
      <w:pPr>
        <w:pStyle w:val="ListParagraph"/>
        <w:numPr>
          <w:ilvl w:val="0"/>
          <w:numId w:val="24"/>
        </w:numPr>
      </w:pPr>
      <w:r>
        <w:t>In response to Advisian's report we have investigated the effect of undergrounding. We calculated the adjustment using only overhead subtransmission lines. This</w:t>
      </w:r>
      <w:r w:rsidRPr="00BE4D61">
        <w:t xml:space="preserve"> resulted in an adjustment less favourable to Ausgrid and Essential, but more favourable to Endeavour. </w:t>
      </w:r>
    </w:p>
    <w:p w:rsidR="00051BDB" w:rsidRDefault="00051BDB" w:rsidP="00051BDB">
      <w:pPr>
        <w:pStyle w:val="ListParagraph"/>
        <w:numPr>
          <w:ilvl w:val="0"/>
          <w:numId w:val="24"/>
        </w:numPr>
      </w:pPr>
      <w:r w:rsidRPr="00BE4D61">
        <w:t xml:space="preserve">We consider that it is more appropriate to </w:t>
      </w:r>
      <w:r>
        <w:t>use</w:t>
      </w:r>
      <w:r w:rsidRPr="00BE4D61">
        <w:t xml:space="preserve"> total subtransmission line length</w:t>
      </w:r>
      <w:r>
        <w:t xml:space="preserve"> to calculate the adjustment for subtransmission</w:t>
      </w:r>
      <w:r w:rsidRPr="00BE4D61">
        <w:t>. This is because it is a proxy for the size of the subtransmission netw</w:t>
      </w:r>
      <w:r>
        <w:t>ork that service providers must operate. T</w:t>
      </w:r>
      <w:r w:rsidRPr="00BE4D61">
        <w:t xml:space="preserve">his includes </w:t>
      </w:r>
      <w:r w:rsidRPr="00BE4D61">
        <w:lastRenderedPageBreak/>
        <w:t>switchgear and transformers. Considering only underground subtransmission line length will distort this.</w:t>
      </w:r>
      <w:r w:rsidRPr="00A341C6">
        <w:t xml:space="preserve"> Also Economic Insights' SFA model includes a variable to account for differences in the proportion of undergrounding.</w:t>
      </w:r>
    </w:p>
    <w:p w:rsidR="00051BDB" w:rsidRDefault="00051BDB" w:rsidP="00051BDB">
      <w:pPr>
        <w:pStyle w:val="ListParagraph"/>
        <w:numPr>
          <w:ilvl w:val="0"/>
          <w:numId w:val="24"/>
        </w:numPr>
      </w:pPr>
      <w:r>
        <w:t>Economic Insights</w:t>
      </w:r>
      <w:r w:rsidRPr="00BE4D61">
        <w:t xml:space="preserve"> </w:t>
      </w:r>
      <w:r>
        <w:t>does</w:t>
      </w:r>
      <w:r w:rsidRPr="00BE4D61">
        <w:t xml:space="preserve"> consider that it is appropriate to include subtransmission </w:t>
      </w:r>
      <w:r>
        <w:t xml:space="preserve">directly as </w:t>
      </w:r>
      <w:r w:rsidRPr="00BE4D61">
        <w:t xml:space="preserve">an </w:t>
      </w:r>
      <w:r>
        <w:t>operating environment</w:t>
      </w:r>
      <w:r w:rsidRPr="00BE4D61">
        <w:t xml:space="preserve"> variable in the SFA model</w:t>
      </w:r>
      <w:r>
        <w:rPr>
          <w:rStyle w:val="FootnoteReference"/>
        </w:rPr>
        <w:t xml:space="preserve"> </w:t>
      </w:r>
      <w:r>
        <w:rPr>
          <w:rStyle w:val="FootnoteReference"/>
        </w:rPr>
        <w:footnoteReference w:id="881"/>
      </w:r>
      <w:r>
        <w:t xml:space="preserve"> and we agree.</w:t>
      </w:r>
      <w:r w:rsidRPr="00BE4D61">
        <w:t xml:space="preserve"> </w:t>
      </w:r>
      <w:r>
        <w:t>O</w:t>
      </w:r>
      <w:r w:rsidRPr="00105B83">
        <w:t xml:space="preserve">nly the NSW, Queensland and ACT </w:t>
      </w:r>
      <w:r>
        <w:t>service provider</w:t>
      </w:r>
      <w:r w:rsidRPr="00105B83">
        <w:t>s report any line lengths over 66 kV in Australia</w:t>
      </w:r>
      <w:r w:rsidRPr="00105B83">
        <w:rPr>
          <w:rStyle w:val="FootnoteReference"/>
        </w:rPr>
        <w:footnoteReference w:id="882"/>
      </w:r>
      <w:r w:rsidRPr="00105B83">
        <w:t xml:space="preserve">. There is therefore a risk that this variable may pick up other characteristics that are shared by </w:t>
      </w:r>
      <w:r>
        <w:t>service provider</w:t>
      </w:r>
      <w:r w:rsidRPr="00105B83">
        <w:t xml:space="preserve">s in these states relative to </w:t>
      </w:r>
      <w:r>
        <w:t>service provider</w:t>
      </w:r>
      <w:r w:rsidRPr="00105B83">
        <w:t>s in the other states.</w:t>
      </w:r>
      <w:r w:rsidRPr="00BE4D61">
        <w:t xml:space="preserve"> Evidence for th</w:t>
      </w:r>
      <w:r>
        <w:t>is is that the coefficients in the CEPA, F</w:t>
      </w:r>
      <w:r w:rsidRPr="00BE4D61">
        <w:t>rontier</w:t>
      </w:r>
      <w:r>
        <w:t xml:space="preserve"> Economics, and PEGR</w:t>
      </w:r>
      <w:r w:rsidRPr="00BE4D61">
        <w:t xml:space="preserve"> model</w:t>
      </w:r>
      <w:r>
        <w:t>s</w:t>
      </w:r>
      <w:r w:rsidRPr="00BE4D61">
        <w:t xml:space="preserve"> suggests that subtransmi</w:t>
      </w:r>
      <w:r>
        <w:t>ssion lines are between 9 and 48</w:t>
      </w:r>
      <w:r w:rsidRPr="00BE4D61">
        <w:t xml:space="preserve"> times more expensive to operate than distribution lines.</w:t>
      </w:r>
      <w:r w:rsidRPr="005618CD">
        <w:rPr>
          <w:rStyle w:val="FootnoteReference"/>
        </w:rPr>
        <w:t xml:space="preserve"> </w:t>
      </w:r>
      <w:r>
        <w:rPr>
          <w:rStyle w:val="FootnoteReference"/>
        </w:rPr>
        <w:footnoteReference w:id="883"/>
      </w:r>
      <w:r w:rsidRPr="00BE4D61">
        <w:rPr>
          <w:rStyle w:val="FootnoteReference"/>
        </w:rPr>
        <w:t xml:space="preserve"> </w:t>
      </w:r>
      <w:r w:rsidRPr="00BE4D61">
        <w:t xml:space="preserve">This is </w:t>
      </w:r>
      <w:r>
        <w:t xml:space="preserve">more than </w:t>
      </w:r>
      <w:r w:rsidRPr="00BE4D61">
        <w:t>six times higher than the costs reported by Ausgrid in its regulatory accounts for the last 10 years.</w:t>
      </w:r>
      <w:r w:rsidRPr="00BE4D61">
        <w:rPr>
          <w:rStyle w:val="FootnoteReference"/>
        </w:rPr>
        <w:footnoteReference w:id="884"/>
      </w:r>
    </w:p>
    <w:p w:rsidR="00051BDB" w:rsidRDefault="00051BDB" w:rsidP="00051BDB">
      <w:pPr>
        <w:pStyle w:val="ListParagraph"/>
        <w:numPr>
          <w:ilvl w:val="0"/>
          <w:numId w:val="24"/>
        </w:numPr>
      </w:pPr>
      <w:r>
        <w:t>While we consider that including a variable in the SFA model for subtransmission is not appropriate, we consider it is appropriate to include a post-modelling adjustment. This is because differences in network boundary are exogenous, likely to materially affect service provider's costs, and are not accounted for elsewhere in the SFA model.</w:t>
      </w:r>
    </w:p>
    <w:p w:rsidR="00051BDB" w:rsidRDefault="00051BDB" w:rsidP="00051BDB">
      <w:pPr>
        <w:pStyle w:val="ListParagraph"/>
        <w:numPr>
          <w:ilvl w:val="0"/>
          <w:numId w:val="24"/>
        </w:numPr>
      </w:pPr>
      <w:r>
        <w:t>Since our draft decision we have received economic benchmarking RIN data for 2014 for all businesses reporting on financial years. We have updated our OEF adjustment for subtransmission to reflect the most recent year of data available. This is because it is more reflective of the NSW service providers' opex requirements in the forecast period.</w:t>
      </w:r>
    </w:p>
    <w:bookmarkEnd w:id="218"/>
    <w:p w:rsidR="00051BDB" w:rsidRPr="00A21507" w:rsidRDefault="00051BDB" w:rsidP="00051BDB">
      <w:pPr>
        <w:numPr>
          <w:ilvl w:val="0"/>
          <w:numId w:val="24"/>
        </w:numPr>
      </w:pPr>
      <w:r>
        <w:t>The</w:t>
      </w:r>
      <w:r w:rsidRPr="009F21E8">
        <w:t xml:space="preserve"> adjustment</w:t>
      </w:r>
      <w:r>
        <w:t>s</w:t>
      </w:r>
      <w:r w:rsidRPr="009F21E8">
        <w:t xml:space="preserve"> </w:t>
      </w:r>
      <w:r>
        <w:t>are calculated by subtracting</w:t>
      </w:r>
      <w:r w:rsidRPr="009F21E8">
        <w:t xml:space="preserve"> the </w:t>
      </w:r>
      <w:r>
        <w:t>percentage</w:t>
      </w:r>
      <w:r w:rsidRPr="009F21E8">
        <w:t xml:space="preserve"> </w:t>
      </w:r>
      <w:r>
        <w:t>that</w:t>
      </w:r>
      <w:r w:rsidRPr="009F21E8">
        <w:t xml:space="preserve"> subtransmission lines </w:t>
      </w:r>
      <w:r>
        <w:t xml:space="preserve">represent of total lines </w:t>
      </w:r>
      <w:r w:rsidRPr="009F21E8">
        <w:t xml:space="preserve">operated by the </w:t>
      </w:r>
      <w:r>
        <w:t>weighted average of the comparison</w:t>
      </w:r>
      <w:r w:rsidRPr="009F21E8">
        <w:t xml:space="preserve"> firm</w:t>
      </w:r>
      <w:r>
        <w:t>s</w:t>
      </w:r>
      <w:r w:rsidRPr="009F21E8">
        <w:t xml:space="preserve"> from th</w:t>
      </w:r>
      <w:r>
        <w:t>at</w:t>
      </w:r>
      <w:r w:rsidRPr="009F21E8">
        <w:t xml:space="preserve"> </w:t>
      </w:r>
      <w:r>
        <w:t>for the relevant service provider. T</w:t>
      </w:r>
      <w:r w:rsidRPr="00A21507">
        <w:t xml:space="preserve">he recommended </w:t>
      </w:r>
      <w:r>
        <w:t xml:space="preserve">OEF adjustments for subtransmission </w:t>
      </w:r>
      <w:r w:rsidRPr="00A21507">
        <w:t>are therefore:</w:t>
      </w:r>
    </w:p>
    <w:p w:rsidR="00051BDB" w:rsidRPr="00A21507" w:rsidRDefault="00051BDB" w:rsidP="00051BDB">
      <w:pPr>
        <w:pStyle w:val="AERbulletlistfirststyle"/>
      </w:pPr>
      <w:r w:rsidRPr="00A21507">
        <w:t>Ausgrid: 5.</w:t>
      </w:r>
      <w:r>
        <w:t>2</w:t>
      </w:r>
      <w:r w:rsidRPr="00A21507">
        <w:t> per cent</w:t>
      </w:r>
      <w:r>
        <w:rPr>
          <w:rStyle w:val="FootnoteReference"/>
        </w:rPr>
        <w:footnoteReference w:id="885"/>
      </w:r>
    </w:p>
    <w:p w:rsidR="00051BDB" w:rsidRPr="00A21507" w:rsidRDefault="00051BDB" w:rsidP="00051BDB">
      <w:pPr>
        <w:pStyle w:val="AERbulletlistfirststyle"/>
      </w:pPr>
      <w:r>
        <w:t>Endeavour Energy: 4.9</w:t>
      </w:r>
      <w:r w:rsidRPr="00A21507">
        <w:t> per cent</w:t>
      </w:r>
      <w:r>
        <w:rPr>
          <w:rStyle w:val="FootnoteReference"/>
        </w:rPr>
        <w:footnoteReference w:id="886"/>
      </w:r>
    </w:p>
    <w:p w:rsidR="00051BDB" w:rsidRPr="00A21507" w:rsidRDefault="00051BDB" w:rsidP="00051BDB">
      <w:pPr>
        <w:pStyle w:val="AERbulletlistfirststyle"/>
      </w:pPr>
      <w:r>
        <w:t>Essential Energy: 3</w:t>
      </w:r>
      <w:r w:rsidRPr="00A21507">
        <w:t>.</w:t>
      </w:r>
      <w:r>
        <w:t>1</w:t>
      </w:r>
      <w:r w:rsidRPr="00A21507">
        <w:t> per cent.</w:t>
      </w:r>
      <w:r>
        <w:rPr>
          <w:rStyle w:val="FootnoteReference"/>
        </w:rPr>
        <w:footnoteReference w:id="887"/>
      </w:r>
    </w:p>
    <w:p w:rsidR="00051BDB" w:rsidRPr="00CF6B10" w:rsidRDefault="00051BDB" w:rsidP="00051BDB">
      <w:pPr>
        <w:pStyle w:val="HeadingBoldBlue"/>
      </w:pPr>
      <w:r w:rsidRPr="00CF6B10">
        <w:t>SWER</w:t>
      </w:r>
    </w:p>
    <w:p w:rsidR="00051BDB" w:rsidRDefault="00051BDB" w:rsidP="00051BDB">
      <w:pPr>
        <w:numPr>
          <w:ilvl w:val="0"/>
          <w:numId w:val="24"/>
        </w:numPr>
      </w:pPr>
      <w:r>
        <w:t xml:space="preserve">We are not satisfied that an OEF adjustment for the proportion of </w:t>
      </w:r>
      <w:r w:rsidRPr="005C743F">
        <w:t>Single-wire earth-return (SWER</w:t>
      </w:r>
      <w:r>
        <w:t>)</w:t>
      </w:r>
      <w:r w:rsidRPr="005C743F">
        <w:t xml:space="preserve"> </w:t>
      </w:r>
      <w:r>
        <w:t xml:space="preserve">included in a network would meet the exogeneity or duplication OEF adjustment criteria. The proportion of SWER included in a network is a result of past </w:t>
      </w:r>
      <w:r>
        <w:lastRenderedPageBreak/>
        <w:t>management decisions and it will be correlated with customer density, which is captured in Economic Insights' SFA model.</w:t>
      </w:r>
    </w:p>
    <w:p w:rsidR="00051BDB" w:rsidRDefault="00051BDB" w:rsidP="00051BDB">
      <w:pPr>
        <w:numPr>
          <w:ilvl w:val="0"/>
          <w:numId w:val="24"/>
        </w:numPr>
      </w:pPr>
      <w:r w:rsidRPr="00D747FE">
        <w:t>In response to our draft decision, Advisian,</w:t>
      </w:r>
      <w:r w:rsidRPr="00D747FE">
        <w:rPr>
          <w:rStyle w:val="FootnoteReference"/>
        </w:rPr>
        <w:footnoteReference w:id="888"/>
      </w:r>
      <w:r w:rsidRPr="00D747FE">
        <w:rPr>
          <w:rStyle w:val="FootnoteReference"/>
        </w:rPr>
        <w:footnoteReference w:id="889"/>
      </w:r>
      <w:r w:rsidRPr="00D747FE">
        <w:t>CEPA,</w:t>
      </w:r>
      <w:r w:rsidRPr="00D747FE">
        <w:rPr>
          <w:rStyle w:val="FootnoteReference"/>
        </w:rPr>
        <w:footnoteReference w:id="890"/>
      </w:r>
      <w:r w:rsidRPr="00D747FE">
        <w:t xml:space="preserve"> and Synergies</w:t>
      </w:r>
      <w:r w:rsidRPr="00D747FE">
        <w:rPr>
          <w:rStyle w:val="FootnoteReference"/>
        </w:rPr>
        <w:footnoteReference w:id="891"/>
      </w:r>
      <w:r w:rsidRPr="00D747FE">
        <w:t xml:space="preserve"> raised the point that the cost of operating SWER lines is different to other lines. Advisian and CEPA submitted that SWER is cheaper to operate than other lines. Syn</w:t>
      </w:r>
      <w:r>
        <w:t>ergies on the other hand submitted</w:t>
      </w:r>
      <w:r w:rsidRPr="00D747FE">
        <w:t xml:space="preserve"> that it is more expensive to operate because it is less reliable, which results in greater network restoration costs.</w:t>
      </w:r>
    </w:p>
    <w:p w:rsidR="00051BDB" w:rsidRDefault="00051BDB" w:rsidP="00051BDB">
      <w:pPr>
        <w:numPr>
          <w:ilvl w:val="0"/>
          <w:numId w:val="24"/>
        </w:numPr>
      </w:pPr>
      <w:r>
        <w:t>SWER is a mature technology that has been available to network service providers for decades. SWER</w:t>
      </w:r>
      <w:r w:rsidRPr="005C743F">
        <w:t xml:space="preserve"> systems are low capital and maintenance cost distribution systems, which have been </w:t>
      </w:r>
      <w:r>
        <w:t>installed and operated</w:t>
      </w:r>
      <w:r w:rsidRPr="005C743F">
        <w:t xml:space="preserve"> in many rural parts of the world. The high cost of network extension to rural areas, which are often characterized by scattered communities with low load densities, requires the use of low cost options to ensure economic viability. In </w:t>
      </w:r>
      <w:r>
        <w:t>SWER</w:t>
      </w:r>
      <w:r w:rsidRPr="005C743F">
        <w:t xml:space="preserve"> power distribution networks, the earth itself forms the current return path of the single phase system leading to significant cost savings on conductors, poles and pole top hardware compared to conventional systems. However, challenges exist in SWER with regard to voltage management, reliability, earthing and safety as well as the dependence on earth conductivity to supply consumer loads.</w:t>
      </w:r>
    </w:p>
    <w:p w:rsidR="00051BDB" w:rsidRDefault="00051BDB" w:rsidP="00051BDB">
      <w:r w:rsidRPr="005C743F">
        <w:t>A 2009 study by PB Associates identified SWER as the most cost effective option for the connection of remote customers</w:t>
      </w:r>
      <w:r>
        <w:t>.</w:t>
      </w:r>
      <w:r>
        <w:rPr>
          <w:rStyle w:val="FootnoteReference"/>
        </w:rPr>
        <w:footnoteReference w:id="892"/>
      </w:r>
      <w:r>
        <w:t xml:space="preserve"> </w:t>
      </w:r>
      <w:r w:rsidRPr="005C743F">
        <w:t xml:space="preserve">This study showed that SWER supplies were less than half the cost of other overhead solutions. This is supported by a World Bank review </w:t>
      </w:r>
      <w:r>
        <w:t xml:space="preserve">of SWER </w:t>
      </w:r>
      <w:r w:rsidRPr="005C743F">
        <w:t>undertaken i</w:t>
      </w:r>
      <w:r>
        <w:t>n 2006</w:t>
      </w:r>
      <w:r w:rsidRPr="005C743F">
        <w:t>.</w:t>
      </w:r>
      <w:r>
        <w:rPr>
          <w:rStyle w:val="FootnoteReference"/>
        </w:rPr>
        <w:footnoteReference w:id="893"/>
      </w:r>
      <w:r w:rsidRPr="005C743F">
        <w:t xml:space="preserve"> </w:t>
      </w:r>
    </w:p>
    <w:p w:rsidR="00051BDB" w:rsidRDefault="00051BDB" w:rsidP="00051BDB">
      <w:pPr>
        <w:numPr>
          <w:ilvl w:val="0"/>
          <w:numId w:val="24"/>
        </w:numPr>
      </w:pPr>
      <w:r>
        <w:t xml:space="preserve">An OEF adjustment for SWER does not meet the exogeneity OEF adjustment criterion. There was nothing preventing NSW service providers from using SWER in low demand low density areas of their networks. SWER has been available for use in Australia since the first half of the 20th century. </w:t>
      </w:r>
      <w:r w:rsidRPr="002875F8">
        <w:t xml:space="preserve">To the extent that SWER is </w:t>
      </w:r>
      <w:r>
        <w:t>a cheaper method to distribute electricity, its use or absence,</w:t>
      </w:r>
      <w:r w:rsidRPr="002875F8">
        <w:t xml:space="preserve"> is a reflection of</w:t>
      </w:r>
      <w:r>
        <w:t xml:space="preserve"> past</w:t>
      </w:r>
      <w:r w:rsidRPr="002875F8">
        <w:t xml:space="preserve"> managerial efficiency or inefficiency.</w:t>
      </w:r>
    </w:p>
    <w:p w:rsidR="00051BDB" w:rsidRDefault="00051BDB" w:rsidP="00051BDB">
      <w:pPr>
        <w:numPr>
          <w:ilvl w:val="0"/>
          <w:numId w:val="24"/>
        </w:numPr>
      </w:pPr>
      <w:r>
        <w:t xml:space="preserve">To the extent that SWER can be used in low density low demand environments, the effect of SWER on opex will be correlated with customer density. As Economic Insights SFA model accounts for customer density, it will also account for the proportion of SWER used by a service provider. As mentioned in our draft decision, in our consideration of customer density, asset complexity will be correlated with customer </w:t>
      </w:r>
      <w:r>
        <w:lastRenderedPageBreak/>
        <w:t>density. In this case, SWER is a less complex asset designed to serve low loads through a single wire instead of multiple circuits.</w:t>
      </w:r>
    </w:p>
    <w:p w:rsidR="00051BDB" w:rsidRDefault="00051BDB" w:rsidP="00051BDB">
      <w:pPr>
        <w:pStyle w:val="HeadingBoldBlue"/>
      </w:pPr>
      <w:r>
        <w:t>Transmission connection point charges</w:t>
      </w:r>
    </w:p>
    <w:p w:rsidR="00051BDB" w:rsidRDefault="00051BDB" w:rsidP="00051BDB">
      <w:pPr>
        <w:numPr>
          <w:ilvl w:val="0"/>
          <w:numId w:val="24"/>
        </w:numPr>
      </w:pPr>
      <w:r>
        <w:t>We are not satisfied that an OEF adjustment for transmission connection point charges would meet the duplication OEF adjustment criterion. Transmission connection point charges have been excluded from network services opex: the opex data used in Economic Insights' SFA model.</w:t>
      </w:r>
    </w:p>
    <w:p w:rsidR="00051BDB" w:rsidRDefault="00051BDB" w:rsidP="00051BDB">
      <w:pPr>
        <w:numPr>
          <w:ilvl w:val="0"/>
          <w:numId w:val="24"/>
        </w:numPr>
      </w:pPr>
      <w:r>
        <w:t>Transmission connection point charges are charges for electricity transmission services.</w:t>
      </w:r>
    </w:p>
    <w:p w:rsidR="00051BDB" w:rsidRDefault="00051BDB" w:rsidP="00051BDB">
      <w:pPr>
        <w:numPr>
          <w:ilvl w:val="0"/>
          <w:numId w:val="24"/>
        </w:numPr>
      </w:pPr>
      <w:r>
        <w:t>In response to our draft decision, Huegin raised transmission connection point charges as an OEF that may lead to differences in opex.</w:t>
      </w:r>
      <w:r w:rsidRPr="00D909F1">
        <w:rPr>
          <w:rStyle w:val="FootnoteReference"/>
        </w:rPr>
        <w:t xml:space="preserve"> </w:t>
      </w:r>
      <w:r>
        <w:rPr>
          <w:rStyle w:val="FootnoteReference"/>
        </w:rPr>
        <w:footnoteReference w:id="894"/>
      </w:r>
      <w:r>
        <w:t xml:space="preserve"> Huegin noted that Ofgem excludes transmission connection point charges from its totex benchmarking.</w:t>
      </w:r>
    </w:p>
    <w:p w:rsidR="00051BDB" w:rsidRDefault="00051BDB" w:rsidP="00051BDB">
      <w:pPr>
        <w:numPr>
          <w:ilvl w:val="0"/>
          <w:numId w:val="24"/>
        </w:numPr>
      </w:pPr>
      <w:r w:rsidRPr="00A91B18">
        <w:t xml:space="preserve">In the NEM, transmission connection point charges are not included in network services opex. We are </w:t>
      </w:r>
      <w:r>
        <w:t xml:space="preserve">not </w:t>
      </w:r>
      <w:r w:rsidRPr="00A91B18">
        <w:t xml:space="preserve">satisfied that it is necessary to provide an OEF adjustment for transmission connection point charges. Economic Insights' </w:t>
      </w:r>
      <w:r>
        <w:t>SFA model</w:t>
      </w:r>
      <w:r w:rsidRPr="00A91B18">
        <w:t xml:space="preserve"> use</w:t>
      </w:r>
      <w:r>
        <w:t>s</w:t>
      </w:r>
      <w:r w:rsidRPr="00A91B18">
        <w:t xml:space="preserve"> network services opex.</w:t>
      </w:r>
    </w:p>
    <w:p w:rsidR="00051BDB" w:rsidRPr="00051BDB" w:rsidRDefault="00051BDB" w:rsidP="00051BDB">
      <w:r>
        <w:br w:type="page"/>
      </w:r>
    </w:p>
    <w:p w:rsidR="00051BDB" w:rsidRDefault="00051BDB" w:rsidP="00051BDB">
      <w:pPr>
        <w:pStyle w:val="Heading8"/>
      </w:pPr>
      <w:bookmarkStart w:id="253" w:name="_Ref415585317"/>
      <w:bookmarkStart w:id="254" w:name="_Ref415737208"/>
      <w:bookmarkStart w:id="255" w:name="_Ref416803943"/>
      <w:bookmarkStart w:id="256" w:name="_Toc417719057"/>
      <w:r w:rsidRPr="009F4B47">
        <w:lastRenderedPageBreak/>
        <w:t>The</w:t>
      </w:r>
      <w:r>
        <w:t xml:space="preserve"> benchmark</w:t>
      </w:r>
      <w:r w:rsidRPr="009F4B47">
        <w:t xml:space="preserve"> </w:t>
      </w:r>
      <w:bookmarkEnd w:id="212"/>
      <w:bookmarkEnd w:id="213"/>
      <w:bookmarkEnd w:id="214"/>
      <w:bookmarkEnd w:id="215"/>
      <w:bookmarkEnd w:id="216"/>
      <w:bookmarkEnd w:id="217"/>
      <w:bookmarkEnd w:id="253"/>
      <w:r>
        <w:t>comparison point and adjustments</w:t>
      </w:r>
      <w:bookmarkEnd w:id="254"/>
      <w:r>
        <w:t xml:space="preserve"> to base opex</w:t>
      </w:r>
      <w:bookmarkEnd w:id="255"/>
      <w:bookmarkEnd w:id="256"/>
    </w:p>
    <w:p w:rsidR="00051BDB" w:rsidRDefault="00051BDB" w:rsidP="00051BDB">
      <w:r>
        <w:t>The purpose of any adjustment to base opex is to develop an appropriate starting point from which to build our alternative estimate of forecast opex that we are satisfied will reasonably reflect the opex criteria. We do this using a range of techniques, including benchmarking. If we make an adjustment to base opex, it is not the end of our assessment, merely one stage of it. However, the effect of removing spending from base opex that does not reflect the opex criteria can be significant because service providers rely heavily on total actual opex incurred in the base year in their revised proposals to develop their proposed forecast.</w:t>
      </w:r>
    </w:p>
    <w:p w:rsidR="00051BDB" w:rsidRPr="00CF5A63" w:rsidRDefault="00051BDB" w:rsidP="00051BDB">
      <w:r>
        <w:t>If our analysis indicates that a service provider's base opex is materially inefficient for the purposes of forecasting opex in the coming regulatory control period even after its individual circumstances (such as exogenous factors) are accounted for, it would not be appropriate to use the base opex for the purpose of constructing a forecast that is intended to reflect the opex criteria.</w:t>
      </w:r>
      <w:r w:rsidRPr="00CF5A63">
        <w:t xml:space="preserve"> </w:t>
      </w:r>
      <w:r>
        <w:t>If we relied upon unadjusted revealed costs to build a forecast, it would include</w:t>
      </w:r>
      <w:r w:rsidRPr="00CF5A63" w:rsidDel="002204D2">
        <w:t xml:space="preserve"> </w:t>
      </w:r>
      <w:r>
        <w:t>s</w:t>
      </w:r>
      <w:r w:rsidRPr="00CF5A63">
        <w:t xml:space="preserve">pending </w:t>
      </w:r>
      <w:r>
        <w:t xml:space="preserve">that does not reflect the opex criteria </w:t>
      </w:r>
      <w:r w:rsidRPr="00CF5A63">
        <w:t>for each year of the new regulatory period.</w:t>
      </w:r>
    </w:p>
    <w:p w:rsidR="00051BDB" w:rsidRPr="00CF5A63" w:rsidRDefault="00051BDB" w:rsidP="00051BDB">
      <w:r>
        <w:t>Accordingly, making an appropriate adjustment to base opex is an important part of our assessment approach in circumstances where we find evidence for material inefficiency in the base year costs</w:t>
      </w:r>
      <w:r w:rsidRPr="00CF5A63">
        <w:t xml:space="preserve">. </w:t>
      </w:r>
      <w:r>
        <w:t>This issue has</w:t>
      </w:r>
      <w:r w:rsidRPr="00CF5A63">
        <w:t xml:space="preserve"> been the subject of a range of submissions and responses from stakeholders. </w:t>
      </w:r>
    </w:p>
    <w:p w:rsidR="00051BDB" w:rsidRDefault="00051BDB" w:rsidP="00051BDB">
      <w:r>
        <w:t>This part of our decision is</w:t>
      </w:r>
      <w:r w:rsidRPr="00CF5A63">
        <w:t xml:space="preserve">, essentially, about </w:t>
      </w:r>
      <w:r>
        <w:t>how much of the actual opex of a service provider in the base year does not reasonably reflect the opex criteria when reviewed using the approach we are applying for the 2014–19 regulatory period.</w:t>
      </w:r>
    </w:p>
    <w:p w:rsidR="00051BDB" w:rsidRPr="00981F53" w:rsidRDefault="00051BDB" w:rsidP="00051BDB">
      <w:pPr>
        <w:pStyle w:val="Heading9"/>
      </w:pPr>
      <w:bookmarkStart w:id="257" w:name="_Toc417719058"/>
      <w:r w:rsidRPr="00981F53">
        <w:t>Position</w:t>
      </w:r>
      <w:bookmarkEnd w:id="257"/>
    </w:p>
    <w:p w:rsidR="00051BDB" w:rsidRDefault="00051BDB" w:rsidP="00051BDB">
      <w:r w:rsidRPr="00981F53">
        <w:t xml:space="preserve">Having considered all the relevant evidence we consider there is material inefficiency in Ausgrid's and Essential Energy's base year opex. </w:t>
      </w:r>
      <w:r>
        <w:t xml:space="preserve">We do not, however, consider material inefficiency exists in Endeavour Energy's base opex. </w:t>
      </w:r>
    </w:p>
    <w:p w:rsidR="00051BDB" w:rsidRPr="00981F53" w:rsidRDefault="00051BDB" w:rsidP="00051BDB">
      <w:r>
        <w:t>For Ausgrid and Essential Energy, t</w:t>
      </w:r>
      <w:r w:rsidRPr="00981F53">
        <w:t xml:space="preserve">o rely on their revealed expenditure in the base year when developing our alternative forecast would result in an estimate of total forecast opex that would not reasonably reflect the opex criteria. For the purposes of constructing an alternative opex forecast that we think will reasonably reflect the opex criteria, we have adjusted their base opex </w:t>
      </w:r>
      <w:r>
        <w:t xml:space="preserve">amounts downwards </w:t>
      </w:r>
      <w:r w:rsidRPr="00981F53">
        <w:t xml:space="preserve">by an appropriate margin having regard to the RPPs, the opex factors and the NEO. </w:t>
      </w:r>
    </w:p>
    <w:p w:rsidR="00051BDB" w:rsidRPr="00981F53" w:rsidRDefault="00051BDB" w:rsidP="00051BDB">
      <w:r>
        <w:t>For</w:t>
      </w:r>
      <w:r w:rsidRPr="00981F53">
        <w:t xml:space="preserve"> Endeavour Energy's base year opex, </w:t>
      </w:r>
      <w:r>
        <w:t xml:space="preserve">because </w:t>
      </w:r>
      <w:r w:rsidRPr="00981F53">
        <w:t xml:space="preserve">we are not satisfied that it contains material inefficiency </w:t>
      </w:r>
      <w:r>
        <w:t>it</w:t>
      </w:r>
      <w:r w:rsidRPr="00981F53">
        <w:t xml:space="preserve"> does not require an adjustment. We, therefore, consider it appropriate to use Endeavour Energy's base opex when developing our alternative forecast. This is a departure from our draft decision. Our benchmarking analysis is nevertheless relevant in our assessment of other components of Endeavour Energy's alternative total opex forecast, such as a consideration of its proposed step changes.</w:t>
      </w:r>
    </w:p>
    <w:p w:rsidR="00051BDB" w:rsidRPr="00981F53" w:rsidRDefault="00051BDB" w:rsidP="00051BDB">
      <w:r w:rsidRPr="00981F53">
        <w:lastRenderedPageBreak/>
        <w:t>We disagree with the service providers' submissions that advocate we should abandon our benchmarking techniques and the extent to which we rely upon our benchmarking results.</w:t>
      </w:r>
      <w:r>
        <w:rPr>
          <w:rStyle w:val="FootnoteReference"/>
        </w:rPr>
        <w:footnoteReference w:id="895"/>
      </w:r>
      <w:r w:rsidRPr="00981F53">
        <w:t xml:space="preserve"> Therefore, we continue to place significant weight on the results of Economic Insights' preferred model (Cobb Douglas SFA) in estimating necessary reductions in base opex.</w:t>
      </w:r>
    </w:p>
    <w:p w:rsidR="00051BDB" w:rsidRPr="00981F53" w:rsidRDefault="00051BDB" w:rsidP="00051BDB">
      <w:r w:rsidRPr="00981F53">
        <w:t>However, in light of submissions</w:t>
      </w:r>
      <w:r>
        <w:t xml:space="preserve"> from service providers</w:t>
      </w:r>
      <w:r w:rsidRPr="00981F53">
        <w:t>, we have reconsidered our approach to determining the most appropriate way to make an adjustment.</w:t>
      </w:r>
      <w:r>
        <w:rPr>
          <w:rStyle w:val="FootnoteReference"/>
        </w:rPr>
        <w:footnoteReference w:id="896"/>
      </w:r>
      <w:r w:rsidRPr="00981F53">
        <w:t xml:space="preserve"> As we explain in </w:t>
      </w:r>
      <w:r>
        <w:t>the Guideline</w:t>
      </w:r>
      <w:r w:rsidRPr="00981F53">
        <w:t>, our preference</w:t>
      </w:r>
      <w:r>
        <w:t xml:space="preserve"> is</w:t>
      </w:r>
      <w:r w:rsidRPr="00981F53">
        <w:t xml:space="preserve"> to rely on revealed expenditure as an appropriate basis for forecasting efficient, prudent and realistic opex when service providers are appropriately responding to the incentive framework. Therefore, rather than adjusting all </w:t>
      </w:r>
      <w:r>
        <w:t>service provider</w:t>
      </w:r>
      <w:r w:rsidRPr="00981F53">
        <w:t xml:space="preserve">s below the most efficient performer (the frontier) </w:t>
      </w:r>
      <w:r>
        <w:t>the Guideline</w:t>
      </w:r>
      <w:r w:rsidRPr="00981F53">
        <w:t xml:space="preserve"> approach is to adjust revealed opex when our analysis demonstrates </w:t>
      </w:r>
      <w:r>
        <w:t>it</w:t>
      </w:r>
      <w:r w:rsidRPr="00981F53">
        <w:t xml:space="preserve"> is </w:t>
      </w:r>
      <w:r w:rsidRPr="00981F53">
        <w:rPr>
          <w:rStyle w:val="AERtextitalic"/>
        </w:rPr>
        <w:t>materially</w:t>
      </w:r>
      <w:r w:rsidRPr="00981F53">
        <w:t xml:space="preserve"> inefficient.</w:t>
      </w:r>
      <w:r w:rsidRPr="00981F53">
        <w:rPr>
          <w:rStyle w:val="FootnoteReference"/>
        </w:rPr>
        <w:t xml:space="preserve"> </w:t>
      </w:r>
      <w:r w:rsidRPr="00981F53">
        <w:rPr>
          <w:rStyle w:val="FootnoteReference"/>
        </w:rPr>
        <w:footnoteReference w:id="897"/>
      </w:r>
    </w:p>
    <w:p w:rsidR="00051BDB" w:rsidRPr="00981F53" w:rsidRDefault="00051BDB" w:rsidP="00051BDB">
      <w:r w:rsidRPr="00981F53">
        <w:t xml:space="preserve">We have looked to international regulators' application of benchmarking for guidance on benchmark comparison points. However, while many regulators apply benchmarking, </w:t>
      </w:r>
      <w:r>
        <w:t>the application differs across regulatory regimes</w:t>
      </w:r>
      <w:r w:rsidRPr="00981F53">
        <w:t xml:space="preserve">. Rather, when determining the appropriate point at which to make an adjustment to expenditure, they do so having regard to their regulatory framework and the task before them. Similarly, we have decided on the benchmark comparison point (the threshold at which we make an adjustment to base opex) having regard to our regulatory framework and the task before us. </w:t>
      </w:r>
    </w:p>
    <w:p w:rsidR="00051BDB" w:rsidRDefault="00051BDB" w:rsidP="00051BDB">
      <w:r w:rsidRPr="006C5941">
        <w:t xml:space="preserve">We have decided, on balance, </w:t>
      </w:r>
      <w:r>
        <w:t xml:space="preserve">for this decision </w:t>
      </w:r>
      <w:r w:rsidRPr="006C5941">
        <w:t xml:space="preserve">the appropriate </w:t>
      </w:r>
      <w:r>
        <w:t>benchmark comparison point</w:t>
      </w:r>
      <w:r w:rsidRPr="006C5941">
        <w:t xml:space="preserve"> is the </w:t>
      </w:r>
      <w:r w:rsidRPr="00120A86">
        <w:t>lowest of the efficiency scores in the top quartile of possible scores</w:t>
      </w:r>
      <w:r w:rsidRPr="009A3CD3">
        <w:t xml:space="preserve"> </w:t>
      </w:r>
      <w:r w:rsidRPr="006C5941">
        <w:t>rather than the average</w:t>
      </w:r>
      <w:r>
        <w:t xml:space="preserve"> approach we used in our draft decision. This is equivalent to the</w:t>
      </w:r>
      <w:r w:rsidRPr="00120A86">
        <w:t xml:space="preserve"> </w:t>
      </w:r>
      <w:r>
        <w:t xml:space="preserve">efficiency score for the business at the bottom of the </w:t>
      </w:r>
      <w:r w:rsidRPr="00310DE8">
        <w:t>upper third (top 33 per cent</w:t>
      </w:r>
      <w:r>
        <w:t>)</w:t>
      </w:r>
      <w:r w:rsidRPr="00310DE8">
        <w:t xml:space="preserve"> of companies</w:t>
      </w:r>
      <w:r>
        <w:t xml:space="preserve"> in the benchmark sample </w:t>
      </w:r>
      <w:r w:rsidRPr="006C5941">
        <w:t>(</w:t>
      </w:r>
      <w:r>
        <w:t xml:space="preserve">represented by </w:t>
      </w:r>
      <w:r w:rsidRPr="006C5941">
        <w:t>AusNet Services)</w:t>
      </w:r>
      <w:r>
        <w:t>. Our approach of using benchmarking as a basis for making adjustments to opex is consistent with Ofgem's approach.</w:t>
      </w:r>
      <w:r w:rsidRPr="007C6D16">
        <w:rPr>
          <w:rStyle w:val="FootnoteReference"/>
        </w:rPr>
        <w:footnoteReference w:id="898"/>
      </w:r>
      <w:r>
        <w:t xml:space="preserve"> </w:t>
      </w:r>
    </w:p>
    <w:p w:rsidR="00051BDB" w:rsidRPr="00981F53" w:rsidRDefault="00051BDB" w:rsidP="00051BDB">
      <w:r w:rsidRPr="00981F53">
        <w:t xml:space="preserve">This reduces the benchmark comparison point from 0.86 to 0.77. In making this change to our approach, we have carefully considered the submissions we have received, the requirements in the NEL and NER, </w:t>
      </w:r>
      <w:r>
        <w:t>the Guideline</w:t>
      </w:r>
      <w:r w:rsidRPr="00981F53">
        <w:t xml:space="preserve"> approach and the advice of Economic Insights. The purpose of assessing base opex under </w:t>
      </w:r>
      <w:r>
        <w:t>the Guideline</w:t>
      </w:r>
      <w:r w:rsidRPr="00981F53">
        <w:t xml:space="preserve"> approach is to identify </w:t>
      </w:r>
      <w:r w:rsidRPr="00981F53">
        <w:rPr>
          <w:rStyle w:val="AERbody"/>
        </w:rPr>
        <w:t>material</w:t>
      </w:r>
      <w:r w:rsidRPr="00981F53">
        <w:t xml:space="preserve"> inefficiency.  We must ensure, therefore, that our </w:t>
      </w:r>
      <w:r w:rsidRPr="00981F53">
        <w:lastRenderedPageBreak/>
        <w:t xml:space="preserve">comparison point appropriately reflects our satisfaction that a </w:t>
      </w:r>
      <w:r>
        <w:t>service provider</w:t>
      </w:r>
      <w:r w:rsidRPr="00981F53">
        <w:t xml:space="preserve">'s revealed opex is </w:t>
      </w:r>
      <w:r w:rsidRPr="00981F53">
        <w:rPr>
          <w:rStyle w:val="AERtextitalic"/>
        </w:rPr>
        <w:t>materially</w:t>
      </w:r>
      <w:r w:rsidRPr="00981F53">
        <w:t xml:space="preserve"> inefficient before we reduce it.</w:t>
      </w:r>
    </w:p>
    <w:p w:rsidR="00051BDB" w:rsidRDefault="00051BDB" w:rsidP="00051BDB">
      <w:r w:rsidRPr="00674300">
        <w:t xml:space="preserve">This change reduces our estimate of the necessary adjustments to base year opex significantly. However, given this is our first application of economic benchmarking, our view is </w:t>
      </w:r>
      <w:r>
        <w:t>this</w:t>
      </w:r>
      <w:r w:rsidRPr="00674300">
        <w:t xml:space="preserve"> application is appropriate for this determination. </w:t>
      </w:r>
      <w:r>
        <w:t xml:space="preserve">That is, we have allowed a wide margin between the frontier firm (0.95) and the benchmark comparison point (0.77). </w:t>
      </w:r>
      <w:r w:rsidRPr="00674300">
        <w:t xml:space="preserve">Service providers should be </w:t>
      </w:r>
      <w:r>
        <w:t>aware</w:t>
      </w:r>
      <w:r w:rsidRPr="00674300">
        <w:t>, however, that as we refine our approach</w:t>
      </w:r>
      <w:r>
        <w:t xml:space="preserve"> and receive more data</w:t>
      </w:r>
      <w:r w:rsidRPr="00674300">
        <w:t xml:space="preserve">, we </w:t>
      </w:r>
      <w:r>
        <w:t>may reduce the size of that margin when making adjustments to base opex to develop alternative opex forecasts.</w:t>
      </w:r>
    </w:p>
    <w:p w:rsidR="00051BDB" w:rsidRPr="00981F53" w:rsidRDefault="00051BDB" w:rsidP="00051BDB">
      <w:r w:rsidRPr="00981F53">
        <w:t>Applying this approach, we have decided to adjust Ausgrid's and Essential Energy's revealed expenditure by $11</w:t>
      </w:r>
      <w:r>
        <w:t>8</w:t>
      </w:r>
      <w:r w:rsidR="00B5524A">
        <w:t>.0</w:t>
      </w:r>
      <w:r w:rsidRPr="00981F53">
        <w:t xml:space="preserve"> million (</w:t>
      </w:r>
      <w:r w:rsidR="00B5524A">
        <w:t>24.0 per cent) and $109.8</w:t>
      </w:r>
      <w:r w:rsidRPr="00981F53">
        <w:t xml:space="preserve"> million (26.</w:t>
      </w:r>
      <w:r w:rsidR="00B5524A">
        <w:t>3</w:t>
      </w:r>
      <w:r w:rsidRPr="00981F53">
        <w:t xml:space="preserve"> per cent), respectively. </w:t>
      </w:r>
      <w:r w:rsidRPr="00981F53">
        <w:fldChar w:fldCharType="begin"/>
      </w:r>
      <w:r w:rsidRPr="00981F53">
        <w:instrText xml:space="preserve"> REF _Ref414370043 \h  \* MERGEFORMAT </w:instrText>
      </w:r>
      <w:r w:rsidRPr="00981F53">
        <w:fldChar w:fldCharType="separate"/>
      </w:r>
      <w:r w:rsidR="00C74791" w:rsidRPr="00981F53">
        <w:t xml:space="preserve">Table </w:t>
      </w:r>
      <w:r w:rsidR="00C74791">
        <w:t>A.15</w:t>
      </w:r>
      <w:r w:rsidRPr="00981F53">
        <w:fldChar w:fldCharType="end"/>
      </w:r>
      <w:r w:rsidRPr="00981F53">
        <w:t xml:space="preserve">  shows the resulting adjustments. The adjustments incorporate:</w:t>
      </w:r>
    </w:p>
    <w:p w:rsidR="00051BDB" w:rsidRPr="00981F53" w:rsidRDefault="00051BDB" w:rsidP="00051BDB">
      <w:pPr>
        <w:pStyle w:val="AERbulletlistfirststyle"/>
      </w:pPr>
      <w:r w:rsidRPr="00981F53">
        <w:t xml:space="preserve">a reduced benchmark comparison point of 0.77 in Economic Insights' SFA model </w:t>
      </w:r>
    </w:p>
    <w:p w:rsidR="00051BDB" w:rsidRPr="00981F53" w:rsidRDefault="00051BDB" w:rsidP="00051BDB">
      <w:pPr>
        <w:pStyle w:val="AERbulletlistfirststyle"/>
      </w:pPr>
      <w:r w:rsidRPr="00981F53">
        <w:t>an allowance for exogenous circumstances of 12 per cent for Ausgrid</w:t>
      </w:r>
      <w:r w:rsidR="00DF2BB8">
        <w:t>,</w:t>
      </w:r>
      <w:r w:rsidRPr="00981F53">
        <w:t xml:space="preserve"> </w:t>
      </w:r>
      <w:r w:rsidR="00DF2BB8">
        <w:t>13 per cent for</w:t>
      </w:r>
      <w:r w:rsidRPr="00981F53">
        <w:t xml:space="preserve"> Endeavour Energy and 1</w:t>
      </w:r>
      <w:r>
        <w:t>1</w:t>
      </w:r>
      <w:r w:rsidRPr="00981F53">
        <w:t xml:space="preserve"> per cent for Essential Energy based on our detailed assessment set out in section</w:t>
      </w:r>
      <w:r w:rsidR="00AD4771">
        <w:t xml:space="preserve"> </w:t>
      </w:r>
      <w:r w:rsidR="00AD4771">
        <w:fldChar w:fldCharType="begin"/>
      </w:r>
      <w:r w:rsidR="00AD4771">
        <w:instrText xml:space="preserve"> REF _Ref417551822 \r \h </w:instrText>
      </w:r>
      <w:r w:rsidR="00AD4771">
        <w:fldChar w:fldCharType="separate"/>
      </w:r>
      <w:r w:rsidR="00C74791">
        <w:t>A.6</w:t>
      </w:r>
      <w:r w:rsidR="00AD4771">
        <w:fldChar w:fldCharType="end"/>
      </w:r>
      <w:r w:rsidRPr="00981F53">
        <w:t>.</w:t>
      </w:r>
    </w:p>
    <w:p w:rsidR="00051BDB" w:rsidRPr="00981F53" w:rsidRDefault="00051BDB" w:rsidP="00051BDB">
      <w:r w:rsidRPr="00981F53">
        <w:t xml:space="preserve">These adjustments are consistent with the approach we have outlined in </w:t>
      </w:r>
      <w:r>
        <w:t>the Guideline</w:t>
      </w:r>
      <w:r w:rsidRPr="00981F53">
        <w:t xml:space="preserve"> and allow us to develop a forecast that best reflects the opex criteria in the NER to achieve the NEO.</w:t>
      </w:r>
      <w:r w:rsidRPr="00981F53">
        <w:rPr>
          <w:rStyle w:val="FootnoteReference"/>
        </w:rPr>
        <w:footnoteReference w:id="899"/>
      </w:r>
      <w:r w:rsidRPr="00981F53">
        <w:t xml:space="preserve"> </w:t>
      </w:r>
    </w:p>
    <w:p w:rsidR="00051BDB" w:rsidRDefault="00051BDB" w:rsidP="00051BDB">
      <w:r w:rsidRPr="00981F53">
        <w:t xml:space="preserve">As a result of this modification to our approach from the draft decision, our final decision adjustments are lower than those put forward in our draft decision. </w:t>
      </w:r>
      <w:r w:rsidRPr="00981F53">
        <w:fldChar w:fldCharType="begin"/>
      </w:r>
      <w:r w:rsidRPr="00981F53">
        <w:instrText xml:space="preserve"> REF _Ref414370043 \h  \* MERGEFORMAT </w:instrText>
      </w:r>
      <w:r w:rsidRPr="00981F53">
        <w:fldChar w:fldCharType="separate"/>
      </w:r>
      <w:r w:rsidR="00C74791" w:rsidRPr="00981F53">
        <w:t xml:space="preserve">Table </w:t>
      </w:r>
      <w:r w:rsidR="00C74791">
        <w:t>A.15</w:t>
      </w:r>
      <w:r w:rsidRPr="00981F53">
        <w:fldChar w:fldCharType="end"/>
      </w:r>
      <w:r w:rsidRPr="00981F53">
        <w:t xml:space="preserve"> shows that we are no longer adjusting Endeavour Energy's base opex for the purpose of constructing an alternative opex forecast. </w:t>
      </w:r>
    </w:p>
    <w:p w:rsidR="00CF2125" w:rsidRDefault="00CF2125">
      <w:pPr>
        <w:spacing w:line="240" w:lineRule="auto"/>
      </w:pPr>
      <w:r>
        <w:br w:type="page"/>
      </w:r>
    </w:p>
    <w:p w:rsidR="00051BDB" w:rsidRPr="00981F53" w:rsidRDefault="00051BDB" w:rsidP="00051BDB">
      <w:pPr>
        <w:pStyle w:val="Caption"/>
      </w:pPr>
      <w:bookmarkStart w:id="258" w:name="_Ref414370043"/>
      <w:r w:rsidRPr="00981F53">
        <w:lastRenderedPageBreak/>
        <w:t xml:space="preserve">Table </w:t>
      </w:r>
      <w:fldSimple w:instr=" STYLEREF 7 \s ">
        <w:r w:rsidR="00CF2125">
          <w:rPr>
            <w:noProof/>
          </w:rPr>
          <w:t>A</w:t>
        </w:r>
      </w:fldSimple>
      <w:r w:rsidR="00CF2125">
        <w:t>.</w:t>
      </w:r>
      <w:fldSimple w:instr=" SEQ ATable \* ARABIC \s 7 ">
        <w:r w:rsidR="00CF2125">
          <w:rPr>
            <w:noProof/>
          </w:rPr>
          <w:t>15</w:t>
        </w:r>
      </w:fldSimple>
      <w:bookmarkEnd w:id="258"/>
      <w:r w:rsidRPr="00981F53">
        <w:tab/>
        <w:t>Final decision base opex adjustments</w:t>
      </w:r>
    </w:p>
    <w:tbl>
      <w:tblPr>
        <w:tblStyle w:val="AERtable-numbers"/>
        <w:tblW w:w="5000" w:type="pct"/>
        <w:tblLook w:val="04A0" w:firstRow="1" w:lastRow="0" w:firstColumn="1" w:lastColumn="0" w:noHBand="0" w:noVBand="1"/>
      </w:tblPr>
      <w:tblGrid>
        <w:gridCol w:w="4362"/>
        <w:gridCol w:w="1700"/>
        <w:gridCol w:w="1417"/>
        <w:gridCol w:w="1214"/>
      </w:tblGrid>
      <w:tr w:rsidR="00051BDB" w:rsidTr="00051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981F53" w:rsidRDefault="00051BDB" w:rsidP="00051BDB">
            <w:pPr>
              <w:pStyle w:val="AERtabletextleft"/>
            </w:pPr>
          </w:p>
        </w:tc>
        <w:tc>
          <w:tcPr>
            <w:tcW w:w="978" w:type="pct"/>
            <w:vAlign w:val="top"/>
          </w:tcPr>
          <w:p w:rsidR="00051BDB" w:rsidRPr="00981F53"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981F53">
              <w:tab/>
              <w:t>Ausgrid</w:t>
            </w:r>
          </w:p>
        </w:tc>
        <w:tc>
          <w:tcPr>
            <w:tcW w:w="815" w:type="pct"/>
            <w:vAlign w:val="top"/>
          </w:tcPr>
          <w:p w:rsidR="00051BDB" w:rsidRPr="00981F53"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981F53">
              <w:t>Endeavour</w:t>
            </w:r>
          </w:p>
        </w:tc>
        <w:tc>
          <w:tcPr>
            <w:tcW w:w="698" w:type="pct"/>
            <w:vAlign w:val="top"/>
          </w:tcPr>
          <w:p w:rsidR="00051BDB" w:rsidRPr="00981F53" w:rsidRDefault="00051BDB" w:rsidP="00051BDB">
            <w:pPr>
              <w:pStyle w:val="AERtabletextleft"/>
              <w:cnfStyle w:val="100000000000" w:firstRow="1" w:lastRow="0" w:firstColumn="0" w:lastColumn="0" w:oddVBand="0" w:evenVBand="0" w:oddHBand="0" w:evenHBand="0" w:firstRowFirstColumn="0" w:firstRowLastColumn="0" w:lastRowFirstColumn="0" w:lastRowLastColumn="0"/>
            </w:pPr>
            <w:r w:rsidRPr="00981F53">
              <w:t>Essential</w:t>
            </w:r>
          </w:p>
        </w:tc>
      </w:tr>
      <w:tr w:rsidR="00051BDB" w:rsidTr="00051BDB">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981F53" w:rsidRDefault="00051BDB" w:rsidP="00051BDB">
            <w:pPr>
              <w:pStyle w:val="AERtabletextleft"/>
            </w:pPr>
            <w:r w:rsidRPr="00981F53">
              <w:t>Proposed base opex, nominal</w:t>
            </w:r>
          </w:p>
        </w:tc>
        <w:tc>
          <w:tcPr>
            <w:tcW w:w="978"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981F53">
              <w:t>503.6</w:t>
            </w:r>
          </w:p>
        </w:tc>
        <w:tc>
          <w:tcPr>
            <w:tcW w:w="815"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981F53">
              <w:t>271.6</w:t>
            </w:r>
          </w:p>
        </w:tc>
        <w:tc>
          <w:tcPr>
            <w:tcW w:w="698"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981F53">
              <w:t>461.0</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981F53" w:rsidRDefault="00051BDB" w:rsidP="00051BDB">
            <w:pPr>
              <w:pStyle w:val="AERtabletextleft"/>
            </w:pPr>
            <w:r w:rsidRPr="00981F53">
              <w:t>- debt raising costs, nominal</w:t>
            </w:r>
          </w:p>
        </w:tc>
        <w:tc>
          <w:tcPr>
            <w:tcW w:w="978" w:type="pct"/>
            <w:vAlign w:val="bottom"/>
          </w:tcPr>
          <w:p w:rsidR="00051BDB" w:rsidRPr="00981F53"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-0.4</w:t>
            </w:r>
          </w:p>
        </w:tc>
        <w:tc>
          <w:tcPr>
            <w:tcW w:w="815" w:type="pct"/>
            <w:vAlign w:val="bottom"/>
          </w:tcPr>
          <w:p w:rsidR="00051BDB" w:rsidRPr="00981F53"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w:t>
            </w:r>
          </w:p>
        </w:tc>
        <w:tc>
          <w:tcPr>
            <w:tcW w:w="698" w:type="pct"/>
            <w:vAlign w:val="bottom"/>
          </w:tcPr>
          <w:p w:rsidR="00051BDB" w:rsidRPr="00981F53"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-0.3</w:t>
            </w:r>
          </w:p>
        </w:tc>
      </w:tr>
      <w:tr w:rsidR="00051BDB" w:rsidTr="00051BDB">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981F53" w:rsidRDefault="00051BDB" w:rsidP="00051BDB">
            <w:pPr>
              <w:pStyle w:val="AERtabletextleft"/>
            </w:pPr>
            <w:r w:rsidRPr="00981F53">
              <w:t>- New CAM, nominal</w:t>
            </w:r>
          </w:p>
        </w:tc>
        <w:tc>
          <w:tcPr>
            <w:tcW w:w="978"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981F53">
              <w:t>3.7</w:t>
            </w:r>
          </w:p>
        </w:tc>
        <w:tc>
          <w:tcPr>
            <w:tcW w:w="815"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981F53">
              <w:t>-</w:t>
            </w:r>
          </w:p>
        </w:tc>
        <w:tc>
          <w:tcPr>
            <w:tcW w:w="698"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981F53">
              <w:t>-</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981F53" w:rsidRDefault="00051BDB" w:rsidP="00051BDB">
            <w:pPr>
              <w:pStyle w:val="AERtabletextleft"/>
            </w:pPr>
            <w:r w:rsidRPr="00981F53">
              <w:t>- New service classification, nominal</w:t>
            </w:r>
          </w:p>
        </w:tc>
        <w:tc>
          <w:tcPr>
            <w:tcW w:w="978" w:type="pct"/>
            <w:vAlign w:val="bottom"/>
          </w:tcPr>
          <w:p w:rsidR="00051BDB" w:rsidRPr="00981F53"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-34.8</w:t>
            </w:r>
          </w:p>
        </w:tc>
        <w:tc>
          <w:tcPr>
            <w:tcW w:w="815" w:type="pct"/>
            <w:vAlign w:val="bottom"/>
          </w:tcPr>
          <w:p w:rsidR="00051BDB" w:rsidRPr="00981F53"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-55.1</w:t>
            </w:r>
          </w:p>
        </w:tc>
        <w:tc>
          <w:tcPr>
            <w:tcW w:w="698" w:type="pct"/>
            <w:vAlign w:val="bottom"/>
          </w:tcPr>
          <w:p w:rsidR="00051BDB" w:rsidRPr="00981F53"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-59.8</w:t>
            </w:r>
          </w:p>
        </w:tc>
      </w:tr>
      <w:tr w:rsidR="00051BDB" w:rsidTr="00051BDB">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981F53" w:rsidRDefault="00051BDB" w:rsidP="00051BDB">
            <w:pPr>
              <w:pStyle w:val="AERtabletextleft"/>
            </w:pPr>
            <w:r w:rsidRPr="00981F53">
              <w:t xml:space="preserve">Adjusted total opex, nominal </w:t>
            </w:r>
          </w:p>
        </w:tc>
        <w:tc>
          <w:tcPr>
            <w:tcW w:w="978"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981F53">
              <w:t>472.2</w:t>
            </w:r>
          </w:p>
        </w:tc>
        <w:tc>
          <w:tcPr>
            <w:tcW w:w="815"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981F53">
              <w:t>216.5</w:t>
            </w:r>
          </w:p>
        </w:tc>
        <w:tc>
          <w:tcPr>
            <w:tcW w:w="698"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pPr>
            <w:r w:rsidRPr="00981F53">
              <w:t>401.0</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981F53" w:rsidRDefault="00051BDB" w:rsidP="00051BDB">
            <w:pPr>
              <w:pStyle w:val="AERtabletextleft"/>
            </w:pPr>
            <w:r w:rsidRPr="00981F53">
              <w:t>Base opex, real 2013–14 (end of year)</w:t>
            </w:r>
          </w:p>
        </w:tc>
        <w:tc>
          <w:tcPr>
            <w:tcW w:w="978" w:type="pct"/>
            <w:vAlign w:val="bottom"/>
          </w:tcPr>
          <w:p w:rsidR="00051BDB" w:rsidRPr="00981F53"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492.2</w:t>
            </w:r>
          </w:p>
        </w:tc>
        <w:tc>
          <w:tcPr>
            <w:tcW w:w="815" w:type="pct"/>
            <w:vAlign w:val="bottom"/>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22</w:t>
            </w:r>
            <w:r w:rsidRPr="00051BDB">
              <w:t>5.7</w:t>
            </w:r>
          </w:p>
        </w:tc>
        <w:tc>
          <w:tcPr>
            <w:tcW w:w="698" w:type="pct"/>
            <w:vAlign w:val="bottom"/>
          </w:tcPr>
          <w:p w:rsidR="00051BDB" w:rsidRPr="00981F53"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418.0</w:t>
            </w:r>
          </w:p>
        </w:tc>
      </w:tr>
      <w:tr w:rsidR="00051BDB" w:rsidTr="00051BDB">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981F53" w:rsidRDefault="00051BDB" w:rsidP="00051BDB">
            <w:pPr>
              <w:pStyle w:val="AERtabletextleft"/>
              <w:rPr>
                <w:rStyle w:val="Strong"/>
              </w:rPr>
            </w:pPr>
            <w:r w:rsidRPr="00981F53">
              <w:rPr>
                <w:rStyle w:val="Strong"/>
              </w:rPr>
              <w:t>Substitute base, real 2013–14 (end of year)</w:t>
            </w:r>
          </w:p>
        </w:tc>
        <w:tc>
          <w:tcPr>
            <w:tcW w:w="978" w:type="pct"/>
            <w:vAlign w:val="bottom"/>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rPr>
                <w:rStyle w:val="Strong"/>
              </w:rPr>
            </w:pPr>
            <w:r>
              <w:rPr>
                <w:rStyle w:val="Strong"/>
              </w:rPr>
              <w:t>374.2</w:t>
            </w:r>
          </w:p>
        </w:tc>
        <w:tc>
          <w:tcPr>
            <w:tcW w:w="815" w:type="pct"/>
            <w:vAlign w:val="bottom"/>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981F53">
              <w:rPr>
                <w:rStyle w:val="Strong"/>
              </w:rPr>
              <w:t>23</w:t>
            </w:r>
            <w:r w:rsidRPr="00051BDB">
              <w:rPr>
                <w:rStyle w:val="Strong"/>
              </w:rPr>
              <w:t>3.3</w:t>
            </w:r>
          </w:p>
        </w:tc>
        <w:tc>
          <w:tcPr>
            <w:tcW w:w="698" w:type="pct"/>
            <w:vAlign w:val="bottom"/>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981F53">
              <w:rPr>
                <w:rStyle w:val="Strong"/>
              </w:rPr>
              <w:t>30</w:t>
            </w:r>
            <w:r w:rsidRPr="00051BDB">
              <w:rPr>
                <w:rStyle w:val="Strong"/>
              </w:rPr>
              <w:t>8.2</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981F53" w:rsidRDefault="00051BDB" w:rsidP="00051BDB">
            <w:pPr>
              <w:pStyle w:val="AERtabletextleft"/>
            </w:pPr>
            <w:r w:rsidRPr="00981F53">
              <w:t>Difference in base opex</w:t>
            </w:r>
          </w:p>
        </w:tc>
        <w:tc>
          <w:tcPr>
            <w:tcW w:w="978" w:type="pct"/>
            <w:vAlign w:val="bottom"/>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t>11</w:t>
            </w:r>
            <w:r w:rsidRPr="00051BDB">
              <w:t>8.0</w:t>
            </w:r>
          </w:p>
        </w:tc>
        <w:tc>
          <w:tcPr>
            <w:tcW w:w="815" w:type="pct"/>
            <w:vAlign w:val="bottom"/>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w:t>
            </w:r>
            <w:r w:rsidRPr="00051BDB">
              <w:t>7.6</w:t>
            </w:r>
          </w:p>
        </w:tc>
        <w:tc>
          <w:tcPr>
            <w:tcW w:w="698" w:type="pct"/>
            <w:vAlign w:val="bottom"/>
          </w:tcPr>
          <w:p w:rsidR="00051BDB" w:rsidRPr="00051BDB" w:rsidRDefault="00051BDB" w:rsidP="00051BDB">
            <w:pPr>
              <w:pStyle w:val="AERtabletextleft"/>
              <w:cnfStyle w:val="000000010000" w:firstRow="0" w:lastRow="0" w:firstColumn="0" w:lastColumn="0" w:oddVBand="0" w:evenVBand="0" w:oddHBand="0" w:evenHBand="1" w:firstRowFirstColumn="0" w:firstRowLastColumn="0" w:lastRowFirstColumn="0" w:lastRowLastColumn="0"/>
            </w:pPr>
            <w:r w:rsidRPr="00981F53">
              <w:t>1</w:t>
            </w:r>
            <w:r w:rsidRPr="00051BDB">
              <w:t>09.8</w:t>
            </w:r>
          </w:p>
        </w:tc>
      </w:tr>
      <w:tr w:rsidR="00051BDB" w:rsidTr="00051BDB">
        <w:tc>
          <w:tcPr>
            <w:cnfStyle w:val="001000000000" w:firstRow="0" w:lastRow="0" w:firstColumn="1" w:lastColumn="0" w:oddVBand="0" w:evenVBand="0" w:oddHBand="0" w:evenHBand="0" w:firstRowFirstColumn="0" w:firstRowLastColumn="0" w:lastRowFirstColumn="0" w:lastRowLastColumn="0"/>
            <w:tcW w:w="2508" w:type="pct"/>
            <w:vAlign w:val="top"/>
          </w:tcPr>
          <w:p w:rsidR="00051BDB" w:rsidRPr="00051BDB" w:rsidRDefault="00051BDB" w:rsidP="00051BDB">
            <w:pPr>
              <w:pStyle w:val="AERtabletextleft"/>
              <w:rPr>
                <w:rStyle w:val="Strong"/>
              </w:rPr>
            </w:pPr>
            <w:r w:rsidRPr="00981F53">
              <w:rPr>
                <w:rStyle w:val="Strong"/>
              </w:rPr>
              <w:t>Percentage</w:t>
            </w:r>
            <w:r w:rsidRPr="00051BDB">
              <w:rPr>
                <w:rStyle w:val="Strong"/>
              </w:rPr>
              <w:t xml:space="preserve"> base opex reduction</w:t>
            </w:r>
          </w:p>
        </w:tc>
        <w:tc>
          <w:tcPr>
            <w:tcW w:w="978" w:type="pct"/>
            <w:vAlign w:val="bottom"/>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rPr>
                <w:rStyle w:val="Strong"/>
              </w:rPr>
            </w:pPr>
            <w:r>
              <w:rPr>
                <w:rStyle w:val="Strong"/>
              </w:rPr>
              <w:t>2</w:t>
            </w:r>
            <w:r w:rsidRPr="00051BDB">
              <w:rPr>
                <w:rStyle w:val="Strong"/>
              </w:rPr>
              <w:t>4.0%</w:t>
            </w:r>
          </w:p>
        </w:tc>
        <w:tc>
          <w:tcPr>
            <w:tcW w:w="815" w:type="pct"/>
            <w:vAlign w:val="bottom"/>
          </w:tcPr>
          <w:p w:rsidR="00051BDB" w:rsidRPr="00981F53" w:rsidRDefault="00051BDB" w:rsidP="00051BDB">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981F53">
              <w:rPr>
                <w:rStyle w:val="Strong"/>
              </w:rPr>
              <w:t>N/A</w:t>
            </w:r>
          </w:p>
        </w:tc>
        <w:tc>
          <w:tcPr>
            <w:tcW w:w="698" w:type="pct"/>
            <w:vAlign w:val="bottom"/>
          </w:tcPr>
          <w:p w:rsidR="00051BDB" w:rsidRPr="00051BDB" w:rsidRDefault="00051BDB" w:rsidP="00051BDB">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981F53">
              <w:rPr>
                <w:rStyle w:val="Strong"/>
              </w:rPr>
              <w:t>26.</w:t>
            </w:r>
            <w:r w:rsidRPr="00051BDB">
              <w:rPr>
                <w:rStyle w:val="Strong"/>
              </w:rPr>
              <w:t>3%</w:t>
            </w:r>
          </w:p>
        </w:tc>
      </w:tr>
    </w:tbl>
    <w:p w:rsidR="00051BDB" w:rsidRDefault="00051BDB" w:rsidP="00051BDB">
      <w:pPr>
        <w:pStyle w:val="AERtablesource"/>
      </w:pPr>
      <w:r w:rsidRPr="00981F53">
        <w:t>Source: AER analysis.</w:t>
      </w:r>
    </w:p>
    <w:p w:rsidR="00051BDB" w:rsidRPr="00981F53" w:rsidRDefault="00051BDB" w:rsidP="00051BDB">
      <w:pPr>
        <w:pStyle w:val="Heading9"/>
      </w:pPr>
      <w:bookmarkStart w:id="259" w:name="_Toc414628218"/>
      <w:bookmarkStart w:id="260" w:name="_Toc417719059"/>
      <w:r w:rsidRPr="00981F53">
        <w:t xml:space="preserve">Draft </w:t>
      </w:r>
      <w:bookmarkEnd w:id="259"/>
      <w:r w:rsidRPr="00981F53">
        <w:t>position</w:t>
      </w:r>
      <w:bookmarkEnd w:id="260"/>
    </w:p>
    <w:p w:rsidR="00051BDB" w:rsidRPr="00981F53" w:rsidRDefault="00051BDB" w:rsidP="00051BDB">
      <w:r w:rsidRPr="00981F53">
        <w:t xml:space="preserve">In our draft decision, we assessed the base opex of each service provider. We noted that </w:t>
      </w:r>
      <w:r>
        <w:t>each</w:t>
      </w:r>
      <w:r w:rsidRPr="00981F53">
        <w:t xml:space="preserve"> service provider used its actual incurred opex incurred in 2012–13 as the base for forecasting its opex for the 2014–19 period. </w:t>
      </w:r>
      <w:r>
        <w:t>Each</w:t>
      </w:r>
      <w:r w:rsidRPr="00981F53">
        <w:t xml:space="preserve"> service provider's forecast opex was, therefore, heavily reliant on this actual opex figure in its proposal. </w:t>
      </w:r>
    </w:p>
    <w:p w:rsidR="00051BDB" w:rsidRPr="00981F53" w:rsidRDefault="00051BDB" w:rsidP="00051BDB">
      <w:r w:rsidRPr="00981F53">
        <w:t xml:space="preserve">Applying the approach outlined in </w:t>
      </w:r>
      <w:r>
        <w:t>the Guideline</w:t>
      </w:r>
      <w:r w:rsidRPr="00981F53">
        <w:t xml:space="preserve">, we analysed the </w:t>
      </w:r>
      <w:r>
        <w:t xml:space="preserve">NSW </w:t>
      </w:r>
      <w:r w:rsidRPr="00981F53">
        <w:t xml:space="preserve">service providers' actual opex. We used techniques including a variety of benchmarking models, partial productivity indictors, category analysis and detailed review.  These techniques consistently revealed </w:t>
      </w:r>
      <w:r>
        <w:t xml:space="preserve">that </w:t>
      </w:r>
      <w:r w:rsidRPr="00981F53">
        <w:t>the service providers</w:t>
      </w:r>
      <w:r>
        <w:t>'</w:t>
      </w:r>
      <w:r w:rsidRPr="00981F53">
        <w:t xml:space="preserve"> actual opex used to devise the forecast opex in their proposal</w:t>
      </w:r>
      <w:r>
        <w:t>s</w:t>
      </w:r>
      <w:r w:rsidRPr="00981F53">
        <w:t xml:space="preserve"> was not comparable with the benchmark opex of an efficient </w:t>
      </w:r>
      <w:r>
        <w:t xml:space="preserve">service </w:t>
      </w:r>
      <w:r w:rsidRPr="00981F53">
        <w:t>provider.  Accordingly, relying on this as a starting point without adjustment would not generate an opex forecast that reasonably reflects the opex criteria.</w:t>
      </w:r>
    </w:p>
    <w:p w:rsidR="00051BDB" w:rsidRPr="00981F53" w:rsidRDefault="00051BDB" w:rsidP="00051BDB">
      <w:r w:rsidRPr="00981F53">
        <w:t xml:space="preserve">To quantify an appropriate adjustment to base opex in the context of this evidence, we used the same techniques that we used to assess the </w:t>
      </w:r>
      <w:r>
        <w:t xml:space="preserve">NSW </w:t>
      </w:r>
      <w:r w:rsidRPr="00981F53">
        <w:t>service providers</w:t>
      </w:r>
      <w:r>
        <w:t>'</w:t>
      </w:r>
      <w:r w:rsidRPr="00981F53">
        <w:t xml:space="preserve"> actual opex. </w:t>
      </w:r>
    </w:p>
    <w:p w:rsidR="00051BDB" w:rsidRPr="00981F53" w:rsidRDefault="00051BDB" w:rsidP="00051BDB">
      <w:pPr>
        <w:pStyle w:val="Heading9"/>
      </w:pPr>
      <w:bookmarkStart w:id="261" w:name="_Toc414628219"/>
      <w:bookmarkStart w:id="262" w:name="_Toc417719060"/>
      <w:r w:rsidRPr="00981F53">
        <w:t>Revised proposal and submissions</w:t>
      </w:r>
      <w:bookmarkEnd w:id="261"/>
      <w:bookmarkEnd w:id="262"/>
    </w:p>
    <w:p w:rsidR="00051BDB" w:rsidRDefault="00051BDB" w:rsidP="00051BDB">
      <w:r>
        <w:t>In their revised proposals, ActewAGL and the NSW service providers submitted common issues regarding how we make adjustments to base year opex. We have carefully considered these submissions as part of our decision on the appropriate benchmark comparison point and the adjustment process.</w:t>
      </w:r>
    </w:p>
    <w:p w:rsidR="00051BDB" w:rsidRPr="00981F53" w:rsidRDefault="00051BDB" w:rsidP="00051BDB">
      <w:pPr>
        <w:pStyle w:val="HeadingBoldBlue"/>
      </w:pPr>
      <w:r w:rsidRPr="00981F53">
        <w:lastRenderedPageBreak/>
        <w:t>The appropriate benchmark comparison point</w:t>
      </w:r>
    </w:p>
    <w:p w:rsidR="00051BDB" w:rsidRPr="00981F53" w:rsidRDefault="00051BDB" w:rsidP="00051BDB">
      <w:r w:rsidRPr="00981F53">
        <w:t>In their revised proposals, the</w:t>
      </w:r>
      <w:r>
        <w:t xml:space="preserve"> ACT and NSW</w:t>
      </w:r>
      <w:r w:rsidRPr="00981F53">
        <w:t xml:space="preserve"> service providers submitted that our approach to adjustments is different to that of other regulators.</w:t>
      </w:r>
      <w:r w:rsidRPr="00981F53">
        <w:rPr>
          <w:rStyle w:val="FootnoteReference"/>
        </w:rPr>
        <w:footnoteReference w:id="900"/>
      </w:r>
      <w:r w:rsidRPr="00981F53">
        <w:t xml:space="preserve"> ActewAGL contends, for example, that we have erred by placing reliance on a single benchmarking model as different benchmarking approaches imply differing base year opex adjustments.</w:t>
      </w:r>
      <w:r w:rsidRPr="00981F53">
        <w:rPr>
          <w:rStyle w:val="FootnoteReference"/>
        </w:rPr>
        <w:footnoteReference w:id="901"/>
      </w:r>
      <w:r w:rsidRPr="00981F53">
        <w:t xml:space="preserve"> ActewAGL and its consultants also submit that:</w:t>
      </w:r>
      <w:r w:rsidRPr="00981F53">
        <w:rPr>
          <w:rStyle w:val="FootnoteReference"/>
        </w:rPr>
        <w:footnoteReference w:id="902"/>
      </w:r>
    </w:p>
    <w:p w:rsidR="00051BDB" w:rsidRPr="00981F53" w:rsidRDefault="00051BDB" w:rsidP="00051BDB">
      <w:pPr>
        <w:pStyle w:val="AERbulletlistfirststyle"/>
      </w:pPr>
      <w:r w:rsidRPr="00981F53">
        <w:t>our efficiency gap is large and inconsistent with international precedent</w:t>
      </w:r>
    </w:p>
    <w:p w:rsidR="00051BDB" w:rsidRPr="00981F53" w:rsidRDefault="00051BDB" w:rsidP="00051BDB">
      <w:pPr>
        <w:pStyle w:val="AERbulletlistfirststyle"/>
      </w:pPr>
      <w:r w:rsidRPr="00981F53">
        <w:t>our application of benchmarking results is inconsistent with international practice and literature</w:t>
      </w:r>
    </w:p>
    <w:p w:rsidR="00051BDB" w:rsidRPr="00981F53" w:rsidRDefault="00051BDB" w:rsidP="00051BDB">
      <w:pPr>
        <w:pStyle w:val="AERbulletlistfirststyle"/>
      </w:pPr>
      <w:r w:rsidRPr="00981F53">
        <w:t>our target is not appropriately cautious when compared to Economic Insights' previous views as expressed in publications.</w:t>
      </w:r>
    </w:p>
    <w:p w:rsidR="00051BDB" w:rsidRPr="00981F53" w:rsidRDefault="00051BDB" w:rsidP="00051BDB">
      <w:r w:rsidRPr="00981F53">
        <w:rPr>
          <w:rStyle w:val="AERbody"/>
        </w:rPr>
        <w:t xml:space="preserve">The </w:t>
      </w:r>
      <w:r>
        <w:rPr>
          <w:rStyle w:val="AERbody"/>
        </w:rPr>
        <w:t>service provider</w:t>
      </w:r>
      <w:r w:rsidRPr="00981F53">
        <w:rPr>
          <w:rStyle w:val="AERbody"/>
        </w:rPr>
        <w:t>s have also submitted that, by using average efficiency scores as the basis for our adjustment, we have used a 'false frontier'</w:t>
      </w:r>
      <w:r w:rsidRPr="00981F53">
        <w:rPr>
          <w:rStyle w:val="FootnoteReference"/>
        </w:rPr>
        <w:footnoteReference w:id="903"/>
      </w:r>
      <w:r w:rsidRPr="00981F53">
        <w:rPr>
          <w:rStyle w:val="AERbody"/>
        </w:rPr>
        <w:t xml:space="preserve"> and, additionally, that our roll forward approach has been applied incorrectly.</w:t>
      </w:r>
      <w:r w:rsidRPr="00981F53">
        <w:rPr>
          <w:rStyle w:val="FootnoteReference"/>
        </w:rPr>
        <w:footnoteReference w:id="904"/>
      </w:r>
      <w:r w:rsidRPr="00981F53">
        <w:t xml:space="preserve"> </w:t>
      </w:r>
    </w:p>
    <w:p w:rsidR="00051BDB" w:rsidRPr="00981F53" w:rsidRDefault="00051BDB" w:rsidP="00051BDB">
      <w:pPr>
        <w:rPr>
          <w:rStyle w:val="AERbody"/>
        </w:rPr>
      </w:pPr>
      <w:r w:rsidRPr="00981F53">
        <w:t xml:space="preserve">In light of submissions, we have reconsidered our approach to making an adjustment and we have modified it appropriately for this final decision. </w:t>
      </w:r>
      <w:r w:rsidRPr="00981F53">
        <w:rPr>
          <w:rStyle w:val="AERbody"/>
        </w:rPr>
        <w:t xml:space="preserve">This involves consideration of the appropriate technique, the benchmark comparison point and the appropriate application of our technique. </w:t>
      </w:r>
    </w:p>
    <w:p w:rsidR="00051BDB" w:rsidRPr="00051BDB" w:rsidRDefault="00051BDB" w:rsidP="00051BDB">
      <w:pPr>
        <w:pStyle w:val="HeadingBoldItalic"/>
        <w:rPr>
          <w:rStyle w:val="AERbody"/>
        </w:rPr>
      </w:pPr>
      <w:r w:rsidRPr="00051BDB">
        <w:rPr>
          <w:rStyle w:val="AERbody"/>
        </w:rPr>
        <w:t>The best technique for the adjustment</w:t>
      </w:r>
    </w:p>
    <w:p w:rsidR="00051BDB" w:rsidRPr="00981F53" w:rsidRDefault="00051BDB" w:rsidP="00051BDB">
      <w:pPr>
        <w:rPr>
          <w:rStyle w:val="AERbody"/>
        </w:rPr>
      </w:pPr>
      <w:r w:rsidRPr="00981F53">
        <w:rPr>
          <w:rStyle w:val="AERbody"/>
        </w:rPr>
        <w:t xml:space="preserve">Consistent with our draft decision approach, we continue to adopt Economic Insights' recommendation to rely on the Cobb Douglas SFA model as the preferred technique upon which we base an adjustment to revealed opex. Our rationale for this is SFA is the most statistically superior method because it </w:t>
      </w:r>
      <w:r w:rsidRPr="00981F53">
        <w:t>directly estimates efficiency, separate from the error term.</w:t>
      </w:r>
      <w:r w:rsidRPr="00981F53">
        <w:rPr>
          <w:rStyle w:val="FootnoteReference"/>
        </w:rPr>
        <w:footnoteReference w:id="905"/>
      </w:r>
      <w:r w:rsidRPr="00981F53">
        <w:t xml:space="preserve"> We provide more detail on Economic Insights' preference to use SFA in section</w:t>
      </w:r>
      <w:r w:rsidR="00A91FF1">
        <w:t xml:space="preserve"> </w:t>
      </w:r>
      <w:r w:rsidR="00A91FF1">
        <w:fldChar w:fldCharType="begin"/>
      </w:r>
      <w:r w:rsidR="00A91FF1">
        <w:instrText xml:space="preserve"> REF _Ref417551812 \r \h </w:instrText>
      </w:r>
      <w:r w:rsidR="00A91FF1">
        <w:fldChar w:fldCharType="separate"/>
      </w:r>
      <w:r w:rsidR="00C74791">
        <w:t>A.4</w:t>
      </w:r>
      <w:r w:rsidR="00A91FF1">
        <w:fldChar w:fldCharType="end"/>
      </w:r>
      <w:r>
        <w:t xml:space="preserve">. </w:t>
      </w:r>
    </w:p>
    <w:p w:rsidR="00051BDB" w:rsidRPr="00237DF2" w:rsidRDefault="00051BDB" w:rsidP="00051BDB">
      <w:pPr>
        <w:pStyle w:val="HeadingBoldItalic"/>
      </w:pPr>
      <w:r w:rsidRPr="00237DF2">
        <w:t>The benchmark comparison point</w:t>
      </w:r>
    </w:p>
    <w:p w:rsidR="00051BDB" w:rsidRPr="00981F53" w:rsidRDefault="00051BDB" w:rsidP="00051BDB">
      <w:r w:rsidRPr="00981F53">
        <w:t>In this final decision, we have reconsidered the appropriate benchmark comparison point following submissions on our approach. In doing so, two questions are relevant:</w:t>
      </w:r>
    </w:p>
    <w:p w:rsidR="00051BDB" w:rsidRPr="00981F53" w:rsidRDefault="00051BDB" w:rsidP="00051BDB">
      <w:pPr>
        <w:pStyle w:val="AERbulletlistfirststyle"/>
      </w:pPr>
      <w:r w:rsidRPr="00981F53">
        <w:t>should the benchmark comparison point be the best performing business?</w:t>
      </w:r>
    </w:p>
    <w:p w:rsidR="00051BDB" w:rsidRPr="00981F53" w:rsidRDefault="00051BDB" w:rsidP="00051BDB">
      <w:pPr>
        <w:pStyle w:val="AERbulletlistfirststyle"/>
      </w:pPr>
      <w:r w:rsidRPr="00981F53">
        <w:lastRenderedPageBreak/>
        <w:t>if not, what is the appropriate point at which we are satisfied there is evidence of material inefficiency in the base opex?</w:t>
      </w:r>
    </w:p>
    <w:p w:rsidR="00051BDB" w:rsidRPr="00981F53" w:rsidRDefault="00051BDB" w:rsidP="00051BDB">
      <w:pPr>
        <w:pStyle w:val="HeadingItalic"/>
      </w:pPr>
      <w:r w:rsidRPr="00981F53">
        <w:t>Should we use the best performing business as our comparison point?</w:t>
      </w:r>
    </w:p>
    <w:p w:rsidR="00051BDB" w:rsidRPr="00981F53" w:rsidRDefault="00051BDB" w:rsidP="00051BDB">
      <w:r w:rsidRPr="00981F53">
        <w:t xml:space="preserve">We explain in </w:t>
      </w:r>
      <w:r>
        <w:t>the Guideline</w:t>
      </w:r>
      <w:r w:rsidRPr="00981F53">
        <w:t xml:space="preserve"> that our preference is to rely on revealed expenditure as an appropriate basis for forecasting efficient, prudent and realistic opex when service providers are appropriately responding to the incentive framework. Therefore, we created a threshold in </w:t>
      </w:r>
      <w:r>
        <w:t>the Guideline</w:t>
      </w:r>
      <w:r w:rsidRPr="00981F53">
        <w:t xml:space="preserve">—we would adjust revealed opex when our analysis demonstrates </w:t>
      </w:r>
      <w:r>
        <w:t>it</w:t>
      </w:r>
      <w:r w:rsidRPr="00981F53">
        <w:t xml:space="preserve"> is </w:t>
      </w:r>
      <w:r w:rsidRPr="00981F53">
        <w:rPr>
          <w:rStyle w:val="AERtextitalic"/>
        </w:rPr>
        <w:t>materially</w:t>
      </w:r>
      <w:r w:rsidRPr="00981F53">
        <w:t xml:space="preserve"> inefficient.</w:t>
      </w:r>
      <w:r w:rsidRPr="00981F53">
        <w:rPr>
          <w:rStyle w:val="FootnoteReference"/>
        </w:rPr>
        <w:footnoteReference w:id="906"/>
      </w:r>
      <w:r w:rsidRPr="00981F53">
        <w:t xml:space="preserve"> </w:t>
      </w:r>
    </w:p>
    <w:p w:rsidR="00051BDB" w:rsidRPr="00981F53" w:rsidRDefault="00051BDB" w:rsidP="00051BDB">
      <w:r w:rsidRPr="00981F53">
        <w:t xml:space="preserve">The first opex criterion (efficient costs) suggests that the most appropriate benchmark comparison point may be the top performing business because economic theory would not consider a lower point to be efficient. The theoretical comparison point is </w:t>
      </w:r>
      <w:r>
        <w:t xml:space="preserve">therefore </w:t>
      </w:r>
      <w:r w:rsidRPr="00981F53">
        <w:t>0.95. However, the NER also contain the qualifier 'reasonably reflects'.</w:t>
      </w:r>
      <w:r w:rsidRPr="00981F53">
        <w:rPr>
          <w:rStyle w:val="FootnoteReference"/>
        </w:rPr>
        <w:footnoteReference w:id="907"/>
      </w:r>
      <w:r w:rsidRPr="00981F53">
        <w:t xml:space="preserve"> This provides us with discretion to determine how far from the frontier a service provider must be before we are satisfied, in accordance with </w:t>
      </w:r>
      <w:r>
        <w:t>the Guideline</w:t>
      </w:r>
      <w:r w:rsidRPr="00981F53">
        <w:t xml:space="preserve"> approach, that it is 'materially inefficient'. </w:t>
      </w:r>
    </w:p>
    <w:p w:rsidR="00051BDB" w:rsidRPr="00981F53" w:rsidRDefault="00051BDB" w:rsidP="00051BDB">
      <w:pPr>
        <w:pStyle w:val="ListParagraph"/>
        <w:numPr>
          <w:ilvl w:val="0"/>
          <w:numId w:val="24"/>
        </w:numPr>
      </w:pPr>
      <w:r w:rsidRPr="00981F53">
        <w:t>In determining what is 'materially inefficient', we recognise that there should be an appropriate margin for forecasting error, data error and modelling issues.  Our view is, therefore, that using this discretion it is appropriate to choose a lower comparison point than the frontier firm.</w:t>
      </w:r>
    </w:p>
    <w:p w:rsidR="00051BDB" w:rsidRPr="00981F53" w:rsidRDefault="00051BDB" w:rsidP="00051BDB">
      <w:r w:rsidRPr="00981F53">
        <w:t>In our draft decision, we adopted this approach. On Economic Insights' recommendation, we used the weighted average efficiency scores of all service providers with efficiency scores greater than 0.75 as the benchmark comparison point.</w:t>
      </w:r>
      <w:r w:rsidRPr="00981F53">
        <w:rPr>
          <w:rStyle w:val="FootnoteReference"/>
        </w:rPr>
        <w:footnoteReference w:id="908"/>
      </w:r>
      <w:r w:rsidRPr="00981F53">
        <w:t xml:space="preserve"> This enabled us to incorporate a margin for potential data and modelling issues, and resulted in a comparison point of 0.86. However, submissions by the </w:t>
      </w:r>
      <w:r>
        <w:t>service provider</w:t>
      </w:r>
      <w:r w:rsidRPr="00981F53">
        <w:t>s and their consultants consider our draft decision approach was inconsistent with approaches taken by other regulators such as Ofgem, Norway, the NZCC (New Zealand Commerce Commission) and the OEB (Ontario Energy Board).</w:t>
      </w:r>
      <w:r w:rsidRPr="00981F53">
        <w:rPr>
          <w:rStyle w:val="FootnoteReference"/>
        </w:rPr>
        <w:footnoteReference w:id="909"/>
      </w:r>
      <w:r w:rsidRPr="00981F53">
        <w:t xml:space="preserve"> </w:t>
      </w:r>
    </w:p>
    <w:p w:rsidR="00CF2125" w:rsidRDefault="00CF2125">
      <w:pPr>
        <w:spacing w:line="240" w:lineRule="auto"/>
        <w:rPr>
          <w:rFonts w:eastAsiaTheme="majorEastAsia" w:cstheme="majorBidi"/>
          <w:bCs/>
          <w:i/>
          <w:iCs/>
          <w:color w:val="51626F"/>
          <w:sz w:val="24"/>
        </w:rPr>
      </w:pPr>
      <w:r>
        <w:br w:type="page"/>
      </w:r>
    </w:p>
    <w:p w:rsidR="00051BDB" w:rsidRPr="00981F53" w:rsidRDefault="00051BDB" w:rsidP="00051BDB">
      <w:pPr>
        <w:pStyle w:val="HeadingItalic"/>
      </w:pPr>
      <w:r w:rsidRPr="00981F53">
        <w:lastRenderedPageBreak/>
        <w:t>What is the appropriate benchmark comparison point?</w:t>
      </w:r>
    </w:p>
    <w:p w:rsidR="00051BDB" w:rsidRPr="00981F53" w:rsidRDefault="00051BDB" w:rsidP="00051BDB">
      <w:r w:rsidRPr="00981F53">
        <w:t xml:space="preserve">Having considered the </w:t>
      </w:r>
      <w:r>
        <w:t>service provider</w:t>
      </w:r>
      <w:r w:rsidRPr="00981F53">
        <w:t>s' submissions, we turned our mind to how international regulators have applied benchmarking. However, we have found that no uniform approach exists. International regulators use benchmarking to, for example:</w:t>
      </w:r>
      <w:r w:rsidRPr="00981F53">
        <w:rPr>
          <w:rStyle w:val="FootnoteReference"/>
        </w:rPr>
        <w:footnoteReference w:id="910"/>
      </w:r>
    </w:p>
    <w:p w:rsidR="00051BDB" w:rsidRPr="00981F53" w:rsidRDefault="00051BDB" w:rsidP="00051BDB">
      <w:pPr>
        <w:pStyle w:val="AERbulletlistfirststyle"/>
      </w:pPr>
      <w:r w:rsidRPr="00981F53">
        <w:t>assess efficient opex (UK, Ireland)</w:t>
      </w:r>
    </w:p>
    <w:p w:rsidR="00051BDB" w:rsidRPr="00981F53" w:rsidRDefault="00051BDB" w:rsidP="00051BDB">
      <w:pPr>
        <w:pStyle w:val="AERbulletlistfirststyle"/>
      </w:pPr>
      <w:r w:rsidRPr="00981F53">
        <w:t>determine industry-wide productivity growth (NZ, Germany)</w:t>
      </w:r>
    </w:p>
    <w:p w:rsidR="00051BDB" w:rsidRPr="00981F53" w:rsidRDefault="00051BDB" w:rsidP="00051BDB">
      <w:pPr>
        <w:pStyle w:val="AERbulletlistfirststyle"/>
      </w:pPr>
      <w:r w:rsidRPr="00981F53">
        <w:t xml:space="preserve">group </w:t>
      </w:r>
      <w:r>
        <w:t>service provider</w:t>
      </w:r>
      <w:r w:rsidRPr="00981F53">
        <w:t xml:space="preserve">s and assign group-specific stretch factor as part of the X factor  (Ontario, NZ, Japan) </w:t>
      </w:r>
    </w:p>
    <w:p w:rsidR="00051BDB" w:rsidRPr="00981F53" w:rsidRDefault="00051BDB" w:rsidP="00051BDB">
      <w:pPr>
        <w:pStyle w:val="AERbulletlistfirststyle"/>
      </w:pPr>
      <w:r w:rsidRPr="00981F53">
        <w:t>apply model results directly to allowed revenue/price formula (Netherlands, Austria, Germany, Denmark, Finland, Norway)</w:t>
      </w:r>
    </w:p>
    <w:p w:rsidR="00051BDB" w:rsidRPr="00981F53" w:rsidRDefault="00051BDB" w:rsidP="00051BDB">
      <w:pPr>
        <w:pStyle w:val="AERbulletlistfirststyle"/>
      </w:pPr>
      <w:r w:rsidRPr="00981F53">
        <w:t>Form basis of negotiation (California).</w:t>
      </w:r>
    </w:p>
    <w:p w:rsidR="00051BDB" w:rsidRPr="00981F53" w:rsidRDefault="00051BDB" w:rsidP="00051BDB">
      <w:r w:rsidRPr="00981F53">
        <w:t>In terms of setting the benchmark comparison point:</w:t>
      </w:r>
      <w:r w:rsidRPr="00981F53">
        <w:rPr>
          <w:rStyle w:val="FootnoteReference"/>
        </w:rPr>
        <w:footnoteReference w:id="911"/>
      </w:r>
    </w:p>
    <w:p w:rsidR="00051BDB" w:rsidRPr="00981F53" w:rsidRDefault="00051BDB" w:rsidP="00051BDB">
      <w:pPr>
        <w:pStyle w:val="AERbulletlistfirststyle"/>
      </w:pPr>
      <w:r w:rsidRPr="00981F53">
        <w:t>the NVE in Norway, where the regulatory regime is to set total cost, uses an industry average firm</w:t>
      </w:r>
    </w:p>
    <w:p w:rsidR="00051BDB" w:rsidRPr="00981F53" w:rsidRDefault="00051BDB" w:rsidP="00051BDB">
      <w:pPr>
        <w:pStyle w:val="AERbulletlistfirststyle"/>
      </w:pPr>
      <w:r w:rsidRPr="00981F53">
        <w:t>the EMA in Finland uses a firm-specific target (based on an average of DEA and SFA results) to determine efficient opex</w:t>
      </w:r>
    </w:p>
    <w:p w:rsidR="00051BDB" w:rsidRPr="00981F53" w:rsidRDefault="00051BDB" w:rsidP="00051BDB">
      <w:pPr>
        <w:pStyle w:val="AERbulletlistfirststyle"/>
      </w:pPr>
      <w:r w:rsidRPr="00981F53">
        <w:t>the OEB in Canada has previously used firm-specific stretch factors assigned to three cohorts (0.2% top quartile, 0.4% middle two quartiles and 0.6% bottom quartile) to set efficient opex</w:t>
      </w:r>
    </w:p>
    <w:p w:rsidR="00051BDB" w:rsidRPr="00981F53" w:rsidRDefault="00051BDB" w:rsidP="00051BDB">
      <w:pPr>
        <w:pStyle w:val="AERbulletlistfirststyle"/>
      </w:pPr>
      <w:r w:rsidRPr="00981F53">
        <w:t>the NZCC in New Zealand, where the regime is based on total cost, determines industry-wide productivity growth to determine the X factor</w:t>
      </w:r>
    </w:p>
    <w:p w:rsidR="00051BDB" w:rsidRPr="00981F53" w:rsidRDefault="00051BDB" w:rsidP="00051BDB">
      <w:pPr>
        <w:pStyle w:val="AERbulletlistfirststyle"/>
      </w:pPr>
      <w:r w:rsidRPr="00981F53">
        <w:t>Ofgem in the UK has weighted three models together and set the frontier (based on the upper quartile company) after they have been combined.</w:t>
      </w:r>
      <w:r w:rsidRPr="00981F53">
        <w:rPr>
          <w:rStyle w:val="FootnoteReference"/>
        </w:rPr>
        <w:footnoteReference w:id="912"/>
      </w:r>
    </w:p>
    <w:p w:rsidR="00051BDB" w:rsidRPr="00981F53" w:rsidRDefault="00051BDB" w:rsidP="00051BDB">
      <w:r w:rsidRPr="00981F53">
        <w:t>Therefore, regulators choose benchmark comparison points on the basis of the task in hand in the context of the legislative frameworks under which they operate. The comfort we can take from this is that the most appropriate approach is to determine a benchmark comparison point in accordance with our regulatory framework.</w:t>
      </w:r>
    </w:p>
    <w:p w:rsidR="00051BDB" w:rsidRDefault="00051BDB" w:rsidP="00051BDB">
      <w:r w:rsidRPr="00310DE8">
        <w:t xml:space="preserve">We have decided, on balance, </w:t>
      </w:r>
      <w:r>
        <w:t xml:space="preserve">for this decision, that </w:t>
      </w:r>
      <w:r w:rsidRPr="00310DE8">
        <w:t xml:space="preserve">the appropriate benchmark comparison point is the </w:t>
      </w:r>
      <w:r w:rsidRPr="00120A86">
        <w:t>lowest of the efficiency scores in the top quartile of possible scores</w:t>
      </w:r>
      <w:r w:rsidRPr="009A3CD3">
        <w:t xml:space="preserve"> </w:t>
      </w:r>
      <w:r w:rsidRPr="006C5941">
        <w:t>rather than the average</w:t>
      </w:r>
      <w:r>
        <w:t xml:space="preserve"> approach we used in our draft decision. This is equivalent to the</w:t>
      </w:r>
      <w:r w:rsidRPr="00120A86">
        <w:t xml:space="preserve"> </w:t>
      </w:r>
      <w:r>
        <w:t xml:space="preserve">efficiency score for the business at the bottom of the </w:t>
      </w:r>
      <w:r w:rsidRPr="00310DE8">
        <w:t xml:space="preserve">upper third (top </w:t>
      </w:r>
      <w:r w:rsidRPr="00310DE8">
        <w:lastRenderedPageBreak/>
        <w:t>33 per cent</w:t>
      </w:r>
      <w:r>
        <w:t>)</w:t>
      </w:r>
      <w:r w:rsidRPr="00310DE8">
        <w:t xml:space="preserve"> of companies</w:t>
      </w:r>
      <w:r>
        <w:t xml:space="preserve"> in the benchmark sample </w:t>
      </w:r>
      <w:r w:rsidRPr="006C5941">
        <w:t>(</w:t>
      </w:r>
      <w:r>
        <w:t xml:space="preserve">represented by </w:t>
      </w:r>
      <w:r w:rsidRPr="006C5941">
        <w:t>AusNet Services)</w:t>
      </w:r>
      <w:r>
        <w:t>. Our revised comparison point is appropriate for the following reasons.</w:t>
      </w:r>
    </w:p>
    <w:p w:rsidR="00051BDB" w:rsidRDefault="00051BDB" w:rsidP="00051BDB">
      <w:pPr>
        <w:rPr>
          <w:rStyle w:val="AERbody"/>
        </w:rPr>
      </w:pPr>
      <w:r>
        <w:rPr>
          <w:rStyle w:val="AERbody"/>
        </w:rPr>
        <w:t xml:space="preserve">First, </w:t>
      </w:r>
      <w:r w:rsidRPr="006C5941">
        <w:rPr>
          <w:rStyle w:val="AERbody"/>
        </w:rPr>
        <w:t>our draft decision averaging approach produced an unusual result for service providers ranked in the top quartile of efficiency scores, but below the average</w:t>
      </w:r>
      <w:r>
        <w:rPr>
          <w:rStyle w:val="AERbody"/>
        </w:rPr>
        <w:t xml:space="preserve"> of that top quartile</w:t>
      </w:r>
      <w:r w:rsidRPr="006C5941">
        <w:rPr>
          <w:rStyle w:val="AERbody"/>
        </w:rPr>
        <w:t xml:space="preserve">. These service providers would require an efficiency adjustment to reach the </w:t>
      </w:r>
      <w:r>
        <w:rPr>
          <w:rStyle w:val="AERbody"/>
        </w:rPr>
        <w:t xml:space="preserve">average benchmark comparison point (because their scores are below the </w:t>
      </w:r>
      <w:r w:rsidRPr="006C5941">
        <w:rPr>
          <w:rStyle w:val="AERbody"/>
        </w:rPr>
        <w:t>average</w:t>
      </w:r>
      <w:r>
        <w:rPr>
          <w:rStyle w:val="AERbody"/>
        </w:rPr>
        <w:t>)</w:t>
      </w:r>
      <w:r w:rsidRPr="006C5941">
        <w:rPr>
          <w:rStyle w:val="AERbody"/>
        </w:rPr>
        <w:t xml:space="preserve"> despite being efficient enough to be </w:t>
      </w:r>
      <w:r>
        <w:rPr>
          <w:rStyle w:val="AERbody"/>
        </w:rPr>
        <w:t xml:space="preserve">ranked </w:t>
      </w:r>
      <w:r w:rsidRPr="006C5941">
        <w:rPr>
          <w:rStyle w:val="AERbody"/>
        </w:rPr>
        <w:t xml:space="preserve">in </w:t>
      </w:r>
      <w:r>
        <w:rPr>
          <w:rStyle w:val="AERbody"/>
        </w:rPr>
        <w:t xml:space="preserve">the top quartile and, hence, included in the </w:t>
      </w:r>
      <w:r w:rsidRPr="006C5941">
        <w:rPr>
          <w:rStyle w:val="AERbody"/>
        </w:rPr>
        <w:t>average.</w:t>
      </w:r>
    </w:p>
    <w:p w:rsidR="00051BDB" w:rsidRPr="00A30343" w:rsidRDefault="00051BDB" w:rsidP="00051BDB">
      <w:r>
        <w:t>Second</w:t>
      </w:r>
      <w:r w:rsidRPr="00A30343">
        <w:t>, given it is our first application of benchmarking, it is appropriate to adopt a cautious approach.</w:t>
      </w:r>
      <w:r>
        <w:t xml:space="preserve"> We have decided to increase the margin for error for modelling and data issues provided for in the draft decision (which reduced the benchmark comparison point from 0.95 to 0.86).</w:t>
      </w:r>
    </w:p>
    <w:p w:rsidR="00051BDB" w:rsidRDefault="00051BDB" w:rsidP="00051BDB">
      <w:r>
        <w:rPr>
          <w:rStyle w:val="AERbody"/>
        </w:rPr>
        <w:t>Third</w:t>
      </w:r>
      <w:r w:rsidRPr="006C5941">
        <w:rPr>
          <w:rStyle w:val="AERbody"/>
        </w:rPr>
        <w:t xml:space="preserve">, we </w:t>
      </w:r>
      <w:r>
        <w:rPr>
          <w:rStyle w:val="AERbody"/>
        </w:rPr>
        <w:t xml:space="preserve">consider this approach better achieves the NEO and RPPs. </w:t>
      </w:r>
      <w:r>
        <w:t>In particular we have considered:</w:t>
      </w:r>
      <w:r w:rsidRPr="006C5941">
        <w:rPr>
          <w:rStyle w:val="FootnoteReference"/>
        </w:rPr>
        <w:footnoteReference w:id="913"/>
      </w:r>
      <w:r>
        <w:t xml:space="preserve"> </w:t>
      </w:r>
    </w:p>
    <w:p w:rsidR="00051BDB" w:rsidRDefault="00051BDB" w:rsidP="00051BDB">
      <w:pPr>
        <w:pStyle w:val="AERbulletlistfirststyle"/>
      </w:pPr>
      <w:r>
        <w:t>the principle that we should provide service providers with an opportunity to recover at least their efficient costs</w:t>
      </w:r>
    </w:p>
    <w:p w:rsidR="00051BDB" w:rsidRDefault="00051BDB" w:rsidP="00051BDB">
      <w:pPr>
        <w:pStyle w:val="AERbulletlistfirststyle"/>
      </w:pPr>
      <w:r>
        <w:t xml:space="preserve">we wish to create a high-powered efficiency incentive (which supports making an adjustment when it is clear there is material inefficiency in revealed costs) but we </w:t>
      </w:r>
      <w:r w:rsidRPr="006C5941">
        <w:rPr>
          <w:rStyle w:val="AERbody"/>
        </w:rPr>
        <w:t>are mindful of</w:t>
      </w:r>
      <w:r>
        <w:rPr>
          <w:rStyle w:val="AERbody"/>
        </w:rPr>
        <w:t xml:space="preserve"> providing sufficient stability to promote efficient investment</w:t>
      </w:r>
    </w:p>
    <w:p w:rsidR="00051BDB" w:rsidRDefault="00051BDB" w:rsidP="00051BDB">
      <w:pPr>
        <w:pStyle w:val="AERbulletlistfirststyle"/>
      </w:pPr>
      <w:r>
        <w:t>our decision should allow a return that is commensurate with both regulatory and commercial risks.</w:t>
      </w:r>
    </w:p>
    <w:p w:rsidR="00051BDB" w:rsidRDefault="00051BDB" w:rsidP="00051BDB">
      <w:r w:rsidRPr="00981F53">
        <w:t xml:space="preserve">A number of </w:t>
      </w:r>
      <w:r>
        <w:t>service provider</w:t>
      </w:r>
      <w:r w:rsidRPr="00981F53">
        <w:t xml:space="preserve">s, representing more than a third of the NEM, and operating in varied environments, are able to perform at or above our benchmark comparison point. We are confident that a firm that performs below this level is, therefore, spending in a manner that does not reasonably reflect the opex criteria. An adjustment back to an appropriate threshold is sufficient to remove the material over-expenditure in the revealed costs while still incorporating an appropriately wide margin for potential modelling and data errors and </w:t>
      </w:r>
      <w:r>
        <w:t>other uncertainties</w:t>
      </w:r>
      <w:r w:rsidRPr="00981F53">
        <w:t>. Economic Insights agrees that this approach is appropriate.</w:t>
      </w:r>
      <w:r w:rsidRPr="00981F53">
        <w:rPr>
          <w:rStyle w:val="FootnoteReference"/>
        </w:rPr>
        <w:footnoteReference w:id="914"/>
      </w:r>
    </w:p>
    <w:p w:rsidR="00051BDB" w:rsidRPr="00981F53" w:rsidRDefault="00051BDB" w:rsidP="00051BDB">
      <w:pPr>
        <w:rPr>
          <w:rStyle w:val="AERbody"/>
        </w:rPr>
      </w:pPr>
      <w:r>
        <w:t>Our approach of using benchmarking as a basis for making adjustments to opex is also consistent with Ofgem's approach.</w:t>
      </w:r>
      <w:r w:rsidRPr="007C6D16">
        <w:rPr>
          <w:rStyle w:val="FootnoteReference"/>
        </w:rPr>
        <w:footnoteReference w:id="915"/>
      </w:r>
    </w:p>
    <w:p w:rsidR="00051BDB" w:rsidRPr="00981F53" w:rsidRDefault="00051BDB" w:rsidP="00051BDB">
      <w:r>
        <w:t>T</w:t>
      </w:r>
      <w:r w:rsidRPr="00981F53">
        <w:t xml:space="preserve">his approach </w:t>
      </w:r>
      <w:r>
        <w:t>results in a comparison point</w:t>
      </w:r>
      <w:r w:rsidRPr="00981F53">
        <w:t xml:space="preserve"> significantly lower than the frontier firm's efficiency. Reducing the efficiency target from 0.95 (CitiPower) to 0.86 represented a 9 per cent allowance for the service providers. Changing the target to 0.77 (AusNet </w:t>
      </w:r>
      <w:r w:rsidRPr="00981F53">
        <w:lastRenderedPageBreak/>
        <w:t xml:space="preserve">Services) increases that reduction by a further 10 per cent. Overall, this is a 19 per cent reduction from the frontier firm under the SFA model. </w:t>
      </w:r>
    </w:p>
    <w:p w:rsidR="00051BDB" w:rsidRDefault="00051BDB" w:rsidP="00051BDB">
      <w:pPr>
        <w:rPr>
          <w:rStyle w:val="AERbody"/>
        </w:rPr>
      </w:pPr>
      <w:r w:rsidRPr="006C5941">
        <w:fldChar w:fldCharType="begin"/>
      </w:r>
      <w:r w:rsidRPr="006C5941">
        <w:instrText xml:space="preserve"> REF _Ref415557737 \h </w:instrText>
      </w:r>
      <w:r w:rsidRPr="006C5941">
        <w:fldChar w:fldCharType="separate"/>
      </w:r>
      <w:r w:rsidR="00C74791" w:rsidRPr="006C5941">
        <w:t xml:space="preserve">Figure </w:t>
      </w:r>
      <w:r w:rsidR="00C74791">
        <w:rPr>
          <w:noProof/>
        </w:rPr>
        <w:t>A</w:t>
      </w:r>
      <w:r w:rsidR="00C74791">
        <w:t>.</w:t>
      </w:r>
      <w:r w:rsidR="00C74791">
        <w:rPr>
          <w:noProof/>
        </w:rPr>
        <w:t>29</w:t>
      </w:r>
      <w:r w:rsidRPr="006C5941">
        <w:fldChar w:fldCharType="end"/>
      </w:r>
      <w:r w:rsidRPr="006C5941">
        <w:t xml:space="preserve"> </w:t>
      </w:r>
      <w:r>
        <w:t xml:space="preserve">below </w:t>
      </w:r>
      <w:r w:rsidRPr="006C5941">
        <w:t xml:space="preserve">shows the </w:t>
      </w:r>
      <w:r w:rsidRPr="006C5941">
        <w:rPr>
          <w:rStyle w:val="AERbody"/>
        </w:rPr>
        <w:t>efficiency scores fo</w:t>
      </w:r>
      <w:r>
        <w:rPr>
          <w:rStyle w:val="AERbody"/>
        </w:rPr>
        <w:t xml:space="preserve">r </w:t>
      </w:r>
      <w:r w:rsidRPr="006C5941">
        <w:rPr>
          <w:rStyle w:val="AERbody"/>
        </w:rPr>
        <w:t xml:space="preserve">the NSW </w:t>
      </w:r>
      <w:r>
        <w:rPr>
          <w:rStyle w:val="AERbody"/>
        </w:rPr>
        <w:t>service provider</w:t>
      </w:r>
      <w:r w:rsidRPr="006C5941">
        <w:rPr>
          <w:rStyle w:val="AERbody"/>
        </w:rPr>
        <w:t xml:space="preserve">s compared to </w:t>
      </w:r>
      <w:r>
        <w:rPr>
          <w:rStyle w:val="AERbody"/>
        </w:rPr>
        <w:t>our</w:t>
      </w:r>
      <w:r w:rsidRPr="006C5941">
        <w:rPr>
          <w:rStyle w:val="AERbody"/>
        </w:rPr>
        <w:t xml:space="preserve"> benchmark comparison point, represented by the red line (AusNet Services). The blue line represents the frontier </w:t>
      </w:r>
      <w:r>
        <w:rPr>
          <w:rStyle w:val="AERbody"/>
        </w:rPr>
        <w:t xml:space="preserve">firm </w:t>
      </w:r>
      <w:r w:rsidRPr="006C5941">
        <w:rPr>
          <w:rStyle w:val="AERbody"/>
        </w:rPr>
        <w:t>(CitiPower).</w:t>
      </w:r>
    </w:p>
    <w:p w:rsidR="00051BDB" w:rsidRPr="006C5941" w:rsidRDefault="00051BDB" w:rsidP="00051BDB">
      <w:r w:rsidRPr="00E54462">
        <w:t xml:space="preserve">Our operating environment factor adjustments are percentage adjustments relative to the </w:t>
      </w:r>
      <w:r>
        <w:t>frontier</w:t>
      </w:r>
      <w:r w:rsidRPr="00E54462">
        <w:t xml:space="preserve">. Therefore, the operating environment factor adjustments in </w:t>
      </w:r>
      <w:r w:rsidRPr="006C5941">
        <w:fldChar w:fldCharType="begin"/>
      </w:r>
      <w:r w:rsidRPr="006C5941">
        <w:instrText xml:space="preserve"> REF _Ref415557737 \h </w:instrText>
      </w:r>
      <w:r w:rsidRPr="006C5941">
        <w:fldChar w:fldCharType="separate"/>
      </w:r>
      <w:r w:rsidR="00C74791" w:rsidRPr="006C5941">
        <w:t xml:space="preserve">Figure </w:t>
      </w:r>
      <w:r w:rsidR="00C74791">
        <w:rPr>
          <w:noProof/>
        </w:rPr>
        <w:t>A</w:t>
      </w:r>
      <w:r w:rsidR="00C74791">
        <w:t>.</w:t>
      </w:r>
      <w:r w:rsidR="00C74791">
        <w:rPr>
          <w:noProof/>
        </w:rPr>
        <w:t>29</w:t>
      </w:r>
      <w:r w:rsidRPr="006C5941">
        <w:fldChar w:fldCharType="end"/>
      </w:r>
      <w:r w:rsidRPr="00E54462">
        <w:rPr>
          <w:rStyle w:val="AERbody"/>
        </w:rPr>
        <w:t xml:space="preserve"> will not reflect the absolute percentages reported above. That is, the dark blue pro</w:t>
      </w:r>
      <w:r w:rsidR="00BD6D26">
        <w:rPr>
          <w:rStyle w:val="AERbody"/>
        </w:rPr>
        <w:t>portion represents 12 per cent for Ausgrid, 13 per cent for Endeavour Energy, and 11 per cent for Essential Energy</w:t>
      </w:r>
      <w:r w:rsidRPr="00E54462">
        <w:rPr>
          <w:rStyle w:val="AERbody"/>
        </w:rPr>
        <w:t xml:space="preserve"> of the total efficiency score rather than an addition of 11</w:t>
      </w:r>
      <w:r w:rsidR="00BD6D26">
        <w:rPr>
          <w:rStyle w:val="AERbody"/>
        </w:rPr>
        <w:t xml:space="preserve">, </w:t>
      </w:r>
      <w:r w:rsidRPr="00E54462">
        <w:rPr>
          <w:rStyle w:val="AERbody"/>
        </w:rPr>
        <w:t>12</w:t>
      </w:r>
      <w:r w:rsidR="00BD6D26">
        <w:rPr>
          <w:rStyle w:val="AERbody"/>
        </w:rPr>
        <w:t>, or 13,</w:t>
      </w:r>
      <w:r w:rsidRPr="00E54462">
        <w:rPr>
          <w:rStyle w:val="AERbody"/>
        </w:rPr>
        <w:t xml:space="preserve"> percentage points on top of the SFA opex efficiency score.</w:t>
      </w:r>
    </w:p>
    <w:p w:rsidR="00051BDB" w:rsidRPr="006C5941" w:rsidRDefault="00051BDB" w:rsidP="00051BDB">
      <w:pPr>
        <w:pStyle w:val="Caption"/>
      </w:pPr>
      <w:bookmarkStart w:id="263" w:name="_Ref415557737"/>
      <w:r w:rsidRPr="006C5941">
        <w:t xml:space="preserve">Figure </w:t>
      </w:r>
      <w:fldSimple w:instr=" STYLEREF 7 \s ">
        <w:r w:rsidR="00C74791">
          <w:rPr>
            <w:noProof/>
          </w:rPr>
          <w:t>A</w:t>
        </w:r>
      </w:fldSimple>
      <w:r w:rsidR="00A409CB">
        <w:t>.</w:t>
      </w:r>
      <w:fldSimple w:instr=" SEQ AFigure \* ARABIC \s 7 ">
        <w:r w:rsidR="00C74791">
          <w:rPr>
            <w:noProof/>
          </w:rPr>
          <w:t>29</w:t>
        </w:r>
      </w:fldSimple>
      <w:bookmarkEnd w:id="263"/>
      <w:r w:rsidRPr="006C5941">
        <w:tab/>
        <w:t xml:space="preserve">Comparison of </w:t>
      </w:r>
      <w:r>
        <w:t xml:space="preserve">raw SFA </w:t>
      </w:r>
      <w:r w:rsidRPr="006C5941">
        <w:t xml:space="preserve">efficiency scores to the revised </w:t>
      </w:r>
      <w:r>
        <w:t>benchmark comparison point</w:t>
      </w:r>
      <w:r w:rsidRPr="006C5941">
        <w:t xml:space="preserve">, adjusted for operating environment </w:t>
      </w:r>
      <w:r>
        <w:t>factors</w:t>
      </w:r>
      <w:r w:rsidRPr="006C5941">
        <w:t xml:space="preserve"> </w:t>
      </w:r>
    </w:p>
    <w:p w:rsidR="00051BDB" w:rsidRPr="006C5941" w:rsidRDefault="00051BDB" w:rsidP="00051BDB">
      <w:r w:rsidRPr="00051BDB">
        <w:rPr>
          <w:noProof/>
          <w:lang w:eastAsia="en-AU"/>
        </w:rPr>
        <w:drawing>
          <wp:inline distT="0" distB="0" distL="0" distR="0" wp14:anchorId="695305C0" wp14:editId="3110935B">
            <wp:extent cx="4980940" cy="2908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051BDB" w:rsidRPr="006C5941" w:rsidRDefault="00051BDB" w:rsidP="00051BDB">
      <w:pPr>
        <w:pStyle w:val="AERtablesource"/>
      </w:pPr>
      <w:r w:rsidRPr="006C5941">
        <w:t xml:space="preserve">Source: </w:t>
      </w:r>
      <w:r w:rsidRPr="006C5941">
        <w:tab/>
        <w:t>AER analysis.</w:t>
      </w:r>
    </w:p>
    <w:p w:rsidR="00051BDB" w:rsidRPr="006C5941" w:rsidRDefault="00051BDB" w:rsidP="00051BDB">
      <w:pPr>
        <w:pStyle w:val="AERtablesource"/>
      </w:pPr>
      <w:r w:rsidRPr="006C5941">
        <w:t>Note:</w:t>
      </w:r>
      <w:r w:rsidRPr="006C5941">
        <w:tab/>
      </w:r>
      <w:r>
        <w:t>The raw SFA efficiency scores displayed are</w:t>
      </w:r>
      <w:r w:rsidRPr="006C5941">
        <w:t xml:space="preserve"> 'roll</w:t>
      </w:r>
      <w:r>
        <w:t>ed</w:t>
      </w:r>
      <w:r w:rsidRPr="006C5941">
        <w:t xml:space="preserve"> forward' </w:t>
      </w:r>
      <w:r>
        <w:t xml:space="preserve">from a </w:t>
      </w:r>
      <w:r w:rsidRPr="006C5941">
        <w:t>period</w:t>
      </w:r>
      <w:r>
        <w:t>-average</w:t>
      </w:r>
      <w:r w:rsidRPr="006C5941">
        <w:t xml:space="preserve"> </w:t>
      </w:r>
      <w:r>
        <w:t xml:space="preserve">basis </w:t>
      </w:r>
      <w:r w:rsidRPr="006C5941">
        <w:t>(for 2006-2013) to the 2012–13 base year. We explain this below in our discussion of the adjustment process.</w:t>
      </w:r>
    </w:p>
    <w:p w:rsidR="00051BDB" w:rsidRPr="00981F53" w:rsidRDefault="00051BDB" w:rsidP="00051BDB">
      <w:r w:rsidRPr="006C5941">
        <w:fldChar w:fldCharType="begin"/>
      </w:r>
      <w:r w:rsidRPr="006C5941">
        <w:instrText xml:space="preserve"> REF _Ref415557737 \h  \* MERGEFORMAT </w:instrText>
      </w:r>
      <w:r w:rsidRPr="006C5941">
        <w:fldChar w:fldCharType="separate"/>
      </w:r>
      <w:r w:rsidR="00C74791" w:rsidRPr="006C5941">
        <w:t xml:space="preserve">Figure </w:t>
      </w:r>
      <w:r w:rsidR="00C74791">
        <w:t>A.29</w:t>
      </w:r>
      <w:r w:rsidRPr="006C5941">
        <w:fldChar w:fldCharType="end"/>
      </w:r>
      <w:r w:rsidRPr="006C5941">
        <w:t xml:space="preserve"> demonstrates </w:t>
      </w:r>
      <w:r>
        <w:t>an appropriately conservative difference between the</w:t>
      </w:r>
      <w:r w:rsidRPr="006C5941">
        <w:t xml:space="preserve"> frontier </w:t>
      </w:r>
      <w:r>
        <w:t xml:space="preserve">firm </w:t>
      </w:r>
      <w:r w:rsidRPr="006C5941">
        <w:t xml:space="preserve">and our </w:t>
      </w:r>
      <w:r>
        <w:t>benchmark comparison point</w:t>
      </w:r>
      <w:r w:rsidRPr="006C5941">
        <w:t>.</w:t>
      </w:r>
      <w:r w:rsidRPr="000B148F">
        <w:t xml:space="preserve"> </w:t>
      </w:r>
      <w:r w:rsidRPr="00981F53">
        <w:t>Due to the lower comparison point, we consider Endeavour Energy's base opex does not require</w:t>
      </w:r>
      <w:r w:rsidRPr="00981F53">
        <w:rPr>
          <w:rStyle w:val="AERbody"/>
        </w:rPr>
        <w:t xml:space="preserve"> an adjustment. We emphasise, however, that we do not consider Endeavour Energy's revealed opex </w:t>
      </w:r>
      <w:r>
        <w:rPr>
          <w:rStyle w:val="AERbody"/>
        </w:rPr>
        <w:t>is</w:t>
      </w:r>
      <w:r w:rsidRPr="00981F53">
        <w:rPr>
          <w:rStyle w:val="AERbody"/>
        </w:rPr>
        <w:t xml:space="preserve"> necessarily efficient. The change in our approach simply means we consider it is not </w:t>
      </w:r>
      <w:r w:rsidRPr="00981F53">
        <w:rPr>
          <w:rStyle w:val="AERtextitalic"/>
        </w:rPr>
        <w:t>materially</w:t>
      </w:r>
      <w:r w:rsidRPr="00981F53">
        <w:rPr>
          <w:rStyle w:val="AERbody"/>
        </w:rPr>
        <w:t xml:space="preserve"> inefficient, allowing for </w:t>
      </w:r>
      <w:r>
        <w:rPr>
          <w:rStyle w:val="AERbody"/>
        </w:rPr>
        <w:t xml:space="preserve">an appropriate </w:t>
      </w:r>
      <w:r w:rsidRPr="00981F53">
        <w:rPr>
          <w:rStyle w:val="AERbody"/>
        </w:rPr>
        <w:t>margin f</w:t>
      </w:r>
      <w:r>
        <w:rPr>
          <w:rStyle w:val="AERbody"/>
        </w:rPr>
        <w:t>or</w:t>
      </w:r>
      <w:r w:rsidRPr="00981F53">
        <w:rPr>
          <w:rStyle w:val="AERbody"/>
        </w:rPr>
        <w:t xml:space="preserve"> error, taking account of the RPPs.</w:t>
      </w:r>
    </w:p>
    <w:p w:rsidR="00051BDB" w:rsidRDefault="00051BDB" w:rsidP="00051BDB">
      <w:r w:rsidRPr="0028384E">
        <w:t>As we refine our approach and continue to receive more data—all service providers must submit data each year</w:t>
      </w:r>
      <w:r>
        <w:t>—</w:t>
      </w:r>
      <w:r w:rsidRPr="00720F2A">
        <w:t xml:space="preserve"> </w:t>
      </w:r>
      <w:r w:rsidRPr="00674300">
        <w:t xml:space="preserve">we </w:t>
      </w:r>
      <w:r>
        <w:t>may revise our benchmark comparison point when making adjustments to base opex to develop alternative opex forecasts.</w:t>
      </w:r>
    </w:p>
    <w:p w:rsidR="00051BDB" w:rsidRPr="000B148F" w:rsidRDefault="00051BDB" w:rsidP="00051BDB">
      <w:pPr>
        <w:pStyle w:val="HeadingBoldBlue"/>
      </w:pPr>
      <w:r w:rsidRPr="000B148F">
        <w:lastRenderedPageBreak/>
        <w:t>The adjustment process</w:t>
      </w:r>
    </w:p>
    <w:p w:rsidR="00051BDB" w:rsidRPr="00981F53" w:rsidRDefault="00051BDB" w:rsidP="00051BDB">
      <w:r w:rsidRPr="00981F53">
        <w:t xml:space="preserve">The mechanics of determining the adjustment include several steps. In essence, it involves using the SFA model to estimate average period efficiency, which we adjust to take into account the reduced benchmark comparison point and operating environment factor allowances. We then roll this average period efficient opex forward to the 2012–13 base year to compare efficient base opex to the </w:t>
      </w:r>
      <w:r>
        <w:t>service provider</w:t>
      </w:r>
      <w:r w:rsidRPr="00981F53">
        <w:t>'s reported base opex.</w:t>
      </w:r>
      <w:r>
        <w:rPr>
          <w:rStyle w:val="FootnoteReference"/>
        </w:rPr>
        <w:footnoteReference w:id="916"/>
      </w:r>
    </w:p>
    <w:p w:rsidR="00051BDB" w:rsidRDefault="00051BDB" w:rsidP="00051BDB">
      <w:r>
        <w:t>The service providers submit that both using an average approach and rolling it forward are inappropriate.</w:t>
      </w:r>
      <w:r>
        <w:rPr>
          <w:rStyle w:val="FootnoteReference"/>
        </w:rPr>
        <w:footnoteReference w:id="917"/>
      </w:r>
      <w:r>
        <w:t xml:space="preserve"> Here, we clarify why we consider our approach is appropriate.</w:t>
      </w:r>
    </w:p>
    <w:p w:rsidR="00051BDB" w:rsidRPr="00C93021" w:rsidRDefault="00051BDB" w:rsidP="00051BDB">
      <w:pPr>
        <w:pStyle w:val="HeadingBoldItalic"/>
      </w:pPr>
      <w:r w:rsidRPr="00ED15AE">
        <w:t>Average period efficiency scores</w:t>
      </w:r>
    </w:p>
    <w:p w:rsidR="00051BDB" w:rsidRDefault="00051BDB" w:rsidP="00051BDB">
      <w:r>
        <w:t>A key reason we use average period efficiency scores is because they moderate the impact of year-specific fluctuations not under the control of the service provider (such as weather conditions) while also reducing the scope for the service provider to strategically reduce its reported opex in a single, nominated benchmark year.</w:t>
      </w:r>
      <w:r w:rsidRPr="00ED15AE">
        <w:rPr>
          <w:rStyle w:val="FootnoteReference"/>
        </w:rPr>
        <w:t xml:space="preserve"> </w:t>
      </w:r>
      <w:r>
        <w:rPr>
          <w:rStyle w:val="FootnoteReference"/>
        </w:rPr>
        <w:footnoteReference w:id="918"/>
      </w:r>
      <w:r>
        <w:t xml:space="preserve"> </w:t>
      </w:r>
    </w:p>
    <w:p w:rsidR="00051BDB" w:rsidRDefault="00051BDB" w:rsidP="00051BDB">
      <w:r>
        <w:t xml:space="preserve">Average efficiency results also provide us with a better estimate of underlying recurrent expenditure not influenced by year on year changes, which we require for the Guideline approach to estimating total forecast opex. </w:t>
      </w:r>
    </w:p>
    <w:p w:rsidR="00051BDB" w:rsidRDefault="00051BDB" w:rsidP="00051BDB">
      <w:r>
        <w:t>In addition, because the sample period is the eight years from 2006 to 2013, Economic Insights considers the average is sufficiently recent to avoid the potential loss of current relevance.</w:t>
      </w:r>
      <w:r>
        <w:rPr>
          <w:rStyle w:val="FootnoteReference"/>
        </w:rPr>
        <w:footnoteReference w:id="919"/>
      </w:r>
      <w:r>
        <w:t xml:space="preserve"> Economic Insights also considers the performance gap has not narrowed for the following reasons:</w:t>
      </w:r>
      <w:r>
        <w:rPr>
          <w:rStyle w:val="FootnoteReference"/>
        </w:rPr>
        <w:footnoteReference w:id="920"/>
      </w:r>
    </w:p>
    <w:p w:rsidR="00051BDB" w:rsidRPr="00BC3775" w:rsidRDefault="00051BDB" w:rsidP="00051BDB">
      <w:pPr>
        <w:pStyle w:val="AERbulletlistfirststyle"/>
      </w:pPr>
      <w:r>
        <w:t>the NSW service provider</w:t>
      </w:r>
      <w:r w:rsidRPr="00BC3775">
        <w:t xml:space="preserve">s’ decisions to include a large negative change in provisions in 2013 provide an artificial impression that their performance is considerably better in 2013 than </w:t>
      </w:r>
      <w:r>
        <w:t>if changes in provisions were excluded</w:t>
      </w:r>
    </w:p>
    <w:p w:rsidR="00051BDB" w:rsidRDefault="00051BDB" w:rsidP="00051BDB">
      <w:pPr>
        <w:pStyle w:val="AERbulletlistfirststyle"/>
      </w:pPr>
      <w:r>
        <w:t xml:space="preserve">the Victorian service providers experienced a negative rate of technical change (which leads to a negative rate of opex partial productivity growth) due to allowed step changes </w:t>
      </w:r>
      <w:r w:rsidRPr="00BC3775">
        <w:t>following the implementation of Victorian Bushfires Royal Commission recommendations</w:t>
      </w:r>
    </w:p>
    <w:p w:rsidR="00051BDB" w:rsidRPr="00E86310" w:rsidRDefault="00051BDB" w:rsidP="00051BDB">
      <w:pPr>
        <w:pStyle w:val="AERbulletlistfirststyle"/>
      </w:pPr>
      <w:r w:rsidRPr="00E86310">
        <w:t xml:space="preserve">the SFA and LSE models calculate average efficiency levels over the period and these averages incorporate the influence of the situation at the end of the period. That is, they calculate average efficiency for the period rather than midpoint </w:t>
      </w:r>
      <w:r w:rsidRPr="00E86310">
        <w:lastRenderedPageBreak/>
        <w:t xml:space="preserve">efficiency. Therefore, because the efficiency score is an average, it already partially allows for changed conditions at the end of the period (assuming they have in fact changed). </w:t>
      </w:r>
    </w:p>
    <w:p w:rsidR="00051BDB" w:rsidRDefault="00051BDB" w:rsidP="00051BDB">
      <w:pPr>
        <w:pStyle w:val="HeadingBoldItalic"/>
      </w:pPr>
      <w:r>
        <w:t>Rolling forward average scores to the base year</w:t>
      </w:r>
    </w:p>
    <w:p w:rsidR="00051BDB" w:rsidRDefault="00051BDB" w:rsidP="00051BDB">
      <w:r>
        <w:t>Because we compare average efficiency, we must '</w:t>
      </w:r>
      <w:r w:rsidRPr="00144665">
        <w:t>roll forward</w:t>
      </w:r>
      <w:r>
        <w:t xml:space="preserve">' the average </w:t>
      </w:r>
      <w:r w:rsidRPr="00144665">
        <w:t xml:space="preserve">efficient opex to the </w:t>
      </w:r>
      <w:r>
        <w:t xml:space="preserve">2012–13 </w:t>
      </w:r>
      <w:r w:rsidRPr="00144665">
        <w:t>base year</w:t>
      </w:r>
      <w:r>
        <w:t>, because that is the relevant starting point for estimating total forecast opex that reasonably reflects the opex criteria. We do this</w:t>
      </w:r>
      <w:r w:rsidRPr="00144665">
        <w:t xml:space="preserve"> by applying the </w:t>
      </w:r>
      <w:r>
        <w:t xml:space="preserve">measured </w:t>
      </w:r>
      <w:r w:rsidRPr="00144665">
        <w:t>rate of change</w:t>
      </w:r>
      <w:r>
        <w:t xml:space="preserve">, which </w:t>
      </w:r>
      <w:r w:rsidRPr="00144665">
        <w:t xml:space="preserve">accounts for the difference between output, price and productivity in the </w:t>
      </w:r>
      <w:r>
        <w:t xml:space="preserve">2012–13 </w:t>
      </w:r>
      <w:r w:rsidRPr="00144665">
        <w:t xml:space="preserve">base year and </w:t>
      </w:r>
      <w:r>
        <w:t xml:space="preserve">at </w:t>
      </w:r>
      <w:r w:rsidRPr="00144665">
        <w:t>the</w:t>
      </w:r>
      <w:r>
        <w:t xml:space="preserve"> period</w:t>
      </w:r>
      <w:r w:rsidRPr="00144665">
        <w:t xml:space="preserve"> </w:t>
      </w:r>
      <w:r>
        <w:t>average (2006 to 2013)</w:t>
      </w:r>
      <w:r w:rsidRPr="00144665">
        <w:t>.</w:t>
      </w:r>
      <w:r>
        <w:rPr>
          <w:rStyle w:val="FootnoteReference"/>
        </w:rPr>
        <w:footnoteReference w:id="921"/>
      </w:r>
      <w:r>
        <w:t xml:space="preserve"> The rate of change value varies for each service provider due to differing growth rates.</w:t>
      </w:r>
    </w:p>
    <w:p w:rsidR="00051BDB" w:rsidRPr="00981F53" w:rsidRDefault="00051BDB" w:rsidP="00051BDB">
      <w:r w:rsidRPr="00981F53">
        <w:t xml:space="preserve">Rolling forward average efficiency to the 2012–13 base year allows for differences in </w:t>
      </w:r>
      <w:r>
        <w:t>service provider</w:t>
      </w:r>
      <w:r w:rsidRPr="00981F53">
        <w:t xml:space="preserve">s' relative opex growth rates between the average and the base year. This means that if a </w:t>
      </w:r>
      <w:r>
        <w:t>service provider</w:t>
      </w:r>
      <w:r w:rsidRPr="00981F53">
        <w:t xml:space="preserve"> has increased its constant price opex between the average of the period and 2012–13 by less than that which the rate of change formula allows, it would receive a smaller base year opex reduction compared to that implied by its average efficiency score. </w:t>
      </w:r>
    </w:p>
    <w:p w:rsidR="00051BDB" w:rsidRPr="00981F53" w:rsidRDefault="00051BDB" w:rsidP="00051BDB">
      <w:r w:rsidRPr="00981F53">
        <w:t xml:space="preserve">Conversely, if the </w:t>
      </w:r>
      <w:r>
        <w:t>service provider</w:t>
      </w:r>
      <w:r w:rsidRPr="00981F53">
        <w:t xml:space="preserve"> has increased its constant price opex by more than that which the rate of change formula allows, it would receive a larger base year opex reduction compared to that implied by its average efficiency score.</w:t>
      </w:r>
      <w:r w:rsidRPr="00981F53">
        <w:rPr>
          <w:rStyle w:val="FootnoteReference"/>
        </w:rPr>
        <w:footnoteReference w:id="922"/>
      </w:r>
    </w:p>
    <w:p w:rsidR="00051BDB" w:rsidRPr="00C93021" w:rsidRDefault="00051BDB" w:rsidP="00051BDB">
      <w:pPr>
        <w:pStyle w:val="HeadingBoldBlue"/>
      </w:pPr>
      <w:r>
        <w:t>Final decision adjustment</w:t>
      </w:r>
      <w:r w:rsidRPr="00C93021">
        <w:t>s</w:t>
      </w:r>
    </w:p>
    <w:p w:rsidR="00051BDB" w:rsidRPr="003627DC" w:rsidRDefault="00051BDB" w:rsidP="00051BDB">
      <w:r>
        <w:fldChar w:fldCharType="begin"/>
      </w:r>
      <w:r>
        <w:instrText xml:space="preserve"> REF _Ref416770045 \h </w:instrText>
      </w:r>
      <w:r>
        <w:fldChar w:fldCharType="separate"/>
      </w:r>
      <w:r w:rsidR="00C74791">
        <w:t xml:space="preserve">Table </w:t>
      </w:r>
      <w:r w:rsidR="00C74791">
        <w:rPr>
          <w:noProof/>
        </w:rPr>
        <w:t>A</w:t>
      </w:r>
      <w:r w:rsidR="00C74791">
        <w:t>.</w:t>
      </w:r>
      <w:r w:rsidR="00C74791">
        <w:rPr>
          <w:noProof/>
        </w:rPr>
        <w:t>16</w:t>
      </w:r>
      <w:r>
        <w:fldChar w:fldCharType="end"/>
      </w:r>
      <w:r>
        <w:t xml:space="preserve"> and </w:t>
      </w:r>
      <w:r>
        <w:fldChar w:fldCharType="begin"/>
      </w:r>
      <w:r>
        <w:instrText xml:space="preserve"> REF _Ref417551761 \h </w:instrText>
      </w:r>
      <w:r>
        <w:fldChar w:fldCharType="separate"/>
      </w:r>
      <w:r w:rsidR="00C74791">
        <w:t xml:space="preserve">Table </w:t>
      </w:r>
      <w:r w:rsidR="00C74791">
        <w:rPr>
          <w:noProof/>
        </w:rPr>
        <w:t>A</w:t>
      </w:r>
      <w:r w:rsidR="00C74791">
        <w:t>.</w:t>
      </w:r>
      <w:r w:rsidR="00C74791">
        <w:rPr>
          <w:noProof/>
        </w:rPr>
        <w:t>17</w:t>
      </w:r>
      <w:r>
        <w:fldChar w:fldCharType="end"/>
      </w:r>
      <w:r>
        <w:t xml:space="preserve"> demonstrate the steps involved in making the adjustments to Ausgrid's and Essential Energy's base year opex.</w:t>
      </w:r>
    </w:p>
    <w:p w:rsidR="00051BDB" w:rsidRDefault="00051BDB" w:rsidP="00051BDB">
      <w:pPr>
        <w:pStyle w:val="Caption"/>
      </w:pPr>
      <w:bookmarkStart w:id="264" w:name="_Ref416770045"/>
      <w:r>
        <w:t xml:space="preserve">Table </w:t>
      </w:r>
      <w:fldSimple w:instr=" STYLEREF 7 \s ">
        <w:r w:rsidR="00CF2125">
          <w:rPr>
            <w:noProof/>
          </w:rPr>
          <w:t>A</w:t>
        </w:r>
      </w:fldSimple>
      <w:r w:rsidR="00CF2125">
        <w:t>.</w:t>
      </w:r>
      <w:fldSimple w:instr=" SEQ ATable \* ARABIC \s 7 ">
        <w:r w:rsidR="00CF2125">
          <w:rPr>
            <w:noProof/>
          </w:rPr>
          <w:t>16</w:t>
        </w:r>
      </w:fldSimple>
      <w:bookmarkEnd w:id="264"/>
      <w:r>
        <w:tab/>
        <w:t>Steps for making the adjustment to base opex – Ausgrid</w:t>
      </w:r>
    </w:p>
    <w:tbl>
      <w:tblPr>
        <w:tblStyle w:val="AERtable-text0"/>
        <w:tblW w:w="0" w:type="auto"/>
        <w:tblLayout w:type="fixed"/>
        <w:tblLook w:val="04A0" w:firstRow="1" w:lastRow="0" w:firstColumn="1" w:lastColumn="0" w:noHBand="0" w:noVBand="1"/>
      </w:tblPr>
      <w:tblGrid>
        <w:gridCol w:w="1852"/>
        <w:gridCol w:w="3785"/>
        <w:gridCol w:w="1417"/>
        <w:gridCol w:w="1639"/>
      </w:tblGrid>
      <w:tr w:rsidR="00051BDB" w:rsidTr="00051BDB">
        <w:trPr>
          <w:cnfStyle w:val="100000000000" w:firstRow="1" w:lastRow="0" w:firstColumn="0" w:lastColumn="0" w:oddVBand="0" w:evenVBand="0" w:oddHBand="0" w:evenHBand="0" w:firstRowFirstColumn="0" w:firstRowLastColumn="0" w:lastRowFirstColumn="0" w:lastRowLastColumn="0"/>
        </w:trPr>
        <w:tc>
          <w:tcPr>
            <w:tcW w:w="1852" w:type="dxa"/>
          </w:tcPr>
          <w:p w:rsidR="00051BDB" w:rsidRPr="00FF4541" w:rsidRDefault="00051BDB" w:rsidP="00051BDB"/>
        </w:tc>
        <w:tc>
          <w:tcPr>
            <w:tcW w:w="3785" w:type="dxa"/>
          </w:tcPr>
          <w:p w:rsidR="00051BDB" w:rsidRPr="00051BDB" w:rsidRDefault="00051BDB" w:rsidP="00051BDB">
            <w:r w:rsidRPr="00FF4541">
              <w:t>Description</w:t>
            </w:r>
          </w:p>
        </w:tc>
        <w:tc>
          <w:tcPr>
            <w:tcW w:w="1417" w:type="dxa"/>
          </w:tcPr>
          <w:p w:rsidR="00051BDB" w:rsidRPr="00051BDB" w:rsidRDefault="00051BDB" w:rsidP="00051BDB">
            <w:r w:rsidRPr="00FF4541">
              <w:t>Output</w:t>
            </w:r>
          </w:p>
        </w:tc>
        <w:tc>
          <w:tcPr>
            <w:tcW w:w="1639" w:type="dxa"/>
          </w:tcPr>
          <w:p w:rsidR="00051BDB" w:rsidRPr="00051BDB" w:rsidRDefault="00051BDB" w:rsidP="00051BDB">
            <w:r w:rsidRPr="00FF4541">
              <w:t>Calculation</w:t>
            </w:r>
          </w:p>
        </w:tc>
      </w:tr>
      <w:tr w:rsidR="00051BDB" w:rsidTr="00051BDB">
        <w:tc>
          <w:tcPr>
            <w:tcW w:w="1852" w:type="dxa"/>
          </w:tcPr>
          <w:p w:rsidR="00051BDB" w:rsidRPr="00051BDB" w:rsidRDefault="00051BDB" w:rsidP="00051BDB">
            <w:r>
              <w:t xml:space="preserve">Step 1 – Start with </w:t>
            </w:r>
            <w:r w:rsidRPr="00051BDB">
              <w:t>Ausgrid's average opex over the 2006 to 2013 period</w:t>
            </w:r>
          </w:p>
        </w:tc>
        <w:tc>
          <w:tcPr>
            <w:tcW w:w="3785" w:type="dxa"/>
          </w:tcPr>
          <w:p w:rsidR="00051BDB" w:rsidRPr="00051BDB" w:rsidRDefault="00051BDB" w:rsidP="00051BDB">
            <w:r>
              <w:t>Ausgrid</w:t>
            </w:r>
            <w:r w:rsidRPr="00051BDB">
              <w:t>'s network services opex was, on average, $509.3 million ($2013) over the 2006 to 2013 period.</w:t>
            </w:r>
          </w:p>
        </w:tc>
        <w:tc>
          <w:tcPr>
            <w:tcW w:w="1417" w:type="dxa"/>
          </w:tcPr>
          <w:p w:rsidR="00051BDB" w:rsidRPr="00051BDB" w:rsidRDefault="00051BDB" w:rsidP="00051BDB">
            <w:r>
              <w:t>$5</w:t>
            </w:r>
            <w:r w:rsidRPr="00051BDB">
              <w:t>09.3 million ($2013)</w:t>
            </w:r>
          </w:p>
        </w:tc>
        <w:tc>
          <w:tcPr>
            <w:tcW w:w="1639" w:type="dxa"/>
          </w:tcPr>
          <w:p w:rsidR="00051BDB" w:rsidRPr="001328F2" w:rsidRDefault="00051BDB" w:rsidP="00051BDB">
            <w:pPr>
              <w:rPr>
                <w:rStyle w:val="AERtexthighlight"/>
              </w:rPr>
            </w:pP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852" w:type="dxa"/>
          </w:tcPr>
          <w:p w:rsidR="00051BDB" w:rsidRPr="00051BDB" w:rsidRDefault="00051BDB" w:rsidP="00051BDB">
            <w:r>
              <w:t xml:space="preserve">Step 2 </w:t>
            </w:r>
            <w:r w:rsidRPr="00051BDB">
              <w:t xml:space="preserve">—Calculate the raw efficiency scores using our preferred </w:t>
            </w:r>
            <w:r w:rsidRPr="00051BDB">
              <w:lastRenderedPageBreak/>
              <w:t>economic benchmarking model</w:t>
            </w:r>
          </w:p>
        </w:tc>
        <w:tc>
          <w:tcPr>
            <w:tcW w:w="3785" w:type="dxa"/>
          </w:tcPr>
          <w:p w:rsidR="00051BDB" w:rsidRPr="00051BDB" w:rsidRDefault="00051BDB" w:rsidP="00051BDB">
            <w:r w:rsidRPr="00FF4541">
              <w:lastRenderedPageBreak/>
              <w:t xml:space="preserve">Our preferred economic benchmarking model is Economic Insights’ Cobb Douglas SFA model. We use it to determine </w:t>
            </w:r>
            <w:r w:rsidRPr="00051BDB">
              <w:t xml:space="preserve">all service providers' raw </w:t>
            </w:r>
            <w:r w:rsidRPr="00051BDB">
              <w:lastRenderedPageBreak/>
              <w:t xml:space="preserve">efficiency scores. </w:t>
            </w:r>
          </w:p>
          <w:p w:rsidR="00051BDB" w:rsidRPr="00051BDB" w:rsidRDefault="00051BDB" w:rsidP="00051BDB">
            <w:r>
              <w:t>B</w:t>
            </w:r>
            <w:r w:rsidRPr="00051BDB">
              <w:t>ased on Ausgrid's customer numbers, line length, and ratcheted maximum demand over the 2006 to 2013 period. Ausgrid's raw efficiency score is 44.7 per cent.</w:t>
            </w:r>
          </w:p>
        </w:tc>
        <w:tc>
          <w:tcPr>
            <w:tcW w:w="1417" w:type="dxa"/>
          </w:tcPr>
          <w:p w:rsidR="00051BDB" w:rsidRPr="00051BDB" w:rsidRDefault="00051BDB" w:rsidP="00051BDB">
            <w:r>
              <w:lastRenderedPageBreak/>
              <w:t>44.7</w:t>
            </w:r>
            <w:r w:rsidRPr="00051BDB">
              <w:t> per cent</w:t>
            </w:r>
            <w:r w:rsidRPr="00051BDB">
              <w:rPr>
                <w:rStyle w:val="FootnoteReference"/>
              </w:rPr>
              <w:footnoteReference w:id="923"/>
            </w:r>
          </w:p>
        </w:tc>
        <w:tc>
          <w:tcPr>
            <w:tcW w:w="1639" w:type="dxa"/>
          </w:tcPr>
          <w:p w:rsidR="00051BDB" w:rsidRPr="00196464" w:rsidRDefault="00051BDB" w:rsidP="00051BDB">
            <w:pPr>
              <w:rPr>
                <w:rStyle w:val="AERtexthighlight"/>
              </w:rPr>
            </w:pPr>
          </w:p>
        </w:tc>
      </w:tr>
      <w:tr w:rsidR="00051BDB" w:rsidTr="00051BDB">
        <w:tc>
          <w:tcPr>
            <w:tcW w:w="1852" w:type="dxa"/>
          </w:tcPr>
          <w:p w:rsidR="00051BDB" w:rsidRPr="00051BDB" w:rsidRDefault="00051BDB" w:rsidP="00051BDB">
            <w:r>
              <w:lastRenderedPageBreak/>
              <w:t xml:space="preserve">Step </w:t>
            </w:r>
            <w:r w:rsidRPr="00051BDB">
              <w:t>3—Choose the comparison point</w:t>
            </w:r>
          </w:p>
        </w:tc>
        <w:tc>
          <w:tcPr>
            <w:tcW w:w="3785" w:type="dxa"/>
          </w:tcPr>
          <w:p w:rsidR="00051BDB" w:rsidRPr="00051BDB" w:rsidRDefault="00051BDB" w:rsidP="00051BDB">
            <w:r w:rsidRPr="00FF4541">
              <w:t xml:space="preserve">For the purposes of determining </w:t>
            </w:r>
            <w:r w:rsidRPr="00051BDB">
              <w:t xml:space="preserve">our alternative estimate of base opex, we did not base our estimate on the efficient opex estimated by the model. </w:t>
            </w:r>
          </w:p>
          <w:p w:rsidR="00051BDB" w:rsidRPr="00051BDB" w:rsidRDefault="00051BDB" w:rsidP="00051BDB">
            <w:r w:rsidRPr="00FF4541">
              <w:t xml:space="preserve">The comparison point we used was </w:t>
            </w:r>
            <w:r w:rsidRPr="00051BDB">
              <w:t>the lowest of the efficiency scores in the top quartile of possible scores (represented by AusNet Services). According to this model AusNet Services opex is 76.8 per cent efficient based on its performance over the 2006 to 2013 period. Therefore to determine our substitute base we have assumed a prudent and efficient Ausgrid would be operating at an equivalent level of efficiency to AusNet Services.</w:t>
            </w:r>
          </w:p>
        </w:tc>
        <w:tc>
          <w:tcPr>
            <w:tcW w:w="1417" w:type="dxa"/>
          </w:tcPr>
          <w:p w:rsidR="00051BDB" w:rsidRPr="00051BDB" w:rsidRDefault="00051BDB" w:rsidP="00051BDB">
            <w:r w:rsidRPr="00FF4541">
              <w:t>76.8 per cent</w:t>
            </w:r>
            <w:r w:rsidRPr="00051BDB">
              <w:rPr>
                <w:rStyle w:val="FootnoteReference"/>
              </w:rPr>
              <w:footnoteReference w:id="924"/>
            </w:r>
          </w:p>
        </w:tc>
        <w:tc>
          <w:tcPr>
            <w:tcW w:w="1639" w:type="dxa"/>
          </w:tcPr>
          <w:p w:rsidR="00051BDB" w:rsidRPr="001328F2" w:rsidRDefault="00051BDB" w:rsidP="00051BDB">
            <w:pPr>
              <w:rPr>
                <w:rStyle w:val="AERtexthighlight"/>
              </w:rPr>
            </w:pP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852" w:type="dxa"/>
          </w:tcPr>
          <w:p w:rsidR="00051BDB" w:rsidRPr="00051BDB" w:rsidRDefault="00051BDB" w:rsidP="00051BDB">
            <w:r w:rsidRPr="00FF4541">
              <w:t xml:space="preserve">Step 3— Adjust </w:t>
            </w:r>
            <w:r w:rsidRPr="00051BDB">
              <w:t>Ausgrid's raw efficiency score for operating environment factors</w:t>
            </w:r>
          </w:p>
        </w:tc>
        <w:tc>
          <w:tcPr>
            <w:tcW w:w="3785" w:type="dxa"/>
          </w:tcPr>
          <w:p w:rsidR="00051BDB" w:rsidRPr="00051BDB" w:rsidRDefault="00051BDB" w:rsidP="00051BDB">
            <w:r w:rsidRPr="00FF4541">
              <w:t xml:space="preserve">The economic benchmarking model does not capture all operating environment factors likely to affect opex incurred by a prudent and efficient </w:t>
            </w:r>
            <w:r w:rsidRPr="00051BDB">
              <w:t xml:space="preserve">Ausgrid. </w:t>
            </w:r>
          </w:p>
          <w:p w:rsidR="00051BDB" w:rsidRPr="00051BDB" w:rsidRDefault="00051BDB" w:rsidP="00051BDB">
            <w:r w:rsidRPr="00FF4541">
              <w:t xml:space="preserve">We have estimated the effect of these factors and made a further </w:t>
            </w:r>
            <w:r w:rsidRPr="00051BDB">
              <w:t xml:space="preserve">reduction to our estimate where required. We have determined an 11.7 per cent reduction to Ausgrid's comparison point based on our assessment of these factors. </w:t>
            </w:r>
          </w:p>
          <w:p w:rsidR="00051BDB" w:rsidRPr="00051BDB" w:rsidRDefault="00051BDB" w:rsidP="00051BDB">
            <w:r>
              <w:t>A m</w:t>
            </w:r>
            <w:r w:rsidRPr="00051BDB">
              <w:t>aterial operating environment factor we considered was not accounted for in the model is the different subtransmission configurations in NSW.</w:t>
            </w:r>
          </w:p>
        </w:tc>
        <w:tc>
          <w:tcPr>
            <w:tcW w:w="1417" w:type="dxa"/>
          </w:tcPr>
          <w:p w:rsidR="00051BDB" w:rsidRPr="00051BDB" w:rsidRDefault="00051BDB" w:rsidP="00051BDB">
            <w:r>
              <w:t>68.7</w:t>
            </w:r>
            <w:r w:rsidRPr="00051BDB">
              <w:t> per cent</w:t>
            </w:r>
          </w:p>
        </w:tc>
        <w:tc>
          <w:tcPr>
            <w:tcW w:w="1639" w:type="dxa"/>
          </w:tcPr>
          <w:p w:rsidR="00051BDB" w:rsidRPr="00051BDB" w:rsidRDefault="00051BDB" w:rsidP="00051BDB">
            <w:r>
              <w:t>= 0.</w:t>
            </w:r>
            <w:r w:rsidRPr="00051BDB">
              <w:t>768 / (1 + 0.117)</w:t>
            </w:r>
          </w:p>
        </w:tc>
      </w:tr>
      <w:tr w:rsidR="00051BDB" w:rsidTr="00051BDB">
        <w:tc>
          <w:tcPr>
            <w:tcW w:w="1852" w:type="dxa"/>
          </w:tcPr>
          <w:p w:rsidR="00051BDB" w:rsidRPr="00051BDB" w:rsidRDefault="00051BDB" w:rsidP="00051BDB">
            <w:r w:rsidRPr="00FF4541">
              <w:t xml:space="preserve">Step 4—Calculate the </w:t>
            </w:r>
            <w:r w:rsidRPr="00051BDB">
              <w:t>percentage reduction in opex</w:t>
            </w:r>
          </w:p>
        </w:tc>
        <w:tc>
          <w:tcPr>
            <w:tcW w:w="3785" w:type="dxa"/>
          </w:tcPr>
          <w:p w:rsidR="00051BDB" w:rsidRPr="00051BDB" w:rsidRDefault="00051BDB" w:rsidP="00051BDB">
            <w:r w:rsidRPr="00FF4541">
              <w:t xml:space="preserve">We then calculate the opex reduction by comparing </w:t>
            </w:r>
            <w:r w:rsidRPr="00051BDB">
              <w:t>Ausgrid's efficiency score with the adjusted comparison point score.</w:t>
            </w:r>
          </w:p>
        </w:tc>
        <w:tc>
          <w:tcPr>
            <w:tcW w:w="1417" w:type="dxa"/>
          </w:tcPr>
          <w:p w:rsidR="00051BDB" w:rsidRPr="00051BDB" w:rsidRDefault="00051BDB" w:rsidP="00051BDB">
            <w:r>
              <w:t>3</w:t>
            </w:r>
            <w:r w:rsidRPr="00051BDB">
              <w:t>5.0 per cent</w:t>
            </w:r>
          </w:p>
        </w:tc>
        <w:tc>
          <w:tcPr>
            <w:tcW w:w="1639" w:type="dxa"/>
          </w:tcPr>
          <w:p w:rsidR="00051BDB" w:rsidRPr="00051BDB" w:rsidRDefault="00051BDB" w:rsidP="00051BDB">
            <w:r>
              <w:t xml:space="preserve">= </w:t>
            </w:r>
            <w:r w:rsidRPr="00051BDB">
              <w:t>1 – (0.447 / 0.687)</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852" w:type="dxa"/>
          </w:tcPr>
          <w:p w:rsidR="00051BDB" w:rsidRPr="00051BDB" w:rsidRDefault="00051BDB" w:rsidP="00051BDB">
            <w:r w:rsidRPr="00FF4541">
              <w:t>Step 5—Calculate the midpoint efficient opex</w:t>
            </w:r>
          </w:p>
        </w:tc>
        <w:tc>
          <w:tcPr>
            <w:tcW w:w="3785" w:type="dxa"/>
          </w:tcPr>
          <w:p w:rsidR="00051BDB" w:rsidRPr="00051BDB" w:rsidRDefault="00051BDB" w:rsidP="00051BDB">
            <w:r w:rsidRPr="00FF4541">
              <w:t>We</w:t>
            </w:r>
            <w:r w:rsidRPr="00051BDB">
              <w:t xml:space="preserve"> estimate efficient opex at the midpoint of the 2006 to 2013 period by applying the percentage reduction in opex to Ausgrid's average opex over the period.</w:t>
            </w:r>
          </w:p>
          <w:p w:rsidR="00051BDB" w:rsidRPr="00051BDB" w:rsidRDefault="00051BDB" w:rsidP="00051BDB">
            <w:r w:rsidRPr="00FF4541">
              <w:t xml:space="preserve">This represents </w:t>
            </w:r>
            <w:r w:rsidRPr="00051BDB">
              <w:t>our estimate of efficient opex at the midpoint of the 2006 to 2013 period.</w:t>
            </w:r>
          </w:p>
        </w:tc>
        <w:tc>
          <w:tcPr>
            <w:tcW w:w="1417" w:type="dxa"/>
          </w:tcPr>
          <w:p w:rsidR="00051BDB" w:rsidRPr="00051BDB" w:rsidRDefault="00051BDB" w:rsidP="00051BDB">
            <w:r>
              <w:t>33</w:t>
            </w:r>
            <w:r w:rsidRPr="00051BDB">
              <w:t>0.9 million ($2013)</w:t>
            </w:r>
          </w:p>
        </w:tc>
        <w:tc>
          <w:tcPr>
            <w:tcW w:w="1639" w:type="dxa"/>
          </w:tcPr>
          <w:p w:rsidR="00051BDB" w:rsidRPr="00051BDB" w:rsidRDefault="00051BDB" w:rsidP="00051BDB">
            <w:r>
              <w:t>= (1 – 0.35</w:t>
            </w:r>
            <w:r w:rsidRPr="00051BDB">
              <w:t>0)* 509.3 million</w:t>
            </w:r>
          </w:p>
        </w:tc>
      </w:tr>
      <w:tr w:rsidR="00051BDB" w:rsidTr="00051BDB">
        <w:tc>
          <w:tcPr>
            <w:tcW w:w="1852" w:type="dxa"/>
          </w:tcPr>
          <w:p w:rsidR="00051BDB" w:rsidRPr="00051BDB" w:rsidRDefault="00051BDB" w:rsidP="00051BDB">
            <w:r w:rsidRPr="00FF4541">
              <w:t>Step 6— Trend midpoint efficient opex forward to 2012–13</w:t>
            </w:r>
          </w:p>
        </w:tc>
        <w:tc>
          <w:tcPr>
            <w:tcW w:w="3785" w:type="dxa"/>
          </w:tcPr>
          <w:p w:rsidR="00051BDB" w:rsidRPr="00051BDB" w:rsidRDefault="00051BDB" w:rsidP="00051BDB">
            <w:r w:rsidRPr="00FF4541">
              <w:t xml:space="preserve">Our forecasting approach is to use a 2012–13 base year. We have trended the midpoint efficient opex forward to a 2012–13 base year based on Economic Insights’ opex partial factor productivity growth model. </w:t>
            </w:r>
            <w:r w:rsidRPr="00051BDB">
              <w:t>It estimates the growth in efficient opex based on growth in customer numbers, line length, ratcheted maximum demand and share of undergrounding.</w:t>
            </w:r>
          </w:p>
          <w:p w:rsidR="00051BDB" w:rsidRPr="00051BDB" w:rsidRDefault="00051BDB" w:rsidP="00051BDB">
            <w:r>
              <w:t>It estimated</w:t>
            </w:r>
            <w:r w:rsidRPr="00051BDB">
              <w:t xml:space="preserve"> the growth in efficient opex based on </w:t>
            </w:r>
            <w:r w:rsidRPr="00051BDB">
              <w:lastRenderedPageBreak/>
              <w:t>Ausgrid’s growth in these inputs in this period to be 8.48 per cent.</w:t>
            </w:r>
          </w:p>
        </w:tc>
        <w:tc>
          <w:tcPr>
            <w:tcW w:w="1417" w:type="dxa"/>
          </w:tcPr>
          <w:p w:rsidR="00051BDB" w:rsidRPr="00051BDB" w:rsidRDefault="00051BDB" w:rsidP="00051BDB">
            <w:r>
              <w:lastRenderedPageBreak/>
              <w:t>35</w:t>
            </w:r>
            <w:r w:rsidRPr="00051BDB">
              <w:t>9.0 million ($2013)</w:t>
            </w:r>
          </w:p>
        </w:tc>
        <w:tc>
          <w:tcPr>
            <w:tcW w:w="1639" w:type="dxa"/>
          </w:tcPr>
          <w:p w:rsidR="00051BDB" w:rsidRPr="00051BDB" w:rsidRDefault="00051BDB" w:rsidP="00051BDB">
            <w:r w:rsidRPr="00FF4541">
              <w:t xml:space="preserve">= </w:t>
            </w:r>
            <w:r w:rsidRPr="00051BDB">
              <w:t xml:space="preserve">330.9 × (1+ 0.0848) </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852" w:type="dxa"/>
          </w:tcPr>
          <w:p w:rsidR="00051BDB" w:rsidRPr="00051BDB" w:rsidRDefault="00051BDB" w:rsidP="00051BDB">
            <w:r w:rsidRPr="00FF4541">
              <w:lastRenderedPageBreak/>
              <w:t>Step 7—Adjust</w:t>
            </w:r>
            <w:r w:rsidRPr="00051BDB">
              <w:t xml:space="preserve"> our estimate of 2012–13 base year opex for CPI</w:t>
            </w:r>
          </w:p>
        </w:tc>
        <w:tc>
          <w:tcPr>
            <w:tcW w:w="3785" w:type="dxa"/>
          </w:tcPr>
          <w:p w:rsidR="00051BDB" w:rsidRPr="00051BDB" w:rsidRDefault="00051BDB" w:rsidP="00051BDB">
            <w:r w:rsidRPr="00FF4541">
              <w:t xml:space="preserve">The output in step 6 is in </w:t>
            </w:r>
            <w:r w:rsidRPr="00051BDB">
              <w:t>real 2013 dollars. We need to convert it to real 2013–14 dollars for the purposes of forming our substitute estimate of base opex. This reflects one and a half years of inflation. This is our estimate of base opex.</w:t>
            </w:r>
          </w:p>
        </w:tc>
        <w:tc>
          <w:tcPr>
            <w:tcW w:w="1417" w:type="dxa"/>
          </w:tcPr>
          <w:p w:rsidR="00051BDB" w:rsidRPr="00051BDB" w:rsidRDefault="00051BDB" w:rsidP="00051BDB">
            <w:r>
              <w:t>37</w:t>
            </w:r>
            <w:r w:rsidRPr="00051BDB">
              <w:t>4.2 million ($2013–14)</w:t>
            </w:r>
          </w:p>
        </w:tc>
        <w:tc>
          <w:tcPr>
            <w:tcW w:w="1639" w:type="dxa"/>
          </w:tcPr>
          <w:p w:rsidR="00051BDB" w:rsidRPr="00051BDB" w:rsidRDefault="00051BDB" w:rsidP="00051BDB">
            <w:r w:rsidRPr="00FF4541">
              <w:t xml:space="preserve">= </w:t>
            </w:r>
            <w:r w:rsidRPr="00051BDB">
              <w:t xml:space="preserve">359.0 × (1 + 0.042) </w:t>
            </w:r>
          </w:p>
        </w:tc>
      </w:tr>
    </w:tbl>
    <w:p w:rsidR="00051BDB" w:rsidRPr="00051BDB" w:rsidRDefault="00051BDB" w:rsidP="00051BDB">
      <w:pPr>
        <w:pStyle w:val="AERtablesource"/>
        <w:numPr>
          <w:ilvl w:val="0"/>
          <w:numId w:val="24"/>
        </w:numPr>
      </w:pPr>
      <w:r>
        <w:t>Source: AER analysis</w:t>
      </w:r>
      <w:bookmarkStart w:id="265" w:name="_Ref417477225"/>
    </w:p>
    <w:p w:rsidR="00051BDB" w:rsidRDefault="00051BDB" w:rsidP="00051BDB">
      <w:pPr>
        <w:pStyle w:val="Caption"/>
        <w:numPr>
          <w:ilvl w:val="0"/>
          <w:numId w:val="24"/>
        </w:numPr>
      </w:pPr>
      <w:bookmarkStart w:id="266" w:name="_Ref417551761"/>
      <w:r>
        <w:t xml:space="preserve">Table </w:t>
      </w:r>
      <w:fldSimple w:instr=" STYLEREF 7 \s ">
        <w:r w:rsidR="00CF2125">
          <w:rPr>
            <w:noProof/>
          </w:rPr>
          <w:t>A</w:t>
        </w:r>
      </w:fldSimple>
      <w:r w:rsidR="00CF2125">
        <w:t>.</w:t>
      </w:r>
      <w:fldSimple w:instr=" SEQ ATable \* ARABIC \s 7 ">
        <w:r w:rsidR="00CF2125">
          <w:rPr>
            <w:noProof/>
          </w:rPr>
          <w:t>17</w:t>
        </w:r>
      </w:fldSimple>
      <w:bookmarkEnd w:id="265"/>
      <w:bookmarkEnd w:id="266"/>
      <w:r>
        <w:tab/>
        <w:t>Steps for making the adjustment to base opex – Essential Energy</w:t>
      </w:r>
    </w:p>
    <w:tbl>
      <w:tblPr>
        <w:tblStyle w:val="AERtable-text0"/>
        <w:tblW w:w="0" w:type="auto"/>
        <w:tblLayout w:type="fixed"/>
        <w:tblLook w:val="04A0" w:firstRow="1" w:lastRow="0" w:firstColumn="1" w:lastColumn="0" w:noHBand="0" w:noVBand="1"/>
      </w:tblPr>
      <w:tblGrid>
        <w:gridCol w:w="1852"/>
        <w:gridCol w:w="3785"/>
        <w:gridCol w:w="1417"/>
        <w:gridCol w:w="1639"/>
      </w:tblGrid>
      <w:tr w:rsidR="00051BDB" w:rsidTr="00051BDB">
        <w:trPr>
          <w:cnfStyle w:val="100000000000" w:firstRow="1" w:lastRow="0" w:firstColumn="0" w:lastColumn="0" w:oddVBand="0" w:evenVBand="0" w:oddHBand="0" w:evenHBand="0" w:firstRowFirstColumn="0" w:firstRowLastColumn="0" w:lastRowFirstColumn="0" w:lastRowLastColumn="0"/>
        </w:trPr>
        <w:tc>
          <w:tcPr>
            <w:tcW w:w="1852" w:type="dxa"/>
          </w:tcPr>
          <w:p w:rsidR="00051BDB" w:rsidRPr="007468AF" w:rsidRDefault="00051BDB" w:rsidP="00051BDB"/>
        </w:tc>
        <w:tc>
          <w:tcPr>
            <w:tcW w:w="3785" w:type="dxa"/>
          </w:tcPr>
          <w:p w:rsidR="00051BDB" w:rsidRPr="00051BDB" w:rsidRDefault="00051BDB" w:rsidP="00051BDB">
            <w:r w:rsidRPr="007468AF">
              <w:t>Description</w:t>
            </w:r>
          </w:p>
        </w:tc>
        <w:tc>
          <w:tcPr>
            <w:tcW w:w="1417" w:type="dxa"/>
          </w:tcPr>
          <w:p w:rsidR="00051BDB" w:rsidRPr="00051BDB" w:rsidRDefault="00051BDB" w:rsidP="00051BDB">
            <w:r w:rsidRPr="007468AF">
              <w:t>Output</w:t>
            </w:r>
          </w:p>
        </w:tc>
        <w:tc>
          <w:tcPr>
            <w:tcW w:w="1639" w:type="dxa"/>
          </w:tcPr>
          <w:p w:rsidR="00051BDB" w:rsidRPr="00051BDB" w:rsidRDefault="00051BDB" w:rsidP="00051BDB">
            <w:r w:rsidRPr="007468AF">
              <w:t>Calculation</w:t>
            </w:r>
          </w:p>
        </w:tc>
      </w:tr>
      <w:tr w:rsidR="00051BDB" w:rsidTr="00051BDB">
        <w:tc>
          <w:tcPr>
            <w:tcW w:w="1852" w:type="dxa"/>
          </w:tcPr>
          <w:p w:rsidR="00051BDB" w:rsidRPr="00051BDB" w:rsidRDefault="00051BDB" w:rsidP="00051BDB">
            <w:r w:rsidRPr="007468AF">
              <w:t xml:space="preserve">Step 1 – Start with </w:t>
            </w:r>
            <w:r w:rsidRPr="00051BDB">
              <w:t>Essential Energy's average opex over the 2006 to 2013 period</w:t>
            </w:r>
          </w:p>
        </w:tc>
        <w:tc>
          <w:tcPr>
            <w:tcW w:w="3785" w:type="dxa"/>
          </w:tcPr>
          <w:p w:rsidR="00051BDB" w:rsidRPr="00051BDB" w:rsidRDefault="00051BDB" w:rsidP="00051BDB">
            <w:r>
              <w:t>Essential Energy</w:t>
            </w:r>
            <w:r w:rsidRPr="00051BDB">
              <w:t>'s network services opex was, on average, $352.5 million ($2013) over the 2006 to 2013 period.</w:t>
            </w:r>
          </w:p>
        </w:tc>
        <w:tc>
          <w:tcPr>
            <w:tcW w:w="1417" w:type="dxa"/>
          </w:tcPr>
          <w:p w:rsidR="00051BDB" w:rsidRPr="00051BDB" w:rsidRDefault="00051BDB" w:rsidP="00051BDB">
            <w:r>
              <w:t>$352.5</w:t>
            </w:r>
            <w:r w:rsidRPr="00051BDB">
              <w:t xml:space="preserve"> million ($2013)</w:t>
            </w:r>
          </w:p>
        </w:tc>
        <w:tc>
          <w:tcPr>
            <w:tcW w:w="1639" w:type="dxa"/>
          </w:tcPr>
          <w:p w:rsidR="00051BDB" w:rsidRPr="001328F2" w:rsidRDefault="00051BDB" w:rsidP="00051BDB">
            <w:pPr>
              <w:rPr>
                <w:rStyle w:val="AERtexthighlight"/>
              </w:rPr>
            </w:pP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852" w:type="dxa"/>
          </w:tcPr>
          <w:p w:rsidR="00051BDB" w:rsidRPr="00051BDB" w:rsidRDefault="00051BDB" w:rsidP="00051BDB">
            <w:r w:rsidRPr="007468AF">
              <w:t>Step 2 —Calculate</w:t>
            </w:r>
            <w:r w:rsidRPr="00051BDB">
              <w:t xml:space="preserve"> the raw efficiency scores using our preferred economic benchmarking model</w:t>
            </w:r>
          </w:p>
        </w:tc>
        <w:tc>
          <w:tcPr>
            <w:tcW w:w="3785" w:type="dxa"/>
          </w:tcPr>
          <w:p w:rsidR="00051BDB" w:rsidRPr="00051BDB" w:rsidRDefault="00051BDB" w:rsidP="00051BDB">
            <w:r w:rsidRPr="007468AF">
              <w:t xml:space="preserve">Our preferred economic benchmarking model is Economic Insights’ Cobb Douglas SFA model. We use it to determine all service providers' raw efficiency scores. </w:t>
            </w:r>
          </w:p>
          <w:p w:rsidR="00051BDB" w:rsidRPr="00051BDB" w:rsidRDefault="00051BDB" w:rsidP="00051BDB">
            <w:r w:rsidRPr="007468AF">
              <w:t xml:space="preserve">Based on </w:t>
            </w:r>
            <w:r w:rsidRPr="00051BDB">
              <w:t>Essential Energy's customer numbers, line length, and ratcheted maximum demand over the 2006 to 2013 period. Essential Energy's raw efficiency score is 54.9 per cent.</w:t>
            </w:r>
          </w:p>
        </w:tc>
        <w:tc>
          <w:tcPr>
            <w:tcW w:w="1417" w:type="dxa"/>
          </w:tcPr>
          <w:p w:rsidR="00051BDB" w:rsidRPr="00051BDB" w:rsidRDefault="00051BDB" w:rsidP="00051BDB">
            <w:r>
              <w:t>54</w:t>
            </w:r>
            <w:r w:rsidRPr="00051BDB">
              <w:t>.9 per cent</w:t>
            </w:r>
            <w:r w:rsidRPr="00051BDB">
              <w:rPr>
                <w:rStyle w:val="FootnoteReference"/>
              </w:rPr>
              <w:footnoteReference w:id="925"/>
            </w:r>
          </w:p>
        </w:tc>
        <w:tc>
          <w:tcPr>
            <w:tcW w:w="1639" w:type="dxa"/>
          </w:tcPr>
          <w:p w:rsidR="00051BDB" w:rsidRPr="007468AF" w:rsidRDefault="00051BDB" w:rsidP="00051BDB">
            <w:pPr>
              <w:rPr>
                <w:rStyle w:val="AERtexthighlight"/>
              </w:rPr>
            </w:pPr>
          </w:p>
        </w:tc>
      </w:tr>
      <w:tr w:rsidR="00051BDB" w:rsidTr="00051BDB">
        <w:tc>
          <w:tcPr>
            <w:tcW w:w="1852" w:type="dxa"/>
          </w:tcPr>
          <w:p w:rsidR="00051BDB" w:rsidRPr="00051BDB" w:rsidRDefault="00051BDB" w:rsidP="00051BDB">
            <w:r w:rsidRPr="007468AF">
              <w:t>Step 3—Choose the comparison point</w:t>
            </w:r>
          </w:p>
        </w:tc>
        <w:tc>
          <w:tcPr>
            <w:tcW w:w="3785" w:type="dxa"/>
          </w:tcPr>
          <w:p w:rsidR="00051BDB" w:rsidRPr="00051BDB" w:rsidRDefault="00051BDB" w:rsidP="00051BDB">
            <w:r w:rsidRPr="007468AF">
              <w:t xml:space="preserve">For the purposes of determining our alternative estimate of base opex, we did not base our estimate on the efficient opex estimated by the model. </w:t>
            </w:r>
          </w:p>
          <w:p w:rsidR="00051BDB" w:rsidRPr="00051BDB" w:rsidRDefault="00051BDB" w:rsidP="00051BDB">
            <w:r w:rsidRPr="007468AF">
              <w:t xml:space="preserve">The comparison point we used was </w:t>
            </w:r>
            <w:r w:rsidRPr="00051BDB">
              <w:t>lowest of the efficiency scores in the top quartile of possible scores (represented by AusNet Services).  According to this model AusNet Services opex is 76.8 per cent efficient based on its performance over the 2006 to 2013 period. Therefore to determine our substitute base we have assumed a prudent and efficient Essential Energy would be operating at an equivalent level of efficiency to AusNet Services.</w:t>
            </w:r>
          </w:p>
        </w:tc>
        <w:tc>
          <w:tcPr>
            <w:tcW w:w="1417" w:type="dxa"/>
          </w:tcPr>
          <w:p w:rsidR="00051BDB" w:rsidRPr="00051BDB" w:rsidRDefault="00051BDB" w:rsidP="00051BDB">
            <w:r w:rsidRPr="007468AF">
              <w:t>76.8 per cent</w:t>
            </w:r>
            <w:r w:rsidRPr="00051BDB">
              <w:rPr>
                <w:rStyle w:val="FootnoteReference"/>
              </w:rPr>
              <w:footnoteReference w:id="926"/>
            </w:r>
          </w:p>
        </w:tc>
        <w:tc>
          <w:tcPr>
            <w:tcW w:w="1639" w:type="dxa"/>
          </w:tcPr>
          <w:p w:rsidR="00051BDB" w:rsidRPr="001328F2" w:rsidRDefault="00051BDB" w:rsidP="00051BDB">
            <w:pPr>
              <w:rPr>
                <w:rStyle w:val="AERtexthighlight"/>
              </w:rPr>
            </w:pP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852" w:type="dxa"/>
          </w:tcPr>
          <w:p w:rsidR="00051BDB" w:rsidRPr="00051BDB" w:rsidRDefault="00051BDB" w:rsidP="00051BDB">
            <w:r w:rsidRPr="007468AF">
              <w:t xml:space="preserve">Step 3— Adjust </w:t>
            </w:r>
            <w:r w:rsidRPr="00051BDB">
              <w:t>Essential Energy's raw efficiency score for operating environment factors</w:t>
            </w:r>
          </w:p>
        </w:tc>
        <w:tc>
          <w:tcPr>
            <w:tcW w:w="3785" w:type="dxa"/>
          </w:tcPr>
          <w:p w:rsidR="00051BDB" w:rsidRPr="00051BDB" w:rsidRDefault="00051BDB" w:rsidP="00051BDB">
            <w:r w:rsidRPr="007468AF">
              <w:t xml:space="preserve">The economic benchmarking model does not capture all operating environment factors likely to affect opex incurred by a prudent and efficient </w:t>
            </w:r>
            <w:r w:rsidRPr="00051BDB">
              <w:t xml:space="preserve">Essential Energy. </w:t>
            </w:r>
          </w:p>
          <w:p w:rsidR="00051BDB" w:rsidRPr="00051BDB" w:rsidRDefault="00051BDB" w:rsidP="00051BDB">
            <w:r w:rsidRPr="007468AF">
              <w:t xml:space="preserve">We have estimated the effect of these factors and made a further </w:t>
            </w:r>
            <w:r w:rsidRPr="00051BDB">
              <w:t xml:space="preserve">reduction to our estimate where required. We have determined a 10.7 per cent </w:t>
            </w:r>
            <w:r w:rsidRPr="00051BDB">
              <w:lastRenderedPageBreak/>
              <w:t xml:space="preserve">reduction to Essential Energy's comparison point based on our assessment of these factors. </w:t>
            </w:r>
          </w:p>
          <w:p w:rsidR="00051BDB" w:rsidRPr="00051BDB" w:rsidRDefault="00051BDB" w:rsidP="00051BDB">
            <w:r>
              <w:t>A m</w:t>
            </w:r>
            <w:r w:rsidRPr="00051BDB">
              <w:t>aterial operating environment factor we considered was not accounted for in the model is the different subtransmission configurations in NSW.</w:t>
            </w:r>
          </w:p>
        </w:tc>
        <w:tc>
          <w:tcPr>
            <w:tcW w:w="1417" w:type="dxa"/>
          </w:tcPr>
          <w:p w:rsidR="00051BDB" w:rsidRPr="00051BDB" w:rsidRDefault="00051BDB" w:rsidP="00051BDB">
            <w:r>
              <w:lastRenderedPageBreak/>
              <w:t>6</w:t>
            </w:r>
            <w:r w:rsidRPr="00051BDB">
              <w:t>9.4 per cent</w:t>
            </w:r>
          </w:p>
        </w:tc>
        <w:tc>
          <w:tcPr>
            <w:tcW w:w="1639" w:type="dxa"/>
          </w:tcPr>
          <w:p w:rsidR="00051BDB" w:rsidRPr="00051BDB" w:rsidRDefault="00051BDB" w:rsidP="00051BDB">
            <w:r w:rsidRPr="007468AF">
              <w:t>= 0.</w:t>
            </w:r>
            <w:r w:rsidRPr="00051BDB">
              <w:t>768 / (1 + 0.107)</w:t>
            </w:r>
          </w:p>
        </w:tc>
      </w:tr>
      <w:tr w:rsidR="00051BDB" w:rsidTr="00051BDB">
        <w:tc>
          <w:tcPr>
            <w:tcW w:w="1852" w:type="dxa"/>
          </w:tcPr>
          <w:p w:rsidR="00051BDB" w:rsidRPr="00051BDB" w:rsidRDefault="00051BDB" w:rsidP="00051BDB">
            <w:r w:rsidRPr="007468AF">
              <w:lastRenderedPageBreak/>
              <w:t xml:space="preserve">Step </w:t>
            </w:r>
            <w:r w:rsidRPr="00051BDB">
              <w:t>4—Calculate the percentage reduction in opex</w:t>
            </w:r>
          </w:p>
        </w:tc>
        <w:tc>
          <w:tcPr>
            <w:tcW w:w="3785" w:type="dxa"/>
          </w:tcPr>
          <w:p w:rsidR="00051BDB" w:rsidRPr="00051BDB" w:rsidRDefault="00051BDB" w:rsidP="00051BDB">
            <w:r w:rsidRPr="007468AF">
              <w:t xml:space="preserve">We then calculate the opex reduction by comparing </w:t>
            </w:r>
            <w:r w:rsidRPr="00051BDB">
              <w:t>Essential Energy's efficiency score with the adjusted comparison point score.</w:t>
            </w:r>
          </w:p>
        </w:tc>
        <w:tc>
          <w:tcPr>
            <w:tcW w:w="1417" w:type="dxa"/>
          </w:tcPr>
          <w:p w:rsidR="00051BDB" w:rsidRPr="00051BDB" w:rsidRDefault="00051BDB" w:rsidP="00051BDB">
            <w:r>
              <w:t>2</w:t>
            </w:r>
            <w:r w:rsidRPr="00051BDB">
              <w:t>0.9 per cent</w:t>
            </w:r>
          </w:p>
        </w:tc>
        <w:tc>
          <w:tcPr>
            <w:tcW w:w="1639" w:type="dxa"/>
          </w:tcPr>
          <w:p w:rsidR="00051BDB" w:rsidRPr="00051BDB" w:rsidRDefault="00051BDB" w:rsidP="00051BDB">
            <w:r w:rsidRPr="007468AF">
              <w:t>= 1 – (0.</w:t>
            </w:r>
            <w:r w:rsidRPr="00051BDB">
              <w:t>549 / 0.694)</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852" w:type="dxa"/>
          </w:tcPr>
          <w:p w:rsidR="00051BDB" w:rsidRPr="00051BDB" w:rsidRDefault="00051BDB" w:rsidP="00051BDB">
            <w:r w:rsidRPr="007468AF">
              <w:t>Step 5—Calculate the midpoint efficient opex</w:t>
            </w:r>
          </w:p>
        </w:tc>
        <w:tc>
          <w:tcPr>
            <w:tcW w:w="3785" w:type="dxa"/>
          </w:tcPr>
          <w:p w:rsidR="00051BDB" w:rsidRPr="00051BDB" w:rsidRDefault="00051BDB" w:rsidP="00051BDB">
            <w:r w:rsidRPr="007468AF">
              <w:t xml:space="preserve">We estimate efficient opex at the midpoint of the 2006 to 2013 period by applying the percentage reduction in opex to </w:t>
            </w:r>
            <w:r w:rsidRPr="00051BDB">
              <w:t>Essential Energy's average opex over the period.</w:t>
            </w:r>
          </w:p>
          <w:p w:rsidR="00051BDB" w:rsidRPr="00051BDB" w:rsidRDefault="00051BDB" w:rsidP="00051BDB">
            <w:r w:rsidRPr="007468AF">
              <w:t>This represents our estimate of efficient opex at the midpoint of the 2006 to 2013 period.</w:t>
            </w:r>
          </w:p>
        </w:tc>
        <w:tc>
          <w:tcPr>
            <w:tcW w:w="1417" w:type="dxa"/>
          </w:tcPr>
          <w:p w:rsidR="00051BDB" w:rsidRPr="00051BDB" w:rsidRDefault="00051BDB" w:rsidP="00051BDB">
            <w:r>
              <w:t>278.</w:t>
            </w:r>
            <w:r w:rsidRPr="00051BDB">
              <w:t>8 million ($2013)</w:t>
            </w:r>
          </w:p>
        </w:tc>
        <w:tc>
          <w:tcPr>
            <w:tcW w:w="1639" w:type="dxa"/>
          </w:tcPr>
          <w:p w:rsidR="00051BDB" w:rsidRPr="00051BDB" w:rsidRDefault="00051BDB" w:rsidP="00051BDB">
            <w:r>
              <w:t>= (1 – 0.2</w:t>
            </w:r>
            <w:r w:rsidRPr="00051BDB">
              <w:t>09)* 352.5 million</w:t>
            </w:r>
          </w:p>
        </w:tc>
      </w:tr>
      <w:tr w:rsidR="00051BDB" w:rsidTr="00051BDB">
        <w:tc>
          <w:tcPr>
            <w:tcW w:w="1852" w:type="dxa"/>
          </w:tcPr>
          <w:p w:rsidR="00051BDB" w:rsidRPr="00051BDB" w:rsidRDefault="00051BDB" w:rsidP="00051BDB">
            <w:r w:rsidRPr="007468AF">
              <w:t>Step 6— Trend midpoint efficient opex forward to 2012–13</w:t>
            </w:r>
          </w:p>
        </w:tc>
        <w:tc>
          <w:tcPr>
            <w:tcW w:w="3785" w:type="dxa"/>
          </w:tcPr>
          <w:p w:rsidR="00051BDB" w:rsidRPr="00051BDB" w:rsidRDefault="00051BDB" w:rsidP="00051BDB">
            <w:r w:rsidRPr="007468AF">
              <w:t>Our forecasting approach is to use a 2012–13 base year. We have trended the midpoint efficient opex forward to a 2012–13 base year based on Economic Insights’ opex</w:t>
            </w:r>
            <w:r w:rsidRPr="00051BDB">
              <w:t xml:space="preserve"> partial factor productivity growth model. It estimates the growth in efficient opex based on growth in customer numbers, line length, ratcheted maximum demand and share of undergrounding.</w:t>
            </w:r>
          </w:p>
          <w:p w:rsidR="00051BDB" w:rsidRPr="00051BDB" w:rsidRDefault="00051BDB" w:rsidP="00051BDB">
            <w:r w:rsidRPr="007468AF">
              <w:t xml:space="preserve">It estimated the growth in efficient opex based on </w:t>
            </w:r>
            <w:r w:rsidRPr="00051BDB">
              <w:t>Essential Energy’s growth in these inputs in this period to be 6.04 per cent.</w:t>
            </w:r>
          </w:p>
        </w:tc>
        <w:tc>
          <w:tcPr>
            <w:tcW w:w="1417" w:type="dxa"/>
          </w:tcPr>
          <w:p w:rsidR="00051BDB" w:rsidRPr="00051BDB" w:rsidRDefault="00051BDB" w:rsidP="00051BDB">
            <w:r>
              <w:t>295.</w:t>
            </w:r>
            <w:r w:rsidRPr="00051BDB">
              <w:t>7 million ($2013)</w:t>
            </w:r>
          </w:p>
        </w:tc>
        <w:tc>
          <w:tcPr>
            <w:tcW w:w="1639" w:type="dxa"/>
          </w:tcPr>
          <w:p w:rsidR="00051BDB" w:rsidRPr="00051BDB" w:rsidRDefault="00051BDB" w:rsidP="00051BDB">
            <w:r w:rsidRPr="007468AF">
              <w:t xml:space="preserve">= </w:t>
            </w:r>
            <w:r w:rsidRPr="00051BDB">
              <w:t xml:space="preserve">278.8 × (1+ 0.0604) </w:t>
            </w:r>
          </w:p>
        </w:tc>
      </w:tr>
      <w:tr w:rsidR="00051BDB" w:rsidTr="00051BDB">
        <w:trPr>
          <w:cnfStyle w:val="000000010000" w:firstRow="0" w:lastRow="0" w:firstColumn="0" w:lastColumn="0" w:oddVBand="0" w:evenVBand="0" w:oddHBand="0" w:evenHBand="1" w:firstRowFirstColumn="0" w:firstRowLastColumn="0" w:lastRowFirstColumn="0" w:lastRowLastColumn="0"/>
        </w:trPr>
        <w:tc>
          <w:tcPr>
            <w:tcW w:w="1852" w:type="dxa"/>
          </w:tcPr>
          <w:p w:rsidR="00051BDB" w:rsidRPr="00051BDB" w:rsidRDefault="00051BDB" w:rsidP="00051BDB">
            <w:r w:rsidRPr="007468AF">
              <w:t>Step 7—</w:t>
            </w:r>
            <w:r w:rsidRPr="00051BDB">
              <w:t xml:space="preserve"> Adjust our estimate of 2012–13 base year opex for CPI</w:t>
            </w:r>
          </w:p>
        </w:tc>
        <w:tc>
          <w:tcPr>
            <w:tcW w:w="3785" w:type="dxa"/>
          </w:tcPr>
          <w:p w:rsidR="00051BDB" w:rsidRPr="00051BDB" w:rsidRDefault="00051BDB" w:rsidP="00051BDB">
            <w:r w:rsidRPr="007468AF">
              <w:t xml:space="preserve">The output in step 6 is in real 2013 </w:t>
            </w:r>
            <w:r w:rsidRPr="00051BDB">
              <w:t xml:space="preserve">dollars. We need to convert it to real 2013–14 dollars. This reflects one and a half years of inflation. </w:t>
            </w:r>
          </w:p>
        </w:tc>
        <w:tc>
          <w:tcPr>
            <w:tcW w:w="1417" w:type="dxa"/>
          </w:tcPr>
          <w:p w:rsidR="00051BDB" w:rsidRPr="00051BDB" w:rsidRDefault="00051BDB" w:rsidP="00051BDB">
            <w:r>
              <w:t>30</w:t>
            </w:r>
            <w:r w:rsidRPr="00051BDB">
              <w:t>8.2 million ($2013–14)</w:t>
            </w:r>
          </w:p>
        </w:tc>
        <w:tc>
          <w:tcPr>
            <w:tcW w:w="1639" w:type="dxa"/>
          </w:tcPr>
          <w:p w:rsidR="00051BDB" w:rsidRPr="00051BDB" w:rsidRDefault="00051BDB" w:rsidP="00051BDB">
            <w:r w:rsidRPr="007468AF">
              <w:t xml:space="preserve">= </w:t>
            </w:r>
            <w:r w:rsidRPr="00051BDB">
              <w:t xml:space="preserve">295.7 × (1 + 0.042) </w:t>
            </w:r>
          </w:p>
        </w:tc>
      </w:tr>
      <w:tr w:rsidR="00051BDB" w:rsidTr="00051BDB">
        <w:tc>
          <w:tcPr>
            <w:tcW w:w="1852" w:type="dxa"/>
          </w:tcPr>
          <w:p w:rsidR="00051BDB" w:rsidRPr="00051BDB" w:rsidRDefault="00051BDB" w:rsidP="00051BDB">
            <w:r>
              <w:t>Step 8 - Convert to final year estimate</w:t>
            </w:r>
          </w:p>
        </w:tc>
        <w:tc>
          <w:tcPr>
            <w:tcW w:w="3785" w:type="dxa"/>
          </w:tcPr>
          <w:p w:rsidR="00051BDB" w:rsidRPr="00051BDB" w:rsidRDefault="00051BDB" w:rsidP="00051BDB">
            <w:r>
              <w:t xml:space="preserve">The </w:t>
            </w:r>
            <w:r w:rsidRPr="00051BDB">
              <w:t>guideline specifies that we will convert our estimate of base year opex into a final year estimate.</w:t>
            </w:r>
          </w:p>
          <w:p w:rsidR="00051BDB" w:rsidRPr="00051BDB" w:rsidRDefault="00051BDB" w:rsidP="00051BDB">
            <w:r w:rsidRPr="00F1235F">
              <w:t xml:space="preserve">We used </w:t>
            </w:r>
            <w:r w:rsidRPr="00051BDB">
              <w:t>the formula in the guideline to determine our unadjusted estimate of opex for 2013–14.</w:t>
            </w:r>
          </w:p>
          <w:p w:rsidR="00051BDB" w:rsidRPr="00051BDB" w:rsidRDefault="00051BDB" w:rsidP="00051BDB">
            <w:r>
              <w:t>We used the 2012–13 efficient opex value</w:t>
            </w:r>
            <w:r w:rsidRPr="00051BDB">
              <w:t xml:space="preserve"> in step 7 to determine what the efficiency adjustment would be for 2012–13 (–26.3%), taking into account changes to Essential Energy's service classification.</w:t>
            </w:r>
          </w:p>
          <w:p w:rsidR="00051BDB" w:rsidRPr="00051BDB" w:rsidRDefault="00051BDB" w:rsidP="00051BDB">
            <w:r>
              <w:t>To arrive at our adjusted final year estimate, we</w:t>
            </w:r>
            <w:r w:rsidRPr="00051BDB">
              <w:t xml:space="preserve"> applied the efficiency adjustment to our unadjusted estimate of 2013–14 opex.</w:t>
            </w:r>
          </w:p>
        </w:tc>
        <w:tc>
          <w:tcPr>
            <w:tcW w:w="1417" w:type="dxa"/>
          </w:tcPr>
          <w:p w:rsidR="00051BDB" w:rsidRPr="00051BDB" w:rsidRDefault="00051BDB" w:rsidP="00051BDB">
            <w:r>
              <w:t>311.</w:t>
            </w:r>
            <w:r w:rsidRPr="00051BDB">
              <w:t>9 million ($2013–14)</w:t>
            </w:r>
          </w:p>
        </w:tc>
        <w:tc>
          <w:tcPr>
            <w:tcW w:w="1639" w:type="dxa"/>
          </w:tcPr>
          <w:p w:rsidR="00051BDB" w:rsidRPr="001328F2" w:rsidRDefault="00051BDB" w:rsidP="00051BDB"/>
        </w:tc>
      </w:tr>
    </w:tbl>
    <w:p w:rsidR="00051BDB" w:rsidRPr="001328F2" w:rsidRDefault="00051BDB" w:rsidP="00051BDB"/>
    <w:p w:rsidR="00051BDB" w:rsidRPr="00051BDB" w:rsidRDefault="00051BDB" w:rsidP="00051BDB"/>
    <w:p w:rsidR="005302FD" w:rsidRDefault="005302FD" w:rsidP="005302FD">
      <w:pPr>
        <w:pStyle w:val="Heading7"/>
      </w:pPr>
      <w:bookmarkStart w:id="267" w:name="_Toc417719061"/>
      <w:r w:rsidRPr="005302FD">
        <w:lastRenderedPageBreak/>
        <w:t>Rate of change</w:t>
      </w:r>
      <w:bookmarkEnd w:id="267"/>
    </w:p>
    <w:p w:rsidR="00CA2215" w:rsidRPr="00ED74B3" w:rsidRDefault="00CA2215" w:rsidP="00CA2215">
      <w:pPr>
        <w:numPr>
          <w:ilvl w:val="0"/>
          <w:numId w:val="24"/>
        </w:numPr>
      </w:pPr>
      <w:r w:rsidRPr="00ED74B3">
        <w:t xml:space="preserve">Our forecast of total opex includes an allowance to account for efficient changes in opex over time. </w:t>
      </w:r>
    </w:p>
    <w:p w:rsidR="00CA2215" w:rsidRPr="00ED74B3" w:rsidRDefault="00CA2215" w:rsidP="00CA2215">
      <w:pPr>
        <w:numPr>
          <w:ilvl w:val="0"/>
          <w:numId w:val="24"/>
        </w:numPr>
      </w:pPr>
      <w:r w:rsidRPr="00ED74B3">
        <w:t>There are several reasons why opex that reflects the opex criteria for each year of a regulatory control period might differ from expenditure in the base year.</w:t>
      </w:r>
    </w:p>
    <w:p w:rsidR="00CA2215" w:rsidRPr="00ED74B3" w:rsidRDefault="00CA2215" w:rsidP="00CA2215">
      <w:pPr>
        <w:numPr>
          <w:ilvl w:val="0"/>
          <w:numId w:val="24"/>
        </w:numPr>
      </w:pPr>
      <w:r w:rsidRPr="00ED74B3">
        <w:t>As set out in our Expenditure forecast assessment guideline (our Guideline), we have developed an opex forecast incorporating the rate of change to account for the following factors:</w:t>
      </w:r>
      <w:r w:rsidRPr="00ED74B3">
        <w:rPr>
          <w:rStyle w:val="FootnoteReference"/>
        </w:rPr>
        <w:footnoteReference w:id="927"/>
      </w:r>
    </w:p>
    <w:p w:rsidR="00CA2215" w:rsidRPr="00ED74B3" w:rsidRDefault="00CA2215" w:rsidP="00CA2215">
      <w:pPr>
        <w:pStyle w:val="AERbulletlistfirststyle"/>
      </w:pPr>
      <w:r w:rsidRPr="00ED74B3">
        <w:t>price growth</w:t>
      </w:r>
    </w:p>
    <w:p w:rsidR="00CA2215" w:rsidRPr="00ED74B3" w:rsidRDefault="00CA2215" w:rsidP="00CA2215">
      <w:pPr>
        <w:pStyle w:val="AERbulletlistfirststyle"/>
      </w:pPr>
      <w:r w:rsidRPr="00ED74B3">
        <w:t>output growth</w:t>
      </w:r>
    </w:p>
    <w:p w:rsidR="00CA2215" w:rsidRPr="00ED74B3" w:rsidRDefault="00CA2215" w:rsidP="00CA2215">
      <w:pPr>
        <w:pStyle w:val="AERbulletlistfirststyle"/>
      </w:pPr>
      <w:r w:rsidRPr="00ED74B3">
        <w:t>productivity growth.</w:t>
      </w:r>
    </w:p>
    <w:p w:rsidR="00CA2215" w:rsidRPr="00ED74B3" w:rsidRDefault="00CA2215" w:rsidP="00CA2215">
      <w:r w:rsidRPr="00ED74B3">
        <w:t xml:space="preserve">This appendix contains our assessment of the opex rate of change for use in developing our forecast estimate of total opex.  </w:t>
      </w:r>
    </w:p>
    <w:p w:rsidR="00CA2215" w:rsidRPr="00BC5EEE" w:rsidRDefault="00CA2215" w:rsidP="000744A9">
      <w:pPr>
        <w:pStyle w:val="Heading8"/>
        <w:numPr>
          <w:ilvl w:val="1"/>
          <w:numId w:val="35"/>
        </w:numPr>
      </w:pPr>
      <w:bookmarkStart w:id="268" w:name="_Toc417719062"/>
      <w:r w:rsidRPr="00BC5EEE">
        <w:t>Position</w:t>
      </w:r>
      <w:bookmarkEnd w:id="268"/>
    </w:p>
    <w:p w:rsidR="00CA2215" w:rsidRPr="00BC5EEE" w:rsidRDefault="00CA2215" w:rsidP="00CA2215">
      <w:r w:rsidRPr="00BC5EEE">
        <w:t xml:space="preserve">We have applied the same rate of change methodology to derive our alternative estimate of opex as we used for our draft decision. </w:t>
      </w:r>
      <w:r w:rsidR="006F21E4">
        <w:fldChar w:fldCharType="begin"/>
      </w:r>
      <w:r w:rsidR="006F21E4">
        <w:instrText xml:space="preserve"> REF _Ref417651750 \h </w:instrText>
      </w:r>
      <w:r w:rsidR="006F21E4">
        <w:fldChar w:fldCharType="separate"/>
      </w:r>
      <w:r w:rsidR="00C74791" w:rsidRPr="00BC5EEE">
        <w:t xml:space="preserve">Table </w:t>
      </w:r>
      <w:r w:rsidR="00C74791">
        <w:rPr>
          <w:noProof/>
        </w:rPr>
        <w:t>B</w:t>
      </w:r>
      <w:r w:rsidR="00C74791">
        <w:t>.</w:t>
      </w:r>
      <w:r w:rsidR="00C74791">
        <w:rPr>
          <w:noProof/>
        </w:rPr>
        <w:t>1</w:t>
      </w:r>
      <w:r w:rsidR="006F21E4">
        <w:fldChar w:fldCharType="end"/>
      </w:r>
      <w:r w:rsidRPr="00BC5EEE">
        <w:t xml:space="preserve">shows our final position on each rate of change component and the overall rate of change in annual percentage terms. We do not agree with Essential Energy's criticisms of our economic benchmarking and we consider our economic benchmarking analysis produces a robust basis to forecast </w:t>
      </w:r>
      <w:r>
        <w:t>output growth</w:t>
      </w:r>
      <w:r w:rsidRPr="00BC5EEE">
        <w:t xml:space="preserve"> and productivity.</w:t>
      </w:r>
      <w:r>
        <w:t xml:space="preserve"> We consider that applying our methodology to derive an alternative estimate of opex will result in a forecast that reasonably reflects the efficient, prudent costs faced by Essential Energy given a realistic expectation of demand forecasts and costs inputs.</w:t>
      </w:r>
    </w:p>
    <w:p w:rsidR="00CA2215" w:rsidRPr="00BC5EEE" w:rsidRDefault="00CA2215" w:rsidP="00CA2215">
      <w:pPr>
        <w:pStyle w:val="Caption"/>
      </w:pPr>
      <w:bookmarkStart w:id="269" w:name="_Ref417651750"/>
      <w:bookmarkStart w:id="270" w:name="_Ref417651745"/>
      <w:r w:rsidRPr="00BC5EEE">
        <w:t xml:space="preserve">Table </w:t>
      </w:r>
      <w:fldSimple w:instr=" STYLEREF 7 \s ">
        <w:r w:rsidR="00CF2125">
          <w:rPr>
            <w:noProof/>
          </w:rPr>
          <w:t>B</w:t>
        </w:r>
      </w:fldSimple>
      <w:r w:rsidR="00CF2125">
        <w:t>.</w:t>
      </w:r>
      <w:fldSimple w:instr=" SEQ ATable \* ARABIC \s 7 ">
        <w:r w:rsidR="00CF2125">
          <w:rPr>
            <w:noProof/>
          </w:rPr>
          <w:t>1</w:t>
        </w:r>
      </w:fldSimple>
      <w:bookmarkEnd w:id="269"/>
      <w:r w:rsidRPr="00BC5EEE">
        <w:tab/>
        <w:t>Rate of change (per cent)</w:t>
      </w:r>
      <w:bookmarkEnd w:id="270"/>
    </w:p>
    <w:tbl>
      <w:tblPr>
        <w:tblStyle w:val="AERtable-numbers"/>
        <w:tblW w:w="5000" w:type="pct"/>
        <w:tblLook w:val="04A0" w:firstRow="1" w:lastRow="0" w:firstColumn="1" w:lastColumn="0" w:noHBand="0" w:noVBand="1"/>
      </w:tblPr>
      <w:tblGrid>
        <w:gridCol w:w="2598"/>
        <w:gridCol w:w="1219"/>
        <w:gridCol w:w="1219"/>
        <w:gridCol w:w="1219"/>
        <w:gridCol w:w="1219"/>
        <w:gridCol w:w="1219"/>
      </w:tblGrid>
      <w:tr w:rsidR="00CA2215" w:rsidTr="00110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tcPr>
          <w:p w:rsidR="00CA2215" w:rsidRPr="00BC5EEE" w:rsidRDefault="00CA2215" w:rsidP="00CA2215"/>
        </w:tc>
        <w:tc>
          <w:tcPr>
            <w:tcW w:w="701" w:type="pct"/>
            <w:vAlign w:val="bottom"/>
          </w:tcPr>
          <w:p w:rsidR="00CA2215" w:rsidRPr="00CA2215" w:rsidRDefault="00CA2215" w:rsidP="00CA2215">
            <w:pPr>
              <w:cnfStyle w:val="100000000000" w:firstRow="1" w:lastRow="0" w:firstColumn="0" w:lastColumn="0" w:oddVBand="0" w:evenVBand="0" w:oddHBand="0" w:evenHBand="0" w:firstRowFirstColumn="0" w:firstRowLastColumn="0" w:lastRowFirstColumn="0" w:lastRowLastColumn="0"/>
            </w:pPr>
            <w:r w:rsidRPr="00BC5EEE">
              <w:t>2014–15</w:t>
            </w:r>
          </w:p>
        </w:tc>
        <w:tc>
          <w:tcPr>
            <w:tcW w:w="701" w:type="pct"/>
            <w:vAlign w:val="bottom"/>
          </w:tcPr>
          <w:p w:rsidR="00CA2215" w:rsidRPr="00CA2215" w:rsidRDefault="00CA2215" w:rsidP="00CA2215">
            <w:pPr>
              <w:cnfStyle w:val="100000000000" w:firstRow="1" w:lastRow="0" w:firstColumn="0" w:lastColumn="0" w:oddVBand="0" w:evenVBand="0" w:oddHBand="0" w:evenHBand="0" w:firstRowFirstColumn="0" w:firstRowLastColumn="0" w:lastRowFirstColumn="0" w:lastRowLastColumn="0"/>
            </w:pPr>
            <w:r w:rsidRPr="00BC5EEE">
              <w:t>2015–16</w:t>
            </w:r>
          </w:p>
        </w:tc>
        <w:tc>
          <w:tcPr>
            <w:tcW w:w="701" w:type="pct"/>
            <w:vAlign w:val="bottom"/>
          </w:tcPr>
          <w:p w:rsidR="00CA2215" w:rsidRPr="00CA2215" w:rsidRDefault="00CA2215" w:rsidP="00CA2215">
            <w:pPr>
              <w:cnfStyle w:val="100000000000" w:firstRow="1" w:lastRow="0" w:firstColumn="0" w:lastColumn="0" w:oddVBand="0" w:evenVBand="0" w:oddHBand="0" w:evenHBand="0" w:firstRowFirstColumn="0" w:firstRowLastColumn="0" w:lastRowFirstColumn="0" w:lastRowLastColumn="0"/>
            </w:pPr>
            <w:r w:rsidRPr="00BC5EEE">
              <w:t>2016–17</w:t>
            </w:r>
          </w:p>
        </w:tc>
        <w:tc>
          <w:tcPr>
            <w:tcW w:w="701" w:type="pct"/>
            <w:vAlign w:val="bottom"/>
          </w:tcPr>
          <w:p w:rsidR="00CA2215" w:rsidRPr="00CA2215" w:rsidRDefault="00CA2215" w:rsidP="00CA2215">
            <w:pPr>
              <w:cnfStyle w:val="100000000000" w:firstRow="1" w:lastRow="0" w:firstColumn="0" w:lastColumn="0" w:oddVBand="0" w:evenVBand="0" w:oddHBand="0" w:evenHBand="0" w:firstRowFirstColumn="0" w:firstRowLastColumn="0" w:lastRowFirstColumn="0" w:lastRowLastColumn="0"/>
            </w:pPr>
            <w:r w:rsidRPr="00BC5EEE">
              <w:t>2017–18</w:t>
            </w:r>
          </w:p>
        </w:tc>
        <w:tc>
          <w:tcPr>
            <w:tcW w:w="701" w:type="pct"/>
            <w:vAlign w:val="bottom"/>
          </w:tcPr>
          <w:p w:rsidR="00CA2215" w:rsidRPr="00CA2215" w:rsidRDefault="00CA2215" w:rsidP="00CA2215">
            <w:pPr>
              <w:cnfStyle w:val="100000000000" w:firstRow="1" w:lastRow="0" w:firstColumn="0" w:lastColumn="0" w:oddVBand="0" w:evenVBand="0" w:oddHBand="0" w:evenHBand="0" w:firstRowFirstColumn="0" w:firstRowLastColumn="0" w:lastRowFirstColumn="0" w:lastRowLastColumn="0"/>
            </w:pPr>
            <w:r w:rsidRPr="00BC5EEE">
              <w:t>2018–19</w:t>
            </w:r>
          </w:p>
        </w:tc>
      </w:tr>
      <w:tr w:rsidR="00CA2215" w:rsidTr="00110327">
        <w:tc>
          <w:tcPr>
            <w:cnfStyle w:val="001000000000" w:firstRow="0" w:lastRow="0" w:firstColumn="1" w:lastColumn="0" w:oddVBand="0" w:evenVBand="0" w:oddHBand="0" w:evenHBand="0" w:firstRowFirstColumn="0" w:firstRowLastColumn="0" w:lastRowFirstColumn="0" w:lastRowLastColumn="0"/>
            <w:tcW w:w="1494" w:type="pct"/>
          </w:tcPr>
          <w:p w:rsidR="00CA2215" w:rsidRPr="00CA2215" w:rsidRDefault="00CA2215" w:rsidP="00CA2215">
            <w:r w:rsidRPr="0018058E">
              <w:t>Price growth</w:t>
            </w:r>
          </w:p>
        </w:tc>
        <w:tc>
          <w:tcPr>
            <w:tcW w:w="701" w:type="pct"/>
            <w:vAlign w:val="top"/>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rsidRPr="0018058E">
              <w:t>0.83</w:t>
            </w:r>
          </w:p>
        </w:tc>
        <w:tc>
          <w:tcPr>
            <w:tcW w:w="701" w:type="pct"/>
            <w:vAlign w:val="top"/>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rsidRPr="0018058E">
              <w:t>0.63</w:t>
            </w:r>
          </w:p>
        </w:tc>
        <w:tc>
          <w:tcPr>
            <w:tcW w:w="701" w:type="pct"/>
            <w:vAlign w:val="top"/>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rsidRPr="0018058E">
              <w:t>0.66</w:t>
            </w:r>
          </w:p>
        </w:tc>
        <w:tc>
          <w:tcPr>
            <w:tcW w:w="701" w:type="pct"/>
            <w:vAlign w:val="top"/>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rsidRPr="0018058E">
              <w:t>0.69</w:t>
            </w:r>
          </w:p>
        </w:tc>
        <w:tc>
          <w:tcPr>
            <w:tcW w:w="701" w:type="pct"/>
            <w:vAlign w:val="top"/>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rsidRPr="0018058E">
              <w:t>0.68</w:t>
            </w:r>
          </w:p>
        </w:tc>
      </w:tr>
      <w:tr w:rsidR="00CA2215" w:rsidTr="00110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tcPr>
          <w:p w:rsidR="00CA2215" w:rsidRPr="00CA2215" w:rsidRDefault="00CA2215" w:rsidP="00CA2215">
            <w:r>
              <w:t>Output growth</w:t>
            </w:r>
          </w:p>
        </w:tc>
        <w:tc>
          <w:tcPr>
            <w:tcW w:w="701" w:type="pct"/>
            <w:vAlign w:val="bottom"/>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BC5EEE">
              <w:t>0.59</w:t>
            </w:r>
          </w:p>
        </w:tc>
        <w:tc>
          <w:tcPr>
            <w:tcW w:w="701" w:type="pct"/>
            <w:vAlign w:val="bottom"/>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BC5EEE">
              <w:t>0.41</w:t>
            </w:r>
          </w:p>
        </w:tc>
        <w:tc>
          <w:tcPr>
            <w:tcW w:w="701" w:type="pct"/>
            <w:vAlign w:val="bottom"/>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BC5EEE">
              <w:t>0.36</w:t>
            </w:r>
          </w:p>
        </w:tc>
        <w:tc>
          <w:tcPr>
            <w:tcW w:w="701" w:type="pct"/>
            <w:vAlign w:val="bottom"/>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BC5EEE">
              <w:t>0.38</w:t>
            </w:r>
          </w:p>
        </w:tc>
        <w:tc>
          <w:tcPr>
            <w:tcW w:w="701" w:type="pct"/>
            <w:vAlign w:val="bottom"/>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BC5EEE">
              <w:t>0.43</w:t>
            </w:r>
          </w:p>
        </w:tc>
      </w:tr>
      <w:tr w:rsidR="00CA2215" w:rsidTr="00110327">
        <w:tc>
          <w:tcPr>
            <w:cnfStyle w:val="001000000000" w:firstRow="0" w:lastRow="0" w:firstColumn="1" w:lastColumn="0" w:oddVBand="0" w:evenVBand="0" w:oddHBand="0" w:evenHBand="0" w:firstRowFirstColumn="0" w:firstRowLastColumn="0" w:lastRowFirstColumn="0" w:lastRowLastColumn="0"/>
            <w:tcW w:w="1494" w:type="pct"/>
          </w:tcPr>
          <w:p w:rsidR="00CA2215" w:rsidRPr="00CA2215" w:rsidRDefault="00CA2215" w:rsidP="00CA2215">
            <w:r>
              <w:t>Productivity growth</w:t>
            </w:r>
          </w:p>
        </w:tc>
        <w:tc>
          <w:tcPr>
            <w:tcW w:w="701" w:type="pct"/>
            <w:vAlign w:val="bottom"/>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t>–</w:t>
            </w:r>
          </w:p>
        </w:tc>
        <w:tc>
          <w:tcPr>
            <w:tcW w:w="701" w:type="pct"/>
            <w:vAlign w:val="bottom"/>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t>–</w:t>
            </w:r>
          </w:p>
        </w:tc>
        <w:tc>
          <w:tcPr>
            <w:tcW w:w="701" w:type="pct"/>
            <w:vAlign w:val="bottom"/>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t>–</w:t>
            </w:r>
          </w:p>
        </w:tc>
        <w:tc>
          <w:tcPr>
            <w:tcW w:w="701" w:type="pct"/>
            <w:vAlign w:val="bottom"/>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t>–</w:t>
            </w:r>
          </w:p>
        </w:tc>
        <w:tc>
          <w:tcPr>
            <w:tcW w:w="701" w:type="pct"/>
            <w:vAlign w:val="bottom"/>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t>–</w:t>
            </w:r>
          </w:p>
        </w:tc>
      </w:tr>
      <w:tr w:rsidR="00CA2215" w:rsidTr="00110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tcPr>
          <w:p w:rsidR="00CA2215" w:rsidRPr="00CA2215" w:rsidRDefault="00CA2215" w:rsidP="00CA2215">
            <w:r w:rsidRPr="0018058E">
              <w:t>Overall rate of change</w:t>
            </w:r>
          </w:p>
        </w:tc>
        <w:tc>
          <w:tcPr>
            <w:tcW w:w="701" w:type="pct"/>
            <w:vAlign w:val="top"/>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18058E">
              <w:t>1.43</w:t>
            </w:r>
          </w:p>
        </w:tc>
        <w:tc>
          <w:tcPr>
            <w:tcW w:w="701" w:type="pct"/>
            <w:vAlign w:val="top"/>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18058E">
              <w:t>1.04</w:t>
            </w:r>
          </w:p>
        </w:tc>
        <w:tc>
          <w:tcPr>
            <w:tcW w:w="701" w:type="pct"/>
            <w:vAlign w:val="top"/>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18058E">
              <w:t>1.03</w:t>
            </w:r>
          </w:p>
        </w:tc>
        <w:tc>
          <w:tcPr>
            <w:tcW w:w="701" w:type="pct"/>
            <w:vAlign w:val="top"/>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18058E">
              <w:t>1.07</w:t>
            </w:r>
          </w:p>
        </w:tc>
        <w:tc>
          <w:tcPr>
            <w:tcW w:w="701" w:type="pct"/>
            <w:vAlign w:val="top"/>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rsidRPr="0018058E">
              <w:t>1.11</w:t>
            </w:r>
          </w:p>
        </w:tc>
      </w:tr>
    </w:tbl>
    <w:p w:rsidR="00CA2215" w:rsidRPr="00BC5EEE" w:rsidRDefault="00CA2215" w:rsidP="00CA2215">
      <w:pPr>
        <w:pStyle w:val="Source"/>
      </w:pPr>
      <w:r w:rsidRPr="00BC5EEE">
        <w:t>Source: AER analysis</w:t>
      </w:r>
    </w:p>
    <w:p w:rsidR="00CA2215" w:rsidRPr="00BC5EEE" w:rsidRDefault="00CA2215" w:rsidP="00CA2215"/>
    <w:p w:rsidR="00CA2215" w:rsidRPr="00BC5EEE" w:rsidRDefault="00CA2215" w:rsidP="00CA2215">
      <w:pPr>
        <w:pStyle w:val="Heading8"/>
      </w:pPr>
      <w:bookmarkStart w:id="271" w:name="_Toc417719063"/>
      <w:r w:rsidRPr="00BC5EEE">
        <w:lastRenderedPageBreak/>
        <w:t>Draft position</w:t>
      </w:r>
      <w:bookmarkEnd w:id="271"/>
    </w:p>
    <w:p w:rsidR="00CA2215" w:rsidRPr="00BC5EEE" w:rsidRDefault="00CA2215" w:rsidP="00CA2215">
      <w:r w:rsidRPr="00BC5EEE">
        <w:t>In our draft decision, we did not adopt Essential Energy's forecast change in price, output and productivity in our forecast rate of change and thus our alternative estimate of opex. Our draft position for each rate of change component was:</w:t>
      </w:r>
    </w:p>
    <w:p w:rsidR="00CA2215" w:rsidRPr="00BC5EEE" w:rsidRDefault="00CA2215" w:rsidP="00CA2215">
      <w:pPr>
        <w:pStyle w:val="AERbulletlistfirststyle"/>
      </w:pPr>
      <w:r>
        <w:rPr>
          <w:rStyle w:val="Strong"/>
        </w:rPr>
        <w:t>Price growth</w:t>
      </w:r>
      <w:r w:rsidRPr="00BC5EEE">
        <w:rPr>
          <w:rStyle w:val="Strong"/>
        </w:rPr>
        <w:t>:</w:t>
      </w:r>
      <w:r w:rsidRPr="00BC5EEE">
        <w:t xml:space="preserve"> </w:t>
      </w:r>
      <w:r>
        <w:t>f</w:t>
      </w:r>
      <w:r w:rsidRPr="00BC5EEE">
        <w:t xml:space="preserve">or labour </w:t>
      </w:r>
      <w:r>
        <w:t>price growth</w:t>
      </w:r>
      <w:r w:rsidRPr="00BC5EEE">
        <w:t xml:space="preserve"> we adopted an average of Deloitte Access Economics' (DAE) and Independent Economics' forecast change in the wage price index (WPI) for the electricity, gas, water and waste services (EGWWS) industry. For non-labour we adopted the forecast change in the CPI. We applied Economic Insights' benchmark weightings for labour and non-labour.</w:t>
      </w:r>
    </w:p>
    <w:p w:rsidR="00CA2215" w:rsidRPr="00BC5EEE" w:rsidRDefault="00CA2215" w:rsidP="00CA2215">
      <w:pPr>
        <w:pStyle w:val="AERbulletlistfirststyle"/>
      </w:pPr>
      <w:r>
        <w:rPr>
          <w:rStyle w:val="Strong"/>
        </w:rPr>
        <w:t>Output growth</w:t>
      </w:r>
      <w:r w:rsidRPr="00BC5EEE">
        <w:t>: we applied the weighted average forecast change in customer numbers, circuit length and ratcheted maximum demand. We based the weights on Economic Insights' opex cost function analysis.</w:t>
      </w:r>
    </w:p>
    <w:p w:rsidR="00CA2215" w:rsidRPr="00BC5EEE" w:rsidRDefault="00CA2215" w:rsidP="00CA2215">
      <w:pPr>
        <w:pStyle w:val="AERbulletlistfirststyle"/>
      </w:pPr>
      <w:r>
        <w:rPr>
          <w:rStyle w:val="Strong"/>
        </w:rPr>
        <w:t>Productivity growth</w:t>
      </w:r>
      <w:r w:rsidRPr="00BC5EEE">
        <w:t xml:space="preserve">: we applied a zero per cent </w:t>
      </w:r>
      <w:r>
        <w:t>productivity growth</w:t>
      </w:r>
      <w:r w:rsidRPr="00BC5EEE">
        <w:t>. We based this on our considerations of recent productivity trends and whether this would be applicable to the forecast period. This was also consistent with Economic Insights' recommendations.</w:t>
      </w:r>
    </w:p>
    <w:p w:rsidR="00CA2215" w:rsidRPr="00BC5EEE" w:rsidRDefault="00CA2215" w:rsidP="00CA2215">
      <w:r w:rsidRPr="00BC5EEE">
        <w:t>Refer to section B.4 of attachment 7 in our draft decision for a detailed explanation of our assessment methodology and how we have applied the rate of change.</w:t>
      </w:r>
    </w:p>
    <w:p w:rsidR="00CA2215" w:rsidRPr="00BC5EEE" w:rsidRDefault="00CA2215" w:rsidP="00CA2215">
      <w:pPr>
        <w:pStyle w:val="Heading8"/>
      </w:pPr>
      <w:bookmarkStart w:id="272" w:name="_Toc417719064"/>
      <w:r w:rsidRPr="00BC5EEE">
        <w:t>Revised proposal and submissions</w:t>
      </w:r>
      <w:bookmarkEnd w:id="272"/>
    </w:p>
    <w:p w:rsidR="00CA2215" w:rsidRPr="00BC5EEE" w:rsidRDefault="00CA2215" w:rsidP="00CA2215">
      <w:r w:rsidRPr="00BC5EEE">
        <w:t xml:space="preserve">We consider our methodology for setting </w:t>
      </w:r>
      <w:r>
        <w:t>output growth</w:t>
      </w:r>
      <w:r w:rsidRPr="00BC5EEE">
        <w:t xml:space="preserve"> and </w:t>
      </w:r>
      <w:r>
        <w:t>productivity growth</w:t>
      </w:r>
      <w:r w:rsidRPr="00BC5EEE">
        <w:t xml:space="preserve"> </w:t>
      </w:r>
      <w:r>
        <w:t>is</w:t>
      </w:r>
      <w:r w:rsidRPr="00BC5EEE">
        <w:t xml:space="preserve"> the best forecast of the rate of change components for an efficient</w:t>
      </w:r>
      <w:r>
        <w:t>, prudent</w:t>
      </w:r>
      <w:r w:rsidRPr="00BC5EEE">
        <w:t xml:space="preserve"> service provider</w:t>
      </w:r>
      <w:r w:rsidRPr="00913A36">
        <w:t xml:space="preserve"> </w:t>
      </w:r>
      <w:r>
        <w:t>given realistic expectations of demand forecasts and cost inputs</w:t>
      </w:r>
      <w:r w:rsidRPr="00BC5EEE">
        <w:t>.</w:t>
      </w:r>
    </w:p>
    <w:p w:rsidR="00CA2215" w:rsidRPr="00BC5EEE" w:rsidRDefault="00CA2215" w:rsidP="00CA2215">
      <w:r w:rsidRPr="00BC5EEE">
        <w:t xml:space="preserve">In its revised proposal Essential Energy adopted our draft decision approach to setting </w:t>
      </w:r>
      <w:r>
        <w:t>price growth</w:t>
      </w:r>
      <w:r w:rsidRPr="00BC5EEE">
        <w:t xml:space="preserve"> component of the rate of change. However, Essential Energy did not adopt our draft decision approach to </w:t>
      </w:r>
      <w:r>
        <w:t>output growth</w:t>
      </w:r>
      <w:r w:rsidRPr="00BC5EEE">
        <w:t xml:space="preserve"> and </w:t>
      </w:r>
      <w:r>
        <w:t>productivity growth</w:t>
      </w:r>
      <w:r w:rsidRPr="00BC5EEE">
        <w:t>.</w:t>
      </w:r>
      <w:r w:rsidRPr="00BC5EEE">
        <w:rPr>
          <w:rStyle w:val="FootnoteReference"/>
        </w:rPr>
        <w:footnoteReference w:id="928"/>
      </w:r>
    </w:p>
    <w:p w:rsidR="00CA2215" w:rsidRPr="00BC5EEE" w:rsidRDefault="00CA2215" w:rsidP="00CA2215">
      <w:r>
        <w:t>Essential Energy</w:t>
      </w:r>
      <w:r w:rsidRPr="00BC5EEE">
        <w:t xml:space="preserve"> raised concerns about our benchmarking techniques and noted that we based our </w:t>
      </w:r>
      <w:r>
        <w:t>output growth</w:t>
      </w:r>
      <w:r w:rsidRPr="00BC5EEE">
        <w:t xml:space="preserve"> measure on economic benchmarking so the same concerns applied to our </w:t>
      </w:r>
      <w:r>
        <w:t>output growth</w:t>
      </w:r>
      <w:r w:rsidRPr="00BC5EEE">
        <w:t xml:space="preserve"> measure.</w:t>
      </w:r>
      <w:r w:rsidRPr="00BC5EEE">
        <w:rPr>
          <w:rStyle w:val="FootnoteReference"/>
        </w:rPr>
        <w:footnoteReference w:id="929"/>
      </w:r>
    </w:p>
    <w:p w:rsidR="00CA2215" w:rsidRPr="00BC5EEE" w:rsidRDefault="00CA2215" w:rsidP="00CA2215">
      <w:r w:rsidRPr="00BC5EEE">
        <w:t xml:space="preserve">We have considered </w:t>
      </w:r>
      <w:r>
        <w:t>Essential Energy's</w:t>
      </w:r>
      <w:r w:rsidRPr="00BC5EEE">
        <w:t xml:space="preserve"> criticisms of our economic benchmarking approach in our base opex assessment in </w:t>
      </w:r>
      <w:r>
        <w:t>appendix A</w:t>
      </w:r>
      <w:r w:rsidRPr="00BC5EEE">
        <w:t xml:space="preserve">. </w:t>
      </w:r>
    </w:p>
    <w:p w:rsidR="00CA2215" w:rsidRPr="00C01BAC" w:rsidRDefault="00CA2215" w:rsidP="00CA2215">
      <w:r w:rsidRPr="00C01BAC">
        <w:t xml:space="preserve">As discussed in </w:t>
      </w:r>
      <w:r>
        <w:t>appendix A</w:t>
      </w:r>
      <w:r w:rsidRPr="00C01BAC">
        <w:t xml:space="preserve">, our economic benchmarking and output specification is robust for the following reasons: </w:t>
      </w:r>
    </w:p>
    <w:p w:rsidR="00CA2215" w:rsidRPr="00C01BAC" w:rsidRDefault="00CA2215" w:rsidP="00CA2215">
      <w:pPr>
        <w:pStyle w:val="AERbulletlistfirststyle"/>
      </w:pPr>
      <w:r w:rsidRPr="00C01BAC">
        <w:t>The output specification reflects the services a distributor's customers require.</w:t>
      </w:r>
    </w:p>
    <w:p w:rsidR="00CA2215" w:rsidRPr="00C01BAC" w:rsidRDefault="00CA2215" w:rsidP="00CA2215">
      <w:pPr>
        <w:pStyle w:val="AERbulletlistfirststyle"/>
      </w:pPr>
      <w:r w:rsidRPr="00C01BAC">
        <w:lastRenderedPageBreak/>
        <w:t>These outputs are consistent with other model specifications in the benchmarking literature.</w:t>
      </w:r>
    </w:p>
    <w:p w:rsidR="00CA2215" w:rsidRPr="00C01BAC" w:rsidRDefault="00CA2215" w:rsidP="00CA2215">
      <w:pPr>
        <w:pStyle w:val="AERbulletlistfirststyle"/>
      </w:pPr>
      <w:r w:rsidRPr="00C01BAC">
        <w:t>Economic Insights undertook rigorous econometric modelling to estimate opex cost function that relates opex with outputs and other relevant cost drivers.</w:t>
      </w:r>
    </w:p>
    <w:p w:rsidR="00CA2215" w:rsidRPr="00C01BAC" w:rsidRDefault="00CA2215" w:rsidP="00CA2215">
      <w:r w:rsidRPr="00C01BAC">
        <w:t>Since we consider our economic benchmarking analysis to be robust we consider the approach we adopted to setting output growth and productivity in our draft decision to be reasonable. We adopt the same output specification in the rate of change as opex modelling to setting base opex because both our historical and forecast assessment should be consistent and output growth should account for the change in the distributor's key functional outputs valued by customers.</w:t>
      </w:r>
    </w:p>
    <w:p w:rsidR="00CA2215" w:rsidRPr="00C94728" w:rsidRDefault="00CA2215" w:rsidP="00CA2215">
      <w:r w:rsidRPr="00C94728">
        <w:t xml:space="preserve">We also note our rate of change approach is less reliant on the economic benchmarking techniques than our base opex assessment. Output growth only relies on the output specification, which we consider to be reasonable, and the change in these outputs. </w:t>
      </w:r>
    </w:p>
    <w:p w:rsidR="00CA2215" w:rsidRPr="00BC5EEE" w:rsidRDefault="00CA2215" w:rsidP="00CA2215">
      <w:r w:rsidRPr="00BC5EEE">
        <w:t>Essential Energy also noted that its proposed costs included an increase in maintenance costs to reflect the expected deterioration in its assets as a result of its reduced capex.</w:t>
      </w:r>
      <w:r w:rsidRPr="00BC5EEE">
        <w:rPr>
          <w:rStyle w:val="FootnoteReference"/>
        </w:rPr>
        <w:t xml:space="preserve"> </w:t>
      </w:r>
      <w:r w:rsidRPr="00BC5EEE">
        <w:rPr>
          <w:rStyle w:val="FootnoteReference"/>
        </w:rPr>
        <w:footnoteReference w:id="930"/>
      </w:r>
    </w:p>
    <w:p w:rsidR="00CA2215" w:rsidRPr="00C94728" w:rsidRDefault="00CA2215" w:rsidP="00CA2215">
      <w:r w:rsidRPr="00BC5EEE">
        <w:t>We note Essential Energy's based its output growth on asset growth as a proportion of the replacement cost of the network.</w:t>
      </w:r>
      <w:r w:rsidRPr="00BC5EEE">
        <w:rPr>
          <w:rStyle w:val="FootnoteReference"/>
        </w:rPr>
        <w:footnoteReference w:id="931"/>
      </w:r>
      <w:r w:rsidRPr="00BC5EEE">
        <w:t xml:space="preserve"> We consider our approach which directly measures the change in outputs better reflects the change in opex. Essential Energy did not show evidence of the interaction between its capex and opex. </w:t>
      </w:r>
      <w:r w:rsidRPr="00C94728">
        <w:t xml:space="preserve">We also consider the direct change in a distributor's output better reflects its output growth than capex. This is because the relationship between capex and opex is subjective and it is better to use the actual observed relationship between the change in the output and opex. Further, price changes may influence capex because it is an input. </w:t>
      </w:r>
    </w:p>
    <w:p w:rsidR="00CA2215" w:rsidRPr="00BC5EEE" w:rsidRDefault="00CA2215" w:rsidP="00CA2215">
      <w:r w:rsidRPr="00BC5EEE">
        <w:t>Essential Energy submitted that its forecast method captured productivity growth and it did not consider that it needed to include a productivity adjustment. Essential Energy also raised concerns that we had mechanically included a productivity adjustment.</w:t>
      </w:r>
      <w:r w:rsidRPr="00BC5EEE">
        <w:rPr>
          <w:rStyle w:val="FootnoteReference"/>
        </w:rPr>
        <w:footnoteReference w:id="932"/>
      </w:r>
    </w:p>
    <w:p w:rsidR="00CA2215" w:rsidRPr="00BC5EEE" w:rsidRDefault="00CA2215" w:rsidP="00CA2215">
      <w:r w:rsidRPr="00BC5EEE">
        <w:t>We note we have not mechanically included a productivity adjustment to our rate of change. We have considered the recent productivity trends for the electricity distribution industry, the likely causes of the recent decline in productivity and whether these causes will impact on forecast productivity. Based on these factors</w:t>
      </w:r>
      <w:r>
        <w:t>, as set out in attachment 7 of the draft decision,</w:t>
      </w:r>
      <w:r w:rsidRPr="00BC5EEE">
        <w:t xml:space="preserve"> we concluded that a zero productivity adjustment is reasonable for a distributor on the efficient frontier.</w:t>
      </w:r>
    </w:p>
    <w:p w:rsidR="00CA2215" w:rsidRPr="009B2B97" w:rsidRDefault="00CA2215" w:rsidP="00CA2215">
      <w:pPr>
        <w:pStyle w:val="HeadingBoldItalic"/>
      </w:pPr>
      <w:r w:rsidRPr="009B2B97">
        <w:t>Other submissions</w:t>
      </w:r>
    </w:p>
    <w:p w:rsidR="00CA2215" w:rsidRPr="009B2B97" w:rsidRDefault="00CA2215" w:rsidP="00CA2215">
      <w:r w:rsidRPr="009B2B97">
        <w:lastRenderedPageBreak/>
        <w:t>This section discusses other submission</w:t>
      </w:r>
      <w:r>
        <w:t>s</w:t>
      </w:r>
      <w:r w:rsidRPr="009B2B97">
        <w:t xml:space="preserve"> we received in response to our draft decision and </w:t>
      </w:r>
      <w:r>
        <w:t>Essential Energy</w:t>
      </w:r>
      <w:r w:rsidRPr="009B2B97">
        <w:t>'s revised proposal.</w:t>
      </w:r>
    </w:p>
    <w:p w:rsidR="00CA2215" w:rsidRPr="009B2B97" w:rsidRDefault="00CA2215" w:rsidP="00CA2215">
      <w:r w:rsidRPr="009B2B97">
        <w:t>AusNet Services submitted that the labour and non-labour proportions should reflect a distributors' actual opex unless there is evidence that the firm is not responding to incentives.</w:t>
      </w:r>
      <w:r w:rsidRPr="009B2B97">
        <w:rPr>
          <w:rStyle w:val="FootnoteReference"/>
        </w:rPr>
        <w:footnoteReference w:id="933"/>
      </w:r>
    </w:p>
    <w:p w:rsidR="00CA2215" w:rsidRPr="009B2B97" w:rsidRDefault="00CA2215" w:rsidP="00CA2215">
      <w:r w:rsidRPr="009B2B97">
        <w:t xml:space="preserve">We note AusNet Services submission is not relevant to </w:t>
      </w:r>
      <w:r>
        <w:t>Essential Energy</w:t>
      </w:r>
      <w:r w:rsidRPr="009B2B97">
        <w:t xml:space="preserve">'s opex weightings as it is not on the efficient frontier. Further, we consider price weightings should reflect benchmark proportions. Distributors will still have an incentive to beat the benchmark. </w:t>
      </w:r>
    </w:p>
    <w:p w:rsidR="00CA2215" w:rsidRPr="009B2B97" w:rsidRDefault="00CA2215" w:rsidP="00CA2215">
      <w:r w:rsidRPr="009B2B97">
        <w:t>The Energy Users Association of Australia (EUAA) noted that our use of the electricity, gas, water and waste services (EGWWS) industry is not appropriate and that we must ensure that the NSW distributors are not allowed to continue with their previous approach of using Enterprise Agreement (EA) outcomes as a "pass through".</w:t>
      </w:r>
      <w:r w:rsidRPr="009B2B97">
        <w:rPr>
          <w:rStyle w:val="FootnoteReference"/>
        </w:rPr>
        <w:footnoteReference w:id="934"/>
      </w:r>
      <w:r w:rsidRPr="009B2B97">
        <w:t xml:space="preserve"> The EUAA also raised the following issues regarding the rate of change:</w:t>
      </w:r>
    </w:p>
    <w:p w:rsidR="00CA2215" w:rsidRPr="009B2B97" w:rsidRDefault="00CA2215" w:rsidP="00CA2215">
      <w:pPr>
        <w:pStyle w:val="AERbulletlistfirststyle"/>
      </w:pPr>
      <w:r w:rsidRPr="009B2B97">
        <w:t xml:space="preserve">the CPI was not appropriate for non-labour </w:t>
      </w:r>
      <w:r>
        <w:t>price growth</w:t>
      </w:r>
      <w:r w:rsidRPr="009B2B97">
        <w:t xml:space="preserve"> because commodities prices were trending downwards</w:t>
      </w:r>
    </w:p>
    <w:p w:rsidR="00CA2215" w:rsidRPr="009B2B97" w:rsidRDefault="00CA2215" w:rsidP="00CA2215">
      <w:pPr>
        <w:pStyle w:val="AERbulletlistfirststyle"/>
      </w:pPr>
      <w:r w:rsidRPr="009B2B97">
        <w:t xml:space="preserve">it does not accept that there is a direct proportional change in opex for </w:t>
      </w:r>
      <w:r>
        <w:t>output growth</w:t>
      </w:r>
      <w:r w:rsidRPr="009B2B97">
        <w:t xml:space="preserve"> but disagrees with the NSW distributors approach of applying installed capacity, and</w:t>
      </w:r>
    </w:p>
    <w:p w:rsidR="00CA2215" w:rsidRPr="009B2B97" w:rsidRDefault="00CA2215" w:rsidP="00CA2215">
      <w:pPr>
        <w:pStyle w:val="AERbulletlistfirststyle"/>
      </w:pPr>
      <w:r w:rsidRPr="009B2B97">
        <w:t>it noted other asset intensive industries delivered positive productivity growth and does not accept that there is any justification for why the electricity distribution sector should be lower than these industries.</w:t>
      </w:r>
    </w:p>
    <w:p w:rsidR="00CA2215" w:rsidRPr="009B2B97" w:rsidRDefault="00CA2215" w:rsidP="00CA2215">
      <w:r w:rsidRPr="009B2B97">
        <w:t xml:space="preserve">We note an electricity industry labour price would be preferable to our EGWWS measure. However, there is no suitable robust measure of electricity workers only so this is why we have adopted the Australian Bureau of Statistics (ABS) measure of the EGWWS sector. We note both our draft decision and </w:t>
      </w:r>
      <w:r>
        <w:t>Essential Energy</w:t>
      </w:r>
      <w:r w:rsidRPr="009B2B97">
        <w:t>'s revised proposal does not</w:t>
      </w:r>
      <w:r>
        <w:t xml:space="preserve"> directly</w:t>
      </w:r>
      <w:r w:rsidRPr="009B2B97">
        <w:t xml:space="preserve"> include EA outcomes.</w:t>
      </w:r>
    </w:p>
    <w:p w:rsidR="00CA2215" w:rsidRPr="009B2B97" w:rsidRDefault="00CA2215" w:rsidP="00CA2215">
      <w:r w:rsidRPr="009B2B97">
        <w:t xml:space="preserve">For non-labour </w:t>
      </w:r>
      <w:r>
        <w:t>price growth</w:t>
      </w:r>
      <w:r w:rsidRPr="009B2B97">
        <w:t xml:space="preserve">, we consider materials are not a significant driver of opex prices. As discussed in our draft decision the non-labour component of </w:t>
      </w:r>
      <w:r>
        <w:t>price growth</w:t>
      </w:r>
      <w:r w:rsidRPr="009B2B97">
        <w:t xml:space="preserve"> is made up of various producer price indices (PPIs) which are expected to move in line with the CPI.</w:t>
      </w:r>
    </w:p>
    <w:p w:rsidR="00CA2215" w:rsidRPr="009B2B97" w:rsidRDefault="00CA2215" w:rsidP="00CA2215">
      <w:r w:rsidRPr="009B2B97">
        <w:t xml:space="preserve">For our </w:t>
      </w:r>
      <w:r>
        <w:t>output growth</w:t>
      </w:r>
      <w:r w:rsidRPr="009B2B97">
        <w:t xml:space="preserve"> measure, the proportional change in opex for changes in outputs is used as a starting point to account for an increase or decrease in the quantity of outputs. We consider an increase in opex is reasonable when a distributor is required to provide more services. We then adjust for this in our overall productivity adjustment which includes economies of scale and technical change. </w:t>
      </w:r>
    </w:p>
    <w:p w:rsidR="00CA2215" w:rsidRDefault="00CA2215" w:rsidP="00CA2215">
      <w:r w:rsidRPr="009B2B97">
        <w:lastRenderedPageBreak/>
        <w:t>We note the EUAA did not provide further information on industries that have experienced positive productivity from 2006–13. In determining our productivity adjustment we have accounted for recent trends and likely future trends</w:t>
      </w:r>
      <w:r w:rsidRPr="00913A36">
        <w:t xml:space="preserve"> </w:t>
      </w:r>
      <w:r>
        <w:t>amongst distributors in the NEM</w:t>
      </w:r>
      <w:r w:rsidRPr="009B2B97">
        <w:t>. We do not have robust information to compare the electricity distribution industry with other industries.</w:t>
      </w:r>
    </w:p>
    <w:p w:rsidR="00CA2215" w:rsidRDefault="00CA2215" w:rsidP="00CA2215">
      <w:pPr>
        <w:pStyle w:val="Heading8"/>
      </w:pPr>
      <w:bookmarkStart w:id="273" w:name="_Toc417719065"/>
      <w:r w:rsidRPr="002B3144">
        <w:t>Our estimate of the rate o</w:t>
      </w:r>
      <w:r>
        <w:t>f change for 2013–14</w:t>
      </w:r>
      <w:bookmarkEnd w:id="273"/>
    </w:p>
    <w:p w:rsidR="00CA2215" w:rsidRPr="00633548" w:rsidRDefault="00CA2215" w:rsidP="00CA2215">
      <w:r w:rsidRPr="00633548">
        <w:t xml:space="preserve">We have </w:t>
      </w:r>
      <w:r>
        <w:t>used our guideline forecasting method to forecast opex for</w:t>
      </w:r>
      <w:r w:rsidRPr="00633548">
        <w:t xml:space="preserve"> 2013–14</w:t>
      </w:r>
      <w:r>
        <w:t>, consistent with our draft decision</w:t>
      </w:r>
      <w:r w:rsidRPr="00633548">
        <w:t>.</w:t>
      </w:r>
    </w:p>
    <w:p w:rsidR="00CA2215" w:rsidRPr="00633548" w:rsidRDefault="00CA2215" w:rsidP="00CA2215">
      <w:r>
        <w:t>Under our guideline forecasting method</w:t>
      </w:r>
      <w:r w:rsidRPr="00633548">
        <w:t>, we estimate final year opex as the determined opex allowance for the final year minus the cumulative efficiency gain made up to the base year (which is the underspend in that year). In other words, we take the reported opex in the base year and add the difference between the opex allowance for the final year and the allowance for the base year. This will include price growth included in the allowance for 2013–14.</w:t>
      </w:r>
    </w:p>
    <w:p w:rsidR="00CA2215" w:rsidRPr="00CA2215" w:rsidRDefault="00CA2215" w:rsidP="00CA2215">
      <w:r w:rsidRPr="00633548">
        <w:t>Thus the opex forecast assumes the distributor makes no efficiency gains after the base year.  This allows the distributor to retain the efficiency gains it makes in the final year for five years through the opex forecast.</w:t>
      </w:r>
      <w:r w:rsidRPr="00633548">
        <w:rPr>
          <w:rStyle w:val="FootnoteReference"/>
        </w:rPr>
        <w:footnoteReference w:id="935"/>
      </w:r>
      <w:r w:rsidRPr="00633548">
        <w:t xml:space="preserve"> </w:t>
      </w:r>
      <w:r>
        <w:t xml:space="preserve">We did not receive any submissions on this issue. </w:t>
      </w:r>
      <w:r w:rsidRPr="00633548">
        <w:t xml:space="preserve">However, because the EBSS will not apply in the 2014–19 period, </w:t>
      </w:r>
      <w:r>
        <w:t xml:space="preserve">we reconsidered whether we should </w:t>
      </w:r>
      <w:r w:rsidRPr="00633548">
        <w:t>estimate final year opex this way</w:t>
      </w:r>
      <w:r>
        <w:t xml:space="preserve">. We found that applying the rate of change from the base </w:t>
      </w:r>
      <w:r w:rsidRPr="00633548">
        <w:t>year (that is 2012–13)</w:t>
      </w:r>
      <w:r>
        <w:t>, rather than the final year, would reduce our forecast of Essential Energy's total opex by $3.6 million ($2013–14). However, because we did not apply this approach in our draft decision we have applied our guideline forecasting method to forecast final year opex rather than applying the rate of change from the base year.</w:t>
      </w:r>
    </w:p>
    <w:p w:rsidR="005302FD" w:rsidRPr="005302FD" w:rsidRDefault="005302FD" w:rsidP="005302FD">
      <w:pPr>
        <w:pStyle w:val="Heading7"/>
      </w:pPr>
      <w:bookmarkStart w:id="274" w:name="_Toc417719066"/>
      <w:r w:rsidRPr="005302FD">
        <w:lastRenderedPageBreak/>
        <w:t>Step changes</w:t>
      </w:r>
      <w:bookmarkEnd w:id="274"/>
      <w:r w:rsidRPr="005302FD">
        <w:t xml:space="preserve"> </w:t>
      </w:r>
    </w:p>
    <w:p w:rsidR="00CA2215" w:rsidRPr="00B11E9B" w:rsidRDefault="00CA2215" w:rsidP="00CA2215">
      <w:pPr>
        <w:rPr>
          <w:rStyle w:val="AERbody"/>
        </w:rPr>
      </w:pPr>
      <w:bookmarkStart w:id="275" w:name="_Toc403144136"/>
      <w:bookmarkStart w:id="276" w:name="_Toc408920956"/>
      <w:bookmarkStart w:id="277" w:name="_Toc415726299"/>
      <w:r w:rsidRPr="00B11E9B">
        <w:rPr>
          <w:rStyle w:val="AERbody"/>
        </w:rPr>
        <w:t xml:space="preserve">In developing our alternative opex forecast, we recognise that there may be changed circumstances in the forecast period that may impact on the expenditure requirements of a service provider. We consider those changed circumstances as potential 'step changes'. </w:t>
      </w:r>
    </w:p>
    <w:p w:rsidR="00CA2215" w:rsidRPr="00B11E9B" w:rsidRDefault="00CA2215" w:rsidP="00CA2215">
      <w:pPr>
        <w:rPr>
          <w:rStyle w:val="AERbody"/>
        </w:rPr>
      </w:pPr>
      <w:r w:rsidRPr="00B11E9B">
        <w:rPr>
          <w:rStyle w:val="AERbody"/>
        </w:rPr>
        <w:t>We typically allow step changes for changes to ongoing costs in the forecast period associated with new regulatory obligations and</w:t>
      </w:r>
      <w:r>
        <w:rPr>
          <w:rStyle w:val="AERbody"/>
        </w:rPr>
        <w:t xml:space="preserve"> for efficient capex/opex trade-</w:t>
      </w:r>
      <w:r w:rsidRPr="00B11E9B">
        <w:rPr>
          <w:rStyle w:val="AERbody"/>
        </w:rPr>
        <w:t xml:space="preserve">offs. Step changes may be positive or negative. We would not include a step change if the opex that would otherwise be incurred to reasonably reflect the opex criteria is already covered in another part of our alternative forecast, such as our estimate of base opex or the rate of change. </w:t>
      </w:r>
    </w:p>
    <w:p w:rsidR="00CA2215" w:rsidRPr="00B11E9B" w:rsidRDefault="00CA2215" w:rsidP="00CA2215">
      <w:pPr>
        <w:rPr>
          <w:rStyle w:val="AERbody"/>
        </w:rPr>
      </w:pPr>
      <w:r w:rsidRPr="00B11E9B">
        <w:rPr>
          <w:rStyle w:val="AERbody"/>
        </w:rPr>
        <w:t>This appendix sets out our consideration of step changes in determining our opex forecast for E</w:t>
      </w:r>
      <w:r>
        <w:rPr>
          <w:rStyle w:val="AERbody"/>
        </w:rPr>
        <w:t>ssential</w:t>
      </w:r>
      <w:r w:rsidRPr="00B11E9B">
        <w:rPr>
          <w:rStyle w:val="AERbody"/>
        </w:rPr>
        <w:t xml:space="preserve"> Energy for the 2014–19 period.</w:t>
      </w:r>
    </w:p>
    <w:p w:rsidR="00CA2215" w:rsidRPr="00CA2215" w:rsidRDefault="00CA2215" w:rsidP="000744A9">
      <w:pPr>
        <w:pStyle w:val="Heading8"/>
        <w:numPr>
          <w:ilvl w:val="1"/>
          <w:numId w:val="34"/>
        </w:numPr>
      </w:pPr>
      <w:bookmarkStart w:id="278" w:name="_Toc417719067"/>
      <w:r w:rsidRPr="00D07309">
        <w:t xml:space="preserve">Final </w:t>
      </w:r>
      <w:bookmarkEnd w:id="275"/>
      <w:bookmarkEnd w:id="276"/>
      <w:r w:rsidRPr="00CA2215">
        <w:t>position</w:t>
      </w:r>
      <w:bookmarkEnd w:id="277"/>
      <w:bookmarkEnd w:id="278"/>
    </w:p>
    <w:p w:rsidR="00CA2215" w:rsidRDefault="00CA2215" w:rsidP="00CA2215">
      <w:bookmarkStart w:id="279" w:name="_Toc403144137"/>
      <w:r w:rsidRPr="00067100">
        <w:t xml:space="preserve">We have </w:t>
      </w:r>
      <w:r>
        <w:t>not included any step changes to our estimate of base opex in our alternative opex forecast.</w:t>
      </w:r>
      <w:r w:rsidRPr="00067100">
        <w:t xml:space="preserve"> </w:t>
      </w:r>
      <w:r>
        <w:t xml:space="preserve">Our position is consistent with our position outlined in our draft decision. </w:t>
      </w:r>
    </w:p>
    <w:p w:rsidR="00CA2215" w:rsidRPr="00CA2215" w:rsidRDefault="00CA2215" w:rsidP="00CA2215">
      <w:pPr>
        <w:pStyle w:val="Heading8"/>
      </w:pPr>
      <w:bookmarkStart w:id="280" w:name="_Toc415726300"/>
      <w:bookmarkStart w:id="281" w:name="_Toc417719068"/>
      <w:bookmarkEnd w:id="279"/>
      <w:r>
        <w:t>Draft position</w:t>
      </w:r>
      <w:bookmarkEnd w:id="280"/>
      <w:bookmarkEnd w:id="281"/>
    </w:p>
    <w:p w:rsidR="00CA2215" w:rsidRDefault="00CA2215" w:rsidP="00CA2215">
      <w:r>
        <w:t>In our draft decision we did not include any step changes in our alternative opex forecast.</w:t>
      </w:r>
      <w:r>
        <w:rPr>
          <w:rStyle w:val="FootnoteReference"/>
        </w:rPr>
        <w:footnoteReference w:id="936"/>
      </w:r>
    </w:p>
    <w:p w:rsidR="00CA2215" w:rsidRDefault="00CA2215" w:rsidP="00CA2215">
      <w:r>
        <w:t>In its initial proposal Essential Energy proposed change factors in addition to its estimate of base opex for six categories of opex. The amount proposed and a brief description of each proposed change factor is outlined</w:t>
      </w:r>
      <w:r w:rsidR="00CF2125">
        <w:t xml:space="preserve"> in </w:t>
      </w:r>
      <w:r w:rsidR="00CF2125">
        <w:fldChar w:fldCharType="begin"/>
      </w:r>
      <w:r w:rsidR="00CF2125">
        <w:instrText xml:space="preserve"> REF _Ref417653326 \h </w:instrText>
      </w:r>
      <w:r w:rsidR="00CF2125">
        <w:fldChar w:fldCharType="separate"/>
      </w:r>
      <w:r w:rsidR="00CF2125">
        <w:t xml:space="preserve">Table </w:t>
      </w:r>
      <w:r w:rsidR="00CF2125">
        <w:rPr>
          <w:noProof/>
        </w:rPr>
        <w:t>C</w:t>
      </w:r>
      <w:r w:rsidR="00CF2125">
        <w:t>.</w:t>
      </w:r>
      <w:r w:rsidR="00CF2125">
        <w:rPr>
          <w:noProof/>
        </w:rPr>
        <w:t>1</w:t>
      </w:r>
      <w:r w:rsidR="00CF2125">
        <w:fldChar w:fldCharType="end"/>
      </w:r>
      <w:r>
        <w:t xml:space="preserve"> below.</w:t>
      </w:r>
    </w:p>
    <w:p w:rsidR="00CF2125" w:rsidRDefault="00CF2125">
      <w:pPr>
        <w:spacing w:line="240" w:lineRule="auto"/>
      </w:pPr>
      <w:r>
        <w:br w:type="page"/>
      </w:r>
    </w:p>
    <w:p w:rsidR="00CA2215" w:rsidRDefault="00CF2125" w:rsidP="00A409CB">
      <w:pPr>
        <w:pStyle w:val="Caption"/>
      </w:pPr>
      <w:bookmarkStart w:id="282" w:name="_Ref417653326"/>
      <w:r>
        <w:lastRenderedPageBreak/>
        <w:t xml:space="preserve">Table </w:t>
      </w:r>
      <w:fldSimple w:instr=" STYLEREF 7 \s ">
        <w:r>
          <w:rPr>
            <w:noProof/>
          </w:rPr>
          <w:t>C</w:t>
        </w:r>
      </w:fldSimple>
      <w:r>
        <w:t>.</w:t>
      </w:r>
      <w:fldSimple w:instr=" SEQ ATable \* ARABIC \s 7 ">
        <w:r>
          <w:rPr>
            <w:noProof/>
          </w:rPr>
          <w:t>1</w:t>
        </w:r>
      </w:fldSimple>
      <w:bookmarkEnd w:id="282"/>
      <w:r>
        <w:t xml:space="preserve"> </w:t>
      </w:r>
      <w:r w:rsidR="00CA2215">
        <w:tab/>
        <w:t>Essential Energy proposed change factors in initial proposal</w:t>
      </w:r>
      <w:r w:rsidR="00CA2215">
        <w:br/>
        <w:t>($ million, 2013–14)</w:t>
      </w:r>
    </w:p>
    <w:tbl>
      <w:tblPr>
        <w:tblStyle w:val="AERtable-numbers"/>
        <w:tblW w:w="0" w:type="auto"/>
        <w:tblLook w:val="04A0" w:firstRow="1" w:lastRow="0" w:firstColumn="1" w:lastColumn="0" w:noHBand="0" w:noVBand="1"/>
      </w:tblPr>
      <w:tblGrid>
        <w:gridCol w:w="1780"/>
        <w:gridCol w:w="4633"/>
        <w:gridCol w:w="1095"/>
        <w:gridCol w:w="1185"/>
      </w:tblGrid>
      <w:tr w:rsidR="00CA2215" w:rsidTr="00110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A2215" w:rsidRPr="00CA2215" w:rsidRDefault="00CA2215" w:rsidP="00CA2215">
            <w:r>
              <w:t>Proposed change factor</w:t>
            </w:r>
          </w:p>
        </w:tc>
        <w:tc>
          <w:tcPr>
            <w:tcW w:w="0" w:type="auto"/>
          </w:tcPr>
          <w:p w:rsidR="00CA2215" w:rsidRPr="00CA2215" w:rsidRDefault="00CA2215" w:rsidP="00CA2215">
            <w:pPr>
              <w:cnfStyle w:val="100000000000" w:firstRow="1" w:lastRow="0" w:firstColumn="0" w:lastColumn="0" w:oddVBand="0" w:evenVBand="0" w:oddHBand="0" w:evenHBand="0" w:firstRowFirstColumn="0" w:firstRowLastColumn="0" w:lastRowFirstColumn="0" w:lastRowLastColumn="0"/>
            </w:pPr>
            <w:r>
              <w:t>Description</w:t>
            </w:r>
          </w:p>
        </w:tc>
        <w:tc>
          <w:tcPr>
            <w:tcW w:w="0" w:type="auto"/>
          </w:tcPr>
          <w:p w:rsidR="00CA2215" w:rsidRPr="00CA2215" w:rsidRDefault="00CA2215" w:rsidP="00CA2215">
            <w:pPr>
              <w:cnfStyle w:val="100000000000" w:firstRow="1" w:lastRow="0" w:firstColumn="0" w:lastColumn="0" w:oddVBand="0" w:evenVBand="0" w:oddHBand="0" w:evenHBand="0" w:firstRowFirstColumn="0" w:firstRowLastColumn="0" w:lastRowFirstColumn="0" w:lastRowLastColumn="0"/>
            </w:pPr>
            <w:r>
              <w:t>Proposed amount</w:t>
            </w:r>
          </w:p>
        </w:tc>
        <w:tc>
          <w:tcPr>
            <w:tcW w:w="0" w:type="auto"/>
          </w:tcPr>
          <w:p w:rsidR="00CA2215" w:rsidRPr="00CA2215" w:rsidRDefault="00CA2215" w:rsidP="00CA2215">
            <w:pPr>
              <w:cnfStyle w:val="100000000000" w:firstRow="1" w:lastRow="0" w:firstColumn="0" w:lastColumn="0" w:oddVBand="0" w:evenVBand="0" w:oddHBand="0" w:evenHBand="0" w:firstRowFirstColumn="0" w:firstRowLastColumn="0" w:lastRowFirstColumn="0" w:lastRowLastColumn="0"/>
            </w:pPr>
            <w:r>
              <w:t xml:space="preserve">AER draft decision amount  </w:t>
            </w:r>
          </w:p>
        </w:tc>
      </w:tr>
      <w:tr w:rsidR="00CA2215" w:rsidTr="00110327">
        <w:tc>
          <w:tcPr>
            <w:cnfStyle w:val="001000000000" w:firstRow="0" w:lastRow="0" w:firstColumn="1" w:lastColumn="0" w:oddVBand="0" w:evenVBand="0" w:oddHBand="0" w:evenHBand="0" w:firstRowFirstColumn="0" w:firstRowLastColumn="0" w:lastRowFirstColumn="0" w:lastRowLastColumn="0"/>
            <w:tcW w:w="0" w:type="auto"/>
          </w:tcPr>
          <w:p w:rsidR="00CA2215" w:rsidRPr="00C31220" w:rsidRDefault="00CA2215" w:rsidP="00CA2215">
            <w:pPr>
              <w:numPr>
                <w:ilvl w:val="0"/>
                <w:numId w:val="24"/>
              </w:numPr>
              <w:rPr>
                <w:rStyle w:val="AERtextsize8"/>
              </w:rPr>
            </w:pPr>
            <w:r w:rsidRPr="00C31220">
              <w:rPr>
                <w:rStyle w:val="AERtextsize8"/>
              </w:rPr>
              <w:t>Accounting treatment changes</w:t>
            </w:r>
          </w:p>
        </w:tc>
        <w:tc>
          <w:tcPr>
            <w:tcW w:w="0" w:type="auto"/>
          </w:tcPr>
          <w:p w:rsidR="00CA2215" w:rsidRDefault="00CA2215" w:rsidP="00CA2215">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p>
          <w:p w:rsidR="00CA2215" w:rsidRPr="00CA2215" w:rsidRDefault="00CA2215" w:rsidP="00CA2215">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C31220">
              <w:rPr>
                <w:rStyle w:val="AERtextsize8"/>
              </w:rPr>
              <w:t>Overheads allocated</w:t>
            </w:r>
            <w:r w:rsidRPr="00CA2215">
              <w:rPr>
                <w:rStyle w:val="AERtextsize8"/>
              </w:rPr>
              <w:t xml:space="preserve"> to opex that were previously allocated to both opex and capex. This was undertaken as part of a Network Reform accounting harmonisation program carried out across the three NSW network businesses</w:t>
            </w:r>
          </w:p>
        </w:tc>
        <w:tc>
          <w:tcPr>
            <w:tcW w:w="0" w:type="auto"/>
          </w:tcPr>
          <w:p w:rsidR="00CA2215" w:rsidRPr="00CA2215" w:rsidRDefault="00CA2215" w:rsidP="00CA2215">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833661">
              <w:rPr>
                <w:rStyle w:val="AERtextsize8"/>
              </w:rPr>
              <w:t>52.7</w:t>
            </w:r>
          </w:p>
        </w:tc>
        <w:tc>
          <w:tcPr>
            <w:tcW w:w="0" w:type="auto"/>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t>-</w:t>
            </w:r>
          </w:p>
        </w:tc>
      </w:tr>
      <w:tr w:rsidR="00CA2215" w:rsidTr="00110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A2215" w:rsidRPr="00C31220" w:rsidRDefault="00CA2215" w:rsidP="00CA2215">
            <w:pPr>
              <w:numPr>
                <w:ilvl w:val="0"/>
                <w:numId w:val="24"/>
              </w:numPr>
              <w:rPr>
                <w:rStyle w:val="AERtextsize8"/>
              </w:rPr>
            </w:pPr>
            <w:r w:rsidRPr="00C31220">
              <w:rPr>
                <w:rStyle w:val="AERtextsize8"/>
              </w:rPr>
              <w:t>Costs to implement network reform program</w:t>
            </w:r>
          </w:p>
        </w:tc>
        <w:tc>
          <w:tcPr>
            <w:tcW w:w="0" w:type="auto"/>
          </w:tcPr>
          <w:p w:rsidR="00CA2215" w:rsidRDefault="00CA2215" w:rsidP="00CA2215">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p>
          <w:p w:rsidR="00CA2215" w:rsidRPr="00CA2215" w:rsidRDefault="00CA2215" w:rsidP="00CA2215">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sidRPr="00C31220">
              <w:rPr>
                <w:rStyle w:val="AERtextsize8"/>
              </w:rPr>
              <w:t>Incremental costs associated with Essential Energy's contribution to Network NSW and redundancy costs associated with network reform</w:t>
            </w:r>
            <w:r w:rsidRPr="00CA2215">
              <w:rPr>
                <w:rStyle w:val="AERtextsize8"/>
              </w:rPr>
              <w:t>.</w:t>
            </w:r>
          </w:p>
          <w:p w:rsidR="00CA2215" w:rsidRPr="00C31220" w:rsidRDefault="00CA2215" w:rsidP="00CA2215">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p>
        </w:tc>
        <w:tc>
          <w:tcPr>
            <w:tcW w:w="0" w:type="auto"/>
          </w:tcPr>
          <w:p w:rsidR="00CA2215" w:rsidRPr="00CA2215" w:rsidRDefault="00CA2215" w:rsidP="00CA2215">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833661">
              <w:rPr>
                <w:rStyle w:val="AERtextsize8"/>
              </w:rPr>
              <w:t>94.2</w:t>
            </w:r>
          </w:p>
        </w:tc>
        <w:tc>
          <w:tcPr>
            <w:tcW w:w="0" w:type="auto"/>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t>-</w:t>
            </w:r>
          </w:p>
        </w:tc>
      </w:tr>
      <w:tr w:rsidR="00CA2215" w:rsidTr="00110327">
        <w:tc>
          <w:tcPr>
            <w:cnfStyle w:val="001000000000" w:firstRow="0" w:lastRow="0" w:firstColumn="1" w:lastColumn="0" w:oddVBand="0" w:evenVBand="0" w:oddHBand="0" w:evenHBand="0" w:firstRowFirstColumn="0" w:firstRowLastColumn="0" w:lastRowFirstColumn="0" w:lastRowLastColumn="0"/>
            <w:tcW w:w="0" w:type="auto"/>
          </w:tcPr>
          <w:p w:rsidR="00CA2215" w:rsidRPr="00C31220" w:rsidRDefault="00CA2215" w:rsidP="00CA2215">
            <w:pPr>
              <w:numPr>
                <w:ilvl w:val="0"/>
                <w:numId w:val="24"/>
              </w:numPr>
              <w:rPr>
                <w:rStyle w:val="AERtextsize8"/>
              </w:rPr>
            </w:pPr>
            <w:r w:rsidRPr="00C31220">
              <w:rPr>
                <w:rStyle w:val="AERtextsize8"/>
              </w:rPr>
              <w:t>Other (including savings)</w:t>
            </w:r>
          </w:p>
        </w:tc>
        <w:tc>
          <w:tcPr>
            <w:tcW w:w="0" w:type="auto"/>
          </w:tcPr>
          <w:p w:rsidR="00CA2215" w:rsidRDefault="00CA2215" w:rsidP="00CA2215">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p>
          <w:p w:rsidR="00CA2215" w:rsidRPr="00CA2215" w:rsidRDefault="00CA2215" w:rsidP="00CA2215">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C31220">
              <w:rPr>
                <w:rStyle w:val="AERtextsize8"/>
              </w:rPr>
              <w:t>Includes i</w:t>
            </w:r>
            <w:r w:rsidRPr="00CA2215">
              <w:rPr>
                <w:rStyle w:val="AERtextsize8"/>
              </w:rPr>
              <w:t>ncreased in shared overheads allocated to opex and forecast increase in incremental fault and emergency response. Essential Energy attributed these cost increases to the reduction in its capex.</w:t>
            </w:r>
          </w:p>
        </w:tc>
        <w:tc>
          <w:tcPr>
            <w:tcW w:w="0" w:type="auto"/>
          </w:tcPr>
          <w:p w:rsidR="00CA2215" w:rsidRPr="00CA2215" w:rsidRDefault="00CA2215" w:rsidP="00CA2215">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833661">
              <w:rPr>
                <w:rStyle w:val="AERtextsize8"/>
              </w:rPr>
              <w:t>69.9</w:t>
            </w:r>
          </w:p>
        </w:tc>
        <w:tc>
          <w:tcPr>
            <w:tcW w:w="0" w:type="auto"/>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t>-</w:t>
            </w:r>
          </w:p>
        </w:tc>
      </w:tr>
      <w:tr w:rsidR="00CA2215" w:rsidTr="00110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A2215" w:rsidRPr="00C31220" w:rsidRDefault="00CA2215" w:rsidP="00CA2215">
            <w:pPr>
              <w:numPr>
                <w:ilvl w:val="0"/>
                <w:numId w:val="24"/>
              </w:numPr>
              <w:rPr>
                <w:rStyle w:val="AERtextsize8"/>
              </w:rPr>
            </w:pPr>
            <w:r w:rsidRPr="00C31220">
              <w:rPr>
                <w:rStyle w:val="AERtextsize8"/>
              </w:rPr>
              <w:t>Vegetation management</w:t>
            </w:r>
          </w:p>
        </w:tc>
        <w:tc>
          <w:tcPr>
            <w:tcW w:w="0" w:type="auto"/>
          </w:tcPr>
          <w:p w:rsidR="00CA2215" w:rsidRDefault="00CA2215" w:rsidP="00CA2215">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p>
          <w:p w:rsidR="00CA2215" w:rsidRPr="00CA2215" w:rsidRDefault="00CA2215" w:rsidP="00CA2215">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Proposed r</w:t>
            </w:r>
            <w:r w:rsidRPr="00CA2215">
              <w:rPr>
                <w:rStyle w:val="AERtextsize8"/>
              </w:rPr>
              <w:t>eduction in vegetation management due to achievement of efficiencies through strategic reform initiatives.</w:t>
            </w:r>
          </w:p>
        </w:tc>
        <w:tc>
          <w:tcPr>
            <w:tcW w:w="0" w:type="auto"/>
          </w:tcPr>
          <w:p w:rsidR="00CA2215" w:rsidRPr="00CA2215" w:rsidRDefault="00CA2215" w:rsidP="00CA2215">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833661">
              <w:rPr>
                <w:rStyle w:val="AERtextsize8"/>
              </w:rPr>
              <w:t>–150.4</w:t>
            </w:r>
          </w:p>
        </w:tc>
        <w:tc>
          <w:tcPr>
            <w:tcW w:w="0" w:type="auto"/>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t>-</w:t>
            </w:r>
          </w:p>
        </w:tc>
      </w:tr>
      <w:tr w:rsidR="00CA2215" w:rsidTr="00110327">
        <w:tc>
          <w:tcPr>
            <w:cnfStyle w:val="001000000000" w:firstRow="0" w:lastRow="0" w:firstColumn="1" w:lastColumn="0" w:oddVBand="0" w:evenVBand="0" w:oddHBand="0" w:evenHBand="0" w:firstRowFirstColumn="0" w:firstRowLastColumn="0" w:lastRowFirstColumn="0" w:lastRowLastColumn="0"/>
            <w:tcW w:w="0" w:type="auto"/>
          </w:tcPr>
          <w:p w:rsidR="00CA2215" w:rsidRPr="00C31220" w:rsidRDefault="00CA2215" w:rsidP="00CA2215">
            <w:pPr>
              <w:numPr>
                <w:ilvl w:val="0"/>
                <w:numId w:val="24"/>
              </w:numPr>
              <w:rPr>
                <w:rStyle w:val="AERtextsize8"/>
              </w:rPr>
            </w:pPr>
            <w:r w:rsidRPr="00C31220">
              <w:rPr>
                <w:rStyle w:val="AERtextsize8"/>
              </w:rPr>
              <w:t>Reclassified ancillary network and metering services</w:t>
            </w:r>
          </w:p>
        </w:tc>
        <w:tc>
          <w:tcPr>
            <w:tcW w:w="0" w:type="auto"/>
          </w:tcPr>
          <w:p w:rsidR="00CA2215" w:rsidRPr="00CA2215" w:rsidRDefault="00CA2215" w:rsidP="00CA2215">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Proposed r</w:t>
            </w:r>
            <w:r w:rsidRPr="00CA2215">
              <w:rPr>
                <w:rStyle w:val="AERtextsize8"/>
              </w:rPr>
              <w:t>eclassification of services from standard control to alternative control</w:t>
            </w:r>
          </w:p>
        </w:tc>
        <w:tc>
          <w:tcPr>
            <w:tcW w:w="0" w:type="auto"/>
          </w:tcPr>
          <w:p w:rsidR="00CA2215" w:rsidRPr="00CA2215" w:rsidRDefault="00CA2215" w:rsidP="00CA2215">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833661">
              <w:rPr>
                <w:rStyle w:val="AERtextsize8"/>
              </w:rPr>
              <w:t>–203.8</w:t>
            </w:r>
          </w:p>
        </w:tc>
        <w:tc>
          <w:tcPr>
            <w:tcW w:w="0" w:type="auto"/>
          </w:tcPr>
          <w:p w:rsidR="00CA2215" w:rsidRPr="00CA2215" w:rsidRDefault="00CA2215" w:rsidP="00CA2215">
            <w:pPr>
              <w:cnfStyle w:val="000000000000" w:firstRow="0" w:lastRow="0" w:firstColumn="0" w:lastColumn="0" w:oddVBand="0" w:evenVBand="0" w:oddHBand="0" w:evenHBand="0" w:firstRowFirstColumn="0" w:firstRowLastColumn="0" w:lastRowFirstColumn="0" w:lastRowLastColumn="0"/>
            </w:pPr>
            <w:r>
              <w:t>-</w:t>
            </w:r>
          </w:p>
        </w:tc>
      </w:tr>
      <w:tr w:rsidR="00CA2215" w:rsidTr="00110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A2215" w:rsidRPr="00C31220" w:rsidRDefault="00CA2215" w:rsidP="00CA2215">
            <w:pPr>
              <w:numPr>
                <w:ilvl w:val="0"/>
                <w:numId w:val="24"/>
              </w:numPr>
              <w:rPr>
                <w:rStyle w:val="AERtextsize8"/>
              </w:rPr>
            </w:pPr>
            <w:r w:rsidRPr="00C31220">
              <w:rPr>
                <w:rStyle w:val="AERtextsize8"/>
              </w:rPr>
              <w:t>Actuarial adjustment for long service leave</w:t>
            </w:r>
          </w:p>
        </w:tc>
        <w:tc>
          <w:tcPr>
            <w:tcW w:w="0" w:type="auto"/>
          </w:tcPr>
          <w:p w:rsidR="00CA2215" w:rsidRDefault="00CA2215" w:rsidP="00CA2215">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p>
          <w:p w:rsidR="00CA2215" w:rsidRPr="00CA2215" w:rsidRDefault="00CA2215" w:rsidP="00CA2215">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Proposed r</w:t>
            </w:r>
            <w:r w:rsidRPr="00CA2215">
              <w:rPr>
                <w:rStyle w:val="AERtextsize8"/>
              </w:rPr>
              <w:t>eversal of the actuarial adjustment for long service leave Essential Energy reported in the base year 2012–13.</w:t>
            </w:r>
          </w:p>
          <w:p w:rsidR="00CA2215" w:rsidRPr="00C31220" w:rsidRDefault="00CA2215" w:rsidP="00CA2215">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p>
        </w:tc>
        <w:tc>
          <w:tcPr>
            <w:tcW w:w="0" w:type="auto"/>
          </w:tcPr>
          <w:p w:rsidR="00CA2215" w:rsidRPr="00CA2215" w:rsidRDefault="00CA2215" w:rsidP="00CA2215">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833661">
              <w:rPr>
                <w:rStyle w:val="AERtextsize8"/>
              </w:rPr>
              <w:t>11.5</w:t>
            </w:r>
          </w:p>
        </w:tc>
        <w:tc>
          <w:tcPr>
            <w:tcW w:w="0" w:type="auto"/>
          </w:tcPr>
          <w:p w:rsidR="00CA2215" w:rsidRPr="00CA2215" w:rsidRDefault="00CA2215" w:rsidP="00CA2215">
            <w:pPr>
              <w:cnfStyle w:val="000000010000" w:firstRow="0" w:lastRow="0" w:firstColumn="0" w:lastColumn="0" w:oddVBand="0" w:evenVBand="0" w:oddHBand="0" w:evenHBand="1" w:firstRowFirstColumn="0" w:firstRowLastColumn="0" w:lastRowFirstColumn="0" w:lastRowLastColumn="0"/>
            </w:pPr>
            <w:r>
              <w:t>-</w:t>
            </w:r>
          </w:p>
        </w:tc>
      </w:tr>
    </w:tbl>
    <w:p w:rsidR="00CA2215" w:rsidRPr="008C6FA0" w:rsidRDefault="00CA2215" w:rsidP="0028318D">
      <w:pPr>
        <w:pStyle w:val="AERtablesource"/>
        <w:rPr>
          <w:rStyle w:val="AERtexthighlight"/>
        </w:rPr>
      </w:pPr>
      <w:r w:rsidRPr="0028318D">
        <w:t xml:space="preserve">Source: </w:t>
      </w:r>
      <w:r w:rsidRPr="0028318D">
        <w:tab/>
        <w:t>Essential</w:t>
      </w:r>
      <w:r>
        <w:t xml:space="preserve"> Energy, </w:t>
      </w:r>
      <w:r w:rsidRPr="00833661">
        <w:rPr>
          <w:rStyle w:val="Emphasis"/>
        </w:rPr>
        <w:t>Regulatory Information Notice Table 2.17.1</w:t>
      </w:r>
      <w:r>
        <w:t>, May 2014.</w:t>
      </w:r>
    </w:p>
    <w:p w:rsidR="00CA2215" w:rsidRDefault="00CA2215" w:rsidP="00CA2215">
      <w:pPr>
        <w:numPr>
          <w:ilvl w:val="0"/>
          <w:numId w:val="24"/>
        </w:numPr>
      </w:pPr>
      <w:r>
        <w:t>Essential Energy preferred to use the phrase 'change factor' to describe the cost drivers affecting its opex forecast for the 2014–19 period. It considered that our approach to 'step changes' may exclude costs that satisfy the NER criteria and factors and should therefore be included in the opex forecast.</w:t>
      </w:r>
      <w:r>
        <w:rPr>
          <w:rStyle w:val="FootnoteReference"/>
        </w:rPr>
        <w:footnoteReference w:id="937"/>
      </w:r>
      <w:r>
        <w:t xml:space="preserve"> </w:t>
      </w:r>
    </w:p>
    <w:p w:rsidR="00CA2215" w:rsidRDefault="00CA2215" w:rsidP="00CA2215">
      <w:pPr>
        <w:numPr>
          <w:ilvl w:val="0"/>
          <w:numId w:val="24"/>
        </w:numPr>
      </w:pPr>
      <w:r>
        <w:t>In our draft decision we did not consider that this should affect how we assess these potential cost drivers. We considered our framework for assessing step changes is equally applicable to a cost driver defined as a change factor. We considered that how a cost driver is labelled should not lead to a different conclusion of the total opex that would reasonably reflect the opex criteria.</w:t>
      </w:r>
      <w:r>
        <w:rPr>
          <w:rStyle w:val="FootnoteReference"/>
        </w:rPr>
        <w:footnoteReference w:id="938"/>
      </w:r>
    </w:p>
    <w:p w:rsidR="00CA2215" w:rsidRDefault="00CA2215" w:rsidP="00CA2215">
      <w:pPr>
        <w:numPr>
          <w:ilvl w:val="0"/>
          <w:numId w:val="24"/>
        </w:numPr>
      </w:pPr>
      <w:r>
        <w:lastRenderedPageBreak/>
        <w:t xml:space="preserve">We did not consider there were reasons to provide step changes above our estimate of base opex (adjusted for our estimate of the rate of change in base opex). </w:t>
      </w:r>
    </w:p>
    <w:p w:rsidR="00CA2215" w:rsidRDefault="00CA2215" w:rsidP="00CA2215">
      <w:pPr>
        <w:numPr>
          <w:ilvl w:val="0"/>
          <w:numId w:val="24"/>
        </w:numPr>
      </w:pPr>
      <w:r>
        <w:t>In our draft decision we also noted we considered Essential Energy's overall forecasts of vegetation management and its proposed reclassification of ancillary network and metering services separately as part of our consideration of our estimate of base opex.</w:t>
      </w:r>
      <w:r>
        <w:rPr>
          <w:rStyle w:val="FootnoteReference"/>
        </w:rPr>
        <w:footnoteReference w:id="939"/>
      </w:r>
    </w:p>
    <w:p w:rsidR="00CA2215" w:rsidRPr="00CA2215" w:rsidRDefault="00CA2215" w:rsidP="00CA2215">
      <w:pPr>
        <w:pStyle w:val="Heading8"/>
      </w:pPr>
      <w:bookmarkStart w:id="283" w:name="_Toc415726301"/>
      <w:bookmarkStart w:id="284" w:name="_Toc417719069"/>
      <w:r>
        <w:t>Essential Energy's revised proposal and submissions</w:t>
      </w:r>
      <w:bookmarkEnd w:id="283"/>
      <w:bookmarkEnd w:id="284"/>
    </w:p>
    <w:p w:rsidR="00C2445E" w:rsidRPr="00B11E9B" w:rsidRDefault="00C2445E" w:rsidP="00C2445E">
      <w:pPr>
        <w:rPr>
          <w:rStyle w:val="AERbody"/>
        </w:rPr>
      </w:pPr>
      <w:r w:rsidRPr="00B11E9B">
        <w:rPr>
          <w:rStyle w:val="AERbody"/>
        </w:rPr>
        <w:t xml:space="preserve">In developing our alternative opex forecast, we recognise that there may be changed circumstances in the forecast period that may impact on the expenditure requirements of a service provider. We consider those changed circumstances as potential 'step changes'. </w:t>
      </w:r>
    </w:p>
    <w:p w:rsidR="00C2445E" w:rsidRPr="00B11E9B" w:rsidRDefault="00C2445E" w:rsidP="00C2445E">
      <w:pPr>
        <w:rPr>
          <w:rStyle w:val="AERbody"/>
        </w:rPr>
      </w:pPr>
      <w:r w:rsidRPr="00B11E9B">
        <w:rPr>
          <w:rStyle w:val="AERbody"/>
        </w:rPr>
        <w:t>We typically allow step changes for changes to ongoing costs in the forecast period associated with new regulatory obligations and</w:t>
      </w:r>
      <w:r>
        <w:rPr>
          <w:rStyle w:val="AERbody"/>
        </w:rPr>
        <w:t xml:space="preserve"> for efficient capex/opex trade-</w:t>
      </w:r>
      <w:r w:rsidRPr="00B11E9B">
        <w:rPr>
          <w:rStyle w:val="AERbody"/>
        </w:rPr>
        <w:t xml:space="preserve">offs. Step changes may be positive or negative. We would not include a step change if the opex that would otherwise be incurred to reasonably reflect the opex criteria is already covered in another part of our alternative forecast, such as our estimate of base opex or the rate of change. </w:t>
      </w:r>
    </w:p>
    <w:p w:rsidR="00C2445E" w:rsidRPr="00B11E9B" w:rsidRDefault="00C2445E" w:rsidP="00C2445E">
      <w:pPr>
        <w:rPr>
          <w:rStyle w:val="AERbody"/>
        </w:rPr>
      </w:pPr>
      <w:r w:rsidRPr="00B11E9B">
        <w:rPr>
          <w:rStyle w:val="AERbody"/>
        </w:rPr>
        <w:t>This appendix sets out our consideration of step changes in determining our opex forecast for E</w:t>
      </w:r>
      <w:r>
        <w:rPr>
          <w:rStyle w:val="AERbody"/>
        </w:rPr>
        <w:t>ssential</w:t>
      </w:r>
      <w:r w:rsidRPr="00B11E9B">
        <w:rPr>
          <w:rStyle w:val="AERbody"/>
        </w:rPr>
        <w:t xml:space="preserve"> Energy for the 2014–19 period.</w:t>
      </w:r>
    </w:p>
    <w:p w:rsidR="00C2445E" w:rsidRDefault="00C2445E" w:rsidP="00C2445E">
      <w:r>
        <w:t>In its revised proposal, Essential Energy did not indicate it had made any revisions to its proposal to address our draft position on step changes.</w:t>
      </w:r>
    </w:p>
    <w:p w:rsidR="00C2445E" w:rsidRDefault="00C2445E" w:rsidP="00C2445E">
      <w:r>
        <w:t>In its revised proposal, Essential Energy considered our test</w:t>
      </w:r>
      <w:r w:rsidRPr="006B719E">
        <w:t xml:space="preserve"> of an acceptable ‘step change’ is overly narrow, and effectively precludes operating expenditure that meets the </w:t>
      </w:r>
      <w:r>
        <w:t xml:space="preserve">opex </w:t>
      </w:r>
      <w:r w:rsidRPr="006B719E">
        <w:t xml:space="preserve">criteria. </w:t>
      </w:r>
      <w:r>
        <w:t>It considered that we simply assume</w:t>
      </w:r>
      <w:r w:rsidRPr="006B719E">
        <w:t xml:space="preserve"> that costs in the base year reflect the amount required to achieve the operating expenditure objectives, and </w:t>
      </w:r>
      <w:r>
        <w:t xml:space="preserve">we </w:t>
      </w:r>
      <w:r w:rsidRPr="006B719E">
        <w:t>do not consider whether additional expenditure may be required.</w:t>
      </w:r>
      <w:r>
        <w:rPr>
          <w:rStyle w:val="FootnoteReference"/>
        </w:rPr>
        <w:footnoteReference w:id="940"/>
      </w:r>
      <w:r w:rsidRPr="006B719E">
        <w:t xml:space="preserve"> </w:t>
      </w:r>
    </w:p>
    <w:p w:rsidR="00C2445E" w:rsidRDefault="00C2445E" w:rsidP="00C2445E">
      <w:r>
        <w:t>Essential Energy commented specifically on our position not to provide step changes for redundancy costs and</w:t>
      </w:r>
      <w:r w:rsidRPr="00E721F6">
        <w:t xml:space="preserve"> </w:t>
      </w:r>
      <w:r>
        <w:t>proposed a further increase in opex of $30 million for these costs.</w:t>
      </w:r>
      <w:r>
        <w:rPr>
          <w:rStyle w:val="FootnoteReference"/>
        </w:rPr>
        <w:footnoteReference w:id="941"/>
      </w:r>
      <w:r>
        <w:t xml:space="preserve"> It submitted that these costs meet the criteria of efficient costs and it has legally binding obligations to provide termination payments.</w:t>
      </w:r>
      <w:r>
        <w:rPr>
          <w:rStyle w:val="FootnoteReference"/>
        </w:rPr>
        <w:footnoteReference w:id="942"/>
      </w:r>
      <w:r>
        <w:t xml:space="preserve"> </w:t>
      </w:r>
      <w:r w:rsidRPr="00771DC4">
        <w:rPr>
          <w:rStyle w:val="AERbody"/>
        </w:rPr>
        <w:t xml:space="preserve">It </w:t>
      </w:r>
      <w:r>
        <w:rPr>
          <w:rStyle w:val="AERbody"/>
        </w:rPr>
        <w:t xml:space="preserve">also </w:t>
      </w:r>
      <w:r w:rsidRPr="00771DC4">
        <w:rPr>
          <w:rStyle w:val="AERbody"/>
        </w:rPr>
        <w:t xml:space="preserve">considered we had </w:t>
      </w:r>
      <w:r>
        <w:rPr>
          <w:rStyle w:val="AERbody"/>
        </w:rPr>
        <w:t xml:space="preserve">not undertaken an assessment of its forecast </w:t>
      </w:r>
      <w:r w:rsidRPr="00771DC4">
        <w:rPr>
          <w:rStyle w:val="AERbody"/>
        </w:rPr>
        <w:t>retail dis-synergies</w:t>
      </w:r>
      <w:r>
        <w:t>.</w:t>
      </w:r>
      <w:r>
        <w:rPr>
          <w:rStyle w:val="FootnoteReference"/>
        </w:rPr>
        <w:footnoteReference w:id="943"/>
      </w:r>
    </w:p>
    <w:p w:rsidR="00C2445E" w:rsidRPr="009F05C0" w:rsidRDefault="00C2445E" w:rsidP="00C2445E">
      <w:r>
        <w:lastRenderedPageBreak/>
        <w:t xml:space="preserve">Essential Energy also proposed an increase in opex of $67 million </w:t>
      </w:r>
      <w:r w:rsidRPr="009F05C0">
        <w:t>to reflect additional vegetation management, the rectification of non-compliant clearance levels, and rectification of network defects identified since the introduction of LiDAR technology.</w:t>
      </w:r>
      <w:r>
        <w:rPr>
          <w:rStyle w:val="FootnoteReference"/>
        </w:rPr>
        <w:footnoteReference w:id="944"/>
      </w:r>
      <w:r w:rsidRPr="009F05C0">
        <w:t xml:space="preserve"> </w:t>
      </w:r>
    </w:p>
    <w:p w:rsidR="00C2445E" w:rsidRPr="002D6421" w:rsidRDefault="00C2445E" w:rsidP="002D6421">
      <w:r w:rsidRPr="002D6421">
        <w:t>We consider each of these issues below. Essential Energy did not make any specific comments in relation to our draft decision for other proposed change factors.</w:t>
      </w:r>
    </w:p>
    <w:p w:rsidR="00C2445E" w:rsidRDefault="00C2445E" w:rsidP="00C2445E">
      <w:r>
        <w:t>As we have not received any further submissions on these issues, we do not discuss our position on these issues any further in our final decision. Our reasons for not including these proposals in our alternative opex forecast are set out in our draft decision.</w:t>
      </w:r>
      <w:r>
        <w:rPr>
          <w:rStyle w:val="FootnoteReference"/>
        </w:rPr>
        <w:footnoteReference w:id="945"/>
      </w:r>
      <w:bookmarkStart w:id="285" w:name="_Toc403144138"/>
      <w:r>
        <w:t xml:space="preserve"> We note that </w:t>
      </w:r>
      <w:r w:rsidRPr="00955290">
        <w:t>the EUAA agreed with our position that the NSW distributors' proposed step changes were already accounted for in our assessment of base year opex.</w:t>
      </w:r>
      <w:r w:rsidRPr="00955290">
        <w:rPr>
          <w:rStyle w:val="FootnoteReference"/>
        </w:rPr>
        <w:footnoteReference w:id="946"/>
      </w:r>
    </w:p>
    <w:p w:rsidR="00C2445E" w:rsidRPr="00C2445E" w:rsidRDefault="00C2445E" w:rsidP="00C2445E">
      <w:pPr>
        <w:pStyle w:val="Heading9"/>
      </w:pPr>
      <w:bookmarkStart w:id="286" w:name="_Toc415726302"/>
      <w:bookmarkStart w:id="287" w:name="_Toc417719070"/>
      <w:bookmarkEnd w:id="285"/>
      <w:r w:rsidRPr="00C2445E">
        <w:t>Assessment approach</w:t>
      </w:r>
      <w:bookmarkEnd w:id="286"/>
      <w:bookmarkEnd w:id="287"/>
    </w:p>
    <w:p w:rsidR="00C2445E" w:rsidRDefault="00C2445E" w:rsidP="00C2445E">
      <w:pPr>
        <w:numPr>
          <w:ilvl w:val="0"/>
          <w:numId w:val="24"/>
        </w:numPr>
      </w:pPr>
      <w:r w:rsidRPr="00641734">
        <w:t xml:space="preserve">When assessing </w:t>
      </w:r>
      <w:r>
        <w:t>a service provider's</w:t>
      </w:r>
      <w:r w:rsidRPr="00641734">
        <w:t xml:space="preserve"> proposed step changes, we consider whether they are </w:t>
      </w:r>
      <w:r>
        <w:t>needed for the total opex forecast to reasonably reflect the opex criteria</w:t>
      </w:r>
      <w:r w:rsidRPr="00641734">
        <w:t>.</w:t>
      </w:r>
      <w:r w:rsidRPr="001476FB">
        <w:rPr>
          <w:rStyle w:val="AERsuperscript"/>
        </w:rPr>
        <w:footnoteReference w:id="947"/>
      </w:r>
      <w:r w:rsidRPr="00BC5B3E">
        <w:t xml:space="preserve"> </w:t>
      </w:r>
      <w:r>
        <w:t>Our assessment approach as first outlined in our draft decision is consistent with the approach specified in our Guideline.</w:t>
      </w:r>
      <w:r>
        <w:rPr>
          <w:rStyle w:val="FootnoteReference"/>
        </w:rPr>
        <w:footnoteReference w:id="948"/>
      </w:r>
    </w:p>
    <w:p w:rsidR="00C2445E" w:rsidRPr="002F6BC5" w:rsidRDefault="00C2445E" w:rsidP="00C2445E">
      <w:pPr>
        <w:rPr>
          <w:rStyle w:val="AERbody"/>
        </w:rPr>
      </w:pPr>
      <w:r w:rsidRPr="002F6BC5">
        <w:rPr>
          <w:rStyle w:val="AERbody"/>
        </w:rPr>
        <w:t xml:space="preserve">As a starting point, we assess whether the proposed step changes in opex are already compensated through other elements of our opex forecast, such as the base efficient opex or the 'rate of change' component. Step changes should not double count costs included in other elements of the opex forecast. </w:t>
      </w:r>
    </w:p>
    <w:p w:rsidR="00C2445E" w:rsidRPr="002F6BC5" w:rsidRDefault="00C2445E" w:rsidP="00C2445E">
      <w:pPr>
        <w:rPr>
          <w:rStyle w:val="AERbody"/>
        </w:rPr>
      </w:pPr>
      <w:r w:rsidRPr="002F6BC5">
        <w:rPr>
          <w:rStyle w:val="AERbody"/>
        </w:rPr>
        <w:t xml:space="preserve">We generally consider an efficient base level of opex is sufficient for a prudent and efficient service provider to meet all existing regulatory obligations. This is the same regardless of whether we forecast an efficient base level of opex based on the service provider's revealed efficient costs or the </w:t>
      </w:r>
      <w:r>
        <w:rPr>
          <w:rStyle w:val="AERbody"/>
        </w:rPr>
        <w:t>benchmark operating expenditure that would be incurred by an efficient provider</w:t>
      </w:r>
      <w:r w:rsidRPr="002F6BC5">
        <w:rPr>
          <w:rStyle w:val="AERbody"/>
        </w:rPr>
        <w:t>. We only include a step change in our opex forecast if we are satisfied a prudent and efficient service provider would need an increase in its opex to meet the opex criteria.</w:t>
      </w:r>
    </w:p>
    <w:p w:rsidR="00C2445E" w:rsidRPr="002F6BC5" w:rsidRDefault="00C2445E" w:rsidP="00C2445E">
      <w:pPr>
        <w:rPr>
          <w:rStyle w:val="AERbody"/>
        </w:rPr>
      </w:pPr>
      <w:r w:rsidRPr="002F6BC5">
        <w:rPr>
          <w:rStyle w:val="AERbody"/>
        </w:rPr>
        <w:t xml:space="preserve">We forecast opex by applying an annual 'rate of change' to the base year for each year of the forecast period. The annual rate of change accounts for efficient changes in opex over time. It incorporates adjustments for forecast changes in output and price. Therefore, when we assess the proposed step changes we need to ensure that the </w:t>
      </w:r>
      <w:r w:rsidRPr="002F6BC5">
        <w:rPr>
          <w:rStyle w:val="AERbody"/>
        </w:rPr>
        <w:lastRenderedPageBreak/>
        <w:t>cost of the step change is not already accounted for in the annual rate of change. The following explains this principle in more detail.</w:t>
      </w:r>
    </w:p>
    <w:p w:rsidR="00C2445E" w:rsidRPr="002F6BC5" w:rsidRDefault="00C2445E" w:rsidP="00C2445E">
      <w:pPr>
        <w:rPr>
          <w:rStyle w:val="AERbody"/>
        </w:rPr>
      </w:pPr>
      <w:r w:rsidRPr="002F6BC5">
        <w:rPr>
          <w:rStyle w:val="AERbody"/>
        </w:rPr>
        <w:t>A step change should not double count the costs of increased volume or scale compensated through the forecast change in output. We account for output growth by applying a forecast output growth factor to the opex base year. If the output growth measure used captures all changes in output then step changes that relate to forecast changes in output will not be required. For example, a step change is not required for the maintenance costs of new office space required due to the service provider's expanding network. The opex forecast has already been increased (from the base year) to account for forecast network growth.</w:t>
      </w:r>
      <w:r w:rsidRPr="00D3600C">
        <w:rPr>
          <w:rStyle w:val="AERsuperscript"/>
        </w:rPr>
        <w:footnoteReference w:id="949"/>
      </w:r>
      <w:r w:rsidRPr="00D3600C">
        <w:rPr>
          <w:rStyle w:val="AERsuperscript"/>
        </w:rPr>
        <w:t xml:space="preserve"> </w:t>
      </w:r>
    </w:p>
    <w:p w:rsidR="00C2445E" w:rsidRPr="002F6BC5" w:rsidRDefault="00C2445E" w:rsidP="00C2445E">
      <w:pPr>
        <w:rPr>
          <w:rStyle w:val="AERbody"/>
        </w:rPr>
      </w:pPr>
      <w:r w:rsidRPr="002F6BC5">
        <w:rPr>
          <w:rStyle w:val="AERbody"/>
        </w:rPr>
        <w:t>By applying the rate of change to the base year opex, we adjust our opex forecast to account for real price increases. A step change should not double count price increases already compe</w:t>
      </w:r>
      <w:r>
        <w:rPr>
          <w:rStyle w:val="AERbody"/>
        </w:rPr>
        <w:t xml:space="preserve">nsated through this adjustment. </w:t>
      </w:r>
      <w:r w:rsidRPr="002F6BC5">
        <w:rPr>
          <w:rStyle w:val="AERbody"/>
        </w:rPr>
        <w:t xml:space="preserve">Applying a step change for costs that are forecast to increase faster than CPI will likely yield a biased forecast if we don't also apply a negative step change for costs that are increasing by less than CPI. A good example is insurance premiums. A step change is not required if insurance premiums are forecast to increase faster than CPI because within total opex there will be other categories whose price is forecast to increase by less than CPI. If we add a step change to account for higher insurance premiums we might provide a more accurate forecast for the insurance category in isolation; however, our forecast for total opex as a whole will be too high. </w:t>
      </w:r>
    </w:p>
    <w:p w:rsidR="00C2445E" w:rsidRPr="00533B91" w:rsidRDefault="00C2445E" w:rsidP="00C2445E">
      <w:r w:rsidRPr="002F6BC5">
        <w:rPr>
          <w:rStyle w:val="AERbody"/>
        </w:rPr>
        <w:t>Further to assessing whether step changes are captured in other elements of the opex forecast, we will assess the reasons for, and the efficient level of, the incremental costs (relative to that funded by base opex and the rate of change) that the service provider has proposed. In particular we have regard to</w:t>
      </w:r>
      <w:r w:rsidRPr="00533B91">
        <w:t>:</w:t>
      </w:r>
      <w:r>
        <w:rPr>
          <w:rStyle w:val="FootnoteReference"/>
        </w:rPr>
        <w:footnoteReference w:id="950"/>
      </w:r>
    </w:p>
    <w:p w:rsidR="00C2445E" w:rsidRPr="002F6BC5" w:rsidRDefault="00C2445E" w:rsidP="00C2445E">
      <w:pPr>
        <w:pStyle w:val="AERbulletlistfirststyle"/>
      </w:pPr>
      <w:r w:rsidRPr="00631860">
        <w:t xml:space="preserve">whether there is a change in </w:t>
      </w:r>
      <w:r w:rsidRPr="002F6BC5">
        <w:t>circumstances that affects the service provider's efficient forecast expenditure</w:t>
      </w:r>
    </w:p>
    <w:p w:rsidR="00C2445E" w:rsidRPr="002F6BC5" w:rsidRDefault="00C2445E" w:rsidP="00C2445E">
      <w:pPr>
        <w:pStyle w:val="AERbulletlistfirststyle"/>
      </w:pPr>
      <w:r w:rsidRPr="00631860">
        <w:t xml:space="preserve">what options were considered to </w:t>
      </w:r>
      <w:r w:rsidRPr="002F6BC5">
        <w:t xml:space="preserve">respond to the change in circumstances </w:t>
      </w:r>
    </w:p>
    <w:p w:rsidR="00C2445E" w:rsidRPr="002F6BC5" w:rsidRDefault="00C2445E" w:rsidP="00C2445E">
      <w:pPr>
        <w:pStyle w:val="AERbulletlistfirststyle"/>
      </w:pPr>
      <w:r w:rsidRPr="00631860">
        <w:t xml:space="preserve">whether the option selected was </w:t>
      </w:r>
      <w:r w:rsidRPr="002F6BC5">
        <w:t xml:space="preserve">the most efficient option––that is, whether the service provider took appropriate steps to minimise its expected cost of compliance </w:t>
      </w:r>
    </w:p>
    <w:p w:rsidR="00C2445E" w:rsidRPr="002F6BC5" w:rsidRDefault="00C2445E" w:rsidP="00C2445E">
      <w:pPr>
        <w:pStyle w:val="AERbulletlistfirststyle"/>
      </w:pPr>
      <w:r w:rsidRPr="00631860">
        <w:t>the efficient costs associated with making the step change</w:t>
      </w:r>
      <w:r w:rsidRPr="002F6BC5">
        <w:t xml:space="preserve"> and whether the proposal appropriately quantified all costs savings and benefits</w:t>
      </w:r>
    </w:p>
    <w:p w:rsidR="00C2445E" w:rsidRPr="002F6BC5" w:rsidRDefault="00C2445E" w:rsidP="00C2445E">
      <w:pPr>
        <w:pStyle w:val="AERbulletlistfirststyle"/>
      </w:pPr>
      <w:r w:rsidRPr="00631860">
        <w:t>when this change event occurs and when it is efficient to incur expenditure</w:t>
      </w:r>
      <w:r w:rsidRPr="002F6BC5">
        <w:t xml:space="preserve">, including whether it can be completed over the period </w:t>
      </w:r>
    </w:p>
    <w:p w:rsidR="00C2445E" w:rsidRPr="002F6BC5" w:rsidRDefault="00C2445E" w:rsidP="00C2445E">
      <w:pPr>
        <w:pStyle w:val="AERbulletlistfirststyle"/>
      </w:pPr>
      <w:r w:rsidRPr="00631860">
        <w:t>whether the costs can be met from existing regulatory allowances or from other elements of the expenditure forecasts.</w:t>
      </w:r>
    </w:p>
    <w:p w:rsidR="00C2445E" w:rsidRPr="002F6BC5" w:rsidRDefault="00C2445E" w:rsidP="00C2445E">
      <w:pPr>
        <w:rPr>
          <w:rStyle w:val="AERbody"/>
        </w:rPr>
      </w:pPr>
      <w:r w:rsidRPr="002F6BC5">
        <w:rPr>
          <w:rStyle w:val="AERbody"/>
        </w:rPr>
        <w:lastRenderedPageBreak/>
        <w:t>One important consideration is whether each proposed step change is driven by an external obligation (such as new legislation or regulations) or an internal management decision (such as a decision to increase maintenance opex). Step changes should generally relate to a new regulatory obligation or some change in the service provider's operating environment beyond its control. It is not enough to simply demonstrate an efficient cost will be incurred for an activity that was not previously undertaken. As noted above, the opex forecasting approach may capture these costs elsewhere.</w:t>
      </w:r>
    </w:p>
    <w:p w:rsidR="00C2445E" w:rsidRPr="002F6BC5" w:rsidRDefault="00C2445E" w:rsidP="00C2445E">
      <w:pPr>
        <w:rPr>
          <w:rStyle w:val="AERbody"/>
        </w:rPr>
      </w:pPr>
      <w:r w:rsidRPr="002F6BC5">
        <w:rPr>
          <w:rStyle w:val="AERbody"/>
        </w:rPr>
        <w:t>Usually step changes are not required for discretionary changes in inputs.</w:t>
      </w:r>
      <w:r w:rsidRPr="00EE794B">
        <w:rPr>
          <w:rStyle w:val="AERsuperscript"/>
        </w:rPr>
        <w:footnoteReference w:id="951"/>
      </w:r>
      <w:r w:rsidRPr="00EE794B">
        <w:rPr>
          <w:rStyle w:val="AERsuperscript"/>
        </w:rPr>
        <w:t xml:space="preserve"> </w:t>
      </w:r>
      <w:r w:rsidRPr="002F6BC5">
        <w:rPr>
          <w:rStyle w:val="AERbody"/>
        </w:rPr>
        <w:t>Efficient discretionary changes in inputs (not required to increase output) should normally have a net negative impact on expenditure. For example, a service provider may choose to invest capex and opex in a new IT solution. The service provider should not be provided with a step change to finance the new IT since the outlay should be at least offset by a reduction in other costs if it is efficient.</w:t>
      </w:r>
      <w:r w:rsidRPr="00EE794B">
        <w:rPr>
          <w:rStyle w:val="AERsuperscript"/>
        </w:rPr>
        <w:footnoteReference w:id="952"/>
      </w:r>
      <w:r w:rsidRPr="00EE794B">
        <w:rPr>
          <w:rStyle w:val="AERsuperscript"/>
        </w:rPr>
        <w:t xml:space="preserve"> </w:t>
      </w:r>
      <w:r w:rsidRPr="002F6BC5">
        <w:rPr>
          <w:rStyle w:val="AERbody"/>
        </w:rPr>
        <w:t xml:space="preserve">This means we will not allow step changes for any short-term cost to a service provider of implementing efficiency improvements. We expect the service provider to bear such costs and thereby make efficient trade-offs between bearing these costs and achieving future efficiencies. </w:t>
      </w:r>
    </w:p>
    <w:p w:rsidR="00C2445E" w:rsidRPr="002F6BC5" w:rsidRDefault="00C2445E" w:rsidP="00C2445E">
      <w:pPr>
        <w:rPr>
          <w:rStyle w:val="AERbody"/>
        </w:rPr>
      </w:pPr>
      <w:r w:rsidRPr="002F6BC5">
        <w:rPr>
          <w:rStyle w:val="AERbody"/>
        </w:rPr>
        <w:t>One situation where a step change may be required is when a service provider chooses an operating solution to replace a capital one.</w:t>
      </w:r>
      <w:r w:rsidRPr="00EE794B">
        <w:rPr>
          <w:rStyle w:val="AERsuperscript"/>
        </w:rPr>
        <w:footnoteReference w:id="953"/>
      </w:r>
      <w:r w:rsidRPr="002F6BC5">
        <w:rPr>
          <w:rStyle w:val="AERbody"/>
        </w:rPr>
        <w:t xml:space="preserve"> For example, it may choose to lease vehicles when it previously purchased them. For these capex/opex trade-off step changes, we will assess whether it is prudent and efficient to substitute capex for opex or vice versa. In doing so we will assess whether the forecast opex over the life of the alternative capital solution is less than the capex in NPV terms.</w:t>
      </w:r>
    </w:p>
    <w:p w:rsidR="00C2445E" w:rsidRPr="003C4DCE" w:rsidRDefault="00C2445E" w:rsidP="00C2445E">
      <w:r>
        <w:t>As noted above, Essential Energy</w:t>
      </w:r>
      <w:r w:rsidRPr="003C4DCE">
        <w:t xml:space="preserve"> disagreed with the assessment approach we applied to step changes in our draft decision. </w:t>
      </w:r>
      <w:r>
        <w:t xml:space="preserve"> It considered </w:t>
      </w:r>
      <w:r w:rsidRPr="00F33E10">
        <w:t xml:space="preserve">our assessment approach </w:t>
      </w:r>
      <w:r>
        <w:t>may exclude opex that meets the opex criteria from the total forecast</w:t>
      </w:r>
      <w:r w:rsidRPr="003C4DCE">
        <w:t>.</w:t>
      </w:r>
    </w:p>
    <w:p w:rsidR="00C2445E" w:rsidRDefault="00C2445E" w:rsidP="00C2445E">
      <w:r>
        <w:t>We do not agree</w:t>
      </w:r>
      <w:r w:rsidRPr="003C4DCE">
        <w:t xml:space="preserve"> with </w:t>
      </w:r>
      <w:r>
        <w:t>Essential Energy</w:t>
      </w:r>
      <w:r w:rsidRPr="003C4DCE">
        <w:t xml:space="preserve"> that our assessment approach is inconsistent with the NER. </w:t>
      </w:r>
      <w:r>
        <w:t>As outlined in our draft decision and above, step changes are provided for any additional</w:t>
      </w:r>
      <w:r w:rsidRPr="00FE1EF3">
        <w:t xml:space="preserve"> </w:t>
      </w:r>
      <w:r>
        <w:t>costs that are needed for the total opex forecast to reasonably reflect the opex criteria</w:t>
      </w:r>
      <w:r w:rsidRPr="00641734">
        <w:t>.</w:t>
      </w:r>
      <w:r>
        <w:t xml:space="preserve"> This is consistent with the NER.</w:t>
      </w:r>
    </w:p>
    <w:p w:rsidR="00C2445E" w:rsidRDefault="00C2445E" w:rsidP="00C2445E">
      <w:r>
        <w:t xml:space="preserve">In applying this approach, we typically consider our estimate of base opex (adjusted for our estimate of the rate of change in base opex) is generally sufficient for a prudent and </w:t>
      </w:r>
      <w:r w:rsidRPr="003C4DCE">
        <w:t>efficient network service provider to deliver network services while maintaining the safety of the system and complying with existing regulations</w:t>
      </w:r>
      <w:r>
        <w:t xml:space="preserve">. We outline our approach </w:t>
      </w:r>
      <w:r w:rsidRPr="00182D79">
        <w:rPr>
          <w:rStyle w:val="AERbody"/>
        </w:rPr>
        <w:t xml:space="preserve">to estimating base opex </w:t>
      </w:r>
      <w:r>
        <w:rPr>
          <w:rStyle w:val="AERbody"/>
        </w:rPr>
        <w:t>and</w:t>
      </w:r>
      <w:r w:rsidRPr="00182D79">
        <w:rPr>
          <w:rStyle w:val="AERbody"/>
        </w:rPr>
        <w:t xml:space="preserve"> the rate of change in </w:t>
      </w:r>
      <w:r>
        <w:rPr>
          <w:rStyle w:val="AERbody"/>
        </w:rPr>
        <w:t>appendix A and B to this attachment</w:t>
      </w:r>
      <w:r w:rsidRPr="00182D79">
        <w:rPr>
          <w:rStyle w:val="AERbody"/>
        </w:rPr>
        <w:t>.</w:t>
      </w:r>
      <w:r>
        <w:t xml:space="preserve"> </w:t>
      </w:r>
      <w:r>
        <w:lastRenderedPageBreak/>
        <w:t xml:space="preserve">We take into a range of different cost drivers faced by a service provider in considering both our estimate of base opex and the rate of change in base opex. </w:t>
      </w:r>
    </w:p>
    <w:p w:rsidR="00C2445E" w:rsidRDefault="00C2445E" w:rsidP="00C2445E">
      <w:r>
        <w:t>We are open to considering step changes that have not already been accounted for in the opex forecast. We typically find that step changes for new or changed regulatory obligations or efficient capex-opex trade-offs are not already accounted for. This is because new or changed regulatory obligations clearly represent a change in the scope of activities a service provider must undertake to deliver standard control services. Efficient capex/opex trade-offs represent an efficient change in the inputs used to deliver standard control services.  We recognise that there</w:t>
      </w:r>
      <w:r w:rsidRPr="003C4DCE">
        <w:t xml:space="preserve"> could be other changes</w:t>
      </w:r>
      <w:r>
        <w:t xml:space="preserve"> to opex, not accounted for through our estimate of base opex and rate of change which is</w:t>
      </w:r>
      <w:r w:rsidRPr="003C4DCE">
        <w:t xml:space="preserve"> required to </w:t>
      </w:r>
      <w:r>
        <w:t>meet the opex criteria</w:t>
      </w:r>
      <w:r w:rsidRPr="003C4DCE">
        <w:t xml:space="preserve">. </w:t>
      </w:r>
      <w:r>
        <w:t xml:space="preserve"> For this reason, w</w:t>
      </w:r>
      <w:r w:rsidRPr="003C4DCE">
        <w:t>e assess each propos</w:t>
      </w:r>
      <w:r>
        <w:t>ed step change</w:t>
      </w:r>
      <w:r w:rsidRPr="003C4DCE">
        <w:t xml:space="preserve"> on its merits.</w:t>
      </w:r>
      <w:r>
        <w:t xml:space="preserve"> If we are presented with persuasive evidence that a service provider would incur opex to meet the opex criteria in addition to our estimate of base opex (adjusted for our estimate of the rate of change in base opex), then we will include a step change for other reasons.</w:t>
      </w:r>
    </w:p>
    <w:p w:rsidR="00C2445E" w:rsidRDefault="00C2445E" w:rsidP="00C2445E">
      <w:pPr>
        <w:numPr>
          <w:ilvl w:val="0"/>
          <w:numId w:val="24"/>
        </w:numPr>
      </w:pPr>
      <w:r>
        <w:t>However, in identifying other reasons why step changes may occur, we consider it is important that the approach to identifying these cost drivers is not subject to bias. The ultimate test we must apply is that step changes are only applied where they are needed for the total opex forecast to reasonably reflect the opex criteria. However at the same time there must be additional underlying evidence as to why the proposed change in opex is considered to be a step change when other proposed changes are not.  For instance, we do not consider we should apply a step change just because opex on a particular category is expected to rise. Over a regulatory control period, opex on various categories of opex will both increase and decrease. However, fluctuations in opex at the category level can often be managed by a prudent and efficient service provider without increasing its total opex. For instance, a service provider can reprioritise some areas of opex. Therefore a step change in total forecast opex may not be necessary.  This approach is consistent with the issues we have outlined in our forecasting methodology in our draft decision.</w:t>
      </w:r>
      <w:r>
        <w:rPr>
          <w:rStyle w:val="FootnoteReference"/>
        </w:rPr>
        <w:footnoteReference w:id="954"/>
      </w:r>
      <w:r>
        <w:t xml:space="preserve"> For instance, if a business uses a category specific forecasting approach to forecast opex on categories where base year opex was low for that category, but not for categories where base opex was high, there is a greater risk of an upwardly biased forecast. </w:t>
      </w:r>
    </w:p>
    <w:p w:rsidR="00C2445E" w:rsidRPr="00C2445E" w:rsidRDefault="00C2445E" w:rsidP="00C2445E">
      <w:pPr>
        <w:pStyle w:val="Heading9"/>
      </w:pPr>
      <w:bookmarkStart w:id="288" w:name="_Toc415726303"/>
      <w:bookmarkStart w:id="289" w:name="_Toc417719071"/>
      <w:r w:rsidRPr="00C2445E">
        <w:t>Aerial patrol and analysis</w:t>
      </w:r>
      <w:bookmarkEnd w:id="288"/>
      <w:bookmarkEnd w:id="289"/>
    </w:p>
    <w:p w:rsidR="00C2445E" w:rsidRDefault="00C2445E" w:rsidP="00C2445E">
      <w:r>
        <w:t>We have not included a step change for these activities in our opex forecast.</w:t>
      </w:r>
    </w:p>
    <w:p w:rsidR="00C2445E" w:rsidRDefault="00C2445E" w:rsidP="00C2445E">
      <w:r>
        <w:t xml:space="preserve">Essential Energy's revised proposal is based on an Aerial Patrol and Analysis (APA) survey conducted in the second half of 2014 that used high-definition photography and </w:t>
      </w:r>
      <w:r w:rsidRPr="00A20FB9">
        <w:t>Light Detection and Ranging (LiDAR)</w:t>
      </w:r>
      <w:r>
        <w:t xml:space="preserve"> technology to more accurately detect asset defects. The APA survey identified defects in pole-tops and low conductors that were </w:t>
      </w:r>
      <w:r>
        <w:lastRenderedPageBreak/>
        <w:t>not identified using traditional inspection techniques. It also found a greater rate of vegetation within the clearances specified in the industry guideline it follows.</w:t>
      </w:r>
      <w:r>
        <w:rPr>
          <w:rStyle w:val="FootnoteReference"/>
        </w:rPr>
        <w:footnoteReference w:id="955"/>
      </w:r>
      <w:r>
        <w:t xml:space="preserve"> </w:t>
      </w:r>
    </w:p>
    <w:p w:rsidR="00C2445E" w:rsidRDefault="00C2445E" w:rsidP="00C2445E">
      <w:r>
        <w:t>Essential Energy proposed to undertake an APA survey in each remaining year of the 2014–19 period. By the end of the 2014–19 period it estimated it will have surveyed 91 per cent of its network. Based on the greater number of asset defects and greater rate of vegetation encroachment it found in its 2014 APA survey, it expected it would find similar issues across the 2014–19 period. It forecast additional works to address the issues it expects to identify. For instance:</w:t>
      </w:r>
    </w:p>
    <w:p w:rsidR="00C2445E" w:rsidRDefault="00C2445E" w:rsidP="00C2445E">
      <w:pPr>
        <w:pStyle w:val="AERbulletlistfirststyle"/>
      </w:pPr>
      <w:r>
        <w:t>Correction of low conductors - Using the APA survey Essential Energy identified a higher percentage of conductors that did not meet minimum allowable ground clearances. Based on a risk assessment, it proposed to correct 57 per cent of the defects in the 2014–19 period. It forecast an additional $43.0 million in opex and $77.1 million in capex.</w:t>
      </w:r>
      <w:r>
        <w:rPr>
          <w:rStyle w:val="FootnoteReference"/>
        </w:rPr>
        <w:footnoteReference w:id="956"/>
      </w:r>
    </w:p>
    <w:p w:rsidR="00C2445E" w:rsidRDefault="00C2445E" w:rsidP="00C2445E">
      <w:pPr>
        <w:pStyle w:val="AERbulletlistfirststyle"/>
      </w:pPr>
      <w:r>
        <w:t>Pole top defects - Using the APA survey Essential Energy identified a higher percentage of defects with pole tops than using traditional visual inspection techniques. It proposed to correct the defects classified as emergency and urgent in the 2014–19 period. It forecast an additional $4.9 million in opex to correct these defects.</w:t>
      </w:r>
      <w:r>
        <w:rPr>
          <w:rStyle w:val="FootnoteReference"/>
        </w:rPr>
        <w:footnoteReference w:id="957"/>
      </w:r>
    </w:p>
    <w:p w:rsidR="00C2445E" w:rsidRDefault="00C2445E" w:rsidP="00C2445E">
      <w:pPr>
        <w:pStyle w:val="AERbulletlistfirststyle"/>
      </w:pPr>
      <w:r>
        <w:t xml:space="preserve">Vegetation clearance distances - Using the APA survey in 2014 Essential Energy found a higher percentage of vegetation inside safety clearances. Over the </w:t>
      </w:r>
      <w:r>
        <w:br/>
        <w:t>2014–19 period it proposed to address vegetation encroachment where the clearance distance is less than half that prescribed by the ISSC3 guideline.</w:t>
      </w:r>
      <w:r>
        <w:rPr>
          <w:rStyle w:val="FootnoteReference"/>
        </w:rPr>
        <w:footnoteReference w:id="958"/>
      </w:r>
      <w:r>
        <w:t xml:space="preserve"> It estimated it will incur an additional $15.4 million in vegetation management opex over the 2014–19 period.</w:t>
      </w:r>
      <w:r>
        <w:rPr>
          <w:rStyle w:val="FootnoteReference"/>
        </w:rPr>
        <w:footnoteReference w:id="959"/>
      </w:r>
    </w:p>
    <w:p w:rsidR="00C2445E" w:rsidRPr="00C2445E" w:rsidRDefault="00C2445E" w:rsidP="00C2445E">
      <w:pPr>
        <w:pStyle w:val="AERbulletlistfirststyle"/>
      </w:pPr>
      <w:r>
        <w:t>We have not included a step change for any of th</w:t>
      </w:r>
      <w:r w:rsidRPr="00C2445E">
        <w:t>ese proposals in our alternative opex forecast.</w:t>
      </w:r>
    </w:p>
    <w:p w:rsidR="00C2445E" w:rsidRDefault="00C2445E" w:rsidP="00C2445E">
      <w:pPr>
        <w:numPr>
          <w:ilvl w:val="0"/>
          <w:numId w:val="24"/>
        </w:numPr>
      </w:pPr>
      <w:r>
        <w:t>As outlined above, our assessment approach to step changes first considers whether the proposed step changes in opex are already compensated for through other elements of our opex forecast, such as our estimate of base opex. We generally consider our estimate of base opex is sufficient for a prudent and efficient service provider to meet all its existing regulatory obligations. We only include a step change in our alternative opex forecast if we are satisfied an increase above this amount is necessary to reasonably reflect the opex criteria. We noted that one reason where we do provide a step change is for new or changed regulatory obligations or requirements that have not been captured in our estimate of base opex.</w:t>
      </w:r>
    </w:p>
    <w:p w:rsidR="00C2445E" w:rsidRDefault="00C2445E" w:rsidP="00C2445E">
      <w:r>
        <w:lastRenderedPageBreak/>
        <w:t xml:space="preserve">Essential Energy does not face new regulatory obligations in relation to minimum allowable ground clearances or vegetation encroachment. Our estimate of opex already provides a sufficient source of funding for Essential Energy, acting as a prudent and efficient service provider, to achieve all its existing regulatory obligations </w:t>
      </w:r>
    </w:p>
    <w:p w:rsidR="00C2445E" w:rsidRPr="00783BC1" w:rsidRDefault="00C2445E" w:rsidP="00C2445E">
      <w:pPr>
        <w:rPr>
          <w:rStyle w:val="AERbody"/>
        </w:rPr>
      </w:pPr>
      <w:r w:rsidRPr="00783BC1">
        <w:t xml:space="preserve">In arriving at our views on </w:t>
      </w:r>
      <w:r>
        <w:t>Essential Energy's</w:t>
      </w:r>
      <w:r w:rsidRPr="00783BC1">
        <w:t xml:space="preserve"> base opex we </w:t>
      </w:r>
      <w:r w:rsidRPr="00783BC1">
        <w:rPr>
          <w:rStyle w:val="AERbody"/>
        </w:rPr>
        <w:t>considered a range of different factors likely to affect the efficient cost of complying with its regulatory obligations</w:t>
      </w:r>
      <w:r>
        <w:rPr>
          <w:rStyle w:val="AERbody"/>
        </w:rPr>
        <w:t>. For instance:</w:t>
      </w:r>
    </w:p>
    <w:p w:rsidR="00C2445E" w:rsidRDefault="00C2445E" w:rsidP="00C2445E">
      <w:pPr>
        <w:pStyle w:val="AERbulletlistfirststyle"/>
      </w:pPr>
      <w:r>
        <w:t xml:space="preserve">In our economic benchmarking models we took into account differences in line length between Essential Energy and other service providers. </w:t>
      </w:r>
    </w:p>
    <w:p w:rsidR="00C2445E" w:rsidRDefault="00C2445E" w:rsidP="00C2445E">
      <w:pPr>
        <w:pStyle w:val="AERbulletlistfirststyle"/>
        <w:rPr>
          <w:rStyle w:val="AERbody"/>
        </w:rPr>
      </w:pPr>
      <w:r>
        <w:rPr>
          <w:rStyle w:val="AERbody"/>
        </w:rPr>
        <w:t>We considered safety and reliability metrics for all distributors (including those who form part of our benchmark comparison point).  It demonstrates that the comparator service providers operate safe and reliable networks.</w:t>
      </w:r>
      <w:r w:rsidRPr="00647FFB">
        <w:rPr>
          <w:rStyle w:val="AERbody"/>
        </w:rPr>
        <w:t xml:space="preserve"> </w:t>
      </w:r>
      <w:r>
        <w:rPr>
          <w:rStyle w:val="AERbody"/>
        </w:rPr>
        <w:t>(Appendix A.6.6).</w:t>
      </w:r>
    </w:p>
    <w:p w:rsidR="00C2445E" w:rsidRDefault="00C2445E" w:rsidP="00C2445E">
      <w:pPr>
        <w:pStyle w:val="AERbulletlistfirststyle"/>
        <w:rPr>
          <w:rStyle w:val="AERbody"/>
        </w:rPr>
      </w:pPr>
      <w:r>
        <w:rPr>
          <w:rStyle w:val="AERbody"/>
        </w:rPr>
        <w:t>We have considered line design criteria across</w:t>
      </w:r>
      <w:r w:rsidRPr="008A57FE">
        <w:t xml:space="preserve"> </w:t>
      </w:r>
      <w:r>
        <w:t>a</w:t>
      </w:r>
      <w:r w:rsidRPr="008A57FE">
        <w:t>ll NEM service providers</w:t>
      </w:r>
      <w:r>
        <w:t>. We note that</w:t>
      </w:r>
      <w:r w:rsidRPr="008A57FE">
        <w:t xml:space="preserve"> </w:t>
      </w:r>
      <w:r>
        <w:t xml:space="preserve">all service providers </w:t>
      </w:r>
      <w:r w:rsidRPr="008A57FE">
        <w:t>use similar line design criteria to account for sag which take into account, among other things, ambient temperature, solar radiation, and wind speed</w:t>
      </w:r>
      <w:r>
        <w:t xml:space="preserve">. </w:t>
      </w:r>
      <w:r w:rsidRPr="004C7A72">
        <w:rPr>
          <w:rStyle w:val="AERbody"/>
        </w:rPr>
        <w:t>(</w:t>
      </w:r>
      <w:r w:rsidRPr="00167C78">
        <w:rPr>
          <w:rStyle w:val="AERbody"/>
        </w:rPr>
        <w:t>Appendix A.6.6</w:t>
      </w:r>
      <w:r w:rsidRPr="004C7A72">
        <w:rPr>
          <w:rStyle w:val="AERbody"/>
        </w:rPr>
        <w:t>)</w:t>
      </w:r>
    </w:p>
    <w:p w:rsidR="00C2445E" w:rsidRPr="008A57FE" w:rsidRDefault="00C2445E" w:rsidP="00C2445E">
      <w:pPr>
        <w:pStyle w:val="AERbulletlistfirststyle"/>
        <w:rPr>
          <w:rStyle w:val="AERtexthighlight"/>
        </w:rPr>
      </w:pPr>
      <w:r>
        <w:rPr>
          <w:rStyle w:val="AERbody"/>
        </w:rPr>
        <w:t>We have considered the vegetation management obligations facing Essential Energy relat</w:t>
      </w:r>
      <w:r w:rsidR="00204897">
        <w:rPr>
          <w:rStyle w:val="AERbody"/>
        </w:rPr>
        <w:t xml:space="preserve">ive to providers in Victoria. </w:t>
      </w:r>
      <w:r>
        <w:rPr>
          <w:rStyle w:val="AERbody"/>
        </w:rPr>
        <w:t>The vegetation management obligations facing Victorian service providers were more stringent in the benchmark period than the obligations facing Essential Energy</w:t>
      </w:r>
      <w:r w:rsidRPr="00955290">
        <w:rPr>
          <w:rStyle w:val="AERbody"/>
        </w:rPr>
        <w:t>. (</w:t>
      </w:r>
      <w:r w:rsidRPr="004C7A72">
        <w:rPr>
          <w:rStyle w:val="AERbody"/>
        </w:rPr>
        <w:t>Appendix A.6.7).</w:t>
      </w:r>
      <w:r w:rsidRPr="00DC40E2">
        <w:rPr>
          <w:rStyle w:val="AERtexthighlight"/>
        </w:rPr>
        <w:t xml:space="preserve">  </w:t>
      </w:r>
    </w:p>
    <w:p w:rsidR="00C2445E" w:rsidRPr="008A57FE" w:rsidRDefault="00C2445E" w:rsidP="0028318D">
      <w:pPr>
        <w:pStyle w:val="AERbulletlistfirststyle"/>
        <w:rPr>
          <w:rStyle w:val="AERbody"/>
        </w:rPr>
      </w:pPr>
      <w:r w:rsidRPr="0028318D">
        <w:t xml:space="preserve">We have considered the division in responsibilities in managing vegetation close to </w:t>
      </w:r>
      <w:r w:rsidR="004E5D91" w:rsidRPr="0028318D">
        <w:t>power lines</w:t>
      </w:r>
      <w:r w:rsidRPr="0028318D">
        <w:t xml:space="preserve"> across different jurisdictions</w:t>
      </w:r>
      <w:r w:rsidRPr="004C7A72">
        <w:rPr>
          <w:rStyle w:val="AERbody"/>
        </w:rPr>
        <w:t>. (</w:t>
      </w:r>
      <w:r w:rsidRPr="00955290">
        <w:rPr>
          <w:rStyle w:val="AERbody"/>
        </w:rPr>
        <w:t>A</w:t>
      </w:r>
      <w:r>
        <w:rPr>
          <w:rStyle w:val="AERbody"/>
        </w:rPr>
        <w:t>ppendix A.6.8</w:t>
      </w:r>
      <w:r w:rsidRPr="004C7A72">
        <w:rPr>
          <w:rStyle w:val="AERbody"/>
        </w:rPr>
        <w:t>)</w:t>
      </w:r>
    </w:p>
    <w:p w:rsidR="00C2445E" w:rsidRDefault="00C2445E" w:rsidP="00C2445E">
      <w:pPr>
        <w:numPr>
          <w:ilvl w:val="0"/>
          <w:numId w:val="24"/>
        </w:numPr>
      </w:pPr>
      <w:r>
        <w:t xml:space="preserve">If the amount which Essential Energy wishes to devote to particular regulatory obligations and requirements is forecast to change in the 2014–19 period, then this is not something we typically provide a step change for. All service providers must decide from year to year, how to change their spending priorities to address risks.  Correcting asset defects and clearing vegetation close to </w:t>
      </w:r>
      <w:r w:rsidR="004E5D91">
        <w:t>power lines</w:t>
      </w:r>
      <w:r>
        <w:t xml:space="preserve"> are not issues specific to Essential Energy. It is something a prudent and efficient business would address from year to year as a matter of course. We are not satisfied Essential Energy requires a step up in funding above our estimate of base opex to address these issues. </w:t>
      </w:r>
    </w:p>
    <w:p w:rsidR="00C2445E" w:rsidRPr="00F92F19" w:rsidRDefault="00C2445E" w:rsidP="00C2445E">
      <w:pPr>
        <w:rPr>
          <w:rStyle w:val="AERbody"/>
        </w:rPr>
      </w:pPr>
      <w:r w:rsidRPr="00F92F19">
        <w:rPr>
          <w:rStyle w:val="AERbody"/>
        </w:rPr>
        <w:t xml:space="preserve">Our position not to include these proposals in our alternative opex forecast is also consistent with our position not to include the capex addressing low conductors in our alternative capex forecast. In Attachment 6 we conclude that Essential Energy can address its identified low clearance spans within the capex allowance we have provided for in this final decision. Our conclusion is based on the following information: </w:t>
      </w:r>
    </w:p>
    <w:p w:rsidR="00C2445E" w:rsidRPr="00F92F19" w:rsidRDefault="00C2445E" w:rsidP="00C2445E">
      <w:pPr>
        <w:pStyle w:val="AERbulletlistfirststyle"/>
      </w:pPr>
      <w:r w:rsidRPr="00F92F19">
        <w:t xml:space="preserve">The replacement of poles and pole-tops to address low clearance spans is an on-going requirement that Essential Energy has undertaken in previous regulatory periods and will continue to undertake in the future. While Essential Energy may have identified more defective assets through new surveillance techniques, a prudent operator would not consider this in isolation from the way it manages its assets more generally within their its total asset replacement program. Essential Energy has not demonstrated the extent to which the proposed incremental </w:t>
      </w:r>
      <w:r w:rsidRPr="00F92F19">
        <w:lastRenderedPageBreak/>
        <w:t xml:space="preserve">expenditure builds on, complements or is otherwise integrated into its existing replacement programs which it has used to meet its obligations.  </w:t>
      </w:r>
    </w:p>
    <w:p w:rsidR="00C2445E" w:rsidRPr="00F92F19" w:rsidRDefault="00C2445E" w:rsidP="00C2445E">
      <w:pPr>
        <w:pStyle w:val="AERbulletlistfirststyle"/>
      </w:pPr>
      <w:r w:rsidRPr="00F92F19">
        <w:t>The benefit of its low spans survey is that it provides more accurate information about the condition of specific individual assets than more traditional inspection techniques. In response to new information about the condition of its network, we would expect that a prudent distributor would re-prioritise its work program to reduce the risks on its network more effectively than previously. As set out further below, Essential Energy has previously recognised the benefits of more accurate information in terms of more effective and efficient risk management without the need to increase expenditure levels.</w:t>
      </w:r>
    </w:p>
    <w:p w:rsidR="00C2445E" w:rsidRPr="00F92F19" w:rsidRDefault="00C2445E" w:rsidP="00C2445E">
      <w:pPr>
        <w:pStyle w:val="AERbulletlistfirststyle"/>
      </w:pPr>
      <w:r w:rsidRPr="00F92F19">
        <w:t>The proposed additional volume of replacement activity to address low spans also appears to be overstated. This is because evidence from separate engineering assessments of its asset management and governance frameworks demonstrates that Essential Energy systematically overestimates the volume of replacement work that is required on its network, which applies equally to the low spans work. In addition, Essential Energy has forecast its entire remediation works based on a sample of its network without demonstrating that this sample is representative of the remainder of its network.</w:t>
      </w:r>
    </w:p>
    <w:p w:rsidR="00C2445E" w:rsidRPr="00C2445E" w:rsidRDefault="00C2445E" w:rsidP="00C2445E">
      <w:pPr>
        <w:pStyle w:val="Heading9"/>
      </w:pPr>
      <w:bookmarkStart w:id="290" w:name="_Toc415726304"/>
      <w:bookmarkStart w:id="291" w:name="_Toc417719072"/>
      <w:r>
        <w:t>Redundancy costs</w:t>
      </w:r>
      <w:bookmarkEnd w:id="290"/>
      <w:bookmarkEnd w:id="291"/>
    </w:p>
    <w:p w:rsidR="00C2445E" w:rsidRDefault="00C2445E" w:rsidP="00C2445E">
      <w:r>
        <w:t xml:space="preserve">Consistent with our draft decision we have not included a step change in our alternative opex forecast for redundancy costs. </w:t>
      </w:r>
    </w:p>
    <w:p w:rsidR="00C2445E" w:rsidRDefault="00C2445E" w:rsidP="00C2445E">
      <w:r>
        <w:t>In our draft decision, we did not include a step change for Essential Energy's network reform program. This proposal included redundancy costs. We considered that Essential</w:t>
      </w:r>
      <w:r w:rsidRPr="00557F8E">
        <w:t xml:space="preserve"> Energy's restructure of its workforce is </w:t>
      </w:r>
      <w:r>
        <w:t xml:space="preserve">likely </w:t>
      </w:r>
      <w:r w:rsidRPr="00557F8E">
        <w:t>only needed because it is not currently operating efficiently</w:t>
      </w:r>
      <w:r>
        <w:t xml:space="preserve"> as it could.</w:t>
      </w:r>
    </w:p>
    <w:p w:rsidR="00C2445E" w:rsidRDefault="00C2445E" w:rsidP="00C2445E">
      <w:r>
        <w:t>Essential Energy did not agree with our decision not to include these costs in our alternative forecast. It considered:</w:t>
      </w:r>
    </w:p>
    <w:p w:rsidR="00C2445E" w:rsidRPr="00557F8E" w:rsidRDefault="00C2445E" w:rsidP="00C2445E">
      <w:pPr>
        <w:pStyle w:val="AERbulletlistfirststyle"/>
      </w:pPr>
      <w:r>
        <w:t>R</w:t>
      </w:r>
      <w:r w:rsidRPr="00557F8E">
        <w:t>edundancy costs meet the criteria of efficient costs. Termination payments relate to the excess</w:t>
      </w:r>
      <w:r>
        <w:t xml:space="preserve"> </w:t>
      </w:r>
      <w:r w:rsidRPr="00557F8E">
        <w:t>labour resulting from efficiency programs that outweigh the costs of redundancies and provide a net benefit to customers. It</w:t>
      </w:r>
      <w:r>
        <w:t xml:space="preserve"> considered it </w:t>
      </w:r>
      <w:r w:rsidRPr="00557F8E">
        <w:t xml:space="preserve">would be unreasonable for </w:t>
      </w:r>
      <w:r>
        <w:t>us</w:t>
      </w:r>
      <w:r w:rsidRPr="00557F8E">
        <w:t xml:space="preserve"> to incorporate efficiencies, but not allow the costs of the restructure</w:t>
      </w:r>
      <w:r>
        <w:t xml:space="preserve"> required to achieve these efficiencies</w:t>
      </w:r>
      <w:r w:rsidRPr="00557F8E">
        <w:t>.</w:t>
      </w:r>
      <w:r w:rsidRPr="006A1324">
        <w:t xml:space="preserve"> </w:t>
      </w:r>
      <w:r>
        <w:t>It considered our use of the term 'step change' led us to reject costs that were prudent and efficient.</w:t>
      </w:r>
    </w:p>
    <w:p w:rsidR="00C2445E" w:rsidRPr="00472EAC" w:rsidRDefault="00C2445E" w:rsidP="00C2445E">
      <w:pPr>
        <w:pStyle w:val="AERbulletlistfirststyle"/>
      </w:pPr>
      <w:r>
        <w:t>It has</w:t>
      </w:r>
      <w:r w:rsidRPr="006A1324">
        <w:t xml:space="preserve"> regulatory obligations to provide redundant employees with termination payments</w:t>
      </w:r>
      <w:r>
        <w:t xml:space="preserve"> </w:t>
      </w:r>
      <w:r w:rsidRPr="006A1324">
        <w:t>under existing awards certified by the Fair Work Commission in accordance with the Fair Work Act.</w:t>
      </w:r>
      <w:r>
        <w:rPr>
          <w:rStyle w:val="FootnoteReference"/>
        </w:rPr>
        <w:footnoteReference w:id="960"/>
      </w:r>
    </w:p>
    <w:p w:rsidR="00C2445E" w:rsidRPr="00472EAC" w:rsidRDefault="00C2445E" w:rsidP="00C2445E">
      <w:r w:rsidRPr="00472EAC">
        <w:lastRenderedPageBreak/>
        <w:t xml:space="preserve">Consistent with our approach in our draft decision, we do not agree with </w:t>
      </w:r>
      <w:r>
        <w:t>Essential Energy's</w:t>
      </w:r>
      <w:r w:rsidRPr="00472EAC">
        <w:t xml:space="preserve"> submission. Our role is to determine a forecast that we are satisfied reasonably reflects the opex criteria. Recruitment and removal of staff are both 'legitimate costs' that </w:t>
      </w:r>
      <w:r>
        <w:t>Essential</w:t>
      </w:r>
      <w:r w:rsidRPr="00472EAC">
        <w:t xml:space="preserve"> Energy would need to incur. However, we do not 'fund' </w:t>
      </w:r>
      <w:r>
        <w:t>Essential</w:t>
      </w:r>
      <w:r w:rsidRPr="00472EAC">
        <w:t xml:space="preserve"> Energy for these (or any specific) activities. We determine the total amount of opex that would r</w:t>
      </w:r>
      <w:r>
        <w:t>easonably reflect</w:t>
      </w:r>
      <w:r w:rsidRPr="00472EAC">
        <w:t xml:space="preserve"> the opex a prudent and efficient (objective) service provider would require in the future to comply with its regulatory obligations. </w:t>
      </w:r>
    </w:p>
    <w:p w:rsidR="00C2445E" w:rsidRPr="00472EAC" w:rsidRDefault="00C2445E" w:rsidP="00C2445E">
      <w:r>
        <w:t>Essential</w:t>
      </w:r>
      <w:r w:rsidRPr="00472EAC">
        <w:t xml:space="preserve"> Energy has broad discretion about all contractual arrangements and the manner in which they c</w:t>
      </w:r>
      <w:r>
        <w:t xml:space="preserve">arry out those obligations. </w:t>
      </w:r>
      <w:r w:rsidRPr="00472EAC">
        <w:t>If a service provider entered into a long term inefficient contract, we do not consider we should include the associated costs in our forecast</w:t>
      </w:r>
      <w:r>
        <w:t>.</w:t>
      </w:r>
    </w:p>
    <w:p w:rsidR="00C2445E" w:rsidRPr="00472EAC" w:rsidRDefault="00C2445E" w:rsidP="00C2445E">
      <w:r w:rsidRPr="00472EAC">
        <w:t>Deloitte's independent review of labour and workforce practices found that the service providers relied predominantly on hiring permanent staff employed under EBAs rather than contractors.</w:t>
      </w:r>
      <w:r w:rsidRPr="00472EAC">
        <w:rPr>
          <w:rStyle w:val="FootnoteReference"/>
        </w:rPr>
        <w:footnoteReference w:id="961"/>
      </w:r>
      <w:r w:rsidRPr="00472EAC">
        <w:t xml:space="preserve"> Many of these staff were hired on a full time basis to complete the service providers' large, but temporary, capex programs in the 2009–14 period.</w:t>
      </w:r>
      <w:r w:rsidRPr="00472EAC">
        <w:rPr>
          <w:rStyle w:val="FootnoteReference"/>
        </w:rPr>
        <w:footnoteReference w:id="962"/>
      </w:r>
      <w:r w:rsidRPr="00472EAC">
        <w:t xml:space="preserve"> This is due to EBA restrictions which make it difficult for the service providers to change their resourcing arrangements quickly and flexibly. Now, due to EBA restrictions that do not allow forced redundancies, the NSW service providers have stranded resources.</w:t>
      </w:r>
    </w:p>
    <w:p w:rsidR="00C2445E" w:rsidRPr="00472EAC" w:rsidRDefault="00C2445E" w:rsidP="00C2445E">
      <w:r w:rsidRPr="00472EAC">
        <w:t>Our view is that an efficient and prudent service provider would not have placed itself in this position and that the resultant redundancy costs incurred by the NSW service providers are neither prudent nor efficient. Accordingly, redundancy costs would not be included in an estimate of ongoing efficient and prudent opex.</w:t>
      </w:r>
    </w:p>
    <w:p w:rsidR="00C2445E" w:rsidRDefault="00C2445E" w:rsidP="00C2445E">
      <w:r>
        <w:t xml:space="preserve">Rather, the need to incur redundancy costs is the outcome of Essential Energy's earlier decisions. </w:t>
      </w:r>
      <w:r w:rsidRPr="00472EAC">
        <w:t xml:space="preserve">In line with the incentive regime, it is for </w:t>
      </w:r>
      <w:r>
        <w:t>Essential</w:t>
      </w:r>
      <w:r w:rsidRPr="00472EAC">
        <w:t xml:space="preserve"> Energy to determine the appropriate response to its excess labour needs and to bear the costs associated with those earlier decisions. It could do this either within their regulated forecast by prioritising expenditure programs or with alternative sources of funding not recovered from customers. </w:t>
      </w:r>
    </w:p>
    <w:p w:rsidR="00C2445E" w:rsidRPr="00C2445E" w:rsidRDefault="00C2445E" w:rsidP="00C2445E">
      <w:pPr>
        <w:pStyle w:val="Heading9"/>
      </w:pPr>
      <w:bookmarkStart w:id="292" w:name="_Toc415726305"/>
      <w:bookmarkStart w:id="293" w:name="_Toc417719073"/>
      <w:r w:rsidRPr="007C5CF7">
        <w:t>Retail dis-synergies</w:t>
      </w:r>
      <w:bookmarkEnd w:id="292"/>
      <w:bookmarkEnd w:id="293"/>
    </w:p>
    <w:p w:rsidR="00C2445E" w:rsidRDefault="00C2445E" w:rsidP="00C2445E">
      <w:r>
        <w:t>We have not included a step change in our alternative opex forecast for retail dis-synergies.</w:t>
      </w:r>
    </w:p>
    <w:p w:rsidR="00C2445E" w:rsidRDefault="00C2445E" w:rsidP="00C2445E">
      <w:pPr>
        <w:rPr>
          <w:rStyle w:val="AERbody"/>
        </w:rPr>
      </w:pPr>
      <w:r>
        <w:rPr>
          <w:rStyle w:val="AERbody"/>
        </w:rPr>
        <w:t xml:space="preserve">Prior to 1 March 2011, Essential Energy (formerly known as Country Energy) was an integrated business that provided both network and retail services. Country Energy's </w:t>
      </w:r>
      <w:r>
        <w:rPr>
          <w:rStyle w:val="AERbody"/>
        </w:rPr>
        <w:lastRenderedPageBreak/>
        <w:t>retail business was sold to Origin Energy on 1 March 2011. The profit on the sale of Country Energy's retail business was $1.1 billion.</w:t>
      </w:r>
      <w:r>
        <w:rPr>
          <w:rStyle w:val="FootnoteReference"/>
        </w:rPr>
        <w:footnoteReference w:id="963"/>
      </w:r>
    </w:p>
    <w:p w:rsidR="00C2445E" w:rsidRDefault="00C2445E" w:rsidP="00C2445E">
      <w:pPr>
        <w:rPr>
          <w:rStyle w:val="AERbody"/>
        </w:rPr>
      </w:pPr>
      <w:r>
        <w:rPr>
          <w:rStyle w:val="AERbody"/>
        </w:rPr>
        <w:t xml:space="preserve">Under the terms of the sale, Essential Energy and Origin Energy agreed to a transitional services agreement (TSA) whereby Essential Energy would continue to provide retail services to Origin Energy until 3 January 2014. Essential Energy claimed this would increase the cost to Essential Energy through loss of scale and scope. </w:t>
      </w:r>
    </w:p>
    <w:p w:rsidR="00C2445E" w:rsidRDefault="00C2445E" w:rsidP="00C2445E">
      <w:r w:rsidRPr="00E66C31">
        <w:t>Essential Energy also operated a gas network in Wagga Wagga and surrounding areas until it was sold to Envestra in October 2010</w:t>
      </w:r>
      <w:r>
        <w:t xml:space="preserve"> for $108.6 million</w:t>
      </w:r>
      <w:r w:rsidRPr="00E66C31">
        <w:t>.</w:t>
      </w:r>
      <w:r>
        <w:rPr>
          <w:rStyle w:val="FootnoteReference"/>
        </w:rPr>
        <w:footnoteReference w:id="964"/>
      </w:r>
      <w:r w:rsidRPr="00E66C31">
        <w:t xml:space="preserve"> The gas network continued to operate under a transitional arrangement until the end of August 2011 and used many of the same IT systems and business processes as the electricity network.</w:t>
      </w:r>
      <w:r>
        <w:t xml:space="preserve"> Essential Energy considered this also led to a loss of synergies.</w:t>
      </w:r>
    </w:p>
    <w:p w:rsidR="00C2445E" w:rsidRDefault="00C2445E" w:rsidP="00C2445E">
      <w:pPr>
        <w:rPr>
          <w:rStyle w:val="AERbody"/>
        </w:rPr>
      </w:pPr>
      <w:r>
        <w:t>Essential Energy forecast a net increase in opex of $3 million in 2014–15 and $1 million in 2015–16 due to these loss of synergies. From 2016–17 it forecast the loss of synergies would be fully offset by management saving initiatives.</w:t>
      </w:r>
      <w:r>
        <w:rPr>
          <w:rStyle w:val="FootnoteReference"/>
        </w:rPr>
        <w:footnoteReference w:id="965"/>
      </w:r>
    </w:p>
    <w:p w:rsidR="00C2445E" w:rsidRDefault="00C2445E" w:rsidP="00C2445E">
      <w:r>
        <w:t>In our draft decision we did not consider loss of synergies as a step change. We asked businesses to identify any step changes as part of its Regulatory Information Notice (RIN) response.</w:t>
      </w:r>
      <w:r>
        <w:rPr>
          <w:rStyle w:val="FootnoteReference"/>
        </w:rPr>
        <w:footnoteReference w:id="966"/>
      </w:r>
      <w:r>
        <w:t xml:space="preserve"> Losses of synergies were not identified in Essential Energy's RIN as a step change so we did not consider these costs explicitly in our draft decision.</w:t>
      </w:r>
    </w:p>
    <w:p w:rsidR="00C2445E" w:rsidRDefault="00C2445E" w:rsidP="00C2445E">
      <w:pPr>
        <w:rPr>
          <w:rStyle w:val="AERbody"/>
        </w:rPr>
      </w:pPr>
      <w:r>
        <w:rPr>
          <w:rStyle w:val="AERbody"/>
        </w:rPr>
        <w:t>However in our draft decision for Ausgrid we outlined the following points in support of our decision.</w:t>
      </w:r>
    </w:p>
    <w:p w:rsidR="00C2445E" w:rsidRDefault="00C2445E" w:rsidP="00C2445E">
      <w:pPr>
        <w:pStyle w:val="AERbulletlistfirststyle"/>
        <w:rPr>
          <w:rStyle w:val="AERbody"/>
        </w:rPr>
      </w:pPr>
      <w:r>
        <w:rPr>
          <w:rStyle w:val="AERbody"/>
        </w:rPr>
        <w:t>When considering a step change we typically consider whether the cost driver is a new regulatory obligation or is a capex/opex trade-off. The sale of a retail business does not fit within either of these categories.</w:t>
      </w:r>
    </w:p>
    <w:p w:rsidR="00C2445E" w:rsidRDefault="00C2445E" w:rsidP="00C2445E">
      <w:pPr>
        <w:pStyle w:val="AERbulletlistfirststyle"/>
        <w:rPr>
          <w:rStyle w:val="AERbody"/>
        </w:rPr>
      </w:pPr>
      <w:r>
        <w:rPr>
          <w:rStyle w:val="AERbody"/>
        </w:rPr>
        <w:t xml:space="preserve">None of the Victorian and South Australian distribution network service providers provide retail services. Based on economic benchmarking we have found that, on a like for like basis, Victorian and South Australian service providers deliver standard control services at a lower cost than Ausgrid. We considered that if we did include a step change for this cost driver, Ausgrid's electricity network consumers would pay a higher price to receive a comparable distribution network service than consumers of those comparable service providers. </w:t>
      </w:r>
    </w:p>
    <w:p w:rsidR="00C2445E" w:rsidRPr="00D40ED6" w:rsidRDefault="00C2445E" w:rsidP="00C2445E">
      <w:pPr>
        <w:pStyle w:val="AERbulletlistfirststyle"/>
        <w:rPr>
          <w:rStyle w:val="AERbody"/>
        </w:rPr>
      </w:pPr>
      <w:r w:rsidRPr="004746BF">
        <w:rPr>
          <w:rStyle w:val="AERbody"/>
        </w:rPr>
        <w:t>We agree</w:t>
      </w:r>
      <w:r>
        <w:rPr>
          <w:rStyle w:val="AERbody"/>
        </w:rPr>
        <w:t>d</w:t>
      </w:r>
      <w:r w:rsidRPr="004746BF">
        <w:rPr>
          <w:rStyle w:val="AERbody"/>
        </w:rPr>
        <w:t xml:space="preserve"> with</w:t>
      </w:r>
      <w:r>
        <w:rPr>
          <w:rStyle w:val="AERbody"/>
        </w:rPr>
        <w:t xml:space="preserve"> submissions</w:t>
      </w:r>
      <w:r w:rsidRPr="004746BF">
        <w:rPr>
          <w:rStyle w:val="AERbody"/>
        </w:rPr>
        <w:t xml:space="preserve"> </w:t>
      </w:r>
      <w:r>
        <w:rPr>
          <w:rStyle w:val="AERbody"/>
        </w:rPr>
        <w:t>from the Public Interest Advocacy Centre and the Total Environment Centre</w:t>
      </w:r>
      <w:r w:rsidRPr="004746BF">
        <w:rPr>
          <w:rStyle w:val="AERbody"/>
        </w:rPr>
        <w:t xml:space="preserve"> that we would normally expect that the profit from the sale of </w:t>
      </w:r>
      <w:r>
        <w:rPr>
          <w:rStyle w:val="AERbody"/>
        </w:rPr>
        <w:t>such a business</w:t>
      </w:r>
      <w:r w:rsidRPr="004746BF">
        <w:rPr>
          <w:rStyle w:val="AERbody"/>
        </w:rPr>
        <w:t xml:space="preserve"> would cover the incremental costs affecting the network business. We consider that where the costs facing a network business increase after a decision made by the network owners, we would expect that the owners would either directly cover those costs, or accept a lower return in transitioning to a </w:t>
      </w:r>
      <w:r w:rsidRPr="004746BF">
        <w:rPr>
          <w:rStyle w:val="AERbody"/>
        </w:rPr>
        <w:lastRenderedPageBreak/>
        <w:t>new structure. We saw no reason why electricity network consumers should face increased costs as a result of a decision that is unrelated to the service they receive.</w:t>
      </w:r>
      <w:r>
        <w:rPr>
          <w:rStyle w:val="FootnoteReference"/>
        </w:rPr>
        <w:footnoteReference w:id="967"/>
      </w:r>
      <w:r w:rsidRPr="004746BF">
        <w:rPr>
          <w:rStyle w:val="AERbody"/>
        </w:rPr>
        <w:t xml:space="preserve"> </w:t>
      </w:r>
    </w:p>
    <w:p w:rsidR="00C2445E" w:rsidRDefault="00C2445E" w:rsidP="00C2445E">
      <w:r>
        <w:t>In its revised proposal, Essential Energy noted that we did not consider these costs.</w:t>
      </w:r>
      <w:r>
        <w:rPr>
          <w:rStyle w:val="FootnoteReference"/>
        </w:rPr>
        <w:footnoteReference w:id="968"/>
      </w:r>
      <w:r>
        <w:t xml:space="preserve"> To ensure we provided Essential Energy with an opportunity to respond to our views on its dis-synergy costs we informed it that we considered that our draft conclusions are the same as we reached in the draft Ausgrid decision.</w:t>
      </w:r>
      <w:r>
        <w:rPr>
          <w:rStyle w:val="FootnoteReference"/>
        </w:rPr>
        <w:footnoteReference w:id="969"/>
      </w:r>
      <w:r>
        <w:t xml:space="preserve"> We invited Essential Energy to outline any specific concerns it had with our approach.</w:t>
      </w:r>
    </w:p>
    <w:p w:rsidR="00C2445E" w:rsidRDefault="00C2445E" w:rsidP="00C2445E">
      <w:r>
        <w:t>Essential Energy stated that:</w:t>
      </w:r>
    </w:p>
    <w:p w:rsidR="00C2445E" w:rsidRDefault="00C2445E" w:rsidP="00C2445E">
      <w:pPr>
        <w:pStyle w:val="AERbulletlistfirststyle"/>
      </w:pPr>
      <w:r>
        <w:t xml:space="preserve">Its </w:t>
      </w:r>
      <w:r w:rsidRPr="00B11E9B">
        <w:t xml:space="preserve">initial and revised regulatory proposals reflect an efficient operating expenditure base year, whereby these retail dis-synergy costs did not form part of that base year and therefore must be included as a step change to the base year. </w:t>
      </w:r>
    </w:p>
    <w:p w:rsidR="00C2445E" w:rsidRDefault="00C2445E" w:rsidP="00C2445E">
      <w:pPr>
        <w:pStyle w:val="AERbulletlistfirststyle"/>
      </w:pPr>
      <w:r w:rsidRPr="00B11E9B">
        <w:t xml:space="preserve">Retail dis-synergy costs represent the loss of economies of scale and scope associated with going from an integrated network and retail business to a network only business. For example, </w:t>
      </w:r>
      <w:r>
        <w:t xml:space="preserve">it stated that </w:t>
      </w:r>
      <w:r w:rsidRPr="00B11E9B">
        <w:t xml:space="preserve">the integrated network and retail business shared the costs of Essential Energy’s financial system. The same financial system </w:t>
      </w:r>
      <w:r>
        <w:t>must be allocated to its network business.</w:t>
      </w:r>
    </w:p>
    <w:p w:rsidR="00C2445E" w:rsidRDefault="00C2445E" w:rsidP="00C2445E">
      <w:pPr>
        <w:pStyle w:val="AERbulletlistfirststyle"/>
      </w:pPr>
      <w:r w:rsidRPr="00B11E9B">
        <w:t>The AER recognised this dis-synergy cost by including a retail project event as a nominated</w:t>
      </w:r>
      <w:r>
        <w:t xml:space="preserve"> pass through event in its 2009–</w:t>
      </w:r>
      <w:r w:rsidRPr="00B11E9B">
        <w:t>14 NSW determination to cover the increase in costs of providing direct control network services as a result of the loss of synergies.</w:t>
      </w:r>
      <w:r>
        <w:rPr>
          <w:rStyle w:val="FootnoteReference"/>
        </w:rPr>
        <w:footnoteReference w:id="970"/>
      </w:r>
      <w:r w:rsidRPr="00B11E9B">
        <w:t xml:space="preserve"> </w:t>
      </w:r>
    </w:p>
    <w:p w:rsidR="00C2445E" w:rsidRDefault="00C2445E" w:rsidP="00C2445E">
      <w:r>
        <w:t>We have not changed our position in response to Essential Energy's submission.</w:t>
      </w:r>
    </w:p>
    <w:p w:rsidR="00C2445E" w:rsidRDefault="00C2445E" w:rsidP="00C2445E">
      <w:r>
        <w:t>As outlined in our base opex appendix, we disagree that Essential Energy's base year reflects efficient costs. Our benchmarking shows that when comparing the opex incurred in providing network services, Essential Energy benchmarks poorly compared to service providers in Victoria and South Australia. During the benchmarking period, Essential Energy benefitted from apparent synergies between its retail and distribution business. Victorian and South Australian service providers did not. One of our tasks in assessing opex is to consider the efficient costs of achieving the operating expenditure objectives.</w:t>
      </w:r>
      <w:r>
        <w:rPr>
          <w:rStyle w:val="FootnoteReference"/>
        </w:rPr>
        <w:footnoteReference w:id="971"/>
      </w:r>
      <w:r>
        <w:t xml:space="preserve"> We also have regard to the opex factors. One opex factor we have regard to is </w:t>
      </w:r>
      <w:r w:rsidRPr="00777DB0">
        <w:t>the benchmark operating expenditure that would be incurred by an efficient Distribution Network Service Provider over the relevant regulatory control period</w:t>
      </w:r>
      <w:r>
        <w:t>.</w:t>
      </w:r>
      <w:r>
        <w:rPr>
          <w:rStyle w:val="FootnoteReference"/>
        </w:rPr>
        <w:footnoteReference w:id="972"/>
      </w:r>
      <w:r w:rsidRPr="00777DB0">
        <w:t xml:space="preserve"> </w:t>
      </w:r>
      <w:r>
        <w:t xml:space="preserve">It would be inconsistent with the opex criteria and the opex factors to compensate Essential Energy where it has lost synergies that more efficient network service providers do not benefit from. It would only increase the cost that Essential Energy's </w:t>
      </w:r>
      <w:r>
        <w:lastRenderedPageBreak/>
        <w:t>consumers face to receive a comparable level of service as electricity network consumers in these states. A higher cost in providing a service without a commensurate increase in the quantity or quality or services is, by definition, less efficient. Therefore, to provide a step change for this cost driver would not reasonably reflect the opex criteria.</w:t>
      </w:r>
    </w:p>
    <w:p w:rsidR="00C2445E" w:rsidRPr="00470B89" w:rsidRDefault="00C2445E" w:rsidP="00C2445E">
      <w:pPr>
        <w:pStyle w:val="ListParagraph"/>
        <w:numPr>
          <w:ilvl w:val="0"/>
          <w:numId w:val="24"/>
        </w:numPr>
      </w:pPr>
      <w:r w:rsidRPr="00470B89">
        <w:t xml:space="preserve">We have considered </w:t>
      </w:r>
      <w:r>
        <w:t>Essential Energy's</w:t>
      </w:r>
      <w:r w:rsidRPr="00470B89">
        <w:t xml:space="preserve"> individual circumstances in developing an alternative forecast. This includes, for instance, the cost of meeting </w:t>
      </w:r>
      <w:r>
        <w:t>Essential Energy'</w:t>
      </w:r>
      <w:r w:rsidRPr="00470B89">
        <w:t xml:space="preserve">s regulatory obligations, the cost impacts due to its particular network characteristics </w:t>
      </w:r>
      <w:r>
        <w:t xml:space="preserve">including </w:t>
      </w:r>
      <w:r w:rsidRPr="00470B89">
        <w:t xml:space="preserve">the costs that flow from servicing a large </w:t>
      </w:r>
      <w:r>
        <w:t>area</w:t>
      </w:r>
      <w:r w:rsidRPr="00470B89">
        <w:t>.  However, the sale of part of a business is a different matter. It is a discretionary decision made by the owners of the business.  We would expect that the profit on the sale of part of a business would be used to offset any related opex increases. If there is any</w:t>
      </w:r>
      <w:r>
        <w:t xml:space="preserve"> residual</w:t>
      </w:r>
      <w:r w:rsidRPr="00470B89">
        <w:t xml:space="preserve"> cost increase associated with </w:t>
      </w:r>
      <w:r>
        <w:t>a</w:t>
      </w:r>
      <w:r w:rsidRPr="00470B89">
        <w:t xml:space="preserve"> discretionary decision </w:t>
      </w:r>
      <w:r>
        <w:t>made by network owners</w:t>
      </w:r>
      <w:r w:rsidRPr="00470B89">
        <w:t>, in our view, it is a cost the owners, rather than consumers, should bear.</w:t>
      </w:r>
    </w:p>
    <w:p w:rsidR="00CA2215" w:rsidRDefault="00C2445E" w:rsidP="00607F29">
      <w:pPr>
        <w:numPr>
          <w:ilvl w:val="0"/>
          <w:numId w:val="24"/>
        </w:numPr>
      </w:pPr>
      <w:r>
        <w:t>We note that Essential Energy considered that our views on the recovery of these costs had changed since our determination for the 2009–14 period. We acknowledge this is the case but this does not change our decision. Our assessment approach for the 2014–19 period is based on the evidence available to us for this particular determination and our assessment against the opex criteria at this point in time.</w:t>
      </w:r>
    </w:p>
    <w:sectPr w:rsidR="00CA2215" w:rsidSect="00EE50D1">
      <w:headerReference w:type="default" r:id="rId72"/>
      <w:footerReference w:type="even" r:id="rId73"/>
      <w:footerReference w:type="default" r:id="rId74"/>
      <w:footerReference w:type="first" r:id="rId75"/>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658" w:rsidRPr="00290C63" w:rsidRDefault="00223658" w:rsidP="00290C63">
      <w:r>
        <w:separator/>
      </w:r>
    </w:p>
    <w:p w:rsidR="00223658" w:rsidRDefault="00223658"/>
  </w:endnote>
  <w:endnote w:type="continuationSeparator" w:id="0">
    <w:p w:rsidR="00223658" w:rsidRPr="00290C63" w:rsidRDefault="00223658" w:rsidP="00290C63">
      <w:r>
        <w:continuationSeparator/>
      </w:r>
    </w:p>
    <w:p w:rsidR="00223658" w:rsidRDefault="002236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658" w:rsidRPr="00290C63" w:rsidRDefault="00223658"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223658" w:rsidRDefault="00223658"/>
  <w:p w:rsidR="00223658" w:rsidRDefault="00223658"/>
  <w:p w:rsidR="00223658" w:rsidRDefault="00223658"/>
  <w:p w:rsidR="00223658" w:rsidRDefault="00223658"/>
  <w:p w:rsidR="00223658" w:rsidRDefault="00223658"/>
  <w:p w:rsidR="00223658" w:rsidRDefault="00223658"/>
  <w:p w:rsidR="00223658" w:rsidRDefault="002236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595001"/>
      <w:docPartObj>
        <w:docPartGallery w:val="Page Numbers (Bottom of Page)"/>
        <w:docPartUnique/>
      </w:docPartObj>
    </w:sdtPr>
    <w:sdtEndPr>
      <w:rPr>
        <w:noProof/>
        <w:szCs w:val="16"/>
      </w:rPr>
    </w:sdtEndPr>
    <w:sdtContent>
      <w:p w:rsidR="00223658" w:rsidRPr="009B6F84" w:rsidRDefault="00223658">
        <w:pPr>
          <w:pStyle w:val="Footer"/>
          <w:rPr>
            <w:sz w:val="20"/>
          </w:rPr>
        </w:pPr>
        <w:r>
          <w:fldChar w:fldCharType="begin"/>
        </w:r>
        <w:r>
          <w:instrText xml:space="preserve"> PAGE   \* MERGEFORMAT </w:instrText>
        </w:r>
        <w:r>
          <w:fldChar w:fldCharType="separate"/>
        </w:r>
        <w:r w:rsidR="007A58F7">
          <w:rPr>
            <w:noProof/>
          </w:rPr>
          <w:t>7-0</w:t>
        </w:r>
        <w:r>
          <w:rPr>
            <w:noProof/>
          </w:rPr>
          <w:fldChar w:fldCharType="end"/>
        </w:r>
        <w:r>
          <w:rPr>
            <w:noProof/>
          </w:rPr>
          <w:t xml:space="preserve">          </w:t>
        </w:r>
        <w:r w:rsidRPr="002344AF">
          <w:rPr>
            <w:noProof/>
            <w:szCs w:val="16"/>
          </w:rPr>
          <w:t>Attachment 7 – Operating expenditure</w:t>
        </w:r>
        <w:r>
          <w:rPr>
            <w:noProof/>
            <w:szCs w:val="16"/>
          </w:rPr>
          <w:t xml:space="preserve"> </w:t>
        </w:r>
        <w:r w:rsidRPr="009B6F84">
          <w:rPr>
            <w:rFonts w:cs="Gautami"/>
            <w:noProof/>
            <w:szCs w:val="16"/>
          </w:rPr>
          <w:t xml:space="preserve">| </w:t>
        </w:r>
        <w:r>
          <w:t>Essential Energy</w:t>
        </w:r>
        <w:r w:rsidRPr="009B6F84">
          <w:rPr>
            <w:rFonts w:cs="Gautami"/>
            <w:noProof/>
            <w:szCs w:val="16"/>
          </w:rPr>
          <w:t xml:space="preserve"> Final decision</w:t>
        </w:r>
        <w:r w:rsidRPr="009B6F84">
          <w:rPr>
            <w:sz w:val="20"/>
          </w:rPr>
          <w:t xml:space="preserve"> </w:t>
        </w:r>
        <w:r w:rsidRPr="009B6F84">
          <w:rPr>
            <w:rFonts w:cs="Gautami"/>
            <w:noProof/>
            <w:szCs w:val="16"/>
          </w:rPr>
          <w:t>2015–19</w:t>
        </w:r>
      </w:p>
    </w:sdtContent>
  </w:sdt>
  <w:p w:rsidR="00223658" w:rsidRDefault="002236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658" w:rsidRPr="00290C63" w:rsidRDefault="00223658"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223658" w:rsidRDefault="00223658">
    <w:pPr>
      <w:pStyle w:val="Footer"/>
    </w:pPr>
  </w:p>
  <w:p w:rsidR="00223658" w:rsidRDefault="00223658"/>
  <w:p w:rsidR="00223658" w:rsidRDefault="00223658"/>
  <w:p w:rsidR="00223658" w:rsidRDefault="00223658"/>
  <w:p w:rsidR="00223658" w:rsidRDefault="00223658"/>
  <w:p w:rsidR="00223658" w:rsidRDefault="00223658"/>
  <w:p w:rsidR="00223658" w:rsidRDefault="00223658"/>
  <w:p w:rsidR="00223658" w:rsidRDefault="0022365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658" w:rsidRPr="00290C63" w:rsidRDefault="00223658"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223658" w:rsidRDefault="00223658"/>
  <w:p w:rsidR="00223658" w:rsidRDefault="00223658"/>
  <w:p w:rsidR="00223658" w:rsidRDefault="00223658"/>
  <w:p w:rsidR="00223658" w:rsidRDefault="00223658"/>
  <w:p w:rsidR="00223658" w:rsidRDefault="00223658"/>
  <w:p w:rsidR="00223658" w:rsidRDefault="00223658"/>
  <w:p w:rsidR="00223658" w:rsidRDefault="0022365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886679"/>
      <w:docPartObj>
        <w:docPartGallery w:val="Page Numbers (Bottom of Page)"/>
        <w:docPartUnique/>
      </w:docPartObj>
    </w:sdtPr>
    <w:sdtEndPr>
      <w:rPr>
        <w:noProof/>
        <w:szCs w:val="16"/>
      </w:rPr>
    </w:sdtEndPr>
    <w:sdtContent>
      <w:p w:rsidR="00223658" w:rsidRPr="009B6F84" w:rsidRDefault="00223658">
        <w:pPr>
          <w:pStyle w:val="Footer"/>
          <w:rPr>
            <w:sz w:val="20"/>
          </w:rPr>
        </w:pPr>
        <w:r>
          <w:fldChar w:fldCharType="begin"/>
        </w:r>
        <w:r>
          <w:instrText xml:space="preserve"> PAGE   \* MERGEFORMAT </w:instrText>
        </w:r>
        <w:r>
          <w:fldChar w:fldCharType="separate"/>
        </w:r>
        <w:r w:rsidR="007A58F7">
          <w:rPr>
            <w:noProof/>
          </w:rPr>
          <w:t>7-78</w:t>
        </w:r>
        <w:r>
          <w:rPr>
            <w:noProof/>
          </w:rPr>
          <w:fldChar w:fldCharType="end"/>
        </w:r>
        <w:r>
          <w:rPr>
            <w:noProof/>
          </w:rPr>
          <w:t xml:space="preserve">          </w:t>
        </w:r>
        <w:r w:rsidRPr="0030370B">
          <w:t xml:space="preserve">Attachment </w:t>
        </w:r>
        <w:r>
          <w:t>7</w:t>
        </w:r>
        <w:r w:rsidRPr="0030370B">
          <w:t xml:space="preserve"> – </w:t>
        </w:r>
        <w:r>
          <w:t>Operating</w:t>
        </w:r>
        <w:r w:rsidRPr="0030370B">
          <w:t xml:space="preserve"> expenditure</w:t>
        </w:r>
        <w:r w:rsidRPr="00F8653A">
          <w:t xml:space="preserve"> </w:t>
        </w:r>
        <w:r w:rsidRPr="009B6F84">
          <w:rPr>
            <w:rFonts w:cs="Gautami"/>
            <w:noProof/>
            <w:szCs w:val="16"/>
          </w:rPr>
          <w:t xml:space="preserve">| </w:t>
        </w:r>
        <w:r>
          <w:t>Essential Energy</w:t>
        </w:r>
        <w:r w:rsidRPr="009B6F84">
          <w:rPr>
            <w:rFonts w:cs="Gautami"/>
            <w:noProof/>
            <w:szCs w:val="16"/>
          </w:rPr>
          <w:t xml:space="preserve"> Final decision</w:t>
        </w:r>
        <w:r w:rsidRPr="009B6F84">
          <w:rPr>
            <w:sz w:val="20"/>
          </w:rPr>
          <w:t xml:space="preserve"> </w:t>
        </w:r>
        <w:r w:rsidRPr="009B6F84">
          <w:rPr>
            <w:rFonts w:cs="Gautami"/>
            <w:noProof/>
            <w:szCs w:val="16"/>
          </w:rPr>
          <w:t>2015–19</w:t>
        </w:r>
      </w:p>
    </w:sdtContent>
  </w:sdt>
  <w:p w:rsidR="00223658" w:rsidRDefault="002236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658" w:rsidRPr="00290C63" w:rsidRDefault="00223658"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223658" w:rsidRDefault="00223658">
    <w:pPr>
      <w:pStyle w:val="Footer"/>
    </w:pPr>
  </w:p>
  <w:p w:rsidR="00223658" w:rsidRDefault="00223658"/>
  <w:p w:rsidR="00223658" w:rsidRDefault="00223658"/>
  <w:p w:rsidR="00223658" w:rsidRDefault="00223658"/>
  <w:p w:rsidR="00223658" w:rsidRDefault="00223658"/>
  <w:p w:rsidR="00223658" w:rsidRDefault="00223658"/>
  <w:p w:rsidR="00223658" w:rsidRDefault="00223658"/>
  <w:p w:rsidR="00223658" w:rsidRDefault="002236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658" w:rsidRPr="00290C63" w:rsidRDefault="00223658" w:rsidP="00290C63">
      <w:r>
        <w:separator/>
      </w:r>
    </w:p>
    <w:p w:rsidR="00223658" w:rsidRDefault="00223658"/>
  </w:footnote>
  <w:footnote w:type="continuationSeparator" w:id="0">
    <w:p w:rsidR="00223658" w:rsidRPr="00290C63" w:rsidRDefault="00223658" w:rsidP="00290C63">
      <w:r>
        <w:continuationSeparator/>
      </w:r>
    </w:p>
    <w:p w:rsidR="00223658" w:rsidRDefault="00223658"/>
  </w:footnote>
  <w:footnote w:id="1">
    <w:p w:rsidR="00223658" w:rsidRDefault="00223658" w:rsidP="00E75C6B">
      <w:pPr>
        <w:pStyle w:val="FootnoteText"/>
      </w:pPr>
      <w:r>
        <w:rPr>
          <w:rStyle w:val="FootnoteReference"/>
        </w:rPr>
        <w:footnoteRef/>
      </w:r>
      <w:r>
        <w:t xml:space="preserve"> </w:t>
      </w:r>
      <w:r>
        <w:tab/>
        <w:t>NER, clause 6.5.6(c).</w:t>
      </w:r>
    </w:p>
  </w:footnote>
  <w:footnote w:id="2">
    <w:p w:rsidR="00223658" w:rsidRDefault="00223658" w:rsidP="00E75C6B">
      <w:pPr>
        <w:pStyle w:val="FootnoteText"/>
      </w:pPr>
      <w:r>
        <w:rPr>
          <w:rStyle w:val="FootnoteReference"/>
        </w:rPr>
        <w:footnoteRef/>
      </w:r>
      <w:r>
        <w:t xml:space="preserve"> </w:t>
      </w:r>
      <w:r>
        <w:tab/>
        <w:t>NER, clause 6.5.6(d).</w:t>
      </w:r>
    </w:p>
  </w:footnote>
  <w:footnote w:id="3">
    <w:p w:rsidR="00223658" w:rsidRDefault="00223658" w:rsidP="00E75C6B">
      <w:pPr>
        <w:pStyle w:val="FootnoteText"/>
      </w:pPr>
      <w:r>
        <w:rPr>
          <w:rStyle w:val="FootnoteReference"/>
        </w:rPr>
        <w:footnoteRef/>
      </w:r>
      <w:r>
        <w:t xml:space="preserve"> </w:t>
      </w:r>
      <w:r>
        <w:tab/>
        <w:t>NER, clause 6.12.1(4)(ii).</w:t>
      </w:r>
    </w:p>
  </w:footnote>
  <w:footnote w:id="4">
    <w:p w:rsidR="00223658" w:rsidRDefault="00223658" w:rsidP="00634B74">
      <w:pPr>
        <w:pStyle w:val="FootnoteText"/>
      </w:pPr>
      <w:r>
        <w:rPr>
          <w:rStyle w:val="FootnoteReference"/>
        </w:rPr>
        <w:footnoteRef/>
      </w:r>
      <w:r>
        <w:t xml:space="preserve"> </w:t>
      </w:r>
      <w:r>
        <w:tab/>
        <w:t>Note that this figure only refers to opex on standard control services.  In the 2014–19 period, Essential Energy is reallocating metering and ancillary network services from standard control services to alternative control services. In its initial proposal it forecast the impact of this to be $203.8 million ($2013–14). When the effect of reclassified services is included in the forecast period, Essential Energy and our forecast of its opex will be higher.</w:t>
      </w:r>
    </w:p>
    <w:p w:rsidR="00223658" w:rsidRDefault="00223658">
      <w:pPr>
        <w:pStyle w:val="FootnoteText"/>
      </w:pPr>
    </w:p>
  </w:footnote>
  <w:footnote w:id="5">
    <w:p w:rsidR="00223658" w:rsidRDefault="00223658">
      <w:pPr>
        <w:pStyle w:val="FootnoteText"/>
      </w:pPr>
      <w:r>
        <w:rPr>
          <w:rStyle w:val="FootnoteReference"/>
        </w:rPr>
        <w:footnoteRef/>
      </w:r>
      <w:r>
        <w:t xml:space="preserve"> </w:t>
      </w:r>
      <w:r>
        <w:tab/>
        <w:t xml:space="preserve">Essential Energy, </w:t>
      </w:r>
      <w:r w:rsidRPr="00A35646">
        <w:rPr>
          <w:rStyle w:val="AERtextitalic"/>
        </w:rPr>
        <w:t>Revised regulatory proposal</w:t>
      </w:r>
      <w:r>
        <w:t>, January 2015, p. 11.</w:t>
      </w:r>
    </w:p>
  </w:footnote>
  <w:footnote w:id="6">
    <w:p w:rsidR="00223658" w:rsidRDefault="00223658">
      <w:pPr>
        <w:pStyle w:val="FootnoteText"/>
      </w:pPr>
      <w:r>
        <w:rPr>
          <w:rStyle w:val="FootnoteReference"/>
        </w:rPr>
        <w:footnoteRef/>
      </w:r>
      <w:r>
        <w:t xml:space="preserve"> </w:t>
      </w:r>
      <w:r>
        <w:tab/>
        <w:t xml:space="preserve">Essential Energy, </w:t>
      </w:r>
      <w:r>
        <w:rPr>
          <w:rStyle w:val="AERtextitalic"/>
        </w:rPr>
        <w:t>R</w:t>
      </w:r>
      <w:r w:rsidRPr="00A35646">
        <w:rPr>
          <w:rStyle w:val="AERtextitalic"/>
        </w:rPr>
        <w:t>egulatory proposal</w:t>
      </w:r>
      <w:r>
        <w:t>, May 2014, p. 64.</w:t>
      </w:r>
    </w:p>
  </w:footnote>
  <w:footnote w:id="7">
    <w:p w:rsidR="00223658" w:rsidRDefault="00223658" w:rsidP="003F4154">
      <w:pPr>
        <w:pStyle w:val="FootnoteText"/>
      </w:pPr>
      <w:r>
        <w:rPr>
          <w:rStyle w:val="FootnoteReference"/>
        </w:rPr>
        <w:footnoteRef/>
      </w:r>
      <w:r>
        <w:t xml:space="preserve"> </w:t>
      </w:r>
      <w:r>
        <w:tab/>
        <w:t>This categorisation is from Regulatory Information Notice, Table 2.17. Elsewhere Essential Energy noted that it preferred the term 'change factor' to a 'step change'.</w:t>
      </w:r>
    </w:p>
  </w:footnote>
  <w:footnote w:id="8">
    <w:p w:rsidR="00223658" w:rsidRDefault="00223658">
      <w:pPr>
        <w:pStyle w:val="FootnoteText"/>
      </w:pPr>
      <w:r>
        <w:rPr>
          <w:rStyle w:val="FootnoteReference"/>
        </w:rPr>
        <w:footnoteRef/>
      </w:r>
      <w:r>
        <w:t xml:space="preserve"> </w:t>
      </w:r>
      <w:r>
        <w:tab/>
        <w:t xml:space="preserve">Essential Energy, </w:t>
      </w:r>
      <w:r w:rsidRPr="00A35646">
        <w:rPr>
          <w:rStyle w:val="AERtextitalic"/>
        </w:rPr>
        <w:t>Revised regulatory proposal</w:t>
      </w:r>
      <w:r>
        <w:t xml:space="preserve">, January 2015, pp. 11-17, 18. </w:t>
      </w:r>
    </w:p>
  </w:footnote>
  <w:footnote w:id="9">
    <w:p w:rsidR="00223658" w:rsidRDefault="00223658">
      <w:pPr>
        <w:pStyle w:val="FootnoteText"/>
      </w:pPr>
      <w:r>
        <w:rPr>
          <w:rStyle w:val="FootnoteReference"/>
        </w:rPr>
        <w:footnoteRef/>
      </w:r>
      <w:r>
        <w:t xml:space="preserve"> </w:t>
      </w:r>
      <w:r>
        <w:tab/>
        <w:t xml:space="preserve">Essential Energy, </w:t>
      </w:r>
      <w:r w:rsidRPr="00A35646">
        <w:rPr>
          <w:rStyle w:val="AERtextitalic"/>
        </w:rPr>
        <w:t>Revised regulatory proposal</w:t>
      </w:r>
      <w:r>
        <w:t>, January 2015, p. 24.</w:t>
      </w:r>
    </w:p>
  </w:footnote>
  <w:footnote w:id="10">
    <w:p w:rsidR="00223658" w:rsidRDefault="00223658">
      <w:pPr>
        <w:pStyle w:val="FootnoteText"/>
      </w:pPr>
      <w:r>
        <w:rPr>
          <w:rStyle w:val="FootnoteReference"/>
        </w:rPr>
        <w:footnoteRef/>
      </w:r>
      <w:r>
        <w:t xml:space="preserve"> </w:t>
      </w:r>
      <w:r>
        <w:tab/>
      </w:r>
      <w:r w:rsidRPr="00484DAD">
        <w:t>We did not apply the DEA benchmarking technique. We outline the reasons why we did not apply this technique in section A.4 of our base opex appendix</w:t>
      </w:r>
      <w:r>
        <w:t>.</w:t>
      </w:r>
    </w:p>
  </w:footnote>
  <w:footnote w:id="11">
    <w:p w:rsidR="00223658" w:rsidRDefault="00223658">
      <w:pPr>
        <w:pStyle w:val="FootnoteText"/>
      </w:pPr>
      <w:r>
        <w:rPr>
          <w:rStyle w:val="FootnoteReference"/>
        </w:rPr>
        <w:footnoteRef/>
      </w:r>
      <w:r>
        <w:t xml:space="preserve"> </w:t>
      </w:r>
      <w:r>
        <w:tab/>
        <w:t xml:space="preserve">AER, </w:t>
      </w:r>
      <w:r>
        <w:rPr>
          <w:rStyle w:val="AERtextitalic"/>
        </w:rPr>
        <w:t>Expenditure forecast assessment guideline</w:t>
      </w:r>
      <w:r>
        <w:t xml:space="preserve">, November 2013. We did not apply the DEA benchmarking technique. We outline the reasons why we did not apply this technique in section A.4 of our base opex appendix. </w:t>
      </w:r>
    </w:p>
  </w:footnote>
  <w:footnote w:id="12">
    <w:p w:rsidR="00223658" w:rsidRDefault="00223658" w:rsidP="004C528F">
      <w:pPr>
        <w:pStyle w:val="FootnoteText"/>
      </w:pPr>
      <w:r>
        <w:rPr>
          <w:rStyle w:val="FootnoteReference"/>
        </w:rPr>
        <w:footnoteRef/>
      </w:r>
      <w:r>
        <w:t xml:space="preserve"> </w:t>
      </w:r>
      <w:r>
        <w:tab/>
        <w:t>NER, clause 6.5.6(c).</w:t>
      </w:r>
    </w:p>
  </w:footnote>
  <w:footnote w:id="13">
    <w:p w:rsidR="00223658" w:rsidRDefault="00223658" w:rsidP="004C528F">
      <w:pPr>
        <w:pStyle w:val="FootnoteText"/>
      </w:pPr>
      <w:r>
        <w:rPr>
          <w:rStyle w:val="FootnoteReference"/>
        </w:rPr>
        <w:footnoteRef/>
      </w:r>
      <w:r>
        <w:t xml:space="preserve"> </w:t>
      </w:r>
      <w:r>
        <w:tab/>
        <w:t>NER, clause 6.5.6(d).</w:t>
      </w:r>
    </w:p>
  </w:footnote>
  <w:footnote w:id="14">
    <w:p w:rsidR="00223658" w:rsidRDefault="00223658" w:rsidP="004C528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vii.</w:t>
      </w:r>
    </w:p>
  </w:footnote>
  <w:footnote w:id="15">
    <w:p w:rsidR="00223658" w:rsidRDefault="00223658" w:rsidP="004C528F">
      <w:pPr>
        <w:pStyle w:val="FootnoteText"/>
      </w:pPr>
      <w:r>
        <w:rPr>
          <w:rStyle w:val="FootnoteReference"/>
        </w:rPr>
        <w:footnoteRef/>
      </w:r>
      <w:r>
        <w:t xml:space="preserve"> </w:t>
      </w:r>
      <w:r>
        <w:tab/>
        <w:t>NER, clause 6.5.6(a).</w:t>
      </w:r>
    </w:p>
  </w:footnote>
  <w:footnote w:id="16">
    <w:p w:rsidR="00223658" w:rsidRDefault="00223658" w:rsidP="004C528F">
      <w:pPr>
        <w:pStyle w:val="FootnoteText"/>
      </w:pPr>
      <w:r>
        <w:rPr>
          <w:rStyle w:val="FootnoteReference"/>
        </w:rPr>
        <w:footnoteRef/>
      </w:r>
      <w:r>
        <w:t xml:space="preserve"> </w:t>
      </w:r>
      <w:r>
        <w:tab/>
        <w:t>NER, clause 6.5.6(c).</w:t>
      </w:r>
    </w:p>
  </w:footnote>
  <w:footnote w:id="17">
    <w:p w:rsidR="00223658" w:rsidRDefault="00223658" w:rsidP="004C528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113.</w:t>
      </w:r>
    </w:p>
  </w:footnote>
  <w:footnote w:id="18">
    <w:p w:rsidR="00223658" w:rsidRDefault="00223658" w:rsidP="004C528F">
      <w:pPr>
        <w:pStyle w:val="FootnoteText"/>
      </w:pPr>
      <w:r>
        <w:rPr>
          <w:rStyle w:val="FootnoteReference"/>
        </w:rPr>
        <w:footnoteRef/>
      </w:r>
      <w:r>
        <w:t xml:space="preserve"> </w:t>
      </w:r>
      <w:r>
        <w:tab/>
        <w:t>NER, clause 6.5.6(e).</w:t>
      </w:r>
    </w:p>
  </w:footnote>
  <w:footnote w:id="19">
    <w:p w:rsidR="00223658" w:rsidRDefault="00223658" w:rsidP="004C528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115.</w:t>
      </w:r>
    </w:p>
  </w:footnote>
  <w:footnote w:id="20">
    <w:p w:rsidR="00223658" w:rsidRDefault="00223658" w:rsidP="004C528F">
      <w:pPr>
        <w:pStyle w:val="FootnoteText"/>
      </w:pPr>
      <w:r>
        <w:rPr>
          <w:rStyle w:val="FootnoteReference"/>
        </w:rPr>
        <w:footnoteRef/>
      </w:r>
      <w:r>
        <w:t xml:space="preserve"> </w:t>
      </w:r>
      <w:r>
        <w:tab/>
        <w:t>This is consistent with the approach we outlined in the explanatory statement to our Expenditure Forecast Assessment Guideline. See, for example, p. 131.</w:t>
      </w:r>
    </w:p>
  </w:footnote>
  <w:footnote w:id="21">
    <w:p w:rsidR="00223658" w:rsidRDefault="00223658" w:rsidP="004C528F">
      <w:pPr>
        <w:pStyle w:val="FootnoteText"/>
      </w:pPr>
      <w:r>
        <w:rPr>
          <w:rStyle w:val="FootnoteReference"/>
        </w:rPr>
        <w:footnoteRef/>
      </w:r>
      <w:r>
        <w:t xml:space="preserve"> </w:t>
      </w:r>
      <w:r>
        <w:tab/>
        <w:t>NEL, s. 16(2); s. 7A.</w:t>
      </w:r>
    </w:p>
  </w:footnote>
  <w:footnote w:id="22">
    <w:p w:rsidR="00223658" w:rsidRDefault="00223658" w:rsidP="004C528F">
      <w:pPr>
        <w:pStyle w:val="FootnoteText"/>
      </w:pPr>
      <w:r>
        <w:rPr>
          <w:rStyle w:val="FootnoteReference"/>
        </w:rPr>
        <w:footnoteRef/>
      </w:r>
      <w:r>
        <w:t xml:space="preserve"> </w:t>
      </w:r>
      <w:r>
        <w:tab/>
        <w:t xml:space="preserve">AER, </w:t>
      </w:r>
      <w:r>
        <w:rPr>
          <w:rStyle w:val="AERtextitalic"/>
        </w:rPr>
        <w:t>Expenditure forecasting assessment guideline - explanatory statement</w:t>
      </w:r>
      <w:r>
        <w:t>, November 2013.</w:t>
      </w:r>
    </w:p>
  </w:footnote>
  <w:footnote w:id="23">
    <w:p w:rsidR="00223658" w:rsidRDefault="00223658" w:rsidP="004C528F">
      <w:pPr>
        <w:pStyle w:val="FootnoteText"/>
      </w:pPr>
      <w:r>
        <w:rPr>
          <w:rStyle w:val="FootnoteReference"/>
        </w:rPr>
        <w:footnoteRef/>
      </w:r>
      <w:r>
        <w:t xml:space="preserve"> </w:t>
      </w:r>
      <w:r>
        <w:tab/>
        <w:t>NER, clause 6.5.6.</w:t>
      </w:r>
    </w:p>
  </w:footnote>
  <w:footnote w:id="24">
    <w:p w:rsidR="00223658" w:rsidRDefault="00223658" w:rsidP="004C528F">
      <w:pPr>
        <w:pStyle w:val="FootnoteText"/>
      </w:pPr>
      <w:r>
        <w:rPr>
          <w:rStyle w:val="FootnoteReference"/>
        </w:rPr>
        <w:footnoteRef/>
      </w:r>
      <w:r>
        <w:t xml:space="preserve"> </w:t>
      </w:r>
      <w:r>
        <w:tab/>
        <w:t xml:space="preserve"> We did not apply the DEA benchmarking technique. We outline the reasons why we did not apply this technique in section A.4 of our base opex appendix. </w:t>
      </w:r>
    </w:p>
  </w:footnote>
  <w:footnote w:id="25">
    <w:p w:rsidR="00223658" w:rsidRDefault="00223658">
      <w:pPr>
        <w:pStyle w:val="FootnoteText"/>
      </w:pPr>
      <w:r>
        <w:rPr>
          <w:rStyle w:val="FootnoteReference"/>
        </w:rPr>
        <w:footnoteRef/>
      </w:r>
      <w:r>
        <w:t xml:space="preserve"> </w:t>
      </w:r>
      <w:r>
        <w:tab/>
        <w:t xml:space="preserve">AER, </w:t>
      </w:r>
      <w:r w:rsidRPr="00D118A0">
        <w:rPr>
          <w:rStyle w:val="AERtextitalic"/>
        </w:rPr>
        <w:t xml:space="preserve">Stage 2 Framework and approach - NSW </w:t>
      </w:r>
      <w:r>
        <w:rPr>
          <w:rStyle w:val="AERtextitalic"/>
        </w:rPr>
        <w:t>electricity distribution network service providers</w:t>
      </w:r>
      <w:r>
        <w:t xml:space="preserve">, </w:t>
      </w:r>
      <w:r w:rsidRPr="00D118A0">
        <w:t>January 2014</w:t>
      </w:r>
      <w:r>
        <w:t>, p. 50.</w:t>
      </w:r>
    </w:p>
  </w:footnote>
  <w:footnote w:id="26">
    <w:p w:rsidR="00223658" w:rsidRDefault="00223658" w:rsidP="004C528F">
      <w:pPr>
        <w:pStyle w:val="FootnoteText"/>
      </w:pPr>
      <w:r>
        <w:rPr>
          <w:rStyle w:val="FootnoteReference"/>
        </w:rPr>
        <w:footnoteRef/>
      </w:r>
      <w:r>
        <w:t xml:space="preserve"> </w:t>
      </w:r>
      <w:r>
        <w:tab/>
        <w:t xml:space="preserve">AER, </w:t>
      </w:r>
      <w:r>
        <w:rPr>
          <w:rStyle w:val="AERtextitalic"/>
        </w:rPr>
        <w:t>Expenditure forecast assessment guideline</w:t>
      </w:r>
      <w:r>
        <w:t>, November 2013, p. 7.</w:t>
      </w:r>
    </w:p>
  </w:footnote>
  <w:footnote w:id="27">
    <w:p w:rsidR="00223658" w:rsidRDefault="00223658" w:rsidP="004C528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28">
    <w:p w:rsidR="00223658" w:rsidRDefault="00223658" w:rsidP="004C528F">
      <w:pPr>
        <w:pStyle w:val="FootnoteText"/>
      </w:pPr>
      <w:r>
        <w:rPr>
          <w:rStyle w:val="FootnoteReference"/>
        </w:rPr>
        <w:footnoteRef/>
      </w:r>
      <w:r>
        <w:t xml:space="preserve"> </w:t>
      </w:r>
      <w:r>
        <w:tab/>
        <w:t>NER, clause 6.5.6(c).</w:t>
      </w:r>
    </w:p>
  </w:footnote>
  <w:footnote w:id="29">
    <w:p w:rsidR="00223658" w:rsidRDefault="00223658" w:rsidP="004C528F">
      <w:pPr>
        <w:pStyle w:val="FootnoteText"/>
      </w:pPr>
      <w:r>
        <w:rPr>
          <w:rStyle w:val="FootnoteReference"/>
        </w:rPr>
        <w:footnoteRef/>
      </w:r>
      <w:r>
        <w:t xml:space="preserve"> </w:t>
      </w:r>
      <w:r>
        <w:tab/>
        <w:t>NER, clause 6.12.1(3)(ii).</w:t>
      </w:r>
    </w:p>
  </w:footnote>
  <w:footnote w:id="30">
    <w:p w:rsidR="00223658" w:rsidRDefault="00223658">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31">
    <w:p w:rsidR="00223658" w:rsidRDefault="00223658" w:rsidP="00E75C6B">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32">
    <w:p w:rsidR="00223658" w:rsidRDefault="00223658" w:rsidP="006E4316">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33">
    <w:p w:rsidR="00223658" w:rsidRDefault="00223658">
      <w:pPr>
        <w:pStyle w:val="FootnoteText"/>
      </w:pPr>
      <w:r>
        <w:rPr>
          <w:rStyle w:val="FootnoteReference"/>
        </w:rPr>
        <w:footnoteRef/>
      </w:r>
      <w:r>
        <w:t xml:space="preserve"> </w:t>
      </w:r>
      <w:r>
        <w:tab/>
      </w:r>
      <w:r w:rsidRPr="004500B9">
        <w:t>The benchmarking mod</w:t>
      </w:r>
      <w:r>
        <w:t>els are discussed in detail in a</w:t>
      </w:r>
      <w:r w:rsidRPr="004500B9">
        <w:t>ppendix A, which details our assessment of base opex.</w:t>
      </w:r>
    </w:p>
  </w:footnote>
  <w:footnote w:id="34">
    <w:p w:rsidR="00223658" w:rsidRDefault="00223658" w:rsidP="00E75C6B">
      <w:pPr>
        <w:pStyle w:val="FootnoteText"/>
      </w:pPr>
      <w:r>
        <w:rPr>
          <w:rStyle w:val="FootnoteReference"/>
        </w:rPr>
        <w:footnoteRef/>
      </w:r>
      <w:r>
        <w:t xml:space="preserve"> </w:t>
      </w:r>
      <w:r>
        <w:tab/>
        <w:t xml:space="preserve">AER, </w:t>
      </w:r>
      <w:r w:rsidRPr="003A12CC">
        <w:rPr>
          <w:rStyle w:val="AERtextitalic"/>
        </w:rPr>
        <w:t>Expenditure forecast assessment guideline</w:t>
      </w:r>
      <w:r>
        <w:t>, November 2013, p. 24.</w:t>
      </w:r>
    </w:p>
  </w:footnote>
  <w:footnote w:id="35">
    <w:p w:rsidR="00223658" w:rsidRDefault="00223658" w:rsidP="00E75C6B">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36">
    <w:p w:rsidR="00223658" w:rsidRDefault="00223658" w:rsidP="00E75C6B">
      <w:pPr>
        <w:pStyle w:val="FootnoteText"/>
      </w:pPr>
      <w:r>
        <w:rPr>
          <w:rStyle w:val="FootnoteReference"/>
        </w:rPr>
        <w:footnoteRef/>
      </w:r>
      <w:r>
        <w:t xml:space="preserve"> </w:t>
      </w:r>
      <w:r>
        <w:tab/>
        <w:t xml:space="preserve">AER, </w:t>
      </w:r>
      <w:r w:rsidRPr="003A12CC">
        <w:rPr>
          <w:rStyle w:val="AERtextitalic"/>
        </w:rPr>
        <w:t>Expenditure forecast assessment guideline</w:t>
      </w:r>
      <w:r>
        <w:rPr>
          <w:rStyle w:val="AERtextitalic"/>
        </w:rPr>
        <w:t xml:space="preserve"> - Explanatory statement</w:t>
      </w:r>
      <w:r>
        <w:t>, November 2013, p. 23.</w:t>
      </w:r>
    </w:p>
  </w:footnote>
  <w:footnote w:id="37">
    <w:p w:rsidR="00223658" w:rsidRDefault="00223658" w:rsidP="006E4316">
      <w:pPr>
        <w:pStyle w:val="FootnoteText"/>
      </w:pPr>
      <w:r>
        <w:rPr>
          <w:rStyle w:val="FootnoteReference"/>
        </w:rPr>
        <w:footnoteRef/>
      </w:r>
      <w:r>
        <w:t xml:space="preserve"> </w:t>
      </w:r>
      <w:r>
        <w:tab/>
        <w:t xml:space="preserve">For each of these areas, other than forecasting method, our analysis is supported by an appendix. </w:t>
      </w:r>
    </w:p>
  </w:footnote>
  <w:footnote w:id="38">
    <w:p w:rsidR="00223658" w:rsidRDefault="00223658" w:rsidP="00DF0C71">
      <w:pPr>
        <w:pStyle w:val="FootnoteText"/>
      </w:pPr>
      <w:r>
        <w:rPr>
          <w:rStyle w:val="FootnoteReference"/>
        </w:rPr>
        <w:footnoteRef/>
      </w:r>
      <w:r>
        <w:t xml:space="preserve"> </w:t>
      </w:r>
      <w:r>
        <w:tab/>
        <w:t xml:space="preserve">AER, </w:t>
      </w:r>
      <w:r w:rsidRPr="000D3454">
        <w:rPr>
          <w:rStyle w:val="AERtextitalic"/>
        </w:rPr>
        <w:t xml:space="preserve">Draft decision: </w:t>
      </w:r>
      <w:r>
        <w:rPr>
          <w:rStyle w:val="AERtextitalic"/>
        </w:rPr>
        <w:t>Essential</w:t>
      </w:r>
      <w:r w:rsidRPr="000D3454">
        <w:rPr>
          <w:rStyle w:val="AERtextitalic"/>
        </w:rPr>
        <w:t xml:space="preserve"> Energy distribution determination 2014–19</w:t>
      </w:r>
      <w:r>
        <w:t xml:space="preserve">, Attachment 7, </w:t>
      </w:r>
      <w:r w:rsidRPr="000D3454">
        <w:t>November 2014</w:t>
      </w:r>
      <w:r>
        <w:t>, pp. 164–167.</w:t>
      </w:r>
    </w:p>
  </w:footnote>
  <w:footnote w:id="39">
    <w:p w:rsidR="00223658" w:rsidRDefault="00223658">
      <w:pPr>
        <w:pStyle w:val="FootnoteText"/>
      </w:pPr>
      <w:r>
        <w:rPr>
          <w:rStyle w:val="FootnoteReference"/>
        </w:rPr>
        <w:footnoteRef/>
      </w:r>
      <w:r>
        <w:t xml:space="preserve"> </w:t>
      </w:r>
      <w:r>
        <w:tab/>
      </w:r>
      <w:r w:rsidRPr="00DC40E2">
        <w:rPr>
          <w:rStyle w:val="AERtextsize8"/>
        </w:rPr>
        <w:t xml:space="preserve">Deloitte Access Economics, </w:t>
      </w:r>
      <w:r w:rsidRPr="00165E00">
        <w:rPr>
          <w:rStyle w:val="Emphasis"/>
        </w:rPr>
        <w:t>NSW distribution network service providers labour analysis: addendum to 2014 report</w:t>
      </w:r>
      <w:r w:rsidRPr="00DC40E2">
        <w:rPr>
          <w:rStyle w:val="AERtextsize8"/>
        </w:rPr>
        <w:t>, April 2015, pp. ii–vii; Deloitte, NSW Distribution Network Service Providers Labour Analysis, November 2014, pp. i-v.</w:t>
      </w:r>
    </w:p>
  </w:footnote>
  <w:footnote w:id="40">
    <w:p w:rsidR="00223658" w:rsidRDefault="00223658">
      <w:pPr>
        <w:pStyle w:val="FootnoteText"/>
      </w:pPr>
      <w:r>
        <w:rPr>
          <w:rStyle w:val="FootnoteReference"/>
        </w:rPr>
        <w:footnoteRef/>
      </w:r>
      <w:r>
        <w:t xml:space="preserve"> </w:t>
      </w:r>
      <w:r>
        <w:tab/>
      </w:r>
      <w:r w:rsidRPr="000A0A1A">
        <w:t xml:space="preserve">Deloitte Access Economics, </w:t>
      </w:r>
      <w:r w:rsidRPr="00165E00">
        <w:rPr>
          <w:rStyle w:val="Emphasis"/>
        </w:rPr>
        <w:t>NSW distribution network service providers labour analysis: addendum to 2014 report</w:t>
      </w:r>
      <w:r w:rsidRPr="000A0A1A">
        <w:t>, April 2015, pp. v-vi</w:t>
      </w:r>
    </w:p>
  </w:footnote>
  <w:footnote w:id="41">
    <w:p w:rsidR="00223658" w:rsidRDefault="00223658">
      <w:pPr>
        <w:pStyle w:val="FootnoteText"/>
      </w:pPr>
      <w:r>
        <w:rPr>
          <w:rStyle w:val="FootnoteReference"/>
        </w:rPr>
        <w:footnoteRef/>
      </w:r>
      <w:r>
        <w:t xml:space="preserve"> </w:t>
      </w:r>
      <w:r>
        <w:tab/>
      </w:r>
      <w:r w:rsidRPr="009D3DCB">
        <w:t xml:space="preserve">Essential, </w:t>
      </w:r>
      <w:r w:rsidRPr="009D3DCB">
        <w:rPr>
          <w:rStyle w:val="AERtextitalic"/>
        </w:rPr>
        <w:t>Regulatory Proposal</w:t>
      </w:r>
      <w:r w:rsidRPr="009D3DCB">
        <w:t xml:space="preserve">, 2014, p. 73; Essential Energy, </w:t>
      </w:r>
      <w:r w:rsidRPr="009D3DCB">
        <w:rPr>
          <w:rStyle w:val="AERtextitalic"/>
        </w:rPr>
        <w:t>Vegetation Management Strategy and Implementation Plan for Additional Expenditure – FY 2013 to 14</w:t>
      </w:r>
      <w:r w:rsidRPr="009D3DCB">
        <w:t>, February 2013; Select Solutions, Review of Essential Energy Vegetation Management Strategy–Final Report, 22 March 2013</w:t>
      </w:r>
    </w:p>
  </w:footnote>
  <w:footnote w:id="42">
    <w:p w:rsidR="00223658" w:rsidRDefault="00223658">
      <w:pPr>
        <w:pStyle w:val="FootnoteText"/>
      </w:pPr>
      <w:r>
        <w:rPr>
          <w:rStyle w:val="FootnoteReference"/>
        </w:rPr>
        <w:footnoteRef/>
      </w:r>
      <w:r>
        <w:t xml:space="preserve"> </w:t>
      </w:r>
      <w:r>
        <w:tab/>
      </w:r>
      <w:r w:rsidRPr="009D3DCB">
        <w:t xml:space="preserve">Essential Energy, </w:t>
      </w:r>
      <w:r w:rsidRPr="009D3DCB">
        <w:rPr>
          <w:rStyle w:val="AERtextitalic"/>
        </w:rPr>
        <w:t>Vegetation Management Strategy and Implementation Plan for Additional Expenditure – FY 2013 to 14</w:t>
      </w:r>
      <w:r w:rsidRPr="009D3DCB">
        <w:t>, February 2013, p. 13.</w:t>
      </w:r>
    </w:p>
  </w:footnote>
  <w:footnote w:id="43">
    <w:p w:rsidR="00223658" w:rsidRDefault="00223658" w:rsidP="00CB0CF2">
      <w:pPr>
        <w:pStyle w:val="FootnoteText"/>
      </w:pPr>
      <w:r>
        <w:rPr>
          <w:rStyle w:val="FootnoteReference"/>
        </w:rPr>
        <w:footnoteRef/>
      </w:r>
      <w:r>
        <w:t xml:space="preserve"> </w:t>
      </w:r>
      <w:r>
        <w:tab/>
        <w:t xml:space="preserve">Stochastic frontier analysis (SFA) can directly estimate efficiency scores and has superior statistical properties. Economic Insights, </w:t>
      </w:r>
      <w:r w:rsidRPr="00C5001E">
        <w:t>Economic Benchmarking Assessment of Operating Expenditure for NSW and ACT Electricity DNSPs</w:t>
      </w:r>
      <w:r>
        <w:t>, November 2014, p. v.</w:t>
      </w:r>
    </w:p>
  </w:footnote>
  <w:footnote w:id="44">
    <w:p w:rsidR="00223658" w:rsidRDefault="00223658" w:rsidP="00CB0CF2">
      <w:pPr>
        <w:pStyle w:val="FootnoteText"/>
      </w:pPr>
      <w:r>
        <w:rPr>
          <w:rStyle w:val="FootnoteReference"/>
        </w:rPr>
        <w:footnoteRef/>
      </w:r>
      <w:r>
        <w:t xml:space="preserve"> </w:t>
      </w:r>
      <w:r>
        <w:tab/>
        <w:t xml:space="preserve">Economic Insights, </w:t>
      </w:r>
      <w:r w:rsidRPr="000A7001">
        <w:t>Response to Consultants’ Reports on Economic Benchmarking of Electricity DNSPs</w:t>
      </w:r>
      <w:r>
        <w:t>, April 2015, section 4.1.</w:t>
      </w:r>
    </w:p>
  </w:footnote>
  <w:footnote w:id="45">
    <w:p w:rsidR="00223658" w:rsidRDefault="00223658" w:rsidP="007468AF">
      <w:pPr>
        <w:pStyle w:val="FootnoteText"/>
      </w:pPr>
      <w:r>
        <w:rPr>
          <w:rStyle w:val="FootnoteReference"/>
        </w:rPr>
        <w:footnoteRef/>
      </w:r>
      <w:r>
        <w:t xml:space="preserve"> </w:t>
      </w:r>
      <w:r>
        <w:tab/>
        <w:t xml:space="preserve">Economic Insights, </w:t>
      </w:r>
      <w:r w:rsidRPr="0051563B">
        <w:rPr>
          <w:rStyle w:val="Emphasis"/>
        </w:rPr>
        <w:t>Economic Benchmarking Assessment of Operating Expenditure for NSW and ACT Electricity DNSPs</w:t>
      </w:r>
      <w:r>
        <w:t>, November 2014, p. 37.</w:t>
      </w:r>
    </w:p>
  </w:footnote>
  <w:footnote w:id="46">
    <w:p w:rsidR="00223658" w:rsidRDefault="00223658">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47">
    <w:p w:rsidR="00223658" w:rsidRDefault="00223658" w:rsidP="00A62B05">
      <w:pPr>
        <w:pStyle w:val="FootnoteText"/>
      </w:pPr>
      <w:r>
        <w:rPr>
          <w:rStyle w:val="FootnoteReference"/>
        </w:rPr>
        <w:footnoteRef/>
      </w:r>
      <w:r>
        <w:t xml:space="preserve"> </w:t>
      </w:r>
      <w:r>
        <w:tab/>
        <w:t xml:space="preserve">We used the reset RIN data to calculate the annual percentage change in Essential Energy's initial proposal. Essential Energy was not required to provide an update to its reset RIN in its revised proposal. </w:t>
      </w:r>
    </w:p>
  </w:footnote>
  <w:footnote w:id="48">
    <w:p w:rsidR="00223658" w:rsidRDefault="00223658" w:rsidP="001B3260">
      <w:pPr>
        <w:pStyle w:val="FootnoteText"/>
      </w:pPr>
      <w:r>
        <w:rPr>
          <w:rStyle w:val="FootnoteReference"/>
        </w:rPr>
        <w:footnoteRef/>
      </w:r>
      <w:r>
        <w:t xml:space="preserve"> </w:t>
      </w:r>
      <w:r>
        <w:tab/>
        <w:t xml:space="preserve">TransGrid, </w:t>
      </w:r>
      <w:r w:rsidRPr="00800801">
        <w:rPr>
          <w:rStyle w:val="AERtextitalic"/>
        </w:rPr>
        <w:t>Revised revenue proposal</w:t>
      </w:r>
      <w:r>
        <w:t xml:space="preserve">, January 2015, p. 107. </w:t>
      </w:r>
    </w:p>
  </w:footnote>
  <w:footnote w:id="49">
    <w:p w:rsidR="00223658" w:rsidRDefault="00223658" w:rsidP="00507E65">
      <w:pPr>
        <w:pStyle w:val="FootnoteText"/>
      </w:pPr>
      <w:r>
        <w:rPr>
          <w:rStyle w:val="FootnoteReference"/>
        </w:rPr>
        <w:footnoteRef/>
      </w:r>
      <w:r>
        <w:t xml:space="preserve"> </w:t>
      </w:r>
      <w:r>
        <w:tab/>
        <w:t xml:space="preserve">Ausgrid, </w:t>
      </w:r>
      <w:r w:rsidRPr="003A1A06">
        <w:rPr>
          <w:rStyle w:val="AERtextitalic"/>
        </w:rPr>
        <w:t>Revised Regulatory Proposal</w:t>
      </w:r>
      <w:r>
        <w:t xml:space="preserve">, January 2015, pp. 28-36; </w:t>
      </w:r>
      <w:r w:rsidRPr="00330381">
        <w:t xml:space="preserve">Networks NSW, </w:t>
      </w:r>
      <w:r w:rsidRPr="003A1A06">
        <w:rPr>
          <w:rStyle w:val="AERtextitalic"/>
        </w:rPr>
        <w:t>NSW DNSPs' submission on the AER's draft determinations</w:t>
      </w:r>
      <w:r w:rsidRPr="00330381">
        <w:t>, 13 February 2015, pp. 6-9</w:t>
      </w:r>
      <w:r>
        <w:t>.</w:t>
      </w:r>
    </w:p>
  </w:footnote>
  <w:footnote w:id="50">
    <w:p w:rsidR="00223658" w:rsidRDefault="00223658" w:rsidP="00507E65">
      <w:pPr>
        <w:pStyle w:val="FootnoteText"/>
      </w:pPr>
      <w:r>
        <w:rPr>
          <w:rStyle w:val="FootnoteReference"/>
        </w:rPr>
        <w:footnoteRef/>
      </w:r>
      <w:r>
        <w:t xml:space="preserve"> </w:t>
      </w:r>
      <w:r>
        <w:tab/>
        <w:t xml:space="preserve">Ausgrid, </w:t>
      </w:r>
      <w:r w:rsidRPr="003A1A06">
        <w:rPr>
          <w:rStyle w:val="AERtextitalic"/>
        </w:rPr>
        <w:t>Revised Regulatory Proposal</w:t>
      </w:r>
      <w:r w:rsidRPr="003A1A06">
        <w:t>, January 2015</w:t>
      </w:r>
      <w:r>
        <w:t>, pp. 153, 163-164</w:t>
      </w:r>
      <w:r w:rsidRPr="00BE62C4">
        <w:t>; Essential Energy, Revised regulatory proposal, pp. 213–214; Endeavour Energy, Revised regulatory proposal, p. 195.</w:t>
      </w:r>
    </w:p>
  </w:footnote>
  <w:footnote w:id="51">
    <w:p w:rsidR="00223658" w:rsidRDefault="00223658" w:rsidP="00507E65">
      <w:pPr>
        <w:pStyle w:val="FootnoteText"/>
      </w:pPr>
      <w:r>
        <w:rPr>
          <w:rStyle w:val="FootnoteReference"/>
        </w:rPr>
        <w:footnoteRef/>
      </w:r>
      <w:r>
        <w:t xml:space="preserve"> </w:t>
      </w:r>
      <w:r>
        <w:tab/>
      </w:r>
      <w:r w:rsidRPr="000F1862">
        <w:t xml:space="preserve">Ausgrid, </w:t>
      </w:r>
      <w:r w:rsidRPr="003A1A06">
        <w:rPr>
          <w:rStyle w:val="AERtextitalic"/>
        </w:rPr>
        <w:t>Revised Regulatory Proposal</w:t>
      </w:r>
      <w:r w:rsidRPr="003A1A06">
        <w:t>, January 2015</w:t>
      </w:r>
      <w:r>
        <w:t>,</w:t>
      </w:r>
      <w:r w:rsidRPr="000F1862">
        <w:t xml:space="preserve"> p. 162</w:t>
      </w:r>
      <w:r w:rsidRPr="00F15B7D">
        <w:t>; Essential Energy, revised regulatory proposal, pp. 207–208; Endeavour Energy, Revised regulatory proposal, p. 190</w:t>
      </w:r>
      <w:r>
        <w:t>.</w:t>
      </w:r>
    </w:p>
  </w:footnote>
  <w:footnote w:id="52">
    <w:p w:rsidR="00223658" w:rsidRDefault="00223658" w:rsidP="00507E65">
      <w:pPr>
        <w:pStyle w:val="FootnoteText"/>
      </w:pPr>
      <w:r>
        <w:rPr>
          <w:rStyle w:val="FootnoteReference"/>
        </w:rPr>
        <w:footnoteRef/>
      </w:r>
      <w:r>
        <w:t xml:space="preserve"> </w:t>
      </w:r>
      <w:r>
        <w:tab/>
        <w:t xml:space="preserve">This issue was raised more substantially by Ergon Energy in submissions to the NSW and ACT draft decisions, and by ActewAGL. This issue is, however, relevant to all service providers. ActewAGL, </w:t>
      </w:r>
      <w:r w:rsidRPr="003F3860">
        <w:rPr>
          <w:i/>
        </w:rPr>
        <w:t>Revised Regulatory Proposal</w:t>
      </w:r>
      <w:r>
        <w:t xml:space="preserve">, pp. 257-267; Ergon Energy, </w:t>
      </w:r>
      <w:r w:rsidRPr="003F3860">
        <w:rPr>
          <w:i/>
        </w:rPr>
        <w:t>Submissions on the draft decisions: NSW and ACT distribution determinations 2014-15 to 2018-19</w:t>
      </w:r>
      <w:r>
        <w:t>, 13 February 2015, pp. 23-27.</w:t>
      </w:r>
    </w:p>
  </w:footnote>
  <w:footnote w:id="53">
    <w:p w:rsidR="00223658" w:rsidRDefault="00223658" w:rsidP="00507E65">
      <w:pPr>
        <w:pStyle w:val="FootnoteText"/>
      </w:pPr>
      <w:r>
        <w:rPr>
          <w:rStyle w:val="FootnoteReference"/>
        </w:rPr>
        <w:footnoteRef/>
      </w:r>
      <w:r>
        <w:t xml:space="preserve"> </w:t>
      </w:r>
      <w:r>
        <w:tab/>
      </w:r>
      <w:r w:rsidRPr="00F15B7D">
        <w:t>Ausgrid, Revised Regulatory Proposal, pp. 151–153; Essential Energy, Revised regulatory proposal, pp. 192–193; Endeavour Energy, Revised regulatory proposal, pp. 179–180.</w:t>
      </w:r>
    </w:p>
  </w:footnote>
  <w:footnote w:id="54">
    <w:p w:rsidR="00223658" w:rsidRDefault="00223658" w:rsidP="00507E65">
      <w:pPr>
        <w:pStyle w:val="FootnoteText"/>
      </w:pPr>
      <w:r>
        <w:rPr>
          <w:rStyle w:val="FootnoteReference"/>
        </w:rPr>
        <w:footnoteRef/>
      </w:r>
      <w:r>
        <w:t xml:space="preserve"> </w:t>
      </w:r>
      <w:r>
        <w:tab/>
      </w:r>
      <w:r w:rsidRPr="00EE63C8">
        <w:t>For example, Ausgrid, Revised Regulatory Proposal, pp. 123-126.</w:t>
      </w:r>
    </w:p>
  </w:footnote>
  <w:footnote w:id="55">
    <w:p w:rsidR="00223658" w:rsidRDefault="00223658" w:rsidP="00507E65">
      <w:pPr>
        <w:pStyle w:val="FootnoteText"/>
      </w:pPr>
      <w:r>
        <w:rPr>
          <w:rStyle w:val="FootnoteReference"/>
        </w:rPr>
        <w:footnoteRef/>
      </w:r>
      <w:r>
        <w:t xml:space="preserve"> </w:t>
      </w:r>
      <w:r>
        <w:tab/>
        <w:t xml:space="preserve">While we have lowered the comparison point to AusNet Services in this decision, the comparison point for the operating environment factors is the customer weight average of the service providers that score equal to or above the benchmark comparison point. </w:t>
      </w:r>
    </w:p>
  </w:footnote>
  <w:footnote w:id="56">
    <w:p w:rsidR="00223658" w:rsidRDefault="00223658" w:rsidP="005B4441">
      <w:pPr>
        <w:pStyle w:val="FootnoteText"/>
      </w:pPr>
      <w:r>
        <w:rPr>
          <w:rStyle w:val="FootnoteReference"/>
        </w:rPr>
        <w:footnoteRef/>
      </w:r>
      <w:r>
        <w:t xml:space="preserve"> </w:t>
      </w:r>
      <w:r>
        <w:tab/>
      </w:r>
      <w:r w:rsidRPr="00507E65">
        <w:t>For example, Endeavour Energy, Attachment 1.08 Statement of Chief Operating Officer; Attachment 1.09 R2A Asset System Failure Safety Risk Assessment; Ausgrid, Attachment 1.02 Statement of Chief Operating Officer; Attachment 1.13 R2A Asset System Failure Safety Risk Assessment.</w:t>
      </w:r>
    </w:p>
  </w:footnote>
  <w:footnote w:id="57">
    <w:p w:rsidR="00223658" w:rsidRDefault="00223658" w:rsidP="00507E65">
      <w:pPr>
        <w:pStyle w:val="FootnoteText"/>
      </w:pPr>
      <w:r>
        <w:rPr>
          <w:rStyle w:val="FootnoteReference"/>
        </w:rPr>
        <w:footnoteRef/>
      </w:r>
      <w:r>
        <w:t xml:space="preserve"> </w:t>
      </w:r>
      <w:r>
        <w:tab/>
      </w:r>
      <w:r w:rsidRPr="00F15B7D">
        <w:t>Ausgrid, Revised regulatory proposal, p. 152; Endeavour Energy, Revised Regulatory Proposal, p. 109 (citing Endeavour - Attachment 1.09, R2A Asset System Failure Safety Risk Assessment at p 4); Essential Energy, Revised regulatory proposal, p. 192.</w:t>
      </w:r>
    </w:p>
  </w:footnote>
  <w:footnote w:id="58">
    <w:p w:rsidR="00223658" w:rsidRDefault="00223658" w:rsidP="00507E65">
      <w:pPr>
        <w:pStyle w:val="FootnoteText"/>
      </w:pPr>
      <w:r>
        <w:rPr>
          <w:rStyle w:val="FootnoteReference"/>
        </w:rPr>
        <w:footnoteRef/>
      </w:r>
      <w:r>
        <w:t xml:space="preserve"> </w:t>
      </w:r>
      <w:r>
        <w:tab/>
      </w:r>
      <w:r w:rsidRPr="00F15B7D">
        <w:t>Ausgrid, Revised Regulatory Proposal p 31; Endeavour Energy, Revised regulatory proposal, p. 34; Essential Energy, Revised regulatory proposal, p. 38.</w:t>
      </w:r>
    </w:p>
  </w:footnote>
  <w:footnote w:id="59">
    <w:p w:rsidR="00223658" w:rsidRDefault="00223658" w:rsidP="00507E65">
      <w:pPr>
        <w:pStyle w:val="FootnoteText"/>
      </w:pPr>
      <w:r>
        <w:rPr>
          <w:rStyle w:val="FootnoteReference"/>
        </w:rPr>
        <w:footnoteRef/>
      </w:r>
      <w:r>
        <w:t xml:space="preserve"> </w:t>
      </w:r>
      <w:r>
        <w:tab/>
      </w:r>
      <w:r w:rsidRPr="00F15B7D">
        <w:t>Endeavour Energy, Revised Regulatory Proposal, p. 9; Ausgrid, Revised Regulatory Proposal, p. 31;</w:t>
      </w:r>
    </w:p>
  </w:footnote>
  <w:footnote w:id="60">
    <w:p w:rsidR="00223658" w:rsidRDefault="00223658" w:rsidP="00507E65">
      <w:pPr>
        <w:pStyle w:val="FootnoteText"/>
      </w:pPr>
      <w:r>
        <w:rPr>
          <w:rStyle w:val="FootnoteReference"/>
        </w:rPr>
        <w:footnoteRef/>
      </w:r>
      <w:r>
        <w:t xml:space="preserve"> </w:t>
      </w:r>
      <w:r>
        <w:tab/>
      </w:r>
      <w:r w:rsidRPr="00F15B7D">
        <w:t>Essential Energy, Revised Regulatory Proposal, p. 194.</w:t>
      </w:r>
    </w:p>
  </w:footnote>
  <w:footnote w:id="61">
    <w:p w:rsidR="00223658" w:rsidRDefault="00223658" w:rsidP="00507E65">
      <w:pPr>
        <w:pStyle w:val="FootnoteText"/>
      </w:pPr>
      <w:r>
        <w:rPr>
          <w:rStyle w:val="FootnoteReference"/>
        </w:rPr>
        <w:footnoteRef/>
      </w:r>
      <w:r>
        <w:t xml:space="preserve"> </w:t>
      </w:r>
      <w:r>
        <w:tab/>
      </w:r>
      <w:r w:rsidRPr="00F15B7D">
        <w:t>Ausgrid, Attachment 1.07, Expert Report of David Newbery, p. 14.</w:t>
      </w:r>
    </w:p>
  </w:footnote>
  <w:footnote w:id="62">
    <w:p w:rsidR="00223658" w:rsidRDefault="00223658" w:rsidP="00507E65">
      <w:pPr>
        <w:pStyle w:val="FootnoteText"/>
      </w:pPr>
      <w:r>
        <w:rPr>
          <w:rStyle w:val="FootnoteReference"/>
        </w:rPr>
        <w:footnoteRef/>
      </w:r>
      <w:r>
        <w:t xml:space="preserve"> </w:t>
      </w:r>
      <w:r>
        <w:tab/>
      </w:r>
      <w:r w:rsidRPr="00F15B7D">
        <w:t>Endeavour - Attachment 1.09, R2A Asset System Failure Safety Risk Assessment, p. 15.</w:t>
      </w:r>
    </w:p>
  </w:footnote>
  <w:footnote w:id="63">
    <w:p w:rsidR="00223658" w:rsidRDefault="00223658" w:rsidP="00507E65">
      <w:pPr>
        <w:pStyle w:val="FootnoteText"/>
      </w:pPr>
      <w:r>
        <w:rPr>
          <w:rStyle w:val="FootnoteReference"/>
        </w:rPr>
        <w:footnoteRef/>
      </w:r>
      <w:r>
        <w:t xml:space="preserve"> </w:t>
      </w:r>
      <w:r>
        <w:tab/>
      </w:r>
      <w:r w:rsidRPr="00F15B7D">
        <w:t>Endeavour - Attachment 1.09, R2A Asset System Failure Safety Risk Assessment, p. 27.</w:t>
      </w:r>
    </w:p>
  </w:footnote>
  <w:footnote w:id="64">
    <w:p w:rsidR="00223658" w:rsidRDefault="00223658" w:rsidP="00507E65">
      <w:pPr>
        <w:pStyle w:val="FootnoteText"/>
      </w:pPr>
      <w:r>
        <w:rPr>
          <w:rStyle w:val="FootnoteReference"/>
        </w:rPr>
        <w:footnoteRef/>
      </w:r>
      <w:r>
        <w:t xml:space="preserve"> </w:t>
      </w:r>
      <w:r>
        <w:tab/>
      </w:r>
      <w:r w:rsidRPr="00563A57">
        <w:rPr>
          <w:rStyle w:val="AERtexthighlight"/>
          <w:shd w:val="clear" w:color="auto" w:fill="auto"/>
        </w:rPr>
        <w:t>Ausgrid, Attachment 1.14 AON Insurance Advice Repor</w:t>
      </w:r>
      <w:r w:rsidRPr="00F15B7D">
        <w:t>t, p. 4.</w:t>
      </w:r>
    </w:p>
  </w:footnote>
  <w:footnote w:id="65">
    <w:p w:rsidR="00223658" w:rsidRDefault="00223658" w:rsidP="00507E65">
      <w:pPr>
        <w:pStyle w:val="FootnoteText"/>
      </w:pPr>
      <w:r>
        <w:rPr>
          <w:rStyle w:val="FootnoteReference"/>
        </w:rPr>
        <w:footnoteRef/>
      </w:r>
      <w:r>
        <w:t xml:space="preserve"> </w:t>
      </w:r>
      <w:r>
        <w:tab/>
        <w:t>AEMC</w:t>
      </w:r>
      <w:r w:rsidRPr="001C0CAD">
        <w:t>, Final Rule Determination: National Electricity Amendment (Economic Regulation of Network Service Providers) Rul</w:t>
      </w:r>
      <w:r>
        <w:t>e 2012, 29 November 2012, p 182</w:t>
      </w:r>
    </w:p>
  </w:footnote>
  <w:footnote w:id="66">
    <w:p w:rsidR="00223658" w:rsidRDefault="00223658" w:rsidP="00507E65">
      <w:pPr>
        <w:pStyle w:val="FootnoteText"/>
      </w:pPr>
      <w:r>
        <w:rPr>
          <w:rStyle w:val="FootnoteReference"/>
        </w:rPr>
        <w:footnoteRef/>
      </w:r>
      <w:r>
        <w:t xml:space="preserve"> </w:t>
      </w:r>
      <w:r>
        <w:tab/>
        <w:t>AEMC</w:t>
      </w:r>
      <w:r w:rsidRPr="001C0CAD">
        <w:t>, Final Rule Determination: National Electricity Amendment (Economic Regulation of Network Service Providers) Rul</w:t>
      </w:r>
      <w:r>
        <w:t>e 2012, 29 November 2012, p 182 - 183</w:t>
      </w:r>
    </w:p>
  </w:footnote>
  <w:footnote w:id="67">
    <w:p w:rsidR="00223658" w:rsidRDefault="00223658" w:rsidP="00507E65">
      <w:pPr>
        <w:pStyle w:val="FootnoteText"/>
      </w:pPr>
      <w:r>
        <w:rPr>
          <w:rStyle w:val="FootnoteReference"/>
        </w:rPr>
        <w:footnoteRef/>
      </w:r>
      <w:r>
        <w:t xml:space="preserve"> </w:t>
      </w:r>
      <w:r>
        <w:tab/>
      </w:r>
      <w:r w:rsidRPr="00003D74">
        <w:t xml:space="preserve">AEMC, Final Rule Determination: National Electricity Amendment (Economic Regulation of Network Service Providers) Rule 2012, 29 November 2012, p </w:t>
      </w:r>
      <w:r>
        <w:t>73</w:t>
      </w:r>
    </w:p>
  </w:footnote>
  <w:footnote w:id="68">
    <w:p w:rsidR="00223658" w:rsidRDefault="00223658" w:rsidP="00507E65">
      <w:pPr>
        <w:pStyle w:val="FootnoteText"/>
      </w:pPr>
      <w:r>
        <w:rPr>
          <w:rStyle w:val="FootnoteReference"/>
        </w:rPr>
        <w:footnoteRef/>
      </w:r>
      <w:r>
        <w:t xml:space="preserve"> </w:t>
      </w:r>
      <w:r>
        <w:tab/>
        <w:t>Essential Energy Revised Regulatory Proposal, p 15</w:t>
      </w:r>
    </w:p>
  </w:footnote>
  <w:footnote w:id="69">
    <w:p w:rsidR="00223658" w:rsidRDefault="00223658" w:rsidP="00507E65">
      <w:pPr>
        <w:pStyle w:val="FootnoteText"/>
      </w:pPr>
      <w:r>
        <w:rPr>
          <w:rStyle w:val="FootnoteReference"/>
        </w:rPr>
        <w:footnoteRef/>
      </w:r>
      <w:r>
        <w:t xml:space="preserve"> </w:t>
      </w:r>
      <w:r>
        <w:tab/>
        <w:t>Ausgrid Attachment 1.01 - Jacobs - Reliability Impact Assessment p 12</w:t>
      </w:r>
    </w:p>
  </w:footnote>
  <w:footnote w:id="70">
    <w:p w:rsidR="00223658" w:rsidRDefault="00223658" w:rsidP="00507E65">
      <w:pPr>
        <w:pStyle w:val="FootnoteText"/>
      </w:pPr>
      <w:r>
        <w:rPr>
          <w:rStyle w:val="FootnoteReference"/>
        </w:rPr>
        <w:footnoteRef/>
      </w:r>
      <w:r>
        <w:t xml:space="preserve"> </w:t>
      </w:r>
      <w:r>
        <w:tab/>
        <w:t>For example, ActewAGL,</w:t>
      </w:r>
      <w:r w:rsidRPr="0059089E">
        <w:t xml:space="preserve"> Submission on the AER's Draft decision ActewAGL distribution determination 2015-16 to 2018-19</w:t>
      </w:r>
      <w:r>
        <w:t>, 13 February 2015,  pp. 11-12; Ausgrid, Revised Regulatory Proposal, pp. 31-33.</w:t>
      </w:r>
    </w:p>
  </w:footnote>
  <w:footnote w:id="71">
    <w:p w:rsidR="00223658" w:rsidRDefault="00223658" w:rsidP="00507E65">
      <w:pPr>
        <w:pStyle w:val="FootnoteText"/>
      </w:pPr>
      <w:r>
        <w:rPr>
          <w:rStyle w:val="FootnoteReference"/>
        </w:rPr>
        <w:footnoteRef/>
      </w:r>
      <w:r>
        <w:t xml:space="preserve"> </w:t>
      </w:r>
      <w:r>
        <w:tab/>
        <w:t xml:space="preserve">Letter from Ms Claudia Huertas, Director of Operations and Programs, </w:t>
      </w:r>
      <w:r w:rsidRPr="0098494A">
        <w:t>Department of Trade &amp; Investment, Resources and Energy</w:t>
      </w:r>
      <w:r>
        <w:t xml:space="preserve"> to AER dated 20 March 2015. </w:t>
      </w:r>
    </w:p>
  </w:footnote>
  <w:footnote w:id="72">
    <w:p w:rsidR="00223658" w:rsidRDefault="00223658" w:rsidP="00507E65">
      <w:pPr>
        <w:pStyle w:val="FootnoteText"/>
      </w:pPr>
      <w:r>
        <w:rPr>
          <w:rStyle w:val="FootnoteReference"/>
        </w:rPr>
        <w:footnoteRef/>
      </w:r>
      <w:r>
        <w:t xml:space="preserve"> </w:t>
      </w:r>
      <w:r>
        <w:tab/>
        <w:t>Letter from M Tooma of Norton Rose Fulbright to Mr Peter Holden of ActewAGL, 6 January 2015.</w:t>
      </w:r>
    </w:p>
  </w:footnote>
  <w:footnote w:id="73">
    <w:p w:rsidR="00223658" w:rsidRDefault="00223658" w:rsidP="00507E65">
      <w:pPr>
        <w:pStyle w:val="FootnoteText"/>
      </w:pPr>
      <w:r>
        <w:rPr>
          <w:rStyle w:val="FootnoteReference"/>
        </w:rPr>
        <w:footnoteRef/>
      </w:r>
      <w:r>
        <w:t xml:space="preserve"> </w:t>
      </w:r>
      <w:r>
        <w:tab/>
        <w:t>Ausgrid, Revised Regulatory Proposal,  p. 32, citing R2A report.</w:t>
      </w:r>
    </w:p>
  </w:footnote>
  <w:footnote w:id="74">
    <w:p w:rsidR="00223658" w:rsidRDefault="00223658" w:rsidP="00507E65">
      <w:pPr>
        <w:pStyle w:val="FootnoteText"/>
      </w:pPr>
      <w:r>
        <w:rPr>
          <w:rStyle w:val="FootnoteReference"/>
        </w:rPr>
        <w:footnoteRef/>
      </w:r>
      <w:r>
        <w:t xml:space="preserve"> </w:t>
      </w:r>
      <w:r>
        <w:tab/>
        <w:t>Ausgrid, Revised Regulatory Proposal, attachment 1.02.</w:t>
      </w:r>
    </w:p>
  </w:footnote>
  <w:footnote w:id="75">
    <w:p w:rsidR="00223658" w:rsidRDefault="00223658" w:rsidP="00507E65">
      <w:pPr>
        <w:pStyle w:val="FootnoteText"/>
      </w:pPr>
      <w:r>
        <w:rPr>
          <w:rStyle w:val="FootnoteReference"/>
        </w:rPr>
        <w:footnoteRef/>
      </w:r>
      <w:r>
        <w:t xml:space="preserve"> </w:t>
      </w:r>
      <w:r>
        <w:tab/>
      </w:r>
      <w:r w:rsidRPr="0032584F">
        <w:t xml:space="preserve">Endeavour, </w:t>
      </w:r>
      <w:r w:rsidRPr="00F15B7D">
        <w:t>Revised Regulatory Proposal</w:t>
      </w:r>
      <w:r>
        <w:t>,</w:t>
      </w:r>
      <w:r w:rsidRPr="00F15B7D">
        <w:t xml:space="preserve"> </w:t>
      </w:r>
      <w:r w:rsidRPr="0032584F">
        <w:t>Attachment 1.09 -  R2A Endeavour Energy Asset/System Failure Safety Risk</w:t>
      </w:r>
      <w:r>
        <w:t xml:space="preserve"> Assessment January 2015, page 22-24</w:t>
      </w:r>
    </w:p>
  </w:footnote>
  <w:footnote w:id="76">
    <w:p w:rsidR="00223658" w:rsidRDefault="00223658" w:rsidP="00507E65">
      <w:pPr>
        <w:pStyle w:val="FootnoteText"/>
      </w:pPr>
      <w:r>
        <w:rPr>
          <w:rStyle w:val="FootnoteReference"/>
        </w:rPr>
        <w:footnoteRef/>
      </w:r>
      <w:r>
        <w:t xml:space="preserve"> </w:t>
      </w:r>
      <w:r>
        <w:tab/>
        <w:t>Ausgrid Revised Regulatory Proposal pp 33-34</w:t>
      </w:r>
      <w:r w:rsidRPr="00F15B7D">
        <w:t>; Endeavour Energy, Revised regulatory proposal, pp. 37–38; Essential Energy, Revised regulatory proposal, p. 41.</w:t>
      </w:r>
    </w:p>
  </w:footnote>
  <w:footnote w:id="77">
    <w:p w:rsidR="00223658" w:rsidRDefault="00223658" w:rsidP="00507E65">
      <w:pPr>
        <w:pStyle w:val="FootnoteText"/>
      </w:pPr>
      <w:r>
        <w:rPr>
          <w:rStyle w:val="FootnoteReference"/>
        </w:rPr>
        <w:footnoteRef/>
      </w:r>
      <w:r>
        <w:t xml:space="preserve"> </w:t>
      </w:r>
      <w:r>
        <w:tab/>
        <w:t xml:space="preserve">AON </w:t>
      </w:r>
      <w:r w:rsidRPr="003F4616">
        <w:t>Insurance costs an</w:t>
      </w:r>
      <w:r>
        <w:t xml:space="preserve">d coverage impacts arising from </w:t>
      </w:r>
      <w:r w:rsidRPr="003F4616">
        <w:t>cuts in vegetation management expenditure for the</w:t>
      </w:r>
      <w:r>
        <w:t xml:space="preserve"> </w:t>
      </w:r>
      <w:r w:rsidRPr="003F4616">
        <w:t>2014-2019 regulatory period</w:t>
      </w:r>
      <w:r>
        <w:t>, 13 January 2015.</w:t>
      </w:r>
    </w:p>
  </w:footnote>
  <w:footnote w:id="78">
    <w:p w:rsidR="00223658" w:rsidRDefault="00223658" w:rsidP="00507E65">
      <w:pPr>
        <w:pStyle w:val="FootnoteText"/>
      </w:pPr>
      <w:r>
        <w:rPr>
          <w:rStyle w:val="FootnoteReference"/>
        </w:rPr>
        <w:footnoteRef/>
      </w:r>
      <w:r>
        <w:t xml:space="preserve"> </w:t>
      </w:r>
      <w:r>
        <w:tab/>
        <w:t xml:space="preserve">AON </w:t>
      </w:r>
      <w:r w:rsidRPr="003F4616">
        <w:t>Insurance costs an</w:t>
      </w:r>
      <w:r>
        <w:t xml:space="preserve">d coverage impacts arising from </w:t>
      </w:r>
      <w:r w:rsidRPr="003F4616">
        <w:t>cuts in vegetation management expenditure for the</w:t>
      </w:r>
      <w:r>
        <w:t xml:space="preserve"> </w:t>
      </w:r>
      <w:r w:rsidRPr="003F4616">
        <w:t>2014-2019 regulatory period</w:t>
      </w:r>
      <w:r>
        <w:t>, 13 January 2015, p 4.</w:t>
      </w:r>
    </w:p>
  </w:footnote>
  <w:footnote w:id="79">
    <w:p w:rsidR="00223658" w:rsidRDefault="00223658" w:rsidP="00507E65">
      <w:pPr>
        <w:pStyle w:val="FootnoteText"/>
      </w:pPr>
      <w:r>
        <w:rPr>
          <w:rStyle w:val="FootnoteReference"/>
        </w:rPr>
        <w:footnoteRef/>
      </w:r>
      <w:r>
        <w:t xml:space="preserve"> </w:t>
      </w:r>
      <w:r>
        <w:tab/>
        <w:t>Essential Energy Revised Regulatory Proposal, p 15</w:t>
      </w:r>
    </w:p>
  </w:footnote>
  <w:footnote w:id="80">
    <w:p w:rsidR="00223658" w:rsidRDefault="00223658" w:rsidP="00507E65">
      <w:pPr>
        <w:pStyle w:val="FootnoteText"/>
      </w:pPr>
      <w:r>
        <w:rPr>
          <w:rStyle w:val="FootnoteReference"/>
        </w:rPr>
        <w:footnoteRef/>
      </w:r>
      <w:r>
        <w:t xml:space="preserve"> </w:t>
      </w:r>
      <w:r>
        <w:tab/>
        <w:t>Ausgrid Attachment 1.01 - Jacobs - Reliability Impact Assessment, p 12</w:t>
      </w:r>
    </w:p>
  </w:footnote>
  <w:footnote w:id="81">
    <w:p w:rsidR="00223658" w:rsidRDefault="00223658" w:rsidP="00507E65">
      <w:pPr>
        <w:pStyle w:val="FootnoteText"/>
      </w:pPr>
      <w:r>
        <w:rPr>
          <w:rStyle w:val="FootnoteReference"/>
        </w:rPr>
        <w:footnoteRef/>
      </w:r>
      <w:r>
        <w:t xml:space="preserve"> </w:t>
      </w:r>
      <w:r>
        <w:tab/>
        <w:t>Ausgrid, Revised Regulatory Proposal, pp. 153, 163-164</w:t>
      </w:r>
      <w:r w:rsidRPr="00F15B7D">
        <w:t>; Essential Energy, Revised regulatory proposal, pp. 213–214; Endeavour Energy, Revised regulatory proposal, p. 195.</w:t>
      </w:r>
    </w:p>
  </w:footnote>
  <w:footnote w:id="82">
    <w:p w:rsidR="00223658" w:rsidRDefault="00223658" w:rsidP="00507E65">
      <w:pPr>
        <w:pStyle w:val="FootnoteText"/>
      </w:pPr>
      <w:r>
        <w:rPr>
          <w:rStyle w:val="FootnoteReference"/>
        </w:rPr>
        <w:footnoteRef/>
      </w:r>
      <w:r>
        <w:t xml:space="preserve"> </w:t>
      </w:r>
      <w:r>
        <w:tab/>
      </w:r>
      <w:r w:rsidRPr="000F1862">
        <w:t xml:space="preserve">Ausgrid, </w:t>
      </w:r>
      <w:r w:rsidRPr="004C3754">
        <w:t xml:space="preserve">Revised Regulatory Proposal, </w:t>
      </w:r>
      <w:r w:rsidRPr="000F1862">
        <w:t>p. 162</w:t>
      </w:r>
      <w:r w:rsidRPr="00F15B7D">
        <w:t>; Essential Energy, revised regulatory proposal, pp. 207–208; Endeavour Energy, Revised regulatory proposal, p. 190.</w:t>
      </w:r>
    </w:p>
  </w:footnote>
  <w:footnote w:id="83">
    <w:p w:rsidR="00223658" w:rsidRDefault="00223658" w:rsidP="00507E65">
      <w:pPr>
        <w:pStyle w:val="FootnoteText"/>
      </w:pPr>
      <w:r>
        <w:rPr>
          <w:rStyle w:val="FootnoteReference"/>
        </w:rPr>
        <w:footnoteRef/>
      </w:r>
      <w:r>
        <w:t xml:space="preserve"> </w:t>
      </w:r>
      <w:r>
        <w:tab/>
      </w:r>
      <w:r w:rsidRPr="004C3754">
        <w:t>This issue was raised more substantially by Ergon Energy in submissions to the NSW and ACT draft decisions, and by ActewAGL. This issue is, however, relevant to all service providers. ActewAGL, Revised Regulatory Proposal, pp. 257-267; Ergon Energy, Submissions on the draft decisions: NSW and ACT distribution determinations 2014-15 to 2018-19, 13 February 2015, pp. 23-27.</w:t>
      </w:r>
    </w:p>
  </w:footnote>
  <w:footnote w:id="84">
    <w:p w:rsidR="00223658" w:rsidRDefault="00223658" w:rsidP="00507E65">
      <w:pPr>
        <w:pStyle w:val="FootnoteText"/>
      </w:pPr>
      <w:r>
        <w:rPr>
          <w:rStyle w:val="FootnoteReference"/>
        </w:rPr>
        <w:footnoteRef/>
      </w:r>
      <w:r>
        <w:t xml:space="preserve"> </w:t>
      </w:r>
      <w:r>
        <w:tab/>
        <w:t>NER, clause 6.5.6(c)(3).</w:t>
      </w:r>
    </w:p>
  </w:footnote>
  <w:footnote w:id="85">
    <w:p w:rsidR="00223658" w:rsidRDefault="00223658" w:rsidP="00507E65">
      <w:pPr>
        <w:pStyle w:val="FootnoteText"/>
      </w:pPr>
      <w:r>
        <w:rPr>
          <w:rStyle w:val="FootnoteReference"/>
        </w:rPr>
        <w:footnoteRef/>
      </w:r>
      <w:r>
        <w:t xml:space="preserve"> </w:t>
      </w:r>
      <w:r>
        <w:tab/>
        <w:t>To this end, our approach is to apply a 'rate of change' to base opex that incorporates such factors including the demand for electricity, input prices and output growth.</w:t>
      </w:r>
    </w:p>
  </w:footnote>
  <w:footnote w:id="86">
    <w:p w:rsidR="00223658" w:rsidRDefault="00223658" w:rsidP="00507E65">
      <w:pPr>
        <w:pStyle w:val="FootnoteText"/>
      </w:pPr>
      <w:r>
        <w:rPr>
          <w:rStyle w:val="FootnoteReference"/>
        </w:rPr>
        <w:footnoteRef/>
      </w:r>
      <w:r>
        <w:t xml:space="preserve"> </w:t>
      </w:r>
      <w:r>
        <w:tab/>
      </w:r>
      <w:r w:rsidRPr="00D64E84">
        <w:t xml:space="preserve">Ergon Energy, </w:t>
      </w:r>
      <w:r w:rsidRPr="002C5E2F">
        <w:rPr>
          <w:rStyle w:val="AERtextitalic"/>
        </w:rPr>
        <w:t>Submission on the Queensland Electricity Distribution Regulatory Proposals 2015–16 to 2019–20 Issues Paper</w:t>
      </w:r>
      <w:r w:rsidRPr="00D64E84">
        <w:t>, 30 January 2015, pp. 10-14.</w:t>
      </w:r>
    </w:p>
  </w:footnote>
  <w:footnote w:id="87">
    <w:p w:rsidR="00223658" w:rsidRDefault="00223658" w:rsidP="00507E65">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88">
    <w:p w:rsidR="00223658" w:rsidRDefault="00223658" w:rsidP="00507E65">
      <w:pPr>
        <w:pStyle w:val="FootnoteText"/>
      </w:pPr>
      <w:r>
        <w:rPr>
          <w:rStyle w:val="FootnoteReference"/>
        </w:rPr>
        <w:footnoteRef/>
      </w:r>
      <w:r>
        <w:t xml:space="preserve"> </w:t>
      </w:r>
      <w:r>
        <w:tab/>
        <w:t xml:space="preserve">Ausgrid, </w:t>
      </w:r>
      <w:r w:rsidRPr="00BB291B">
        <w:t xml:space="preserve">Revised Regulatory Proposal, </w:t>
      </w:r>
      <w:r>
        <w:t>p. 162</w:t>
      </w:r>
      <w:r w:rsidRPr="00F15B7D">
        <w:t>; Essential Energy, Revised regulatory proposal, p. 208; Endeavour Energy, Revised regulatory proposal, p. 190.</w:t>
      </w:r>
    </w:p>
  </w:footnote>
  <w:footnote w:id="89">
    <w:p w:rsidR="00223658" w:rsidRDefault="00223658" w:rsidP="00507E65">
      <w:pPr>
        <w:pStyle w:val="FootnoteText"/>
      </w:pPr>
      <w:r>
        <w:rPr>
          <w:rStyle w:val="FootnoteReference"/>
        </w:rPr>
        <w:footnoteRef/>
      </w:r>
      <w:r>
        <w:t xml:space="preserve"> </w:t>
      </w:r>
      <w:r>
        <w:tab/>
        <w:t xml:space="preserve">Ausgrid, </w:t>
      </w:r>
      <w:r w:rsidRPr="00BB291B">
        <w:t xml:space="preserve">Revised Regulatory Proposal, </w:t>
      </w:r>
      <w:r>
        <w:t>p. 162</w:t>
      </w:r>
      <w:r w:rsidRPr="00F15B7D">
        <w:t>; Essential Energy, Revised regulatory proposal, p. 208; Endeavour Energy, Revised regulatory proposal, p. 190.</w:t>
      </w:r>
    </w:p>
  </w:footnote>
  <w:footnote w:id="90">
    <w:p w:rsidR="00223658" w:rsidRDefault="00223658" w:rsidP="00507E65">
      <w:pPr>
        <w:pStyle w:val="FootnoteText"/>
      </w:pPr>
      <w:r>
        <w:rPr>
          <w:rStyle w:val="FootnoteReference"/>
        </w:rPr>
        <w:footnoteRef/>
      </w:r>
      <w:r>
        <w:t xml:space="preserve"> </w:t>
      </w:r>
      <w:r>
        <w:tab/>
      </w:r>
      <w:r w:rsidRPr="00F15B7D">
        <w:t>Ausgrid, Revised regulatory proposal, p. 5; Essential Energy, Revised Regulatory Proposal, pp. 207-208; Endeavour Energy, Revised regulatory proposal, p. 190.</w:t>
      </w:r>
    </w:p>
  </w:footnote>
  <w:footnote w:id="91">
    <w:p w:rsidR="00223658" w:rsidRDefault="00223658" w:rsidP="00507E65">
      <w:pPr>
        <w:pStyle w:val="FootnoteText"/>
      </w:pPr>
      <w:r>
        <w:rPr>
          <w:rStyle w:val="FootnoteReference"/>
        </w:rPr>
        <w:footnoteRef/>
      </w:r>
      <w:r>
        <w:t xml:space="preserve"> </w:t>
      </w:r>
      <w:r>
        <w:tab/>
      </w:r>
      <w:r w:rsidRPr="00F15B7D">
        <w:t>Ausgrid, Revised regulatory proposal, p. 12; Essential Energy, Revised Regulatory Proposal, p. 15; Endeavour Energy, Revised regulatory proposal, p. 11.</w:t>
      </w:r>
    </w:p>
  </w:footnote>
  <w:footnote w:id="92">
    <w:p w:rsidR="00223658" w:rsidRDefault="00223658" w:rsidP="00507E65">
      <w:pPr>
        <w:pStyle w:val="FootnoteText"/>
      </w:pPr>
      <w:r>
        <w:rPr>
          <w:rStyle w:val="FootnoteReference"/>
        </w:rPr>
        <w:footnoteRef/>
      </w:r>
      <w:r>
        <w:t xml:space="preserve"> </w:t>
      </w:r>
      <w:r>
        <w:tab/>
        <w:t xml:space="preserve">Deloitte Access Economics, </w:t>
      </w:r>
      <w:r w:rsidRPr="0066009B">
        <w:t>NSW Distribution Network Service Providers Labour Analysis</w:t>
      </w:r>
      <w:r>
        <w:t>–Addendum, April 2015, p. 31.</w:t>
      </w:r>
    </w:p>
  </w:footnote>
  <w:footnote w:id="93">
    <w:p w:rsidR="00223658" w:rsidRDefault="00223658" w:rsidP="00507E65">
      <w:pPr>
        <w:pStyle w:val="FootnoteText"/>
      </w:pPr>
      <w:r>
        <w:rPr>
          <w:rStyle w:val="FootnoteReference"/>
        </w:rPr>
        <w:footnoteRef/>
      </w:r>
      <w:r>
        <w:t xml:space="preserve"> </w:t>
      </w:r>
      <w:r>
        <w:tab/>
        <w:t xml:space="preserve">Deloitte Access Economics, </w:t>
      </w:r>
      <w:r w:rsidRPr="0066009B">
        <w:t>NSW Distribution Network Service Providers Labour Analysis</w:t>
      </w:r>
      <w:r>
        <w:t>–Addendum, April 2015, p. 31.</w:t>
      </w:r>
    </w:p>
  </w:footnote>
  <w:footnote w:id="94">
    <w:p w:rsidR="00223658" w:rsidRDefault="00223658" w:rsidP="00507E65">
      <w:pPr>
        <w:pStyle w:val="FootnoteText"/>
      </w:pPr>
      <w:r>
        <w:rPr>
          <w:rStyle w:val="FootnoteReference"/>
        </w:rPr>
        <w:footnoteRef/>
      </w:r>
      <w:r>
        <w:t xml:space="preserve"> </w:t>
      </w:r>
      <w:r>
        <w:tab/>
        <w:t xml:space="preserve">For example, </w:t>
      </w:r>
      <w:r w:rsidRPr="00D64E84">
        <w:t>Ergon Energy, Submission on the Queensland Electricity Distribution Regulatory Proposals 2015–16 to 2019–20 Issues Paper, 30 January 2015, pp. 10-14</w:t>
      </w:r>
      <w:r>
        <w:t>; ActewAGL, Revised Regulatory Proposal, pp. 257-267; Ergon Energy, Submissions on the draft decisions: NSW and ACT distribution determinations 2014-15 to 2018-19, 13 February 2015, pp. 23-27.</w:t>
      </w:r>
    </w:p>
  </w:footnote>
  <w:footnote w:id="95">
    <w:p w:rsidR="00223658" w:rsidRDefault="00223658" w:rsidP="00507E65">
      <w:pPr>
        <w:pStyle w:val="FootnoteText"/>
      </w:pPr>
      <w:r>
        <w:rPr>
          <w:rStyle w:val="FootnoteReference"/>
        </w:rPr>
        <w:footnoteRef/>
      </w:r>
      <w:r>
        <w:t xml:space="preserve"> </w:t>
      </w:r>
      <w:r>
        <w:tab/>
      </w:r>
      <w:r w:rsidRPr="00D64E84">
        <w:t>Ergon Energy, Submission on the Queensland Electricity Distribution Regulatory Proposals 2015–16 to 2019–20 Issues Paper, 30 January 2015, pp. 10-14</w:t>
      </w:r>
      <w:r>
        <w:t>; ActewAGL, Revised Regulatory Proposal, pp. 257-267.</w:t>
      </w:r>
    </w:p>
  </w:footnote>
  <w:footnote w:id="96">
    <w:p w:rsidR="00223658" w:rsidRDefault="00223658" w:rsidP="00507E65">
      <w:pPr>
        <w:pStyle w:val="FootnoteText"/>
      </w:pPr>
      <w:r>
        <w:rPr>
          <w:rStyle w:val="FootnoteReference"/>
        </w:rPr>
        <w:footnoteRef/>
      </w:r>
      <w:r>
        <w:t xml:space="preserve"> </w:t>
      </w:r>
      <w:r>
        <w:tab/>
      </w:r>
      <w:r w:rsidRPr="00F15B7D">
        <w:t>Ausgrid, Revised Regulatory Proposal, p. 12; Essential Energy, Revised regulatory proposal, p. 16; Endeavour Energy, Revised regulatory proposal, p. 12.</w:t>
      </w:r>
    </w:p>
  </w:footnote>
  <w:footnote w:id="97">
    <w:p w:rsidR="00223658" w:rsidRDefault="00223658" w:rsidP="00507E65">
      <w:pPr>
        <w:pStyle w:val="FootnoteText"/>
      </w:pPr>
      <w:r>
        <w:rPr>
          <w:rStyle w:val="FootnoteReference"/>
        </w:rPr>
        <w:footnoteRef/>
      </w:r>
      <w:r>
        <w:t xml:space="preserve"> </w:t>
      </w:r>
      <w:r>
        <w:tab/>
        <w:t xml:space="preserve">Ausgrid, </w:t>
      </w:r>
      <w:r w:rsidRPr="008F705A">
        <w:t xml:space="preserve">Revised Regulatory Proposal, </w:t>
      </w:r>
      <w:r>
        <w:t xml:space="preserve">p. 164; </w:t>
      </w:r>
      <w:r w:rsidRPr="00330381">
        <w:t>Networks NSW, NSW DNSPs' submission on the AER's draft determinations, 13 February 2015, pp. 6-9</w:t>
      </w:r>
      <w:r>
        <w:t>.</w:t>
      </w:r>
    </w:p>
  </w:footnote>
  <w:footnote w:id="98">
    <w:p w:rsidR="00223658" w:rsidRDefault="00223658" w:rsidP="00507E65">
      <w:pPr>
        <w:pStyle w:val="FootnoteText"/>
      </w:pPr>
      <w:r>
        <w:rPr>
          <w:rStyle w:val="FootnoteReference"/>
        </w:rPr>
        <w:footnoteRef/>
      </w:r>
      <w:r>
        <w:t xml:space="preserve"> </w:t>
      </w:r>
      <w:r>
        <w:tab/>
        <w:t>Origin Energy, Submission to AER draft determination for NSW electricity service providers, 13 February 2015, pp. 7-8; EnergyAustralia, Submission  to Australian Energy Regulator - Determination of allowable revenue for NSW electricity distribution networks, 13 February 2015, p. 6; CCP, Response t</w:t>
      </w:r>
      <w:r w:rsidRPr="000910E4">
        <w:t xml:space="preserve">o </w:t>
      </w:r>
      <w:r>
        <w:t>AER</w:t>
      </w:r>
      <w:r w:rsidRPr="000910E4">
        <w:t xml:space="preserve"> Draft Determination Re: Actew</w:t>
      </w:r>
      <w:r>
        <w:t>AGL</w:t>
      </w:r>
      <w:r w:rsidRPr="000910E4">
        <w:t xml:space="preserve"> Regulatory Proposa</w:t>
      </w:r>
      <w:r>
        <w:t>l, 2</w:t>
      </w:r>
      <w:r w:rsidRPr="000910E4">
        <w:t>014-19</w:t>
      </w:r>
      <w:r>
        <w:t xml:space="preserve">; p. 10, 35-36; CCP, </w:t>
      </w:r>
      <w:r w:rsidRPr="009316A6">
        <w:t>Submission on NSW DNSPs regulatory proposals 2014-19</w:t>
      </w:r>
      <w:r>
        <w:t>,</w:t>
      </w:r>
      <w:r w:rsidRPr="009316A6">
        <w:t>15 August 2014</w:t>
      </w:r>
      <w:r>
        <w:t>, p. 3; CCP, Submission to AER–</w:t>
      </w:r>
      <w:r w:rsidRPr="009316A6">
        <w:t xml:space="preserve"> Responding to NSW draft determinations and revised proposals from electricity distribution networks</w:t>
      </w:r>
      <w:r>
        <w:t>, February 2015, p. 55; EUAA, Submission to Energex Revenue Proposal (2015/16 to 2019/20), 30 January 2015, pp, 22-29; EUAA, Submission to Ergon Energy (Ergon) Revenue Proposal (2015/16 to 2019/20), 30 January 2015, pp, 22-29; QCOSS, Understanding the long term interests of electricity consumers – Submission to the AER’s Queensland electricity distribution determination 2015-2020, pp. 57-69; Far North Queensland Regional Organisation of Councils, AER Issues Paper - Queensland Electricity Distribution Regulatory Proposals 2015-16 to 2019-20, 30 January 2015, pp. 3-4; Australian PV Institute, APVI Submission to the AER on the Issues Paper on Ergon’s and Energex’s Network’s Regulatory Proposals, December 2014, pp. 5-6.</w:t>
      </w:r>
    </w:p>
  </w:footnote>
  <w:footnote w:id="99">
    <w:p w:rsidR="00223658" w:rsidRDefault="00223658" w:rsidP="00507E65">
      <w:pPr>
        <w:pStyle w:val="FootnoteText"/>
      </w:pPr>
      <w:r>
        <w:rPr>
          <w:rStyle w:val="FootnoteReference"/>
        </w:rPr>
        <w:footnoteRef/>
      </w:r>
      <w:r>
        <w:t xml:space="preserve"> </w:t>
      </w:r>
      <w:r>
        <w:tab/>
        <w:t>Young and McClelland, ActewAGL Distribution - AER draft decision on operating expenditure for 2015 to 2019 regulatory control period - memorandum of advice, 13 February 2015, paras 95-105.</w:t>
      </w:r>
    </w:p>
  </w:footnote>
  <w:footnote w:id="100">
    <w:p w:rsidR="00223658" w:rsidRDefault="00223658" w:rsidP="00507E65">
      <w:pPr>
        <w:pStyle w:val="FootnoteText"/>
      </w:pPr>
      <w:r>
        <w:rPr>
          <w:rStyle w:val="FootnoteReference"/>
        </w:rPr>
        <w:footnoteRef/>
      </w:r>
      <w:r>
        <w:t xml:space="preserve"> </w:t>
      </w:r>
      <w:r>
        <w:tab/>
        <w:t>Young and McClelland, ActewAGL Distribution - AER draft decision on operating expenditure for 2015 to 2019 regulatory control period - memorandum of advice, 13 February 2015, paras 68-94.</w:t>
      </w:r>
    </w:p>
  </w:footnote>
  <w:footnote w:id="101">
    <w:p w:rsidR="00223658" w:rsidRDefault="00223658" w:rsidP="00507E65">
      <w:pPr>
        <w:pStyle w:val="FootnoteText"/>
      </w:pPr>
      <w:r>
        <w:rPr>
          <w:rStyle w:val="FootnoteReference"/>
        </w:rPr>
        <w:footnoteRef/>
      </w:r>
      <w:r>
        <w:t xml:space="preserve"> </w:t>
      </w:r>
      <w:r>
        <w:tab/>
      </w:r>
      <w:r w:rsidRPr="00770E9E">
        <w:t>Second reading speech, National Electricity (South Australia) (National Electricity Law—Miscellaneous Amendments) Amendment Bill 2007, p 6.</w:t>
      </w:r>
    </w:p>
  </w:footnote>
  <w:footnote w:id="102">
    <w:p w:rsidR="00223658" w:rsidRDefault="00223658" w:rsidP="00C95865">
      <w:pPr>
        <w:pStyle w:val="FootnoteText"/>
      </w:pPr>
      <w:r>
        <w:rPr>
          <w:rStyle w:val="FootnoteReference"/>
        </w:rPr>
        <w:footnoteRef/>
      </w:r>
      <w:r>
        <w:t xml:space="preserve"> </w:t>
      </w:r>
      <w:r>
        <w:tab/>
        <w:t>Ausgrid, Revised Regulatory Proposal, Attachment 1.07; Endeavour Energy, Revised Regulatory Proposal, Attachment 1.06; Essential Energy, Revised Regulatory Proposal, Attachment 1.6.</w:t>
      </w:r>
    </w:p>
  </w:footnote>
  <w:footnote w:id="103">
    <w:p w:rsidR="00223658" w:rsidRDefault="00223658" w:rsidP="00C95865">
      <w:pPr>
        <w:pStyle w:val="FootnoteText"/>
      </w:pPr>
      <w:r>
        <w:rPr>
          <w:rStyle w:val="FootnoteReference"/>
        </w:rPr>
        <w:footnoteRef/>
      </w:r>
      <w:r>
        <w:t xml:space="preserve"> </w:t>
      </w:r>
      <w:r>
        <w:tab/>
        <w:t xml:space="preserve">CEPA, </w:t>
      </w:r>
      <w:r w:rsidR="00555D3B" w:rsidRPr="00555D3B">
        <w:t>Benchmarking and setting efficiency targets for the Australian DNSPs, (ActewAGL)</w:t>
      </w:r>
      <w:r>
        <w:t>, 19 January 2015,</w:t>
      </w:r>
      <w:r w:rsidRPr="00FF657E">
        <w:t xml:space="preserve"> </w:t>
      </w:r>
      <w:r>
        <w:t xml:space="preserve">p. 55; </w:t>
      </w:r>
      <w:r w:rsidR="00555D3B">
        <w:t>Ashurst</w:t>
      </w:r>
      <w:r>
        <w:t xml:space="preserve">, </w:t>
      </w:r>
      <w:r w:rsidRPr="00FF657E">
        <w:t>Networks NSW–AER draft determination</w:t>
      </w:r>
      <w:r>
        <w:t>–</w:t>
      </w:r>
      <w:r w:rsidRPr="00FF657E">
        <w:t>Ashurst Australia</w:t>
      </w:r>
      <w:r>
        <w:t>, 1</w:t>
      </w:r>
      <w:r w:rsidRPr="00FF657E">
        <w:t>6 January 2015</w:t>
      </w:r>
      <w:r>
        <w:t>,</w:t>
      </w:r>
      <w:r w:rsidRPr="00FF657E">
        <w:t xml:space="preserve"> </w:t>
      </w:r>
      <w:r>
        <w:t>pp. 14-15.</w:t>
      </w:r>
    </w:p>
  </w:footnote>
  <w:footnote w:id="104">
    <w:p w:rsidR="00223658" w:rsidRDefault="00223658" w:rsidP="00C95865">
      <w:pPr>
        <w:pStyle w:val="FootnoteText"/>
      </w:pPr>
      <w:r>
        <w:rPr>
          <w:rStyle w:val="FootnoteReference"/>
        </w:rPr>
        <w:footnoteRef/>
      </w:r>
      <w:r>
        <w:t xml:space="preserve"> </w:t>
      </w:r>
      <w:r>
        <w:tab/>
        <w:t xml:space="preserve">CEPA, </w:t>
      </w:r>
      <w:r w:rsidR="00555D3B" w:rsidRPr="00555D3B">
        <w:t>Benchmarking and setting efficiency targets for the Australian DNSPs, (ActewAGL)</w:t>
      </w:r>
      <w:r>
        <w:t>, 19 January 2015, pp. ix-x.</w:t>
      </w:r>
    </w:p>
  </w:footnote>
  <w:footnote w:id="105">
    <w:p w:rsidR="00223658" w:rsidRDefault="00223658" w:rsidP="00C95865">
      <w:pPr>
        <w:pStyle w:val="FootnoteText"/>
      </w:pPr>
      <w:r>
        <w:rPr>
          <w:rStyle w:val="FootnoteReference"/>
        </w:rPr>
        <w:footnoteRef/>
      </w:r>
      <w:r>
        <w:t xml:space="preserve"> </w:t>
      </w:r>
      <w:r>
        <w:tab/>
        <w:t>For example, Ausgrid, Revised Regulatory Proposal, pp. 37-38; Endeavour Energy, Revised Regulatory Proposal, pp. 41-43, 195; Essential Energy, Revised Regulatory Proposal, pp. 44-46, 213-214.</w:t>
      </w:r>
    </w:p>
  </w:footnote>
  <w:footnote w:id="106">
    <w:p w:rsidR="00223658" w:rsidRDefault="00223658" w:rsidP="000B6E4A">
      <w:pPr>
        <w:pStyle w:val="FootnoteText"/>
      </w:pPr>
      <w:r>
        <w:rPr>
          <w:rStyle w:val="FootnoteReference"/>
        </w:rPr>
        <w:footnoteRef/>
      </w:r>
      <w:r>
        <w:t xml:space="preserve"> </w:t>
      </w:r>
      <w:r>
        <w:tab/>
        <w:t xml:space="preserve">For example, Essential: </w:t>
      </w:r>
      <w:r w:rsidRPr="00B40498">
        <w:t>Attachment 1.1 [CONFIDENTIAL] Statement of Gary Humphreys Chief Operating Officer Essential Energy</w:t>
      </w:r>
      <w:r>
        <w:t xml:space="preserve">; </w:t>
      </w:r>
      <w:r w:rsidRPr="00B40498">
        <w:t>Attachment 1.2 Asset System Failure Safety Risk Assessment</w:t>
      </w:r>
      <w:r>
        <w:t xml:space="preserve">; </w:t>
      </w:r>
      <w:r w:rsidRPr="00B40498">
        <w:t>Attachment 1.9 Potential AER Impacts</w:t>
      </w:r>
    </w:p>
  </w:footnote>
  <w:footnote w:id="107">
    <w:p w:rsidR="00223658" w:rsidRDefault="00223658" w:rsidP="00E75C6B">
      <w:pPr>
        <w:pStyle w:val="FootnoteText"/>
      </w:pPr>
      <w:r>
        <w:rPr>
          <w:rStyle w:val="FootnoteReference"/>
        </w:rPr>
        <w:footnoteRef/>
      </w:r>
      <w:r>
        <w:t xml:space="preserve"> </w:t>
      </w:r>
      <w:r>
        <w:tab/>
        <w:t>NER, clause 6.5.6(e).</w:t>
      </w:r>
    </w:p>
  </w:footnote>
  <w:footnote w:id="108">
    <w:p w:rsidR="00223658" w:rsidRDefault="00223658" w:rsidP="00E75C6B">
      <w:pPr>
        <w:pStyle w:val="FootnoteText"/>
      </w:pPr>
      <w:r>
        <w:rPr>
          <w:rStyle w:val="FootnoteReference"/>
        </w:rPr>
        <w:footnoteRef/>
      </w:r>
      <w:r>
        <w:t xml:space="preserve"> </w:t>
      </w:r>
      <w:r>
        <w:tab/>
        <w:t xml:space="preserve">AEMC, </w:t>
      </w:r>
      <w:r w:rsidRPr="003A12CC">
        <w:rPr>
          <w:rStyle w:val="AERtextitalic"/>
        </w:rPr>
        <w:t>Rule Determination</w:t>
      </w:r>
      <w:r>
        <w:t>, 29 November 2012, pp. 101, 115.</w:t>
      </w:r>
    </w:p>
  </w:footnote>
  <w:footnote w:id="109">
    <w:p w:rsidR="00223658" w:rsidRDefault="00223658" w:rsidP="00E75C6B">
      <w:pPr>
        <w:pStyle w:val="FootnoteText"/>
      </w:pPr>
      <w:r>
        <w:rPr>
          <w:rStyle w:val="FootnoteReference"/>
        </w:rPr>
        <w:footnoteRef/>
      </w:r>
      <w:r>
        <w:t xml:space="preserve"> </w:t>
      </w:r>
      <w:r>
        <w:tab/>
        <w:t>NER, clause 6.5.6(e)(12).</w:t>
      </w:r>
    </w:p>
  </w:footnote>
  <w:footnote w:id="110">
    <w:p w:rsidR="00223658" w:rsidRDefault="00223658" w:rsidP="00051BDB">
      <w:pPr>
        <w:pStyle w:val="FootnoteText"/>
      </w:pPr>
      <w:r>
        <w:rPr>
          <w:rStyle w:val="FootnoteReference"/>
        </w:rPr>
        <w:footnoteRef/>
      </w:r>
      <w:r>
        <w:t xml:space="preserve"> </w:t>
      </w:r>
      <w:r>
        <w:tab/>
        <w:t xml:space="preserve">As we </w:t>
      </w:r>
      <w:r w:rsidRPr="00402441">
        <w:t xml:space="preserve">explain in </w:t>
      </w:r>
      <w:r>
        <w:t>the opex attachment</w:t>
      </w:r>
      <w:r w:rsidRPr="00402441">
        <w:t xml:space="preserve">, </w:t>
      </w:r>
      <w:r>
        <w:t>this is the</w:t>
      </w:r>
      <w:r w:rsidRPr="00402441">
        <w:t xml:space="preserve"> </w:t>
      </w:r>
      <w:r>
        <w:t xml:space="preserve">efficient </w:t>
      </w:r>
      <w:r w:rsidRPr="00402441">
        <w:t>total forecast opex we consider</w:t>
      </w:r>
      <w:r>
        <w:t xml:space="preserve"> a </w:t>
      </w:r>
      <w:r w:rsidRPr="00402441">
        <w:t>prudent service provider would require to achieve the opex objectives in the forthcoming period.</w:t>
      </w:r>
    </w:p>
  </w:footnote>
  <w:footnote w:id="111">
    <w:p w:rsidR="00223658" w:rsidRDefault="00223658" w:rsidP="00051BDB">
      <w:pPr>
        <w:pStyle w:val="FootnoteText"/>
      </w:pPr>
      <w:r>
        <w:rPr>
          <w:rStyle w:val="FootnoteReference"/>
        </w:rPr>
        <w:footnoteRef/>
      </w:r>
      <w:r>
        <w:t xml:space="preserve"> </w:t>
      </w:r>
      <w:r>
        <w:tab/>
        <w:t>NER, clauses 6.5.6(c) and (d) and 6.12.1(4).</w:t>
      </w:r>
    </w:p>
  </w:footnote>
  <w:footnote w:id="112">
    <w:p w:rsidR="00223658" w:rsidRDefault="00223658" w:rsidP="00051BDB">
      <w:pPr>
        <w:pStyle w:val="FootnoteText"/>
      </w:pPr>
      <w:r>
        <w:rPr>
          <w:rStyle w:val="FootnoteReference"/>
        </w:rPr>
        <w:footnoteRef/>
      </w:r>
      <w:r>
        <w:t xml:space="preserve"> </w:t>
      </w:r>
      <w:r>
        <w:tab/>
        <w:t>AER, Expenditure forecast assessment guideline, November 2013, p 7; AEMC</w:t>
      </w:r>
      <w:r w:rsidRPr="00E659FE">
        <w:t xml:space="preserve">, Final Rule Determination: National Electricity Amendment (Economic Regulation of Network Service Providers) Rule 2012, 29 November 2012, p. </w:t>
      </w:r>
      <w:r>
        <w:t>112.</w:t>
      </w:r>
      <w:r w:rsidRPr="00E659FE">
        <w:t xml:space="preserve"> </w:t>
      </w:r>
      <w:r>
        <w:t xml:space="preserve"> </w:t>
      </w:r>
    </w:p>
  </w:footnote>
  <w:footnote w:id="113">
    <w:p w:rsidR="00223658" w:rsidRDefault="00223658" w:rsidP="00051BDB">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pp. 7-8.</w:t>
      </w:r>
    </w:p>
  </w:footnote>
  <w:footnote w:id="114">
    <w:p w:rsidR="00223658" w:rsidRDefault="00223658" w:rsidP="00051BDB">
      <w:pPr>
        <w:pStyle w:val="FootnoteText"/>
      </w:pPr>
      <w:r>
        <w:rPr>
          <w:rStyle w:val="FootnoteReference"/>
        </w:rPr>
        <w:footnoteRef/>
      </w:r>
      <w:r>
        <w:t xml:space="preserve"> </w:t>
      </w:r>
      <w:r>
        <w:tab/>
        <w:t xml:space="preserve">Economic Insights, </w:t>
      </w:r>
      <w:r w:rsidRPr="00C5001E">
        <w:t>Economic Benchmarking Assessment of Operating Expenditure for NSW and ACT Electricity DNSPs</w:t>
      </w:r>
      <w:r>
        <w:t>, November 2014, p. v.</w:t>
      </w:r>
    </w:p>
  </w:footnote>
  <w:footnote w:id="115">
    <w:p w:rsidR="00223658" w:rsidRDefault="00223658" w:rsidP="00051BDB">
      <w:pPr>
        <w:pStyle w:val="FootnoteText"/>
      </w:pPr>
      <w:r>
        <w:rPr>
          <w:rStyle w:val="FootnoteReference"/>
        </w:rPr>
        <w:footnoteRef/>
      </w:r>
      <w:r>
        <w:t xml:space="preserve"> </w:t>
      </w:r>
      <w:r>
        <w:tab/>
        <w:t xml:space="preserve">Economic Insights, </w:t>
      </w:r>
      <w:r w:rsidRPr="000A7001">
        <w:t>Response to Consultants’ Reports on Economic Benchmarking of Electricity DNSPs</w:t>
      </w:r>
      <w:r>
        <w:t>, April 2015.</w:t>
      </w:r>
    </w:p>
  </w:footnote>
  <w:footnote w:id="116">
    <w:p w:rsidR="00223658" w:rsidRDefault="00223658" w:rsidP="00051BDB">
      <w:pPr>
        <w:pStyle w:val="FootnoteText"/>
      </w:pPr>
      <w:r>
        <w:rPr>
          <w:rStyle w:val="FootnoteReference"/>
        </w:rPr>
        <w:footnoteRef/>
      </w:r>
      <w:r>
        <w:t xml:space="preserve"> </w:t>
      </w:r>
      <w:r>
        <w:tab/>
        <w:t>AER, Electricity distribution network service providers–annual benchmarking report, November 2014, Appendix A.</w:t>
      </w:r>
    </w:p>
  </w:footnote>
  <w:footnote w:id="117">
    <w:p w:rsidR="00223658" w:rsidRDefault="00223658" w:rsidP="00051BDB">
      <w:pPr>
        <w:pStyle w:val="FootnoteText"/>
      </w:pPr>
      <w:r>
        <w:rPr>
          <w:rStyle w:val="FootnoteReference"/>
        </w:rPr>
        <w:footnoteRef/>
      </w:r>
      <w:r>
        <w:t xml:space="preserve"> </w:t>
      </w:r>
      <w:r>
        <w:tab/>
        <w:t>Ausgrid, Regulatory Proposal, p. 59; Essential, Regulatory Proposal, p. 78; Networks NSW, Submission on AER issues paper, pp. 12-16; Networks NSW, Submission on AER issues paper, pp. 12-16.</w:t>
      </w:r>
    </w:p>
  </w:footnote>
  <w:footnote w:id="118">
    <w:p w:rsidR="00223658" w:rsidRPr="00DD6554" w:rsidRDefault="00223658" w:rsidP="00051BDB">
      <w:pPr>
        <w:pStyle w:val="FootnoteText"/>
      </w:pPr>
      <w:r>
        <w:rPr>
          <w:rStyle w:val="FootnoteReference"/>
        </w:rPr>
        <w:footnoteRef/>
      </w:r>
      <w:r>
        <w:t xml:space="preserve"> </w:t>
      </w:r>
      <w:r>
        <w:tab/>
        <w:t xml:space="preserve">Essential Energy, </w:t>
      </w:r>
      <w:r>
        <w:rPr>
          <w:rStyle w:val="AERtextitalic"/>
        </w:rPr>
        <w:t xml:space="preserve">Regulatory Proposal, </w:t>
      </w:r>
      <w:r w:rsidRPr="00DD6554">
        <w:rPr>
          <w:rStyle w:val="AERbody"/>
          <w:sz w:val="16"/>
        </w:rPr>
        <w:t>p. 73</w:t>
      </w:r>
      <w:r>
        <w:rPr>
          <w:rStyle w:val="AERbody"/>
        </w:rPr>
        <w:t xml:space="preserve">; </w:t>
      </w:r>
      <w:r>
        <w:t>Essential Energy, Regulatory proposal appendix item 6.2 – Vegetation management review findings, p. 13.</w:t>
      </w:r>
    </w:p>
  </w:footnote>
  <w:footnote w:id="119">
    <w:p w:rsidR="00223658" w:rsidRDefault="00223658" w:rsidP="00051BDB">
      <w:pPr>
        <w:pStyle w:val="FootnoteText"/>
      </w:pPr>
      <w:r>
        <w:rPr>
          <w:rStyle w:val="FootnoteReference"/>
        </w:rPr>
        <w:footnoteRef/>
      </w:r>
      <w:r>
        <w:t xml:space="preserve"> </w:t>
      </w:r>
      <w:r>
        <w:tab/>
        <w:t xml:space="preserve">See, for example, NSW service provider responses to annual RINs for 2012-13.  </w:t>
      </w:r>
    </w:p>
  </w:footnote>
  <w:footnote w:id="120">
    <w:p w:rsidR="00223658" w:rsidRDefault="00223658" w:rsidP="00051BDB">
      <w:pPr>
        <w:pStyle w:val="FootnoteText"/>
      </w:pPr>
      <w:r>
        <w:rPr>
          <w:rStyle w:val="FootnoteReference"/>
        </w:rPr>
        <w:footnoteRef/>
      </w:r>
      <w:r>
        <w:t xml:space="preserve"> </w:t>
      </w:r>
      <w:r>
        <w:tab/>
        <w:t xml:space="preserve">Deloitte </w:t>
      </w:r>
      <w:r w:rsidRPr="0016105D">
        <w:t>Access Economics</w:t>
      </w:r>
      <w:r>
        <w:t xml:space="preserve">, </w:t>
      </w:r>
      <w:r w:rsidRPr="0016105D">
        <w:t>NSW distribution network service providers labour analysis: addendum to 2014 report, April 2015</w:t>
      </w:r>
      <w:r>
        <w:t>, pp. ii-vii.</w:t>
      </w:r>
    </w:p>
  </w:footnote>
  <w:footnote w:id="121">
    <w:p w:rsidR="00223658" w:rsidRDefault="00223658" w:rsidP="00051BDB">
      <w:pPr>
        <w:pStyle w:val="FootnoteText"/>
      </w:pPr>
      <w:r>
        <w:rPr>
          <w:rStyle w:val="FootnoteReference"/>
        </w:rPr>
        <w:footnoteRef/>
      </w:r>
      <w:r>
        <w:t xml:space="preserve"> </w:t>
      </w:r>
      <w:r>
        <w:tab/>
      </w:r>
      <w:r w:rsidRPr="0016105D">
        <w:t>Deloitte Access Economics, NSW distribution network service providers labour analysis: addendum to 2014 report, April 2015, pp. ii–vii; Deloitte Access Economics, NSW Distribution Network Service Providers Labour Analysis, November 2014, pp. i-v.</w:t>
      </w:r>
    </w:p>
  </w:footnote>
  <w:footnote w:id="122">
    <w:p w:rsidR="00223658" w:rsidRDefault="00223658" w:rsidP="00051BDB">
      <w:pPr>
        <w:pStyle w:val="FootnoteText"/>
      </w:pPr>
      <w:r>
        <w:rPr>
          <w:rStyle w:val="FootnoteReference"/>
        </w:rPr>
        <w:footnoteRef/>
      </w:r>
      <w:r>
        <w:t xml:space="preserve"> </w:t>
      </w:r>
      <w:r>
        <w:tab/>
      </w:r>
      <w:r w:rsidRPr="000A2D54">
        <w:t xml:space="preserve">Deloitte, NSW Distribution Network Service Providers Labour Analysis, </w:t>
      </w:r>
      <w:r>
        <w:t xml:space="preserve">November 2014, </w:t>
      </w:r>
      <w:r w:rsidRPr="000A2D54">
        <w:t xml:space="preserve">pp. i-v. </w:t>
      </w:r>
      <w:r>
        <w:t xml:space="preserve"> </w:t>
      </w:r>
    </w:p>
  </w:footnote>
  <w:footnote w:id="123">
    <w:p w:rsidR="00223658" w:rsidRDefault="00223658" w:rsidP="00051BDB">
      <w:pPr>
        <w:pStyle w:val="FootnoteText"/>
      </w:pPr>
      <w:r>
        <w:rPr>
          <w:rStyle w:val="FootnoteReference"/>
        </w:rPr>
        <w:footnoteRef/>
      </w:r>
      <w:r>
        <w:t xml:space="preserve"> </w:t>
      </w:r>
      <w:r>
        <w:tab/>
      </w:r>
      <w:r w:rsidRPr="00144027">
        <w:t>See, for example, Vince Graham, Selling off electricity networks will give NSW cheaper power bills, The Australian, 20 August 2014, p. 12; Angela Macdonald-Smith, Networks CEO attacks unions, makes threat on outsourcing, Sydney Morning</w:t>
      </w:r>
      <w:r>
        <w:t xml:space="preserve"> Herald, 20 October 2014, p. 25; </w:t>
      </w:r>
      <w:r w:rsidRPr="00144027">
        <w:t xml:space="preserve"> Australian Financial Review, NSW power network boss backs sale</w:t>
      </w:r>
      <w:r>
        <w:t xml:space="preserve">, 11 February 2015, p. 11; </w:t>
      </w:r>
      <w:r w:rsidRPr="00144027">
        <w:t>The Daily Telegraph, Power perks dri</w:t>
      </w:r>
      <w:r>
        <w:t xml:space="preserve">ving prices, 9 March 2015, p. 3; </w:t>
      </w:r>
      <w:r w:rsidRPr="00144027">
        <w:t>The Daily Telegraph, Privatising poles and wires network will end the union-negotiated rorts, 9 March 2015, p. 78.</w:t>
      </w:r>
    </w:p>
  </w:footnote>
  <w:footnote w:id="124">
    <w:p w:rsidR="00223658" w:rsidRDefault="00223658" w:rsidP="00051BDB">
      <w:pPr>
        <w:pStyle w:val="FootnoteText"/>
      </w:pPr>
      <w:r>
        <w:rPr>
          <w:rStyle w:val="FootnoteReference"/>
        </w:rPr>
        <w:footnoteRef/>
      </w:r>
      <w:r>
        <w:t xml:space="preserve"> </w:t>
      </w:r>
      <w:r>
        <w:tab/>
        <w:t>Our review of Essential Energy's vegetation management does not apply to Endeavour Energy or Ausgrid in any way.</w:t>
      </w:r>
    </w:p>
  </w:footnote>
  <w:footnote w:id="125">
    <w:p w:rsidR="00223658" w:rsidRDefault="00223658" w:rsidP="00051BDB">
      <w:pPr>
        <w:pStyle w:val="FootnoteText"/>
      </w:pPr>
      <w:r>
        <w:rPr>
          <w:rStyle w:val="FootnoteReference"/>
        </w:rPr>
        <w:footnoteRef/>
      </w:r>
      <w:r>
        <w:t xml:space="preserve"> </w:t>
      </w:r>
      <w:r>
        <w:tab/>
        <w:t xml:space="preserve">Essential, </w:t>
      </w:r>
      <w:r w:rsidRPr="00866DBF">
        <w:rPr>
          <w:rStyle w:val="AERtextitalic"/>
        </w:rPr>
        <w:t>Regulatory Proposal</w:t>
      </w:r>
      <w:r>
        <w:t xml:space="preserve">, 2014, p. 73; Essential Energy, </w:t>
      </w:r>
      <w:r w:rsidRPr="00866DBF">
        <w:rPr>
          <w:rStyle w:val="AERtextitalic"/>
        </w:rPr>
        <w:t>Vegetation Management Strategy and Implementation Plan for Additional Expenditure – FY 2013 to 14</w:t>
      </w:r>
      <w:r>
        <w:t>, February 2013; Select Solutions, Review of Essential Energy Vegetation Management Strategy–Final Report, 22 March 2013.</w:t>
      </w:r>
    </w:p>
  </w:footnote>
  <w:footnote w:id="126">
    <w:p w:rsidR="00223658" w:rsidRDefault="00223658" w:rsidP="00051BDB">
      <w:pPr>
        <w:pStyle w:val="FootnoteText"/>
      </w:pPr>
      <w:r>
        <w:rPr>
          <w:rStyle w:val="FootnoteReference"/>
        </w:rPr>
        <w:footnoteRef/>
      </w:r>
      <w:r>
        <w:t xml:space="preserve"> </w:t>
      </w:r>
      <w:r>
        <w:tab/>
        <w:t xml:space="preserve">Essential Energy, </w:t>
      </w:r>
      <w:r w:rsidRPr="00866DBF">
        <w:rPr>
          <w:rStyle w:val="AERtextitalic"/>
        </w:rPr>
        <w:t>Vegetation Management Strategy and Implementation Plan for Additional Expenditure – FY 2013 to 14</w:t>
      </w:r>
      <w:r>
        <w:t>, February 2013, p. 13.</w:t>
      </w:r>
    </w:p>
  </w:footnote>
  <w:footnote w:id="127">
    <w:p w:rsidR="00223658" w:rsidRDefault="00223658" w:rsidP="00051BDB">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128">
    <w:p w:rsidR="00223658" w:rsidRDefault="00223658" w:rsidP="00051BDB">
      <w:pPr>
        <w:pStyle w:val="FootnoteText"/>
      </w:pPr>
      <w:r>
        <w:rPr>
          <w:rStyle w:val="FootnoteReference"/>
        </w:rPr>
        <w:footnoteRef/>
      </w:r>
      <w:r>
        <w:t xml:space="preserve"> </w:t>
      </w:r>
      <w:r>
        <w:tab/>
      </w:r>
      <w:r w:rsidRPr="003F0850">
        <w:t>Economic Insights, Economic Benchmarking Assessment of Operating Expenditure for NSW and ACT Electricity DNSPs, November 2014, p. v.</w:t>
      </w:r>
    </w:p>
  </w:footnote>
  <w:footnote w:id="129">
    <w:p w:rsidR="00223658" w:rsidRDefault="00223658" w:rsidP="00051BDB">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130">
    <w:p w:rsidR="00223658" w:rsidRDefault="00223658" w:rsidP="00051BDB">
      <w:pPr>
        <w:pStyle w:val="FootnoteText"/>
      </w:pPr>
      <w:r>
        <w:rPr>
          <w:rStyle w:val="FootnoteReference"/>
        </w:rPr>
        <w:footnoteRef/>
      </w:r>
      <w:r>
        <w:t xml:space="preserve"> </w:t>
      </w:r>
      <w:r>
        <w:tab/>
        <w:t xml:space="preserve">Economic Insights, </w:t>
      </w:r>
      <w:r w:rsidRPr="00E60BCB">
        <w:t>Response to Consultants’ Reports on Economic B</w:t>
      </w:r>
      <w:r>
        <w:t xml:space="preserve">enchmarking of Electricity DNSPs, </w:t>
      </w:r>
      <w:r w:rsidRPr="00E60BCB">
        <w:t xml:space="preserve"> </w:t>
      </w:r>
      <w:r>
        <w:t>April 2015, section 4.</w:t>
      </w:r>
    </w:p>
  </w:footnote>
  <w:footnote w:id="131">
    <w:p w:rsidR="00223658" w:rsidRDefault="00223658" w:rsidP="00051BDB">
      <w:pPr>
        <w:pStyle w:val="FootnoteText"/>
      </w:pPr>
      <w:r>
        <w:rPr>
          <w:rStyle w:val="FootnoteReference"/>
        </w:rPr>
        <w:footnoteRef/>
      </w:r>
      <w:r>
        <w:t xml:space="preserve"> </w:t>
      </w:r>
      <w:r>
        <w:tab/>
        <w:t xml:space="preserve">Ausgrid, Revised Regulatory Proposal, pp. </w:t>
      </w:r>
      <w:r w:rsidRPr="009520B1">
        <w:t xml:space="preserve">23-24, </w:t>
      </w:r>
      <w:r>
        <w:t>129-138; Endeavour Energy, Revised Regulatory Proposal, pp. 25-26, 157-163; Essential Energy, Revised Regulatory Proposal, pp.29-30, 168-175.</w:t>
      </w:r>
    </w:p>
  </w:footnote>
  <w:footnote w:id="132">
    <w:p w:rsidR="00223658" w:rsidRDefault="00223658" w:rsidP="00051BDB">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133">
    <w:p w:rsidR="00223658" w:rsidRDefault="00223658" w:rsidP="00051BDB">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Australian Competition Tribunal has endorsed this approach and indicated a similar preference: see for example </w:t>
      </w:r>
      <w:r w:rsidRPr="000D32BC">
        <w:t>Application by Ergon Energy Corporation Limited (Labour Cost Escalators) (No 3) [2010] ACompT 11</w:t>
      </w:r>
      <w:r>
        <w:t xml:space="preserve"> at [61] to [62].</w:t>
      </w:r>
    </w:p>
  </w:footnote>
  <w:footnote w:id="134">
    <w:p w:rsidR="00223658" w:rsidRDefault="00223658" w:rsidP="00051BDB">
      <w:pPr>
        <w:pStyle w:val="FootnoteText"/>
      </w:pPr>
      <w:r>
        <w:rPr>
          <w:rStyle w:val="FootnoteReference"/>
        </w:rPr>
        <w:footnoteRef/>
      </w:r>
      <w:r>
        <w:t xml:space="preserve"> </w:t>
      </w:r>
      <w:r>
        <w:tab/>
        <w:t>Ausgrid, Revised Regulatory Proposal, pp. 129-153;</w:t>
      </w:r>
      <w:r w:rsidRPr="00404201">
        <w:t xml:space="preserve"> </w:t>
      </w:r>
      <w:r>
        <w:t>Endeavour Energy, Revised Regulatory Proposal, pp. 157-179; Essential Energy, Revised Regulatory Proposal, pp. 168-192.</w:t>
      </w:r>
    </w:p>
  </w:footnote>
  <w:footnote w:id="135">
    <w:p w:rsidR="00223658" w:rsidRDefault="00223658" w:rsidP="00051BDB">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3.2.</w:t>
      </w:r>
    </w:p>
  </w:footnote>
  <w:footnote w:id="136">
    <w:p w:rsidR="00223658" w:rsidRDefault="00223658" w:rsidP="00051BDB">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3.10.</w:t>
      </w:r>
    </w:p>
  </w:footnote>
  <w:footnote w:id="137">
    <w:p w:rsidR="00223658" w:rsidRDefault="00223658" w:rsidP="00756041">
      <w:pPr>
        <w:pStyle w:val="FootnoteText"/>
      </w:pPr>
      <w:r>
        <w:rPr>
          <w:rStyle w:val="FootnoteReference"/>
        </w:rPr>
        <w:footnoteRef/>
      </w:r>
      <w:r>
        <w:t xml:space="preserve"> </w:t>
      </w:r>
      <w:r>
        <w:tab/>
        <w:t xml:space="preserve">Ausgrid, </w:t>
      </w:r>
      <w:r w:rsidRPr="00E60BCB">
        <w:t>Revised Regulatory Proposal</w:t>
      </w:r>
      <w:r>
        <w:t>,</w:t>
      </w:r>
      <w:r w:rsidRPr="00E60BCB">
        <w:t xml:space="preserve"> </w:t>
      </w:r>
      <w:r>
        <w:t xml:space="preserve">pp. 134-139; Endeavour Energy, Revised Regulatory Proposal, pp. 159-163; Essential Energy, Revised Regulatory Proposal, pp.170-175; </w:t>
      </w:r>
      <w:r w:rsidRPr="001D75DC">
        <w:t>Networks NSW, NSW DNSPs' submission on the AER's draft determinations, 13 February 2015, pp. 6-9.</w:t>
      </w:r>
    </w:p>
  </w:footnote>
  <w:footnote w:id="138">
    <w:p w:rsidR="00223658" w:rsidRDefault="00223658" w:rsidP="00051BDB">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139">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 65.</w:t>
      </w:r>
    </w:p>
  </w:footnote>
  <w:footnote w:id="140">
    <w:p w:rsidR="00223658" w:rsidRDefault="00223658" w:rsidP="00051BDB">
      <w:pPr>
        <w:pStyle w:val="FootnoteText"/>
      </w:pPr>
      <w:r>
        <w:rPr>
          <w:rStyle w:val="FootnoteReference"/>
        </w:rPr>
        <w:footnoteRef/>
      </w:r>
      <w:r>
        <w:t xml:space="preserve"> </w:t>
      </w:r>
      <w:r>
        <w:tab/>
        <w:t>ACCC, Submission to the Productivity Commission’s inquiry into the economic regulation of airport services, March 2011, p. 8.</w:t>
      </w:r>
    </w:p>
  </w:footnote>
  <w:footnote w:id="141">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 65.</w:t>
      </w:r>
    </w:p>
  </w:footnote>
  <w:footnote w:id="142">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 190.</w:t>
      </w:r>
    </w:p>
  </w:footnote>
  <w:footnote w:id="143">
    <w:p w:rsidR="00223658" w:rsidRDefault="00223658" w:rsidP="00051BDB">
      <w:pPr>
        <w:pStyle w:val="FootnoteText"/>
      </w:pPr>
      <w:r>
        <w:rPr>
          <w:rStyle w:val="FootnoteReference"/>
        </w:rPr>
        <w:footnoteRef/>
      </w:r>
      <w:r>
        <w:t xml:space="preserve"> </w:t>
      </w:r>
      <w:r>
        <w:tab/>
        <w:t>Clause 6.2.6(a) of the NER states that f</w:t>
      </w:r>
      <w:r w:rsidRPr="0006396D">
        <w:t>or standard control services, the control mechanism must be of the prospective CPI minus X form, or some incentive-based variant of the prospective CPI minus X form, in accordance with Part C</w:t>
      </w:r>
      <w:r>
        <w:t xml:space="preserve"> (Building Block Determinations for standard control services)</w:t>
      </w:r>
      <w:r w:rsidRPr="0006396D">
        <w:t>.</w:t>
      </w:r>
      <w:r>
        <w:t xml:space="preserve"> Further, the RPPs state a regulated network service provider should be provided with effective incentives in order to promote economic efficiency with respect to direct control network services the operator provides.</w:t>
      </w:r>
    </w:p>
  </w:footnote>
  <w:footnote w:id="144">
    <w:p w:rsidR="00223658" w:rsidRDefault="00223658" w:rsidP="00051BDB">
      <w:pPr>
        <w:pStyle w:val="FootnoteText"/>
      </w:pPr>
      <w:r>
        <w:rPr>
          <w:rStyle w:val="FootnoteReference"/>
        </w:rPr>
        <w:footnoteRef/>
      </w:r>
      <w:r>
        <w:t xml:space="preserve"> </w:t>
      </w:r>
      <w:r>
        <w:tab/>
        <w:t xml:space="preserve">AEMC, Consultation paper: </w:t>
      </w:r>
      <w:r w:rsidRPr="003E75B2">
        <w:t>National Electricity Amendment (Demand Management Incentive Scheme) Rule 2015</w:t>
      </w:r>
      <w:r>
        <w:t>, February 2015, p. 3.</w:t>
      </w:r>
    </w:p>
  </w:footnote>
  <w:footnote w:id="145">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 188.</w:t>
      </w:r>
    </w:p>
  </w:footnote>
  <w:footnote w:id="146">
    <w:p w:rsidR="00223658" w:rsidRDefault="00223658" w:rsidP="00051BDB">
      <w:pPr>
        <w:pStyle w:val="FootnoteText"/>
      </w:pPr>
      <w:r>
        <w:rPr>
          <w:rStyle w:val="FootnoteReference"/>
        </w:rPr>
        <w:footnoteRef/>
      </w:r>
      <w:r>
        <w:t xml:space="preserve"> </w:t>
      </w:r>
      <w:r>
        <w:tab/>
        <w:t>Put simply, it is assumed that shareholders want the business to maximise profits because the greater the profits, the greater their income.</w:t>
      </w:r>
    </w:p>
  </w:footnote>
  <w:footnote w:id="147">
    <w:p w:rsidR="00223658" w:rsidRDefault="00223658" w:rsidP="00051BDB">
      <w:pPr>
        <w:pStyle w:val="FootnoteText"/>
      </w:pPr>
      <w:r>
        <w:rPr>
          <w:rStyle w:val="FootnoteReference"/>
        </w:rPr>
        <w:footnoteRef/>
      </w:r>
      <w:r>
        <w:t xml:space="preserve"> </w:t>
      </w:r>
      <w:r>
        <w:tab/>
        <w:t>As stated by the AER in its Expenditure Forecast Assessment Guideline explanatory statement, ‘t</w:t>
      </w:r>
      <w:r w:rsidRPr="004A4813">
        <w:t xml:space="preserve">he ex-ante incentive regime provides an incentive to improve efficiency (that is, by spending less than the AER's </w:t>
      </w:r>
      <w:r>
        <w:t>forecast</w:t>
      </w:r>
      <w:r w:rsidRPr="004A4813">
        <w:t xml:space="preserve">) because </w:t>
      </w:r>
      <w:r>
        <w:t>network businesses</w:t>
      </w:r>
      <w:r w:rsidRPr="004A4813">
        <w:t xml:space="preserve"> can retain a portion of cost savings made during the regulatory control period.</w:t>
      </w:r>
      <w:r>
        <w:t>’ (p. 42)</w:t>
      </w:r>
    </w:p>
  </w:footnote>
  <w:footnote w:id="148">
    <w:p w:rsidR="00223658" w:rsidRDefault="00223658" w:rsidP="00051BDB">
      <w:pPr>
        <w:pStyle w:val="FootnoteText"/>
      </w:pPr>
      <w:r>
        <w:rPr>
          <w:rStyle w:val="FootnoteReference"/>
        </w:rPr>
        <w:footnoteRef/>
      </w:r>
      <w:r>
        <w:t xml:space="preserve"> </w:t>
      </w:r>
      <w:r>
        <w:tab/>
      </w:r>
      <w:r w:rsidRPr="00827780">
        <w:t xml:space="preserve">This takes into account the realistic expectations of demand forecasts and cost inputs, to meet and manage the demand for </w:t>
      </w:r>
      <w:r>
        <w:t xml:space="preserve">network businesses' </w:t>
      </w:r>
      <w:r w:rsidRPr="00827780">
        <w:t xml:space="preserve">services, comply with </w:t>
      </w:r>
      <w:r>
        <w:t>their</w:t>
      </w:r>
      <w:r w:rsidRPr="00827780">
        <w:t xml:space="preserve"> regulatory obligations and maintain the safety of the system.</w:t>
      </w:r>
    </w:p>
  </w:footnote>
  <w:footnote w:id="149">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 192.</w:t>
      </w:r>
    </w:p>
  </w:footnote>
  <w:footnote w:id="150">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 190.</w:t>
      </w:r>
    </w:p>
  </w:footnote>
  <w:footnote w:id="151">
    <w:p w:rsidR="00223658" w:rsidRDefault="00223658" w:rsidP="00051BDB">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152">
    <w:p w:rsidR="00223658" w:rsidRDefault="00223658" w:rsidP="00051BDB">
      <w:pPr>
        <w:pStyle w:val="FootnoteText"/>
      </w:pPr>
      <w:r>
        <w:rPr>
          <w:rStyle w:val="FootnoteReference"/>
        </w:rPr>
        <w:footnoteRef/>
      </w:r>
      <w:r>
        <w:t xml:space="preserve"> </w:t>
      </w:r>
      <w:r>
        <w:tab/>
        <w:t>Joskow finds incentive-based regulation applies</w:t>
      </w:r>
      <w:r w:rsidRPr="006A2C9E">
        <w:t xml:space="preserve"> elements of cost of service regulation</w:t>
      </w:r>
      <w:r>
        <w:t xml:space="preserve"> in practice: ‘</w:t>
      </w:r>
      <w:r w:rsidRPr="00640EC0">
        <w:t>This basic price-cap regulatory mechanism used to regulate electricity, gas and water distribution and transmission companies in the UK, is often contrasted with characterizations of cost-of-service or “cost plus” regulation that developed in the U.S. during the 20th century. However, I believe that there is less difference than may first meet the eye. The UK’s implementation of a price cap based regulatory framework is best characterized as a combination of cost-of-service regulation, the application of a high powered incentive scheme for operating costs for a fixed period of time, followed by a cost-contingent price ratchet to establish a new starting value for prices.</w:t>
      </w:r>
      <w:r>
        <w:t xml:space="preserve"> (Joskow, Incentive regulation in theory and practice: electricity distribution and transmission networks, 2005, pp. 70–71.) </w:t>
      </w:r>
    </w:p>
  </w:footnote>
  <w:footnote w:id="153">
    <w:p w:rsidR="00223658" w:rsidRDefault="00223658" w:rsidP="00051BDB">
      <w:pPr>
        <w:pStyle w:val="FootnoteText"/>
      </w:pPr>
      <w:r>
        <w:rPr>
          <w:rStyle w:val="FootnoteReference"/>
        </w:rPr>
        <w:footnoteRef/>
      </w:r>
      <w:r>
        <w:t xml:space="preserve"> </w:t>
      </w:r>
      <w:r>
        <w:tab/>
        <w:t xml:space="preserve">AER, </w:t>
      </w:r>
      <w:r w:rsidRPr="00900867">
        <w:t>Overview of the Better Regulation reform package</w:t>
      </w:r>
      <w:r>
        <w:t>, April 2014, p. 4.</w:t>
      </w:r>
    </w:p>
  </w:footnote>
  <w:footnote w:id="154">
    <w:p w:rsidR="00223658" w:rsidRDefault="00223658" w:rsidP="00051BDB">
      <w:pPr>
        <w:pStyle w:val="FootnoteText"/>
      </w:pPr>
      <w:r>
        <w:rPr>
          <w:rStyle w:val="FootnoteReference"/>
        </w:rPr>
        <w:footnoteRef/>
      </w:r>
      <w:r>
        <w:t xml:space="preserve"> </w:t>
      </w:r>
      <w:r>
        <w:tab/>
        <w:t>Joskow, Incentive regulation in theory and practice: electricity distribution and transmission networks, 2005, pp. 10–11.</w:t>
      </w:r>
    </w:p>
  </w:footnote>
  <w:footnote w:id="155">
    <w:p w:rsidR="00223658" w:rsidRDefault="00223658" w:rsidP="00051BDB">
      <w:pPr>
        <w:pStyle w:val="FootnoteText"/>
      </w:pPr>
      <w:r>
        <w:rPr>
          <w:rStyle w:val="FootnoteReference"/>
        </w:rPr>
        <w:footnoteRef/>
      </w:r>
      <w:r>
        <w:t xml:space="preserve"> </w:t>
      </w:r>
      <w:r>
        <w:tab/>
        <w:t>AEMC, Rule Determination: National Electricity Amendment (Economic Regulation of Transmission Services) Rule 2006 no. 18, November 2006, p. 93.</w:t>
      </w:r>
    </w:p>
  </w:footnote>
  <w:footnote w:id="156">
    <w:p w:rsidR="00223658" w:rsidRDefault="00223658" w:rsidP="00051BDB">
      <w:pPr>
        <w:pStyle w:val="FootnoteText"/>
      </w:pPr>
      <w:r>
        <w:rPr>
          <w:rStyle w:val="FootnoteReference"/>
        </w:rPr>
        <w:footnoteRef/>
      </w:r>
      <w:r>
        <w:t xml:space="preserve"> </w:t>
      </w:r>
      <w:r>
        <w:tab/>
        <w:t>ACCC, Submission to the Productivity Commission’s inquiry into the economic regulation of airport services, March 2011, pp. 8–9.</w:t>
      </w:r>
    </w:p>
  </w:footnote>
  <w:footnote w:id="157">
    <w:p w:rsidR="00223658" w:rsidRDefault="00223658" w:rsidP="00051BDB">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November 2012,</w:t>
      </w:r>
      <w:r>
        <w:t xml:space="preserve"> p. 34.</w:t>
      </w:r>
    </w:p>
  </w:footnote>
  <w:footnote w:id="158">
    <w:p w:rsidR="00223658" w:rsidRDefault="00223658" w:rsidP="00051BDB">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xml:space="preserve">, November 2012, </w:t>
      </w:r>
      <w:r>
        <w:t>p. 73.</w:t>
      </w:r>
    </w:p>
  </w:footnote>
  <w:footnote w:id="159">
    <w:p w:rsidR="00223658" w:rsidRDefault="00223658" w:rsidP="00051BDB">
      <w:pPr>
        <w:pStyle w:val="FootnoteText"/>
      </w:pPr>
      <w:r>
        <w:rPr>
          <w:rStyle w:val="FootnoteReference"/>
        </w:rPr>
        <w:footnoteRef/>
      </w:r>
      <w:r>
        <w:t xml:space="preserve"> </w:t>
      </w:r>
      <w:r>
        <w:tab/>
        <w:t xml:space="preserve">Ofgem, </w:t>
      </w:r>
      <w:r w:rsidRPr="007310E2">
        <w:t>Regulating Energy Networks for the Future: RPI-X@20</w:t>
      </w:r>
      <w:r>
        <w:t xml:space="preserve">: </w:t>
      </w:r>
      <w:r w:rsidRPr="007310E2">
        <w:t>Emerging Thinking – Embedding financeability in a new regulatory framework</w:t>
      </w:r>
      <w:r>
        <w:t xml:space="preserve">, </w:t>
      </w:r>
      <w:r w:rsidRPr="007310E2">
        <w:t>Parallel consultation paper</w:t>
      </w:r>
      <w:r>
        <w:t>, 20 January 2010, p. 4.</w:t>
      </w:r>
    </w:p>
  </w:footnote>
  <w:footnote w:id="160">
    <w:p w:rsidR="00223658" w:rsidRDefault="00223658" w:rsidP="00051BDB">
      <w:pPr>
        <w:pStyle w:val="FootnoteText"/>
      </w:pPr>
      <w:r>
        <w:rPr>
          <w:rStyle w:val="FootnoteReference"/>
        </w:rPr>
        <w:footnoteRef/>
      </w:r>
      <w:r>
        <w:t xml:space="preserve"> </w:t>
      </w:r>
      <w:r>
        <w:tab/>
        <w:t>AER, Expenditure Forecast Assessment Guideline for Electricity Distribution, 2013, pp. 22–24.</w:t>
      </w:r>
    </w:p>
  </w:footnote>
  <w:footnote w:id="161">
    <w:p w:rsidR="00223658" w:rsidRDefault="00223658" w:rsidP="00051BDB">
      <w:pPr>
        <w:pStyle w:val="FootnoteText"/>
      </w:pPr>
      <w:r>
        <w:rPr>
          <w:rStyle w:val="FootnoteReference"/>
        </w:rPr>
        <w:footnoteRef/>
      </w:r>
      <w:r>
        <w:t xml:space="preserve"> </w:t>
      </w:r>
      <w:r>
        <w:tab/>
        <w:t>AER, Expenditure Forecast Assessment Guideline explanatory statement, 2013, p. 42.</w:t>
      </w:r>
    </w:p>
  </w:footnote>
  <w:footnote w:id="162">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pp. 27–28.</w:t>
      </w:r>
    </w:p>
  </w:footnote>
  <w:footnote w:id="163">
    <w:p w:rsidR="00223658" w:rsidRDefault="00223658" w:rsidP="00051BDB">
      <w:pPr>
        <w:pStyle w:val="FootnoteText"/>
      </w:pPr>
      <w:r>
        <w:rPr>
          <w:rStyle w:val="FootnoteReference"/>
        </w:rPr>
        <w:footnoteRef/>
      </w:r>
      <w:r>
        <w:t xml:space="preserve"> </w:t>
      </w:r>
      <w:r>
        <w:tab/>
        <w:t xml:space="preserve">The NER require us to be </w:t>
      </w:r>
      <w:r w:rsidRPr="000B18D2">
        <w:t>satisfied that a business’ total opex forecast reasonably reflects the expenditure criteria</w:t>
      </w:r>
      <w:r>
        <w:t xml:space="preserve"> (NER, cl. 6.5(c)). Further, we must consider </w:t>
      </w:r>
      <w:r w:rsidRPr="00ED0D67">
        <w:t>the actual and expected expenditure of the service provider during preceding regulatory control periods</w:t>
      </w:r>
      <w:r>
        <w:t>,</w:t>
      </w:r>
      <w:r w:rsidRPr="00ED0D67">
        <w:t xml:space="preserve"> and whether expenditure is consis</w:t>
      </w:r>
      <w:r>
        <w:t xml:space="preserve">tent with our incentive schemes (NER, </w:t>
      </w:r>
      <w:r w:rsidRPr="00ED0D67">
        <w:t>cl.</w:t>
      </w:r>
      <w:r>
        <w:t> </w:t>
      </w:r>
      <w:r w:rsidRPr="00ED0D67">
        <w:t>6.5.6(e)(5) and (8)</w:t>
      </w:r>
      <w:r>
        <w:t>).</w:t>
      </w:r>
    </w:p>
  </w:footnote>
  <w:footnote w:id="164">
    <w:p w:rsidR="00223658" w:rsidRDefault="00223658" w:rsidP="00051BDB">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165">
    <w:p w:rsidR="00223658" w:rsidRDefault="00223658" w:rsidP="00051BDB">
      <w:pPr>
        <w:pStyle w:val="FootnoteText"/>
      </w:pPr>
      <w:r>
        <w:rPr>
          <w:rStyle w:val="FootnoteReference"/>
        </w:rPr>
        <w:footnoteRef/>
      </w:r>
      <w:r>
        <w:t xml:space="preserve"> </w:t>
      </w:r>
      <w:r>
        <w:tab/>
        <w:t>AER, Expenditure Forecast Assessment Guideline explanatory statement, 2013, p. 93.</w:t>
      </w:r>
    </w:p>
  </w:footnote>
  <w:footnote w:id="166">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 27.</w:t>
      </w:r>
    </w:p>
  </w:footnote>
  <w:footnote w:id="167">
    <w:p w:rsidR="00223658" w:rsidRDefault="00223658" w:rsidP="00051BDB">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w:t>
      </w:r>
    </w:p>
  </w:footnote>
  <w:footnote w:id="168">
    <w:p w:rsidR="00223658" w:rsidRDefault="00223658" w:rsidP="00051BDB">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 p. 112.</w:t>
      </w:r>
    </w:p>
  </w:footnote>
  <w:footnote w:id="169">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pp. 170–171.</w:t>
      </w:r>
    </w:p>
  </w:footnote>
  <w:footnote w:id="170">
    <w:p w:rsidR="00223658" w:rsidRDefault="00223658" w:rsidP="00051BDB">
      <w:pPr>
        <w:pStyle w:val="FootnoteText"/>
      </w:pPr>
      <w:r>
        <w:rPr>
          <w:rStyle w:val="FootnoteReference"/>
        </w:rPr>
        <w:footnoteRef/>
      </w:r>
      <w:r>
        <w:t xml:space="preserve"> </w:t>
      </w:r>
      <w:r>
        <w:tab/>
      </w:r>
      <w:r w:rsidRPr="00FD20BE">
        <w:t>In a competitive market environment, various forces keep managers from deviating from profit-maximising objectives behaviour. If a competitive business is run inefficiently and unprofitably, it could be driven out of business or taken over by rivals</w:t>
      </w:r>
      <w:r>
        <w:t>/new entrants</w:t>
      </w:r>
      <w:r w:rsidRPr="00FD20BE">
        <w:t xml:space="preserve"> that do maximise profits. Managers who lose their jobs in these circumstances can find it difficult to obtain new jobs. Incentives such as stock ownership and other </w:t>
      </w:r>
      <w:r>
        <w:t xml:space="preserve">performance </w:t>
      </w:r>
      <w:r w:rsidRPr="00FD20BE">
        <w:t>bonuses also motivate managers to maximise profits.</w:t>
      </w:r>
    </w:p>
  </w:footnote>
  <w:footnote w:id="171">
    <w:p w:rsidR="00223658" w:rsidRDefault="00223658" w:rsidP="00051BDB">
      <w:pPr>
        <w:pStyle w:val="FootnoteText"/>
      </w:pPr>
      <w:r>
        <w:rPr>
          <w:rStyle w:val="FootnoteReference"/>
        </w:rPr>
        <w:footnoteRef/>
      </w:r>
      <w:r>
        <w:t xml:space="preserve"> </w:t>
      </w:r>
      <w:r>
        <w:tab/>
        <w:t>AER, Expenditure Forecast Assessment Guideline explanatory statement, 2013, p. 42.</w:t>
      </w:r>
    </w:p>
  </w:footnote>
  <w:footnote w:id="172">
    <w:p w:rsidR="00223658" w:rsidRDefault="00223658" w:rsidP="00051BDB">
      <w:pPr>
        <w:pStyle w:val="FootnoteText"/>
      </w:pPr>
      <w:r>
        <w:rPr>
          <w:rStyle w:val="FootnoteReference"/>
        </w:rPr>
        <w:footnoteRef/>
      </w:r>
      <w:r>
        <w:t xml:space="preserve"> </w:t>
      </w:r>
      <w:r>
        <w:tab/>
        <w:t xml:space="preserve">ACCC/AER, </w:t>
      </w:r>
      <w:r w:rsidRPr="00E92A18">
        <w:t>Benchmarking Opex and Capex in Energy Networks, ACCC/AER Working Paper no. 6, May</w:t>
      </w:r>
      <w:r>
        <w:t xml:space="preserve"> 2012</w:t>
      </w:r>
      <w:r w:rsidRPr="00E92A18">
        <w:t>.</w:t>
      </w:r>
    </w:p>
  </w:footnote>
  <w:footnote w:id="173">
    <w:p w:rsidR="00223658" w:rsidRDefault="00223658" w:rsidP="00051BDB">
      <w:pPr>
        <w:pStyle w:val="FootnoteText"/>
      </w:pPr>
      <w:r>
        <w:rPr>
          <w:rStyle w:val="FootnoteReference"/>
        </w:rPr>
        <w:footnoteRef/>
      </w:r>
      <w:r>
        <w:t xml:space="preserve"> </w:t>
      </w:r>
      <w:r>
        <w:tab/>
        <w:t>ACCC/AER, Regulatory Practices in Other Countries: Benchmarking Opex and Capex in Energy Networks, May 2012.</w:t>
      </w:r>
    </w:p>
  </w:footnote>
  <w:footnote w:id="174">
    <w:p w:rsidR="00223658" w:rsidRDefault="00223658" w:rsidP="00051BDB">
      <w:pPr>
        <w:pStyle w:val="FootnoteText"/>
      </w:pPr>
      <w:r>
        <w:rPr>
          <w:rStyle w:val="FootnoteReference"/>
        </w:rPr>
        <w:footnoteRef/>
      </w:r>
      <w:r>
        <w:t xml:space="preserve"> </w:t>
      </w:r>
      <w:r>
        <w:tab/>
      </w:r>
      <w:r w:rsidRPr="00E92A18">
        <w:t xml:space="preserve">Schweinsberg, </w:t>
      </w:r>
      <w:r>
        <w:t>Stronzik, and Wissner</w:t>
      </w:r>
      <w:r w:rsidRPr="00E92A18">
        <w:t>, Cost Benchmarking in Energy Regulation in European Countries, Wik Consult</w:t>
      </w:r>
      <w:r>
        <w:t>, December 2011.</w:t>
      </w:r>
    </w:p>
  </w:footnote>
  <w:footnote w:id="175">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 148.</w:t>
      </w:r>
    </w:p>
  </w:footnote>
  <w:footnote w:id="176">
    <w:p w:rsidR="00223658" w:rsidRDefault="00223658" w:rsidP="00051BDB">
      <w:pPr>
        <w:pStyle w:val="FootnoteText"/>
      </w:pPr>
      <w:r>
        <w:rPr>
          <w:rStyle w:val="FootnoteReference"/>
        </w:rPr>
        <w:footnoteRef/>
      </w:r>
      <w:r>
        <w:t xml:space="preserve"> </w:t>
      </w:r>
      <w:r>
        <w:tab/>
        <w:t>Productivity Commission, Electricity Network Regulatory Frameworks, inquiry report no. 62, 2013, p. 148.</w:t>
      </w:r>
    </w:p>
  </w:footnote>
  <w:footnote w:id="177">
    <w:p w:rsidR="00223658" w:rsidRDefault="00223658" w:rsidP="00051BDB">
      <w:pPr>
        <w:pStyle w:val="FootnoteText"/>
      </w:pPr>
      <w:r>
        <w:rPr>
          <w:rStyle w:val="FootnoteReference"/>
        </w:rPr>
        <w:footnoteRef/>
      </w:r>
      <w:r>
        <w:t xml:space="preserve"> </w:t>
      </w:r>
      <w:r>
        <w:tab/>
        <w:t xml:space="preserve">Bain &amp; Company, </w:t>
      </w:r>
      <w:r w:rsidRPr="007C156B">
        <w:t>Sustained cost reduction for utilities</w:t>
      </w:r>
      <w:r>
        <w:t>, 2013, p. 2.</w:t>
      </w:r>
    </w:p>
  </w:footnote>
  <w:footnote w:id="178">
    <w:p w:rsidR="00223658" w:rsidRDefault="00223658" w:rsidP="00051BDB">
      <w:pPr>
        <w:pStyle w:val="FootnoteText"/>
      </w:pPr>
      <w:r>
        <w:rPr>
          <w:rStyle w:val="FootnoteReference"/>
        </w:rPr>
        <w:footnoteRef/>
      </w:r>
      <w:r>
        <w:t xml:space="preserve"> </w:t>
      </w:r>
      <w:r>
        <w:tab/>
        <w:t>AER, Expenditure Forecast Assessment Guideline explanatory statement, 2013, p. 132.</w:t>
      </w:r>
    </w:p>
  </w:footnote>
  <w:footnote w:id="179">
    <w:p w:rsidR="00223658" w:rsidRDefault="00223658" w:rsidP="00051BDB">
      <w:pPr>
        <w:pStyle w:val="FootnoteText"/>
      </w:pPr>
      <w:r>
        <w:rPr>
          <w:rStyle w:val="FootnoteReference"/>
        </w:rPr>
        <w:footnoteRef/>
      </w:r>
      <w:r>
        <w:t xml:space="preserve"> </w:t>
      </w:r>
      <w:r>
        <w:tab/>
      </w:r>
      <w:r w:rsidRPr="008468C6">
        <w:t>Coelli</w:t>
      </w:r>
      <w:r>
        <w:t>, Estache, Perelman, Trujillo,</w:t>
      </w:r>
      <w:r w:rsidRPr="008468C6">
        <w:t xml:space="preserve"> A Pr</w:t>
      </w:r>
      <w:r>
        <w:t>i</w:t>
      </w:r>
      <w:r w:rsidRPr="008468C6">
        <w:t>mer on Efficiency Measurement for Utilities and Transport</w:t>
      </w:r>
      <w:r>
        <w:t xml:space="preserve"> Regulators</w:t>
      </w:r>
      <w:r w:rsidRPr="008468C6">
        <w:t>,</w:t>
      </w:r>
      <w:r>
        <w:t xml:space="preserve"> 2003,</w:t>
      </w:r>
      <w:r w:rsidRPr="008468C6">
        <w:t xml:space="preserve"> p. 11.</w:t>
      </w:r>
    </w:p>
  </w:footnote>
  <w:footnote w:id="180">
    <w:p w:rsidR="00223658" w:rsidRDefault="00223658" w:rsidP="00051BDB">
      <w:pPr>
        <w:pStyle w:val="FootnoteText"/>
      </w:pPr>
      <w:r>
        <w:rPr>
          <w:rStyle w:val="FootnoteReference"/>
        </w:rPr>
        <w:footnoteRef/>
      </w:r>
      <w:r>
        <w:t xml:space="preserve"> </w:t>
      </w:r>
      <w:r>
        <w:tab/>
        <w:t>AER, Expenditure Forecast Assessment Guideline explanatory statement, 2013, p. 132.</w:t>
      </w:r>
    </w:p>
  </w:footnote>
  <w:footnote w:id="181">
    <w:p w:rsidR="00223658" w:rsidRDefault="00223658" w:rsidP="00051BDB">
      <w:pPr>
        <w:pStyle w:val="FootnoteText"/>
      </w:pPr>
      <w:r>
        <w:rPr>
          <w:rStyle w:val="FootnoteReference"/>
        </w:rPr>
        <w:footnoteRef/>
      </w:r>
      <w:r>
        <w:t xml:space="preserve"> </w:t>
      </w:r>
      <w:r>
        <w:tab/>
        <w:t>NER 6.5.6(c), considered in more detail below</w:t>
      </w:r>
    </w:p>
  </w:footnote>
  <w:footnote w:id="182">
    <w:p w:rsidR="00223658" w:rsidRDefault="00223658" w:rsidP="00051BDB">
      <w:pPr>
        <w:pStyle w:val="FootnoteText"/>
      </w:pPr>
      <w:r>
        <w:rPr>
          <w:rStyle w:val="FootnoteReference"/>
        </w:rPr>
        <w:footnoteRef/>
      </w:r>
      <w:r>
        <w:t xml:space="preserve"> </w:t>
      </w:r>
      <w:r>
        <w:tab/>
        <w:t>NER 6.5.6(d),</w:t>
      </w:r>
      <w:r w:rsidRPr="00A81724">
        <w:t xml:space="preserve"> </w:t>
      </w:r>
      <w:r>
        <w:t>considered in more detail below</w:t>
      </w:r>
    </w:p>
  </w:footnote>
  <w:footnote w:id="183">
    <w:p w:rsidR="00223658" w:rsidRDefault="00223658" w:rsidP="00051BDB">
      <w:pPr>
        <w:pStyle w:val="FootnoteText"/>
      </w:pPr>
      <w:r>
        <w:rPr>
          <w:rStyle w:val="FootnoteReference"/>
        </w:rPr>
        <w:footnoteRef/>
      </w:r>
      <w:r>
        <w:t xml:space="preserve"> </w:t>
      </w:r>
      <w:r>
        <w:tab/>
      </w:r>
      <w:r w:rsidRPr="0060720C">
        <w:t xml:space="preserve">Ausgrid, Regulatory proposal, 2014, p. 53; Endeavour Energy, Regulatory proposal to the Australian Energy Regulator, 2014, p. 83; Essential Energy, Regulatory proposal, 2014, p. 71. </w:t>
      </w:r>
      <w:r>
        <w:t xml:space="preserve"> </w:t>
      </w:r>
    </w:p>
  </w:footnote>
  <w:footnote w:id="184">
    <w:p w:rsidR="00223658" w:rsidRDefault="00223658" w:rsidP="00051BDB">
      <w:pPr>
        <w:pStyle w:val="FootnoteText"/>
      </w:pPr>
      <w:r>
        <w:rPr>
          <w:rStyle w:val="FootnoteReference"/>
        </w:rPr>
        <w:footnoteRef/>
      </w:r>
      <w:r>
        <w:t xml:space="preserve"> </w:t>
      </w:r>
      <w:r>
        <w:tab/>
      </w:r>
      <w:r w:rsidRPr="00F936BA">
        <w:t>AER, Expenditure forecast assessment guideline, November 2013, p. 22</w:t>
      </w:r>
    </w:p>
  </w:footnote>
  <w:footnote w:id="185">
    <w:p w:rsidR="00223658" w:rsidRDefault="00223658" w:rsidP="00051BDB">
      <w:pPr>
        <w:pStyle w:val="FootnoteText"/>
      </w:pPr>
      <w:r>
        <w:rPr>
          <w:rStyle w:val="FootnoteReference"/>
        </w:rPr>
        <w:footnoteRef/>
      </w:r>
      <w:r>
        <w:t xml:space="preserve"> </w:t>
      </w:r>
      <w:r>
        <w:tab/>
      </w:r>
      <w:r w:rsidRPr="00FC2D75">
        <w:t>AEMC, Final Rule Determination: National Electricity Amendment (Economic Regulation of Network Service Providers) Rule 2012, 29 November 2012, p. 97.</w:t>
      </w:r>
    </w:p>
  </w:footnote>
  <w:footnote w:id="186">
    <w:p w:rsidR="00223658" w:rsidRDefault="00223658" w:rsidP="00051BDB">
      <w:pPr>
        <w:pStyle w:val="FootnoteText"/>
      </w:pPr>
      <w:r>
        <w:rPr>
          <w:rStyle w:val="FootnoteReference"/>
        </w:rPr>
        <w:footnoteRef/>
      </w:r>
      <w:r>
        <w:t xml:space="preserve"> </w:t>
      </w:r>
      <w:r>
        <w:tab/>
      </w:r>
      <w:r w:rsidRPr="00FC2D75">
        <w:t>AEMC, Final Rule Determination, 29 November 2012, pp. 112–113.</w:t>
      </w:r>
    </w:p>
  </w:footnote>
  <w:footnote w:id="187">
    <w:p w:rsidR="00223658" w:rsidRDefault="00223658" w:rsidP="00051BDB">
      <w:pPr>
        <w:pStyle w:val="FootnoteText"/>
      </w:pPr>
      <w:r>
        <w:rPr>
          <w:rStyle w:val="FootnoteReference"/>
        </w:rPr>
        <w:footnoteRef/>
      </w:r>
      <w:r>
        <w:t xml:space="preserve"> </w:t>
      </w:r>
      <w:r>
        <w:tab/>
      </w:r>
      <w:r w:rsidRPr="00F82CB3">
        <w:t>Economic Insights, 2014, p. iv</w:t>
      </w:r>
    </w:p>
  </w:footnote>
  <w:footnote w:id="188">
    <w:p w:rsidR="00223658" w:rsidRDefault="00223658" w:rsidP="00051BDB">
      <w:pPr>
        <w:pStyle w:val="FootnoteText"/>
      </w:pPr>
      <w:r>
        <w:rPr>
          <w:rStyle w:val="FootnoteReference"/>
        </w:rPr>
        <w:footnoteRef/>
      </w:r>
      <w:r>
        <w:t xml:space="preserve"> </w:t>
      </w:r>
      <w:r>
        <w:tab/>
      </w:r>
      <w:r w:rsidRPr="00F936BA">
        <w:t xml:space="preserve">AER, Expenditure forecast assessment guideline, November 2013, p. </w:t>
      </w:r>
      <w:r>
        <w:t>32</w:t>
      </w:r>
      <w:r w:rsidRPr="00FC2D75">
        <w:t>–</w:t>
      </w:r>
      <w:r>
        <w:t>33.</w:t>
      </w:r>
    </w:p>
  </w:footnote>
  <w:footnote w:id="189">
    <w:p w:rsidR="00223658" w:rsidRDefault="00223658" w:rsidP="00051BDB">
      <w:pPr>
        <w:pStyle w:val="FootnoteText"/>
      </w:pPr>
      <w:r>
        <w:rPr>
          <w:rStyle w:val="FootnoteReference"/>
        </w:rPr>
        <w:footnoteRef/>
      </w:r>
      <w:r>
        <w:t xml:space="preserve"> </w:t>
      </w:r>
      <w:r>
        <w:tab/>
        <w:t xml:space="preserve">This approach is a departure from our draft decision approach to determining the benchmark comparison point. We discuss this further in section </w:t>
      </w:r>
      <w:r w:rsidRPr="00917A40">
        <w:fldChar w:fldCharType="begin"/>
      </w:r>
      <w:r w:rsidRPr="00917A40">
        <w:instrText xml:space="preserve"> REF _Ref414535793 \n \h </w:instrText>
      </w:r>
      <w:r w:rsidRPr="00917A40">
        <w:fldChar w:fldCharType="separate"/>
      </w:r>
      <w:r w:rsidRPr="00917A40">
        <w:t>A.7</w:t>
      </w:r>
      <w:r w:rsidRPr="00917A40">
        <w:fldChar w:fldCharType="end"/>
      </w:r>
      <w:r>
        <w:t>.</w:t>
      </w:r>
    </w:p>
  </w:footnote>
  <w:footnote w:id="190">
    <w:p w:rsidR="00223658" w:rsidRDefault="00223658" w:rsidP="00051BDB">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191">
    <w:p w:rsidR="00223658" w:rsidRDefault="00223658" w:rsidP="00051BDB">
      <w:pPr>
        <w:pStyle w:val="FootnoteText"/>
      </w:pPr>
      <w:r>
        <w:rPr>
          <w:rStyle w:val="FootnoteReference"/>
        </w:rPr>
        <w:footnoteRef/>
      </w:r>
      <w:r>
        <w:t xml:space="preserve"> </w:t>
      </w:r>
      <w:r>
        <w:tab/>
        <w:t xml:space="preserve">For example. </w:t>
      </w:r>
      <w:r w:rsidRPr="0066706A">
        <w:t>Huegin Consulting, Submission on the AER Expenditure Guidelines: A Review of the Benchmarking Techniques Proposed, 20 September 2013, p. 10 and p. 13.</w:t>
      </w:r>
    </w:p>
  </w:footnote>
  <w:footnote w:id="192">
    <w:p w:rsidR="00223658" w:rsidRPr="004B76D8" w:rsidRDefault="00223658" w:rsidP="00051BDB">
      <w:pPr>
        <w:pStyle w:val="FootnoteText"/>
        <w:rPr>
          <w:shd w:val="clear" w:color="auto" w:fill="FFFF00"/>
        </w:rPr>
      </w:pPr>
      <w:r>
        <w:rPr>
          <w:rStyle w:val="FootnoteReference"/>
        </w:rPr>
        <w:footnoteRef/>
      </w:r>
      <w:r>
        <w:t xml:space="preserve"> </w:t>
      </w:r>
      <w:r>
        <w:tab/>
      </w:r>
      <w:r w:rsidRPr="00974242">
        <w:t>For example, in the explanatory statement to our expenditure forecast assessment guideline, we  ask no less than 24 questions on economic benchmarking. In their submission on the explanatory statement the NSW distributors did not address any of these questions despite having multiple reports that were relevant. AER, Better Regulation, Expenditure forecast assessment guidelines for electricity distribution and transmission, Issues paper, December 2012, pp 88–91.</w:t>
      </w:r>
    </w:p>
  </w:footnote>
  <w:footnote w:id="193">
    <w:p w:rsidR="00223658" w:rsidRDefault="00223658" w:rsidP="00051BDB">
      <w:pPr>
        <w:pStyle w:val="FootnoteText"/>
      </w:pPr>
      <w:r>
        <w:rPr>
          <w:rStyle w:val="FootnoteReference"/>
        </w:rPr>
        <w:footnoteRef/>
      </w:r>
      <w:r>
        <w:t xml:space="preserve"> </w:t>
      </w:r>
      <w:r>
        <w:tab/>
        <w:t xml:space="preserve">For example:  </w:t>
      </w:r>
      <w:r w:rsidRPr="00974242">
        <w:t xml:space="preserve">Evans &amp; Peck, Review of factors contributing to variations in operating and capital costs structures of Australia </w:t>
      </w:r>
      <w:r>
        <w:t xml:space="preserve">distributors, Final Report, November 2012; </w:t>
      </w:r>
      <w:r w:rsidRPr="00974242">
        <w:t>Huegin</w:t>
      </w:r>
      <w:r>
        <w:t xml:space="preserve"> Consulting </w:t>
      </w:r>
      <w:r w:rsidRPr="00974242">
        <w:t>, Distribution benchmarking study, 2012</w:t>
      </w:r>
    </w:p>
  </w:footnote>
  <w:footnote w:id="194">
    <w:p w:rsidR="00223658" w:rsidRDefault="00223658" w:rsidP="00051BDB">
      <w:pPr>
        <w:pStyle w:val="FootnoteText"/>
      </w:pPr>
      <w:r>
        <w:rPr>
          <w:rStyle w:val="FootnoteReference"/>
        </w:rPr>
        <w:footnoteRef/>
      </w:r>
      <w:r>
        <w:t xml:space="preserve"> </w:t>
      </w:r>
      <w:r>
        <w:tab/>
      </w:r>
      <w:r w:rsidRPr="004B76D8">
        <w:t>Application by Ergon Energy Corporation Limited (Labour Cost Escalators) (No 3) [2010] ACompT 11</w:t>
      </w:r>
      <w:r>
        <w:t xml:space="preserve"> at [69]</w:t>
      </w:r>
    </w:p>
  </w:footnote>
  <w:footnote w:id="195">
    <w:p w:rsidR="00223658" w:rsidRDefault="00223658" w:rsidP="00051BDB">
      <w:pPr>
        <w:pStyle w:val="FootnoteText"/>
      </w:pPr>
      <w:r>
        <w:rPr>
          <w:rStyle w:val="FootnoteReference"/>
        </w:rPr>
        <w:footnoteRef/>
      </w:r>
      <w:r>
        <w:t xml:space="preserve"> </w:t>
      </w:r>
      <w:r>
        <w:tab/>
        <w:t>The opex criteria broadly reflect the NEO as noted by the</w:t>
      </w:r>
      <w:r w:rsidRPr="001B3605">
        <w:t xml:space="preserve"> AEMC, Final Rule Determination: National Electricity Amendment (Economic Regulation of Network Service Providers) Rul</w:t>
      </w:r>
      <w:r>
        <w:t>e 2012, 29 November 2012, p. 113</w:t>
      </w:r>
      <w:r w:rsidRPr="001B3605">
        <w:t xml:space="preserve">. </w:t>
      </w:r>
    </w:p>
  </w:footnote>
  <w:footnote w:id="196">
    <w:p w:rsidR="00223658" w:rsidRDefault="00223658" w:rsidP="00051BDB"/>
  </w:footnote>
  <w:footnote w:id="197">
    <w:p w:rsidR="00223658" w:rsidRDefault="00223658" w:rsidP="00051BDB">
      <w:pPr>
        <w:pStyle w:val="FootnoteText"/>
      </w:pPr>
      <w:r>
        <w:rPr>
          <w:rStyle w:val="FootnoteReference"/>
        </w:rPr>
        <w:footnoteRef/>
      </w:r>
      <w:r>
        <w:t xml:space="preserve"> </w:t>
      </w:r>
      <w:r>
        <w:tab/>
        <w:t xml:space="preserve">The Australian Competition Tribunal has applied the term in this fashion in at least the following matters: </w:t>
      </w:r>
      <w:r w:rsidRPr="00196E52">
        <w:t>Application by Ergon Energy Corporation Limited (Non-system property capital expen</w:t>
      </w:r>
      <w:r>
        <w:t xml:space="preserve">diture) (No 4) [2010] ACompT 12; </w:t>
      </w:r>
      <w:r w:rsidRPr="00196E52">
        <w:t xml:space="preserve">Application by EnergyAustralia and Others </w:t>
      </w:r>
      <w:r>
        <w:t xml:space="preserve">[2009] ACompT 8; </w:t>
      </w:r>
      <w:r w:rsidRPr="00196E52">
        <w:t>Application by Ergon Energy Corporation Limited (Labour Cost Esca</w:t>
      </w:r>
      <w:r>
        <w:t xml:space="preserve">lators) (No 3) [2010] ACompT 11; </w:t>
      </w:r>
      <w:r w:rsidRPr="00196E52">
        <w:t xml:space="preserve">Application by DBNGP (WA) Transmission </w:t>
      </w:r>
      <w:r>
        <w:t xml:space="preserve">Pty Ltd (No 3) [2012] ACompT 14; </w:t>
      </w:r>
      <w:r w:rsidRPr="00196E52">
        <w:t>Application by United Energy Distribut</w:t>
      </w:r>
      <w:r>
        <w:t xml:space="preserve">ion Pty Limited [2012] ACompT 1; </w:t>
      </w:r>
      <w:r w:rsidRPr="00196E52">
        <w:t xml:space="preserve">Re: Application by ElectraNet Pty </w:t>
      </w:r>
      <w:r>
        <w:t xml:space="preserve">Limited (No 3) [2008] ACompT 3 ; </w:t>
      </w:r>
      <w:r w:rsidRPr="00196E52">
        <w:t>Application by DBNGP (WA) Transmission Pty Ltd [2012] ACompT 6</w:t>
      </w:r>
    </w:p>
  </w:footnote>
  <w:footnote w:id="198">
    <w:p w:rsidR="00223658" w:rsidRDefault="00223658" w:rsidP="00051BDB">
      <w:pPr>
        <w:pStyle w:val="FootnoteText"/>
      </w:pPr>
      <w:r>
        <w:rPr>
          <w:rStyle w:val="FootnoteReference"/>
        </w:rPr>
        <w:footnoteRef/>
      </w:r>
      <w:r>
        <w:t xml:space="preserve"> </w:t>
      </w:r>
      <w:r>
        <w:tab/>
        <w:t xml:space="preserve">AEMC, </w:t>
      </w:r>
      <w:r w:rsidRPr="00EE7EC0">
        <w:t>Draft</w:t>
      </w:r>
      <w:r w:rsidRPr="00B2272D">
        <w:t xml:space="preserve"> rule determination</w:t>
      </w:r>
      <w:r>
        <w:t>:</w:t>
      </w:r>
      <w:r w:rsidRPr="00EE7EC0">
        <w:t xml:space="preserve"> National Electricity Amendment (Economic Regulation of Network Service Providers) Rule 2012,</w:t>
      </w:r>
      <w:r>
        <w:t xml:space="preserve"> </w:t>
      </w:r>
      <w:r w:rsidRPr="00EE7EC0">
        <w:t>p 76</w:t>
      </w:r>
      <w:r>
        <w:t>.</w:t>
      </w:r>
    </w:p>
  </w:footnote>
  <w:footnote w:id="199">
    <w:p w:rsidR="00223658" w:rsidRDefault="00223658" w:rsidP="00051BDB">
      <w:pPr>
        <w:pStyle w:val="FootnoteText"/>
      </w:pPr>
      <w:r>
        <w:rPr>
          <w:rStyle w:val="FootnoteReference"/>
        </w:rPr>
        <w:footnoteRef/>
      </w:r>
      <w:r>
        <w:t xml:space="preserve"> </w:t>
      </w:r>
      <w:r>
        <w:tab/>
      </w:r>
      <w:r w:rsidRPr="00196E52">
        <w:t>Application by ElectraNet Pty Limited (No 3) [2008] ACompT 3</w:t>
      </w:r>
      <w:r>
        <w:t xml:space="preserve"> at 199; </w:t>
      </w:r>
      <w:r w:rsidRPr="00196E52">
        <w:rPr>
          <w:rStyle w:val="FootnoteReference"/>
        </w:rPr>
        <w:footnoteRef/>
      </w:r>
      <w:r w:rsidRPr="00196E52">
        <w:t xml:space="preserve">  Application by EnergyAustralia and Others [2009] ACompT 8 at 141, citing reports prepared by service providers and the NER from 2008.</w:t>
      </w:r>
      <w:r>
        <w:t xml:space="preserve"> </w:t>
      </w:r>
    </w:p>
  </w:footnote>
  <w:footnote w:id="200">
    <w:p w:rsidR="00223658" w:rsidRDefault="00223658" w:rsidP="00051BDB">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 113.</w:t>
      </w:r>
      <w:r w:rsidRPr="00B2272D">
        <w:t xml:space="preserve">  </w:t>
      </w:r>
      <w:r>
        <w:t xml:space="preserve">See also </w:t>
      </w:r>
      <w:r w:rsidRPr="00E01871">
        <w:t xml:space="preserve">pp. </w:t>
      </w:r>
      <w:r>
        <w:t>viii, 25, 98, 107-108.</w:t>
      </w:r>
    </w:p>
  </w:footnote>
  <w:footnote w:id="201">
    <w:p w:rsidR="00223658" w:rsidRDefault="00223658" w:rsidP="00051BDB">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202">
    <w:p w:rsidR="00223658" w:rsidRDefault="00223658" w:rsidP="00051BDB">
      <w:pPr>
        <w:pStyle w:val="FootnoteText"/>
      </w:pPr>
      <w:r>
        <w:rPr>
          <w:rStyle w:val="FootnoteReference"/>
        </w:rPr>
        <w:footnoteRef/>
      </w:r>
      <w:r>
        <w:t xml:space="preserve"> </w:t>
      </w:r>
      <w:r>
        <w:tab/>
        <w:t>NER 6.5.6(a)</w:t>
      </w:r>
    </w:p>
  </w:footnote>
  <w:footnote w:id="203">
    <w:p w:rsidR="00223658" w:rsidRDefault="00223658" w:rsidP="00051BDB">
      <w:pPr>
        <w:pStyle w:val="FootnoteText"/>
      </w:pPr>
      <w:r>
        <w:rPr>
          <w:rStyle w:val="FootnoteReference"/>
        </w:rPr>
        <w:footnoteRef/>
      </w:r>
      <w:r>
        <w:t xml:space="preserve"> </w:t>
      </w:r>
      <w:r>
        <w:tab/>
      </w:r>
      <w:r w:rsidRPr="002D1E18">
        <w:t>AEMC, National Electricity Amendment (Economic Regulation of Network Service Providers) Rule 2012 No.9</w:t>
      </w:r>
      <w:r>
        <w:t xml:space="preserve"> at 93</w:t>
      </w:r>
    </w:p>
  </w:footnote>
  <w:footnote w:id="204">
    <w:p w:rsidR="00223658" w:rsidRDefault="00223658" w:rsidP="00051BDB">
      <w:pPr>
        <w:pStyle w:val="FootnoteText"/>
      </w:pPr>
      <w:r>
        <w:rPr>
          <w:rStyle w:val="FootnoteReference"/>
        </w:rPr>
        <w:footnoteRef/>
      </w:r>
      <w:r>
        <w:t xml:space="preserve"> </w:t>
      </w:r>
      <w:r>
        <w:tab/>
      </w:r>
      <w:r w:rsidRPr="00B2272D">
        <w:t>AEMC, Final Rule Determination: National Electricity Amendment (Economic Regulation of Network Service Providers) Rule 2012, 29 November 2012, p</w:t>
      </w:r>
      <w:r>
        <w:t xml:space="preserve">p 165, </w:t>
      </w:r>
    </w:p>
  </w:footnote>
  <w:footnote w:id="205">
    <w:p w:rsidR="00223658" w:rsidRDefault="00223658" w:rsidP="00051BDB">
      <w:pPr>
        <w:pStyle w:val="FootnoteText"/>
      </w:pPr>
      <w:r>
        <w:rPr>
          <w:rStyle w:val="FootnoteReference"/>
        </w:rPr>
        <w:footnoteRef/>
      </w:r>
      <w:r>
        <w:t xml:space="preserve">  </w:t>
      </w:r>
      <w:r>
        <w:tab/>
      </w:r>
      <w:r w:rsidRPr="009A5C4A">
        <w:t>Application by  Envestra  Limited (No 2) [2012] ACompT 3 at [146] , approved of in Application by  APA GasNet Australia  (Operations) Pty Limited (No 2) [2013] ACompT 8 at [232]</w:t>
      </w:r>
    </w:p>
  </w:footnote>
  <w:footnote w:id="206">
    <w:p w:rsidR="00223658" w:rsidRDefault="00223658" w:rsidP="00051BDB">
      <w:pPr>
        <w:pStyle w:val="FootnoteText"/>
      </w:pPr>
      <w:r>
        <w:rPr>
          <w:rStyle w:val="FootnoteReference"/>
        </w:rPr>
        <w:footnoteRef/>
      </w:r>
      <w:r>
        <w:t xml:space="preserve"> </w:t>
      </w:r>
      <w:r>
        <w:tab/>
      </w:r>
      <w:r w:rsidRPr="00317693">
        <w:t>AEMC, Economic Regulation of Transmission Services, Rule Determination, 16 November 2006</w:t>
      </w:r>
      <w:r>
        <w:t xml:space="preserve"> at </w:t>
      </w:r>
      <w:r w:rsidRPr="00317693">
        <w:t>50, 52, 53</w:t>
      </w:r>
    </w:p>
  </w:footnote>
  <w:footnote w:id="207">
    <w:p w:rsidR="00223658" w:rsidRDefault="00223658" w:rsidP="00051BDB">
      <w:pPr>
        <w:pStyle w:val="FootnoteText"/>
      </w:pPr>
      <w:r>
        <w:rPr>
          <w:rStyle w:val="FootnoteReference"/>
        </w:rPr>
        <w:footnoteRef/>
      </w:r>
      <w:r>
        <w:t xml:space="preserve"> </w:t>
      </w:r>
      <w:r>
        <w:tab/>
        <w:t>NER 6.5.6(1)</w:t>
      </w:r>
    </w:p>
  </w:footnote>
  <w:footnote w:id="208">
    <w:p w:rsidR="00223658" w:rsidRDefault="00223658" w:rsidP="00051BDB">
      <w:pPr>
        <w:pStyle w:val="FootnoteText"/>
      </w:pPr>
      <w:r>
        <w:rPr>
          <w:rStyle w:val="FootnoteReference"/>
        </w:rPr>
        <w:footnoteRef/>
      </w:r>
      <w:r>
        <w:t xml:space="preserve"> </w:t>
      </w:r>
      <w:r>
        <w:tab/>
        <w:t>NEL 7A(2)(b)</w:t>
      </w:r>
    </w:p>
  </w:footnote>
  <w:footnote w:id="209">
    <w:p w:rsidR="00223658" w:rsidRDefault="00223658" w:rsidP="00051BDB">
      <w:pPr>
        <w:pStyle w:val="FootnoteText"/>
      </w:pPr>
      <w:r>
        <w:rPr>
          <w:rStyle w:val="FootnoteReference"/>
        </w:rPr>
        <w:footnoteRef/>
      </w:r>
      <w:r>
        <w:t xml:space="preserve"> </w:t>
      </w:r>
      <w:r>
        <w:tab/>
      </w:r>
      <w:r w:rsidRPr="00B346A7">
        <w:t>NER ch</w:t>
      </w:r>
      <w:r>
        <w:t>apter</w:t>
      </w:r>
      <w:r w:rsidRPr="00B346A7">
        <w:t xml:space="preserve"> 10</w:t>
      </w:r>
      <w:r>
        <w:t>,</w:t>
      </w:r>
      <w:r w:rsidRPr="00B346A7">
        <w:t xml:space="preserve"> definition of 'regulatory obligation or requirement' and NEL, s2D.</w:t>
      </w:r>
    </w:p>
  </w:footnote>
  <w:footnote w:id="210">
    <w:p w:rsidR="00223658" w:rsidRDefault="00223658" w:rsidP="00051BDB">
      <w:pPr>
        <w:pStyle w:val="FootnoteText"/>
      </w:pPr>
      <w:r>
        <w:rPr>
          <w:rStyle w:val="FootnoteReference"/>
        </w:rPr>
        <w:footnoteRef/>
      </w:r>
      <w:r>
        <w:t xml:space="preserve"> </w:t>
      </w:r>
      <w:r>
        <w:tab/>
        <w:t>NEL s 5. This means that only jurisdictions which have passed a version of the NEL are participating jurisdictions.</w:t>
      </w:r>
    </w:p>
  </w:footnote>
  <w:footnote w:id="211">
    <w:p w:rsidR="00223658" w:rsidRDefault="00223658" w:rsidP="00051BDB">
      <w:pPr>
        <w:pStyle w:val="FootnoteText"/>
      </w:pPr>
      <w:r>
        <w:rPr>
          <w:rStyle w:val="FootnoteReference"/>
        </w:rPr>
        <w:footnoteRef/>
      </w:r>
      <w:r>
        <w:t xml:space="preserve"> </w:t>
      </w:r>
      <w:r>
        <w:tab/>
        <w:t xml:space="preserve">See Second reading speech, </w:t>
      </w:r>
      <w:r w:rsidRPr="007121DD">
        <w:t xml:space="preserve">National Electricity (South Australia) </w:t>
      </w:r>
      <w:r>
        <w:t xml:space="preserve">(NEL -Miscellaneous Amendments) Bill </w:t>
      </w:r>
      <w:r w:rsidRPr="007121DD">
        <w:t>1996</w:t>
      </w:r>
      <w:r>
        <w:t>, p 6.</w:t>
      </w:r>
    </w:p>
  </w:footnote>
  <w:footnote w:id="212">
    <w:p w:rsidR="00223658" w:rsidRDefault="00223658" w:rsidP="00051BDB">
      <w:pPr>
        <w:pStyle w:val="FootnoteText"/>
      </w:pPr>
      <w:r>
        <w:rPr>
          <w:rStyle w:val="FootnoteReference"/>
        </w:rPr>
        <w:footnoteRef/>
      </w:r>
      <w:r>
        <w:t xml:space="preserve"> </w:t>
      </w:r>
      <w:r>
        <w:tab/>
        <w:t>Although these obligations may be informed by other requirements that do meet the definition.</w:t>
      </w:r>
    </w:p>
  </w:footnote>
  <w:footnote w:id="213">
    <w:p w:rsidR="00223658" w:rsidRDefault="00223658" w:rsidP="00051BDB">
      <w:pPr>
        <w:pStyle w:val="FootnoteText"/>
      </w:pPr>
      <w:r>
        <w:rPr>
          <w:rStyle w:val="FootnoteReference"/>
        </w:rPr>
        <w:footnoteRef/>
      </w:r>
      <w:r>
        <w:t xml:space="preserve"> </w:t>
      </w:r>
      <w:r>
        <w:tab/>
        <w:t>Schedule 2 to the Competition and Consumer Act 2010 (Cth), various equivalents in state legislation identical terms.</w:t>
      </w:r>
    </w:p>
  </w:footnote>
  <w:footnote w:id="214">
    <w:p w:rsidR="00223658" w:rsidRDefault="00223658" w:rsidP="00051BDB">
      <w:pPr>
        <w:pStyle w:val="FootnoteText"/>
      </w:pPr>
      <w:r>
        <w:rPr>
          <w:rStyle w:val="FootnoteReference"/>
        </w:rPr>
        <w:footnoteRef/>
      </w:r>
      <w:r>
        <w:t xml:space="preserve"> </w:t>
      </w:r>
      <w:r>
        <w:tab/>
        <w:t xml:space="preserve">For example, ActewAGL Revised proposal at 2, 4. </w:t>
      </w:r>
    </w:p>
  </w:footnote>
  <w:footnote w:id="215">
    <w:p w:rsidR="00223658" w:rsidRDefault="00223658" w:rsidP="00051BDB">
      <w:pPr>
        <w:pStyle w:val="FootnoteText"/>
      </w:pPr>
      <w:r>
        <w:rPr>
          <w:rStyle w:val="FootnoteReference"/>
        </w:rPr>
        <w:footnoteRef/>
      </w:r>
      <w:r>
        <w:t xml:space="preserve"> </w:t>
      </w:r>
      <w:r>
        <w:tab/>
        <w:t xml:space="preserve">Pursuant to the </w:t>
      </w:r>
      <w:r w:rsidRPr="00726A7C">
        <w:rPr>
          <w:rStyle w:val="AERtextitalic"/>
        </w:rPr>
        <w:t>Fair Work Act 2009 (Cth)</w:t>
      </w:r>
      <w:r>
        <w:t>.</w:t>
      </w:r>
    </w:p>
  </w:footnote>
  <w:footnote w:id="216">
    <w:p w:rsidR="00223658" w:rsidRDefault="00223658" w:rsidP="00051BDB">
      <w:pPr>
        <w:pStyle w:val="FootnoteText"/>
      </w:pPr>
      <w:r>
        <w:rPr>
          <w:rStyle w:val="FootnoteReference"/>
        </w:rPr>
        <w:footnoteRef/>
      </w:r>
      <w:r>
        <w:t xml:space="preserve"> </w:t>
      </w:r>
      <w:r>
        <w:tab/>
        <w:t>Ausgrid, Revised Regulatory Proposal, p. 5; Endeavour Energy, Revised Regulatory Proposal, p. 3; Essential Energy, Revised Regulatory Proposal, p. 7; also implied by ActewAGL, Revised Regulatory Proposal, p . 68.</w:t>
      </w:r>
    </w:p>
  </w:footnote>
  <w:footnote w:id="217">
    <w:p w:rsidR="00223658" w:rsidRDefault="00223658" w:rsidP="00051BDB">
      <w:pPr>
        <w:pStyle w:val="FootnoteText"/>
      </w:pPr>
      <w:r>
        <w:rPr>
          <w:rStyle w:val="FootnoteReference"/>
        </w:rPr>
        <w:footnoteRef/>
      </w:r>
      <w:r>
        <w:t xml:space="preserve"> </w:t>
      </w:r>
      <w:r>
        <w:tab/>
        <w:t>The Commonwealth has not passed a version of the NEL so it is not a participating jurisdiction for the purposes of section 5 (and hence, section 2D) of the NEL. Commonwealth laws are 'regulatory obligations or requirements' if they fall within section 2D(1)(a). These relate to safety duties, reliability and service standards. However, commonwealth laws that fall within section 2D(1)(b), insofar as it refers to a 'participating jurisdiction', do not.</w:t>
      </w:r>
    </w:p>
  </w:footnote>
  <w:footnote w:id="218">
    <w:p w:rsidR="00223658" w:rsidRDefault="00223658" w:rsidP="00051BDB">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219">
    <w:p w:rsidR="00223658" w:rsidRDefault="00223658" w:rsidP="00051BDB">
      <w:pPr>
        <w:pStyle w:val="FootnoteText"/>
      </w:pPr>
      <w:r>
        <w:rPr>
          <w:rStyle w:val="FootnoteReference"/>
        </w:rPr>
        <w:footnoteRef/>
      </w:r>
      <w:r>
        <w:t xml:space="preserve"> </w:t>
      </w:r>
      <w:r>
        <w:tab/>
        <w:t>AEMC</w:t>
      </w:r>
      <w:r w:rsidRPr="00B2272D">
        <w:t>, Final Rule Determination: National Electricity Amendment (Economic Regulation of Network Service Providers) Rule 2012, 29 November 2012, pp 10</w:t>
      </w:r>
      <w:r>
        <w:t>1</w:t>
      </w:r>
      <w:r w:rsidRPr="00B2272D">
        <w:t xml:space="preserve">.  </w:t>
      </w:r>
    </w:p>
  </w:footnote>
  <w:footnote w:id="220">
    <w:p w:rsidR="00223658" w:rsidRDefault="00223658" w:rsidP="00051BDB">
      <w:pPr>
        <w:pStyle w:val="FootnoteText"/>
      </w:pPr>
      <w:r>
        <w:rPr>
          <w:rStyle w:val="FootnoteReference"/>
        </w:rPr>
        <w:footnoteRef/>
      </w:r>
      <w:r>
        <w:t xml:space="preserve"> </w:t>
      </w:r>
      <w:r>
        <w:tab/>
        <w:t>AER, Expenditure Forecast Assessment Guideline–Explanatory Statement, November 2013, p. 131.</w:t>
      </w:r>
    </w:p>
  </w:footnote>
  <w:footnote w:id="221">
    <w:p w:rsidR="00223658" w:rsidRDefault="00223658" w:rsidP="00051BDB">
      <w:pPr>
        <w:pStyle w:val="FootnoteText"/>
      </w:pPr>
      <w:r>
        <w:rPr>
          <w:rStyle w:val="FootnoteReference"/>
        </w:rPr>
        <w:footnoteRef/>
      </w:r>
      <w:r>
        <w:t xml:space="preserve">  </w:t>
      </w:r>
      <w:r>
        <w:tab/>
      </w:r>
      <w:r w:rsidRPr="00352D2C">
        <w:t xml:space="preserve">AEMC , Final Rule Determination: National Electricity Amendment (Economic Regulation of Network Service Providers) Rule 2012, 29 November 2012, pp 101.  </w:t>
      </w:r>
    </w:p>
  </w:footnote>
  <w:footnote w:id="222">
    <w:p w:rsidR="00223658" w:rsidRDefault="00223658" w:rsidP="00051BDB">
      <w:pPr>
        <w:pStyle w:val="FootnoteText"/>
      </w:pPr>
      <w:r>
        <w:rPr>
          <w:rStyle w:val="FootnoteReference"/>
        </w:rPr>
        <w:footnoteRef/>
      </w:r>
      <w:r>
        <w:t xml:space="preserve"> </w:t>
      </w:r>
      <w:r>
        <w:tab/>
      </w:r>
      <w:r w:rsidRPr="00A557BE">
        <w:t>AEMC, Final Rule Determination: National Electricity Amendment (Economic Regulation of Network Service Providers) Rule 2012, 29 November 2012, pp 1</w:t>
      </w:r>
      <w:r>
        <w:t>15</w:t>
      </w:r>
    </w:p>
  </w:footnote>
  <w:footnote w:id="223">
    <w:p w:rsidR="00223658" w:rsidRDefault="00223658" w:rsidP="00051BDB">
      <w:pPr>
        <w:pStyle w:val="FootnoteText"/>
      </w:pPr>
      <w:r>
        <w:rPr>
          <w:rStyle w:val="FootnoteReference"/>
        </w:rPr>
        <w:footnoteRef/>
      </w:r>
      <w:r>
        <w:t xml:space="preserve"> </w:t>
      </w:r>
      <w:r>
        <w:tab/>
        <w:t xml:space="preserve">Ausgrid, Revised Regulatory Proposal, pp. </w:t>
      </w:r>
      <w:r w:rsidRPr="009520B1">
        <w:t xml:space="preserve">23-24, </w:t>
      </w:r>
      <w:r>
        <w:t>129-138; Endeavour Energy, Revised Regulatory Proposal, pp. 25-26, 157-163; Essential Energy, Revised Regulatory Proposal, pp.29-30, 168-175.</w:t>
      </w:r>
    </w:p>
  </w:footnote>
  <w:footnote w:id="224">
    <w:p w:rsidR="00223658" w:rsidRDefault="00223658" w:rsidP="00051BDB">
      <w:pPr>
        <w:pStyle w:val="FootnoteText"/>
      </w:pPr>
      <w:r>
        <w:rPr>
          <w:rStyle w:val="FootnoteReference"/>
        </w:rPr>
        <w:footnoteRef/>
      </w:r>
      <w:r>
        <w:t xml:space="preserve"> </w:t>
      </w:r>
      <w:r>
        <w:tab/>
        <w:t xml:space="preserve">Ausgrid, Revised Regulatory Proposal, pp. </w:t>
      </w:r>
      <w:r w:rsidRPr="009520B1">
        <w:t xml:space="preserve">23-24, </w:t>
      </w:r>
      <w:r>
        <w:t>129-138; Endeavour Energy, Revised Regulatory Proposal, pp. 25-26, 157-163; Essential Energy, Revised Regulatory Proposal, pp.29-30, 168-175.</w:t>
      </w:r>
    </w:p>
  </w:footnote>
  <w:footnote w:id="225">
    <w:p w:rsidR="00223658" w:rsidRDefault="00223658" w:rsidP="00051BDB">
      <w:pPr>
        <w:pStyle w:val="FootnoteText"/>
      </w:pPr>
      <w:r>
        <w:rPr>
          <w:rStyle w:val="FootnoteReference"/>
        </w:rPr>
        <w:footnoteRef/>
      </w:r>
      <w:r>
        <w:t xml:space="preserve"> </w:t>
      </w:r>
      <w:r>
        <w:tab/>
        <w:t>Ausgrid, Revised Proposal, January 2015, p. 126; Endeavour Energy, Revised Regulatory Proposal, January 2015, p. 100; Essential Energy, Revised Regulatory Proposal, January 2015, p. 107.</w:t>
      </w:r>
    </w:p>
  </w:footnote>
  <w:footnote w:id="226">
    <w:p w:rsidR="00223658" w:rsidRDefault="00223658" w:rsidP="00051BDB">
      <w:pPr>
        <w:pStyle w:val="FootnoteText"/>
      </w:pPr>
      <w:r>
        <w:rPr>
          <w:rStyle w:val="FootnoteReference"/>
        </w:rPr>
        <w:footnoteRef/>
      </w:r>
      <w:r>
        <w:t xml:space="preserve"> </w:t>
      </w:r>
      <w:r>
        <w:tab/>
      </w:r>
      <w:r w:rsidRPr="00D15B3D">
        <w:t>AEMC, Final Rule Determination: National Electricity Amendment (Economic Regulation of Network Service Providers) Rule 2012, 29 November 2012, p. 115.</w:t>
      </w:r>
    </w:p>
  </w:footnote>
  <w:footnote w:id="227">
    <w:p w:rsidR="00223658" w:rsidRDefault="00223658" w:rsidP="00051BDB">
      <w:pPr>
        <w:pStyle w:val="FootnoteText"/>
      </w:pPr>
      <w:r>
        <w:rPr>
          <w:rStyle w:val="FootnoteReference"/>
        </w:rPr>
        <w:footnoteRef/>
      </w:r>
      <w:r>
        <w:t xml:space="preserve"> </w:t>
      </w:r>
      <w:r>
        <w:tab/>
        <w:t>AER, Draft Decision, Attachment 7,November 2014, pp. 7-10 to 7-11.</w:t>
      </w:r>
    </w:p>
  </w:footnote>
  <w:footnote w:id="228">
    <w:p w:rsidR="00223658" w:rsidRDefault="00223658" w:rsidP="00051BDB">
      <w:pPr>
        <w:pStyle w:val="FootnoteText"/>
      </w:pPr>
      <w:r>
        <w:rPr>
          <w:rStyle w:val="FootnoteReference"/>
        </w:rPr>
        <w:footnoteRef/>
      </w:r>
      <w:r>
        <w:t xml:space="preserve"> </w:t>
      </w:r>
      <w:r>
        <w:tab/>
        <w:t>AER, Expenditure Forecast Assessment Guideline–Explanatory Statement, November 2013, p. 22.</w:t>
      </w:r>
    </w:p>
  </w:footnote>
  <w:footnote w:id="229">
    <w:p w:rsidR="00223658" w:rsidRDefault="00223658" w:rsidP="00051BDB">
      <w:pPr>
        <w:pStyle w:val="FootnoteText"/>
      </w:pPr>
      <w:r>
        <w:rPr>
          <w:rStyle w:val="FootnoteReference"/>
        </w:rPr>
        <w:footnoteRef/>
      </w:r>
      <w:r>
        <w:t xml:space="preserve"> </w:t>
      </w:r>
      <w:r>
        <w:tab/>
        <w:t>For example,</w:t>
      </w:r>
      <w:r w:rsidRPr="00865DF9">
        <w:t xml:space="preserve"> </w:t>
      </w:r>
      <w:r w:rsidRPr="00EC7E78">
        <w:t>Consumer Challenge Panel, CCP1 Submission to AER Responding to NSW draft determinations and revised proposals from electricity distribution networks, 2 January 2015, pp. 9, 49-53; PIAC, A missed opportunity? Submission to the Australian Energy Regulator’s Draft Determination for Ausgrid, Endeavour Energy and Essential Energy, 13 February 2015, pp. 8-9, 26-32</w:t>
      </w:r>
      <w:r>
        <w:t xml:space="preserve">; </w:t>
      </w:r>
      <w:r w:rsidRPr="00865DF9">
        <w:t>Origin Energy, Submission to Queensland Electricity Distributors’ Regulatory Proposals, 30 January 2015, pp. 11-15; AGL, Energex Regulatory Proposal: July 2015 to June 2020 - AGL submission to the Australian Energy Regulator, 30 January 2015, pp. 7-9; Consumer Challenge Panel, CCP2 Panel Submission on Energex and Ergon Energy Capex and Opex Proposals, 30 January 2015, pp. 16-26.</w:t>
      </w:r>
    </w:p>
  </w:footnote>
  <w:footnote w:id="230">
    <w:p w:rsidR="00223658" w:rsidRDefault="00223658" w:rsidP="00051BDB">
      <w:pPr>
        <w:pStyle w:val="FootnoteText"/>
      </w:pPr>
      <w:r>
        <w:rPr>
          <w:rStyle w:val="FootnoteReference"/>
        </w:rPr>
        <w:footnoteRef/>
      </w:r>
      <w:r>
        <w:t xml:space="preserve"> </w:t>
      </w:r>
      <w:r>
        <w:tab/>
      </w:r>
      <w:r w:rsidRPr="001C3972">
        <w:t>Productivity Commission, Electricity network regulatory frameworks – inquiry report, Volume 1, 9 April 2013, pp. 2–3, 187</w:t>
      </w:r>
      <w:r>
        <w:t>.</w:t>
      </w:r>
    </w:p>
  </w:footnote>
  <w:footnote w:id="231">
    <w:p w:rsidR="00223658" w:rsidRDefault="00223658" w:rsidP="00051BDB">
      <w:pPr>
        <w:pStyle w:val="FootnoteText"/>
      </w:pPr>
      <w:r>
        <w:rPr>
          <w:rStyle w:val="FootnoteReference"/>
        </w:rPr>
        <w:footnoteRef/>
      </w:r>
      <w:r>
        <w:t xml:space="preserve"> </w:t>
      </w:r>
      <w:r>
        <w:tab/>
      </w:r>
      <w:r w:rsidRPr="001C3972">
        <w:t>Australian Government, The Australian Government response to the Productivity Commission inquiry report – Electricity Network Regulatory Frameworks, June 2013, pp. i–ii, 3–9.</w:t>
      </w:r>
    </w:p>
  </w:footnote>
  <w:footnote w:id="232">
    <w:p w:rsidR="00223658" w:rsidRDefault="00223658" w:rsidP="00051BDB">
      <w:pPr>
        <w:pStyle w:val="FootnoteText"/>
      </w:pPr>
      <w:r>
        <w:rPr>
          <w:rStyle w:val="FootnoteReference"/>
        </w:rPr>
        <w:footnoteRef/>
      </w:r>
      <w:r>
        <w:t xml:space="preserve"> </w:t>
      </w:r>
      <w:r>
        <w:tab/>
      </w:r>
      <w:r w:rsidRPr="001C3972">
        <w:t>AEMC, Final Rule Determination: National Electricity Amendment (Economic Regulation of Network Service Providers) Rule 2012, 29 November 2012, p</w:t>
      </w:r>
      <w:r>
        <w:t>p</w:t>
      </w:r>
      <w:r w:rsidRPr="001C3972">
        <w:t xml:space="preserve">. </w:t>
      </w:r>
      <w:r>
        <w:t>viii, 107, 113</w:t>
      </w:r>
      <w:r w:rsidRPr="001C3972">
        <w:t>.</w:t>
      </w:r>
    </w:p>
  </w:footnote>
  <w:footnote w:id="233">
    <w:p w:rsidR="00223658" w:rsidRDefault="00223658" w:rsidP="00051BDB">
      <w:pPr>
        <w:pStyle w:val="FootnoteText"/>
      </w:pPr>
      <w:r>
        <w:rPr>
          <w:rStyle w:val="FootnoteReference"/>
        </w:rPr>
        <w:footnoteRef/>
      </w:r>
      <w:r>
        <w:t xml:space="preserve"> </w:t>
      </w:r>
      <w:r>
        <w:tab/>
        <w:t xml:space="preserve">For example, Frontier Economics, </w:t>
      </w:r>
      <w:r w:rsidRPr="00DD76BD">
        <w:t xml:space="preserve">Review of the AER’s econometric benchmarking models and their application in the draft determinations for Networks </w:t>
      </w:r>
      <w:r>
        <w:t>NSW, January 2015, p 10</w:t>
      </w:r>
    </w:p>
  </w:footnote>
  <w:footnote w:id="234">
    <w:p w:rsidR="00223658" w:rsidRDefault="00223658" w:rsidP="00051BDB">
      <w:pPr>
        <w:pStyle w:val="FootnoteText"/>
      </w:pPr>
      <w:r>
        <w:rPr>
          <w:rStyle w:val="FootnoteReference"/>
        </w:rPr>
        <w:footnoteRef/>
      </w:r>
      <w:r>
        <w:t xml:space="preserve"> </w:t>
      </w:r>
      <w:r>
        <w:tab/>
        <w:t xml:space="preserve">For example, ActewAGL </w:t>
      </w:r>
      <w:r w:rsidRPr="00834A5F">
        <w:t xml:space="preserve">Revised Regulatory Proposal, </w:t>
      </w:r>
      <w:r>
        <w:t xml:space="preserve"> 2.3.1, when read with section 2.2.4.</w:t>
      </w:r>
    </w:p>
  </w:footnote>
  <w:footnote w:id="235">
    <w:p w:rsidR="00223658" w:rsidRDefault="00223658" w:rsidP="00051BDB">
      <w:pPr>
        <w:pStyle w:val="FootnoteText"/>
      </w:pPr>
      <w:r>
        <w:rPr>
          <w:rStyle w:val="FootnoteReference"/>
        </w:rPr>
        <w:footnoteRef/>
      </w:r>
      <w:r>
        <w:t xml:space="preserve"> </w:t>
      </w:r>
      <w:r>
        <w:tab/>
        <w:t>NER, clause 6.5.6(c).</w:t>
      </w:r>
    </w:p>
  </w:footnote>
  <w:footnote w:id="236">
    <w:p w:rsidR="00223658" w:rsidRDefault="00223658" w:rsidP="00051BDB">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237">
    <w:p w:rsidR="00223658" w:rsidRDefault="00223658" w:rsidP="00051BDB">
      <w:pPr>
        <w:pStyle w:val="FootnoteText"/>
      </w:pPr>
      <w:r>
        <w:rPr>
          <w:rStyle w:val="FootnoteReference"/>
        </w:rPr>
        <w:footnoteRef/>
      </w:r>
      <w:r>
        <w:t xml:space="preserve"> </w:t>
      </w:r>
      <w:r>
        <w:tab/>
        <w:t xml:space="preserve">See </w:t>
      </w:r>
      <w:r w:rsidRPr="003B1B2C">
        <w:t>AER, Explanatory Statement, Expenditure Forecast Assessment Guideline, p</w:t>
      </w:r>
      <w:r>
        <w:t xml:space="preserve"> 11.</w:t>
      </w:r>
    </w:p>
  </w:footnote>
  <w:footnote w:id="238">
    <w:p w:rsidR="00223658" w:rsidRDefault="00223658" w:rsidP="00051BDB">
      <w:pPr>
        <w:pStyle w:val="FootnoteText"/>
      </w:pPr>
      <w:r>
        <w:rPr>
          <w:rStyle w:val="FootnoteReference"/>
        </w:rPr>
        <w:footnoteRef/>
      </w:r>
      <w:r>
        <w:t xml:space="preserve"> </w:t>
      </w:r>
      <w:r>
        <w:tab/>
        <w:t xml:space="preserve">For example, PEG, Statistical Benchmarking for NSW Power Distributors, 19 January 2015, p 64 </w:t>
      </w:r>
    </w:p>
  </w:footnote>
  <w:footnote w:id="239">
    <w:p w:rsidR="00223658" w:rsidRDefault="00223658" w:rsidP="00051BDB">
      <w:pPr>
        <w:pStyle w:val="FootnoteText"/>
      </w:pPr>
      <w:r>
        <w:rPr>
          <w:rStyle w:val="FootnoteReference"/>
        </w:rPr>
        <w:footnoteRef/>
      </w:r>
      <w:r>
        <w:t xml:space="preserve"> </w:t>
      </w:r>
      <w:r>
        <w:tab/>
        <w:t>For example, Essential, Revised Regulatory Proposal p 29; ActewAGL, Revised Regulatory Proposal p 50.</w:t>
      </w:r>
    </w:p>
  </w:footnote>
  <w:footnote w:id="240">
    <w:p w:rsidR="00223658" w:rsidRDefault="00223658" w:rsidP="00051BDB">
      <w:pPr>
        <w:pStyle w:val="FootnoteText"/>
      </w:pPr>
      <w:r>
        <w:rPr>
          <w:rStyle w:val="FootnoteReference"/>
        </w:rPr>
        <w:footnoteRef/>
      </w:r>
      <w:r>
        <w:t xml:space="preserve"> </w:t>
      </w:r>
      <w:r>
        <w:tab/>
        <w:t>See, for example, AER, Draft Decision, Attachment 7, section A.3; AER, 2014 Annual Benchmarking Report, November 2014.</w:t>
      </w:r>
    </w:p>
  </w:footnote>
  <w:footnote w:id="241">
    <w:p w:rsidR="00223658" w:rsidRDefault="00223658" w:rsidP="00051BDB">
      <w:pPr>
        <w:pStyle w:val="FootnoteText"/>
      </w:pPr>
      <w:r>
        <w:rPr>
          <w:rStyle w:val="FootnoteReference"/>
        </w:rPr>
        <w:footnoteRef/>
      </w:r>
      <w:r>
        <w:t xml:space="preserve"> </w:t>
      </w:r>
      <w:r>
        <w:tab/>
        <w:t xml:space="preserve">ActewAGL, Revised Regulatory Proposal p 50; </w:t>
      </w:r>
      <w:r w:rsidRPr="00793BB3">
        <w:t>Ergon Energy Submission on Draft Decision p 9</w:t>
      </w:r>
      <w:r>
        <w:t xml:space="preserve">. </w:t>
      </w:r>
    </w:p>
  </w:footnote>
  <w:footnote w:id="242">
    <w:p w:rsidR="00223658" w:rsidRDefault="00223658" w:rsidP="00051BDB">
      <w:pPr>
        <w:pStyle w:val="FootnoteText"/>
      </w:pPr>
      <w:r>
        <w:rPr>
          <w:rStyle w:val="FootnoteReference"/>
        </w:rPr>
        <w:footnoteRef/>
      </w:r>
      <w:r>
        <w:t xml:space="preserve"> </w:t>
      </w:r>
      <w:r>
        <w:tab/>
        <w:t xml:space="preserve">See </w:t>
      </w:r>
      <w:r w:rsidRPr="00710307">
        <w:t>Application by Ergon Energy Corporation Limited (Labour Cost Escalators) (No 3) [2010] ACompT 11 at</w:t>
      </w:r>
      <w:r>
        <w:t xml:space="preserve"> [194](d) </w:t>
      </w:r>
    </w:p>
  </w:footnote>
  <w:footnote w:id="243">
    <w:p w:rsidR="00223658" w:rsidRDefault="00223658" w:rsidP="00051BDB">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Australian Competition Tribunal has endorsed this approach and indicated a similar preference: see for example </w:t>
      </w:r>
      <w:r w:rsidRPr="000D32BC">
        <w:t>Application by Ergon Energy Corporation Limited (Labour Cost Escalators) (No 3) [2010] ACompT 11</w:t>
      </w:r>
      <w:r>
        <w:t xml:space="preserve"> at [61] to [62].</w:t>
      </w:r>
    </w:p>
  </w:footnote>
  <w:footnote w:id="244">
    <w:p w:rsidR="00223658" w:rsidRDefault="00223658" w:rsidP="00756041">
      <w:pPr>
        <w:pStyle w:val="FootnoteText"/>
      </w:pPr>
      <w:r>
        <w:rPr>
          <w:rStyle w:val="FootnoteReference"/>
        </w:rPr>
        <w:footnoteRef/>
      </w:r>
      <w:r>
        <w:t xml:space="preserve"> </w:t>
      </w:r>
      <w:r>
        <w:tab/>
        <w:t xml:space="preserve">Ausgrid, </w:t>
      </w:r>
      <w:r w:rsidRPr="00E60BCB">
        <w:t>Revised Regulatory Proposal</w:t>
      </w:r>
      <w:r>
        <w:t>,</w:t>
      </w:r>
      <w:r w:rsidRPr="00E60BCB">
        <w:t xml:space="preserve"> </w:t>
      </w:r>
      <w:r>
        <w:t xml:space="preserve">pp. 134-139; Endeavour Energy, Revised Regulatory Proposal, pp. 159-163; Essential Energy, Revised Regulatory Proposal, pp.170-175; </w:t>
      </w:r>
      <w:r w:rsidRPr="001D75DC">
        <w:t>Networks NSW, NSW DNSPs' submission on the AER's draft determinations, 13 February 2015, pp. 6-9.</w:t>
      </w:r>
    </w:p>
  </w:footnote>
  <w:footnote w:id="245">
    <w:p w:rsidR="00223658" w:rsidRDefault="00223658" w:rsidP="00051BDB">
      <w:pPr>
        <w:pStyle w:val="FootnoteText"/>
      </w:pPr>
      <w:r>
        <w:rPr>
          <w:rStyle w:val="FootnoteReference"/>
        </w:rPr>
        <w:footnoteRef/>
      </w:r>
      <w:r>
        <w:t xml:space="preserve"> </w:t>
      </w:r>
      <w:r>
        <w:tab/>
      </w:r>
      <w:r w:rsidRPr="001C0CAD">
        <w:t>AEMC, Final Rule Determination: National Electricity Amendment (Economic Regulation of Network Service Providers) Rul</w:t>
      </w:r>
      <w:r>
        <w:t xml:space="preserve">e 2012, 29 November 2012, pp 90, 95, 96, 111,   See also: AER, Explanatory Statement, </w:t>
      </w:r>
      <w:r w:rsidRPr="001C0CAD">
        <w:t>Expenditure Forecast Assessment Guideline</w:t>
      </w:r>
      <w:r>
        <w:t>, p 7.</w:t>
      </w:r>
    </w:p>
  </w:footnote>
  <w:footnote w:id="246">
    <w:p w:rsidR="00223658" w:rsidRDefault="00223658" w:rsidP="00051BDB">
      <w:pPr>
        <w:pStyle w:val="FootnoteText"/>
      </w:pPr>
      <w:r>
        <w:rPr>
          <w:rStyle w:val="FootnoteReference"/>
        </w:rPr>
        <w:footnoteRef/>
      </w:r>
      <w:r>
        <w:t xml:space="preserve"> </w:t>
      </w:r>
      <w:r>
        <w:tab/>
      </w:r>
      <w:r w:rsidRPr="00F83632">
        <w:t xml:space="preserve">AER, Expenditure Forecast Assessment Guideline–Explanatory Statement, November 2013, </w:t>
      </w:r>
      <w:r>
        <w:t>p</w:t>
      </w:r>
      <w:r w:rsidRPr="00F83632">
        <w:t>p. 2</w:t>
      </w:r>
      <w:r>
        <w:t>7-</w:t>
      </w:r>
      <w:r w:rsidRPr="00F83632">
        <w:t>2</w:t>
      </w:r>
      <w:r>
        <w:t>8</w:t>
      </w:r>
      <w:r w:rsidRPr="00F83632">
        <w:t>.</w:t>
      </w:r>
    </w:p>
  </w:footnote>
  <w:footnote w:id="247">
    <w:p w:rsidR="00223658" w:rsidRDefault="00223658" w:rsidP="00051BDB">
      <w:pPr>
        <w:pStyle w:val="FootnoteText"/>
      </w:pPr>
      <w:r>
        <w:rPr>
          <w:rStyle w:val="FootnoteReference"/>
        </w:rPr>
        <w:footnoteRef/>
      </w:r>
      <w:r>
        <w:t xml:space="preserve"> </w:t>
      </w:r>
      <w:r>
        <w:tab/>
      </w:r>
      <w:r w:rsidRPr="00F83632">
        <w:t xml:space="preserve">AEMC, Final Rule Determination: National Electricity Amendment (Economic Regulation of Network Service Providers) Rule 2012, 29 November 2012, pp. </w:t>
      </w:r>
      <w:r>
        <w:t>111-112</w:t>
      </w:r>
      <w:r w:rsidRPr="00F83632">
        <w:t>.</w:t>
      </w:r>
    </w:p>
  </w:footnote>
  <w:footnote w:id="248">
    <w:p w:rsidR="00223658" w:rsidRDefault="00223658" w:rsidP="00051BDB">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249">
    <w:p w:rsidR="00223658" w:rsidRDefault="00223658" w:rsidP="00051BDB">
      <w:pPr>
        <w:pStyle w:val="FootnoteText"/>
      </w:pPr>
      <w:r>
        <w:rPr>
          <w:rStyle w:val="FootnoteReference"/>
        </w:rPr>
        <w:footnoteRef/>
      </w:r>
      <w:r>
        <w:t xml:space="preserve"> </w:t>
      </w:r>
      <w:r>
        <w:tab/>
        <w:t>Depending on the technique, we account for line length, customer density, energy density, demand density, reliability, degree of undergrounding etc.</w:t>
      </w:r>
    </w:p>
  </w:footnote>
  <w:footnote w:id="250">
    <w:p w:rsidR="00223658" w:rsidRDefault="00223658" w:rsidP="00051BDB">
      <w:pPr>
        <w:pStyle w:val="FootnoteText"/>
      </w:pPr>
      <w:r>
        <w:rPr>
          <w:rStyle w:val="FootnoteReference"/>
        </w:rPr>
        <w:footnoteRef/>
      </w:r>
      <w:r>
        <w:t xml:space="preserve"> </w:t>
      </w:r>
      <w:r>
        <w:tab/>
      </w:r>
      <w:r w:rsidRPr="00B2272D">
        <w:t xml:space="preserve">AEMC, Final Rule Determination: National Electricity Amendment (Economic Regulation of Network Service Providers) Rule 2012, 29 November 2012, pp 10.  </w:t>
      </w:r>
    </w:p>
  </w:footnote>
  <w:footnote w:id="251">
    <w:p w:rsidR="00223658" w:rsidRDefault="00223658" w:rsidP="00051BDB">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252">
    <w:p w:rsidR="00223658" w:rsidRDefault="00223658" w:rsidP="00051BDB">
      <w:pPr>
        <w:pStyle w:val="FootnoteText"/>
      </w:pPr>
      <w:r>
        <w:rPr>
          <w:rStyle w:val="FootnoteReference"/>
        </w:rPr>
        <w:footnoteRef/>
      </w:r>
      <w:r>
        <w:t xml:space="preserve"> </w:t>
      </w:r>
      <w:r>
        <w:tab/>
        <w:t>For example, ActewAGL, letter to Paula Conboy, 4 March 2015, p. 2.</w:t>
      </w:r>
    </w:p>
  </w:footnote>
  <w:footnote w:id="253">
    <w:p w:rsidR="00223658" w:rsidRDefault="00223658" w:rsidP="00051BDB">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254">
    <w:p w:rsidR="00223658" w:rsidRDefault="00223658" w:rsidP="00051BDB">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255">
    <w:p w:rsidR="00223658" w:rsidRDefault="00223658" w:rsidP="00051BDB">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256">
    <w:p w:rsidR="00223658" w:rsidRDefault="00223658" w:rsidP="00756041">
      <w:pPr>
        <w:pStyle w:val="FootnoteText"/>
      </w:pPr>
      <w:r>
        <w:rPr>
          <w:rStyle w:val="FootnoteReference"/>
        </w:rPr>
        <w:footnoteRef/>
      </w:r>
      <w:r>
        <w:t xml:space="preserve"> </w:t>
      </w:r>
      <w:r>
        <w:tab/>
        <w:t>For example, Ausgrid, Revised Regulatory Proposal, pp. 129-153;</w:t>
      </w:r>
      <w:r w:rsidRPr="00404201">
        <w:t xml:space="preserve"> </w:t>
      </w:r>
      <w:r>
        <w:t>Endeavour Energy, Revised Regulatory Proposal, pp. 157-179; Essential Energy, Revised Regulatory Proposal, pp. 168-192.</w:t>
      </w:r>
    </w:p>
  </w:footnote>
  <w:footnote w:id="257">
    <w:p w:rsidR="00223658" w:rsidRDefault="00223658" w:rsidP="00051BDB">
      <w:pPr>
        <w:pStyle w:val="FootnoteText"/>
      </w:pPr>
      <w:r>
        <w:rPr>
          <w:rStyle w:val="FootnoteReference"/>
        </w:rPr>
        <w:footnoteRef/>
      </w:r>
      <w:r>
        <w:t xml:space="preserve"> </w:t>
      </w:r>
      <w:r>
        <w:tab/>
        <w:t xml:space="preserve">Economic Insights, </w:t>
      </w:r>
      <w:r w:rsidRPr="00AB2088">
        <w:t xml:space="preserve">Response to Consultants’ Reports on Economic Benchmarking of Electricity DNSPs, </w:t>
      </w:r>
      <w:r>
        <w:t>April 2015, section 3</w:t>
      </w:r>
      <w:r w:rsidRPr="00AB2088">
        <w:t>.</w:t>
      </w:r>
    </w:p>
  </w:footnote>
  <w:footnote w:id="258">
    <w:p w:rsidR="00223658" w:rsidRDefault="00223658" w:rsidP="00051BDB">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 vii.</w:t>
      </w:r>
    </w:p>
  </w:footnote>
  <w:footnote w:id="259">
    <w:p w:rsidR="00223658" w:rsidRDefault="00223658" w:rsidP="00051BDB">
      <w:pPr>
        <w:pStyle w:val="FootnoteText"/>
      </w:pPr>
      <w:r>
        <w:rPr>
          <w:rStyle w:val="FootnoteReference"/>
        </w:rPr>
        <w:footnoteRef/>
      </w:r>
      <w:r>
        <w:t xml:space="preserve"> </w:t>
      </w:r>
      <w:r>
        <w:tab/>
        <w:t xml:space="preserve">Huegin, </w:t>
      </w:r>
      <w:r w:rsidRPr="000F6EE6">
        <w:t>Huegin’s response to Draft Determination on behalf of NNSW and ActewAGL Technical response to the application of benchmarking by the AER</w:t>
      </w:r>
      <w:r>
        <w:t>, 16 January 2015, pp. 7, 13</w:t>
      </w:r>
    </w:p>
  </w:footnote>
  <w:footnote w:id="260">
    <w:p w:rsidR="00223658" w:rsidRDefault="00223658" w:rsidP="00051BDB">
      <w:pPr>
        <w:pStyle w:val="FootnoteText"/>
      </w:pPr>
      <w:r>
        <w:rPr>
          <w:rStyle w:val="FootnoteReference"/>
        </w:rPr>
        <w:footnoteRef/>
      </w:r>
      <w:r>
        <w:t xml:space="preserve"> </w:t>
      </w:r>
      <w:r>
        <w:tab/>
        <w:t xml:space="preserve">Huegin, </w:t>
      </w:r>
      <w:r w:rsidRPr="00A56342">
        <w:t>Huegin’s response to Draft Determination on behalf of NNSW and ActewAGL Technical response to the application of benchmarking by the AER, 16 January 2015</w:t>
      </w:r>
      <w:r>
        <w:t>, p 11</w:t>
      </w:r>
    </w:p>
  </w:footnote>
  <w:footnote w:id="261">
    <w:p w:rsidR="00223658" w:rsidRDefault="00223658" w:rsidP="00051BDB">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w:t>
      </w:r>
    </w:p>
  </w:footnote>
  <w:footnote w:id="262">
    <w:p w:rsidR="00223658" w:rsidRDefault="00223658" w:rsidP="00051BDB">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pp vii, ix.</w:t>
      </w:r>
    </w:p>
  </w:footnote>
  <w:footnote w:id="263">
    <w:p w:rsidR="00223658" w:rsidRDefault="00223658" w:rsidP="00051BDB">
      <w:pPr>
        <w:pStyle w:val="FootnoteText"/>
      </w:pPr>
      <w:r>
        <w:rPr>
          <w:rStyle w:val="FootnoteReference"/>
        </w:rPr>
        <w:footnoteRef/>
      </w:r>
      <w:r>
        <w:t xml:space="preserve"> </w:t>
      </w:r>
      <w:r>
        <w:tab/>
        <w:t xml:space="preserve">Endeavour Energy, </w:t>
      </w:r>
      <w:r w:rsidRPr="00834A5F">
        <w:t>Revised Regulatory Proposal</w:t>
      </w:r>
      <w:r>
        <w:t xml:space="preserve">, p. 179. </w:t>
      </w:r>
      <w:r w:rsidRPr="009F4402">
        <w:t>Aus</w:t>
      </w:r>
      <w:r>
        <w:t>g</w:t>
      </w:r>
      <w:r w:rsidRPr="009F4402">
        <w:t xml:space="preserve">rid, </w:t>
      </w:r>
      <w:r w:rsidRPr="00834A5F">
        <w:t>Revised Regulatory Proposal</w:t>
      </w:r>
      <w:r w:rsidRPr="009F4402">
        <w:t>, p</w:t>
      </w:r>
      <w:r>
        <w:t>p</w:t>
      </w:r>
      <w:r w:rsidRPr="009F4402">
        <w:t xml:space="preserve">. </w:t>
      </w:r>
      <w:r>
        <w:t>150–153</w:t>
      </w:r>
      <w:r w:rsidRPr="009F4402">
        <w:t>.</w:t>
      </w:r>
      <w:r>
        <w:t xml:space="preserve"> Essential Energy, </w:t>
      </w:r>
      <w:r w:rsidRPr="00834A5F">
        <w:t>Revised Regulatory Proposal</w:t>
      </w:r>
      <w:r>
        <w:t>, p. 189.</w:t>
      </w:r>
    </w:p>
  </w:footnote>
  <w:footnote w:id="264">
    <w:p w:rsidR="00223658" w:rsidRDefault="00223658" w:rsidP="00051BDB">
      <w:pPr>
        <w:pStyle w:val="FootnoteText"/>
      </w:pPr>
      <w:r>
        <w:rPr>
          <w:rStyle w:val="FootnoteReference"/>
        </w:rPr>
        <w:footnoteRef/>
      </w:r>
      <w:r>
        <w:t xml:space="preserve"> </w:t>
      </w:r>
      <w:r>
        <w:tab/>
      </w:r>
      <w:r w:rsidRPr="002068F3">
        <w:t xml:space="preserve">Economic Insights, Economic Benchmarking of NSW and ACT </w:t>
      </w:r>
      <w:r>
        <w:t>distributor</w:t>
      </w:r>
      <w:r w:rsidRPr="002068F3">
        <w:t xml:space="preserve"> Opex, 17 November 2014 at </w:t>
      </w:r>
      <w:r>
        <w:t>29</w:t>
      </w:r>
      <w:r w:rsidRPr="002068F3">
        <w:t>.</w:t>
      </w:r>
    </w:p>
  </w:footnote>
  <w:footnote w:id="265">
    <w:p w:rsidR="00223658" w:rsidRDefault="00223658" w:rsidP="00051BDB">
      <w:pPr>
        <w:pStyle w:val="FootnoteText"/>
      </w:pPr>
      <w:r>
        <w:rPr>
          <w:rStyle w:val="FootnoteReference"/>
        </w:rPr>
        <w:footnoteRef/>
      </w:r>
      <w:r>
        <w:t xml:space="preserve"> </w:t>
      </w:r>
      <w:r>
        <w:tab/>
        <w:t xml:space="preserve">Economic Insights, </w:t>
      </w:r>
      <w:r w:rsidRPr="002068F3">
        <w:t xml:space="preserve">Economic Benchmarking of NSW and ACT </w:t>
      </w:r>
      <w:r>
        <w:t>distributor</w:t>
      </w:r>
      <w:r w:rsidRPr="002068F3">
        <w:t xml:space="preserve"> Opex</w:t>
      </w:r>
      <w:r>
        <w:t xml:space="preserve">, </w:t>
      </w:r>
      <w:r w:rsidRPr="002068F3">
        <w:t>17 November 2014</w:t>
      </w:r>
      <w:r>
        <w:t xml:space="preserve"> at 32.</w:t>
      </w:r>
    </w:p>
  </w:footnote>
  <w:footnote w:id="266">
    <w:p w:rsidR="00223658" w:rsidRDefault="00223658" w:rsidP="00756041">
      <w:pPr>
        <w:pStyle w:val="FootnoteText"/>
      </w:pPr>
      <w:r>
        <w:rPr>
          <w:rStyle w:val="FootnoteReference"/>
        </w:rPr>
        <w:footnoteRef/>
      </w:r>
      <w:r>
        <w:t xml:space="preserve"> </w:t>
      </w:r>
      <w:r>
        <w:tab/>
        <w:t xml:space="preserve">Ausgrid, Revised Regulatory Proposal, pp. 9, 143; Endeavour Energy, </w:t>
      </w:r>
      <w:r w:rsidRPr="00834A5F">
        <w:t>Revised Regulatory Proposal</w:t>
      </w:r>
      <w:r>
        <w:t xml:space="preserve">, pp. 8, 169; Essential Energy, </w:t>
      </w:r>
      <w:r w:rsidRPr="00834A5F">
        <w:t>Revised Regulatory Proposal</w:t>
      </w:r>
      <w:r>
        <w:t>, p. 12, 181.</w:t>
      </w:r>
    </w:p>
  </w:footnote>
  <w:footnote w:id="267">
    <w:p w:rsidR="00223658" w:rsidRDefault="00223658" w:rsidP="00051BDB">
      <w:pPr>
        <w:pStyle w:val="FootnoteText"/>
      </w:pPr>
      <w:r>
        <w:rPr>
          <w:rStyle w:val="FootnoteReference"/>
        </w:rPr>
        <w:footnoteRef/>
      </w:r>
      <w:r>
        <w:t xml:space="preserve"> </w:t>
      </w:r>
      <w:r>
        <w:tab/>
        <w:t xml:space="preserve">NER </w:t>
      </w:r>
      <w:r w:rsidRPr="00326353">
        <w:t>6.27(a)</w:t>
      </w:r>
    </w:p>
  </w:footnote>
  <w:footnote w:id="268">
    <w:p w:rsidR="00223658" w:rsidRDefault="00223658" w:rsidP="00051BDB">
      <w:pPr>
        <w:pStyle w:val="FootnoteText"/>
      </w:pPr>
      <w:r>
        <w:rPr>
          <w:rStyle w:val="FootnoteReference"/>
        </w:rPr>
        <w:footnoteRef/>
      </w:r>
      <w:r>
        <w:t xml:space="preserve"> </w:t>
      </w:r>
      <w:r>
        <w:tab/>
        <w:t xml:space="preserve">NER </w:t>
      </w:r>
      <w:r w:rsidRPr="00B52DFD">
        <w:t>6.27(a)</w:t>
      </w:r>
      <w:r>
        <w:t xml:space="preserve"> required the chapter to be published by 30 September 2014</w:t>
      </w:r>
    </w:p>
  </w:footnote>
  <w:footnote w:id="269">
    <w:p w:rsidR="00223658" w:rsidRDefault="00223658" w:rsidP="00051BDB">
      <w:pPr>
        <w:pStyle w:val="FootnoteText"/>
      </w:pPr>
      <w:r>
        <w:rPr>
          <w:rStyle w:val="FootnoteReference"/>
        </w:rPr>
        <w:footnoteRef/>
      </w:r>
      <w:r>
        <w:t xml:space="preserve"> </w:t>
      </w:r>
      <w:r>
        <w:tab/>
        <w:t xml:space="preserve">NER </w:t>
      </w:r>
      <w:r w:rsidRPr="00502AFB">
        <w:t>6.6.5(e)(4)</w:t>
      </w:r>
    </w:p>
  </w:footnote>
  <w:footnote w:id="270">
    <w:p w:rsidR="00223658" w:rsidRDefault="00223658" w:rsidP="00051BDB">
      <w:pPr>
        <w:pStyle w:val="FootnoteText"/>
      </w:pPr>
      <w:r>
        <w:rPr>
          <w:rStyle w:val="FootnoteReference"/>
        </w:rPr>
        <w:footnoteRef/>
      </w:r>
      <w:r>
        <w:t xml:space="preserve"> </w:t>
      </w:r>
      <w:r>
        <w:tab/>
        <w:t>NER 6.27(a)</w:t>
      </w:r>
    </w:p>
  </w:footnote>
  <w:footnote w:id="271">
    <w:p w:rsidR="00223658" w:rsidRDefault="00223658" w:rsidP="00051BDB">
      <w:pPr>
        <w:pStyle w:val="FootnoteText"/>
      </w:pPr>
      <w:r>
        <w:rPr>
          <w:rStyle w:val="FootnoteReference"/>
        </w:rPr>
        <w:footnoteRef/>
      </w:r>
      <w:r>
        <w:t xml:space="preserve"> </w:t>
      </w:r>
      <w:r>
        <w:tab/>
        <w:t>NER 6.5.2(e)(12)</w:t>
      </w:r>
    </w:p>
  </w:footnote>
  <w:footnote w:id="272">
    <w:p w:rsidR="00223658" w:rsidRDefault="00223658" w:rsidP="00051BDB">
      <w:pPr>
        <w:pStyle w:val="FootnoteText"/>
      </w:pPr>
      <w:r>
        <w:rPr>
          <w:rStyle w:val="FootnoteReference"/>
        </w:rPr>
        <w:footnoteRef/>
      </w:r>
      <w:r>
        <w:t xml:space="preserve"> </w:t>
      </w:r>
      <w:r>
        <w:tab/>
        <w:t xml:space="preserve">Ausgrid, Revised Regulatory Proposal, pp. 9, 143; Endeavour Energy, </w:t>
      </w:r>
      <w:r w:rsidRPr="00834A5F">
        <w:t>Revised Regulatory Proposal</w:t>
      </w:r>
      <w:r>
        <w:t xml:space="preserve">, pp. 8, 169; Essential Energy, </w:t>
      </w:r>
      <w:r w:rsidRPr="00834A5F">
        <w:t>Revised Regulatory Proposal</w:t>
      </w:r>
      <w:r>
        <w:t>, p. 12, 181; ActewAG</w:t>
      </w:r>
      <w:r w:rsidRPr="00B52DFD">
        <w:t xml:space="preserve">L </w:t>
      </w:r>
      <w:r>
        <w:t xml:space="preserve">Revised proposal pp </w:t>
      </w:r>
      <w:r w:rsidRPr="00B52DFD">
        <w:t>81</w:t>
      </w:r>
      <w:r>
        <w:t>, 106-107.</w:t>
      </w:r>
    </w:p>
  </w:footnote>
  <w:footnote w:id="273">
    <w:p w:rsidR="00223658" w:rsidRDefault="00223658" w:rsidP="00051BDB">
      <w:pPr>
        <w:pStyle w:val="FootnoteText"/>
      </w:pPr>
      <w:r>
        <w:rPr>
          <w:rStyle w:val="FootnoteReference"/>
        </w:rPr>
        <w:footnoteRef/>
      </w:r>
      <w:r>
        <w:t xml:space="preserve"> </w:t>
      </w:r>
      <w:r>
        <w:tab/>
      </w:r>
      <w:r w:rsidRPr="001A448C">
        <w:t>CPCF v Minister for Immigration and Border Protection [2015] HCA 1</w:t>
      </w:r>
      <w:r>
        <w:t xml:space="preserve"> at [306]</w:t>
      </w:r>
    </w:p>
  </w:footnote>
  <w:footnote w:id="274">
    <w:p w:rsidR="00223658" w:rsidRDefault="00223658" w:rsidP="00051BDB">
      <w:pPr>
        <w:pStyle w:val="FootnoteText"/>
      </w:pPr>
      <w:r>
        <w:rPr>
          <w:rStyle w:val="FootnoteReference"/>
        </w:rPr>
        <w:footnoteRef/>
      </w:r>
      <w:r>
        <w:t xml:space="preserve"> </w:t>
      </w:r>
      <w:r>
        <w:tab/>
        <w:t>Economic Insights</w:t>
      </w:r>
      <w:r w:rsidRPr="00C21495">
        <w:t xml:space="preserve">, </w:t>
      </w:r>
      <w:r w:rsidRPr="00C23FF2">
        <w:t>Economic benchmarking assessment of operating expenditure for NSW and ACT Electricity DNSPs, 17 November 2014</w:t>
      </w:r>
      <w:r w:rsidRPr="00C21495">
        <w:t>, p.</w:t>
      </w:r>
      <w:r>
        <w:t xml:space="preserve"> 28.</w:t>
      </w:r>
    </w:p>
  </w:footnote>
  <w:footnote w:id="275">
    <w:p w:rsidR="00223658" w:rsidRDefault="00223658" w:rsidP="00756041">
      <w:pPr>
        <w:pStyle w:val="FootnoteText"/>
      </w:pPr>
      <w:r>
        <w:rPr>
          <w:rStyle w:val="FootnoteReference"/>
        </w:rPr>
        <w:footnoteRef/>
      </w:r>
      <w:r>
        <w:t xml:space="preserve"> </w:t>
      </w:r>
      <w:r>
        <w:tab/>
        <w:t xml:space="preserve">Ausgrid, Revised Regulatory Proposal, p. 9; Endeavour Energy, </w:t>
      </w:r>
      <w:r w:rsidRPr="00834A5F">
        <w:t>Revised Regulatory Proposal</w:t>
      </w:r>
      <w:r>
        <w:t xml:space="preserve">, p. 8; Essential Energy, </w:t>
      </w:r>
      <w:r w:rsidRPr="00834A5F">
        <w:t>Revised Regulatory Proposal</w:t>
      </w:r>
      <w:r>
        <w:t>, p. 12.</w:t>
      </w:r>
    </w:p>
  </w:footnote>
  <w:footnote w:id="276">
    <w:p w:rsidR="00223658" w:rsidRDefault="00223658" w:rsidP="00051BDB">
      <w:pPr>
        <w:pStyle w:val="FootnoteText"/>
      </w:pPr>
      <w:r>
        <w:rPr>
          <w:rStyle w:val="FootnoteReference"/>
        </w:rPr>
        <w:footnoteRef/>
      </w:r>
      <w:r>
        <w:t xml:space="preserve"> </w:t>
      </w:r>
      <w:r>
        <w:tab/>
        <w:t>These include our partial performance indicators, opex MPFP, and Econometric models.</w:t>
      </w:r>
    </w:p>
  </w:footnote>
  <w:footnote w:id="277">
    <w:p w:rsidR="00223658" w:rsidRDefault="00223658" w:rsidP="00051BDB">
      <w:pPr>
        <w:pStyle w:val="FootnoteText"/>
      </w:pPr>
      <w:r>
        <w:rPr>
          <w:rStyle w:val="FootnoteReference"/>
        </w:rPr>
        <w:footnoteRef/>
      </w:r>
      <w:r>
        <w:t xml:space="preserve"> </w:t>
      </w:r>
      <w:r>
        <w:tab/>
        <w:t xml:space="preserve">Economic Insights, </w:t>
      </w:r>
      <w:r w:rsidRPr="008A410E">
        <w:t>Response to Consultants’ Reports on Economic Benchmarking of Electricity DNSPs</w:t>
      </w:r>
      <w:r>
        <w:t>, April 2015, p. 53. (Economic Insights, 2015).</w:t>
      </w:r>
    </w:p>
  </w:footnote>
  <w:footnote w:id="278">
    <w:p w:rsidR="00223658" w:rsidRDefault="00223658" w:rsidP="00051BDB">
      <w:pPr>
        <w:pStyle w:val="FootnoteText"/>
      </w:pPr>
      <w:r>
        <w:rPr>
          <w:rStyle w:val="FootnoteReference"/>
        </w:rPr>
        <w:footnoteRef/>
      </w:r>
      <w:r>
        <w:t xml:space="preserve"> </w:t>
      </w:r>
      <w:r>
        <w:tab/>
        <w:t xml:space="preserve">Economic Insights, 2015 </w:t>
      </w:r>
    </w:p>
  </w:footnote>
  <w:footnote w:id="279">
    <w:p w:rsidR="00223658" w:rsidRDefault="00223658" w:rsidP="00051BDB">
      <w:pPr>
        <w:pStyle w:val="FootnoteText"/>
      </w:pPr>
      <w:r>
        <w:rPr>
          <w:rStyle w:val="FootnoteReference"/>
        </w:rPr>
        <w:footnoteRef/>
      </w:r>
      <w:r>
        <w:t xml:space="preserve"> </w:t>
      </w:r>
      <w:r>
        <w:tab/>
        <w:t>Ausgrid, Revised Regulatory Proposal, pp. 130-142; ActewAGL, Revised Regulatory Proposal, pp. 125-134, attachment C12.</w:t>
      </w:r>
    </w:p>
  </w:footnote>
  <w:footnote w:id="280">
    <w:p w:rsidR="00223658" w:rsidRDefault="00223658" w:rsidP="00051BDB">
      <w:pPr>
        <w:pStyle w:val="FootnoteText"/>
      </w:pPr>
      <w:r>
        <w:rPr>
          <w:rStyle w:val="FootnoteReference"/>
        </w:rPr>
        <w:footnoteRef/>
      </w:r>
      <w:r>
        <w:t xml:space="preserve"> </w:t>
      </w:r>
      <w:r>
        <w:tab/>
        <w:t>Ausgrid, Revised Regulatory Proposal, p. 143; ActewAGL Revised Regulatory Proposal, pp. 150-153.</w:t>
      </w:r>
    </w:p>
  </w:footnote>
  <w:footnote w:id="281">
    <w:p w:rsidR="00223658" w:rsidRDefault="00223658" w:rsidP="00051BDB">
      <w:pPr>
        <w:pStyle w:val="FootnoteText"/>
      </w:pPr>
      <w:r>
        <w:rPr>
          <w:rStyle w:val="FootnoteReference"/>
        </w:rPr>
        <w:footnoteRef/>
      </w:r>
      <w:r>
        <w:t xml:space="preserve"> </w:t>
      </w:r>
      <w:r>
        <w:tab/>
        <w:t>Ausgrid, Revised Regulatory Proposal, p. 143; ActewAGL Revised Regulatory Proposal, pp. 146-149, 175-181..</w:t>
      </w:r>
    </w:p>
  </w:footnote>
  <w:footnote w:id="282">
    <w:p w:rsidR="00223658" w:rsidRDefault="00223658" w:rsidP="00051BDB">
      <w:pPr>
        <w:pStyle w:val="FootnoteText"/>
      </w:pPr>
      <w:r>
        <w:rPr>
          <w:rStyle w:val="FootnoteReference"/>
        </w:rPr>
        <w:footnoteRef/>
      </w:r>
      <w:r>
        <w:t xml:space="preserve"> </w:t>
      </w:r>
      <w:r>
        <w:tab/>
        <w:t>Ausgrid, Revised Regulatory Proposal, pp. 143-144.</w:t>
      </w:r>
    </w:p>
  </w:footnote>
  <w:footnote w:id="283">
    <w:p w:rsidR="00223658" w:rsidRDefault="00223658" w:rsidP="00051BDB">
      <w:pPr>
        <w:pStyle w:val="FootnoteText"/>
      </w:pPr>
      <w:r>
        <w:rPr>
          <w:rStyle w:val="FootnoteReference"/>
        </w:rPr>
        <w:footnoteRef/>
      </w:r>
      <w:r>
        <w:t xml:space="preserve"> </w:t>
      </w:r>
      <w:r>
        <w:tab/>
        <w:t>Ausgrid, Revised Regulatory Proposal, pp. 144-147; Herbert Smith Freehills, AER Draft Decision – Forecast Operating Expenditure (confidential), 13 February 2015, pp. 8-9.</w:t>
      </w:r>
    </w:p>
  </w:footnote>
  <w:footnote w:id="284">
    <w:p w:rsidR="00223658" w:rsidRDefault="00223658" w:rsidP="00051BDB">
      <w:pPr>
        <w:pStyle w:val="FootnoteText"/>
      </w:pPr>
      <w:r>
        <w:rPr>
          <w:rStyle w:val="FootnoteReference"/>
        </w:rPr>
        <w:footnoteRef/>
      </w:r>
      <w:r>
        <w:t xml:space="preserve"> </w:t>
      </w:r>
      <w:r>
        <w:tab/>
        <w:t>Ausgrid, Revised Regulatory Proposal, p. 147.</w:t>
      </w:r>
    </w:p>
  </w:footnote>
  <w:footnote w:id="285">
    <w:p w:rsidR="00223658" w:rsidRDefault="00223658" w:rsidP="00051BDB">
      <w:pPr>
        <w:pStyle w:val="FootnoteText"/>
      </w:pPr>
      <w:r>
        <w:rPr>
          <w:rStyle w:val="FootnoteReference"/>
        </w:rPr>
        <w:footnoteRef/>
      </w:r>
      <w:r>
        <w:t xml:space="preserve"> </w:t>
      </w:r>
      <w:r>
        <w:tab/>
        <w:t>Ausgrid, Revised Regulatory Proposal, pp. 143-150 and Herbert Smith Freehills, AER Draft Decision – Forecast Operating Expenditure (confidential), 13 February 2015, pp. 10-11; ActewAGL, Revised Regulatory Proposal, pp. 140-146.</w:t>
      </w:r>
    </w:p>
  </w:footnote>
  <w:footnote w:id="286">
    <w:p w:rsidR="00223658" w:rsidRDefault="00223658" w:rsidP="00051BDB">
      <w:pPr>
        <w:pStyle w:val="FootnoteText"/>
      </w:pPr>
      <w:r>
        <w:rPr>
          <w:rStyle w:val="FootnoteReference"/>
        </w:rPr>
        <w:footnoteRef/>
      </w:r>
      <w:r>
        <w:t xml:space="preserve"> </w:t>
      </w:r>
      <w:r>
        <w:tab/>
        <w:t>Ausgrid, Revised Regulatory Proposal, p. 150; ActewAGL Revised Regulatory Proposal, pp. 153-166.</w:t>
      </w:r>
    </w:p>
  </w:footnote>
  <w:footnote w:id="287">
    <w:p w:rsidR="00223658" w:rsidRDefault="00223658" w:rsidP="00051BDB">
      <w:pPr>
        <w:pStyle w:val="FootnoteText"/>
      </w:pPr>
      <w:r>
        <w:rPr>
          <w:rStyle w:val="FootnoteReference"/>
        </w:rPr>
        <w:footnoteRef/>
      </w:r>
      <w:r>
        <w:t xml:space="preserve"> </w:t>
      </w:r>
      <w:r>
        <w:tab/>
        <w:t>Ausgrid, Revised Regulatory Proposal, p. 151;Herbert Smith Freehills, AER Draft Decision – Forecast Operating Expenditure (confidential), 13 February 2015, p. 9.</w:t>
      </w:r>
    </w:p>
  </w:footnote>
  <w:footnote w:id="288">
    <w:p w:rsidR="00223658" w:rsidRDefault="00223658" w:rsidP="00051BDB">
      <w:pPr>
        <w:pStyle w:val="FootnoteText"/>
      </w:pPr>
      <w:r>
        <w:rPr>
          <w:rStyle w:val="FootnoteReference"/>
        </w:rPr>
        <w:footnoteRef/>
      </w:r>
      <w:r>
        <w:t xml:space="preserve"> </w:t>
      </w:r>
      <w:r>
        <w:tab/>
        <w:t>Herbert Smith Freehills, AER Draft Decision – Forecast Operating Expenditure (confidential), 13 February 2015, pp. 6-8.</w:t>
      </w:r>
    </w:p>
  </w:footnote>
  <w:footnote w:id="289">
    <w:p w:rsidR="00223658" w:rsidRDefault="00223658" w:rsidP="00051BDB">
      <w:pPr>
        <w:pStyle w:val="FootnoteText"/>
      </w:pPr>
      <w:r>
        <w:rPr>
          <w:rStyle w:val="FootnoteReference"/>
        </w:rPr>
        <w:footnoteRef/>
      </w:r>
      <w:r>
        <w:t xml:space="preserve"> </w:t>
      </w:r>
      <w:r>
        <w:tab/>
        <w:t>Economic Insights, 2015, pp. 20, 26.</w:t>
      </w:r>
    </w:p>
  </w:footnote>
  <w:footnote w:id="290">
    <w:p w:rsidR="00223658" w:rsidRDefault="00223658" w:rsidP="00051BDB">
      <w:pPr>
        <w:pStyle w:val="FootnoteText"/>
      </w:pPr>
      <w:r>
        <w:rPr>
          <w:rStyle w:val="FootnoteReference"/>
        </w:rPr>
        <w:footnoteRef/>
      </w:r>
      <w:r>
        <w:t xml:space="preserve"> </w:t>
      </w:r>
      <w:r>
        <w:tab/>
        <w:t>ActewAGL, Revised Regulatory Proposal, pp. 181-187.</w:t>
      </w:r>
    </w:p>
  </w:footnote>
  <w:footnote w:id="291">
    <w:p w:rsidR="00223658" w:rsidRDefault="00223658" w:rsidP="00051BDB">
      <w:pPr>
        <w:pStyle w:val="FootnoteText"/>
      </w:pPr>
      <w:r>
        <w:rPr>
          <w:rStyle w:val="FootnoteReference"/>
        </w:rPr>
        <w:footnoteRef/>
      </w:r>
      <w:r>
        <w:t xml:space="preserve"> </w:t>
      </w:r>
      <w:r>
        <w:tab/>
        <w:t>Essential revised proposal, pp. 201-202.</w:t>
      </w:r>
    </w:p>
  </w:footnote>
  <w:footnote w:id="292">
    <w:p w:rsidR="00223658" w:rsidRDefault="00223658" w:rsidP="00051BDB">
      <w:pPr>
        <w:pStyle w:val="FootnoteText"/>
      </w:pPr>
      <w:r>
        <w:rPr>
          <w:rStyle w:val="FootnoteReference"/>
        </w:rPr>
        <w:footnoteRef/>
      </w:r>
      <w:r>
        <w:t xml:space="preserve"> </w:t>
      </w:r>
      <w:r>
        <w:tab/>
        <w:t>Economic Insights, 2014, p. 7.</w:t>
      </w:r>
    </w:p>
  </w:footnote>
  <w:footnote w:id="293">
    <w:p w:rsidR="00223658" w:rsidRDefault="00223658" w:rsidP="00051BDB">
      <w:pPr>
        <w:pStyle w:val="FootnoteText"/>
      </w:pPr>
      <w:r>
        <w:rPr>
          <w:rStyle w:val="FootnoteReference"/>
        </w:rPr>
        <w:footnoteRef/>
      </w:r>
      <w:r>
        <w:t xml:space="preserve"> </w:t>
      </w:r>
      <w:r>
        <w:tab/>
        <w:t>Economic Insights, 2014, pp. 46-47.</w:t>
      </w:r>
    </w:p>
  </w:footnote>
  <w:footnote w:id="294">
    <w:p w:rsidR="00223658" w:rsidRDefault="00223658" w:rsidP="00051BDB">
      <w:pPr>
        <w:pStyle w:val="FootnoteText"/>
      </w:pPr>
      <w:r>
        <w:rPr>
          <w:rStyle w:val="FootnoteReference"/>
        </w:rPr>
        <w:footnoteRef/>
      </w:r>
      <w:r>
        <w:t xml:space="preserve"> </w:t>
      </w:r>
      <w:r>
        <w:tab/>
        <w:t>Economic Insights, 2014, p. 46–47.</w:t>
      </w:r>
    </w:p>
  </w:footnote>
  <w:footnote w:id="295">
    <w:p w:rsidR="00223658" w:rsidRDefault="00223658" w:rsidP="00051BDB">
      <w:pPr>
        <w:pStyle w:val="FootnoteText"/>
      </w:pPr>
      <w:r>
        <w:rPr>
          <w:rStyle w:val="FootnoteReference"/>
        </w:rPr>
        <w:footnoteRef/>
      </w:r>
      <w:r>
        <w:t xml:space="preserve"> </w:t>
      </w:r>
      <w:r>
        <w:tab/>
        <w:t>Ausgrid, Revised Regulatory Proposal, Attachment 1.05.</w:t>
      </w:r>
    </w:p>
  </w:footnote>
  <w:footnote w:id="296">
    <w:p w:rsidR="00223658" w:rsidRDefault="00223658" w:rsidP="00051BDB">
      <w:pPr>
        <w:pStyle w:val="FootnoteText"/>
      </w:pPr>
      <w:r>
        <w:rPr>
          <w:rStyle w:val="FootnoteReference"/>
        </w:rPr>
        <w:footnoteRef/>
      </w:r>
      <w:r>
        <w:t xml:space="preserve"> </w:t>
      </w:r>
      <w:r>
        <w:tab/>
        <w:t>Ausgrid, Revised Regulatory Proposal, Attachment 1.06; ActewAGL, Revised Regulatory Proposal, Attachment C4.</w:t>
      </w:r>
    </w:p>
  </w:footnote>
  <w:footnote w:id="297">
    <w:p w:rsidR="00223658" w:rsidRDefault="00223658" w:rsidP="00051BDB">
      <w:pPr>
        <w:pStyle w:val="FootnoteText"/>
      </w:pPr>
      <w:r>
        <w:rPr>
          <w:rStyle w:val="FootnoteReference"/>
        </w:rPr>
        <w:footnoteRef/>
      </w:r>
      <w:r>
        <w:t xml:space="preserve"> </w:t>
      </w:r>
      <w:r>
        <w:tab/>
        <w:t>Ausgrid, Revised Regulatory Proposal, Attachment 1.07; ActewAGL, Revised Regulatory Proposal, Attachment C3.</w:t>
      </w:r>
    </w:p>
  </w:footnote>
  <w:footnote w:id="298">
    <w:p w:rsidR="00223658" w:rsidRDefault="00223658" w:rsidP="00051BDB">
      <w:pPr>
        <w:pStyle w:val="FootnoteText"/>
      </w:pPr>
      <w:r>
        <w:rPr>
          <w:rStyle w:val="FootnoteReference"/>
        </w:rPr>
        <w:footnoteRef/>
      </w:r>
      <w:r>
        <w:t xml:space="preserve"> </w:t>
      </w:r>
      <w:r>
        <w:tab/>
        <w:t>Ausgrid, Revised Regulatory Proposal, Attachment 1.08.</w:t>
      </w:r>
    </w:p>
  </w:footnote>
  <w:footnote w:id="299">
    <w:p w:rsidR="00223658" w:rsidRDefault="00223658" w:rsidP="00051BDB">
      <w:pPr>
        <w:pStyle w:val="FootnoteText"/>
      </w:pPr>
      <w:r>
        <w:rPr>
          <w:rStyle w:val="FootnoteReference"/>
        </w:rPr>
        <w:footnoteRef/>
      </w:r>
      <w:r>
        <w:t xml:space="preserve"> </w:t>
      </w:r>
      <w:r>
        <w:tab/>
        <w:t>Ausgrid, Revised Regulatory Proposal, Attachment 1.09; ActewAGL, Revised Regulatory Proposal, Attachment C2.</w:t>
      </w:r>
    </w:p>
  </w:footnote>
  <w:footnote w:id="300">
    <w:p w:rsidR="00223658" w:rsidRDefault="00223658" w:rsidP="00051BDB">
      <w:pPr>
        <w:pStyle w:val="FootnoteText"/>
      </w:pPr>
      <w:r>
        <w:rPr>
          <w:rStyle w:val="FootnoteReference"/>
        </w:rPr>
        <w:footnoteRef/>
      </w:r>
      <w:r>
        <w:t xml:space="preserve"> </w:t>
      </w:r>
      <w:r>
        <w:tab/>
        <w:t>Ausgrid, Revised Regulatory Proposal, Attachment 1.10.</w:t>
      </w:r>
    </w:p>
  </w:footnote>
  <w:footnote w:id="301">
    <w:p w:rsidR="00223658" w:rsidRDefault="00223658" w:rsidP="00051BDB">
      <w:pPr>
        <w:pStyle w:val="FootnoteText"/>
      </w:pPr>
      <w:r>
        <w:rPr>
          <w:rStyle w:val="FootnoteReference"/>
        </w:rPr>
        <w:footnoteRef/>
      </w:r>
      <w:r>
        <w:t xml:space="preserve"> </w:t>
      </w:r>
      <w:r>
        <w:tab/>
        <w:t>AER, Issues paper, expenditure forecast assessment guideline, December 2012, pp. 82–136.</w:t>
      </w:r>
    </w:p>
  </w:footnote>
  <w:footnote w:id="302">
    <w:p w:rsidR="00223658" w:rsidRDefault="00223658" w:rsidP="00051BDB">
      <w:pPr>
        <w:pStyle w:val="FootnoteText"/>
      </w:pPr>
      <w:r>
        <w:rPr>
          <w:rStyle w:val="FootnoteReference"/>
        </w:rPr>
        <w:footnoteRef/>
      </w:r>
      <w:r>
        <w:t xml:space="preserve"> </w:t>
      </w:r>
      <w:r>
        <w:tab/>
        <w:t>AER, Explanatory statement, expenditure forecast assessment guideline, 2013, November 2013, pp. 145–146.</w:t>
      </w:r>
    </w:p>
  </w:footnote>
  <w:footnote w:id="303">
    <w:p w:rsidR="00223658" w:rsidRDefault="00223658" w:rsidP="00051BDB">
      <w:pPr>
        <w:pStyle w:val="FootnoteText"/>
      </w:pPr>
      <w:r>
        <w:rPr>
          <w:rStyle w:val="FootnoteReference"/>
        </w:rPr>
        <w:footnoteRef/>
      </w:r>
      <w:r>
        <w:t xml:space="preserve"> </w:t>
      </w:r>
      <w:r>
        <w:tab/>
        <w:t>AER, Issues paper, expenditure forecast assessment guideline, December 2012, p. 77.</w:t>
      </w:r>
    </w:p>
  </w:footnote>
  <w:footnote w:id="304">
    <w:p w:rsidR="00223658" w:rsidRDefault="00223658" w:rsidP="00051BDB">
      <w:pPr>
        <w:pStyle w:val="FootnoteText"/>
      </w:pPr>
      <w:r>
        <w:rPr>
          <w:rStyle w:val="FootnoteReference"/>
        </w:rPr>
        <w:footnoteRef/>
      </w:r>
      <w:r>
        <w:t xml:space="preserve"> </w:t>
      </w:r>
      <w:r>
        <w:tab/>
        <w:t>AER, Explanatory statement, expenditure forecast assessment guideline, 2013, November 2013, pp. 141–142.</w:t>
      </w:r>
    </w:p>
  </w:footnote>
  <w:footnote w:id="305">
    <w:p w:rsidR="00223658" w:rsidRDefault="00223658" w:rsidP="00051BDB">
      <w:pPr>
        <w:pStyle w:val="FootnoteText"/>
      </w:pPr>
      <w:r>
        <w:rPr>
          <w:rStyle w:val="FootnoteReference"/>
        </w:rPr>
        <w:footnoteRef/>
      </w:r>
      <w:r>
        <w:t xml:space="preserve"> </w:t>
      </w:r>
      <w:r>
        <w:tab/>
        <w:t xml:space="preserve">Economic Insights, Memorandum - </w:t>
      </w:r>
      <w:r w:rsidRPr="000405A6">
        <w:t>DNSP MTFP Results</w:t>
      </w:r>
      <w:r>
        <w:t>, 2014.</w:t>
      </w:r>
    </w:p>
  </w:footnote>
  <w:footnote w:id="306">
    <w:p w:rsidR="00223658" w:rsidRDefault="00223658" w:rsidP="00051BDB">
      <w:pPr>
        <w:pStyle w:val="FootnoteText"/>
      </w:pPr>
      <w:r>
        <w:rPr>
          <w:rStyle w:val="FootnoteReference"/>
        </w:rPr>
        <w:footnoteRef/>
      </w:r>
      <w:r>
        <w:t xml:space="preserve"> </w:t>
      </w:r>
      <w:r>
        <w:tab/>
        <w:t xml:space="preserve">Economic Insights, Memorandum - </w:t>
      </w:r>
      <w:r w:rsidRPr="000405A6">
        <w:t>DNSP MTFP Results</w:t>
      </w:r>
      <w:r>
        <w:t>, 2014.</w:t>
      </w:r>
    </w:p>
  </w:footnote>
  <w:footnote w:id="307">
    <w:p w:rsidR="00223658" w:rsidRDefault="00223658" w:rsidP="00051BDB">
      <w:pPr>
        <w:pStyle w:val="FootnoteText"/>
      </w:pPr>
      <w:r>
        <w:rPr>
          <w:rStyle w:val="FootnoteReference"/>
        </w:rPr>
        <w:footnoteRef/>
      </w:r>
      <w:r>
        <w:t xml:space="preserve"> </w:t>
      </w:r>
      <w:r>
        <w:tab/>
        <w:t xml:space="preserve">AER, </w:t>
      </w:r>
      <w:r w:rsidRPr="000405A6">
        <w:t>Electricity distribution network service providers</w:t>
      </w:r>
      <w:r>
        <w:t xml:space="preserve"> </w:t>
      </w:r>
      <w:r w:rsidRPr="000405A6">
        <w:t>Annual benchmarking report</w:t>
      </w:r>
      <w:r>
        <w:t xml:space="preserve">, </w:t>
      </w:r>
      <w:r w:rsidRPr="000405A6">
        <w:t>November 2014</w:t>
      </w:r>
      <w:r>
        <w:t>, p. 47.</w:t>
      </w:r>
    </w:p>
  </w:footnote>
  <w:footnote w:id="308">
    <w:p w:rsidR="00223658" w:rsidRDefault="00223658" w:rsidP="00051BDB">
      <w:pPr>
        <w:pStyle w:val="FootnoteText"/>
      </w:pPr>
      <w:r>
        <w:rPr>
          <w:rStyle w:val="FootnoteReference"/>
        </w:rPr>
        <w:footnoteRef/>
      </w:r>
      <w:r>
        <w:t xml:space="preserve"> </w:t>
      </w:r>
      <w:r>
        <w:tab/>
        <w:t>Economic Insights, 2015, pp. 2-19.</w:t>
      </w:r>
    </w:p>
  </w:footnote>
  <w:footnote w:id="309">
    <w:p w:rsidR="00223658" w:rsidRDefault="00223658" w:rsidP="00051BDB">
      <w:pPr>
        <w:pStyle w:val="FootnoteText"/>
      </w:pPr>
      <w:r>
        <w:rPr>
          <w:rStyle w:val="FootnoteReference"/>
        </w:rPr>
        <w:footnoteRef/>
      </w:r>
      <w:r>
        <w:t xml:space="preserve"> </w:t>
      </w:r>
      <w:r>
        <w:tab/>
        <w:t xml:space="preserve">Economic Insights, 2015, p. 3. </w:t>
      </w:r>
    </w:p>
  </w:footnote>
  <w:footnote w:id="310">
    <w:p w:rsidR="00223658" w:rsidRDefault="00223658" w:rsidP="00051BDB">
      <w:pPr>
        <w:pStyle w:val="FootnoteText"/>
      </w:pPr>
      <w:r>
        <w:rPr>
          <w:rStyle w:val="FootnoteReference"/>
        </w:rPr>
        <w:footnoteRef/>
      </w:r>
      <w:r>
        <w:t xml:space="preserve"> </w:t>
      </w:r>
      <w:r>
        <w:tab/>
      </w:r>
      <w:r w:rsidRPr="0048283D">
        <w:t>Pa</w:t>
      </w:r>
      <w:r>
        <w:t>cific Economics Group Research</w:t>
      </w:r>
      <w:r w:rsidRPr="0048283D">
        <w:t xml:space="preserve">, Empirical Research in Support of Incentive Rate Setting in Ontario: Report to the Ontario Energy Board, Report prepared for the Ontario Energy Board, Madison, </w:t>
      </w:r>
      <w:r>
        <w:t>2013</w:t>
      </w:r>
      <w:r w:rsidRPr="0048283D">
        <w:t>.</w:t>
      </w:r>
    </w:p>
  </w:footnote>
  <w:footnote w:id="311">
    <w:p w:rsidR="00223658" w:rsidRDefault="00223658" w:rsidP="00051BDB">
      <w:pPr>
        <w:pStyle w:val="FootnoteText"/>
      </w:pPr>
      <w:r>
        <w:rPr>
          <w:rStyle w:val="FootnoteReference"/>
        </w:rPr>
        <w:footnoteRef/>
      </w:r>
      <w:r>
        <w:t xml:space="preserve"> </w:t>
      </w:r>
      <w:r>
        <w:tab/>
        <w:t xml:space="preserve">An alternative measure to ratcheted maximum demand could be substation capacity. In consultation on the output specification there was some debate as to whether substation capacity or maximum demand should be used. It was noted that, substation capacity would capture the effect of investment in capacity in excess of requirements. </w:t>
      </w:r>
      <w:r w:rsidRPr="00446807">
        <w:t>We consider that the use of ratcheted peak demand reaches a balance between these two perspectives</w:t>
      </w:r>
      <w:r>
        <w:t xml:space="preserve">. Ratcheted maximum demand is the highest level of demand observed over the benchmarking period. As such, </w:t>
      </w:r>
      <w:r w:rsidRPr="00446807">
        <w:t xml:space="preserve">it is reflective of the capacity that </w:t>
      </w:r>
      <w:r>
        <w:t>was required to meet demand over the period.</w:t>
      </w:r>
    </w:p>
  </w:footnote>
  <w:footnote w:id="312">
    <w:p w:rsidR="00223658" w:rsidRDefault="00223658" w:rsidP="00051BDB">
      <w:pPr>
        <w:pStyle w:val="FootnoteText"/>
      </w:pPr>
      <w:r>
        <w:rPr>
          <w:rStyle w:val="FootnoteReference"/>
        </w:rPr>
        <w:footnoteRef/>
      </w:r>
      <w:r>
        <w:t xml:space="preserve"> </w:t>
      </w:r>
      <w:r>
        <w:tab/>
        <w:t>Economic Insights, 2015, pp. 10–11</w:t>
      </w:r>
    </w:p>
  </w:footnote>
  <w:footnote w:id="313">
    <w:p w:rsidR="00223658" w:rsidRDefault="00223658" w:rsidP="00051BDB">
      <w:pPr>
        <w:pStyle w:val="FootnoteText"/>
      </w:pPr>
      <w:r>
        <w:rPr>
          <w:rStyle w:val="FootnoteReference"/>
        </w:rPr>
        <w:footnoteRef/>
      </w:r>
      <w:r>
        <w:t xml:space="preserve"> </w:t>
      </w:r>
      <w:r>
        <w:tab/>
        <w:t>Economic Insights, 2015, p. 14 (section 2.2.4)</w:t>
      </w:r>
    </w:p>
  </w:footnote>
  <w:footnote w:id="314">
    <w:p w:rsidR="00223658" w:rsidRDefault="00223658" w:rsidP="00051BDB">
      <w:pPr>
        <w:pStyle w:val="FootnoteText"/>
      </w:pPr>
      <w:r>
        <w:rPr>
          <w:rStyle w:val="FootnoteReference"/>
        </w:rPr>
        <w:footnoteRef/>
      </w:r>
      <w:r>
        <w:t xml:space="preserve"> </w:t>
      </w:r>
      <w:r>
        <w:tab/>
        <w:t xml:space="preserve">Frontier, </w:t>
      </w:r>
      <w:r w:rsidRPr="00606D25">
        <w:t>Taking account of heterogeneity between networks when conducting economic benchmarking analysis</w:t>
      </w:r>
      <w:r>
        <w:t xml:space="preserve">, </w:t>
      </w:r>
      <w:r w:rsidRPr="00606D25">
        <w:t>February 2015</w:t>
      </w:r>
      <w:r>
        <w:t xml:space="preserve">, p. xii. CEPA, </w:t>
      </w:r>
      <w:r w:rsidR="00555D3B" w:rsidRPr="00555D3B">
        <w:t>Benchmarking and setting efficiency targets for the Australian DNSPs, (NSW DNSPs), 2015,</w:t>
      </w:r>
      <w:r w:rsidRPr="004F709F">
        <w:t xml:space="preserve"> p</w:t>
      </w:r>
      <w:r>
        <w:t>p. 17–18.</w:t>
      </w:r>
    </w:p>
  </w:footnote>
  <w:footnote w:id="315">
    <w:p w:rsidR="00223658" w:rsidRDefault="00223658" w:rsidP="00051BDB">
      <w:pPr>
        <w:pStyle w:val="FootnoteText"/>
      </w:pPr>
      <w:r>
        <w:rPr>
          <w:rStyle w:val="FootnoteReference"/>
        </w:rPr>
        <w:footnoteRef/>
      </w:r>
      <w:r>
        <w:t xml:space="preserve"> </w:t>
      </w:r>
      <w:r>
        <w:tab/>
        <w:t xml:space="preserve">PEG, </w:t>
      </w:r>
      <w:r w:rsidRPr="00F97EDF">
        <w:t>2015, pp.52, 54</w:t>
      </w:r>
      <w:r>
        <w:t>.</w:t>
      </w:r>
      <w:r w:rsidRPr="00F97EDF">
        <w:t xml:space="preserve"> Huegin</w:t>
      </w:r>
      <w:r>
        <w:t xml:space="preserve">, </w:t>
      </w:r>
      <w:r w:rsidRPr="00F97EDF">
        <w:t>2015a, p.47</w:t>
      </w:r>
      <w:r>
        <w:t>.</w:t>
      </w:r>
    </w:p>
  </w:footnote>
  <w:footnote w:id="316">
    <w:p w:rsidR="00223658" w:rsidRDefault="00223658" w:rsidP="00051BDB">
      <w:pPr>
        <w:pStyle w:val="FootnoteText"/>
      </w:pPr>
      <w:r>
        <w:rPr>
          <w:rStyle w:val="FootnoteReference"/>
        </w:rPr>
        <w:footnoteRef/>
      </w:r>
      <w:r>
        <w:t xml:space="preserve"> </w:t>
      </w:r>
      <w:r>
        <w:tab/>
        <w:t xml:space="preserve">Economic Insights, 2015, p. 12 </w:t>
      </w:r>
    </w:p>
  </w:footnote>
  <w:footnote w:id="317">
    <w:p w:rsidR="00223658" w:rsidRDefault="00223658" w:rsidP="00051BDB">
      <w:pPr>
        <w:pStyle w:val="FootnoteText"/>
      </w:pPr>
      <w:r>
        <w:rPr>
          <w:rStyle w:val="FootnoteReference"/>
        </w:rPr>
        <w:footnoteRef/>
      </w:r>
      <w:r>
        <w:t xml:space="preserve"> </w:t>
      </w:r>
      <w:r>
        <w:tab/>
        <w:t xml:space="preserve">Economic Insights, 2015, p. 12 </w:t>
      </w:r>
    </w:p>
  </w:footnote>
  <w:footnote w:id="318">
    <w:p w:rsidR="00223658" w:rsidRDefault="00223658" w:rsidP="00051BDB">
      <w:pPr>
        <w:pStyle w:val="FootnoteText"/>
      </w:pPr>
      <w:r>
        <w:rPr>
          <w:rStyle w:val="FootnoteReference"/>
        </w:rPr>
        <w:footnoteRef/>
      </w:r>
      <w:r>
        <w:t xml:space="preserve"> </w:t>
      </w:r>
      <w:r>
        <w:tab/>
        <w:t xml:space="preserve">Economic Insights, 2015, p. 18 </w:t>
      </w:r>
    </w:p>
  </w:footnote>
  <w:footnote w:id="319">
    <w:p w:rsidR="00223658" w:rsidRDefault="00223658" w:rsidP="00051BDB">
      <w:pPr>
        <w:pStyle w:val="FootnoteText"/>
      </w:pPr>
      <w:r>
        <w:rPr>
          <w:rStyle w:val="FootnoteReference"/>
        </w:rPr>
        <w:footnoteRef/>
      </w:r>
      <w:r>
        <w:t xml:space="preserve"> </w:t>
      </w:r>
      <w:r>
        <w:tab/>
      </w:r>
      <w:r w:rsidRPr="00B865F4">
        <w:t xml:space="preserve">Economic Insights, 2015, p. </w:t>
      </w:r>
      <w:r>
        <w:t>18</w:t>
      </w:r>
      <w:r>
        <w:rPr>
          <w:rStyle w:val="AERtexthighlight"/>
        </w:rPr>
        <w:t xml:space="preserve"> </w:t>
      </w:r>
    </w:p>
  </w:footnote>
  <w:footnote w:id="320">
    <w:p w:rsidR="00223658" w:rsidRDefault="00223658" w:rsidP="00051BDB">
      <w:pPr>
        <w:pStyle w:val="FootnoteText"/>
      </w:pPr>
      <w:r>
        <w:rPr>
          <w:rStyle w:val="FootnoteReference"/>
        </w:rPr>
        <w:footnoteRef/>
      </w:r>
      <w:r>
        <w:t xml:space="preserve"> </w:t>
      </w:r>
      <w:r>
        <w:tab/>
        <w:t xml:space="preserve">CEPA, </w:t>
      </w:r>
      <w:r w:rsidR="00555D3B" w:rsidRPr="00555D3B">
        <w:t>Benchmarking and setting efficiency targets for the Australian DNSPs, (NSW DNSPs), 2015,</w:t>
      </w:r>
      <w:r>
        <w:t xml:space="preserve"> p. 20.</w:t>
      </w:r>
      <w:r w:rsidRPr="00704576">
        <w:t xml:space="preserve"> </w:t>
      </w:r>
      <w:r>
        <w:t>PEG, 2014, pp. 22–23.</w:t>
      </w:r>
    </w:p>
  </w:footnote>
  <w:footnote w:id="321">
    <w:p w:rsidR="00223658" w:rsidRDefault="00223658" w:rsidP="00051BDB">
      <w:pPr>
        <w:pStyle w:val="FootnoteText"/>
      </w:pPr>
      <w:r>
        <w:rPr>
          <w:rStyle w:val="FootnoteReference"/>
        </w:rPr>
        <w:footnoteRef/>
      </w:r>
      <w:r>
        <w:t xml:space="preserve"> </w:t>
      </w:r>
      <w:r>
        <w:tab/>
        <w:t>Economic Insights, 2015, p. 48</w:t>
      </w:r>
    </w:p>
    <w:p w:rsidR="00223658" w:rsidRDefault="00223658" w:rsidP="00051BDB">
      <w:pPr>
        <w:pStyle w:val="FootnoteText"/>
      </w:pPr>
      <w:r>
        <w:tab/>
      </w:r>
      <w:r w:rsidRPr="00704576">
        <w:t xml:space="preserve">PEG uses a sample of Australian and US data to model the efficiency of the US </w:t>
      </w:r>
      <w:r>
        <w:t>service providers. This data set is different to that applied by Economic Insights which used service providers from New Zealand and Ontario</w:t>
      </w:r>
      <w:r w:rsidRPr="00704576">
        <w:t xml:space="preserve">. </w:t>
      </w:r>
      <w:r>
        <w:t>However as n</w:t>
      </w:r>
      <w:r w:rsidRPr="00704576">
        <w:t xml:space="preserve">one of the US </w:t>
      </w:r>
      <w:r>
        <w:t>service providers</w:t>
      </w:r>
      <w:r w:rsidRPr="00704576">
        <w:t xml:space="preserve"> have 132 kV line lengths this variable </w:t>
      </w:r>
      <w:r>
        <w:t>has a similar effect to including the 66kV plus variable in the Australian, Ontario and New Zealand benchmarking models.</w:t>
      </w:r>
    </w:p>
  </w:footnote>
  <w:footnote w:id="322">
    <w:p w:rsidR="00223658" w:rsidRDefault="00223658" w:rsidP="00051BDB">
      <w:pPr>
        <w:pStyle w:val="FootnoteText"/>
      </w:pPr>
      <w:r>
        <w:rPr>
          <w:rStyle w:val="FootnoteReference"/>
        </w:rPr>
        <w:footnoteRef/>
      </w:r>
      <w:r>
        <w:t xml:space="preserve"> </w:t>
      </w:r>
      <w:r>
        <w:tab/>
        <w:t>Economic Insights, 2015, pp. 48–49.</w:t>
      </w:r>
    </w:p>
  </w:footnote>
  <w:footnote w:id="323">
    <w:p w:rsidR="00223658" w:rsidRDefault="00223658" w:rsidP="00051BDB">
      <w:pPr>
        <w:pStyle w:val="FootnoteText"/>
      </w:pPr>
      <w:r>
        <w:rPr>
          <w:rStyle w:val="FootnoteReference"/>
        </w:rPr>
        <w:footnoteRef/>
      </w:r>
      <w:r>
        <w:t xml:space="preserve"> </w:t>
      </w:r>
      <w:r>
        <w:tab/>
        <w:t>Economic Insights, 2015, p. 50</w:t>
      </w:r>
    </w:p>
  </w:footnote>
  <w:footnote w:id="324">
    <w:p w:rsidR="00223658" w:rsidRDefault="00223658" w:rsidP="00051BDB">
      <w:pPr>
        <w:pStyle w:val="FootnoteText"/>
      </w:pPr>
      <w:r>
        <w:rPr>
          <w:rStyle w:val="FootnoteReference"/>
        </w:rPr>
        <w:footnoteRef/>
      </w:r>
      <w:r>
        <w:t xml:space="preserve"> </w:t>
      </w:r>
      <w:r>
        <w:tab/>
        <w:t>Economic Insights, 2015, pp. 7, 51.</w:t>
      </w:r>
    </w:p>
  </w:footnote>
  <w:footnote w:id="325">
    <w:p w:rsidR="00223658" w:rsidRDefault="00223658" w:rsidP="00051BDB">
      <w:pPr>
        <w:pStyle w:val="FootnoteText"/>
      </w:pPr>
      <w:r>
        <w:rPr>
          <w:rStyle w:val="FootnoteReference"/>
        </w:rPr>
        <w:footnoteRef/>
      </w:r>
      <w:r>
        <w:t xml:space="preserve"> </w:t>
      </w:r>
      <w:r>
        <w:tab/>
        <w:t>Economic Insights, 2015, pp. 7, 51.</w:t>
      </w:r>
    </w:p>
  </w:footnote>
  <w:footnote w:id="326">
    <w:p w:rsidR="00223658" w:rsidRDefault="00223658" w:rsidP="00051BDB">
      <w:pPr>
        <w:pStyle w:val="FootnoteText"/>
      </w:pPr>
      <w:r>
        <w:rPr>
          <w:rStyle w:val="FootnoteReference"/>
        </w:rPr>
        <w:footnoteRef/>
      </w:r>
      <w:r>
        <w:t xml:space="preserve"> </w:t>
      </w:r>
      <w:r>
        <w:tab/>
        <w:t>Huegin, 2015a, pp. 35–36.</w:t>
      </w:r>
    </w:p>
  </w:footnote>
  <w:footnote w:id="327">
    <w:p w:rsidR="00223658" w:rsidRDefault="00223658" w:rsidP="00051BDB">
      <w:pPr>
        <w:pStyle w:val="FootnoteText"/>
      </w:pPr>
      <w:r>
        <w:rPr>
          <w:rStyle w:val="FootnoteReference"/>
        </w:rPr>
        <w:footnoteRef/>
      </w:r>
      <w:r>
        <w:t xml:space="preserve"> </w:t>
      </w:r>
      <w:r>
        <w:tab/>
        <w:t>Economic Insights, Memorandum – DNSP MTFP results, 2014.</w:t>
      </w:r>
    </w:p>
  </w:footnote>
  <w:footnote w:id="328">
    <w:p w:rsidR="00223658" w:rsidRDefault="00223658" w:rsidP="00051BDB">
      <w:pPr>
        <w:pStyle w:val="FootnoteText"/>
      </w:pPr>
      <w:r>
        <w:rPr>
          <w:rStyle w:val="FootnoteReference"/>
        </w:rPr>
        <w:footnoteRef/>
      </w:r>
      <w:r>
        <w:t xml:space="preserve"> </w:t>
      </w:r>
      <w:r>
        <w:tab/>
        <w:t>Economic Insights, Memorandum – DNSP MTFP results, 2014.</w:t>
      </w:r>
    </w:p>
  </w:footnote>
  <w:footnote w:id="329">
    <w:p w:rsidR="00223658" w:rsidRDefault="00223658" w:rsidP="00051BDB">
      <w:pPr>
        <w:pStyle w:val="FootnoteText"/>
      </w:pPr>
      <w:r>
        <w:rPr>
          <w:rStyle w:val="FootnoteReference"/>
        </w:rPr>
        <w:footnoteRef/>
      </w:r>
      <w:r>
        <w:t xml:space="preserve"> </w:t>
      </w:r>
      <w:r>
        <w:tab/>
        <w:t>Economic Insights, 2015, p. 51.</w:t>
      </w:r>
    </w:p>
  </w:footnote>
  <w:footnote w:id="330">
    <w:p w:rsidR="00223658" w:rsidRDefault="00223658" w:rsidP="00051BDB">
      <w:pPr>
        <w:pStyle w:val="FootnoteText"/>
      </w:pPr>
      <w:r>
        <w:rPr>
          <w:rStyle w:val="FootnoteReference"/>
        </w:rPr>
        <w:footnoteRef/>
      </w:r>
      <w:r>
        <w:t xml:space="preserve"> </w:t>
      </w:r>
      <w:r>
        <w:tab/>
        <w:t>Synergies, 2015, p. 42.</w:t>
      </w:r>
    </w:p>
  </w:footnote>
  <w:footnote w:id="331">
    <w:p w:rsidR="00223658" w:rsidRDefault="00223658" w:rsidP="00051BDB">
      <w:pPr>
        <w:pStyle w:val="FootnoteText"/>
      </w:pPr>
      <w:r>
        <w:rPr>
          <w:rStyle w:val="FootnoteReference"/>
        </w:rPr>
        <w:footnoteRef/>
      </w:r>
      <w:r>
        <w:t xml:space="preserve"> </w:t>
      </w:r>
      <w:r>
        <w:tab/>
        <w:t>Economic Insights, 2015, p. 51.</w:t>
      </w:r>
    </w:p>
  </w:footnote>
  <w:footnote w:id="332">
    <w:p w:rsidR="00223658" w:rsidRDefault="00223658" w:rsidP="00051BDB">
      <w:pPr>
        <w:pStyle w:val="FootnoteText"/>
      </w:pPr>
      <w:r>
        <w:rPr>
          <w:rStyle w:val="FootnoteReference"/>
        </w:rPr>
        <w:footnoteRef/>
      </w:r>
      <w:r>
        <w:t xml:space="preserve"> </w:t>
      </w:r>
      <w:r>
        <w:tab/>
        <w:t>The McKell Institute, Nothing to gain, plenty to lose: why the government, households and businesses could end up paying a high price for electricity privatisation, 2014, p. 34.</w:t>
      </w:r>
    </w:p>
  </w:footnote>
  <w:footnote w:id="333">
    <w:p w:rsidR="00223658" w:rsidRDefault="00223658" w:rsidP="00051BDB">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334">
    <w:p w:rsidR="00223658" w:rsidRDefault="00223658" w:rsidP="00051BDB">
      <w:pPr>
        <w:pStyle w:val="FootnoteText"/>
      </w:pPr>
      <w:r>
        <w:rPr>
          <w:rStyle w:val="FootnoteReference"/>
        </w:rPr>
        <w:footnoteRef/>
      </w:r>
      <w:r>
        <w:t xml:space="preserve"> </w:t>
      </w:r>
      <w:r>
        <w:tab/>
        <w:t>Economic Insights, 2015, p. 53.</w:t>
      </w:r>
    </w:p>
  </w:footnote>
  <w:footnote w:id="335">
    <w:p w:rsidR="00223658" w:rsidRDefault="00223658" w:rsidP="00051BDB">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336">
    <w:p w:rsidR="00223658" w:rsidRDefault="00223658" w:rsidP="00051BDB">
      <w:pPr>
        <w:pStyle w:val="FootnoteText"/>
      </w:pPr>
      <w:r>
        <w:rPr>
          <w:rStyle w:val="FootnoteReference"/>
        </w:rPr>
        <w:footnoteRef/>
      </w:r>
      <w:r>
        <w:t xml:space="preserve"> </w:t>
      </w:r>
      <w:r>
        <w:tab/>
        <w:t>PEGR, 2015, p.52 and p.55</w:t>
      </w:r>
    </w:p>
  </w:footnote>
  <w:footnote w:id="337">
    <w:p w:rsidR="00223658" w:rsidRDefault="00223658" w:rsidP="00051BDB">
      <w:pPr>
        <w:pStyle w:val="FootnoteText"/>
      </w:pPr>
      <w:r>
        <w:rPr>
          <w:rStyle w:val="FootnoteReference"/>
        </w:rPr>
        <w:footnoteRef/>
      </w:r>
      <w:r>
        <w:t xml:space="preserve"> </w:t>
      </w:r>
      <w:r>
        <w:tab/>
        <w:t>Economic Insights, 2015, pp. 8–9.</w:t>
      </w:r>
    </w:p>
  </w:footnote>
  <w:footnote w:id="338">
    <w:p w:rsidR="00223658" w:rsidRDefault="00223658" w:rsidP="00051BDB">
      <w:pPr>
        <w:pStyle w:val="FootnoteText"/>
      </w:pPr>
      <w:r>
        <w:rPr>
          <w:rStyle w:val="FootnoteReference"/>
        </w:rPr>
        <w:footnoteRef/>
      </w:r>
      <w:r>
        <w:t xml:space="preserve"> </w:t>
      </w:r>
      <w:r>
        <w:tab/>
        <w:t>Economic Insights, 2015, pp. 8–9.</w:t>
      </w:r>
    </w:p>
  </w:footnote>
  <w:footnote w:id="339">
    <w:p w:rsidR="00223658" w:rsidRDefault="00223658" w:rsidP="00051BDB">
      <w:pPr>
        <w:pStyle w:val="FootnoteText"/>
      </w:pPr>
      <w:r>
        <w:rPr>
          <w:rStyle w:val="FootnoteReference"/>
        </w:rPr>
        <w:footnoteRef/>
      </w:r>
      <w:r>
        <w:t xml:space="preserve"> </w:t>
      </w:r>
      <w:r>
        <w:tab/>
        <w:t>Economic Insights, 2015, pp. 8–9.</w:t>
      </w:r>
    </w:p>
  </w:footnote>
  <w:footnote w:id="340">
    <w:p w:rsidR="00223658" w:rsidRDefault="00223658" w:rsidP="00051BDB">
      <w:pPr>
        <w:pStyle w:val="FootnoteText"/>
      </w:pPr>
      <w:r>
        <w:rPr>
          <w:rStyle w:val="FootnoteReference"/>
        </w:rPr>
        <w:footnoteRef/>
      </w:r>
      <w:r>
        <w:t xml:space="preserve"> </w:t>
      </w:r>
      <w:r>
        <w:tab/>
        <w:t>Economic Insights, 2015, p. 26.</w:t>
      </w:r>
    </w:p>
  </w:footnote>
  <w:footnote w:id="341">
    <w:p w:rsidR="00223658" w:rsidRDefault="00223658" w:rsidP="00051BDB">
      <w:pPr>
        <w:pStyle w:val="FootnoteText"/>
      </w:pPr>
      <w:r>
        <w:rPr>
          <w:rStyle w:val="FootnoteReference"/>
        </w:rPr>
        <w:footnoteRef/>
      </w:r>
      <w:r>
        <w:t xml:space="preserve"> </w:t>
      </w:r>
      <w:r>
        <w:tab/>
        <w:t>Economic Insights, 2015, pp. 25–26.</w:t>
      </w:r>
    </w:p>
  </w:footnote>
  <w:footnote w:id="342">
    <w:p w:rsidR="00223658" w:rsidRDefault="00223658" w:rsidP="00051BDB">
      <w:pPr>
        <w:pStyle w:val="FootnoteText"/>
      </w:pPr>
      <w:r>
        <w:rPr>
          <w:rStyle w:val="FootnoteReference"/>
        </w:rPr>
        <w:footnoteRef/>
      </w:r>
      <w:r>
        <w:t xml:space="preserve"> </w:t>
      </w:r>
      <w:r>
        <w:tab/>
        <w:t>Economic Insights, 2015, p. 20.</w:t>
      </w:r>
    </w:p>
  </w:footnote>
  <w:footnote w:id="343">
    <w:p w:rsidR="00223658" w:rsidRDefault="00223658" w:rsidP="00051BDB">
      <w:pPr>
        <w:pStyle w:val="FootnoteText"/>
      </w:pPr>
      <w:r>
        <w:rPr>
          <w:rStyle w:val="FootnoteReference"/>
        </w:rPr>
        <w:footnoteRef/>
      </w:r>
      <w:r>
        <w:t xml:space="preserve"> </w:t>
      </w:r>
      <w:r>
        <w:tab/>
        <w:t>Economic Insights, 2015, pp. 20–21.</w:t>
      </w:r>
    </w:p>
  </w:footnote>
  <w:footnote w:id="344">
    <w:p w:rsidR="00223658" w:rsidRDefault="00223658" w:rsidP="00051BDB">
      <w:pPr>
        <w:pStyle w:val="FootnoteText"/>
      </w:pPr>
      <w:r>
        <w:rPr>
          <w:rStyle w:val="FootnoteReference"/>
        </w:rPr>
        <w:footnoteRef/>
      </w:r>
      <w:r>
        <w:t xml:space="preserve"> </w:t>
      </w:r>
      <w:r>
        <w:tab/>
        <w:t>Economic Insights, 2015, pp. 20–21.</w:t>
      </w:r>
    </w:p>
  </w:footnote>
  <w:footnote w:id="345">
    <w:p w:rsidR="00223658" w:rsidRDefault="00223658" w:rsidP="00051BDB">
      <w:pPr>
        <w:pStyle w:val="FootnoteText"/>
      </w:pPr>
      <w:r>
        <w:rPr>
          <w:rStyle w:val="FootnoteReference"/>
        </w:rPr>
        <w:footnoteRef/>
      </w:r>
      <w:r>
        <w:t xml:space="preserve"> </w:t>
      </w:r>
      <w:r>
        <w:tab/>
        <w:t>Economic Insights (2014), pp. 28-29.</w:t>
      </w:r>
    </w:p>
  </w:footnote>
  <w:footnote w:id="346">
    <w:p w:rsidR="00223658" w:rsidRDefault="00223658" w:rsidP="00051BDB">
      <w:pPr>
        <w:pStyle w:val="FootnoteText"/>
      </w:pPr>
      <w:r>
        <w:rPr>
          <w:rStyle w:val="FootnoteReference"/>
        </w:rPr>
        <w:footnoteRef/>
      </w:r>
      <w:r>
        <w:t xml:space="preserve"> </w:t>
      </w:r>
      <w:r>
        <w:tab/>
        <w:t xml:space="preserve">CEPA, </w:t>
      </w:r>
      <w:r w:rsidR="00555D3B" w:rsidRPr="00555D3B">
        <w:t>Benchmarking and setting efficiency targets for the Australian DNSPs, (NSW DNSPs), 2015,</w:t>
      </w:r>
      <w:r>
        <w:t xml:space="preserve"> p. 19.</w:t>
      </w:r>
    </w:p>
  </w:footnote>
  <w:footnote w:id="347">
    <w:p w:rsidR="00223658" w:rsidRDefault="00223658" w:rsidP="00051BDB">
      <w:pPr>
        <w:pStyle w:val="FootnoteText"/>
      </w:pPr>
      <w:r>
        <w:rPr>
          <w:rStyle w:val="FootnoteReference"/>
        </w:rPr>
        <w:footnoteRef/>
      </w:r>
      <w:r>
        <w:t xml:space="preserve"> </w:t>
      </w:r>
      <w:r>
        <w:tab/>
        <w:t>PEG, 2014, pp. 53-57.</w:t>
      </w:r>
    </w:p>
  </w:footnote>
  <w:footnote w:id="348">
    <w:p w:rsidR="00223658" w:rsidRDefault="00223658" w:rsidP="00051BDB">
      <w:pPr>
        <w:pStyle w:val="FootnoteText"/>
      </w:pPr>
      <w:r>
        <w:rPr>
          <w:rStyle w:val="FootnoteReference"/>
        </w:rPr>
        <w:footnoteRef/>
      </w:r>
      <w:r>
        <w:t xml:space="preserve"> </w:t>
      </w:r>
      <w:r>
        <w:tab/>
        <w:t>Economic Insights (2014), pp. 28-29.</w:t>
      </w:r>
    </w:p>
  </w:footnote>
  <w:footnote w:id="349">
    <w:p w:rsidR="00223658" w:rsidRDefault="00223658" w:rsidP="00051BDB">
      <w:pPr>
        <w:pStyle w:val="FootnoteText"/>
      </w:pPr>
      <w:r>
        <w:rPr>
          <w:rStyle w:val="FootnoteReference"/>
        </w:rPr>
        <w:footnoteRef/>
      </w:r>
      <w:r>
        <w:t xml:space="preserve"> </w:t>
      </w:r>
      <w:r>
        <w:tab/>
        <w:t>Economic Insights (2014), p. 31.</w:t>
      </w:r>
    </w:p>
  </w:footnote>
  <w:footnote w:id="350">
    <w:p w:rsidR="00223658" w:rsidRDefault="00223658" w:rsidP="00051BDB">
      <w:pPr>
        <w:pStyle w:val="FootnoteText"/>
      </w:pPr>
      <w:r>
        <w:rPr>
          <w:rStyle w:val="FootnoteReference"/>
        </w:rPr>
        <w:footnoteRef/>
      </w:r>
      <w:r>
        <w:t xml:space="preserve"> </w:t>
      </w:r>
      <w:r>
        <w:tab/>
        <w:t>Economic Insights, 2015, p. 20.</w:t>
      </w:r>
    </w:p>
  </w:footnote>
  <w:footnote w:id="351">
    <w:p w:rsidR="00223658" w:rsidRDefault="00223658" w:rsidP="00051BDB">
      <w:pPr>
        <w:pStyle w:val="FootnoteText"/>
      </w:pPr>
      <w:r>
        <w:rPr>
          <w:rStyle w:val="FootnoteReference"/>
        </w:rPr>
        <w:footnoteRef/>
      </w:r>
      <w:r>
        <w:t xml:space="preserve"> </w:t>
      </w:r>
      <w:r>
        <w:tab/>
        <w:t>Economic Insights, 2015, p. 25.</w:t>
      </w:r>
    </w:p>
  </w:footnote>
  <w:footnote w:id="352">
    <w:p w:rsidR="00223658" w:rsidRDefault="00223658" w:rsidP="00051BDB">
      <w:pPr>
        <w:pStyle w:val="FootnoteText"/>
      </w:pPr>
      <w:r>
        <w:rPr>
          <w:rStyle w:val="FootnoteReference"/>
        </w:rPr>
        <w:footnoteRef/>
      </w:r>
      <w:r>
        <w:t xml:space="preserve"> </w:t>
      </w:r>
      <w:r>
        <w:tab/>
        <w:t xml:space="preserve">Economic Insights (2014), pp. 29-31; </w:t>
      </w:r>
    </w:p>
  </w:footnote>
  <w:footnote w:id="353">
    <w:p w:rsidR="00223658" w:rsidRDefault="00223658" w:rsidP="00051BDB">
      <w:pPr>
        <w:pStyle w:val="FootnoteText"/>
      </w:pPr>
      <w:r>
        <w:rPr>
          <w:rStyle w:val="FootnoteReference"/>
        </w:rPr>
        <w:footnoteRef/>
      </w:r>
      <w:r>
        <w:t xml:space="preserve"> </w:t>
      </w:r>
      <w:r>
        <w:tab/>
        <w:t xml:space="preserve">Economic Insights (2014), pp. 29-31; </w:t>
      </w:r>
    </w:p>
  </w:footnote>
  <w:footnote w:id="354">
    <w:p w:rsidR="00223658" w:rsidRDefault="00223658" w:rsidP="00051BDB">
      <w:pPr>
        <w:pStyle w:val="FootnoteText"/>
      </w:pPr>
      <w:r>
        <w:rPr>
          <w:rStyle w:val="FootnoteReference"/>
        </w:rPr>
        <w:footnoteRef/>
      </w:r>
      <w:r>
        <w:t xml:space="preserve"> </w:t>
      </w:r>
      <w:r>
        <w:tab/>
        <w:t xml:space="preserve">Economic Insights (2014), pp. 29-31; </w:t>
      </w:r>
    </w:p>
  </w:footnote>
  <w:footnote w:id="355">
    <w:p w:rsidR="00223658" w:rsidRDefault="00223658" w:rsidP="00051BDB">
      <w:pPr>
        <w:pStyle w:val="FootnoteText"/>
      </w:pPr>
      <w:r>
        <w:rPr>
          <w:rStyle w:val="FootnoteReference"/>
        </w:rPr>
        <w:footnoteRef/>
      </w:r>
      <w:r>
        <w:t xml:space="preserve"> </w:t>
      </w:r>
      <w:r>
        <w:tab/>
        <w:t xml:space="preserve">Economic Insights (2014), pp. 29-31; </w:t>
      </w:r>
    </w:p>
  </w:footnote>
  <w:footnote w:id="356">
    <w:p w:rsidR="00223658" w:rsidRDefault="00223658" w:rsidP="00051BDB">
      <w:pPr>
        <w:pStyle w:val="FootnoteText"/>
      </w:pPr>
      <w:r>
        <w:rPr>
          <w:rStyle w:val="FootnoteReference"/>
        </w:rPr>
        <w:footnoteRef/>
      </w:r>
      <w:r>
        <w:t xml:space="preserve"> </w:t>
      </w:r>
      <w:r>
        <w:tab/>
        <w:t xml:space="preserve">Frontier Economics, (NSW/ACT), 2015, </w:t>
      </w:r>
      <w:r w:rsidRPr="00F96B8B">
        <w:t>p</w:t>
      </w:r>
      <w:r>
        <w:t xml:space="preserve">. </w:t>
      </w:r>
      <w:r w:rsidRPr="004936C8">
        <w:t>vii</w:t>
      </w:r>
      <w:r>
        <w:t>.</w:t>
      </w:r>
      <w:r w:rsidRPr="004936C8">
        <w:t xml:space="preserve"> Huegin</w:t>
      </w:r>
      <w:r>
        <w:t xml:space="preserve">, (NSW), </w:t>
      </w:r>
      <w:r w:rsidRPr="004936C8">
        <w:t>2015, p.15</w:t>
      </w:r>
      <w:r>
        <w:t>.</w:t>
      </w:r>
    </w:p>
  </w:footnote>
  <w:footnote w:id="357">
    <w:p w:rsidR="00223658" w:rsidRDefault="00223658" w:rsidP="00051BDB">
      <w:pPr>
        <w:pStyle w:val="FootnoteText"/>
      </w:pPr>
      <w:r>
        <w:rPr>
          <w:rStyle w:val="FootnoteReference"/>
        </w:rPr>
        <w:footnoteRef/>
      </w:r>
      <w:r>
        <w:t xml:space="preserve"> </w:t>
      </w:r>
      <w:r>
        <w:tab/>
        <w:t xml:space="preserve">Economic Insights (2014), pp. 29-32; </w:t>
      </w:r>
    </w:p>
  </w:footnote>
  <w:footnote w:id="358">
    <w:p w:rsidR="00223658" w:rsidRDefault="00223658" w:rsidP="00051BDB">
      <w:pPr>
        <w:pStyle w:val="FootnoteText"/>
      </w:pPr>
      <w:r>
        <w:rPr>
          <w:rStyle w:val="FootnoteReference"/>
        </w:rPr>
        <w:footnoteRef/>
      </w:r>
      <w:r>
        <w:t xml:space="preserve"> </w:t>
      </w:r>
      <w:r>
        <w:tab/>
        <w:t xml:space="preserve">Economic Insights (2014), p. 32; </w:t>
      </w:r>
    </w:p>
  </w:footnote>
  <w:footnote w:id="359">
    <w:p w:rsidR="00223658" w:rsidRDefault="00223658" w:rsidP="00051BDB">
      <w:pPr>
        <w:pStyle w:val="FootnoteText"/>
      </w:pPr>
      <w:r>
        <w:rPr>
          <w:rStyle w:val="FootnoteReference"/>
        </w:rPr>
        <w:footnoteRef/>
      </w:r>
      <w:r>
        <w:t xml:space="preserve"> </w:t>
      </w:r>
      <w:r>
        <w:tab/>
        <w:t xml:space="preserve">Economic Insights was not satisfied, following this testing, that the SFA Translog model was robust or reliable enough to be useful. </w:t>
      </w:r>
    </w:p>
  </w:footnote>
  <w:footnote w:id="360">
    <w:p w:rsidR="00223658" w:rsidRDefault="00223658" w:rsidP="00051BDB">
      <w:pPr>
        <w:pStyle w:val="FootnoteText"/>
      </w:pPr>
      <w:r>
        <w:rPr>
          <w:rStyle w:val="FootnoteReference"/>
        </w:rPr>
        <w:footnoteRef/>
      </w:r>
      <w:r>
        <w:t xml:space="preserve"> </w:t>
      </w:r>
      <w:r>
        <w:tab/>
        <w:t>PEG,</w:t>
      </w:r>
      <w:r w:rsidR="00555D3B">
        <w:t xml:space="preserve"> 2014,</w:t>
      </w:r>
      <w:r>
        <w:t xml:space="preserve"> p. 55; Frontier, </w:t>
      </w:r>
      <w:r w:rsidR="00555D3B">
        <w:t xml:space="preserve">(NSW/ACT), </w:t>
      </w:r>
      <w:r>
        <w:t>pp. 40, 43; CEPA,</w:t>
      </w:r>
      <w:r w:rsidR="00555D3B" w:rsidRPr="00555D3B">
        <w:t xml:space="preserve"> Benchmarking and setting efficiency targets for the Australian DNSPs, (NSW DNSPs), 2015,</w:t>
      </w:r>
      <w:r>
        <w:t xml:space="preserve"> p. 17.</w:t>
      </w:r>
    </w:p>
  </w:footnote>
  <w:footnote w:id="361">
    <w:p w:rsidR="00223658" w:rsidRDefault="00223658" w:rsidP="00051BDB">
      <w:pPr>
        <w:pStyle w:val="FootnoteText"/>
      </w:pPr>
      <w:r>
        <w:rPr>
          <w:rStyle w:val="FootnoteReference"/>
        </w:rPr>
        <w:footnoteRef/>
      </w:r>
      <w:r>
        <w:t xml:space="preserve"> </w:t>
      </w:r>
      <w:r>
        <w:tab/>
        <w:t>CEPA,</w:t>
      </w:r>
      <w:r w:rsidR="00555D3B" w:rsidRPr="00555D3B">
        <w:t xml:space="preserve"> Benchmarking and setting efficiency targets for the Australian DNSPs, (NSW DNSPs), 2015,</w:t>
      </w:r>
      <w:r>
        <w:t xml:space="preserve"> p. 17.</w:t>
      </w:r>
    </w:p>
  </w:footnote>
  <w:footnote w:id="362">
    <w:p w:rsidR="00223658" w:rsidRDefault="00223658" w:rsidP="00051BDB">
      <w:pPr>
        <w:pStyle w:val="FootnoteText"/>
      </w:pPr>
      <w:r>
        <w:rPr>
          <w:rStyle w:val="FootnoteReference"/>
        </w:rPr>
        <w:footnoteRef/>
      </w:r>
      <w:r>
        <w:t xml:space="preserve"> </w:t>
      </w:r>
      <w:r>
        <w:tab/>
        <w:t xml:space="preserve">Frontier, </w:t>
      </w:r>
      <w:r w:rsidR="00555D3B">
        <w:t xml:space="preserve">(NSW/ACT), </w:t>
      </w:r>
      <w:r>
        <w:t>p. 18; PEG</w:t>
      </w:r>
      <w:r w:rsidR="00555D3B">
        <w:t>, 2015</w:t>
      </w:r>
      <w:r>
        <w:t>, p. 55.</w:t>
      </w:r>
    </w:p>
  </w:footnote>
  <w:footnote w:id="363">
    <w:p w:rsidR="00223658" w:rsidRDefault="00223658" w:rsidP="00051BDB">
      <w:pPr>
        <w:pStyle w:val="FootnoteText"/>
      </w:pPr>
      <w:r>
        <w:rPr>
          <w:rStyle w:val="FootnoteReference"/>
        </w:rPr>
        <w:footnoteRef/>
      </w:r>
      <w:r>
        <w:t xml:space="preserve"> </w:t>
      </w:r>
      <w:r>
        <w:tab/>
        <w:t>Economic Insights (2014), p. 14.</w:t>
      </w:r>
    </w:p>
  </w:footnote>
  <w:footnote w:id="364">
    <w:p w:rsidR="00223658" w:rsidRDefault="00223658" w:rsidP="00051BDB">
      <w:pPr>
        <w:pStyle w:val="FootnoteText"/>
      </w:pPr>
      <w:r>
        <w:rPr>
          <w:rStyle w:val="FootnoteReference"/>
        </w:rPr>
        <w:footnoteRef/>
      </w:r>
      <w:r>
        <w:t xml:space="preserve"> </w:t>
      </w:r>
      <w:r>
        <w:tab/>
        <w:t>Economic Insights (2014), p. 17.</w:t>
      </w:r>
    </w:p>
  </w:footnote>
  <w:footnote w:id="365">
    <w:p w:rsidR="00223658" w:rsidRDefault="00223658" w:rsidP="00051BDB">
      <w:pPr>
        <w:pStyle w:val="FootnoteText"/>
      </w:pPr>
      <w:r>
        <w:rPr>
          <w:rStyle w:val="FootnoteReference"/>
        </w:rPr>
        <w:footnoteRef/>
      </w:r>
      <w:r>
        <w:t xml:space="preserve"> </w:t>
      </w:r>
      <w:r>
        <w:tab/>
        <w:t>PEG, 2014, pp. 57-63</w:t>
      </w:r>
    </w:p>
  </w:footnote>
  <w:footnote w:id="366">
    <w:p w:rsidR="00223658" w:rsidRDefault="00223658" w:rsidP="00051BDB">
      <w:pPr>
        <w:pStyle w:val="FootnoteText"/>
      </w:pPr>
      <w:r>
        <w:rPr>
          <w:rStyle w:val="FootnoteReference"/>
        </w:rPr>
        <w:footnoteRef/>
      </w:r>
      <w:r>
        <w:t xml:space="preserve"> </w:t>
      </w:r>
      <w:r>
        <w:tab/>
        <w:t xml:space="preserve">Frontier, </w:t>
      </w:r>
      <w:r w:rsidR="00555D3B">
        <w:t xml:space="preserve">(NSW/ACT), </w:t>
      </w:r>
      <w:r>
        <w:t>pp. xviii-xix, 100-102.</w:t>
      </w:r>
    </w:p>
  </w:footnote>
  <w:footnote w:id="367">
    <w:p w:rsidR="00223658" w:rsidRDefault="00223658" w:rsidP="00051BDB">
      <w:pPr>
        <w:pStyle w:val="FootnoteText"/>
      </w:pPr>
      <w:r>
        <w:rPr>
          <w:rStyle w:val="FootnoteReference"/>
        </w:rPr>
        <w:footnoteRef/>
      </w:r>
      <w:r>
        <w:t xml:space="preserve"> </w:t>
      </w:r>
      <w:r>
        <w:tab/>
        <w:t>CEPA,</w:t>
      </w:r>
      <w:r w:rsidR="00555D3B" w:rsidRPr="00555D3B">
        <w:t xml:space="preserve"> Benchmarking and setting efficiency targets for the Australian DNSPs, (NSW DNSPs), 2015,</w:t>
      </w:r>
      <w:r>
        <w:t xml:space="preserve"> pp. 16-22.</w:t>
      </w:r>
    </w:p>
  </w:footnote>
  <w:footnote w:id="368">
    <w:p w:rsidR="00223658" w:rsidRDefault="00223658" w:rsidP="00051BDB">
      <w:pPr>
        <w:pStyle w:val="FootnoteText"/>
      </w:pPr>
      <w:r>
        <w:rPr>
          <w:rStyle w:val="FootnoteReference"/>
        </w:rPr>
        <w:footnoteRef/>
      </w:r>
      <w:r>
        <w:t xml:space="preserve"> </w:t>
      </w:r>
      <w:r>
        <w:tab/>
        <w:t xml:space="preserve">PEG, </w:t>
      </w:r>
      <w:r w:rsidR="00555D3B">
        <w:t xml:space="preserve">2015, </w:t>
      </w:r>
      <w:r>
        <w:t xml:space="preserve">pp. 53-57; CEPA, </w:t>
      </w:r>
      <w:r w:rsidR="00555D3B" w:rsidRPr="00555D3B">
        <w:t>Benchmarking and setting efficiency targets for the Australian DNSPs, (NSW DNSPs), 2015,</w:t>
      </w:r>
      <w:r w:rsidR="00555D3B">
        <w:t xml:space="preserve"> </w:t>
      </w:r>
      <w:r>
        <w:t xml:space="preserve">p. 19. </w:t>
      </w:r>
    </w:p>
  </w:footnote>
  <w:footnote w:id="369">
    <w:p w:rsidR="00223658" w:rsidRDefault="00223658" w:rsidP="00051BDB">
      <w:pPr>
        <w:pStyle w:val="FootnoteText"/>
      </w:pPr>
      <w:r>
        <w:rPr>
          <w:rStyle w:val="FootnoteReference"/>
        </w:rPr>
        <w:footnoteRef/>
      </w:r>
      <w:r>
        <w:t xml:space="preserve"> </w:t>
      </w:r>
      <w:r>
        <w:tab/>
        <w:t>Frontier,</w:t>
      </w:r>
      <w:r w:rsidR="00555D3B" w:rsidRPr="00555D3B">
        <w:t xml:space="preserve"> </w:t>
      </w:r>
      <w:r w:rsidR="00555D3B">
        <w:t xml:space="preserve">(NSW/ACT), </w:t>
      </w:r>
      <w:r>
        <w:t>pp. vii-viii.</w:t>
      </w:r>
    </w:p>
  </w:footnote>
  <w:footnote w:id="370">
    <w:p w:rsidR="00223658" w:rsidRDefault="00223658" w:rsidP="00051BDB">
      <w:pPr>
        <w:pStyle w:val="FootnoteText"/>
      </w:pPr>
      <w:r>
        <w:rPr>
          <w:rStyle w:val="FootnoteReference"/>
        </w:rPr>
        <w:footnoteRef/>
      </w:r>
      <w:r>
        <w:t xml:space="preserve"> </w:t>
      </w:r>
      <w:r>
        <w:tab/>
        <w:t>Economic Insights, 2014, pp. 47-48.</w:t>
      </w:r>
    </w:p>
  </w:footnote>
  <w:footnote w:id="371">
    <w:p w:rsidR="00223658" w:rsidRDefault="00223658" w:rsidP="00051BDB">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372">
    <w:p w:rsidR="00223658" w:rsidRDefault="00223658" w:rsidP="00051BDB">
      <w:pPr>
        <w:pStyle w:val="FootnoteText"/>
      </w:pPr>
      <w:r>
        <w:rPr>
          <w:rStyle w:val="FootnoteReference"/>
        </w:rPr>
        <w:footnoteRef/>
      </w:r>
      <w:r>
        <w:t xml:space="preserve"> </w:t>
      </w:r>
      <w:r>
        <w:tab/>
        <w:t xml:space="preserve">PwC, </w:t>
      </w:r>
      <w:r w:rsidRPr="00223658">
        <w:t xml:space="preserve">Jan 2015, </w:t>
      </w:r>
      <w:r>
        <w:t>pp. 24-32.</w:t>
      </w:r>
    </w:p>
  </w:footnote>
  <w:footnote w:id="373">
    <w:p w:rsidR="00223658" w:rsidRDefault="00223658" w:rsidP="00051BDB">
      <w:pPr>
        <w:pStyle w:val="FootnoteText"/>
      </w:pPr>
      <w:r>
        <w:rPr>
          <w:rStyle w:val="FootnoteReference"/>
        </w:rPr>
        <w:footnoteRef/>
      </w:r>
      <w:r>
        <w:t xml:space="preserve"> </w:t>
      </w:r>
      <w:r>
        <w:tab/>
        <w:t xml:space="preserve">PwC, </w:t>
      </w:r>
      <w:r w:rsidRPr="00223658">
        <w:t xml:space="preserve">Jan 2015, </w:t>
      </w:r>
      <w:r>
        <w:t>pp. 33-37.</w:t>
      </w:r>
    </w:p>
  </w:footnote>
  <w:footnote w:id="374">
    <w:p w:rsidR="00223658" w:rsidRDefault="00223658" w:rsidP="00051BDB">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w:t>
      </w:r>
      <w:r w:rsidRPr="00DA48D7">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375">
    <w:p w:rsidR="00223658" w:rsidRDefault="00223658" w:rsidP="00051BDB">
      <w:pPr>
        <w:pStyle w:val="FootnoteText"/>
      </w:pPr>
      <w:r>
        <w:rPr>
          <w:rStyle w:val="FootnoteReference"/>
        </w:rPr>
        <w:footnoteRef/>
      </w:r>
      <w:r>
        <w:t xml:space="preserve"> </w:t>
      </w:r>
      <w:r>
        <w:tab/>
        <w:t>Economic Insights, 2015, p.  30.</w:t>
      </w:r>
    </w:p>
  </w:footnote>
  <w:footnote w:id="376">
    <w:p w:rsidR="00223658" w:rsidRDefault="00223658" w:rsidP="00051BDB">
      <w:pPr>
        <w:pStyle w:val="FootnoteText"/>
      </w:pPr>
      <w:r>
        <w:rPr>
          <w:rStyle w:val="FootnoteReference"/>
        </w:rPr>
        <w:footnoteRef/>
      </w:r>
      <w:r>
        <w:t xml:space="preserve"> </w:t>
      </w:r>
      <w:r>
        <w:tab/>
        <w:t>Economic Insights (2015), p. 30 (section 3.3)</w:t>
      </w:r>
    </w:p>
  </w:footnote>
  <w:footnote w:id="377">
    <w:p w:rsidR="00223658" w:rsidRDefault="00223658" w:rsidP="00051BDB">
      <w:pPr>
        <w:pStyle w:val="FootnoteText"/>
      </w:pPr>
      <w:r>
        <w:rPr>
          <w:rStyle w:val="FootnoteReference"/>
        </w:rPr>
        <w:footnoteRef/>
      </w:r>
      <w:r>
        <w:t xml:space="preserve"> </w:t>
      </w:r>
      <w:r>
        <w:tab/>
        <w:t>EMCA, 2015, p. 1.</w:t>
      </w:r>
    </w:p>
  </w:footnote>
  <w:footnote w:id="378">
    <w:p w:rsidR="00223658" w:rsidRDefault="00223658" w:rsidP="00051BDB">
      <w:pPr>
        <w:pStyle w:val="FootnoteText"/>
      </w:pPr>
      <w:r>
        <w:rPr>
          <w:rStyle w:val="FootnoteReference"/>
        </w:rPr>
        <w:footnoteRef/>
      </w:r>
      <w:r>
        <w:t xml:space="preserve"> </w:t>
      </w:r>
      <w:r>
        <w:tab/>
        <w:t xml:space="preserve">Economic Insights, 2015, p. 30. </w:t>
      </w:r>
    </w:p>
  </w:footnote>
  <w:footnote w:id="379">
    <w:p w:rsidR="00223658" w:rsidRDefault="00223658" w:rsidP="00051BDB">
      <w:pPr>
        <w:pStyle w:val="FootnoteText"/>
      </w:pPr>
      <w:r>
        <w:rPr>
          <w:rStyle w:val="FootnoteReference"/>
        </w:rPr>
        <w:footnoteRef/>
      </w:r>
      <w:r>
        <w:t xml:space="preserve"> </w:t>
      </w:r>
      <w:r>
        <w:tab/>
        <w:t xml:space="preserve">PwC, </w:t>
      </w:r>
      <w:r w:rsidRPr="00223658">
        <w:t xml:space="preserve">Jan 2015, </w:t>
      </w:r>
      <w:r>
        <w:t>pp. 24-32.</w:t>
      </w:r>
    </w:p>
  </w:footnote>
  <w:footnote w:id="380">
    <w:p w:rsidR="00223658" w:rsidRDefault="00223658" w:rsidP="00051BDB">
      <w:pPr>
        <w:pStyle w:val="FootnoteText"/>
      </w:pPr>
      <w:r>
        <w:rPr>
          <w:rStyle w:val="FootnoteReference"/>
        </w:rPr>
        <w:footnoteRef/>
      </w:r>
      <w:r>
        <w:t xml:space="preserve"> </w:t>
      </w:r>
      <w:r>
        <w:tab/>
        <w:t>Economic Insights, 2014, p. 3.</w:t>
      </w:r>
    </w:p>
  </w:footnote>
  <w:footnote w:id="381">
    <w:p w:rsidR="00223658" w:rsidRDefault="00223658" w:rsidP="00051BDB">
      <w:pPr>
        <w:pStyle w:val="FootnoteText"/>
      </w:pPr>
      <w:r>
        <w:rPr>
          <w:rStyle w:val="FootnoteReference"/>
        </w:rPr>
        <w:footnoteRef/>
      </w:r>
      <w:r>
        <w:t xml:space="preserve"> </w:t>
      </w:r>
      <w:r>
        <w:tab/>
      </w:r>
      <w:r w:rsidRPr="00AB1F6D">
        <w:t>RAB data is relevant to our MTFP model and opex MPFP model. We use RAB data to weight the volume of inputs and outputs. However, because MTFP is an index-based benchmarking method, the outcomes of the MTFP model will be less sensitive to the weighting of inputs than they will be to the amounts of the inputs themselves. Therefore, any purported comparability concerns with RAB data will have only a very minimal impact on the MTFP results. Economic Insights, 2015.</w:t>
      </w:r>
    </w:p>
  </w:footnote>
  <w:footnote w:id="382">
    <w:p w:rsidR="00223658" w:rsidRDefault="00223658" w:rsidP="00051BDB">
      <w:pPr>
        <w:pStyle w:val="FootnoteText"/>
      </w:pPr>
      <w:r>
        <w:rPr>
          <w:rStyle w:val="FootnoteReference"/>
        </w:rPr>
        <w:footnoteRef/>
      </w:r>
      <w:r>
        <w:t xml:space="preserve"> </w:t>
      </w:r>
      <w:r>
        <w:tab/>
        <w:t>We have used route line length normalise the results of our PPIs. However, we consider that discrepancies in the measurement of route line length will not affect the conclusions of this analysis. The large differences in customer density in these models are not likely to be impacted by slight inaccuracies in the estimates of route line length. In addition, as part of our testing and validation process, we identified and adjusted for the issue with UED's route line length identified by PwC. We circulated this data set to all service providers with our draft economic benchmarking report and published this data set on our website with our draft determination.</w:t>
      </w:r>
    </w:p>
  </w:footnote>
  <w:footnote w:id="383">
    <w:p w:rsidR="00223658" w:rsidRDefault="00223658" w:rsidP="00051BDB">
      <w:pPr>
        <w:pStyle w:val="FootnoteText"/>
      </w:pPr>
      <w:r>
        <w:rPr>
          <w:rStyle w:val="FootnoteReference"/>
        </w:rPr>
        <w:footnoteRef/>
      </w:r>
      <w:r>
        <w:t xml:space="preserve"> </w:t>
      </w:r>
      <w:r>
        <w:tab/>
        <w:t xml:space="preserve">PWC, </w:t>
      </w:r>
      <w:r w:rsidRPr="00223658">
        <w:t xml:space="preserve">Jan 2015, </w:t>
      </w:r>
      <w:r>
        <w:t xml:space="preserve">2015, p. 31. EY, </w:t>
      </w:r>
      <w:r w:rsidRPr="00083667">
        <w:t>Briefing Paper:</w:t>
      </w:r>
      <w:r>
        <w:t xml:space="preserve"> </w:t>
      </w:r>
      <w:r w:rsidRPr="00083667">
        <w:t>RIN Data Review</w:t>
      </w:r>
      <w:r>
        <w:t xml:space="preserve"> </w:t>
      </w:r>
      <w:r w:rsidRPr="00083667">
        <w:t>Ergon Energy</w:t>
      </w:r>
      <w:r>
        <w:t xml:space="preserve">, </w:t>
      </w:r>
      <w:r w:rsidRPr="00083667">
        <w:t>13 February 2015</w:t>
      </w:r>
      <w:r>
        <w:t>, pp. 6–7.</w:t>
      </w:r>
    </w:p>
  </w:footnote>
  <w:footnote w:id="384">
    <w:p w:rsidR="00223658" w:rsidRDefault="00223658" w:rsidP="00051BDB">
      <w:pPr>
        <w:pStyle w:val="FootnoteText"/>
      </w:pPr>
      <w:r>
        <w:rPr>
          <w:rStyle w:val="FootnoteReference"/>
        </w:rPr>
        <w:footnoteRef/>
      </w:r>
      <w:r>
        <w:t xml:space="preserve"> </w:t>
      </w:r>
      <w:r>
        <w:tab/>
        <w:t xml:space="preserve">PwC, </w:t>
      </w:r>
      <w:r w:rsidRPr="00223658">
        <w:t xml:space="preserve">Jan 2015, </w:t>
      </w:r>
      <w:r>
        <w:t>pp. 33-37.</w:t>
      </w:r>
    </w:p>
  </w:footnote>
  <w:footnote w:id="385">
    <w:p w:rsidR="00223658" w:rsidRDefault="00223658" w:rsidP="00051BDB">
      <w:pPr>
        <w:pStyle w:val="FootnoteText"/>
      </w:pPr>
      <w:r>
        <w:rPr>
          <w:rStyle w:val="FootnoteReference"/>
        </w:rPr>
        <w:footnoteRef/>
      </w:r>
      <w:r>
        <w:t xml:space="preserve"> </w:t>
      </w:r>
      <w:r>
        <w:tab/>
        <w:t>AER, Draft decision – attachment 7, section A.5.</w:t>
      </w:r>
    </w:p>
  </w:footnote>
  <w:footnote w:id="386">
    <w:p w:rsidR="00223658" w:rsidRDefault="00223658" w:rsidP="00051BDB">
      <w:pPr>
        <w:pStyle w:val="FootnoteText"/>
      </w:pPr>
      <w:r>
        <w:rPr>
          <w:rStyle w:val="FootnoteReference"/>
        </w:rPr>
        <w:footnoteRef/>
      </w:r>
      <w:r>
        <w:t xml:space="preserve"> </w:t>
      </w:r>
      <w:r>
        <w:tab/>
        <w:t>AER, Draft decision – attachment 7, section A.5.</w:t>
      </w:r>
    </w:p>
  </w:footnote>
  <w:footnote w:id="387">
    <w:p w:rsidR="00223658" w:rsidRDefault="00223658" w:rsidP="00051BDB">
      <w:pPr>
        <w:pStyle w:val="FootnoteText"/>
      </w:pPr>
      <w:r>
        <w:rPr>
          <w:rStyle w:val="FootnoteReference"/>
        </w:rPr>
        <w:footnoteRef/>
      </w:r>
      <w:r>
        <w:t xml:space="preserve"> </w:t>
      </w:r>
      <w:r>
        <w:tab/>
        <w:t>AER, Draft decision – attachment 7, section A.5.</w:t>
      </w:r>
    </w:p>
  </w:footnote>
  <w:footnote w:id="388">
    <w:p w:rsidR="00223658" w:rsidRDefault="00223658" w:rsidP="00051BDB">
      <w:pPr>
        <w:pStyle w:val="FootnoteText"/>
      </w:pPr>
      <w:r>
        <w:rPr>
          <w:rStyle w:val="FootnoteReference"/>
        </w:rPr>
        <w:footnoteRef/>
      </w:r>
      <w:r>
        <w:t xml:space="preserve"> </w:t>
      </w:r>
      <w:r>
        <w:tab/>
        <w:t>AER, Draft decision – attachment 7, p. 7-24.</w:t>
      </w:r>
    </w:p>
  </w:footnote>
  <w:footnote w:id="389">
    <w:p w:rsidR="00223658" w:rsidRDefault="00223658" w:rsidP="00051BDB">
      <w:pPr>
        <w:pStyle w:val="FootnoteText"/>
      </w:pPr>
      <w:r>
        <w:rPr>
          <w:rStyle w:val="FootnoteReference"/>
        </w:rPr>
        <w:footnoteRef/>
      </w:r>
      <w:r>
        <w:t xml:space="preserve"> </w:t>
      </w:r>
      <w:r>
        <w:tab/>
        <w:t>Economic Insights, 2015, p. 56.</w:t>
      </w:r>
    </w:p>
  </w:footnote>
  <w:footnote w:id="390">
    <w:p w:rsidR="00223658" w:rsidRDefault="00223658" w:rsidP="00051BDB">
      <w:pPr>
        <w:pStyle w:val="FootnoteText"/>
      </w:pPr>
      <w:r>
        <w:rPr>
          <w:rStyle w:val="FootnoteReference"/>
        </w:rPr>
        <w:footnoteRef/>
      </w:r>
      <w:r>
        <w:t xml:space="preserve"> </w:t>
      </w:r>
      <w:r>
        <w:tab/>
        <w:t xml:space="preserve">Essential Energy, Revised revenue proposal, 2015, p. 189;  Endeavour Energy, Revised regulatory proposal, 2015, p. 169; </w:t>
      </w:r>
      <w:r>
        <w:tab/>
        <w:t xml:space="preserve">Ausgrid, Revised regulatory proposal, 2015, p. 130; </w:t>
      </w:r>
      <w:r>
        <w:tab/>
        <w:t xml:space="preserve">ActewAGL, Revised regulatory proposal, 2015, p. 83; </w:t>
      </w:r>
      <w:r w:rsidRPr="00BE00D7">
        <w:t>CEPA</w:t>
      </w:r>
      <w:r w:rsidR="00555D3B">
        <w:t>,</w:t>
      </w:r>
      <w:r w:rsidRPr="00BE00D7">
        <w:t xml:space="preserve"> </w:t>
      </w:r>
      <w:r w:rsidR="00555D3B" w:rsidRPr="00555D3B">
        <w:t>Benchmarking and setting efficiency targets for the Australian DNSPs, (NSW DNSPs), 2015,</w:t>
      </w:r>
      <w:r w:rsidRPr="00BE00D7">
        <w:t xml:space="preserve"> p. 32</w:t>
      </w:r>
    </w:p>
  </w:footnote>
  <w:footnote w:id="391">
    <w:p w:rsidR="00223658" w:rsidRDefault="00223658" w:rsidP="00051BDB">
      <w:pPr>
        <w:pStyle w:val="FootnoteText"/>
      </w:pPr>
      <w:r>
        <w:rPr>
          <w:rStyle w:val="FootnoteReference"/>
        </w:rPr>
        <w:footnoteRef/>
      </w:r>
      <w:r>
        <w:t xml:space="preserve"> </w:t>
      </w:r>
      <w:r>
        <w:tab/>
        <w:t>PEGR, 2014, p. 30.</w:t>
      </w:r>
    </w:p>
  </w:footnote>
  <w:footnote w:id="392">
    <w:p w:rsidR="00223658" w:rsidRDefault="00223658" w:rsidP="00051BDB">
      <w:pPr>
        <w:pStyle w:val="FootnoteText"/>
      </w:pPr>
      <w:r>
        <w:rPr>
          <w:rStyle w:val="FootnoteReference"/>
        </w:rPr>
        <w:footnoteRef/>
      </w:r>
      <w:r>
        <w:t xml:space="preserve"> </w:t>
      </w:r>
      <w:r>
        <w:tab/>
        <w:t xml:space="preserve">CCP, </w:t>
      </w:r>
      <w:r w:rsidRPr="007B7912">
        <w:t>Responding to NSW draft determinations and revised proposals from electricity distribution networks</w:t>
      </w:r>
      <w:r>
        <w:t>, 2015, p. 50.</w:t>
      </w:r>
    </w:p>
  </w:footnote>
  <w:footnote w:id="393">
    <w:p w:rsidR="00223658" w:rsidRDefault="00223658" w:rsidP="00051BDB">
      <w:pPr>
        <w:pStyle w:val="FootnoteText"/>
      </w:pPr>
      <w:r>
        <w:rPr>
          <w:rStyle w:val="FootnoteReference"/>
        </w:rPr>
        <w:footnoteRef/>
      </w:r>
      <w:r>
        <w:t xml:space="preserve"> </w:t>
      </w:r>
      <w:r>
        <w:tab/>
      </w:r>
      <w:r w:rsidRPr="00716B4D">
        <w:t>Economic I</w:t>
      </w:r>
      <w:r>
        <w:t>nsights,</w:t>
      </w:r>
      <w:r w:rsidRPr="00716B4D">
        <w:t xml:space="preserve"> The Productivity</w:t>
      </w:r>
      <w:r>
        <w:t xml:space="preserve"> </w:t>
      </w:r>
      <w:r w:rsidRPr="00716B4D">
        <w:t>Performance of Jemena Gas</w:t>
      </w:r>
      <w:r>
        <w:t xml:space="preserve"> </w:t>
      </w:r>
      <w:r w:rsidRPr="00716B4D">
        <w:t>Networks’ NSW Gas Distribution</w:t>
      </w:r>
      <w:r>
        <w:t xml:space="preserve"> </w:t>
      </w:r>
      <w:r w:rsidRPr="00716B4D">
        <w:t>System</w:t>
      </w:r>
      <w:r>
        <w:t xml:space="preserve"> </w:t>
      </w:r>
      <w:r w:rsidRPr="00716B4D">
        <w:t>Jemena Gas Networks</w:t>
      </w:r>
      <w:r>
        <w:t xml:space="preserve"> </w:t>
      </w:r>
      <w:r w:rsidRPr="00716B4D">
        <w:t>(NSW) – Access</w:t>
      </w:r>
      <w:r>
        <w:t xml:space="preserve"> </w:t>
      </w:r>
      <w:r w:rsidRPr="00716B4D">
        <w:t>Arrangement Information –</w:t>
      </w:r>
      <w:r>
        <w:t xml:space="preserve"> </w:t>
      </w:r>
      <w:r w:rsidRPr="00716B4D">
        <w:t>Appendix 6.7</w:t>
      </w:r>
      <w:r>
        <w:t xml:space="preserve">, </w:t>
      </w:r>
      <w:r w:rsidRPr="007F1669">
        <w:t>August 2009</w:t>
      </w:r>
    </w:p>
    <w:p w:rsidR="00223658" w:rsidRDefault="00223658" w:rsidP="00051BDB">
      <w:pPr>
        <w:pStyle w:val="FootnoteText"/>
      </w:pPr>
      <w:r>
        <w:tab/>
        <w:t>Economic Insights,</w:t>
      </w:r>
      <w:r w:rsidRPr="007F1669">
        <w:t xml:space="preserve"> 2013-2017 Gas Access</w:t>
      </w:r>
      <w:r>
        <w:t xml:space="preserve"> </w:t>
      </w:r>
      <w:r w:rsidRPr="007F1669">
        <w:t>Arrangement Review –</w:t>
      </w:r>
      <w:r>
        <w:t xml:space="preserve"> </w:t>
      </w:r>
      <w:r w:rsidRPr="007F1669">
        <w:t>Access Arrangement</w:t>
      </w:r>
      <w:r>
        <w:t xml:space="preserve"> </w:t>
      </w:r>
      <w:r w:rsidRPr="007F1669">
        <w:t>Information</w:t>
      </w:r>
      <w:r>
        <w:t xml:space="preserve"> </w:t>
      </w:r>
      <w:r w:rsidRPr="007F1669">
        <w:t>Appendix 6B</w:t>
      </w:r>
      <w:r>
        <w:t>, 2012.</w:t>
      </w:r>
    </w:p>
  </w:footnote>
  <w:footnote w:id="394">
    <w:p w:rsidR="00223658" w:rsidRDefault="00223658" w:rsidP="00051BDB">
      <w:pPr>
        <w:pStyle w:val="FootnoteText"/>
      </w:pPr>
      <w:r>
        <w:rPr>
          <w:rStyle w:val="FootnoteReference"/>
        </w:rPr>
        <w:footnoteRef/>
      </w:r>
      <w:r>
        <w:t xml:space="preserve"> </w:t>
      </w:r>
      <w:r>
        <w:tab/>
        <w:t>We circulated, for comment,(1) preliminary EB RIN templates (2) revised preliminary RIN templates (3) draft RIN templates (4) draft expenditure forecast assessment guidelines.</w:t>
      </w:r>
    </w:p>
  </w:footnote>
  <w:footnote w:id="395">
    <w:p w:rsidR="00223658" w:rsidRDefault="00223658" w:rsidP="00051BDB">
      <w:pPr>
        <w:pStyle w:val="FootnoteText"/>
      </w:pPr>
      <w:r>
        <w:rPr>
          <w:rStyle w:val="FootnoteReference"/>
        </w:rPr>
        <w:footnoteRef/>
      </w:r>
      <w:r>
        <w:t xml:space="preserve"> </w:t>
      </w:r>
      <w:r>
        <w:tab/>
        <w:t>We did not only publish the data, but we also published the basis of preparation of each of the service providers of the data. The basis of preparation describes how the service providers completed the templates.</w:t>
      </w:r>
    </w:p>
  </w:footnote>
  <w:footnote w:id="396">
    <w:p w:rsidR="00223658" w:rsidRDefault="00223658" w:rsidP="00051BDB">
      <w:pPr>
        <w:pStyle w:val="FootnoteText"/>
      </w:pPr>
      <w:r>
        <w:rPr>
          <w:rStyle w:val="FootnoteReference"/>
        </w:rPr>
        <w:footnoteRef/>
      </w:r>
      <w:r>
        <w:t xml:space="preserve"> </w:t>
      </w:r>
      <w:r>
        <w:tab/>
        <w:t xml:space="preserve">CitiPower and Powercor, </w:t>
      </w:r>
      <w:r w:rsidRPr="00082C5D">
        <w:t>Publication of the Economic Benchmarking R</w:t>
      </w:r>
      <w:r>
        <w:t>IN, June 2014. CitiPower and Powercor commented on differences in the calculation of MVA capacity of lines across the service providers. They recommended that "T</w:t>
      </w:r>
      <w:r w:rsidRPr="00082C5D">
        <w:t>he AER</w:t>
      </w:r>
      <w:r>
        <w:t xml:space="preserve"> </w:t>
      </w:r>
      <w:r w:rsidRPr="00082C5D">
        <w:t>sensitivity test the impact on the benchmarking results by applying standard capacity values</w:t>
      </w:r>
      <w:r>
        <w:t xml:space="preserve"> across different DNSPs". In response to this comment we undertook sensitivity tests of the data. Submissions are on our website at: </w:t>
      </w:r>
      <w:hyperlink r:id="rId1" w:history="1">
        <w:r w:rsidRPr="006C091E">
          <w:rPr>
            <w:rStyle w:val="Hyperlink"/>
          </w:rPr>
          <w:t>http://www.aer.gov.au/node/25078</w:t>
        </w:r>
      </w:hyperlink>
      <w:r>
        <w:rPr>
          <w:rStyle w:val="Hyperlink"/>
        </w:rPr>
        <w:t>.</w:t>
      </w:r>
    </w:p>
  </w:footnote>
  <w:footnote w:id="397">
    <w:p w:rsidR="00223658" w:rsidRDefault="00223658" w:rsidP="00051BDB">
      <w:pPr>
        <w:pStyle w:val="FootnoteText"/>
      </w:pPr>
      <w:r>
        <w:rPr>
          <w:rStyle w:val="FootnoteReference"/>
        </w:rPr>
        <w:footnoteRef/>
      </w:r>
      <w:r>
        <w:t xml:space="preserve"> </w:t>
      </w:r>
      <w:r>
        <w:tab/>
        <w:t xml:space="preserve">Energex's submission is on our website at: </w:t>
      </w:r>
      <w:hyperlink r:id="rId2" w:history="1">
        <w:r w:rsidRPr="006C091E">
          <w:rPr>
            <w:rStyle w:val="Hyperlink"/>
          </w:rPr>
          <w:t>http://www.aer.gov.au/node/25078</w:t>
        </w:r>
      </w:hyperlink>
      <w:r>
        <w:rPr>
          <w:rStyle w:val="Hyperlink"/>
        </w:rPr>
        <w:t>.</w:t>
      </w:r>
    </w:p>
  </w:footnote>
  <w:footnote w:id="398">
    <w:p w:rsidR="00223658" w:rsidRDefault="00223658" w:rsidP="00051BDB">
      <w:pPr>
        <w:pStyle w:val="FootnoteText"/>
      </w:pPr>
      <w:r>
        <w:rPr>
          <w:rStyle w:val="FootnoteReference"/>
        </w:rPr>
        <w:footnoteRef/>
      </w:r>
      <w:r>
        <w:t xml:space="preserve"> </w:t>
      </w:r>
      <w:r>
        <w:tab/>
        <w:t>Frontier,</w:t>
      </w:r>
      <w:r w:rsidR="00555D3B" w:rsidRPr="00555D3B">
        <w:t xml:space="preserve"> </w:t>
      </w:r>
      <w:r w:rsidR="00555D3B">
        <w:t xml:space="preserve">(NSW/ACT), </w:t>
      </w:r>
      <w:r>
        <w:t xml:space="preserve"> p. 101.</w:t>
      </w:r>
    </w:p>
  </w:footnote>
  <w:footnote w:id="399">
    <w:p w:rsidR="00223658" w:rsidRDefault="00223658" w:rsidP="00051BDB">
      <w:pPr>
        <w:pStyle w:val="FootnoteText"/>
      </w:pPr>
      <w:r>
        <w:rPr>
          <w:rStyle w:val="FootnoteReference"/>
        </w:rPr>
        <w:footnoteRef/>
      </w:r>
      <w:r>
        <w:t xml:space="preserve"> </w:t>
      </w:r>
      <w:r>
        <w:tab/>
        <w:t>Economic Insights, 2014, p. 3.</w:t>
      </w:r>
    </w:p>
  </w:footnote>
  <w:footnote w:id="400">
    <w:p w:rsidR="00223658" w:rsidRDefault="00223658" w:rsidP="00051BDB">
      <w:pPr>
        <w:pStyle w:val="FootnoteText"/>
      </w:pPr>
      <w:r>
        <w:rPr>
          <w:rStyle w:val="FootnoteReference"/>
        </w:rPr>
        <w:footnoteRef/>
      </w:r>
      <w:r>
        <w:t xml:space="preserve"> </w:t>
      </w:r>
      <w:r>
        <w:tab/>
        <w:t>ActewAGL, Revised Regulatory Proposal, pp. 125-134, attachment C12; Ausgrid, Revised Regulatory Proposal, pp. 130-142.</w:t>
      </w:r>
    </w:p>
  </w:footnote>
  <w:footnote w:id="401">
    <w:p w:rsidR="00223658" w:rsidRDefault="00223658" w:rsidP="00051BDB">
      <w:pPr>
        <w:pStyle w:val="FootnoteText"/>
      </w:pPr>
      <w:r>
        <w:rPr>
          <w:rStyle w:val="FootnoteReference"/>
        </w:rPr>
        <w:footnoteRef/>
      </w:r>
      <w:r>
        <w:t xml:space="preserve"> </w:t>
      </w:r>
      <w:r>
        <w:tab/>
        <w:t>ActewAGL, Revised Regulatory Proposal, pp. 125-134, attachment C12; Ausgrid, Revised Regulatory Proposal, pp. 130-142.</w:t>
      </w:r>
    </w:p>
  </w:footnote>
  <w:footnote w:id="402">
    <w:p w:rsidR="00223658" w:rsidRDefault="00223658" w:rsidP="00051BDB">
      <w:pPr>
        <w:pStyle w:val="FootnoteText"/>
      </w:pPr>
      <w:r>
        <w:rPr>
          <w:rStyle w:val="FootnoteReference"/>
        </w:rPr>
        <w:footnoteRef/>
      </w:r>
      <w:r>
        <w:t xml:space="preserve"> </w:t>
      </w:r>
      <w:r>
        <w:tab/>
        <w:t>AER, Draft RIN for economic benchmarking–explanatory statement, September 2013, pp. 16-17.</w:t>
      </w:r>
    </w:p>
  </w:footnote>
  <w:footnote w:id="403">
    <w:p w:rsidR="00223658" w:rsidRDefault="00223658" w:rsidP="00051BDB">
      <w:pPr>
        <w:pStyle w:val="FootnoteText"/>
      </w:pPr>
      <w:r>
        <w:rPr>
          <w:rStyle w:val="FootnoteReference"/>
        </w:rPr>
        <w:footnoteRef/>
      </w:r>
      <w:r>
        <w:t xml:space="preserve"> </w:t>
      </w:r>
      <w:r>
        <w:tab/>
        <w:t xml:space="preserve">Frontier, </w:t>
      </w:r>
      <w:r w:rsidR="00555D3B">
        <w:t xml:space="preserve">(NSW/ACT), </w:t>
      </w:r>
      <w:r>
        <w:t>pp. 102-103.</w:t>
      </w:r>
    </w:p>
  </w:footnote>
  <w:footnote w:id="404">
    <w:p w:rsidR="00223658" w:rsidRDefault="00223658" w:rsidP="00051BDB">
      <w:pPr>
        <w:pStyle w:val="FootnoteText"/>
      </w:pPr>
      <w:r>
        <w:rPr>
          <w:rStyle w:val="FootnoteReference"/>
        </w:rPr>
        <w:footnoteRef/>
      </w:r>
      <w:r>
        <w:t xml:space="preserve"> </w:t>
      </w:r>
      <w:r>
        <w:tab/>
      </w:r>
      <w:r w:rsidRPr="00E82121">
        <w:rPr>
          <w:lang w:eastAsia="en-AU"/>
        </w:rPr>
        <w:t xml:space="preserve">C3 </w:t>
      </w:r>
      <w:r w:rsidR="00555D3B">
        <w:rPr>
          <w:lang w:eastAsia="en-AU"/>
        </w:rPr>
        <w:t>–</w:t>
      </w:r>
      <w:r w:rsidRPr="00E82121">
        <w:rPr>
          <w:lang w:eastAsia="en-AU"/>
        </w:rPr>
        <w:t xml:space="preserve"> CEPA</w:t>
      </w:r>
      <w:r w:rsidR="00555D3B">
        <w:rPr>
          <w:lang w:eastAsia="en-AU"/>
        </w:rPr>
        <w:t>,</w:t>
      </w:r>
      <w:r w:rsidRPr="00E82121">
        <w:rPr>
          <w:lang w:eastAsia="en-AU"/>
        </w:rPr>
        <w:t xml:space="preserve"> </w:t>
      </w:r>
      <w:r w:rsidR="00555D3B" w:rsidRPr="00555D3B">
        <w:rPr>
          <w:lang w:eastAsia="en-AU"/>
        </w:rPr>
        <w:t>Benchmarking and setting efficiency targets for the Australian DNSPs, (NSW DNSPs), 2015,</w:t>
      </w:r>
      <w:r w:rsidR="00555D3B">
        <w:rPr>
          <w:lang w:eastAsia="en-AU"/>
        </w:rPr>
        <w:t xml:space="preserve"> </w:t>
      </w:r>
      <w:r w:rsidRPr="00E82121">
        <w:rPr>
          <w:lang w:eastAsia="en-AU"/>
        </w:rPr>
        <w:t>p. 54-55</w:t>
      </w:r>
    </w:p>
  </w:footnote>
  <w:footnote w:id="405">
    <w:p w:rsidR="00223658" w:rsidRDefault="00223658" w:rsidP="00051BDB">
      <w:pPr>
        <w:pStyle w:val="FootnoteText"/>
      </w:pPr>
      <w:r>
        <w:rPr>
          <w:rStyle w:val="FootnoteReference"/>
        </w:rPr>
        <w:footnoteRef/>
      </w:r>
      <w:r>
        <w:t xml:space="preserve"> </w:t>
      </w:r>
      <w:r>
        <w:tab/>
        <w:t xml:space="preserve">PEG, </w:t>
      </w:r>
      <w:r w:rsidR="00555D3B">
        <w:t xml:space="preserve">2015, </w:t>
      </w:r>
      <w:r>
        <w:t>p. 65.</w:t>
      </w:r>
    </w:p>
  </w:footnote>
  <w:footnote w:id="406">
    <w:p w:rsidR="00223658" w:rsidRDefault="00223658" w:rsidP="00051BDB">
      <w:pPr>
        <w:pStyle w:val="FootnoteText"/>
      </w:pPr>
      <w:r>
        <w:rPr>
          <w:rStyle w:val="FootnoteReference"/>
        </w:rPr>
        <w:footnoteRef/>
      </w:r>
      <w:r>
        <w:t xml:space="preserve"> </w:t>
      </w:r>
      <w:r>
        <w:tab/>
        <w:t>CEPA, B</w:t>
      </w:r>
      <w:r w:rsidRPr="00E72FB2">
        <w:t>ackground to work on assessing efficiency for</w:t>
      </w:r>
      <w:r>
        <w:t xml:space="preserve"> </w:t>
      </w:r>
      <w:r w:rsidRPr="00E72FB2">
        <w:t xml:space="preserve">the 2005 distribution price control </w:t>
      </w:r>
      <w:r>
        <w:t>r</w:t>
      </w:r>
      <w:r w:rsidRPr="00E72FB2">
        <w:t>eview</w:t>
      </w:r>
      <w:r>
        <w:t>, 2003, pp.43-44, 54.</w:t>
      </w:r>
    </w:p>
  </w:footnote>
  <w:footnote w:id="407">
    <w:p w:rsidR="00223658" w:rsidRDefault="00223658" w:rsidP="00051BDB">
      <w:pPr>
        <w:pStyle w:val="FootnoteText"/>
      </w:pPr>
      <w:r>
        <w:rPr>
          <w:rStyle w:val="FootnoteReference"/>
        </w:rPr>
        <w:footnoteRef/>
      </w:r>
      <w:r>
        <w:t xml:space="preserve"> </w:t>
      </w:r>
      <w:r>
        <w:tab/>
        <w:t xml:space="preserve">CEPA, </w:t>
      </w:r>
      <w:r w:rsidR="00555D3B" w:rsidRPr="00555D3B">
        <w:t>Benchmarking and setting efficiency targets for the Australian DNSPs, (ActewAGL)</w:t>
      </w:r>
      <w:r>
        <w:t>, p.18</w:t>
      </w:r>
    </w:p>
  </w:footnote>
  <w:footnote w:id="408">
    <w:p w:rsidR="00223658" w:rsidRDefault="00223658" w:rsidP="00051BDB">
      <w:pPr>
        <w:pStyle w:val="FootnoteText"/>
      </w:pPr>
      <w:r>
        <w:rPr>
          <w:rStyle w:val="FootnoteReference"/>
        </w:rPr>
        <w:footnoteRef/>
      </w:r>
      <w:r>
        <w:t xml:space="preserve"> </w:t>
      </w:r>
      <w:r>
        <w:tab/>
        <w:t>Economic Insights, 2015, p. 18.</w:t>
      </w:r>
    </w:p>
  </w:footnote>
  <w:footnote w:id="409">
    <w:p w:rsidR="00223658" w:rsidRDefault="00223658" w:rsidP="00051BDB">
      <w:pPr>
        <w:pStyle w:val="FootnoteText"/>
      </w:pPr>
      <w:r>
        <w:rPr>
          <w:rStyle w:val="FootnoteReference"/>
        </w:rPr>
        <w:footnoteRef/>
      </w:r>
      <w:r>
        <w:t xml:space="preserve"> </w:t>
      </w:r>
      <w:r>
        <w:tab/>
        <w:t>Economic Insights, 2015, p. 18.</w:t>
      </w:r>
    </w:p>
  </w:footnote>
  <w:footnote w:id="410">
    <w:p w:rsidR="00223658" w:rsidRDefault="00223658" w:rsidP="00051BDB">
      <w:pPr>
        <w:pStyle w:val="FootnoteText"/>
      </w:pPr>
      <w:r>
        <w:rPr>
          <w:rStyle w:val="FootnoteReference"/>
        </w:rPr>
        <w:footnoteRef/>
      </w:r>
      <w:r>
        <w:t xml:space="preserve"> </w:t>
      </w:r>
      <w:r>
        <w:tab/>
        <w:t>Economic Insights, 2015, pp. 18–19.</w:t>
      </w:r>
    </w:p>
  </w:footnote>
  <w:footnote w:id="411">
    <w:p w:rsidR="00223658" w:rsidRDefault="00223658" w:rsidP="00051BDB">
      <w:pPr>
        <w:pStyle w:val="FootnoteText"/>
      </w:pPr>
      <w:r>
        <w:rPr>
          <w:rStyle w:val="FootnoteReference"/>
        </w:rPr>
        <w:footnoteRef/>
      </w:r>
      <w:r>
        <w:t xml:space="preserve"> </w:t>
      </w:r>
      <w:r>
        <w:tab/>
        <w:t>Economic Insights, 2014, pp. 7–8.</w:t>
      </w:r>
    </w:p>
  </w:footnote>
  <w:footnote w:id="412">
    <w:p w:rsidR="00223658" w:rsidRDefault="00223658" w:rsidP="00051BDB">
      <w:pPr>
        <w:pStyle w:val="FootnoteText"/>
      </w:pPr>
      <w:r>
        <w:rPr>
          <w:rStyle w:val="FootnoteReference"/>
        </w:rPr>
        <w:footnoteRef/>
      </w:r>
      <w:r>
        <w:t xml:space="preserve"> </w:t>
      </w:r>
      <w:r>
        <w:tab/>
        <w:t>Economic Insights, 2014, pp. 31–34.</w:t>
      </w:r>
    </w:p>
  </w:footnote>
  <w:footnote w:id="413">
    <w:p w:rsidR="00223658" w:rsidRDefault="00223658" w:rsidP="00051BDB">
      <w:pPr>
        <w:pStyle w:val="FootnoteText"/>
      </w:pPr>
      <w:r>
        <w:rPr>
          <w:rStyle w:val="FootnoteReference"/>
        </w:rPr>
        <w:footnoteRef/>
      </w:r>
      <w:r>
        <w:t xml:space="preserve"> </w:t>
      </w:r>
      <w:r>
        <w:tab/>
        <w:t>Economic Insights, 2015, p. 41.</w:t>
      </w:r>
    </w:p>
  </w:footnote>
  <w:footnote w:id="414">
    <w:p w:rsidR="00223658" w:rsidRDefault="00223658" w:rsidP="00051BDB">
      <w:pPr>
        <w:pStyle w:val="FootnoteText"/>
      </w:pPr>
      <w:r>
        <w:rPr>
          <w:rStyle w:val="FootnoteReference"/>
        </w:rPr>
        <w:footnoteRef/>
      </w:r>
      <w:r>
        <w:t xml:space="preserve"> </w:t>
      </w:r>
      <w:r>
        <w:tab/>
        <w:t>Economic Insights, 2015, p. 41.</w:t>
      </w:r>
    </w:p>
  </w:footnote>
  <w:footnote w:id="415">
    <w:p w:rsidR="00223658" w:rsidRDefault="00223658" w:rsidP="00051BDB">
      <w:pPr>
        <w:pStyle w:val="FootnoteText"/>
      </w:pPr>
      <w:r>
        <w:rPr>
          <w:rStyle w:val="FootnoteReference"/>
        </w:rPr>
        <w:footnoteRef/>
      </w:r>
      <w:r>
        <w:t xml:space="preserve"> </w:t>
      </w:r>
      <w:r>
        <w:tab/>
        <w:t>Economic Insights, 2015, p. 41.</w:t>
      </w:r>
    </w:p>
  </w:footnote>
  <w:footnote w:id="416">
    <w:p w:rsidR="00223658" w:rsidRDefault="00223658" w:rsidP="00051BDB">
      <w:pPr>
        <w:pStyle w:val="FootnoteText"/>
      </w:pPr>
      <w:r>
        <w:rPr>
          <w:rStyle w:val="FootnoteReference"/>
        </w:rPr>
        <w:footnoteRef/>
      </w:r>
      <w:r>
        <w:t xml:space="preserve"> </w:t>
      </w:r>
      <w:r>
        <w:tab/>
        <w:t>Economic Insights, 2015, p. 41.</w:t>
      </w:r>
    </w:p>
  </w:footnote>
  <w:footnote w:id="417">
    <w:p w:rsidR="00223658" w:rsidRDefault="00223658" w:rsidP="00051BDB">
      <w:pPr>
        <w:pStyle w:val="FootnoteText"/>
      </w:pPr>
      <w:r>
        <w:rPr>
          <w:rStyle w:val="FootnoteReference"/>
        </w:rPr>
        <w:footnoteRef/>
      </w:r>
      <w:r>
        <w:t xml:space="preserve"> </w:t>
      </w:r>
      <w:r>
        <w:tab/>
        <w:t>Economic Insights, 2015, p. 41.</w:t>
      </w:r>
    </w:p>
  </w:footnote>
  <w:footnote w:id="418">
    <w:p w:rsidR="00223658" w:rsidRDefault="00223658" w:rsidP="00051BDB">
      <w:pPr>
        <w:pStyle w:val="FootnoteText"/>
      </w:pPr>
      <w:r>
        <w:rPr>
          <w:rStyle w:val="FootnoteReference"/>
        </w:rPr>
        <w:footnoteRef/>
      </w:r>
      <w:r>
        <w:t xml:space="preserve"> </w:t>
      </w:r>
      <w:r>
        <w:tab/>
        <w:t>Huegin, 2015(a,b), Frontier, 2015(a,b), Synergies, 2015b</w:t>
      </w:r>
    </w:p>
  </w:footnote>
  <w:footnote w:id="419">
    <w:p w:rsidR="00223658" w:rsidRDefault="00223658" w:rsidP="00051BDB">
      <w:pPr>
        <w:pStyle w:val="FootnoteText"/>
      </w:pPr>
      <w:r>
        <w:rPr>
          <w:rStyle w:val="FootnoteReference"/>
        </w:rPr>
        <w:footnoteRef/>
      </w:r>
      <w:r>
        <w:t xml:space="preserve"> </w:t>
      </w:r>
      <w:r>
        <w:tab/>
        <w:t>Huegin, 2015a, Synergies</w:t>
      </w:r>
    </w:p>
  </w:footnote>
  <w:footnote w:id="420">
    <w:p w:rsidR="00223658" w:rsidRDefault="00223658" w:rsidP="00051BDB">
      <w:pPr>
        <w:pStyle w:val="FootnoteText"/>
      </w:pPr>
      <w:r>
        <w:rPr>
          <w:rStyle w:val="FootnoteReference"/>
        </w:rPr>
        <w:footnoteRef/>
      </w:r>
      <w:r>
        <w:t xml:space="preserve"> </w:t>
      </w:r>
      <w:r>
        <w:tab/>
        <w:t>Economic Insights, 2015, p. 41.</w:t>
      </w:r>
    </w:p>
  </w:footnote>
  <w:footnote w:id="421">
    <w:p w:rsidR="00223658" w:rsidRDefault="00223658" w:rsidP="00051BDB">
      <w:pPr>
        <w:pStyle w:val="FootnoteText"/>
      </w:pPr>
      <w:r>
        <w:rPr>
          <w:rStyle w:val="FootnoteReference"/>
        </w:rPr>
        <w:footnoteRef/>
      </w:r>
      <w:r>
        <w:t xml:space="preserve"> </w:t>
      </w:r>
      <w:r>
        <w:tab/>
        <w:t>Economic Insights, 2015, p. 33.</w:t>
      </w:r>
    </w:p>
  </w:footnote>
  <w:footnote w:id="422">
    <w:p w:rsidR="00223658" w:rsidRDefault="00223658" w:rsidP="00051BDB">
      <w:pPr>
        <w:pStyle w:val="FootnoteText"/>
      </w:pPr>
      <w:r>
        <w:rPr>
          <w:rStyle w:val="FootnoteReference"/>
        </w:rPr>
        <w:footnoteRef/>
      </w:r>
      <w:r>
        <w:t xml:space="preserve"> </w:t>
      </w:r>
      <w:r>
        <w:tab/>
        <w:t>Economic Insights, 2015, p. 34.</w:t>
      </w:r>
    </w:p>
  </w:footnote>
  <w:footnote w:id="423">
    <w:p w:rsidR="00223658" w:rsidRDefault="00223658" w:rsidP="00051BDB">
      <w:pPr>
        <w:pStyle w:val="FootnoteText"/>
      </w:pPr>
      <w:r>
        <w:rPr>
          <w:rStyle w:val="FootnoteReference"/>
        </w:rPr>
        <w:footnoteRef/>
      </w:r>
      <w:r>
        <w:t xml:space="preserve"> </w:t>
      </w:r>
      <w:r>
        <w:tab/>
        <w:t xml:space="preserve">Economic Insights, 2015, p. 34. </w:t>
      </w:r>
    </w:p>
  </w:footnote>
  <w:footnote w:id="424">
    <w:p w:rsidR="00223658" w:rsidRDefault="00223658" w:rsidP="00051BDB">
      <w:pPr>
        <w:pStyle w:val="FootnoteText"/>
      </w:pPr>
      <w:r>
        <w:rPr>
          <w:rStyle w:val="FootnoteReference"/>
        </w:rPr>
        <w:footnoteRef/>
      </w:r>
      <w:r>
        <w:t xml:space="preserve"> </w:t>
      </w:r>
      <w:r>
        <w:tab/>
        <w:t>Economic Insights, 2015, p. 34.</w:t>
      </w:r>
    </w:p>
  </w:footnote>
  <w:footnote w:id="425">
    <w:p w:rsidR="00223658" w:rsidRDefault="00223658" w:rsidP="00051BDB">
      <w:pPr>
        <w:pStyle w:val="FootnoteText"/>
      </w:pPr>
      <w:r>
        <w:rPr>
          <w:rStyle w:val="FootnoteReference"/>
        </w:rPr>
        <w:footnoteRef/>
      </w:r>
      <w:r>
        <w:t xml:space="preserve"> </w:t>
      </w:r>
      <w:r>
        <w:tab/>
        <w:t>Huegin, (NSW/ACT), 2015, p. 56.</w:t>
      </w:r>
    </w:p>
  </w:footnote>
  <w:footnote w:id="426">
    <w:p w:rsidR="00223658" w:rsidRDefault="00223658" w:rsidP="00051BDB">
      <w:pPr>
        <w:pStyle w:val="FootnoteText"/>
      </w:pPr>
      <w:r>
        <w:rPr>
          <w:rStyle w:val="FootnoteReference"/>
        </w:rPr>
        <w:footnoteRef/>
      </w:r>
      <w:r>
        <w:t xml:space="preserve"> </w:t>
      </w:r>
      <w:r>
        <w:tab/>
        <w:t>Economic Insights, 2015, p. 38.</w:t>
      </w:r>
    </w:p>
  </w:footnote>
  <w:footnote w:id="427">
    <w:p w:rsidR="00223658" w:rsidRDefault="00223658" w:rsidP="00051BDB">
      <w:pPr>
        <w:pStyle w:val="FootnoteText"/>
      </w:pPr>
      <w:r>
        <w:rPr>
          <w:rStyle w:val="FootnoteReference"/>
        </w:rPr>
        <w:footnoteRef/>
      </w:r>
      <w:r>
        <w:t xml:space="preserve"> </w:t>
      </w:r>
      <w:r>
        <w:tab/>
        <w:t>Economic Insights, 2015, p. 39.</w:t>
      </w:r>
    </w:p>
  </w:footnote>
  <w:footnote w:id="428">
    <w:p w:rsidR="00223658" w:rsidRDefault="00223658" w:rsidP="00051BDB">
      <w:pPr>
        <w:pStyle w:val="FootnoteText"/>
      </w:pPr>
      <w:r>
        <w:rPr>
          <w:rStyle w:val="FootnoteReference"/>
        </w:rPr>
        <w:footnoteRef/>
      </w:r>
      <w:r>
        <w:t xml:space="preserve"> </w:t>
      </w:r>
      <w:r>
        <w:tab/>
        <w:t>Economic Insights, 2015, p. 39.</w:t>
      </w:r>
    </w:p>
  </w:footnote>
  <w:footnote w:id="429">
    <w:p w:rsidR="00223658" w:rsidRDefault="00223658" w:rsidP="00051BDB">
      <w:pPr>
        <w:pStyle w:val="FootnoteText"/>
      </w:pPr>
      <w:r>
        <w:rPr>
          <w:rStyle w:val="FootnoteReference"/>
        </w:rPr>
        <w:footnoteRef/>
      </w:r>
      <w:r>
        <w:t xml:space="preserve"> </w:t>
      </w:r>
      <w:r>
        <w:tab/>
        <w:t>Huegin, (Ergon), 2015.</w:t>
      </w:r>
    </w:p>
  </w:footnote>
  <w:footnote w:id="430">
    <w:p w:rsidR="00223658" w:rsidRDefault="00223658" w:rsidP="00051BDB">
      <w:pPr>
        <w:pStyle w:val="FootnoteText"/>
      </w:pPr>
      <w:r>
        <w:rPr>
          <w:rStyle w:val="FootnoteReference"/>
        </w:rPr>
        <w:footnoteRef/>
      </w:r>
      <w:r>
        <w:t xml:space="preserve"> </w:t>
      </w:r>
      <w:r>
        <w:tab/>
        <w:t>Economic Insights, 2015, p. 39</w:t>
      </w:r>
    </w:p>
  </w:footnote>
  <w:footnote w:id="431">
    <w:p w:rsidR="00223658" w:rsidRDefault="00223658" w:rsidP="00051BDB">
      <w:pPr>
        <w:pStyle w:val="FootnoteText"/>
      </w:pPr>
      <w:r>
        <w:rPr>
          <w:rStyle w:val="FootnoteReference"/>
        </w:rPr>
        <w:footnoteRef/>
      </w:r>
      <w:r>
        <w:t xml:space="preserve"> </w:t>
      </w:r>
      <w:r>
        <w:tab/>
      </w:r>
      <w:r w:rsidR="00555D3B" w:rsidRPr="00555D3B">
        <w:t>ActewAGL, RRP, 2015. p.151 p. 175. Essential, RRP, 2015, p. 182. AusGrid, RRP, 2015, p. 143. Huegin, (NSW/ACT), 2015, pp. 11-19. ActewAGL, RRP, 2015, p.131-132, p. 149; CEPA, Benchmarking and setting efficiency targets for the Australian DNSPs, (NSW DNSPs), 2015,</w:t>
      </w:r>
      <w:r w:rsidR="00555D3B">
        <w:t xml:space="preserve"> </w:t>
      </w:r>
      <w:r w:rsidR="00555D3B" w:rsidRPr="00555D3B">
        <w:t>pp. 23-32; PEG, 2015, pp. 55-56; Huegin, (Ergon) 2015, pp. 35-36; Synergies, 2015 ; Frontier Economics, (NSW/ACT), 2015; McKell Institute, 2015.</w:t>
      </w:r>
    </w:p>
  </w:footnote>
  <w:footnote w:id="432">
    <w:p w:rsidR="00223658" w:rsidRDefault="00223658" w:rsidP="00051BDB">
      <w:pPr>
        <w:pStyle w:val="FootnoteText"/>
      </w:pPr>
      <w:r>
        <w:rPr>
          <w:rStyle w:val="FootnoteReference"/>
        </w:rPr>
        <w:footnoteRef/>
      </w:r>
      <w:r>
        <w:t xml:space="preserve"> </w:t>
      </w:r>
      <w:r>
        <w:tab/>
        <w:t>Economic Insights, 2015, p. 53.</w:t>
      </w:r>
    </w:p>
  </w:footnote>
  <w:footnote w:id="433">
    <w:p w:rsidR="00223658" w:rsidRDefault="00223658" w:rsidP="00051BDB">
      <w:pPr>
        <w:pStyle w:val="FootnoteText"/>
      </w:pPr>
      <w:r>
        <w:rPr>
          <w:rStyle w:val="FootnoteReference"/>
        </w:rPr>
        <w:footnoteRef/>
      </w:r>
      <w:r>
        <w:t xml:space="preserve"> </w:t>
      </w:r>
      <w:r>
        <w:tab/>
        <w:t>CCP, p. 51.</w:t>
      </w:r>
    </w:p>
  </w:footnote>
  <w:footnote w:id="434">
    <w:p w:rsidR="00223658" w:rsidRDefault="00223658" w:rsidP="00051BDB">
      <w:pPr>
        <w:pStyle w:val="FootnoteText"/>
      </w:pPr>
      <w:r>
        <w:rPr>
          <w:rStyle w:val="FootnoteReference"/>
        </w:rPr>
        <w:footnoteRef/>
      </w:r>
      <w:r>
        <w:t xml:space="preserve"> </w:t>
      </w:r>
      <w:r>
        <w:tab/>
        <w:t>Economic Insights (2015), pp. v-vi.</w:t>
      </w:r>
    </w:p>
  </w:footnote>
  <w:footnote w:id="435">
    <w:p w:rsidR="00223658" w:rsidRDefault="00223658" w:rsidP="00051BDB">
      <w:pPr>
        <w:pStyle w:val="FootnoteText"/>
      </w:pPr>
      <w:r>
        <w:rPr>
          <w:rStyle w:val="FootnoteReference"/>
        </w:rPr>
        <w:footnoteRef/>
      </w:r>
      <w:r>
        <w:t xml:space="preserve"> </w:t>
      </w:r>
      <w:r>
        <w:tab/>
        <w:t>Economic Insights (2015), pp. 51.</w:t>
      </w:r>
    </w:p>
  </w:footnote>
  <w:footnote w:id="436">
    <w:p w:rsidR="00223658" w:rsidRDefault="00223658" w:rsidP="00051BDB">
      <w:pPr>
        <w:pStyle w:val="FootnoteText"/>
      </w:pPr>
      <w:r>
        <w:rPr>
          <w:rStyle w:val="FootnoteReference"/>
        </w:rPr>
        <w:footnoteRef/>
      </w:r>
      <w:r>
        <w:t xml:space="preserve"> </w:t>
      </w:r>
      <w:r>
        <w:tab/>
        <w:t>Economic Insights (2015), p. 51.</w:t>
      </w:r>
    </w:p>
  </w:footnote>
  <w:footnote w:id="437">
    <w:p w:rsidR="00223658" w:rsidRDefault="00223658" w:rsidP="00051BDB">
      <w:pPr>
        <w:pStyle w:val="FootnoteText"/>
      </w:pPr>
      <w:r>
        <w:rPr>
          <w:rStyle w:val="FootnoteReference"/>
        </w:rPr>
        <w:footnoteRef/>
      </w:r>
      <w:r>
        <w:t xml:space="preserve"> </w:t>
      </w:r>
      <w:r>
        <w:tab/>
        <w:t>Economic Insights, 2014, p. 7.</w:t>
      </w:r>
    </w:p>
  </w:footnote>
  <w:footnote w:id="438">
    <w:p w:rsidR="00223658" w:rsidRDefault="00223658" w:rsidP="00051BDB">
      <w:pPr>
        <w:pStyle w:val="FootnoteText"/>
      </w:pPr>
      <w:r>
        <w:rPr>
          <w:rStyle w:val="FootnoteReference"/>
        </w:rPr>
        <w:footnoteRef/>
      </w:r>
      <w:r>
        <w:t xml:space="preserve"> </w:t>
      </w:r>
      <w:r>
        <w:tab/>
        <w:t>Economic Insights (2015), pp. 25-27 (section 3.2.1)</w:t>
      </w:r>
    </w:p>
  </w:footnote>
  <w:footnote w:id="439">
    <w:p w:rsidR="00223658" w:rsidRDefault="00223658" w:rsidP="00051BDB">
      <w:pPr>
        <w:pStyle w:val="FootnoteText"/>
      </w:pPr>
      <w:r>
        <w:rPr>
          <w:rStyle w:val="FootnoteReference"/>
        </w:rPr>
        <w:footnoteRef/>
      </w:r>
      <w:r>
        <w:t xml:space="preserve"> </w:t>
      </w:r>
      <w:r>
        <w:tab/>
        <w:t>Economic Insights (2015), pp. 25-27 (section 3.2.1)</w:t>
      </w:r>
    </w:p>
  </w:footnote>
  <w:footnote w:id="440">
    <w:p w:rsidR="00223658" w:rsidRDefault="00223658" w:rsidP="00051BDB">
      <w:pPr>
        <w:pStyle w:val="FootnoteText"/>
      </w:pPr>
      <w:r>
        <w:rPr>
          <w:rStyle w:val="FootnoteReference"/>
        </w:rPr>
        <w:footnoteRef/>
      </w:r>
      <w:r>
        <w:t xml:space="preserve"> </w:t>
      </w:r>
      <w:r>
        <w:tab/>
        <w:t>FE (2015a, p.12); Huegin (2015a, p.26)</w:t>
      </w:r>
    </w:p>
  </w:footnote>
  <w:footnote w:id="441">
    <w:p w:rsidR="00223658" w:rsidRDefault="00223658" w:rsidP="00051BDB">
      <w:pPr>
        <w:pStyle w:val="FootnoteText"/>
      </w:pPr>
      <w:r>
        <w:rPr>
          <w:rStyle w:val="FootnoteReference"/>
        </w:rPr>
        <w:footnoteRef/>
      </w:r>
      <w:r>
        <w:t xml:space="preserve"> </w:t>
      </w:r>
      <w:r>
        <w:tab/>
        <w:t>FE (2015a, p.17); Synergies (2015b, p.36)</w:t>
      </w:r>
    </w:p>
  </w:footnote>
  <w:footnote w:id="442">
    <w:p w:rsidR="00223658" w:rsidRDefault="00223658" w:rsidP="00051BDB">
      <w:pPr>
        <w:pStyle w:val="FootnoteText"/>
      </w:pPr>
      <w:r>
        <w:rPr>
          <w:rStyle w:val="FootnoteReference"/>
        </w:rPr>
        <w:footnoteRef/>
      </w:r>
      <w:r>
        <w:t xml:space="preserve"> </w:t>
      </w:r>
      <w:r>
        <w:tab/>
        <w:t>FE (2015a, p.16); Synergies (2015b, p.37)</w:t>
      </w:r>
    </w:p>
  </w:footnote>
  <w:footnote w:id="443">
    <w:p w:rsidR="00223658" w:rsidRDefault="00223658" w:rsidP="00051BDB">
      <w:pPr>
        <w:pStyle w:val="FootnoteText"/>
      </w:pPr>
      <w:r>
        <w:rPr>
          <w:rStyle w:val="FootnoteReference"/>
        </w:rPr>
        <w:footnoteRef/>
      </w:r>
      <w:r>
        <w:t xml:space="preserve"> </w:t>
      </w:r>
      <w:r>
        <w:tab/>
        <w:t xml:space="preserve">PEG (2015, p.53), Synergies (2015b, pp.33–34) and FE (2015a, </w:t>
      </w:r>
      <w:r w:rsidRPr="003F3860">
        <w:rPr>
          <w:highlight w:val="yellow"/>
        </w:rPr>
        <w:t>p. x);</w:t>
      </w:r>
      <w:r>
        <w:t xml:space="preserve"> CEPA</w:t>
      </w:r>
      <w:r w:rsidR="00555D3B">
        <w:t>,</w:t>
      </w:r>
      <w:r>
        <w:t xml:space="preserve"> </w:t>
      </w:r>
      <w:r w:rsidR="00555D3B" w:rsidRPr="00555D3B">
        <w:t>Benchmarking and setting efficiency targets for the Australian DNSPs, (ActewAGL)</w:t>
      </w:r>
      <w:r w:rsidR="00555D3B">
        <w:t>, pp.16-18.</w:t>
      </w:r>
    </w:p>
  </w:footnote>
  <w:footnote w:id="444">
    <w:p w:rsidR="00223658" w:rsidRDefault="00223658" w:rsidP="00051BDB">
      <w:pPr>
        <w:pStyle w:val="FootnoteText"/>
      </w:pPr>
      <w:r>
        <w:rPr>
          <w:rStyle w:val="FootnoteReference"/>
        </w:rPr>
        <w:footnoteRef/>
      </w:r>
      <w:r>
        <w:t xml:space="preserve"> </w:t>
      </w:r>
      <w:r>
        <w:tab/>
        <w:t>FE (2015a, pp.24–25)</w:t>
      </w:r>
    </w:p>
  </w:footnote>
  <w:footnote w:id="445">
    <w:p w:rsidR="00223658" w:rsidRDefault="00223658">
      <w:pPr>
        <w:pStyle w:val="FootnoteText"/>
      </w:pPr>
      <w:r>
        <w:rPr>
          <w:rStyle w:val="FootnoteReference"/>
        </w:rPr>
        <w:footnoteRef/>
      </w:r>
      <w:r>
        <w:t xml:space="preserve"> </w:t>
      </w:r>
      <w:r>
        <w:tab/>
        <w:t>Economic Insights, 2015, pp. 23-25.</w:t>
      </w:r>
    </w:p>
  </w:footnote>
  <w:footnote w:id="446">
    <w:p w:rsidR="00223658" w:rsidRDefault="00223658" w:rsidP="00051BDB">
      <w:pPr>
        <w:pStyle w:val="FootnoteText"/>
      </w:pPr>
      <w:r>
        <w:rPr>
          <w:rStyle w:val="FootnoteReference"/>
        </w:rPr>
        <w:footnoteRef/>
      </w:r>
      <w:r>
        <w:t xml:space="preserve"> </w:t>
      </w:r>
      <w:r>
        <w:tab/>
        <w:t xml:space="preserve">PEG, 2015, pp. 65–66; Frontier Economics, (NSW/ACT), 2015, </w:t>
      </w:r>
      <w:r w:rsidRPr="00F96B8B">
        <w:t>p.</w:t>
      </w:r>
      <w:r>
        <w:t xml:space="preserve"> </w:t>
      </w:r>
      <w:r w:rsidRPr="00F96B8B">
        <w:t>xi</w:t>
      </w:r>
      <w:r>
        <w:t xml:space="preserve">. </w:t>
      </w:r>
      <w:r w:rsidRPr="00F96B8B">
        <w:t>CEPA</w:t>
      </w:r>
      <w:r>
        <w:t xml:space="preserve">, </w:t>
      </w:r>
      <w:r w:rsidR="00555D3B" w:rsidRPr="00555D3B">
        <w:t>Benchmarking and setting efficiency targets for the Australian DNSPs, (NSW DNSPs), 2015,</w:t>
      </w:r>
      <w:r w:rsidRPr="00F96B8B">
        <w:t xml:space="preserve"> pp.16–18</w:t>
      </w:r>
      <w:r>
        <w:t xml:space="preserve">. Huegin, Ergon </w:t>
      </w:r>
      <w:r w:rsidRPr="00F96B8B">
        <w:t>2015, pp.13,15</w:t>
      </w:r>
      <w:r>
        <w:t>.Economic Insights (2015), p. 21.</w:t>
      </w:r>
    </w:p>
  </w:footnote>
  <w:footnote w:id="447">
    <w:p w:rsidR="00223658" w:rsidRDefault="00223658" w:rsidP="00051BDB">
      <w:pPr>
        <w:pStyle w:val="FootnoteText"/>
      </w:pPr>
      <w:r>
        <w:rPr>
          <w:rStyle w:val="FootnoteReference"/>
        </w:rPr>
        <w:footnoteRef/>
      </w:r>
      <w:r>
        <w:t xml:space="preserve"> </w:t>
      </w:r>
      <w:r>
        <w:tab/>
        <w:t xml:space="preserve">For example, </w:t>
      </w:r>
      <w:r w:rsidRPr="00B058F1">
        <w:t>Huegin (2015a,c) and FE (2015a)</w:t>
      </w:r>
    </w:p>
  </w:footnote>
  <w:footnote w:id="448">
    <w:p w:rsidR="00223658" w:rsidRDefault="00223658" w:rsidP="00051BDB">
      <w:pPr>
        <w:pStyle w:val="FootnoteText"/>
      </w:pPr>
      <w:r>
        <w:rPr>
          <w:rStyle w:val="FootnoteReference"/>
        </w:rPr>
        <w:footnoteRef/>
      </w:r>
      <w:r>
        <w:t xml:space="preserve"> </w:t>
      </w:r>
      <w:r>
        <w:tab/>
        <w:t>Economic Insights 2015, p. 45–46 (section 3.9).</w:t>
      </w:r>
    </w:p>
  </w:footnote>
  <w:footnote w:id="449">
    <w:p w:rsidR="00223658" w:rsidRDefault="00223658" w:rsidP="00051BDB">
      <w:pPr>
        <w:pStyle w:val="FootnoteText"/>
      </w:pPr>
      <w:r>
        <w:rPr>
          <w:rStyle w:val="FootnoteReference"/>
        </w:rPr>
        <w:footnoteRef/>
      </w:r>
      <w:r>
        <w:t xml:space="preserve"> </w:t>
      </w:r>
      <w:r>
        <w:tab/>
        <w:t>Economic Insights, 2015, p. 53.</w:t>
      </w:r>
    </w:p>
  </w:footnote>
  <w:footnote w:id="450">
    <w:p w:rsidR="00223658" w:rsidRDefault="00223658" w:rsidP="004F3969">
      <w:pPr>
        <w:pStyle w:val="FootnoteText"/>
      </w:pPr>
      <w:r>
        <w:rPr>
          <w:rStyle w:val="FootnoteReference"/>
        </w:rPr>
        <w:footnoteRef/>
      </w:r>
      <w:r>
        <w:t xml:space="preserve"> </w:t>
      </w:r>
      <w:r>
        <w:tab/>
        <w:t>Ordinary least squares</w:t>
      </w:r>
    </w:p>
  </w:footnote>
  <w:footnote w:id="451">
    <w:p w:rsidR="00223658" w:rsidRDefault="00223658" w:rsidP="004F3969">
      <w:pPr>
        <w:pStyle w:val="FootnoteText"/>
      </w:pPr>
      <w:r>
        <w:rPr>
          <w:rStyle w:val="FootnoteReference"/>
        </w:rPr>
        <w:footnoteRef/>
      </w:r>
      <w:r>
        <w:t xml:space="preserve"> </w:t>
      </w:r>
      <w:r>
        <w:tab/>
        <w:t>Generalised least squares</w:t>
      </w:r>
    </w:p>
  </w:footnote>
  <w:footnote w:id="452">
    <w:p w:rsidR="00223658" w:rsidRDefault="00223658" w:rsidP="004F3969">
      <w:pPr>
        <w:pStyle w:val="FootnoteText"/>
      </w:pPr>
      <w:r>
        <w:rPr>
          <w:rStyle w:val="FootnoteReference"/>
        </w:rPr>
        <w:footnoteRef/>
      </w:r>
      <w:r>
        <w:t xml:space="preserve"> </w:t>
      </w:r>
      <w:r>
        <w:tab/>
        <w:t xml:space="preserve">Denotes dependent variable, this aligns with the input specification that we discuss above. </w:t>
      </w:r>
    </w:p>
  </w:footnote>
  <w:footnote w:id="453">
    <w:p w:rsidR="00223658" w:rsidRDefault="00223658" w:rsidP="004F3969">
      <w:pPr>
        <w:pStyle w:val="FootnoteText"/>
      </w:pPr>
      <w:r>
        <w:rPr>
          <w:rStyle w:val="FootnoteReference"/>
        </w:rPr>
        <w:footnoteRef/>
      </w:r>
      <w:r>
        <w:t xml:space="preserve"> </w:t>
      </w:r>
      <w:r>
        <w:tab/>
        <w:t>Economic Insights, 2015, p. 52.</w:t>
      </w:r>
    </w:p>
  </w:footnote>
  <w:footnote w:id="454">
    <w:p w:rsidR="00223658" w:rsidRDefault="00223658" w:rsidP="004F3969">
      <w:pPr>
        <w:pStyle w:val="FootnoteText"/>
      </w:pPr>
      <w:r>
        <w:rPr>
          <w:rStyle w:val="FootnoteReference"/>
        </w:rPr>
        <w:footnoteRef/>
      </w:r>
      <w:r>
        <w:t xml:space="preserve"> </w:t>
      </w:r>
      <w:r>
        <w:tab/>
        <w:t>True random effects and true fixed effects</w:t>
      </w:r>
    </w:p>
  </w:footnote>
  <w:footnote w:id="455">
    <w:p w:rsidR="00223658" w:rsidRDefault="00223658" w:rsidP="004F3969">
      <w:pPr>
        <w:pStyle w:val="FootnoteText"/>
      </w:pPr>
      <w:r>
        <w:rPr>
          <w:rStyle w:val="FootnoteReference"/>
        </w:rPr>
        <w:footnoteRef/>
      </w:r>
      <w:r>
        <w:t xml:space="preserve"> </w:t>
      </w:r>
      <w:r>
        <w:tab/>
        <w:t>Constant returns to scale and variable returns to scale</w:t>
      </w:r>
    </w:p>
  </w:footnote>
  <w:footnote w:id="456">
    <w:p w:rsidR="00223658" w:rsidRDefault="00223658" w:rsidP="004F3969">
      <w:pPr>
        <w:pStyle w:val="FootnoteText"/>
      </w:pPr>
      <w:r>
        <w:rPr>
          <w:rStyle w:val="FootnoteReference"/>
        </w:rPr>
        <w:footnoteRef/>
      </w:r>
      <w:r>
        <w:t xml:space="preserve"> </w:t>
      </w:r>
      <w:r>
        <w:tab/>
        <w:t>Economic Insights, 2015, p. 37</w:t>
      </w:r>
    </w:p>
  </w:footnote>
  <w:footnote w:id="457">
    <w:p w:rsidR="00223658" w:rsidRDefault="00223658" w:rsidP="004F3969">
      <w:pPr>
        <w:pStyle w:val="FootnoteText"/>
      </w:pPr>
      <w:r>
        <w:rPr>
          <w:rStyle w:val="FootnoteReference"/>
        </w:rPr>
        <w:footnoteRef/>
      </w:r>
      <w:r>
        <w:t xml:space="preserve"> </w:t>
      </w:r>
      <w:r>
        <w:tab/>
        <w:t>Feasible generalised least squares</w:t>
      </w:r>
    </w:p>
  </w:footnote>
  <w:footnote w:id="458">
    <w:p w:rsidR="00223658" w:rsidRDefault="00223658" w:rsidP="004F3969">
      <w:pPr>
        <w:pStyle w:val="FootnoteText"/>
      </w:pPr>
      <w:r>
        <w:rPr>
          <w:rStyle w:val="FootnoteReference"/>
        </w:rPr>
        <w:footnoteRef/>
      </w:r>
      <w:r>
        <w:t xml:space="preserve"> </w:t>
      </w:r>
      <w:r>
        <w:tab/>
        <w:t>Economic Insights, 2015, p. 52.</w:t>
      </w:r>
    </w:p>
  </w:footnote>
  <w:footnote w:id="459">
    <w:p w:rsidR="00223658" w:rsidRDefault="00223658" w:rsidP="00051BDB">
      <w:pPr>
        <w:pStyle w:val="FootnoteText"/>
      </w:pPr>
      <w:r>
        <w:rPr>
          <w:rStyle w:val="FootnoteReference"/>
        </w:rPr>
        <w:footnoteRef/>
      </w:r>
      <w:r>
        <w:t xml:space="preserve"> </w:t>
      </w:r>
      <w:r>
        <w:tab/>
        <w:t>While an observation of h</w:t>
      </w:r>
      <w:r w:rsidRPr="00D10601">
        <w:t>igh costs on a single PPI do</w:t>
      </w:r>
      <w:r>
        <w:t>es</w:t>
      </w:r>
      <w:r w:rsidRPr="00D10601">
        <w:t xml:space="preserve"> not necessarily indicate </w:t>
      </w:r>
      <w:r>
        <w:t>inefficiency, similar results across a number of PPIs can be more reliable</w:t>
      </w:r>
      <w:r w:rsidRPr="00D10601">
        <w:t>. In this respect, it is useful to compare PPI results with the economic benchmarking results.</w:t>
      </w:r>
    </w:p>
  </w:footnote>
  <w:footnote w:id="460">
    <w:p w:rsidR="00223658" w:rsidRDefault="00223658" w:rsidP="00051BDB">
      <w:pPr>
        <w:pStyle w:val="FootnoteText"/>
      </w:pPr>
      <w:r>
        <w:rPr>
          <w:rStyle w:val="FootnoteReference"/>
        </w:rPr>
        <w:footnoteRef/>
      </w:r>
      <w:r>
        <w:t xml:space="preserve"> </w:t>
      </w:r>
      <w:r>
        <w:tab/>
        <w:t>AER, Draft Decision, Attachment 7, pp. 7-64 to 7-68.</w:t>
      </w:r>
    </w:p>
  </w:footnote>
  <w:footnote w:id="461">
    <w:p w:rsidR="00223658" w:rsidRDefault="00223658" w:rsidP="00051BDB">
      <w:pPr>
        <w:pStyle w:val="FootnoteText"/>
      </w:pPr>
      <w:r>
        <w:rPr>
          <w:rStyle w:val="FootnoteReference"/>
        </w:rPr>
        <w:footnoteRef/>
      </w:r>
      <w:r>
        <w:t xml:space="preserve"> </w:t>
      </w:r>
      <w:r>
        <w:tab/>
        <w:t>Ausgrid and Endeavour Energy do not seem to have explicitly challenged our draft decision PPI results.</w:t>
      </w:r>
    </w:p>
  </w:footnote>
  <w:footnote w:id="462">
    <w:p w:rsidR="00223658" w:rsidRDefault="00223658" w:rsidP="00051BDB">
      <w:pPr>
        <w:pStyle w:val="FootnoteText"/>
      </w:pPr>
      <w:r>
        <w:rPr>
          <w:rStyle w:val="FootnoteReference"/>
        </w:rPr>
        <w:footnoteRef/>
      </w:r>
      <w:r>
        <w:t xml:space="preserve"> Essential revised proposal, pp. 201-202.</w:t>
      </w:r>
    </w:p>
  </w:footnote>
  <w:footnote w:id="463">
    <w:p w:rsidR="00223658" w:rsidRDefault="00223658" w:rsidP="00051BDB">
      <w:pPr>
        <w:pStyle w:val="FootnoteText"/>
      </w:pPr>
      <w:r>
        <w:rPr>
          <w:rStyle w:val="FootnoteReference"/>
        </w:rPr>
        <w:footnoteRef/>
      </w:r>
      <w:r>
        <w:t xml:space="preserve"> Essential Energy, Revised proposal attachment 7.4, pp. 13–16.</w:t>
      </w:r>
    </w:p>
  </w:footnote>
  <w:footnote w:id="464">
    <w:p w:rsidR="00223658" w:rsidRDefault="00223658" w:rsidP="00051BDB">
      <w:pPr>
        <w:pStyle w:val="FootnoteText"/>
      </w:pPr>
      <w:r>
        <w:rPr>
          <w:rStyle w:val="FootnoteReference"/>
        </w:rPr>
        <w:footnoteRef/>
      </w:r>
      <w:r>
        <w:t xml:space="preserve"> </w:t>
      </w:r>
      <w:r>
        <w:tab/>
        <w:t>AER, Draft Decision, Attachment 7, pp. 7-64 to 7-68.</w:t>
      </w:r>
    </w:p>
  </w:footnote>
  <w:footnote w:id="465">
    <w:p w:rsidR="00223658" w:rsidRDefault="00223658" w:rsidP="00051BDB">
      <w:pPr>
        <w:pStyle w:val="FootnoteText"/>
      </w:pPr>
      <w:r>
        <w:rPr>
          <w:rStyle w:val="FootnoteReference"/>
        </w:rPr>
        <w:footnoteRef/>
      </w:r>
      <w:r>
        <w:t xml:space="preserve"> </w:t>
      </w:r>
      <w:r>
        <w:tab/>
        <w:t>AER, Draft Decision, Attachment 7, p. 7-66.</w:t>
      </w:r>
    </w:p>
  </w:footnote>
  <w:footnote w:id="466">
    <w:p w:rsidR="00223658" w:rsidRDefault="00223658" w:rsidP="00051BDB">
      <w:pPr>
        <w:pStyle w:val="FootnoteText"/>
      </w:pPr>
      <w:r>
        <w:rPr>
          <w:rStyle w:val="FootnoteReference"/>
        </w:rPr>
        <w:footnoteRef/>
      </w:r>
      <w:r>
        <w:t xml:space="preserve"> </w:t>
      </w:r>
      <w:r>
        <w:tab/>
        <w:t>AER, Draft Decision, Attachment 7, p. 7-66.</w:t>
      </w:r>
    </w:p>
  </w:footnote>
  <w:footnote w:id="467">
    <w:p w:rsidR="00223658" w:rsidRDefault="00223658">
      <w:pPr>
        <w:pStyle w:val="FootnoteText"/>
      </w:pPr>
      <w:r>
        <w:rPr>
          <w:rStyle w:val="FootnoteReference"/>
        </w:rPr>
        <w:footnoteRef/>
      </w:r>
      <w:r>
        <w:t xml:space="preserve"> </w:t>
      </w:r>
      <w:r>
        <w:tab/>
        <w:t>EMCa, 2015, p. 1.</w:t>
      </w:r>
    </w:p>
  </w:footnote>
  <w:footnote w:id="468">
    <w:p w:rsidR="00223658" w:rsidRDefault="00223658" w:rsidP="00051BDB">
      <w:pPr>
        <w:pStyle w:val="FootnoteText"/>
      </w:pPr>
      <w:r>
        <w:rPr>
          <w:rStyle w:val="FootnoteReference"/>
        </w:rPr>
        <w:footnoteRef/>
      </w:r>
      <w:r>
        <w:t xml:space="preserve"> </w:t>
      </w:r>
      <w:r>
        <w:tab/>
        <w:t>Our review of Essential Energy's vegetation management does not apply to Ausgrid or Endeavour Energy.</w:t>
      </w:r>
    </w:p>
  </w:footnote>
  <w:footnote w:id="469">
    <w:p w:rsidR="00223658" w:rsidRDefault="00223658" w:rsidP="00051BDB">
      <w:pPr>
        <w:pStyle w:val="FootnoteText"/>
      </w:pPr>
      <w:r>
        <w:rPr>
          <w:rStyle w:val="FootnoteReference"/>
        </w:rPr>
        <w:footnoteRef/>
      </w:r>
      <w:r>
        <w:t xml:space="preserve"> </w:t>
      </w:r>
      <w:r>
        <w:tab/>
        <w:t>NER, cl. 6.5.6(c)</w:t>
      </w:r>
    </w:p>
  </w:footnote>
  <w:footnote w:id="470">
    <w:p w:rsidR="00223658" w:rsidRDefault="00223658" w:rsidP="00051BDB">
      <w:pPr>
        <w:pStyle w:val="FootnoteText"/>
      </w:pPr>
      <w:r>
        <w:rPr>
          <w:rStyle w:val="FootnoteReference"/>
        </w:rPr>
        <w:footnoteRef/>
      </w:r>
      <w:r>
        <w:t xml:space="preserve"> </w:t>
      </w:r>
      <w:r>
        <w:tab/>
        <w:t>AER, Better regulation: Expenditure forecast assessment guideline for electricity distribution, November 2013, pp. 12–15.</w:t>
      </w:r>
    </w:p>
  </w:footnote>
  <w:footnote w:id="471">
    <w:p w:rsidR="00223658" w:rsidRDefault="00223658" w:rsidP="00051BDB">
      <w:pPr>
        <w:pStyle w:val="FootnoteText"/>
      </w:pPr>
      <w:r>
        <w:rPr>
          <w:rStyle w:val="FootnoteReference"/>
        </w:rPr>
        <w:footnoteRef/>
      </w:r>
      <w:r>
        <w:t xml:space="preserve"> </w:t>
      </w:r>
      <w:r>
        <w:tab/>
        <w:t xml:space="preserve">See, for example, NSW service provider responses to annual RINs for 2012-13.  </w:t>
      </w:r>
    </w:p>
  </w:footnote>
  <w:footnote w:id="472">
    <w:p w:rsidR="00223658" w:rsidRDefault="00223658" w:rsidP="00051BDB">
      <w:pPr>
        <w:pStyle w:val="FootnoteText"/>
      </w:pPr>
      <w:r>
        <w:rPr>
          <w:rStyle w:val="FootnoteReference"/>
        </w:rPr>
        <w:footnoteRef/>
      </w:r>
      <w:r>
        <w:t xml:space="preserve"> </w:t>
      </w:r>
      <w:r>
        <w:tab/>
        <w:t>ActewAGL, Revised regulatory proposal: 2015–19 regulatory control period, January 2015, pp. 189.</w:t>
      </w:r>
    </w:p>
  </w:footnote>
  <w:footnote w:id="473">
    <w:p w:rsidR="00223658" w:rsidRDefault="00223658" w:rsidP="00051BDB">
      <w:pPr>
        <w:pStyle w:val="FootnoteText"/>
      </w:pPr>
      <w:r>
        <w:rPr>
          <w:rStyle w:val="FootnoteReference"/>
        </w:rPr>
        <w:footnoteRef/>
      </w:r>
      <w:r>
        <w:t xml:space="preserve"> </w:t>
      </w:r>
      <w:r>
        <w:tab/>
        <w:t>Ausgrid, Regulatory Proposal, p. 59; Essential, Regulatory Proposal, p. 78; Networks NSW, Submission on AER issues paper, pp. 12-16.</w:t>
      </w:r>
    </w:p>
  </w:footnote>
  <w:footnote w:id="474">
    <w:p w:rsidR="00223658" w:rsidRDefault="00223658" w:rsidP="00051BDB">
      <w:pPr>
        <w:pStyle w:val="FootnoteText"/>
      </w:pPr>
      <w:r>
        <w:rPr>
          <w:rStyle w:val="FootnoteReference"/>
        </w:rPr>
        <w:footnoteRef/>
      </w:r>
      <w:r>
        <w:t xml:space="preserve"> </w:t>
      </w:r>
      <w:r>
        <w:tab/>
        <w:t xml:space="preserve">Essential Energy, </w:t>
      </w:r>
      <w:r w:rsidRPr="00CB0BF7">
        <w:rPr>
          <w:rStyle w:val="AERtextitalic"/>
          <w:i w:val="0"/>
        </w:rPr>
        <w:t xml:space="preserve">Regulatory Proposal, </w:t>
      </w:r>
      <w:r w:rsidRPr="00CB0BF7">
        <w:rPr>
          <w:rStyle w:val="AERbody"/>
          <w:sz w:val="16"/>
        </w:rPr>
        <w:t>p. 73</w:t>
      </w:r>
      <w:r w:rsidRPr="00CB0BF7">
        <w:t>; Essential Energy</w:t>
      </w:r>
      <w:r>
        <w:t>, Regulatory proposal appendix item 6.2 – Vegetation management review findings, p. 13.</w:t>
      </w:r>
    </w:p>
  </w:footnote>
  <w:footnote w:id="475">
    <w:p w:rsidR="00223658" w:rsidRDefault="00223658" w:rsidP="00051BDB">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w:t>
      </w:r>
      <w:r>
        <w:t>, November 2014, p. iv.</w:t>
      </w:r>
    </w:p>
  </w:footnote>
  <w:footnote w:id="476">
    <w:p w:rsidR="00223658" w:rsidRDefault="00223658" w:rsidP="00051BDB">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vii.</w:t>
      </w:r>
    </w:p>
  </w:footnote>
  <w:footnote w:id="477">
    <w:p w:rsidR="00223658" w:rsidRDefault="00223658" w:rsidP="00051BDB">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ii–v.</w:t>
      </w:r>
    </w:p>
  </w:footnote>
  <w:footnote w:id="478">
    <w:p w:rsidR="00223658" w:rsidRDefault="00223658" w:rsidP="00051BDB">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v-vi.</w:t>
      </w:r>
    </w:p>
    <w:p w:rsidR="00223658" w:rsidRDefault="00223658" w:rsidP="00051BDB">
      <w:pPr>
        <w:pStyle w:val="FootnoteText"/>
      </w:pPr>
    </w:p>
  </w:footnote>
  <w:footnote w:id="479">
    <w:p w:rsidR="00223658" w:rsidRDefault="00223658" w:rsidP="00051BDB">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vi-vii.</w:t>
      </w:r>
    </w:p>
  </w:footnote>
  <w:footnote w:id="480">
    <w:p w:rsidR="00223658" w:rsidRDefault="00223658" w:rsidP="00051BDB">
      <w:pPr>
        <w:pStyle w:val="FootnoteText"/>
      </w:pPr>
      <w:r>
        <w:rPr>
          <w:rStyle w:val="FootnoteReference"/>
        </w:rPr>
        <w:footnoteRef/>
      </w:r>
      <w:r>
        <w:t xml:space="preserve"> </w:t>
      </w:r>
      <w:r>
        <w:tab/>
        <w:t xml:space="preserve">Select Solutions, </w:t>
      </w:r>
      <w:r w:rsidRPr="00D0312A">
        <w:rPr>
          <w:rStyle w:val="AERtextitalic"/>
        </w:rPr>
        <w:t>Review of Essential Energy Vegetation Management Strategy–Final Report</w:t>
      </w:r>
      <w:r>
        <w:t xml:space="preserve">, 22 March 2013; Essential Energy, </w:t>
      </w:r>
      <w:r w:rsidRPr="00866DBF">
        <w:rPr>
          <w:rStyle w:val="AERtextitalic"/>
        </w:rPr>
        <w:t>Vegetation Management Strategy and Implementation Plan for Additional Expenditure – FY 2013 to 14</w:t>
      </w:r>
      <w:r>
        <w:t>, February 2013.</w:t>
      </w:r>
    </w:p>
  </w:footnote>
  <w:footnote w:id="481">
    <w:p w:rsidR="00223658" w:rsidRDefault="00223658" w:rsidP="00051BDB">
      <w:pPr>
        <w:pStyle w:val="FootnoteText"/>
      </w:pPr>
      <w:r>
        <w:rPr>
          <w:rStyle w:val="FootnoteReference"/>
        </w:rPr>
        <w:footnoteRef/>
      </w:r>
      <w:r>
        <w:t xml:space="preserve"> </w:t>
      </w:r>
      <w:r>
        <w:tab/>
        <w:t xml:space="preserve">Deloitte, </w:t>
      </w:r>
      <w:r w:rsidRPr="00D0312A">
        <w:rPr>
          <w:rStyle w:val="AERtextitalic"/>
        </w:rPr>
        <w:t>NSW Distribution Network Service Providers Labour Analysis</w:t>
      </w:r>
      <w:r>
        <w:t>, November 2014, p. iii.</w:t>
      </w:r>
    </w:p>
  </w:footnote>
  <w:footnote w:id="482">
    <w:p w:rsidR="00223658" w:rsidRDefault="00223658" w:rsidP="00051BDB">
      <w:pPr>
        <w:pStyle w:val="FootnoteText"/>
      </w:pPr>
      <w:r>
        <w:rPr>
          <w:rStyle w:val="FootnoteReference"/>
        </w:rPr>
        <w:footnoteRef/>
      </w:r>
      <w:r>
        <w:t xml:space="preserve"> </w:t>
      </w:r>
      <w:r>
        <w:tab/>
        <w:t xml:space="preserve">Deloitte, </w:t>
      </w:r>
      <w:r w:rsidRPr="00D0312A">
        <w:rPr>
          <w:rStyle w:val="AERtextitalic"/>
        </w:rPr>
        <w:t>NSW Distribution Network Service Providers Labour Analysis</w:t>
      </w:r>
      <w:r>
        <w:t>, November 2014, p. iv.</w:t>
      </w:r>
    </w:p>
  </w:footnote>
  <w:footnote w:id="483">
    <w:p w:rsidR="00223658" w:rsidRDefault="00223658" w:rsidP="00051BDB">
      <w:pPr>
        <w:pStyle w:val="FootnoteText"/>
      </w:pPr>
      <w:r>
        <w:rPr>
          <w:rStyle w:val="FootnoteReference"/>
        </w:rPr>
        <w:footnoteRef/>
      </w:r>
      <w:r>
        <w:t xml:space="preserve"> </w:t>
      </w:r>
      <w:r>
        <w:tab/>
        <w:t xml:space="preserve">Deloitte, </w:t>
      </w:r>
      <w:r w:rsidRPr="00D0312A">
        <w:rPr>
          <w:rStyle w:val="AERtextitalic"/>
        </w:rPr>
        <w:t>NSW Distribution Network Service Providers Labour Analysis</w:t>
      </w:r>
      <w:r>
        <w:t>, November 2014, p. 64.</w:t>
      </w:r>
    </w:p>
  </w:footnote>
  <w:footnote w:id="484">
    <w:p w:rsidR="00223658" w:rsidRDefault="00223658" w:rsidP="00051BDB">
      <w:pPr>
        <w:pStyle w:val="FootnoteText"/>
      </w:pPr>
      <w:r>
        <w:rPr>
          <w:rStyle w:val="FootnoteReference"/>
        </w:rPr>
        <w:footnoteRef/>
      </w:r>
      <w:r>
        <w:t xml:space="preserve"> </w:t>
      </w:r>
      <w:r>
        <w:tab/>
        <w:t xml:space="preserve">Essential Energy, </w:t>
      </w:r>
      <w:r w:rsidRPr="00866DBF">
        <w:rPr>
          <w:rStyle w:val="AERtextitalic"/>
        </w:rPr>
        <w:t>Vegetation Management Strategy and Implementation Plan for Additional Expenditure – FY 2013 to 14</w:t>
      </w:r>
      <w:r>
        <w:t>, February 2013, pp. 10–11.</w:t>
      </w:r>
    </w:p>
  </w:footnote>
  <w:footnote w:id="485">
    <w:p w:rsidR="00223658" w:rsidRDefault="00223658" w:rsidP="00051BDB">
      <w:pPr>
        <w:pStyle w:val="FootnoteText"/>
      </w:pPr>
      <w:r>
        <w:rPr>
          <w:rStyle w:val="FootnoteReference"/>
        </w:rPr>
        <w:footnoteRef/>
      </w:r>
      <w:r>
        <w:t xml:space="preserve"> </w:t>
      </w:r>
      <w:r>
        <w:tab/>
        <w:t xml:space="preserve">Essential Energy, </w:t>
      </w:r>
      <w:r w:rsidRPr="00866DBF">
        <w:rPr>
          <w:rStyle w:val="AERtextitalic"/>
        </w:rPr>
        <w:t>Vegetation Management Strategy and Implementation Plan for Additional Expenditure – FY 2013 to 14</w:t>
      </w:r>
      <w:r>
        <w:t>, February 2013, p. 13.</w:t>
      </w:r>
    </w:p>
  </w:footnote>
  <w:footnote w:id="486">
    <w:p w:rsidR="00223658" w:rsidRDefault="00223658" w:rsidP="00051BDB">
      <w:pPr>
        <w:pStyle w:val="FootnoteText"/>
      </w:pPr>
      <w:r>
        <w:rPr>
          <w:rStyle w:val="FootnoteReference"/>
        </w:rPr>
        <w:footnoteRef/>
      </w:r>
      <w:r>
        <w:t xml:space="preserve"> </w:t>
      </w:r>
      <w:r>
        <w:tab/>
        <w:t xml:space="preserve">Select Solutions, </w:t>
      </w:r>
      <w:r w:rsidRPr="00D0312A">
        <w:rPr>
          <w:rStyle w:val="AERtextitalic"/>
        </w:rPr>
        <w:t>Review of Essential Energy Vegetation Management Strategy–Final Report</w:t>
      </w:r>
      <w:r>
        <w:t>, 22 March 2013.</w:t>
      </w:r>
    </w:p>
  </w:footnote>
  <w:footnote w:id="487">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ii–vii.</w:t>
      </w:r>
    </w:p>
  </w:footnote>
  <w:footnote w:id="488">
    <w:p w:rsidR="00223658" w:rsidRDefault="00223658" w:rsidP="00051BDB">
      <w:pPr>
        <w:pStyle w:val="FootnoteText"/>
      </w:pPr>
      <w:r>
        <w:rPr>
          <w:rStyle w:val="FootnoteReference"/>
        </w:rPr>
        <w:footnoteRef/>
      </w:r>
      <w:r>
        <w:t xml:space="preserve"> </w:t>
      </w:r>
      <w:r>
        <w:tab/>
        <w:t xml:space="preserve">K&amp;L Gates, </w:t>
      </w:r>
      <w:r w:rsidRPr="00D0312A">
        <w:rPr>
          <w:rStyle w:val="AERtextitalic"/>
        </w:rPr>
        <w:t>Networks NSW: Comparison and analysis of enterprise bargaining agreements for distribution networks</w:t>
      </w:r>
      <w:r>
        <w:t xml:space="preserve">, January 2015; Competition Economists Group, </w:t>
      </w:r>
      <w:r w:rsidRPr="00D0312A">
        <w:rPr>
          <w:rStyle w:val="AERtextitalic"/>
        </w:rPr>
        <w:t>Labour unit cost – review of Deloitte report</w:t>
      </w:r>
      <w:r>
        <w:t>, January 2015.</w:t>
      </w:r>
    </w:p>
  </w:footnote>
  <w:footnote w:id="489">
    <w:p w:rsidR="00223658" w:rsidRDefault="00223658" w:rsidP="00051BDB">
      <w:pPr>
        <w:pStyle w:val="FootnoteText"/>
      </w:pPr>
      <w:r>
        <w:rPr>
          <w:rStyle w:val="FootnoteReference"/>
        </w:rPr>
        <w:footnoteRef/>
      </w:r>
      <w:r>
        <w:t xml:space="preserve"> </w:t>
      </w:r>
      <w:r>
        <w:tab/>
        <w:t>Endeavour Energy, Revised regulatory proposal – Attachment 6.01: Response to AER's comments on inefficient labour practices, January 2015; Essential Energy, Revised regulatory proposal, attachment 7.5; ARUP, Ausgrid labour analysis report, January 2015.</w:t>
      </w:r>
    </w:p>
  </w:footnote>
  <w:footnote w:id="490">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ii–vii.</w:t>
      </w:r>
    </w:p>
  </w:footnote>
  <w:footnote w:id="491">
    <w:p w:rsidR="00223658" w:rsidRDefault="00223658" w:rsidP="00051BDB">
      <w:pPr>
        <w:pStyle w:val="FootnoteText"/>
      </w:pPr>
      <w:r>
        <w:rPr>
          <w:rStyle w:val="FootnoteReference"/>
        </w:rPr>
        <w:footnoteRef/>
      </w:r>
      <w:r>
        <w:t xml:space="preserve"> </w:t>
      </w:r>
      <w:r>
        <w:tab/>
        <w:t>Ausgrid, Revised regulatory proposal, January 2015, pp. 155–161; Endeavour Energy, Revised regulatory proposal, January 2015, pp. 183–186; Essential Energy, Revised regulatory proposal , January 2015, pp. 194–200.</w:t>
      </w:r>
    </w:p>
  </w:footnote>
  <w:footnote w:id="492">
    <w:p w:rsidR="00223658" w:rsidRDefault="00223658" w:rsidP="00051BDB">
      <w:pPr>
        <w:pStyle w:val="FootnoteText"/>
      </w:pPr>
      <w:r>
        <w:rPr>
          <w:rStyle w:val="FootnoteReference"/>
        </w:rPr>
        <w:footnoteRef/>
      </w:r>
      <w:r>
        <w:t xml:space="preserve"> </w:t>
      </w:r>
      <w:r>
        <w:tab/>
      </w:r>
      <w:r w:rsidRPr="005F30FD">
        <w:t xml:space="preserve">The Victorian and NEM figures exclude United Energy because it </w:t>
      </w:r>
      <w:r>
        <w:t>outsourced the vast majority of all operational work over the period</w:t>
      </w:r>
      <w:r w:rsidRPr="005F30FD">
        <w:t>.</w:t>
      </w:r>
    </w:p>
  </w:footnote>
  <w:footnote w:id="493">
    <w:p w:rsidR="00223658" w:rsidRDefault="00223658" w:rsidP="00051BDB">
      <w:pPr>
        <w:pStyle w:val="FootnoteText"/>
      </w:pPr>
      <w:r>
        <w:rPr>
          <w:rStyle w:val="FootnoteReference"/>
        </w:rPr>
        <w:footnoteRef/>
      </w:r>
      <w:r>
        <w:t xml:space="preserve"> </w:t>
      </w:r>
      <w:r>
        <w:tab/>
      </w:r>
      <w:r w:rsidRPr="005F30FD">
        <w:t xml:space="preserve">The Victorian and NEM figures exclude United Energy because it </w:t>
      </w:r>
      <w:r>
        <w:t>outsourced the vast majority of all operational work over the period</w:t>
      </w:r>
      <w:r w:rsidRPr="005F30FD">
        <w:t>.</w:t>
      </w:r>
    </w:p>
  </w:footnote>
  <w:footnote w:id="494">
    <w:p w:rsidR="00223658" w:rsidRDefault="00223658" w:rsidP="00051BDB">
      <w:pPr>
        <w:pStyle w:val="FootnoteText"/>
      </w:pPr>
      <w:r>
        <w:rPr>
          <w:rStyle w:val="FootnoteReference"/>
        </w:rPr>
        <w:footnoteRef/>
      </w:r>
      <w:r>
        <w:t xml:space="preserve"> </w:t>
      </w:r>
      <w:r>
        <w:tab/>
        <w:t>Rural service providers tend to perform unfavourably on this metric compared to their urban peers, because they must operate and maintain more assets per customer. This result is evident from the greater ASL per customer exhibited by Essential Energy relative to Ausgrid and Endeavour Energy. Considering this, we note that SA Power Networks is a predominantly rural service provider and outperforms the three NSW service providers.</w:t>
      </w:r>
    </w:p>
  </w:footnote>
  <w:footnote w:id="495">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30.</w:t>
      </w:r>
    </w:p>
  </w:footnote>
  <w:footnote w:id="496">
    <w:p w:rsidR="00223658" w:rsidRDefault="00223658" w:rsidP="00051BDB">
      <w:pPr>
        <w:pStyle w:val="FootnoteText"/>
      </w:pPr>
      <w:r>
        <w:rPr>
          <w:rStyle w:val="FootnoteReference"/>
        </w:rPr>
        <w:footnoteRef/>
      </w:r>
      <w:r>
        <w:t xml:space="preserve"> </w:t>
      </w:r>
      <w:r>
        <w:tab/>
        <w:t xml:space="preserve">K&amp;L Gates, </w:t>
      </w:r>
      <w:r w:rsidRPr="00D0312A">
        <w:rPr>
          <w:rStyle w:val="AERtextitalic"/>
        </w:rPr>
        <w:t>Networks NSW: Comparison and analysis of enterprise bargaining agreements for distribution networks</w:t>
      </w:r>
      <w:r>
        <w:t xml:space="preserve">, January 2015; Competition Economists Group, </w:t>
      </w:r>
      <w:r w:rsidRPr="00D0312A">
        <w:rPr>
          <w:rStyle w:val="AERtextitalic"/>
        </w:rPr>
        <w:t>Labour unit cost – review of Deloitte report</w:t>
      </w:r>
      <w:r>
        <w:t>, January 2015.</w:t>
      </w:r>
    </w:p>
  </w:footnote>
  <w:footnote w:id="497">
    <w:p w:rsidR="00223658" w:rsidRDefault="00223658" w:rsidP="00051BDB">
      <w:pPr>
        <w:pStyle w:val="FootnoteText"/>
      </w:pPr>
      <w:r>
        <w:rPr>
          <w:rStyle w:val="FootnoteReference"/>
        </w:rPr>
        <w:footnoteRef/>
      </w:r>
      <w:r>
        <w:t xml:space="preserve"> </w:t>
      </w:r>
      <w:r>
        <w:tab/>
        <w:t>Ausgrid, Revised regulatory proposal, January 2015, pp. 159–160; Essential Energy, Revised regulatory proposal , January 2015, pp. 197–200;</w:t>
      </w:r>
      <w:r w:rsidRPr="00967572">
        <w:t xml:space="preserve"> </w:t>
      </w:r>
      <w:r>
        <w:t xml:space="preserve">Essential Energy, Revised regulatory proposal – Attachment 7.5: NSW DNSP labour analysis, January 2015, p. 38; Endeavour Energy, Revised regulatory proposal, January 2015, pp. 183–186; </w:t>
      </w:r>
      <w:r w:rsidRPr="000D3455" w:rsidDel="006C146E">
        <w:t xml:space="preserve"> </w:t>
      </w:r>
      <w:r>
        <w:t>K&amp;L Gates, Networks NSW: Comparison and analysis of enterprise bargaining agreements for distribution networks, January 2015, p. 13; Competition Economists Group, Labour unit cost – review of Deloitte report, January 2015, pp. 1–3;</w:t>
      </w:r>
    </w:p>
  </w:footnote>
  <w:footnote w:id="498">
    <w:p w:rsidR="00223658" w:rsidRDefault="00223658" w:rsidP="00051BDB">
      <w:pPr>
        <w:pStyle w:val="FootnoteText"/>
      </w:pPr>
      <w:r>
        <w:rPr>
          <w:rStyle w:val="FootnoteReference"/>
        </w:rPr>
        <w:footnoteRef/>
      </w:r>
      <w:r>
        <w:t xml:space="preserve"> </w:t>
      </w:r>
      <w:r>
        <w:tab/>
        <w:t>8 out of 12 distributors.</w:t>
      </w:r>
    </w:p>
  </w:footnote>
  <w:footnote w:id="499">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23–26.</w:t>
      </w:r>
    </w:p>
  </w:footnote>
  <w:footnote w:id="500">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26.</w:t>
      </w:r>
    </w:p>
  </w:footnote>
  <w:footnote w:id="501">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27.</w:t>
      </w:r>
    </w:p>
  </w:footnote>
  <w:footnote w:id="502">
    <w:p w:rsidR="00223658" w:rsidRDefault="00223658" w:rsidP="00051BDB">
      <w:pPr>
        <w:pStyle w:val="FootnoteText"/>
      </w:pPr>
      <w:r>
        <w:rPr>
          <w:rStyle w:val="FootnoteReference"/>
        </w:rPr>
        <w:footnoteRef/>
      </w:r>
      <w:r>
        <w:t xml:space="preserve"> </w:t>
      </w:r>
      <w:r>
        <w:tab/>
        <w:t>Ausgrid, Revised regulatory proposal, January 2015, p. 160; Essential Energy, Revised regulatory proposal , January 2015, p. 199.</w:t>
      </w:r>
    </w:p>
  </w:footnote>
  <w:footnote w:id="503">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30.</w:t>
      </w:r>
    </w:p>
  </w:footnote>
  <w:footnote w:id="504">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30.</w:t>
      </w:r>
    </w:p>
  </w:footnote>
  <w:footnote w:id="505">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29.</w:t>
      </w:r>
    </w:p>
  </w:footnote>
  <w:footnote w:id="506">
    <w:p w:rsidR="00223658" w:rsidRDefault="00223658" w:rsidP="00051BDB">
      <w:pPr>
        <w:pStyle w:val="FootnoteText"/>
      </w:pPr>
      <w:r>
        <w:rPr>
          <w:rStyle w:val="FootnoteReference"/>
        </w:rPr>
        <w:footnoteRef/>
      </w:r>
      <w:r>
        <w:t xml:space="preserve"> </w:t>
      </w:r>
      <w:r>
        <w:tab/>
        <w:t>Essential Energy, Revised regulatory proposal , January 2015, pp. 195–196; Endeavour Energy, Revised regulatory proposal, January 2015, pp. 182–183.</w:t>
      </w:r>
    </w:p>
  </w:footnote>
  <w:footnote w:id="507">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46.</w:t>
      </w:r>
    </w:p>
  </w:footnote>
  <w:footnote w:id="508">
    <w:p w:rsidR="00223658" w:rsidRDefault="00223658" w:rsidP="00051BDB">
      <w:pPr>
        <w:pStyle w:val="FootnoteText"/>
      </w:pPr>
      <w:r>
        <w:rPr>
          <w:rStyle w:val="FootnoteReference"/>
        </w:rPr>
        <w:footnoteRef/>
      </w:r>
      <w:r>
        <w:t xml:space="preserve"> </w:t>
      </w:r>
      <w:r>
        <w:tab/>
        <w:t>Essential Energy, Revised regulatory proposal – Attachment 7.6: Productivity, January 2015, p. 3.</w:t>
      </w:r>
    </w:p>
  </w:footnote>
  <w:footnote w:id="509">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37–43.</w:t>
      </w:r>
    </w:p>
  </w:footnote>
  <w:footnote w:id="510">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40.</w:t>
      </w:r>
    </w:p>
  </w:footnote>
  <w:footnote w:id="511">
    <w:p w:rsidR="00223658" w:rsidRDefault="00223658" w:rsidP="00051BDB">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41.</w:t>
      </w:r>
    </w:p>
  </w:footnote>
  <w:footnote w:id="512">
    <w:p w:rsidR="00223658" w:rsidRDefault="00223658" w:rsidP="00051BDB">
      <w:pPr>
        <w:pStyle w:val="FootnoteText"/>
      </w:pPr>
      <w:r>
        <w:rPr>
          <w:rStyle w:val="FootnoteReference"/>
        </w:rPr>
        <w:footnoteRef/>
      </w:r>
      <w:r>
        <w:t xml:space="preserve"> </w:t>
      </w:r>
      <w:r>
        <w:tab/>
        <w:t xml:space="preserve">Essential Energy, </w:t>
      </w:r>
      <w:r w:rsidRPr="00EE6F12">
        <w:rPr>
          <w:rStyle w:val="AERtextitalic"/>
        </w:rPr>
        <w:t>Regulatory Proposal: Attachment E.1</w:t>
      </w:r>
      <w:r>
        <w:t>.</w:t>
      </w:r>
    </w:p>
  </w:footnote>
  <w:footnote w:id="513">
    <w:p w:rsidR="00223658" w:rsidRDefault="00223658" w:rsidP="00051BDB">
      <w:pPr>
        <w:pStyle w:val="FootnoteText"/>
        <w:ind w:left="0" w:firstLine="0"/>
      </w:pPr>
      <w:r>
        <w:rPr>
          <w:rStyle w:val="FootnoteReference"/>
        </w:rPr>
        <w:footnoteRef/>
      </w:r>
      <w:r>
        <w:t xml:space="preserve"> </w:t>
      </w:r>
      <w:r>
        <w:tab/>
        <w:t>Essential Energy, Revised regulatory proposal – Attachment 7.10: Response to AER decision on vegetation management expenditure, January 2015; Essential Energy, Revised regulatory proposal, January 2015, pp. 200–201; Advisian,</w:t>
      </w:r>
      <w:r w:rsidRPr="006E6AC9">
        <w:t xml:space="preserve"> Review of AER Benchmarking, January 2015</w:t>
      </w:r>
      <w:r>
        <w:t>, p. 72.</w:t>
      </w:r>
    </w:p>
  </w:footnote>
  <w:footnote w:id="514">
    <w:p w:rsidR="00223658" w:rsidRDefault="00223658" w:rsidP="00051BDB">
      <w:pPr>
        <w:pStyle w:val="FootnoteText"/>
      </w:pPr>
      <w:r>
        <w:rPr>
          <w:rStyle w:val="FootnoteReference"/>
        </w:rPr>
        <w:footnoteRef/>
      </w:r>
      <w:r>
        <w:t xml:space="preserve"> </w:t>
      </w:r>
      <w:r>
        <w:tab/>
        <w:t>Essential Energy, Regulatory proposal, May 2014, p. 73.</w:t>
      </w:r>
    </w:p>
  </w:footnote>
  <w:footnote w:id="515">
    <w:p w:rsidR="00223658" w:rsidRDefault="00223658" w:rsidP="00051BDB">
      <w:pPr>
        <w:pStyle w:val="FootnoteText"/>
      </w:pPr>
      <w:r>
        <w:rPr>
          <w:rStyle w:val="FootnoteReference"/>
        </w:rPr>
        <w:footnoteRef/>
      </w:r>
      <w:r>
        <w:t xml:space="preserve"> </w:t>
      </w:r>
      <w:r>
        <w:tab/>
        <w:t xml:space="preserve">Essential Energy, </w:t>
      </w:r>
      <w:r w:rsidRPr="00C76BF6">
        <w:rPr>
          <w:rStyle w:val="AERtextitalic"/>
        </w:rPr>
        <w:t>Vegetation Management Strategy and Implementation Plan for Additional Expenditure – FY 2013 to 14</w:t>
      </w:r>
      <w:r>
        <w:t>, February 2013, p. 13.</w:t>
      </w:r>
    </w:p>
  </w:footnote>
  <w:footnote w:id="516">
    <w:p w:rsidR="00223658" w:rsidRDefault="00223658" w:rsidP="00051BDB">
      <w:pPr>
        <w:pStyle w:val="FootnoteText"/>
      </w:pPr>
      <w:r>
        <w:rPr>
          <w:rStyle w:val="FootnoteReference"/>
        </w:rPr>
        <w:footnoteRef/>
      </w:r>
      <w:r>
        <w:t xml:space="preserve"> </w:t>
      </w:r>
      <w:r>
        <w:tab/>
        <w:t xml:space="preserve">Select Solutions, </w:t>
      </w:r>
      <w:r w:rsidRPr="00C76BF6">
        <w:rPr>
          <w:rStyle w:val="AERtextitalic"/>
        </w:rPr>
        <w:t>Review of Essential Energy Vegetation Management Strategy–Final Report</w:t>
      </w:r>
      <w:r>
        <w:t>, 22 March 2013, pp. 15</w:t>
      </w:r>
      <w:r>
        <w:rPr>
          <w:rFonts w:cs="Gautami"/>
        </w:rPr>
        <w:t>–</w:t>
      </w:r>
      <w:r>
        <w:t>16.</w:t>
      </w:r>
    </w:p>
  </w:footnote>
  <w:footnote w:id="517">
    <w:p w:rsidR="00223658" w:rsidRDefault="00223658" w:rsidP="00051BDB">
      <w:pPr>
        <w:pStyle w:val="FootnoteText"/>
      </w:pPr>
      <w:r>
        <w:rPr>
          <w:rStyle w:val="FootnoteReference"/>
        </w:rPr>
        <w:footnoteRef/>
      </w:r>
      <w:r>
        <w:t xml:space="preserve"> </w:t>
      </w:r>
      <w:r>
        <w:tab/>
        <w:t>Essential Energy, Revised regulatory proposal – Attachment 7.10: Response to AER decision on vegetation management expenditure, January 2015, pp. 5–6.</w:t>
      </w:r>
    </w:p>
  </w:footnote>
  <w:footnote w:id="518">
    <w:p w:rsidR="00223658" w:rsidRDefault="00223658" w:rsidP="00051BDB">
      <w:pPr>
        <w:pStyle w:val="FootnoteText"/>
      </w:pPr>
      <w:r>
        <w:rPr>
          <w:rStyle w:val="FootnoteReference"/>
        </w:rPr>
        <w:footnoteRef/>
      </w:r>
      <w:r>
        <w:t xml:space="preserve"> </w:t>
      </w:r>
      <w:r>
        <w:tab/>
        <w:t>Essential Energy, Revised regulatory proposal, January 2015, p. 189, Endeavour Energy, Revised regulatory proposal, January 2015, pp. 176–177; Ausgrid, Revised regulatory proposal, January 2015, p.149; Advisian,</w:t>
      </w:r>
      <w:r w:rsidRPr="006E6AC9">
        <w:t xml:space="preserve"> </w:t>
      </w:r>
      <w:r w:rsidRPr="00D0312A">
        <w:rPr>
          <w:rStyle w:val="AERtextitalic"/>
        </w:rPr>
        <w:t>Review of AER Benchmarking</w:t>
      </w:r>
      <w:r w:rsidRPr="006E6AC9">
        <w:t>, January 2015</w:t>
      </w:r>
      <w:r>
        <w:t>, p. 4.</w:t>
      </w:r>
    </w:p>
  </w:footnote>
  <w:footnote w:id="519">
    <w:p w:rsidR="00223658" w:rsidRDefault="00223658" w:rsidP="00051BDB">
      <w:pPr>
        <w:pStyle w:val="FootnoteText"/>
      </w:pPr>
      <w:r>
        <w:rPr>
          <w:rStyle w:val="FootnoteReference"/>
        </w:rPr>
        <w:footnoteRef/>
      </w:r>
      <w:r>
        <w:t xml:space="preserve"> </w:t>
      </w:r>
      <w:r>
        <w:tab/>
        <w:t>AER, Draft Decision NSW distribution network service providers, November 2014, section A.4.3.</w:t>
      </w:r>
    </w:p>
  </w:footnote>
  <w:footnote w:id="520">
    <w:p w:rsidR="00223658" w:rsidRDefault="00223658" w:rsidP="00051BDB">
      <w:pPr>
        <w:pStyle w:val="FootnoteText"/>
      </w:pPr>
      <w:r>
        <w:rPr>
          <w:rStyle w:val="FootnoteReference"/>
        </w:rPr>
        <w:footnoteRef/>
      </w:r>
      <w:r>
        <w:t xml:space="preserve"> </w:t>
      </w:r>
      <w:r>
        <w:tab/>
        <w:t>Ausgrid, Revised regulatory proposal, January 2015, pp.164–167 ; Essential Energy, Revised regulatory proposal, January 2015, pp. 201–203.</w:t>
      </w:r>
    </w:p>
  </w:footnote>
  <w:footnote w:id="521">
    <w:p w:rsidR="00223658" w:rsidRDefault="00223658" w:rsidP="00051BDB">
      <w:pPr>
        <w:pStyle w:val="FootnoteText"/>
      </w:pPr>
      <w:r>
        <w:rPr>
          <w:rStyle w:val="FootnoteReference"/>
        </w:rPr>
        <w:footnoteRef/>
      </w:r>
      <w:r>
        <w:t xml:space="preserve"> </w:t>
      </w:r>
      <w:r>
        <w:tab/>
        <w:t xml:space="preserve">Essential Energy, Revised regulatory proposal –Attachment 6.4 corporate overhead and divisional network overhead, January 2015, pp. 3–4; </w:t>
      </w:r>
    </w:p>
  </w:footnote>
  <w:footnote w:id="522">
    <w:p w:rsidR="00223658" w:rsidRDefault="00223658" w:rsidP="00051BDB">
      <w:pPr>
        <w:pStyle w:val="FootnoteText"/>
      </w:pPr>
      <w:r>
        <w:rPr>
          <w:rStyle w:val="FootnoteReference"/>
        </w:rPr>
        <w:footnoteRef/>
      </w:r>
      <w:r>
        <w:t xml:space="preserve"> </w:t>
      </w:r>
      <w:r>
        <w:tab/>
        <w:t>Ausgrid, Revised regulatory proposal, January 2015, p. 166.</w:t>
      </w:r>
    </w:p>
  </w:footnote>
  <w:footnote w:id="523">
    <w:p w:rsidR="00223658" w:rsidRDefault="00223658" w:rsidP="00051BDB">
      <w:pPr>
        <w:pStyle w:val="FootnoteText"/>
      </w:pPr>
      <w:r>
        <w:rPr>
          <w:rStyle w:val="FootnoteReference"/>
        </w:rPr>
        <w:footnoteRef/>
      </w:r>
      <w:r>
        <w:t xml:space="preserve"> </w:t>
      </w:r>
      <w:r>
        <w:tab/>
        <w:t>Ausgrid, Revised regulatory proposal, January 2015, pp. 166–167; Endeavour Energy, Revised regulatory proposal, pp. 187–188; Endeavour Energy, Revised regulatory proposal: Attachment 6.04 Response to AER on vegetation management costs, January 2015, pp. 10–12.</w:t>
      </w:r>
    </w:p>
  </w:footnote>
  <w:footnote w:id="524">
    <w:p w:rsidR="00223658" w:rsidRDefault="00223658" w:rsidP="00051BDB">
      <w:pPr>
        <w:pStyle w:val="FootnoteText"/>
      </w:pPr>
      <w:r>
        <w:rPr>
          <w:rStyle w:val="FootnoteReference"/>
        </w:rPr>
        <w:footnoteRef/>
      </w:r>
      <w:r>
        <w:t xml:space="preserve"> </w:t>
      </w:r>
      <w:r>
        <w:tab/>
        <w:t>Ernst &amp; Young, Briefing paper: RIN data review, February 2015, pp. 6–7.</w:t>
      </w:r>
    </w:p>
  </w:footnote>
  <w:footnote w:id="525">
    <w:p w:rsidR="00223658" w:rsidRDefault="00223658" w:rsidP="00051BDB">
      <w:pPr>
        <w:pStyle w:val="FootnoteText"/>
      </w:pPr>
      <w:r>
        <w:rPr>
          <w:rStyle w:val="FootnoteReference"/>
        </w:rPr>
        <w:footnoteRef/>
      </w:r>
      <w:r>
        <w:t xml:space="preserve"> </w:t>
      </w:r>
      <w:r>
        <w:tab/>
        <w:t>VBRC, vol 2, chapter 4, pp. 159–164.</w:t>
      </w:r>
    </w:p>
  </w:footnote>
  <w:footnote w:id="526">
    <w:p w:rsidR="00223658" w:rsidRDefault="00223658" w:rsidP="00051BDB">
      <w:pPr>
        <w:pStyle w:val="FootnoteText"/>
      </w:pPr>
      <w:r>
        <w:rPr>
          <w:rStyle w:val="FootnoteReference"/>
        </w:rPr>
        <w:footnoteRef/>
      </w:r>
      <w:r>
        <w:t xml:space="preserve"> </w:t>
      </w:r>
      <w:r>
        <w:tab/>
        <w:t>Essential Energy, Revised proposal attachment 7.4, pp. 49–50.</w:t>
      </w:r>
    </w:p>
  </w:footnote>
  <w:footnote w:id="527">
    <w:p w:rsidR="00223658" w:rsidRDefault="00223658" w:rsidP="00051BDB">
      <w:pPr>
        <w:pStyle w:val="FootnoteText"/>
      </w:pPr>
      <w:r>
        <w:rPr>
          <w:rStyle w:val="FootnoteReference"/>
        </w:rPr>
        <w:footnoteRef/>
      </w:r>
      <w:r>
        <w:t xml:space="preserve"> </w:t>
      </w:r>
      <w:r>
        <w:tab/>
        <w:t>Essential Energy, Revised proposal attachment 7.4, pp. 50–51.</w:t>
      </w:r>
    </w:p>
  </w:footnote>
  <w:footnote w:id="528">
    <w:p w:rsidR="00223658" w:rsidRDefault="00223658" w:rsidP="00051BDB">
      <w:pPr>
        <w:pStyle w:val="FootnoteText"/>
      </w:pPr>
      <w:r>
        <w:rPr>
          <w:rStyle w:val="FootnoteReference"/>
        </w:rPr>
        <w:footnoteRef/>
      </w:r>
      <w:r>
        <w:t xml:space="preserve"> </w:t>
      </w:r>
      <w:r>
        <w:tab/>
        <w:t>Ausgrid, Revised regulatory proposal, January 2015, pp. 153–155, 161; Endeavour Energy, Revised regulatory proposal, January 2015, p. 181; Essential Energy, Revised regulatory proposal, January 2015, pp. 193–194.</w:t>
      </w:r>
    </w:p>
  </w:footnote>
  <w:footnote w:id="529">
    <w:p w:rsidR="00223658" w:rsidRDefault="00223658" w:rsidP="00051BDB">
      <w:pPr>
        <w:pStyle w:val="FootnoteText"/>
      </w:pPr>
      <w:r>
        <w:rPr>
          <w:rStyle w:val="FootnoteReference"/>
        </w:rPr>
        <w:footnoteRef/>
      </w:r>
      <w:r>
        <w:t xml:space="preserve"> </w:t>
      </w:r>
      <w:r>
        <w:tab/>
        <w:t>AER, Draft Decision NSW distribution network service providers, November 2014, section A.4.1.</w:t>
      </w:r>
    </w:p>
  </w:footnote>
  <w:footnote w:id="530">
    <w:p w:rsidR="00223658" w:rsidRDefault="00223658" w:rsidP="00051BDB">
      <w:pPr>
        <w:pStyle w:val="FootnoteText"/>
      </w:pPr>
      <w:r>
        <w:rPr>
          <w:rStyle w:val="FootnoteReference"/>
        </w:rPr>
        <w:footnoteRef/>
      </w:r>
      <w:r>
        <w:t xml:space="preserve"> </w:t>
      </w:r>
      <w:r>
        <w:tab/>
        <w:t>Ausgrid, Revised regulatory proposal, January 2015, p. 153.</w:t>
      </w:r>
    </w:p>
  </w:footnote>
  <w:footnote w:id="531">
    <w:p w:rsidR="00223658" w:rsidRDefault="00223658" w:rsidP="00051BDB">
      <w:pPr>
        <w:pStyle w:val="FootnoteText"/>
      </w:pPr>
      <w:r>
        <w:rPr>
          <w:rStyle w:val="FootnoteReference"/>
        </w:rPr>
        <w:footnoteRef/>
      </w:r>
      <w:r>
        <w:t xml:space="preserve"> </w:t>
      </w:r>
      <w:r>
        <w:tab/>
        <w:t>Ausgrid, Revised regulatory proposal, January 2015, p. 154.</w:t>
      </w:r>
    </w:p>
  </w:footnote>
  <w:footnote w:id="532">
    <w:p w:rsidR="00223658" w:rsidRDefault="00223658" w:rsidP="00051BDB">
      <w:pPr>
        <w:pStyle w:val="FootnoteText"/>
      </w:pPr>
      <w:r>
        <w:rPr>
          <w:rStyle w:val="FootnoteReference"/>
        </w:rPr>
        <w:footnoteRef/>
      </w:r>
      <w:r>
        <w:t xml:space="preserve"> </w:t>
      </w:r>
      <w:r>
        <w:tab/>
        <w:t>Ausgrid, Revised regulatory proposal, January 2015, p. 155.</w:t>
      </w:r>
    </w:p>
  </w:footnote>
  <w:footnote w:id="533">
    <w:p w:rsidR="00223658" w:rsidRDefault="00223658" w:rsidP="00051BDB">
      <w:pPr>
        <w:pStyle w:val="FootnoteText"/>
      </w:pPr>
      <w:r>
        <w:rPr>
          <w:rStyle w:val="FootnoteReference"/>
        </w:rPr>
        <w:footnoteRef/>
      </w:r>
      <w:r>
        <w:t xml:space="preserve"> </w:t>
      </w:r>
      <w:r>
        <w:tab/>
        <w:t>Ausgrid, Revised regulatory proposal, January 2015, p. 155.</w:t>
      </w:r>
    </w:p>
  </w:footnote>
  <w:footnote w:id="534">
    <w:p w:rsidR="00223658" w:rsidRDefault="00223658" w:rsidP="00051BDB">
      <w:pPr>
        <w:pStyle w:val="FootnoteText"/>
      </w:pPr>
      <w:r>
        <w:rPr>
          <w:rStyle w:val="FootnoteReference"/>
        </w:rPr>
        <w:footnoteRef/>
      </w:r>
      <w:r>
        <w:t xml:space="preserve"> </w:t>
      </w:r>
      <w:r>
        <w:tab/>
        <w:t xml:space="preserve">AER, </w:t>
      </w:r>
      <w:r w:rsidRPr="00CB27DF">
        <w:rPr>
          <w:rStyle w:val="AERtextitalic"/>
        </w:rPr>
        <w:t>Better regulation: Expenditure forecast assessment guideline for electricity distribution</w:t>
      </w:r>
      <w:r>
        <w:t>, November 2013, p. 11.</w:t>
      </w:r>
    </w:p>
  </w:footnote>
  <w:footnote w:id="535">
    <w:p w:rsidR="00223658" w:rsidRDefault="00223658" w:rsidP="00051BDB">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Australian Competition Tribunal has endorsed this approach and indicated a similar preference: see for example </w:t>
      </w:r>
      <w:r w:rsidRPr="000D32BC">
        <w:t>Application by Ergon Energy Corporation Limited (Labour Cost Escalators) (No 3) [2010] ACompT 11</w:t>
      </w:r>
      <w:r>
        <w:t xml:space="preserve"> at [61] to [62].</w:t>
      </w:r>
    </w:p>
  </w:footnote>
  <w:footnote w:id="536">
    <w:p w:rsidR="00223658" w:rsidRDefault="00223658" w:rsidP="00051BDB">
      <w:pPr>
        <w:pStyle w:val="FootnoteText"/>
      </w:pPr>
      <w:r>
        <w:rPr>
          <w:rStyle w:val="FootnoteReference"/>
        </w:rPr>
        <w:footnoteRef/>
      </w:r>
      <w:r>
        <w:t xml:space="preserve"> </w:t>
      </w:r>
      <w:r>
        <w:tab/>
        <w:t xml:space="preserve">As discussed in Section </w:t>
      </w:r>
      <w:r>
        <w:rPr>
          <w:rStyle w:val="AERtexthighlight"/>
        </w:rPr>
        <w:fldChar w:fldCharType="begin"/>
      </w:r>
      <w:r>
        <w:instrText xml:space="preserve"> REF _Ref416803943 \n \h </w:instrText>
      </w:r>
      <w:r>
        <w:rPr>
          <w:rStyle w:val="AERtexthighlight"/>
        </w:rPr>
      </w:r>
      <w:r>
        <w:rPr>
          <w:rStyle w:val="AERtexthighlight"/>
        </w:rPr>
        <w:fldChar w:fldCharType="separate"/>
      </w:r>
      <w:r>
        <w:t>A.7</w:t>
      </w:r>
      <w:r>
        <w:rPr>
          <w:rStyle w:val="AERtexthighlight"/>
        </w:rPr>
        <w:fldChar w:fldCharType="end"/>
      </w:r>
      <w:r>
        <w:t>, we consider Endeavour Energy's revealed opex may be an appropriate basis for forecasting opex over the 2014–19 period.</w:t>
      </w:r>
    </w:p>
  </w:footnote>
  <w:footnote w:id="537">
    <w:p w:rsidR="00223658" w:rsidRDefault="00223658" w:rsidP="00051BDB">
      <w:pPr>
        <w:pStyle w:val="FootnoteText"/>
      </w:pPr>
      <w:r>
        <w:rPr>
          <w:rStyle w:val="FootnoteReference"/>
        </w:rPr>
        <w:footnoteRef/>
      </w:r>
      <w:r>
        <w:t xml:space="preserve"> </w:t>
      </w:r>
      <w:r>
        <w:tab/>
        <w:t>Consumer challenge panel, Submission to AER responding to NSW draft determination and revised proposals, February 2015, p. 55; AGL, Submission on NSW DNSPs draft decisions, February 2015, p. 2; Energy Markets Reform Forum, Submission to the AER draft decision and revised proposals from Ausgrid, Endeavour Energy and Essential Energy, February 2015, p. 54; Energy Retailers Association of Australia, Submission on NSW electricity distribution draft determinations 2014-2015 to 2018-19, February 2015, p.2; NSW  Irrigators' Council, Submission - Draft decision - Essential Energy distribution determination (2015-16 to 2018-19), February 2015, p. 8; Origin, Submission to AER draft determination for NSW electricity distributors, February 2015, p. 6; Public Interest Advocacy Centre, Submission to the Australian Energy Regulator's draft determination for Ausgrid, Endeavour Energy and Essential Energy, February 2015, pp. 27–28.</w:t>
      </w:r>
    </w:p>
  </w:footnote>
  <w:footnote w:id="538">
    <w:p w:rsidR="00223658" w:rsidRDefault="00223658" w:rsidP="00051BDB">
      <w:pPr>
        <w:pStyle w:val="FootnoteText"/>
      </w:pPr>
      <w:r>
        <w:rPr>
          <w:rStyle w:val="FootnoteReference"/>
        </w:rPr>
        <w:footnoteRef/>
      </w:r>
      <w:r>
        <w:t xml:space="preserve"> </w:t>
      </w:r>
      <w:r>
        <w:tab/>
        <w:t>Ausgrid, Revised regulatory proposal, January 2015, p. 154; Essential Energy, Revised regulatory proposal, January 2015, p. 173.</w:t>
      </w:r>
    </w:p>
  </w:footnote>
  <w:footnote w:id="539">
    <w:p w:rsidR="00223658" w:rsidRDefault="00223658" w:rsidP="00051BDB">
      <w:pPr>
        <w:pStyle w:val="FootnoteText"/>
      </w:pPr>
      <w:r>
        <w:rPr>
          <w:rStyle w:val="FootnoteReference"/>
        </w:rPr>
        <w:footnoteRef/>
      </w:r>
      <w:r>
        <w:t xml:space="preserve"> </w:t>
      </w:r>
      <w:r>
        <w:tab/>
        <w:t>Essential Energy, Revised regulatory proposal, January 2015, p. 173.</w:t>
      </w:r>
    </w:p>
  </w:footnote>
  <w:footnote w:id="540">
    <w:p w:rsidR="00223658" w:rsidRDefault="00223658" w:rsidP="00051BDB">
      <w:pPr>
        <w:pStyle w:val="FootnoteText"/>
      </w:pPr>
      <w:r>
        <w:rPr>
          <w:rStyle w:val="FootnoteReference"/>
        </w:rPr>
        <w:footnoteRef/>
      </w:r>
      <w:r>
        <w:t xml:space="preserve"> </w:t>
      </w:r>
      <w:r>
        <w:tab/>
        <w:t>Ausgrid, Revised regulatory proposal, January 2015, p. 154</w:t>
      </w:r>
    </w:p>
  </w:footnote>
  <w:footnote w:id="541">
    <w:p w:rsidR="00223658" w:rsidRDefault="00223658" w:rsidP="00051BDB">
      <w:pPr>
        <w:pStyle w:val="FootnoteText"/>
      </w:pPr>
      <w:r>
        <w:rPr>
          <w:rStyle w:val="FootnoteReference"/>
        </w:rPr>
        <w:footnoteRef/>
      </w:r>
      <w:r>
        <w:t xml:space="preserve"> </w:t>
      </w:r>
      <w:r>
        <w:tab/>
        <w:t>Endeavour Energy, Revised Regulatory Proposal Attachment 6.01, p. 16–17.</w:t>
      </w:r>
    </w:p>
  </w:footnote>
  <w:footnote w:id="542">
    <w:p w:rsidR="00223658" w:rsidRDefault="00223658" w:rsidP="00051BDB">
      <w:pPr>
        <w:pStyle w:val="FootnoteText"/>
      </w:pPr>
      <w:r>
        <w:rPr>
          <w:rStyle w:val="FootnoteReference"/>
        </w:rPr>
        <w:footnoteRef/>
      </w:r>
      <w:r>
        <w:t xml:space="preserve"> </w:t>
      </w:r>
      <w:r>
        <w:tab/>
        <w:t xml:space="preserve">Deloitte has not has not changed its view from its 2014 report that Ausgrid 'arguably relied too heavily on internal labour resources', which is evidence their base year was not efficient. 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34.</w:t>
      </w:r>
    </w:p>
  </w:footnote>
  <w:footnote w:id="543">
    <w:p w:rsidR="00223658" w:rsidRDefault="00223658" w:rsidP="00051BDB">
      <w:pPr>
        <w:pStyle w:val="FootnoteText"/>
      </w:pPr>
      <w:r>
        <w:rPr>
          <w:rStyle w:val="FootnoteReference"/>
        </w:rPr>
        <w:footnoteRef/>
      </w:r>
      <w:r>
        <w:t xml:space="preserve"> </w:t>
      </w:r>
      <w:r>
        <w:tab/>
      </w:r>
      <w:r w:rsidRPr="00BE4FE8">
        <w:t xml:space="preserve">Deloitte Access Economics, NSW Distribution Network Service Providers Labour Analysis, </w:t>
      </w:r>
      <w:r>
        <w:t>November</w:t>
      </w:r>
      <w:r w:rsidRPr="00BE4FE8">
        <w:t xml:space="preserve"> 2014</w:t>
      </w:r>
      <w:r>
        <w:t xml:space="preserve">, p. 31; 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vi.</w:t>
      </w:r>
    </w:p>
  </w:footnote>
  <w:footnote w:id="544">
    <w:p w:rsidR="00223658" w:rsidRDefault="00223658" w:rsidP="00051BDB">
      <w:pPr>
        <w:pStyle w:val="FootnoteText"/>
      </w:pPr>
      <w:r>
        <w:rPr>
          <w:rStyle w:val="FootnoteReference"/>
        </w:rPr>
        <w:footnoteRef/>
      </w:r>
      <w:r>
        <w:t xml:space="preserve"> </w:t>
      </w:r>
      <w:r>
        <w:tab/>
        <w:t>Ausgrid, Revised regulatory proposal, January 2015, p. 161; Endeavour Energy, Revised regulatory proposal, January 2015, p. 181; Essential Energy, Revised regulatory proposal, January 2015, pp. 193–194.</w:t>
      </w:r>
    </w:p>
  </w:footnote>
  <w:footnote w:id="545">
    <w:p w:rsidR="00223658" w:rsidRDefault="00223658" w:rsidP="00051BDB">
      <w:pPr>
        <w:pStyle w:val="FootnoteText"/>
        <w:tabs>
          <w:tab w:val="left" w:pos="2661"/>
        </w:tabs>
      </w:pPr>
      <w:r>
        <w:rPr>
          <w:rStyle w:val="FootnoteReference"/>
        </w:rPr>
        <w:footnoteRef/>
      </w:r>
      <w:r>
        <w:t xml:space="preserve"> </w:t>
      </w:r>
      <w:r>
        <w:tab/>
        <w:t>NEL, section 2D.</w:t>
      </w:r>
    </w:p>
  </w:footnote>
  <w:footnote w:id="546">
    <w:p w:rsidR="00223658" w:rsidRDefault="00223658" w:rsidP="00051BDB">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547">
    <w:p w:rsidR="00223658" w:rsidRDefault="00223658" w:rsidP="00051BDB">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548">
    <w:p w:rsidR="00223658" w:rsidRDefault="00223658" w:rsidP="00051BDB">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 113.</w:t>
      </w:r>
    </w:p>
  </w:footnote>
  <w:footnote w:id="549">
    <w:p w:rsidR="00223658" w:rsidRDefault="00223658" w:rsidP="00051BDB">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pp 107-108.</w:t>
      </w:r>
    </w:p>
  </w:footnote>
  <w:footnote w:id="550">
    <w:p w:rsidR="00223658" w:rsidRDefault="00223658" w:rsidP="00051BDB">
      <w:pPr>
        <w:pStyle w:val="FootnoteText"/>
      </w:pPr>
      <w:r>
        <w:rPr>
          <w:rStyle w:val="FootnoteReference"/>
        </w:rPr>
        <w:footnoteRef/>
      </w:r>
      <w:r>
        <w:t xml:space="preserve"> </w:t>
      </w:r>
      <w:r>
        <w:tab/>
        <w:t>Ausgrid, Revised Regulatory Proposal, 20 January 2015, p. 129.</w:t>
      </w:r>
    </w:p>
  </w:footnote>
  <w:footnote w:id="551">
    <w:p w:rsidR="00223658" w:rsidRDefault="00223658" w:rsidP="00051BDB">
      <w:pPr>
        <w:pStyle w:val="FootnoteText"/>
      </w:pPr>
      <w:r>
        <w:rPr>
          <w:rStyle w:val="FootnoteReference"/>
        </w:rPr>
        <w:footnoteRef/>
      </w:r>
      <w:r>
        <w:t xml:space="preserve"> </w:t>
      </w:r>
      <w:r>
        <w:tab/>
        <w:t>Endeavour Energy, Revised Regulatory Proposal, 20 January 2015, p. .</w:t>
      </w:r>
    </w:p>
  </w:footnote>
  <w:footnote w:id="552">
    <w:p w:rsidR="00223658" w:rsidRDefault="00223658" w:rsidP="00051BDB">
      <w:pPr>
        <w:pStyle w:val="FootnoteText"/>
      </w:pPr>
      <w:r>
        <w:rPr>
          <w:rStyle w:val="FootnoteReference"/>
        </w:rPr>
        <w:footnoteRef/>
      </w:r>
      <w:r>
        <w:t xml:space="preserve"> </w:t>
      </w:r>
      <w:r>
        <w:tab/>
        <w:t>Essential Energy, Revised Regulatory Proposal, 20 January 2015, p. 168.</w:t>
      </w:r>
    </w:p>
  </w:footnote>
  <w:footnote w:id="553">
    <w:p w:rsidR="00223658" w:rsidRDefault="00223658" w:rsidP="00051BDB">
      <w:pPr>
        <w:pStyle w:val="FootnoteText"/>
      </w:pPr>
      <w:r>
        <w:rPr>
          <w:rStyle w:val="FootnoteReference"/>
        </w:rPr>
        <w:footnoteRef/>
      </w:r>
      <w:r>
        <w:t xml:space="preserve"> </w:t>
      </w:r>
      <w:r>
        <w:tab/>
        <w:t>ActewAGL, Revised Regulatory Proposal, 20 January 2015, p. 159.</w:t>
      </w:r>
    </w:p>
  </w:footnote>
  <w:footnote w:id="554">
    <w:p w:rsidR="00223658" w:rsidRDefault="00223658" w:rsidP="00051BDB">
      <w:pPr>
        <w:pStyle w:val="FootnoteText"/>
      </w:pPr>
      <w:r>
        <w:rPr>
          <w:rStyle w:val="FootnoteReference"/>
        </w:rPr>
        <w:footnoteRef/>
      </w:r>
      <w:r>
        <w:t xml:space="preserve"> </w:t>
      </w:r>
      <w:r>
        <w:tab/>
        <w:t>The comparison firms are all service providers that score equal to or above the benchmark comparison point on Economic Insights' Cobb Douglas SFA benchmarking model, which is our preferred economic benchmarking method.</w:t>
      </w:r>
    </w:p>
  </w:footnote>
  <w:footnote w:id="555">
    <w:p w:rsidR="00223658" w:rsidRDefault="00223658" w:rsidP="00051BDB">
      <w:pPr>
        <w:pStyle w:val="FootnoteText"/>
      </w:pPr>
      <w:r>
        <w:rPr>
          <w:rStyle w:val="FootnoteReference"/>
        </w:rPr>
        <w:footnoteRef/>
      </w:r>
      <w:r>
        <w:t xml:space="preserve"> </w:t>
      </w:r>
      <w:r>
        <w:tab/>
      </w:r>
      <w:r>
        <w:rPr>
          <w:rStyle w:val="AERtextsize8"/>
        </w:rPr>
        <w:t>Our OEF criteria, Exogeneity, materiality, and duplication, are explained in detail in our section on our approach to OEFs. Total do not sum due to rounding.</w:t>
      </w:r>
    </w:p>
  </w:footnote>
  <w:footnote w:id="556">
    <w:p w:rsidR="00223658" w:rsidRDefault="00223658" w:rsidP="00051BDB">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557">
    <w:p w:rsidR="00223658" w:rsidRDefault="00223658" w:rsidP="00051BDB">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558">
    <w:p w:rsidR="00223658" w:rsidRDefault="00223658" w:rsidP="00051BDB">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559">
    <w:p w:rsidR="00223658" w:rsidRDefault="00223658" w:rsidP="00051BDB">
      <w:pPr>
        <w:pStyle w:val="FootnoteText"/>
      </w:pPr>
      <w:r>
        <w:rPr>
          <w:rStyle w:val="FootnoteReference"/>
        </w:rPr>
        <w:footnoteRef/>
      </w:r>
      <w:r>
        <w:t xml:space="preserve"> </w:t>
      </w:r>
      <w:r>
        <w:tab/>
      </w:r>
      <w:r w:rsidRPr="00133A1B">
        <w:t>We have treated any OEF that will increase a service provider's opex by 0.5 per cent or more, relative to other service providers, as material. We chose 0.5 per cent as the materiality threshold because this is the materiality threshold we used in the Economic Benchmarking RIN. The materiality threshold relates to differences between the previous cost allocation method (CAM) and the current CAM. If service providers' current CAMs lead to material differences in reported opex compared to their past CAM, they are required to backcast their costs using their current CAM. The comparable threshold for preparing financial statements, in AASB 1031: Materiality, is between 10 and 5 per cent.</w:t>
      </w:r>
    </w:p>
  </w:footnote>
  <w:footnote w:id="560">
    <w:p w:rsidR="00223658" w:rsidRDefault="00223658" w:rsidP="00051BDB">
      <w:pPr>
        <w:pStyle w:val="FootnoteText"/>
      </w:pPr>
      <w:r>
        <w:rPr>
          <w:rStyle w:val="FootnoteReference"/>
        </w:rPr>
        <w:footnoteRef/>
      </w:r>
      <w:r>
        <w:t xml:space="preserve"> </w:t>
      </w:r>
      <w:r>
        <w:tab/>
      </w:r>
      <w:r w:rsidRPr="00133A1B">
        <w:t>We also note that irrelevant OEFs will also be captured by the materiality criterion. Where an OEF is not relevant, for example it does not affect the comparison firms or the service provider being benchmarked, it will not lead to a difference in opex.</w:t>
      </w:r>
    </w:p>
  </w:footnote>
  <w:footnote w:id="561">
    <w:p w:rsidR="00223658" w:rsidRDefault="00223658" w:rsidP="00051BDB">
      <w:pPr>
        <w:pStyle w:val="FootnoteText"/>
      </w:pPr>
      <w:r>
        <w:rPr>
          <w:rStyle w:val="FootnoteReference"/>
        </w:rPr>
        <w:footnoteRef/>
      </w:r>
      <w:r>
        <w:t xml:space="preserve"> </w:t>
      </w:r>
      <w:r>
        <w:tab/>
        <w:t>For example, Economic Insights' SFA model captures the effect of line length on opex by using circuit length as an output variable. In this context, an operating environment adjustment for circuit length would double count the effect of route line length on opex. Another example is that we exclude metering services from our economic benchmarking data. In this case, an operating environment adjustment would remove the metering services from services providers' benchmarked opex twice.</w:t>
      </w:r>
    </w:p>
  </w:footnote>
  <w:footnote w:id="562">
    <w:p w:rsidR="00223658" w:rsidRDefault="00223658" w:rsidP="00051BDB">
      <w:pPr>
        <w:pStyle w:val="FootnoteText"/>
      </w:pPr>
      <w:r>
        <w:rPr>
          <w:rStyle w:val="FootnoteReference"/>
        </w:rPr>
        <w:footnoteRef/>
      </w:r>
      <w:r>
        <w:t xml:space="preserve"> </w:t>
      </w:r>
      <w:r>
        <w:tab/>
        <w:t>We also note that the SFA model uses dummy variables that account for all systematic differences in operating environments between the Australian and overseas service providers.</w:t>
      </w:r>
    </w:p>
  </w:footnote>
  <w:footnote w:id="563">
    <w:p w:rsidR="00223658" w:rsidRDefault="00223658" w:rsidP="00051BDB">
      <w:pPr>
        <w:pStyle w:val="FootnoteText"/>
      </w:pPr>
      <w:r>
        <w:rPr>
          <w:rStyle w:val="FootnoteReference"/>
        </w:rPr>
        <w:footnoteRef/>
      </w:r>
      <w:r>
        <w:t xml:space="preserve"> Totals do not reconcile due to rounding.</w:t>
      </w:r>
    </w:p>
  </w:footnote>
  <w:footnote w:id="564">
    <w:p w:rsidR="00223658" w:rsidRDefault="00223658" w:rsidP="00051BDB">
      <w:pPr>
        <w:pStyle w:val="FootnoteText"/>
      </w:pPr>
      <w:r>
        <w:rPr>
          <w:rStyle w:val="FootnoteReference"/>
        </w:rPr>
        <w:footnoteRef/>
      </w:r>
      <w:r>
        <w:t xml:space="preserve"> </w:t>
      </w:r>
      <w:r>
        <w:tab/>
        <w:t>In the case that there is no evidence to suggest those costs are efficient.</w:t>
      </w:r>
    </w:p>
  </w:footnote>
  <w:footnote w:id="565">
    <w:p w:rsidR="00223658" w:rsidRDefault="00223658" w:rsidP="00051BDB">
      <w:pPr>
        <w:pStyle w:val="FootnoteText"/>
      </w:pPr>
      <w:r>
        <w:rPr>
          <w:rStyle w:val="FootnoteReference"/>
        </w:rPr>
        <w:footnoteRef/>
      </w:r>
      <w:r>
        <w:t xml:space="preserve"> </w:t>
      </w:r>
      <w:r>
        <w:tab/>
        <w:t>ActewAGL, Revised Proposal, 20 January 2015, pp. 157-158.</w:t>
      </w:r>
    </w:p>
  </w:footnote>
  <w:footnote w:id="566">
    <w:p w:rsidR="00223658" w:rsidRDefault="00223658" w:rsidP="00051BDB">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page 113.</w:t>
      </w:r>
    </w:p>
  </w:footnote>
  <w:footnote w:id="567">
    <w:p w:rsidR="00223658" w:rsidRDefault="00223658" w:rsidP="00051BDB">
      <w:pPr>
        <w:pStyle w:val="FootnoteText"/>
      </w:pPr>
      <w:r>
        <w:rPr>
          <w:rStyle w:val="FootnoteReference"/>
        </w:rPr>
        <w:footnoteRef/>
      </w:r>
      <w:r>
        <w:t xml:space="preserve"> </w:t>
      </w:r>
      <w:r>
        <w:tab/>
        <w:t>ActewAGL, Revised Proposal, 20 January 2015, pp. 160-161.</w:t>
      </w:r>
    </w:p>
  </w:footnote>
  <w:footnote w:id="568">
    <w:p w:rsidR="00223658" w:rsidRDefault="00223658" w:rsidP="00051BDB">
      <w:pPr>
        <w:pStyle w:val="FootnoteText"/>
      </w:pPr>
      <w:r>
        <w:rPr>
          <w:rStyle w:val="FootnoteReference"/>
        </w:rPr>
        <w:footnoteRef/>
      </w:r>
      <w:r>
        <w:t xml:space="preserve"> </w:t>
      </w:r>
      <w:r>
        <w:tab/>
      </w:r>
      <w:r w:rsidRPr="00172543">
        <w:t>Aigner, D.J.</w:t>
      </w:r>
      <w:r>
        <w:t>, C.A.K. Lovell and P. Schmidt</w:t>
      </w:r>
      <w:r w:rsidRPr="00172543">
        <w:t>, Formulation and estimation of stochastic frontier production function models, Journal of Econometrics 6, 21-37</w:t>
      </w:r>
      <w:r>
        <w:t xml:space="preserve">, </w:t>
      </w:r>
      <w:r w:rsidRPr="00172543">
        <w:t>1977</w:t>
      </w:r>
      <w:r>
        <w:t>, p. 25</w:t>
      </w:r>
      <w:r w:rsidRPr="00172543">
        <w:t>.</w:t>
      </w:r>
    </w:p>
  </w:footnote>
  <w:footnote w:id="569">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70">
    <w:p w:rsidR="00223658" w:rsidRDefault="00223658" w:rsidP="00051BDB">
      <w:pPr>
        <w:pStyle w:val="FootnoteText"/>
      </w:pPr>
      <w:r>
        <w:rPr>
          <w:rStyle w:val="FootnoteReference"/>
        </w:rPr>
        <w:footnoteRef/>
      </w:r>
      <w:r>
        <w:t xml:space="preserve"> </w:t>
      </w:r>
      <w:r>
        <w:tab/>
        <w:t xml:space="preserve">Frontier Economics, </w:t>
      </w:r>
      <w:r w:rsidRPr="00B816B6">
        <w:t>Review of AER’s econometric models and their</w:t>
      </w:r>
      <w:r>
        <w:t xml:space="preserve"> </w:t>
      </w:r>
      <w:r w:rsidRPr="00B816B6">
        <w:t>application in the draft determination for Networks NSW</w:t>
      </w:r>
      <w:r>
        <w:t>, January 2015, pp. xviii, 25-38, 91-95, and 98.</w:t>
      </w:r>
    </w:p>
  </w:footnote>
  <w:footnote w:id="571">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52.</w:t>
      </w:r>
    </w:p>
  </w:footnote>
  <w:footnote w:id="572">
    <w:p w:rsidR="00223658" w:rsidRDefault="00223658" w:rsidP="00051BDB">
      <w:pPr>
        <w:pStyle w:val="FootnoteText"/>
      </w:pPr>
      <w:r>
        <w:rPr>
          <w:rStyle w:val="FootnoteReference"/>
        </w:rPr>
        <w:footnoteRef/>
      </w:r>
      <w:r>
        <w:t xml:space="preserve"> </w:t>
      </w:r>
      <w:r>
        <w:tab/>
        <w:t xml:space="preserve">Frontier Economics, </w:t>
      </w:r>
      <w:r w:rsidRPr="002F7790">
        <w:rPr>
          <w:rStyle w:val="AERtextitalic"/>
        </w:rPr>
        <w:t>Review of AER’s econometric models and their application in the draft determination for Networks NSW</w:t>
      </w:r>
      <w:r>
        <w:t>, January 2015, p. 98.</w:t>
      </w:r>
    </w:p>
  </w:footnote>
  <w:footnote w:id="573">
    <w:p w:rsidR="00223658" w:rsidRDefault="00223658" w:rsidP="00051BDB">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page 113.</w:t>
      </w:r>
    </w:p>
  </w:footnote>
  <w:footnote w:id="574">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75">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76">
    <w:p w:rsidR="00223658" w:rsidRDefault="00223658" w:rsidP="00051BDB">
      <w:pPr>
        <w:pStyle w:val="FootnoteText"/>
      </w:pPr>
      <w:r>
        <w:rPr>
          <w:rStyle w:val="FootnoteReference"/>
        </w:rPr>
        <w:footnoteRef/>
      </w:r>
      <w:r>
        <w:t xml:space="preserve"> </w:t>
      </w:r>
      <w:r>
        <w:tab/>
        <w:t>ActewAGL, Response to information request AER065, 31 March 2015, p. 2.</w:t>
      </w:r>
    </w:p>
  </w:footnote>
  <w:footnote w:id="577">
    <w:p w:rsidR="00223658" w:rsidRDefault="00223658" w:rsidP="00051BDB">
      <w:pPr>
        <w:pStyle w:val="FootnoteText"/>
      </w:pPr>
      <w:r>
        <w:rPr>
          <w:rStyle w:val="FootnoteReference"/>
        </w:rPr>
        <w:footnoteRef/>
      </w:r>
      <w:r>
        <w:t xml:space="preserve"> </w:t>
      </w:r>
      <w:r>
        <w:tab/>
        <w:t>ActewAGL, Response to information request AER065, 31 March 2015, p. 2.</w:t>
      </w:r>
    </w:p>
  </w:footnote>
  <w:footnote w:id="578">
    <w:p w:rsidR="00223658" w:rsidRDefault="00223658" w:rsidP="00051BDB">
      <w:pPr>
        <w:pStyle w:val="FootnoteText"/>
      </w:pPr>
      <w:r>
        <w:rPr>
          <w:rStyle w:val="FootnoteReference"/>
        </w:rPr>
        <w:footnoteRef/>
      </w:r>
      <w:r>
        <w:t xml:space="preserve"> </w:t>
      </w:r>
      <w:r>
        <w:tab/>
        <w:t xml:space="preserve">ActewAGL, </w:t>
      </w:r>
      <w:r w:rsidRPr="002F7790">
        <w:rPr>
          <w:rStyle w:val="AERtextitalic"/>
        </w:rPr>
        <w:t>Revised Proposal</w:t>
      </w:r>
      <w:r>
        <w:t>, 20 January 2015 p. 161.</w:t>
      </w:r>
    </w:p>
  </w:footnote>
  <w:footnote w:id="579">
    <w:p w:rsidR="00223658" w:rsidRDefault="00223658" w:rsidP="00051BDB">
      <w:pPr>
        <w:pStyle w:val="FootnoteText"/>
      </w:pPr>
      <w:r>
        <w:rPr>
          <w:rStyle w:val="FootnoteReference"/>
        </w:rPr>
        <w:footnoteRef/>
      </w:r>
      <w:r>
        <w:t xml:space="preserve"> </w:t>
      </w:r>
      <w:r>
        <w:tab/>
        <w:t>Consumer Challenge Panel, Consumer Challenge Panel (CCP2 Panel) Submission on Energex and Ergon Energy Capex and Opex Proposals, 30 January 2015, p. 21-23.</w:t>
      </w:r>
    </w:p>
  </w:footnote>
  <w:footnote w:id="580">
    <w:p w:rsidR="00223658" w:rsidRDefault="00223658" w:rsidP="00051BDB">
      <w:pPr>
        <w:pStyle w:val="FootnoteText"/>
      </w:pPr>
      <w:r>
        <w:rPr>
          <w:rStyle w:val="FootnoteReference"/>
        </w:rPr>
        <w:footnoteRef/>
      </w:r>
      <w:r>
        <w:t xml:space="preserve"> </w:t>
      </w:r>
      <w:r>
        <w:tab/>
        <w:t xml:space="preserve">CEPA, </w:t>
      </w:r>
      <w:r w:rsidR="00555D3B" w:rsidRPr="00555D3B">
        <w:t>Benchmarking and setting efficiency targets for the Australian DNSPs, (</w:t>
      </w:r>
      <w:r w:rsidR="00FE480B">
        <w:t>ActewAGL</w:t>
      </w:r>
      <w:r w:rsidR="00555D3B" w:rsidRPr="00555D3B">
        <w:t>), 2015,</w:t>
      </w:r>
      <w:r>
        <w:t xml:space="preserve"> 19 January 2015, p. 24.</w:t>
      </w:r>
    </w:p>
  </w:footnote>
  <w:footnote w:id="581">
    <w:p w:rsidR="00223658" w:rsidRDefault="00223658" w:rsidP="00051BDB">
      <w:pPr>
        <w:pStyle w:val="FootnoteText"/>
      </w:pPr>
      <w:r>
        <w:rPr>
          <w:rStyle w:val="FootnoteReference"/>
        </w:rPr>
        <w:footnoteRef/>
      </w:r>
      <w:r>
        <w:t xml:space="preserve"> </w:t>
      </w:r>
      <w:r>
        <w:tab/>
        <w:t>Huegin, Huegin's response to draft determination on behalf of NNSW and ActewAGL, 16 January 2014, pp. 45-46.</w:t>
      </w:r>
    </w:p>
  </w:footnote>
  <w:footnote w:id="582">
    <w:p w:rsidR="00223658" w:rsidRDefault="00223658" w:rsidP="00051BDB">
      <w:pPr>
        <w:pStyle w:val="FootnoteText"/>
      </w:pPr>
      <w:r>
        <w:rPr>
          <w:rStyle w:val="FootnoteReference"/>
        </w:rPr>
        <w:footnoteRef/>
      </w:r>
      <w:r>
        <w:t xml:space="preserve"> </w:t>
      </w:r>
      <w:r>
        <w:tab/>
        <w:t>Advisian, Opex Cost Drivers: ActewAGL Distribution Electricity (ACT), 16 January 2015, pp. 36-45.</w:t>
      </w:r>
    </w:p>
  </w:footnote>
  <w:footnote w:id="583">
    <w:p w:rsidR="00223658" w:rsidRDefault="00223658" w:rsidP="00051BDB">
      <w:pPr>
        <w:pStyle w:val="FootnoteText"/>
      </w:pPr>
      <w:r>
        <w:rPr>
          <w:rStyle w:val="FootnoteReference"/>
        </w:rPr>
        <w:footnoteRef/>
      </w:r>
      <w:r>
        <w:t xml:space="preserve"> </w:t>
      </w:r>
      <w:r>
        <w:tab/>
        <w:t>Economic Insights, April 2015, pp. 14-15.</w:t>
      </w:r>
    </w:p>
  </w:footnote>
  <w:footnote w:id="584">
    <w:p w:rsidR="00223658" w:rsidRDefault="00223658" w:rsidP="00051BDB">
      <w:pPr>
        <w:pStyle w:val="FootnoteText"/>
      </w:pPr>
      <w:r>
        <w:rPr>
          <w:rStyle w:val="FootnoteReference"/>
        </w:rPr>
        <w:footnoteRef/>
      </w:r>
      <w:r>
        <w:t xml:space="preserve"> </w:t>
      </w:r>
      <w:r>
        <w:tab/>
        <w:t xml:space="preserve">Power and Water Corporation, About Power and Water, available at: </w:t>
      </w:r>
      <w:hyperlink r:id="rId3" w:history="1">
        <w:r w:rsidRPr="00A032E7">
          <w:rPr>
            <w:rStyle w:val="Hyperlink"/>
            <w:sz w:val="16"/>
          </w:rPr>
          <w:t>https://www.powerwater.com.au/about_power_and_water</w:t>
        </w:r>
      </w:hyperlink>
      <w:r>
        <w:t xml:space="preserve"> [last accessed 9 March 2015].</w:t>
      </w:r>
    </w:p>
  </w:footnote>
  <w:footnote w:id="585">
    <w:p w:rsidR="00223658" w:rsidRDefault="00223658" w:rsidP="00051BDB">
      <w:pPr>
        <w:pStyle w:val="FootnoteText"/>
      </w:pPr>
      <w:r>
        <w:rPr>
          <w:rStyle w:val="FootnoteReference"/>
        </w:rPr>
        <w:footnoteRef/>
      </w:r>
      <w:r>
        <w:t xml:space="preserve"> </w:t>
      </w:r>
      <w:r>
        <w:tab/>
        <w:t xml:space="preserve">Power and Water Corporation, Electricity Map, available at: </w:t>
      </w:r>
      <w:hyperlink r:id="rId4" w:history="1">
        <w:r w:rsidRPr="00A032E7">
          <w:rPr>
            <w:rStyle w:val="Hyperlink"/>
            <w:sz w:val="16"/>
          </w:rPr>
          <w:t>https://www.powerwater.com.au/community_and_education/student_resources/maps/electricity_map</w:t>
        </w:r>
      </w:hyperlink>
      <w:r>
        <w:t xml:space="preserve"> [last accessed 9 March 2015].</w:t>
      </w:r>
    </w:p>
  </w:footnote>
  <w:footnote w:id="586">
    <w:p w:rsidR="00223658" w:rsidRDefault="00223658" w:rsidP="00051BDB">
      <w:pPr>
        <w:pStyle w:val="FootnoteText"/>
      </w:pPr>
      <w:r>
        <w:rPr>
          <w:rStyle w:val="FootnoteReference"/>
        </w:rPr>
        <w:footnoteRef/>
      </w:r>
      <w:r>
        <w:t xml:space="preserve"> </w:t>
      </w:r>
      <w:r>
        <w:tab/>
        <w:t>London Economics International and PowerNex Associates, Customer Density and Distribution Service Costs, 11 November 2011, p. 12.</w:t>
      </w:r>
    </w:p>
  </w:footnote>
  <w:footnote w:id="587">
    <w:p w:rsidR="00223658" w:rsidRDefault="00223658" w:rsidP="00051BDB">
      <w:pPr>
        <w:pStyle w:val="FootnoteText"/>
      </w:pPr>
      <w:r>
        <w:rPr>
          <w:rStyle w:val="FootnoteReference"/>
        </w:rPr>
        <w:footnoteRef/>
      </w:r>
      <w:r>
        <w:t xml:space="preserve"> </w:t>
      </w:r>
      <w:r>
        <w:tab/>
        <w:t>Advisian, Review of AER benchmarking: Networks NSW, 16 January 2015, pp. 41 -42.</w:t>
      </w:r>
    </w:p>
  </w:footnote>
  <w:footnote w:id="588">
    <w:p w:rsidR="00223658" w:rsidRDefault="00223658" w:rsidP="00051BDB">
      <w:pPr>
        <w:pStyle w:val="FootnoteText"/>
      </w:pPr>
      <w:r>
        <w:rPr>
          <w:rStyle w:val="FootnoteReference"/>
        </w:rPr>
        <w:footnoteRef/>
      </w:r>
      <w:r>
        <w:t xml:space="preserve"> </w:t>
      </w:r>
      <w:r>
        <w:tab/>
        <w:t>Advisian, Review of AER benchmarking: Networks NSW, 16 January 2015, p. 43.</w:t>
      </w:r>
    </w:p>
  </w:footnote>
  <w:footnote w:id="589">
    <w:p w:rsidR="00223658" w:rsidRDefault="00223658" w:rsidP="00051BDB">
      <w:pPr>
        <w:pStyle w:val="FootnoteText"/>
      </w:pPr>
      <w:r>
        <w:rPr>
          <w:rStyle w:val="FootnoteReference"/>
        </w:rPr>
        <w:footnoteRef/>
      </w:r>
      <w:r>
        <w:t xml:space="preserve"> </w:t>
      </w:r>
      <w:r>
        <w:tab/>
        <w:t>Advisian, Opex Cost Drivers: ActewAGL Distribution Electricity (ACT), 16 January 2015, p. 48.</w:t>
      </w:r>
    </w:p>
  </w:footnote>
  <w:footnote w:id="590">
    <w:p w:rsidR="00223658" w:rsidRDefault="00223658" w:rsidP="00051BDB">
      <w:pPr>
        <w:pStyle w:val="FootnoteText"/>
      </w:pPr>
      <w:r>
        <w:rPr>
          <w:rStyle w:val="FootnoteReference"/>
        </w:rPr>
        <w:footnoteRef/>
      </w:r>
      <w:r>
        <w:t xml:space="preserve"> </w:t>
      </w:r>
      <w:r>
        <w:tab/>
        <w:t>The rural comparison firms are: AusNET Services, Powercor, and SA Power Networks.</w:t>
      </w:r>
    </w:p>
  </w:footnote>
  <w:footnote w:id="591">
    <w:p w:rsidR="00223658" w:rsidRDefault="00223658" w:rsidP="00051BDB">
      <w:pPr>
        <w:pStyle w:val="FootnoteText"/>
      </w:pPr>
      <w:r>
        <w:rPr>
          <w:rStyle w:val="FootnoteReference"/>
        </w:rPr>
        <w:footnoteRef/>
      </w:r>
      <w:r>
        <w:t xml:space="preserve"> </w:t>
      </w:r>
      <w:r>
        <w:tab/>
        <w:t>Huegin, Ergon Energy Expenditure Benchmarking, 17 October 2014, p. 14.</w:t>
      </w:r>
    </w:p>
  </w:footnote>
  <w:footnote w:id="592">
    <w:p w:rsidR="00223658" w:rsidRDefault="00223658" w:rsidP="00051BDB">
      <w:pPr>
        <w:pStyle w:val="FootnoteText"/>
      </w:pPr>
      <w:r>
        <w:rPr>
          <w:rStyle w:val="FootnoteReference"/>
        </w:rPr>
        <w:footnoteRef/>
      </w:r>
      <w:r>
        <w:t xml:space="preserve"> </w:t>
      </w:r>
      <w:r>
        <w:tab/>
        <w:t xml:space="preserve">AER, Draft Decision NSW distribution network service providers, November 2014 pp. 47-48 and 112-1131. </w:t>
      </w:r>
    </w:p>
  </w:footnote>
  <w:footnote w:id="593">
    <w:p w:rsidR="00223658" w:rsidRDefault="00223658" w:rsidP="00051BDB">
      <w:pPr>
        <w:pStyle w:val="FootnoteText"/>
      </w:pPr>
      <w:r>
        <w:rPr>
          <w:rStyle w:val="FootnoteReference"/>
        </w:rPr>
        <w:footnoteRef/>
      </w:r>
      <w:r>
        <w:t xml:space="preserve"> </w:t>
      </w:r>
      <w:r>
        <w:tab/>
        <w:t xml:space="preserve">ActewAGL, </w:t>
      </w:r>
      <w:r w:rsidRPr="00AC4C6D">
        <w:rPr>
          <w:rStyle w:val="AERtextitalic"/>
        </w:rPr>
        <w:t>Revised Regulatory Proposal</w:t>
      </w:r>
      <w:r>
        <w:t>, 20 January 2015, pp. 142-413.</w:t>
      </w:r>
    </w:p>
  </w:footnote>
  <w:footnote w:id="594">
    <w:p w:rsidR="00223658" w:rsidRDefault="00223658" w:rsidP="00051BDB">
      <w:pPr>
        <w:pStyle w:val="FootnoteText"/>
      </w:pPr>
      <w:r>
        <w:rPr>
          <w:rStyle w:val="FootnoteReference"/>
        </w:rPr>
        <w:footnoteRef/>
      </w:r>
      <w:r>
        <w:t xml:space="preserve"> </w:t>
      </w:r>
      <w:r>
        <w:tab/>
        <w:t>Advisian, Opex Cost Drivers: ActewAGL Distribution Electricity (ACT), 16 January 2015, p. 76.</w:t>
      </w:r>
    </w:p>
  </w:footnote>
  <w:footnote w:id="595">
    <w:p w:rsidR="00223658" w:rsidRDefault="00223658" w:rsidP="00051BDB">
      <w:pPr>
        <w:pStyle w:val="FootnoteText"/>
      </w:pPr>
      <w:r>
        <w:rPr>
          <w:rStyle w:val="FootnoteReference"/>
        </w:rPr>
        <w:footnoteRef/>
      </w:r>
      <w:r>
        <w:t xml:space="preserve"> </w:t>
      </w:r>
      <w:r>
        <w:tab/>
        <w:t xml:space="preserve">CEPA, </w:t>
      </w:r>
      <w:r w:rsidR="00555D3B" w:rsidRPr="00555D3B">
        <w:t>Benchmarking and setting efficiency targets for the Australian DNSPs, (</w:t>
      </w:r>
      <w:r w:rsidR="00FE480B">
        <w:t>ActewAGL</w:t>
      </w:r>
      <w:r w:rsidR="00555D3B" w:rsidRPr="00555D3B">
        <w:t>), 2015,</w:t>
      </w:r>
      <w:r>
        <w:t xml:space="preserve"> p. 11.</w:t>
      </w:r>
    </w:p>
  </w:footnote>
  <w:footnote w:id="596">
    <w:p w:rsidR="00223658" w:rsidRDefault="00223658" w:rsidP="00051BDB">
      <w:pPr>
        <w:pStyle w:val="FootnoteText"/>
      </w:pPr>
      <w:r>
        <w:rPr>
          <w:rStyle w:val="FootnoteReference"/>
        </w:rPr>
        <w:footnoteRef/>
      </w:r>
      <w:r>
        <w:t xml:space="preserve"> </w:t>
      </w:r>
      <w:r>
        <w:tab/>
        <w:t>Consumer Challenge Panel, Submission to the AER: Responding to NSW draft determination and revised proposals, February 2015, p. 51.</w:t>
      </w:r>
    </w:p>
  </w:footnote>
  <w:footnote w:id="597">
    <w:p w:rsidR="00223658" w:rsidRDefault="00223658" w:rsidP="00051BDB">
      <w:pPr>
        <w:pStyle w:val="FootnoteText"/>
      </w:pPr>
      <w:r>
        <w:rPr>
          <w:rStyle w:val="FootnoteReference"/>
        </w:rPr>
        <w:footnoteRef/>
      </w:r>
      <w:r>
        <w:t xml:space="preserve"> </w:t>
      </w:r>
      <w:r>
        <w:tab/>
        <w:t>Frontier Economics, Review of the AER's econometric models and their application in the draft determination for Networks NSW, January 2015, p. 91.</w:t>
      </w:r>
    </w:p>
  </w:footnote>
  <w:footnote w:id="598">
    <w:p w:rsidR="00223658" w:rsidRDefault="00223658" w:rsidP="00051BDB">
      <w:pPr>
        <w:pStyle w:val="FootnoteText"/>
      </w:pPr>
      <w:r>
        <w:rPr>
          <w:rStyle w:val="FootnoteReference"/>
        </w:rPr>
        <w:footnoteRef/>
      </w:r>
      <w:r>
        <w:t xml:space="preserve"> </w:t>
      </w:r>
      <w:r>
        <w:tab/>
        <w:t>SA Power Networks, Response to information request SAPN 004, 19 December 2014, p. 13.</w:t>
      </w:r>
    </w:p>
  </w:footnote>
  <w:footnote w:id="599">
    <w:p w:rsidR="00223658" w:rsidRDefault="00223658" w:rsidP="00051BDB">
      <w:pPr>
        <w:pStyle w:val="FootnoteText"/>
      </w:pPr>
      <w:r>
        <w:rPr>
          <w:rStyle w:val="FootnoteReference"/>
        </w:rPr>
        <w:footnoteRef/>
      </w:r>
      <w:r>
        <w:t xml:space="preserve"> </w:t>
      </w:r>
      <w:r>
        <w:tab/>
        <w:t>Ausgrid, Revised Proposal, 20 January 2015, p. 147.</w:t>
      </w:r>
    </w:p>
  </w:footnote>
  <w:footnote w:id="600">
    <w:p w:rsidR="00223658" w:rsidRDefault="00223658" w:rsidP="00051BDB">
      <w:pPr>
        <w:pStyle w:val="FootnoteText"/>
      </w:pPr>
      <w:r>
        <w:rPr>
          <w:rStyle w:val="FootnoteReference"/>
        </w:rPr>
        <w:footnoteRef/>
      </w:r>
      <w:r>
        <w:t xml:space="preserve"> </w:t>
      </w:r>
      <w:r>
        <w:tab/>
        <w:t>Endeavour Energy, Revised Proposal, 20 January 2015, p. 174.</w:t>
      </w:r>
    </w:p>
  </w:footnote>
  <w:footnote w:id="601">
    <w:p w:rsidR="00223658" w:rsidRDefault="00223658" w:rsidP="00051BDB">
      <w:pPr>
        <w:pStyle w:val="FootnoteText"/>
      </w:pPr>
      <w:r>
        <w:rPr>
          <w:rStyle w:val="FootnoteReference"/>
        </w:rPr>
        <w:footnoteRef/>
      </w:r>
      <w:r>
        <w:t xml:space="preserve"> </w:t>
      </w:r>
      <w:r>
        <w:tab/>
        <w:t>Essential Energy, Revised Proposal, 20 January, p. 187.</w:t>
      </w:r>
    </w:p>
  </w:footnote>
  <w:footnote w:id="602">
    <w:p w:rsidR="00223658" w:rsidRDefault="00223658" w:rsidP="00051BDB">
      <w:pPr>
        <w:pStyle w:val="FootnoteText"/>
      </w:pPr>
      <w:r>
        <w:rPr>
          <w:rStyle w:val="FootnoteReference"/>
        </w:rPr>
        <w:footnoteRef/>
      </w:r>
      <w:r>
        <w:t xml:space="preserve"> </w:t>
      </w:r>
      <w:r>
        <w:tab/>
        <w:t>Gary Humphreys, Statement of Gary Humphries Chief Operating Officer Essential Energy, 19 January 2015, pp. 12 to 13.</w:t>
      </w:r>
    </w:p>
  </w:footnote>
  <w:footnote w:id="603">
    <w:p w:rsidR="00223658" w:rsidRDefault="00223658" w:rsidP="00051BDB">
      <w:pPr>
        <w:pStyle w:val="FootnoteText"/>
      </w:pPr>
      <w:r>
        <w:rPr>
          <w:rStyle w:val="FootnoteReference"/>
        </w:rPr>
        <w:footnoteRef/>
      </w:r>
      <w:r>
        <w:t xml:space="preserve"> </w:t>
      </w:r>
      <w:r>
        <w:tab/>
        <w:t xml:space="preserve">Telstra, Our Coverage, available at: </w:t>
      </w:r>
      <w:hyperlink r:id="rId5" w:history="1">
        <w:r w:rsidRPr="00F1291B">
          <w:rPr>
            <w:rStyle w:val="Hyperlink"/>
            <w:sz w:val="16"/>
          </w:rPr>
          <w:t>https://www.telstra.com.au/mobile-phones/coverage-networks/our-coverage</w:t>
        </w:r>
      </w:hyperlink>
      <w:r>
        <w:t xml:space="preserve"> [last accessed: 10 April 2015].</w:t>
      </w:r>
    </w:p>
  </w:footnote>
  <w:footnote w:id="604">
    <w:p w:rsidR="00223658" w:rsidRDefault="00223658" w:rsidP="00051BDB">
      <w:pPr>
        <w:pStyle w:val="FootnoteText"/>
      </w:pPr>
      <w:r>
        <w:rPr>
          <w:rStyle w:val="FootnoteReference"/>
        </w:rPr>
        <w:footnoteRef/>
      </w:r>
      <w:r>
        <w:t xml:space="preserve"> </w:t>
      </w:r>
      <w:r>
        <w:tab/>
        <w:t>Advisian, Opex Cost Drivers: ActewAGL Distribution Electricity (ACT), 16 January 2015, pp. 95-98.</w:t>
      </w:r>
    </w:p>
  </w:footnote>
  <w:footnote w:id="605">
    <w:p w:rsidR="00223658" w:rsidRDefault="00223658" w:rsidP="00051BDB">
      <w:pPr>
        <w:pStyle w:val="FootnoteText"/>
      </w:pPr>
      <w:r>
        <w:rPr>
          <w:rStyle w:val="FootnoteReference"/>
        </w:rPr>
        <w:footnoteRef/>
      </w:r>
      <w:r>
        <w:t xml:space="preserve"> </w:t>
      </w:r>
      <w:r>
        <w:tab/>
        <w:t>Advisian, Opex Cost Drivers: ActewAGL Distribution Electricity (ACT), 16 January 2015, p. 97.</w:t>
      </w:r>
    </w:p>
  </w:footnote>
  <w:footnote w:id="606">
    <w:p w:rsidR="00223658" w:rsidRDefault="00223658" w:rsidP="00051BDB">
      <w:pPr>
        <w:pStyle w:val="FootnoteText"/>
      </w:pPr>
      <w:r>
        <w:rPr>
          <w:rStyle w:val="FootnoteReference"/>
        </w:rPr>
        <w:footnoteRef/>
      </w:r>
      <w:r>
        <w:t xml:space="preserve"> </w:t>
      </w:r>
      <w:r>
        <w:tab/>
        <w:t xml:space="preserve">ActewAGL, RRP, 2015, p. 163. Advisian, 2015, p. 59. Essential, RRP, 2015, pp. 42–44. ActewAGL, Revised regulatory proposal, 2015, pp. 61-79. (ActewAGL, RRP, 2015). AECOM, </w:t>
      </w:r>
      <w:r w:rsidRPr="00F767C2">
        <w:t>Impact of AER Draft Determination on Service and Safety</w:t>
      </w:r>
      <w:r>
        <w:t xml:space="preserve">, 2015, p. 20. CEPA, </w:t>
      </w:r>
      <w:r w:rsidR="00555D3B" w:rsidRPr="00555D3B">
        <w:t>Benchmarking and setting efficiency targets for the Australian DNSPs, (NSW DNSPs), 2015,</w:t>
      </w:r>
      <w:r>
        <w:t xml:space="preserve"> p. 32. AusGrid, </w:t>
      </w:r>
      <w:r w:rsidRPr="00D3760A">
        <w:t>Statement of Chief Operating Officer of Ausgrid (CONFIDENTIAL)</w:t>
      </w:r>
      <w:r>
        <w:t xml:space="preserve">, </w:t>
      </w:r>
      <w:r w:rsidRPr="00D3760A">
        <w:t>January 2015</w:t>
      </w:r>
      <w:r>
        <w:t xml:space="preserve">. Jacobs, </w:t>
      </w:r>
      <w:r w:rsidRPr="002C3669">
        <w:t>Regulatory Revenue Decision, Reliabilit</w:t>
      </w:r>
      <w:r>
        <w:t xml:space="preserve">y Impact Assessment, </w:t>
      </w:r>
      <w:r w:rsidRPr="002C3669">
        <w:t>2015</w:t>
      </w:r>
      <w:r>
        <w:t>, p. 12.</w:t>
      </w:r>
    </w:p>
  </w:footnote>
  <w:footnote w:id="607">
    <w:p w:rsidR="00223658" w:rsidRDefault="00223658" w:rsidP="00051BDB">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xml:space="preserve">, p. 59. </w:t>
      </w:r>
      <w:r w:rsidRPr="00F25BD4">
        <w:t>PEGR, 2015, p. 51.</w:t>
      </w:r>
    </w:p>
  </w:footnote>
  <w:footnote w:id="608">
    <w:p w:rsidR="00223658" w:rsidRDefault="00223658" w:rsidP="00051BDB">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609">
    <w:p w:rsidR="00223658" w:rsidRDefault="00223658" w:rsidP="00051BDB">
      <w:pPr>
        <w:pStyle w:val="FootnoteText"/>
      </w:pPr>
      <w:r>
        <w:rPr>
          <w:rStyle w:val="FootnoteReference"/>
        </w:rPr>
        <w:footnoteRef/>
      </w:r>
      <w:r>
        <w:t xml:space="preserve"> </w:t>
      </w:r>
      <w:r>
        <w:tab/>
        <w:t>The weighted average has been calculated based upon customer numbers in accordance with our approach to calculating the benchmarking frontier. Advisian also indicates that it calculates a weighted average however does not outline how it did so. Advisian argues that under its weighted average the performance of the networks has deteriorated. This is contrary to our analysis.</w:t>
      </w:r>
    </w:p>
  </w:footnote>
  <w:footnote w:id="610">
    <w:p w:rsidR="00223658" w:rsidRDefault="00223658" w:rsidP="00051BDB">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611">
    <w:p w:rsidR="00223658" w:rsidRDefault="00223658" w:rsidP="00051BDB">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612">
    <w:p w:rsidR="00223658" w:rsidRDefault="00223658" w:rsidP="00051BDB">
      <w:pPr>
        <w:pStyle w:val="FootnoteText"/>
      </w:pPr>
      <w:r>
        <w:rPr>
          <w:rStyle w:val="FootnoteReference"/>
        </w:rPr>
        <w:footnoteRef/>
      </w:r>
      <w:r>
        <w:t xml:space="preserve"> </w:t>
      </w:r>
      <w:r>
        <w:tab/>
        <w:t>Advisian. 2015, p. 59.</w:t>
      </w:r>
    </w:p>
  </w:footnote>
  <w:footnote w:id="613">
    <w:p w:rsidR="00223658" w:rsidRDefault="00223658" w:rsidP="00051BDB">
      <w:pPr>
        <w:pStyle w:val="FootnoteText"/>
      </w:pPr>
      <w:r>
        <w:rPr>
          <w:rStyle w:val="FootnoteReference"/>
        </w:rPr>
        <w:footnoteRef/>
      </w:r>
      <w:r>
        <w:t xml:space="preserve"> </w:t>
      </w:r>
      <w:r>
        <w:tab/>
        <w:t>Advisian. 2015, p. 59.</w:t>
      </w:r>
    </w:p>
  </w:footnote>
  <w:footnote w:id="614">
    <w:p w:rsidR="00223658" w:rsidRDefault="00223658" w:rsidP="00051BDB">
      <w:pPr>
        <w:pStyle w:val="FootnoteText"/>
      </w:pPr>
      <w:r>
        <w:rPr>
          <w:rStyle w:val="FootnoteReference"/>
        </w:rPr>
        <w:footnoteRef/>
      </w:r>
      <w:r>
        <w:t xml:space="preserve"> </w:t>
      </w:r>
      <w:r>
        <w:tab/>
        <w:t>From 2008–9 to 2012–13 the frontier networks increased their expenditure on vegetation management and maintenance on average by 171 per cent and 77 per cent respectively (in nominal terms).</w:t>
      </w:r>
    </w:p>
  </w:footnote>
  <w:footnote w:id="615">
    <w:p w:rsidR="00223658" w:rsidRDefault="00223658" w:rsidP="00051BDB">
      <w:pPr>
        <w:pStyle w:val="FootnoteText"/>
      </w:pPr>
      <w:r>
        <w:rPr>
          <w:rStyle w:val="FootnoteReference"/>
        </w:rPr>
        <w:footnoteRef/>
      </w:r>
      <w:r>
        <w:t xml:space="preserve"> </w:t>
      </w:r>
      <w:r>
        <w:tab/>
      </w:r>
      <w:r w:rsidRPr="00F25BD4">
        <w:t>PEGR, 2015, p. 51.</w:t>
      </w:r>
    </w:p>
  </w:footnote>
  <w:footnote w:id="616">
    <w:p w:rsidR="00223658" w:rsidRDefault="00223658" w:rsidP="00051BDB">
      <w:pPr>
        <w:pStyle w:val="FootnoteText"/>
      </w:pPr>
      <w:r>
        <w:rPr>
          <w:rStyle w:val="FootnoteReference"/>
        </w:rPr>
        <w:footnoteRef/>
      </w:r>
      <w:r>
        <w:t xml:space="preserve"> </w:t>
      </w:r>
      <w:r>
        <w:tab/>
        <w:t>Economic Insights, 2015, pp. 5-6.</w:t>
      </w:r>
    </w:p>
  </w:footnote>
  <w:footnote w:id="617">
    <w:p w:rsidR="00223658" w:rsidRDefault="00223658" w:rsidP="00051BDB">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618">
    <w:p w:rsidR="00223658" w:rsidRDefault="00223658" w:rsidP="00051BDB">
      <w:pPr>
        <w:pStyle w:val="FootnoteText"/>
      </w:pPr>
      <w:r>
        <w:rPr>
          <w:rStyle w:val="FootnoteReference"/>
        </w:rPr>
        <w:footnoteRef/>
      </w:r>
      <w:r>
        <w:t xml:space="preserve"> </w:t>
      </w:r>
      <w:r>
        <w:tab/>
        <w:t>NER cl. 6.5.6 (a) and (c)</w:t>
      </w:r>
    </w:p>
  </w:footnote>
  <w:footnote w:id="619">
    <w:p w:rsidR="00223658" w:rsidRDefault="00223658" w:rsidP="00051BDB">
      <w:pPr>
        <w:pStyle w:val="FootnoteText"/>
      </w:pPr>
      <w:r>
        <w:rPr>
          <w:rStyle w:val="FootnoteReference"/>
        </w:rPr>
        <w:footnoteRef/>
      </w:r>
      <w:r>
        <w:t xml:space="preserve"> </w:t>
      </w:r>
      <w:r>
        <w:tab/>
        <w:t>Ausgrid, Revised Proposal, 20 January 2015, p 29.</w:t>
      </w:r>
    </w:p>
  </w:footnote>
  <w:footnote w:id="620">
    <w:p w:rsidR="00223658" w:rsidRDefault="00223658" w:rsidP="00051BDB">
      <w:pPr>
        <w:pStyle w:val="FootnoteText"/>
      </w:pPr>
      <w:r>
        <w:rPr>
          <w:rStyle w:val="FootnoteReference"/>
        </w:rPr>
        <w:footnoteRef/>
      </w:r>
      <w:r>
        <w:t xml:space="preserve"> </w:t>
      </w:r>
      <w:r>
        <w:tab/>
        <w:t>Essential, Revised Proposal, 20 January 2015, p 36.</w:t>
      </w:r>
    </w:p>
  </w:footnote>
  <w:footnote w:id="621">
    <w:p w:rsidR="00223658" w:rsidRDefault="00223658" w:rsidP="00051BDB">
      <w:pPr>
        <w:pStyle w:val="FootnoteText"/>
      </w:pPr>
      <w:r>
        <w:rPr>
          <w:rStyle w:val="FootnoteReference"/>
        </w:rPr>
        <w:footnoteRef/>
      </w:r>
      <w:r>
        <w:t xml:space="preserve"> </w:t>
      </w:r>
      <w:r>
        <w:tab/>
        <w:t>Endeavour, Revised Proposal, 20 January 2015, p 32.</w:t>
      </w:r>
    </w:p>
  </w:footnote>
  <w:footnote w:id="622">
    <w:p w:rsidR="00223658" w:rsidRDefault="00223658" w:rsidP="00051BDB">
      <w:pPr>
        <w:pStyle w:val="FootnoteText"/>
      </w:pPr>
      <w:r>
        <w:rPr>
          <w:rStyle w:val="FootnoteReference"/>
        </w:rPr>
        <w:footnoteRef/>
      </w:r>
      <w:r>
        <w:t xml:space="preserve"> </w:t>
      </w:r>
      <w:r>
        <w:tab/>
        <w:t>Ausgrid, Revised Proposal, 20 January 2015, p 29.</w:t>
      </w:r>
    </w:p>
  </w:footnote>
  <w:footnote w:id="623">
    <w:p w:rsidR="00223658" w:rsidRDefault="00223658" w:rsidP="00051BDB">
      <w:pPr>
        <w:pStyle w:val="FootnoteText"/>
      </w:pPr>
      <w:r>
        <w:rPr>
          <w:rStyle w:val="FootnoteReference"/>
        </w:rPr>
        <w:footnoteRef/>
      </w:r>
      <w:r>
        <w:t xml:space="preserve"> </w:t>
      </w:r>
      <w:r>
        <w:tab/>
        <w:t>Essential, Revised Proposal, 20 January 2015, p 36.</w:t>
      </w:r>
    </w:p>
  </w:footnote>
  <w:footnote w:id="624">
    <w:p w:rsidR="00223658" w:rsidRDefault="00223658" w:rsidP="00051BDB">
      <w:pPr>
        <w:pStyle w:val="FootnoteText"/>
      </w:pPr>
      <w:r>
        <w:rPr>
          <w:rStyle w:val="FootnoteReference"/>
        </w:rPr>
        <w:footnoteRef/>
      </w:r>
      <w:r>
        <w:t xml:space="preserve"> </w:t>
      </w:r>
      <w:r>
        <w:tab/>
        <w:t>Endeavour, Revised Proposal, 20 January 2015, pp 33.</w:t>
      </w:r>
    </w:p>
  </w:footnote>
  <w:footnote w:id="625">
    <w:p w:rsidR="00223658" w:rsidRDefault="00223658" w:rsidP="00051BDB">
      <w:pPr>
        <w:pStyle w:val="FootnoteText"/>
      </w:pPr>
      <w:r>
        <w:rPr>
          <w:rStyle w:val="FootnoteReference"/>
        </w:rPr>
        <w:footnoteRef/>
      </w:r>
      <w:r>
        <w:t xml:space="preserve"> </w:t>
      </w:r>
      <w:r>
        <w:tab/>
        <w:t>Ausgrid, Revised Proposal, 20 January 2015, p 29.</w:t>
      </w:r>
    </w:p>
  </w:footnote>
  <w:footnote w:id="626">
    <w:p w:rsidR="00223658" w:rsidRDefault="00223658" w:rsidP="00051BDB">
      <w:pPr>
        <w:pStyle w:val="FootnoteText"/>
      </w:pPr>
      <w:r>
        <w:rPr>
          <w:rStyle w:val="FootnoteReference"/>
        </w:rPr>
        <w:footnoteRef/>
      </w:r>
      <w:r>
        <w:t xml:space="preserve"> </w:t>
      </w:r>
      <w:r>
        <w:tab/>
        <w:t>Essential, Revised Proposal, 20 January 2015, p 37.</w:t>
      </w:r>
    </w:p>
  </w:footnote>
  <w:footnote w:id="627">
    <w:p w:rsidR="00223658" w:rsidRDefault="00223658" w:rsidP="00051BDB">
      <w:pPr>
        <w:pStyle w:val="FootnoteText"/>
      </w:pPr>
      <w:r>
        <w:rPr>
          <w:rStyle w:val="FootnoteReference"/>
        </w:rPr>
        <w:footnoteRef/>
      </w:r>
      <w:r>
        <w:t xml:space="preserve"> </w:t>
      </w:r>
      <w:r>
        <w:tab/>
        <w:t>Endeavour, Revised Proposal, 20 January 2015, p 33.</w:t>
      </w:r>
    </w:p>
  </w:footnote>
  <w:footnote w:id="628">
    <w:p w:rsidR="00223658" w:rsidRDefault="00223658" w:rsidP="00051BDB">
      <w:pPr>
        <w:pStyle w:val="FootnoteText"/>
      </w:pPr>
      <w:r>
        <w:rPr>
          <w:rStyle w:val="FootnoteReference"/>
        </w:rPr>
        <w:footnoteRef/>
      </w:r>
      <w:r>
        <w:t xml:space="preserve"> </w:t>
      </w:r>
      <w:r>
        <w:tab/>
        <w:t>Ausgrid, Revised Proposal, 20 January 2015, p 29.</w:t>
      </w:r>
    </w:p>
  </w:footnote>
  <w:footnote w:id="629">
    <w:p w:rsidR="00223658" w:rsidRDefault="00223658" w:rsidP="00051BDB">
      <w:pPr>
        <w:pStyle w:val="FootnoteText"/>
      </w:pPr>
      <w:r>
        <w:rPr>
          <w:rStyle w:val="FootnoteReference"/>
        </w:rPr>
        <w:footnoteRef/>
      </w:r>
      <w:r>
        <w:t xml:space="preserve"> </w:t>
      </w:r>
      <w:r>
        <w:tab/>
        <w:t>Essential, Revised Proposal, 20 January 2015, p 37.</w:t>
      </w:r>
    </w:p>
  </w:footnote>
  <w:footnote w:id="630">
    <w:p w:rsidR="00223658" w:rsidRDefault="00223658" w:rsidP="00051BDB">
      <w:pPr>
        <w:pStyle w:val="FootnoteText"/>
      </w:pPr>
      <w:r>
        <w:rPr>
          <w:rStyle w:val="FootnoteReference"/>
        </w:rPr>
        <w:footnoteRef/>
      </w:r>
      <w:r>
        <w:t xml:space="preserve"> </w:t>
      </w:r>
      <w:r>
        <w:tab/>
        <w:t>Endeavour, Revised Proposal, 20 January 2015, p 33.</w:t>
      </w:r>
    </w:p>
  </w:footnote>
  <w:footnote w:id="631">
    <w:p w:rsidR="00223658" w:rsidRDefault="00223658" w:rsidP="00051BDB">
      <w:pPr>
        <w:pStyle w:val="FootnoteText"/>
      </w:pPr>
      <w:r>
        <w:rPr>
          <w:rStyle w:val="FootnoteReference"/>
        </w:rPr>
        <w:footnoteRef/>
      </w:r>
      <w:r>
        <w:t xml:space="preserve"> </w:t>
      </w:r>
      <w:r>
        <w:tab/>
        <w:t>Ausgrid, Revised Proposal, 20 January 2015, pp 29-32.</w:t>
      </w:r>
    </w:p>
  </w:footnote>
  <w:footnote w:id="632">
    <w:p w:rsidR="00223658" w:rsidRDefault="00223658" w:rsidP="00051BDB">
      <w:pPr>
        <w:pStyle w:val="FootnoteText"/>
      </w:pPr>
      <w:r>
        <w:rPr>
          <w:rStyle w:val="FootnoteReference"/>
        </w:rPr>
        <w:footnoteRef/>
      </w:r>
      <w:r>
        <w:t xml:space="preserve"> </w:t>
      </w:r>
      <w:r>
        <w:tab/>
        <w:t>Essential, Revised Proposal, 20 January 2015, pp 37-39.</w:t>
      </w:r>
    </w:p>
  </w:footnote>
  <w:footnote w:id="633">
    <w:p w:rsidR="00223658" w:rsidRDefault="00223658" w:rsidP="00051BDB">
      <w:pPr>
        <w:pStyle w:val="FootnoteText"/>
      </w:pPr>
      <w:r>
        <w:rPr>
          <w:rStyle w:val="FootnoteReference"/>
        </w:rPr>
        <w:footnoteRef/>
      </w:r>
      <w:r>
        <w:t xml:space="preserve"> </w:t>
      </w:r>
      <w:r>
        <w:tab/>
        <w:t>Endeavour, Revised Proposal, 20 January 2015, pp 33-36.</w:t>
      </w:r>
    </w:p>
  </w:footnote>
  <w:footnote w:id="634">
    <w:p w:rsidR="00223658" w:rsidRDefault="00223658" w:rsidP="00051BDB">
      <w:pPr>
        <w:pStyle w:val="FootnoteText"/>
      </w:pPr>
      <w:r>
        <w:rPr>
          <w:rStyle w:val="FootnoteReference"/>
        </w:rPr>
        <w:footnoteRef/>
      </w:r>
      <w:r>
        <w:t xml:space="preserve"> </w:t>
      </w:r>
      <w:r>
        <w:tab/>
        <w:t>R2A, Asset / System Failure Safety Risk Assessment: Client Reference Networks NSW RFQE2, January 2015</w:t>
      </w:r>
    </w:p>
  </w:footnote>
  <w:footnote w:id="635">
    <w:p w:rsidR="00223658" w:rsidRDefault="00223658" w:rsidP="00051BDB">
      <w:pPr>
        <w:pStyle w:val="FootnoteText"/>
      </w:pPr>
      <w:r>
        <w:rPr>
          <w:rStyle w:val="FootnoteReference"/>
        </w:rPr>
        <w:footnoteRef/>
      </w:r>
      <w:r>
        <w:t xml:space="preserve"> </w:t>
      </w:r>
      <w:r>
        <w:tab/>
        <w:t>Jacobs, Networks NSW - Draft Determination Review: System Capex &amp; Maintenance Prudency Assessment, 15 January 2015.</w:t>
      </w:r>
    </w:p>
  </w:footnote>
  <w:footnote w:id="636">
    <w:p w:rsidR="00223658" w:rsidRDefault="00223658" w:rsidP="00051BDB">
      <w:pPr>
        <w:pStyle w:val="FootnoteText"/>
      </w:pPr>
      <w:r>
        <w:rPr>
          <w:rStyle w:val="FootnoteReference"/>
        </w:rPr>
        <w:footnoteRef/>
      </w:r>
      <w:r>
        <w:t xml:space="preserve"> </w:t>
      </w:r>
      <w:r>
        <w:tab/>
        <w:t>AECOM, The Impact of the AER’s Draft Decision on ActewAGL’s Service and Safety Performance, 15 January 2015.</w:t>
      </w:r>
    </w:p>
  </w:footnote>
  <w:footnote w:id="637">
    <w:p w:rsidR="00223658" w:rsidRDefault="00223658" w:rsidP="00051BDB">
      <w:pPr>
        <w:pStyle w:val="FootnoteText"/>
      </w:pPr>
      <w:r>
        <w:rPr>
          <w:rStyle w:val="FootnoteReference"/>
        </w:rPr>
        <w:footnoteRef/>
      </w:r>
      <w:r>
        <w:t xml:space="preserve"> </w:t>
      </w:r>
      <w:r>
        <w:tab/>
        <w:t>Trevor Armstrong, Statement of Trevor Armstrong Chief Operating Officer Ausgrid, 19 January 2015, pp. 32 - 36.</w:t>
      </w:r>
    </w:p>
  </w:footnote>
  <w:footnote w:id="638">
    <w:p w:rsidR="00223658" w:rsidRDefault="00223658" w:rsidP="00051BDB">
      <w:pPr>
        <w:pStyle w:val="FootnoteText"/>
      </w:pPr>
      <w:r>
        <w:rPr>
          <w:rStyle w:val="FootnoteReference"/>
        </w:rPr>
        <w:footnoteRef/>
      </w:r>
      <w:r>
        <w:t xml:space="preserve"> </w:t>
      </w:r>
      <w:r>
        <w:tab/>
        <w:t xml:space="preserve"> Rod Howard, Statement of Rod Howard Chief Operating Officer Endeavour Energy, 19 January 2015, pp.29-30.</w:t>
      </w:r>
    </w:p>
  </w:footnote>
  <w:footnote w:id="639">
    <w:p w:rsidR="00223658" w:rsidRDefault="00223658" w:rsidP="00051BDB">
      <w:pPr>
        <w:pStyle w:val="FootnoteText"/>
      </w:pPr>
      <w:r>
        <w:rPr>
          <w:rStyle w:val="FootnoteReference"/>
        </w:rPr>
        <w:footnoteRef/>
      </w:r>
      <w:r>
        <w:t xml:space="preserve"> </w:t>
      </w:r>
      <w:r>
        <w:tab/>
        <w:t>Gary Humphreys, Statement of Gary Humphries Chief Operating Officer Essential Energy, 19 January 2015, pp. 22 to 28.</w:t>
      </w:r>
    </w:p>
  </w:footnote>
  <w:footnote w:id="640">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5.</w:t>
      </w:r>
    </w:p>
  </w:footnote>
  <w:footnote w:id="641">
    <w:p w:rsidR="00223658" w:rsidRDefault="00223658" w:rsidP="00051BDB">
      <w:pPr>
        <w:pStyle w:val="FootnoteText"/>
      </w:pPr>
      <w:r>
        <w:rPr>
          <w:rStyle w:val="FootnoteReference"/>
        </w:rPr>
        <w:footnoteRef/>
      </w:r>
      <w:r>
        <w:t xml:space="preserve"> </w:t>
      </w:r>
      <w:r>
        <w:tab/>
        <w:t>VBRC, vol 2, chapter 4, pp. 159 to 164.</w:t>
      </w:r>
    </w:p>
  </w:footnote>
  <w:footnote w:id="642">
    <w:p w:rsidR="00223658" w:rsidRDefault="00223658" w:rsidP="00051BDB">
      <w:pPr>
        <w:pStyle w:val="FootnoteText"/>
      </w:pPr>
      <w:r>
        <w:rPr>
          <w:rStyle w:val="FootnoteReference"/>
        </w:rPr>
        <w:footnoteRef/>
      </w:r>
      <w:r>
        <w:t xml:space="preserve"> </w:t>
      </w:r>
      <w:r>
        <w:tab/>
        <w:t>AER, Final decision: Victorian electricity distribution network service providers: Distribution determination 2011–2015, October 2010, p. iv.</w:t>
      </w:r>
    </w:p>
  </w:footnote>
  <w:footnote w:id="643">
    <w:p w:rsidR="00223658" w:rsidRDefault="00223658" w:rsidP="00051BDB">
      <w:pPr>
        <w:pStyle w:val="FootnoteText"/>
      </w:pPr>
      <w:r>
        <w:rPr>
          <w:rStyle w:val="FootnoteReference"/>
        </w:rPr>
        <w:footnoteRef/>
      </w:r>
      <w:r>
        <w:t xml:space="preserve"> </w:t>
      </w:r>
      <w:r>
        <w:tab/>
        <w:t>R2A, Asset / System Failure Safety Risk Assessment: Client Reference Networks NSW RFQE2, January 2015 pp. 18-19</w:t>
      </w:r>
    </w:p>
  </w:footnote>
  <w:footnote w:id="644">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45">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46">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5.</w:t>
      </w:r>
    </w:p>
  </w:footnote>
  <w:footnote w:id="647">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48">
    <w:p w:rsidR="00223658" w:rsidRDefault="00223658" w:rsidP="00051BDB">
      <w:pPr>
        <w:pStyle w:val="FootnoteText"/>
      </w:pPr>
      <w:r>
        <w:rPr>
          <w:rStyle w:val="FootnoteReference"/>
        </w:rPr>
        <w:footnoteRef/>
      </w:r>
      <w:r>
        <w:t xml:space="preserve"> </w:t>
      </w:r>
      <w:r>
        <w:tab/>
        <w:t>ESV, Safety performance report on Victorian Electricity Networks 2011,August 2012, p. i.</w:t>
      </w:r>
    </w:p>
  </w:footnote>
  <w:footnote w:id="649">
    <w:p w:rsidR="00223658" w:rsidRDefault="00223658" w:rsidP="00051BDB">
      <w:pPr>
        <w:pStyle w:val="FootnoteText"/>
      </w:pPr>
      <w:r>
        <w:rPr>
          <w:rStyle w:val="FootnoteReference"/>
        </w:rPr>
        <w:footnoteRef/>
      </w:r>
      <w:r>
        <w:t xml:space="preserve"> </w:t>
      </w:r>
      <w:r>
        <w:tab/>
        <w:t>ESV, Safety performance report on Victorian Electricity Networks 2010, 2011, p. i.</w:t>
      </w:r>
    </w:p>
  </w:footnote>
  <w:footnote w:id="650">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24.</w:t>
      </w:r>
    </w:p>
  </w:footnote>
  <w:footnote w:id="651">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26.</w:t>
      </w:r>
    </w:p>
  </w:footnote>
  <w:footnote w:id="652">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29-30.</w:t>
      </w:r>
    </w:p>
  </w:footnote>
  <w:footnote w:id="653">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31-50 and 61-78.</w:t>
      </w:r>
    </w:p>
  </w:footnote>
  <w:footnote w:id="654">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61-78.</w:t>
      </w:r>
    </w:p>
  </w:footnote>
  <w:footnote w:id="655">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50-60.</w:t>
      </w:r>
    </w:p>
  </w:footnote>
  <w:footnote w:id="656">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78.</w:t>
      </w:r>
    </w:p>
  </w:footnote>
  <w:footnote w:id="657">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82.</w:t>
      </w:r>
    </w:p>
  </w:footnote>
  <w:footnote w:id="658">
    <w:p w:rsidR="00223658" w:rsidRDefault="00223658" w:rsidP="00051BDB">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87.</w:t>
      </w:r>
    </w:p>
  </w:footnote>
  <w:footnote w:id="659">
    <w:p w:rsidR="00223658" w:rsidRDefault="00223658" w:rsidP="00051BDB">
      <w:pPr>
        <w:pStyle w:val="FootnoteText"/>
      </w:pPr>
      <w:r>
        <w:rPr>
          <w:rStyle w:val="FootnoteReference"/>
        </w:rPr>
        <w:footnoteRef/>
      </w:r>
      <w:r>
        <w:t xml:space="preserve"> </w:t>
      </w:r>
      <w:r>
        <w:tab/>
        <w:t>ActewAGL, Response to Information Request AER ACTEW 053, 9 February 2015.</w:t>
      </w:r>
    </w:p>
  </w:footnote>
  <w:footnote w:id="660">
    <w:p w:rsidR="00223658" w:rsidRDefault="00223658" w:rsidP="00051BDB">
      <w:pPr>
        <w:pStyle w:val="FootnoteText"/>
      </w:pPr>
      <w:r>
        <w:rPr>
          <w:rStyle w:val="FootnoteReference"/>
        </w:rPr>
        <w:footnoteRef/>
      </w:r>
      <w:r>
        <w:t xml:space="preserve"> </w:t>
      </w:r>
      <w:r>
        <w:tab/>
        <w:t>Ausgrid, Response to Information Request AER AUSGRID 044, 23 January 2015.</w:t>
      </w:r>
    </w:p>
  </w:footnote>
  <w:footnote w:id="661">
    <w:p w:rsidR="00223658" w:rsidRDefault="00223658" w:rsidP="00051BDB">
      <w:pPr>
        <w:pStyle w:val="FootnoteText"/>
      </w:pPr>
      <w:r>
        <w:rPr>
          <w:rStyle w:val="FootnoteReference"/>
        </w:rPr>
        <w:footnoteRef/>
      </w:r>
      <w:r>
        <w:t xml:space="preserve"> </w:t>
      </w:r>
      <w:r>
        <w:tab/>
        <w:t>AusNet Services, Response to LTIFR Information Request, 9 January 2015.</w:t>
      </w:r>
    </w:p>
  </w:footnote>
  <w:footnote w:id="662">
    <w:p w:rsidR="00223658" w:rsidRDefault="00223658" w:rsidP="00051BDB">
      <w:pPr>
        <w:pStyle w:val="FootnoteText"/>
      </w:pPr>
      <w:r>
        <w:rPr>
          <w:rStyle w:val="FootnoteReference"/>
        </w:rPr>
        <w:footnoteRef/>
      </w:r>
      <w:r>
        <w:t xml:space="preserve"> </w:t>
      </w:r>
      <w:r>
        <w:tab/>
        <w:t>CitiPower, Response to Information Request on LTIFRs, 2 February 2015.</w:t>
      </w:r>
    </w:p>
  </w:footnote>
  <w:footnote w:id="663">
    <w:p w:rsidR="00223658" w:rsidRDefault="00223658" w:rsidP="00051BDB">
      <w:pPr>
        <w:pStyle w:val="FootnoteText"/>
      </w:pPr>
      <w:r>
        <w:rPr>
          <w:rStyle w:val="FootnoteReference"/>
        </w:rPr>
        <w:footnoteRef/>
      </w:r>
      <w:r>
        <w:t xml:space="preserve"> </w:t>
      </w:r>
      <w:r>
        <w:tab/>
        <w:t>Endeavour Energy, Response to Information Request AER Endeavour 037, 16 January 2015.</w:t>
      </w:r>
    </w:p>
  </w:footnote>
  <w:footnote w:id="664">
    <w:p w:rsidR="00223658" w:rsidRDefault="00223658" w:rsidP="00051BDB">
      <w:pPr>
        <w:pStyle w:val="FootnoteText"/>
      </w:pPr>
      <w:r>
        <w:rPr>
          <w:rStyle w:val="FootnoteReference"/>
        </w:rPr>
        <w:footnoteRef/>
      </w:r>
      <w:r>
        <w:t xml:space="preserve"> </w:t>
      </w:r>
      <w:r>
        <w:tab/>
        <w:t>Energex, Response to Information Request AER Energex, 23 January 2015.</w:t>
      </w:r>
    </w:p>
  </w:footnote>
  <w:footnote w:id="665">
    <w:p w:rsidR="00223658" w:rsidRDefault="00223658" w:rsidP="00051BDB">
      <w:pPr>
        <w:pStyle w:val="FootnoteText"/>
      </w:pPr>
      <w:r>
        <w:rPr>
          <w:rStyle w:val="FootnoteReference"/>
        </w:rPr>
        <w:footnoteRef/>
      </w:r>
      <w:r>
        <w:t xml:space="preserve"> </w:t>
      </w:r>
      <w:r>
        <w:tab/>
        <w:t>Ergon Energy, Response to Information Request AER Ergon008, 7 January 2015.</w:t>
      </w:r>
    </w:p>
  </w:footnote>
  <w:footnote w:id="666">
    <w:p w:rsidR="00223658" w:rsidRDefault="00223658" w:rsidP="00051BDB">
      <w:pPr>
        <w:pStyle w:val="FootnoteText"/>
      </w:pPr>
      <w:r>
        <w:rPr>
          <w:rStyle w:val="FootnoteReference"/>
        </w:rPr>
        <w:footnoteRef/>
      </w:r>
      <w:r>
        <w:t xml:space="preserve"> </w:t>
      </w:r>
      <w:r>
        <w:tab/>
        <w:t>Essential Energy, Response to Information Request AER Essential 033, 23 January 2015.</w:t>
      </w:r>
    </w:p>
  </w:footnote>
  <w:footnote w:id="667">
    <w:p w:rsidR="00223658" w:rsidRDefault="00223658" w:rsidP="00051BDB">
      <w:pPr>
        <w:pStyle w:val="FootnoteText"/>
      </w:pPr>
      <w:r>
        <w:rPr>
          <w:rStyle w:val="FootnoteReference"/>
        </w:rPr>
        <w:footnoteRef/>
      </w:r>
      <w:r>
        <w:t xml:space="preserve"> </w:t>
      </w:r>
      <w:r>
        <w:tab/>
        <w:t>CitiPower, Response to Information Request on LTIFRs, 2 February 2015.</w:t>
      </w:r>
    </w:p>
  </w:footnote>
  <w:footnote w:id="668">
    <w:p w:rsidR="00223658" w:rsidRDefault="00223658" w:rsidP="00051BDB">
      <w:pPr>
        <w:pStyle w:val="FootnoteText"/>
      </w:pPr>
      <w:r>
        <w:rPr>
          <w:rStyle w:val="FootnoteReference"/>
        </w:rPr>
        <w:footnoteRef/>
      </w:r>
      <w:r>
        <w:t xml:space="preserve"> </w:t>
      </w:r>
      <w:r>
        <w:tab/>
        <w:t>SA Power Networks, Response to Information Request AER SAPN 012, 20 January 2015.</w:t>
      </w:r>
    </w:p>
  </w:footnote>
  <w:footnote w:id="669">
    <w:p w:rsidR="00223658" w:rsidRDefault="00223658" w:rsidP="00051BDB">
      <w:pPr>
        <w:pStyle w:val="FootnoteText"/>
      </w:pPr>
      <w:r>
        <w:rPr>
          <w:rStyle w:val="FootnoteReference"/>
        </w:rPr>
        <w:footnoteRef/>
      </w:r>
      <w:r>
        <w:t xml:space="preserve"> </w:t>
      </w:r>
      <w:r>
        <w:tab/>
        <w:t>TasNetworks, Response to LTIFR information request, 21 January 2015.</w:t>
      </w:r>
    </w:p>
  </w:footnote>
  <w:footnote w:id="670">
    <w:p w:rsidR="00223658" w:rsidRDefault="00223658" w:rsidP="00051BDB">
      <w:pPr>
        <w:pStyle w:val="FootnoteText"/>
      </w:pPr>
      <w:r>
        <w:rPr>
          <w:rStyle w:val="FootnoteReference"/>
        </w:rPr>
        <w:footnoteRef/>
      </w:r>
      <w:r>
        <w:t xml:space="preserve"> </w:t>
      </w:r>
      <w:r>
        <w:tab/>
        <w:t>United Energy, Response to LTIFR Information Request, 27 January 2015.</w:t>
      </w:r>
    </w:p>
  </w:footnote>
  <w:footnote w:id="671">
    <w:p w:rsidR="00223658" w:rsidRDefault="00223658" w:rsidP="00051BDB">
      <w:pPr>
        <w:pStyle w:val="FootnoteText"/>
      </w:pPr>
      <w:r>
        <w:rPr>
          <w:rStyle w:val="FootnoteReference"/>
        </w:rPr>
        <w:footnoteRef/>
      </w:r>
      <w:r>
        <w:t xml:space="preserve"> </w:t>
      </w:r>
      <w:r>
        <w:tab/>
        <w:t>Category Analysis RIN Responses to template 2.7 and Economic Benchmarking RIN Responses to templates 6 and 8.</w:t>
      </w:r>
    </w:p>
  </w:footnote>
  <w:footnote w:id="672">
    <w:p w:rsidR="00223658" w:rsidRDefault="00223658" w:rsidP="00051BDB">
      <w:pPr>
        <w:pStyle w:val="FootnoteText"/>
      </w:pPr>
      <w:r>
        <w:rPr>
          <w:rStyle w:val="FootnoteReference"/>
        </w:rPr>
        <w:footnoteRef/>
      </w:r>
      <w:r>
        <w:t xml:space="preserve"> </w:t>
      </w:r>
      <w:r>
        <w:tab/>
        <w:t>Ausgrid, Response to Information Request Ausgrid 052, 17 February 2015.</w:t>
      </w:r>
    </w:p>
  </w:footnote>
  <w:footnote w:id="673">
    <w:p w:rsidR="00223658" w:rsidRDefault="00223658" w:rsidP="00051BDB">
      <w:pPr>
        <w:pStyle w:val="FootnoteText"/>
      </w:pPr>
      <w:r>
        <w:rPr>
          <w:rStyle w:val="FootnoteReference"/>
        </w:rPr>
        <w:footnoteRef/>
      </w:r>
      <w:r>
        <w:t xml:space="preserve"> </w:t>
      </w:r>
      <w:r>
        <w:tab/>
        <w:t>Endeavour, Response to Information Request Endeavour 044, 16 February 2015.</w:t>
      </w:r>
    </w:p>
  </w:footnote>
  <w:footnote w:id="674">
    <w:p w:rsidR="00223658" w:rsidRDefault="00223658" w:rsidP="00051BDB">
      <w:pPr>
        <w:pStyle w:val="FootnoteText"/>
      </w:pPr>
      <w:r>
        <w:rPr>
          <w:rStyle w:val="FootnoteReference"/>
        </w:rPr>
        <w:footnoteRef/>
      </w:r>
      <w:r>
        <w:t xml:space="preserve"> </w:t>
      </w:r>
      <w:r>
        <w:tab/>
        <w:t>Essential Energy, Response to Information Request Essential 083, 16 February 2015.</w:t>
      </w:r>
    </w:p>
  </w:footnote>
  <w:footnote w:id="675">
    <w:p w:rsidR="00223658" w:rsidRDefault="00223658" w:rsidP="00051BDB">
      <w:pPr>
        <w:pStyle w:val="FootnoteText"/>
      </w:pPr>
      <w:r>
        <w:rPr>
          <w:rStyle w:val="FootnoteReference"/>
        </w:rPr>
        <w:footnoteRef/>
      </w:r>
      <w:r>
        <w:t xml:space="preserve"> </w:t>
      </w:r>
      <w:r>
        <w:tab/>
        <w:t xml:space="preserve">AER, </w:t>
      </w:r>
      <w:r w:rsidRPr="00FA7F87">
        <w:t xml:space="preserve">NSW electricity distributors pay $100 000 in penalties regarding their life support obligations, </w:t>
      </w:r>
      <w:r>
        <w:t xml:space="preserve">available at </w:t>
      </w:r>
      <w:hyperlink r:id="rId6" w:history="1">
        <w:r w:rsidRPr="00DF7387">
          <w:rPr>
            <w:rStyle w:val="Hyperlink"/>
            <w:sz w:val="16"/>
          </w:rPr>
          <w:t>http://www.aer.gov.au/node/30100</w:t>
        </w:r>
      </w:hyperlink>
      <w:r>
        <w:t xml:space="preserve"> [last accessed 23 March 2015].</w:t>
      </w:r>
    </w:p>
  </w:footnote>
  <w:footnote w:id="676">
    <w:p w:rsidR="00223658" w:rsidRDefault="00223658" w:rsidP="00051BDB">
      <w:pPr>
        <w:pStyle w:val="FootnoteText"/>
      </w:pPr>
      <w:r>
        <w:rPr>
          <w:rStyle w:val="FootnoteReference"/>
        </w:rPr>
        <w:footnoteRef/>
      </w:r>
      <w:r>
        <w:t xml:space="preserve"> </w:t>
      </w:r>
      <w:r>
        <w:tab/>
        <w:t xml:space="preserve">AER, </w:t>
      </w:r>
      <w:r w:rsidRPr="000757CD">
        <w:t>NSW and Tasmanian electricity distributors pay $60,000 in penalties regarding their life support obligations</w:t>
      </w:r>
      <w:r w:rsidRPr="00FA7F87">
        <w:t xml:space="preserve">, </w:t>
      </w:r>
      <w:r>
        <w:t xml:space="preserve">available at </w:t>
      </w:r>
      <w:hyperlink r:id="rId7" w:history="1">
        <w:r w:rsidRPr="00795E17">
          <w:rPr>
            <w:rStyle w:val="Hyperlink"/>
            <w:sz w:val="16"/>
          </w:rPr>
          <w:t>https://www.aer.gov.au/node/30944</w:t>
        </w:r>
      </w:hyperlink>
      <w:r>
        <w:t xml:space="preserve"> [last accessed 23 March 2015].</w:t>
      </w:r>
    </w:p>
  </w:footnote>
  <w:footnote w:id="677">
    <w:p w:rsidR="00223658" w:rsidRDefault="00223658" w:rsidP="00051BDB">
      <w:pPr>
        <w:pStyle w:val="FootnoteText"/>
      </w:pPr>
      <w:r>
        <w:rPr>
          <w:rStyle w:val="FootnoteReference"/>
        </w:rPr>
        <w:footnoteRef/>
      </w:r>
      <w:r>
        <w:t xml:space="preserve"> </w:t>
      </w:r>
      <w:r>
        <w:tab/>
        <w:t>Jacobs, Networks NSW - Draft Determination Review: System Capex &amp; Maintenance Prudency Assessment, 15 January 2015, pp. 4, 47-52 and 57.</w:t>
      </w:r>
    </w:p>
  </w:footnote>
  <w:footnote w:id="678">
    <w:p w:rsidR="00223658" w:rsidRDefault="00223658" w:rsidP="00051BDB">
      <w:pPr>
        <w:pStyle w:val="FootnoteText"/>
      </w:pPr>
      <w:r>
        <w:rPr>
          <w:rStyle w:val="FootnoteReference"/>
        </w:rPr>
        <w:footnoteRef/>
      </w:r>
      <w:r>
        <w:t xml:space="preserve"> </w:t>
      </w:r>
      <w:r>
        <w:tab/>
        <w:t>R2A, Asset / System Failure Safety Risk Assessment: Client Reference Networks NSW RFQE2, January 2015, pp. 14-15.</w:t>
      </w:r>
    </w:p>
  </w:footnote>
  <w:footnote w:id="679">
    <w:p w:rsidR="00223658" w:rsidRDefault="00223658" w:rsidP="00051BDB">
      <w:pPr>
        <w:pStyle w:val="FootnoteText"/>
      </w:pPr>
      <w:r>
        <w:rPr>
          <w:rStyle w:val="FootnoteReference"/>
        </w:rPr>
        <w:footnoteRef/>
      </w:r>
      <w:r>
        <w:t xml:space="preserve"> </w:t>
      </w:r>
      <w:r>
        <w:tab/>
        <w:t>Trevor Armstrong, Statement of Trevor Armstrong Chief Operating Officer Ausgrid, 19 January 2015, pp. 32 - 36.</w:t>
      </w:r>
    </w:p>
  </w:footnote>
  <w:footnote w:id="680">
    <w:p w:rsidR="00223658" w:rsidRDefault="00223658" w:rsidP="00051BDB">
      <w:pPr>
        <w:pStyle w:val="FootnoteText"/>
      </w:pPr>
      <w:r>
        <w:rPr>
          <w:rStyle w:val="FootnoteReference"/>
        </w:rPr>
        <w:footnoteRef/>
      </w:r>
      <w:r>
        <w:t xml:space="preserve"> </w:t>
      </w:r>
      <w:r>
        <w:tab/>
        <w:t xml:space="preserve"> Rod Howard, Statement of Rod Howard Chief Operating Officer Endeavour Energy, 19 January 2015, pp.29-30.</w:t>
      </w:r>
    </w:p>
  </w:footnote>
  <w:footnote w:id="681">
    <w:p w:rsidR="00223658" w:rsidRDefault="00223658" w:rsidP="00051BDB">
      <w:pPr>
        <w:pStyle w:val="FootnoteText"/>
      </w:pPr>
      <w:r>
        <w:rPr>
          <w:rStyle w:val="FootnoteReference"/>
        </w:rPr>
        <w:footnoteRef/>
      </w:r>
      <w:r>
        <w:t xml:space="preserve"> </w:t>
      </w:r>
      <w:r>
        <w:tab/>
        <w:t>Gary Humphreys, Statement of Gary Humphries Chief Operating Officer Essential Energy, 19 January 2015, pp. 22 to 28.</w:t>
      </w:r>
    </w:p>
  </w:footnote>
  <w:footnote w:id="682">
    <w:p w:rsidR="00223658" w:rsidRDefault="00223658" w:rsidP="00051BDB">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83">
    <w:p w:rsidR="00223658" w:rsidRDefault="00223658" w:rsidP="00051BDB">
      <w:pPr>
        <w:pStyle w:val="FootnoteText"/>
      </w:pPr>
      <w:r>
        <w:rPr>
          <w:rStyle w:val="FootnoteReference"/>
        </w:rPr>
        <w:footnoteRef/>
      </w:r>
      <w:r>
        <w:t xml:space="preserve"> </w:t>
      </w:r>
      <w:r>
        <w:tab/>
        <w:t>R2A, Asset / System Failure Safety Risk Assessment: Client Reference Networks NSW RFQE2, January 2015 pp. 18-19</w:t>
      </w:r>
    </w:p>
  </w:footnote>
  <w:footnote w:id="684">
    <w:p w:rsidR="00223658" w:rsidRDefault="00223658" w:rsidP="00051BDB">
      <w:pPr>
        <w:pStyle w:val="FootnoteText"/>
      </w:pPr>
      <w:r>
        <w:rPr>
          <w:rStyle w:val="FootnoteReference"/>
        </w:rPr>
        <w:footnoteRef/>
      </w:r>
      <w:r>
        <w:t xml:space="preserve"> </w:t>
      </w:r>
      <w:r>
        <w:tab/>
        <w:t>R2A, Asset / System Failure Safety Risk Assessment: Client Reference Networks NSW RFQE2, January 2015 pp. 14-15.</w:t>
      </w:r>
    </w:p>
  </w:footnote>
  <w:footnote w:id="685">
    <w:p w:rsidR="00223658" w:rsidRDefault="00223658" w:rsidP="00051BDB">
      <w:pPr>
        <w:pStyle w:val="FootnoteText"/>
      </w:pPr>
      <w:r>
        <w:rPr>
          <w:rStyle w:val="FootnoteReference"/>
        </w:rPr>
        <w:footnoteRef/>
      </w:r>
      <w:r>
        <w:t xml:space="preserve"> </w:t>
      </w:r>
      <w:r>
        <w:tab/>
        <w:t>Electricity Safety (Bushfire Mitigation) Regulations 2013, s. 7.(i).</w:t>
      </w:r>
    </w:p>
  </w:footnote>
  <w:footnote w:id="686">
    <w:p w:rsidR="00223658" w:rsidRDefault="00223658" w:rsidP="00051BDB">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87">
    <w:p w:rsidR="00223658" w:rsidRDefault="00223658" w:rsidP="00051BDB">
      <w:pPr>
        <w:pStyle w:val="FootnoteText"/>
      </w:pPr>
      <w:r>
        <w:rPr>
          <w:rStyle w:val="FootnoteReference"/>
        </w:rPr>
        <w:footnoteRef/>
      </w:r>
      <w:r>
        <w:t xml:space="preserve"> </w:t>
      </w:r>
      <w:r>
        <w:tab/>
        <w:t>Jacobs, Networks NSW - Draft Determination Review: System Capex &amp; Maintenance Prudency Assessment, 15 January 2015, Appendix B.</w:t>
      </w:r>
    </w:p>
  </w:footnote>
  <w:footnote w:id="688">
    <w:p w:rsidR="00223658" w:rsidRDefault="00223658" w:rsidP="00051BDB">
      <w:pPr>
        <w:pStyle w:val="FootnoteText"/>
      </w:pPr>
      <w:r>
        <w:rPr>
          <w:rStyle w:val="FootnoteReference"/>
        </w:rPr>
        <w:footnoteRef/>
      </w:r>
      <w:r>
        <w:t xml:space="preserve"> </w:t>
      </w:r>
      <w:r>
        <w:tab/>
        <w:t>Jacobs, Networks NSW - Draft Determination Review: System Capex &amp; Maintenance Prudency Assessment, 15 January 2015, p. 4.</w:t>
      </w:r>
    </w:p>
  </w:footnote>
  <w:footnote w:id="689">
    <w:p w:rsidR="00223658" w:rsidRDefault="00223658" w:rsidP="00051BDB">
      <w:pPr>
        <w:pStyle w:val="FootnoteText"/>
      </w:pPr>
      <w:r>
        <w:rPr>
          <w:rStyle w:val="FootnoteReference"/>
        </w:rPr>
        <w:footnoteRef/>
      </w:r>
      <w:r>
        <w:t xml:space="preserve"> </w:t>
      </w:r>
      <w:r>
        <w:tab/>
        <w:t>Powercor, Bushfire Management Plan 2014–19, 10 July 2014, p. 15.</w:t>
      </w:r>
    </w:p>
  </w:footnote>
  <w:footnote w:id="690">
    <w:p w:rsidR="00223658" w:rsidRDefault="00223658" w:rsidP="00051BDB">
      <w:pPr>
        <w:pStyle w:val="FootnoteText"/>
      </w:pPr>
      <w:r>
        <w:rPr>
          <w:rStyle w:val="FootnoteReference"/>
        </w:rPr>
        <w:footnoteRef/>
      </w:r>
      <w:r>
        <w:t xml:space="preserve"> </w:t>
      </w:r>
      <w:r>
        <w:tab/>
        <w:t>CitiPower, Bushfire Management Plan, 1 July 2014, p. 17.</w:t>
      </w:r>
    </w:p>
  </w:footnote>
  <w:footnote w:id="691">
    <w:p w:rsidR="00223658" w:rsidRDefault="00223658" w:rsidP="00051BDB">
      <w:pPr>
        <w:pStyle w:val="FootnoteText"/>
      </w:pPr>
      <w:r>
        <w:rPr>
          <w:rStyle w:val="FootnoteReference"/>
        </w:rPr>
        <w:footnoteRef/>
      </w:r>
      <w:r>
        <w:t xml:space="preserve"> </w:t>
      </w:r>
      <w:r>
        <w:tab/>
        <w:t>SA Power Networks, Regulatory Proposal: Attachment 7.2, 2014, p. 64.</w:t>
      </w:r>
    </w:p>
  </w:footnote>
  <w:footnote w:id="692">
    <w:p w:rsidR="00223658" w:rsidRDefault="00223658" w:rsidP="00051BDB">
      <w:pPr>
        <w:pStyle w:val="FootnoteText"/>
      </w:pPr>
      <w:r>
        <w:rPr>
          <w:rStyle w:val="FootnoteReference"/>
        </w:rPr>
        <w:footnoteRef/>
      </w:r>
      <w:r>
        <w:t xml:space="preserve"> </w:t>
      </w:r>
      <w:r>
        <w:tab/>
        <w:t>AusNet services</w:t>
      </w:r>
      <w:r w:rsidRPr="00E54D6A">
        <w:t>, Bushfire Management Plan</w:t>
      </w:r>
      <w:r w:rsidRPr="00380744">
        <w:t>: Electricity Distribution Network</w:t>
      </w:r>
      <w:r w:rsidRPr="00E54D6A">
        <w:t xml:space="preserve">, </w:t>
      </w:r>
      <w:r>
        <w:t>22 July</w:t>
      </w:r>
      <w:r w:rsidRPr="00E54D6A">
        <w:t xml:space="preserve"> 2014, p.</w:t>
      </w:r>
      <w:r>
        <w:t xml:space="preserve"> 37.</w:t>
      </w:r>
    </w:p>
  </w:footnote>
  <w:footnote w:id="693">
    <w:p w:rsidR="00223658" w:rsidRDefault="00223658" w:rsidP="00051BDB">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94">
    <w:p w:rsidR="00223658" w:rsidRDefault="00223658" w:rsidP="00051BDB">
      <w:pPr>
        <w:pStyle w:val="FootnoteText"/>
      </w:pPr>
      <w:r>
        <w:rPr>
          <w:rStyle w:val="FootnoteReference"/>
        </w:rPr>
        <w:footnoteRef/>
      </w:r>
      <w:r>
        <w:t xml:space="preserve"> </w:t>
      </w:r>
      <w:r>
        <w:tab/>
        <w:t>Advisian, Opex Cost Drivers: ActewAGL Distribution Electricity (ACT), 16 January 2015, p. 98.</w:t>
      </w:r>
    </w:p>
  </w:footnote>
  <w:footnote w:id="695">
    <w:p w:rsidR="00223658" w:rsidRDefault="00223658" w:rsidP="00051BDB">
      <w:pPr>
        <w:pStyle w:val="FootnoteText"/>
      </w:pPr>
      <w:r>
        <w:rPr>
          <w:rStyle w:val="FootnoteReference"/>
        </w:rPr>
        <w:footnoteRef/>
      </w:r>
      <w:r>
        <w:t xml:space="preserve"> </w:t>
      </w:r>
      <w:r>
        <w:tab/>
        <w:t>Advisian, Opex Cost Drivers: ActewAGL Distribution Electricity (ACT), 16 January 2015, p. 86.</w:t>
      </w:r>
    </w:p>
  </w:footnote>
  <w:footnote w:id="696">
    <w:p w:rsidR="00223658" w:rsidRDefault="00223658" w:rsidP="00051BDB">
      <w:pPr>
        <w:pStyle w:val="FootnoteText"/>
      </w:pPr>
      <w:r>
        <w:rPr>
          <w:rStyle w:val="FootnoteReference"/>
        </w:rPr>
        <w:footnoteRef/>
      </w:r>
      <w:r>
        <w:t xml:space="preserve"> </w:t>
      </w:r>
      <w:r>
        <w:tab/>
        <w:t>Essential Energy, Revised Proposal: Attachment 7.10, 20 January 2015, pp. 8-19</w:t>
      </w:r>
    </w:p>
  </w:footnote>
  <w:footnote w:id="697">
    <w:p w:rsidR="00223658" w:rsidRDefault="00223658" w:rsidP="00051BDB">
      <w:pPr>
        <w:pStyle w:val="FootnoteText"/>
      </w:pPr>
      <w:r>
        <w:rPr>
          <w:rStyle w:val="FootnoteReference"/>
        </w:rPr>
        <w:footnoteRef/>
      </w:r>
      <w:r>
        <w:t xml:space="preserve"> </w:t>
      </w:r>
      <w:r>
        <w:tab/>
        <w:t>Ergon Energy, Submission on the Draft Decisions: NSW and ACT distribution determinations 2015–16 to 2018–19, 13 February 2015, p. 18-19.</w:t>
      </w:r>
    </w:p>
  </w:footnote>
  <w:footnote w:id="698">
    <w:p w:rsidR="00223658" w:rsidRDefault="00223658" w:rsidP="00051BDB">
      <w:pPr>
        <w:pStyle w:val="FootnoteText"/>
      </w:pPr>
      <w:r>
        <w:rPr>
          <w:rStyle w:val="FootnoteReference"/>
        </w:rPr>
        <w:footnoteRef/>
      </w:r>
      <w:r>
        <w:t xml:space="preserve"> </w:t>
      </w:r>
      <w:r>
        <w:tab/>
        <w:t>Essential Energy, Revised Proposal: Attachment 7.10, p. 10.</w:t>
      </w:r>
    </w:p>
  </w:footnote>
  <w:footnote w:id="699">
    <w:p w:rsidR="00223658" w:rsidRDefault="00223658" w:rsidP="00051BDB">
      <w:pPr>
        <w:pStyle w:val="FootnoteText"/>
      </w:pPr>
      <w:r>
        <w:rPr>
          <w:rStyle w:val="FootnoteReference"/>
        </w:rPr>
        <w:footnoteRef/>
      </w:r>
      <w:r>
        <w:t xml:space="preserve"> </w:t>
      </w:r>
      <w:r>
        <w:tab/>
        <w:t>Essential Energy, Revised Proposal: Attachment 7.10, p. 10.</w:t>
      </w:r>
    </w:p>
  </w:footnote>
  <w:footnote w:id="700">
    <w:p w:rsidR="00223658" w:rsidRDefault="00223658" w:rsidP="00051BDB">
      <w:pPr>
        <w:pStyle w:val="FootnoteText"/>
      </w:pPr>
      <w:r>
        <w:rPr>
          <w:rStyle w:val="FootnoteReference"/>
        </w:rPr>
        <w:footnoteRef/>
      </w:r>
      <w:r>
        <w:t xml:space="preserve"> </w:t>
      </w:r>
      <w:r>
        <w:tab/>
        <w:t>Essential Energy, Revised Proposal: Attachment 7.10, pp. 15-16.</w:t>
      </w:r>
    </w:p>
  </w:footnote>
  <w:footnote w:id="701">
    <w:p w:rsidR="00223658" w:rsidRDefault="00223658" w:rsidP="00051BDB">
      <w:pPr>
        <w:pStyle w:val="FootnoteText"/>
      </w:pPr>
      <w:r>
        <w:rPr>
          <w:rStyle w:val="FootnoteReference"/>
        </w:rPr>
        <w:footnoteRef/>
      </w:r>
      <w:r>
        <w:t xml:space="preserve"> </w:t>
      </w:r>
      <w:r>
        <w:tab/>
        <w:t>Ergon Energy, Submissions on the Draft Decisions: NSW and ACT distribution determinations 2015–16 to 2018</w:t>
      </w:r>
      <w:r>
        <w:noBreakHyphen/>
        <w:t>19, 13 February 2015, pp. 18 -19.</w:t>
      </w:r>
    </w:p>
  </w:footnote>
  <w:footnote w:id="702">
    <w:p w:rsidR="00223658" w:rsidRDefault="00223658" w:rsidP="00051BDB">
      <w:pPr>
        <w:pStyle w:val="FootnoteText"/>
      </w:pPr>
      <w:r>
        <w:rPr>
          <w:rStyle w:val="FootnoteReference"/>
        </w:rPr>
        <w:footnoteRef/>
      </w:r>
      <w:r>
        <w:t xml:space="preserve"> </w:t>
      </w:r>
      <w:r>
        <w:tab/>
        <w:t xml:space="preserve">Ausgrid, Revised Proposal, 20 January 2015, p. 164. </w:t>
      </w:r>
    </w:p>
  </w:footnote>
  <w:footnote w:id="703">
    <w:p w:rsidR="00223658" w:rsidRDefault="00223658" w:rsidP="00051BDB">
      <w:pPr>
        <w:pStyle w:val="FootnoteText"/>
      </w:pPr>
      <w:r>
        <w:rPr>
          <w:rStyle w:val="FootnoteReference"/>
        </w:rPr>
        <w:footnoteRef/>
      </w:r>
      <w:r>
        <w:t xml:space="preserve"> </w:t>
      </w:r>
      <w:r>
        <w:tab/>
        <w:t>Endeavour, Revised Proposal, 20 January 2015, p. 186.</w:t>
      </w:r>
    </w:p>
  </w:footnote>
  <w:footnote w:id="704">
    <w:p w:rsidR="00223658" w:rsidRDefault="00223658" w:rsidP="00051BDB">
      <w:pPr>
        <w:pStyle w:val="FootnoteText"/>
      </w:pPr>
      <w:r>
        <w:rPr>
          <w:rStyle w:val="FootnoteReference"/>
        </w:rPr>
        <w:footnoteRef/>
      </w:r>
      <w:r>
        <w:t xml:space="preserve"> </w:t>
      </w:r>
      <w:r>
        <w:tab/>
        <w:t>Essential, Revised Proposal, 20 January 2015, p. 48. And p. 200.</w:t>
      </w:r>
    </w:p>
  </w:footnote>
  <w:footnote w:id="705">
    <w:p w:rsidR="00223658" w:rsidRDefault="00223658" w:rsidP="00051BDB">
      <w:pPr>
        <w:pStyle w:val="FootnoteText"/>
      </w:pPr>
      <w:r>
        <w:rPr>
          <w:rStyle w:val="FootnoteReference"/>
        </w:rPr>
        <w:footnoteRef/>
      </w:r>
      <w:r>
        <w:t xml:space="preserve"> </w:t>
      </w:r>
      <w:r>
        <w:tab/>
        <w:t>Includes costs from the 2003 Canberra bushfires</w:t>
      </w:r>
    </w:p>
  </w:footnote>
  <w:footnote w:id="706">
    <w:p w:rsidR="00223658" w:rsidRPr="0075382F" w:rsidRDefault="00223658" w:rsidP="00051BDB">
      <w:pPr>
        <w:pStyle w:val="FootnoteText"/>
      </w:pPr>
      <w:r>
        <w:rPr>
          <w:rStyle w:val="FootnoteReference"/>
        </w:rPr>
        <w:footnoteRef/>
      </w:r>
      <w:r>
        <w:t xml:space="preserve"> </w:t>
      </w:r>
      <w:r>
        <w:tab/>
        <w:t xml:space="preserve">BTE, </w:t>
      </w:r>
      <w:r w:rsidRPr="0075382F">
        <w:rPr>
          <w:rStyle w:val="AERtextitalic"/>
        </w:rPr>
        <w:t>Economic costs of natural disasters in Australia</w:t>
      </w:r>
      <w:r>
        <w:rPr>
          <w:rStyle w:val="AERtextitalic"/>
        </w:rPr>
        <w:t xml:space="preserve">, </w:t>
      </w:r>
      <w:r w:rsidRPr="0075382F">
        <w:t xml:space="preserve">2001, p. </w:t>
      </w:r>
      <w:r>
        <w:t>35.</w:t>
      </w:r>
    </w:p>
  </w:footnote>
  <w:footnote w:id="707">
    <w:p w:rsidR="00223658" w:rsidRDefault="00223658" w:rsidP="00051BDB">
      <w:pPr>
        <w:pStyle w:val="FootnoteText"/>
      </w:pPr>
      <w:r>
        <w:rPr>
          <w:rStyle w:val="FootnoteReference"/>
        </w:rPr>
        <w:footnoteRef/>
      </w:r>
      <w:r>
        <w:t xml:space="preserve"> </w:t>
      </w:r>
      <w:r>
        <w:tab/>
        <w:t xml:space="preserve">ABS, </w:t>
      </w:r>
      <w:r w:rsidRPr="0075382F">
        <w:t>5220.0 - Australian National Accounts: State Accounts, 2012-13</w:t>
      </w:r>
    </w:p>
  </w:footnote>
  <w:footnote w:id="708">
    <w:p w:rsidR="00223658" w:rsidRDefault="00223658" w:rsidP="00051BDB">
      <w:pPr>
        <w:pStyle w:val="FootnoteText"/>
      </w:pPr>
      <w:r>
        <w:rPr>
          <w:rStyle w:val="FootnoteReference"/>
        </w:rPr>
        <w:footnoteRef/>
      </w:r>
      <w:r>
        <w:t xml:space="preserve"> </w:t>
      </w:r>
      <w:r>
        <w:tab/>
        <w:t xml:space="preserve">ABS, </w:t>
      </w:r>
      <w:r w:rsidRPr="0075382F">
        <w:t>6401.0 - Consumer Price Index</w:t>
      </w:r>
    </w:p>
  </w:footnote>
  <w:footnote w:id="709">
    <w:p w:rsidR="00223658" w:rsidRDefault="00223658" w:rsidP="00051BDB">
      <w:pPr>
        <w:pStyle w:val="FootnoteText"/>
      </w:pPr>
      <w:r>
        <w:rPr>
          <w:rStyle w:val="FootnoteReference"/>
        </w:rPr>
        <w:footnoteRef/>
      </w:r>
      <w:r>
        <w:t xml:space="preserve"> </w:t>
      </w:r>
      <w:r>
        <w:tab/>
        <w:t xml:space="preserve">ABS, </w:t>
      </w:r>
      <w:r w:rsidRPr="00A957F7">
        <w:t>1301.0 - Year Book Australia, 2004</w:t>
      </w:r>
    </w:p>
  </w:footnote>
  <w:footnote w:id="710">
    <w:p w:rsidR="00223658" w:rsidRDefault="00223658" w:rsidP="00051BDB">
      <w:pPr>
        <w:pStyle w:val="FootnoteText"/>
      </w:pPr>
      <w:r>
        <w:rPr>
          <w:rStyle w:val="FootnoteReference"/>
        </w:rPr>
        <w:footnoteRef/>
      </w:r>
      <w:r>
        <w:t xml:space="preserve"> </w:t>
      </w:r>
      <w:r>
        <w:tab/>
        <w:t>Essential Energy, Revised Proposal: Attachment 7.10, 20 January 2015, p. 16.</w:t>
      </w:r>
    </w:p>
  </w:footnote>
  <w:footnote w:id="711">
    <w:p w:rsidR="00223658" w:rsidRDefault="00223658" w:rsidP="00051BDB">
      <w:pPr>
        <w:pStyle w:val="FootnoteText"/>
      </w:pPr>
      <w:r>
        <w:rPr>
          <w:rStyle w:val="FootnoteReference"/>
        </w:rPr>
        <w:footnoteRef/>
      </w:r>
      <w:r>
        <w:t xml:space="preserve"> </w:t>
      </w:r>
      <w:r>
        <w:tab/>
      </w:r>
      <w:r w:rsidRPr="00BA74EC">
        <w:t xml:space="preserve">Johnson, R. W., Blong R. J. and Ryan C.J. 1995. Natural Hazards </w:t>
      </w:r>
      <w:r>
        <w:t>P</w:t>
      </w:r>
      <w:r w:rsidRPr="00BA74EC">
        <w:t>otential</w:t>
      </w:r>
      <w:r>
        <w:t xml:space="preserve"> Map</w:t>
      </w:r>
      <w:r w:rsidRPr="00BA74EC">
        <w:t xml:space="preserve"> </w:t>
      </w:r>
      <w:r>
        <w:t>of</w:t>
      </w:r>
      <w:r w:rsidRPr="00BA74EC">
        <w:t xml:space="preserve"> the </w:t>
      </w:r>
      <w:r>
        <w:t>Circum-</w:t>
      </w:r>
      <w:r w:rsidRPr="00BA74EC">
        <w:t xml:space="preserve">Pacific </w:t>
      </w:r>
      <w:r>
        <w:t>Region: Southwest Quadrant</w:t>
      </w:r>
      <w:r w:rsidRPr="00BA74EC">
        <w:t xml:space="preserve">, </w:t>
      </w:r>
      <w:r>
        <w:t xml:space="preserve">1995, pp. 51-52. </w:t>
      </w:r>
    </w:p>
  </w:footnote>
  <w:footnote w:id="712">
    <w:p w:rsidR="00223658" w:rsidRDefault="00223658" w:rsidP="00051BDB">
      <w:pPr>
        <w:pStyle w:val="FootnoteText"/>
      </w:pPr>
      <w:r>
        <w:rPr>
          <w:rStyle w:val="FootnoteReference"/>
        </w:rPr>
        <w:footnoteRef/>
      </w:r>
      <w:r>
        <w:t xml:space="preserve"> </w:t>
      </w:r>
      <w:r>
        <w:tab/>
        <w:t>Essential Energy, Network Management Plan: Chapter 4 - Bushfire Risk Management Plan, p. 5.</w:t>
      </w:r>
    </w:p>
  </w:footnote>
  <w:footnote w:id="713">
    <w:p w:rsidR="00223658" w:rsidRDefault="00223658" w:rsidP="00051BDB">
      <w:pPr>
        <w:pStyle w:val="FootnoteText"/>
      </w:pPr>
      <w:r>
        <w:rPr>
          <w:rStyle w:val="FootnoteReference"/>
        </w:rPr>
        <w:footnoteRef/>
      </w:r>
      <w:r>
        <w:t xml:space="preserve"> </w:t>
      </w:r>
      <w:r>
        <w:tab/>
        <w:t>AER,</w:t>
      </w:r>
      <w:r w:rsidRPr="00D04F6F">
        <w:rPr>
          <w:rStyle w:val="AERtextitalic"/>
        </w:rPr>
        <w:t xml:space="preserve"> </w:t>
      </w:r>
      <w:r>
        <w:rPr>
          <w:rStyle w:val="AERtextitalic"/>
        </w:rPr>
        <w:t xml:space="preserve">Victorian electricity distribution network service providers: Distribution determination </w:t>
      </w:r>
      <w:r w:rsidRPr="00D04F6F">
        <w:rPr>
          <w:rStyle w:val="AERtextitalic"/>
        </w:rPr>
        <w:t xml:space="preserve"> 2011-2015</w:t>
      </w:r>
      <w:r>
        <w:rPr>
          <w:rStyle w:val="AERtextitalic"/>
        </w:rPr>
        <w:t xml:space="preserve"> – Final Decision appendices</w:t>
      </w:r>
      <w:r>
        <w:t>, September 2012, p. 301.</w:t>
      </w:r>
    </w:p>
  </w:footnote>
  <w:footnote w:id="714">
    <w:p w:rsidR="00223658" w:rsidRDefault="00223658" w:rsidP="00051BDB">
      <w:pPr>
        <w:pStyle w:val="FootnoteText"/>
      </w:pPr>
      <w:r>
        <w:rPr>
          <w:rStyle w:val="FootnoteReference"/>
        </w:rPr>
        <w:footnoteRef/>
      </w:r>
      <w:r>
        <w:t xml:space="preserve"> </w:t>
      </w:r>
      <w:r>
        <w:tab/>
        <w:t>AER, Final Decision: CitiPower Ltd and Powercor Australia Ltd vegetation management forecast operating expenditure step change, 2011–2015, August 2012, p. 2.</w:t>
      </w:r>
    </w:p>
  </w:footnote>
  <w:footnote w:id="715">
    <w:p w:rsidR="00223658" w:rsidRDefault="00223658" w:rsidP="00051BDB">
      <w:pPr>
        <w:pStyle w:val="FootnoteText"/>
      </w:pPr>
      <w:r>
        <w:rPr>
          <w:rStyle w:val="FootnoteReference"/>
        </w:rPr>
        <w:footnoteRef/>
      </w:r>
      <w:r>
        <w:t xml:space="preserve"> </w:t>
      </w:r>
      <w:r>
        <w:tab/>
        <w:t xml:space="preserve">Victorian Government, </w:t>
      </w:r>
      <w:r w:rsidRPr="00F16FCC">
        <w:rPr>
          <w:rStyle w:val="AERtextitalic"/>
        </w:rPr>
        <w:t>Implementing the Government’s Response to the 2009 Victorian Bushfires Royal Commission</w:t>
      </w:r>
      <w:r>
        <w:t>, May 2011, p. 61.</w:t>
      </w:r>
    </w:p>
  </w:footnote>
  <w:footnote w:id="716">
    <w:p w:rsidR="00223658" w:rsidRDefault="00223658" w:rsidP="00051BDB">
      <w:pPr>
        <w:pStyle w:val="FootnoteText"/>
      </w:pPr>
      <w:r>
        <w:rPr>
          <w:rStyle w:val="FootnoteReference"/>
        </w:rPr>
        <w:footnoteRef/>
      </w:r>
      <w:r>
        <w:t xml:space="preserve"> </w:t>
      </w:r>
      <w:r>
        <w:tab/>
        <w:t xml:space="preserve">Victorian Government, </w:t>
      </w:r>
      <w:r w:rsidRPr="00F16FCC">
        <w:rPr>
          <w:rStyle w:val="AERtextitalic"/>
        </w:rPr>
        <w:t>Implementing the Government’s Response to the 2009 Victorian Bushfires Royal Commission</w:t>
      </w:r>
      <w:r>
        <w:t>, May 2011, p. 61.</w:t>
      </w:r>
    </w:p>
  </w:footnote>
  <w:footnote w:id="717">
    <w:p w:rsidR="00223658" w:rsidRDefault="00223658" w:rsidP="00051BDB">
      <w:pPr>
        <w:pStyle w:val="FootnoteText"/>
      </w:pPr>
      <w:r>
        <w:rPr>
          <w:rStyle w:val="FootnoteReference"/>
        </w:rPr>
        <w:footnoteRef/>
      </w:r>
      <w:r>
        <w:t xml:space="preserve"> </w:t>
      </w:r>
      <w:r>
        <w:tab/>
        <w:t>Victorian Government, Implementing the Government’s R</w:t>
      </w:r>
      <w:r w:rsidRPr="00C45CC0">
        <w:t xml:space="preserve">esponse to the </w:t>
      </w:r>
      <w:r w:rsidRPr="006A13A9">
        <w:t xml:space="preserve">2009 </w:t>
      </w:r>
      <w:r>
        <w:t>Victorian Bushfires Royal C</w:t>
      </w:r>
      <w:r w:rsidRPr="006A13A9">
        <w:t>ommission</w:t>
      </w:r>
      <w:r>
        <w:t>, May 2011, p. 59.</w:t>
      </w:r>
    </w:p>
  </w:footnote>
  <w:footnote w:id="718">
    <w:p w:rsidR="00223658" w:rsidRDefault="00223658" w:rsidP="00051BDB">
      <w:pPr>
        <w:pStyle w:val="FootnoteText"/>
      </w:pPr>
      <w:r>
        <w:rPr>
          <w:rStyle w:val="FootnoteReference"/>
        </w:rPr>
        <w:footnoteRef/>
      </w:r>
      <w:r>
        <w:t xml:space="preserve"> </w:t>
      </w:r>
      <w:r>
        <w:tab/>
        <w:t>Energy Safe Victoria, Regulatory Impact Statement: Electricity Safety (Bushfire Mitigation) Regulations 2013, 25 February 2013, p. 3.</w:t>
      </w:r>
    </w:p>
  </w:footnote>
  <w:footnote w:id="719">
    <w:p w:rsidR="00223658" w:rsidRDefault="00223658" w:rsidP="00051BDB">
      <w:pPr>
        <w:pStyle w:val="FootnoteText"/>
      </w:pPr>
      <w:r>
        <w:rPr>
          <w:rStyle w:val="FootnoteReference"/>
        </w:rPr>
        <w:footnoteRef/>
      </w:r>
      <w:r>
        <w:t xml:space="preserve"> </w:t>
      </w:r>
      <w:r>
        <w:tab/>
      </w:r>
      <w:r w:rsidRPr="00F72F59">
        <w:rPr>
          <w:rStyle w:val="AERtextitalic"/>
        </w:rPr>
        <w:t>Electricity Safety (Electric Line Clearance) Regulations 2010, Schedule</w:t>
      </w:r>
      <w:r>
        <w:t>.</w:t>
      </w:r>
    </w:p>
  </w:footnote>
  <w:footnote w:id="720">
    <w:p w:rsidR="00223658" w:rsidRDefault="00223658" w:rsidP="00051BDB">
      <w:pPr>
        <w:pStyle w:val="FootnoteText"/>
      </w:pPr>
      <w:r>
        <w:rPr>
          <w:rStyle w:val="FootnoteReference"/>
        </w:rPr>
        <w:footnoteRef/>
      </w:r>
      <w:r>
        <w:t xml:space="preserve"> </w:t>
      </w:r>
      <w:r>
        <w:tab/>
        <w:t>CitiPower and Powercor Australia, Response to AER Queries Received 8 January 2015, 30 January 2015, p. 3.</w:t>
      </w:r>
    </w:p>
  </w:footnote>
  <w:footnote w:id="721">
    <w:p w:rsidR="00223658" w:rsidRDefault="00223658" w:rsidP="00051BDB">
      <w:pPr>
        <w:pStyle w:val="FootnoteText"/>
      </w:pPr>
      <w:r>
        <w:rPr>
          <w:rStyle w:val="FootnoteReference"/>
        </w:rPr>
        <w:footnoteRef/>
      </w:r>
      <w:r>
        <w:t xml:space="preserve"> </w:t>
      </w:r>
      <w:r>
        <w:tab/>
        <w:t>United Energy, Response to request for Information on Bushfire Regulations and Opex Productivity, 23 January 2015, p. 5.</w:t>
      </w:r>
    </w:p>
  </w:footnote>
  <w:footnote w:id="722">
    <w:p w:rsidR="00223658" w:rsidRDefault="00223658" w:rsidP="00051BDB">
      <w:pPr>
        <w:pStyle w:val="FootnoteText"/>
      </w:pPr>
      <w:r>
        <w:rPr>
          <w:rStyle w:val="FootnoteReference"/>
        </w:rPr>
        <w:footnoteRef/>
      </w:r>
      <w:r>
        <w:t xml:space="preserve"> </w:t>
      </w:r>
      <w:r>
        <w:tab/>
        <w:t xml:space="preserve">AusNet Services, </w:t>
      </w:r>
      <w:r w:rsidRPr="00DE3F31">
        <w:t>Response to AER bushfire regulation and productivity info request</w:t>
      </w:r>
      <w:r>
        <w:t>, 23 January 2015, p. 2.</w:t>
      </w:r>
    </w:p>
  </w:footnote>
  <w:footnote w:id="723">
    <w:p w:rsidR="00223658" w:rsidRDefault="00223658" w:rsidP="00051BDB">
      <w:pPr>
        <w:pStyle w:val="FootnoteText"/>
      </w:pPr>
      <w:r>
        <w:rPr>
          <w:rStyle w:val="FootnoteReference"/>
        </w:rPr>
        <w:footnoteRef/>
      </w:r>
      <w:r>
        <w:t xml:space="preserve"> </w:t>
      </w:r>
      <w:r>
        <w:tab/>
        <w:t xml:space="preserve">Jemena, </w:t>
      </w:r>
      <w:r w:rsidRPr="00DE3F31">
        <w:t>Response to questions concerning bushfire regulations and productivity</w:t>
      </w:r>
      <w:r>
        <w:t>, 3 February 2015, p. 18.</w:t>
      </w:r>
    </w:p>
  </w:footnote>
  <w:footnote w:id="724">
    <w:p w:rsidR="00223658" w:rsidRDefault="00223658" w:rsidP="00051BDB">
      <w:pPr>
        <w:pStyle w:val="FootnoteText"/>
      </w:pPr>
      <w:r>
        <w:rPr>
          <w:rStyle w:val="FootnoteReference"/>
        </w:rPr>
        <w:footnoteRef/>
      </w:r>
      <w:r>
        <w:t xml:space="preserve"> </w:t>
      </w:r>
      <w:r>
        <w:tab/>
        <w:t>Energy Safe Victoria, Annual Safety Performance Report 2011, 31 August 2012,  p. 44.</w:t>
      </w:r>
    </w:p>
  </w:footnote>
  <w:footnote w:id="725">
    <w:p w:rsidR="00223658" w:rsidRDefault="00223658" w:rsidP="00051BDB">
      <w:pPr>
        <w:pStyle w:val="FootnoteText"/>
      </w:pPr>
      <w:r>
        <w:rPr>
          <w:rStyle w:val="FootnoteReference"/>
        </w:rPr>
        <w:footnoteRef/>
      </w:r>
      <w:r>
        <w:t xml:space="preserve"> </w:t>
      </w:r>
      <w:r>
        <w:tab/>
      </w:r>
      <w:r w:rsidRPr="002A0DA7">
        <w:rPr>
          <w:rStyle w:val="AERtextitalic"/>
        </w:rPr>
        <w:t xml:space="preserve">Electricity Supply (Safety and Network Management) Regulation </w:t>
      </w:r>
      <w:r w:rsidRPr="00677F29">
        <w:rPr>
          <w:rStyle w:val="AERtextitalic"/>
        </w:rPr>
        <w:t>2014</w:t>
      </w:r>
      <w:r w:rsidRPr="005926F1">
        <w:rPr>
          <w:rStyle w:val="AERtextitalic"/>
          <w:i w:val="0"/>
        </w:rPr>
        <w:t xml:space="preserve">, </w:t>
      </w:r>
      <w:r w:rsidRPr="005926F1">
        <w:rPr>
          <w:rStyle w:val="AERbody"/>
          <w:sz w:val="16"/>
        </w:rPr>
        <w:t>section 7(1)(iv).</w:t>
      </w:r>
    </w:p>
  </w:footnote>
  <w:footnote w:id="726">
    <w:p w:rsidR="00223658" w:rsidRDefault="00223658" w:rsidP="00051BDB">
      <w:pPr>
        <w:pStyle w:val="FootnoteText"/>
      </w:pPr>
      <w:r>
        <w:rPr>
          <w:rStyle w:val="FootnoteReference"/>
        </w:rPr>
        <w:footnoteRef/>
      </w:r>
      <w:r>
        <w:t xml:space="preserve"> </w:t>
      </w:r>
      <w:r>
        <w:tab/>
      </w:r>
      <w:r w:rsidRPr="002A0DA7">
        <w:rPr>
          <w:rStyle w:val="AERtextitalic"/>
        </w:rPr>
        <w:t>Electricity Supply (Safety and Net</w:t>
      </w:r>
      <w:r>
        <w:rPr>
          <w:rStyle w:val="AERtextitalic"/>
        </w:rPr>
        <w:t>work Management) Regulation 2008</w:t>
      </w:r>
      <w:r>
        <w:rPr>
          <w:rStyle w:val="AERbody"/>
        </w:rPr>
        <w:t>.</w:t>
      </w:r>
    </w:p>
  </w:footnote>
  <w:footnote w:id="727">
    <w:p w:rsidR="00223658" w:rsidRDefault="00223658" w:rsidP="00051BDB">
      <w:pPr>
        <w:pStyle w:val="FootnoteText"/>
      </w:pPr>
      <w:r>
        <w:rPr>
          <w:rStyle w:val="FootnoteReference"/>
        </w:rPr>
        <w:footnoteRef/>
      </w:r>
      <w:r>
        <w:t xml:space="preserve"> </w:t>
      </w:r>
      <w:r>
        <w:tab/>
      </w:r>
      <w:r w:rsidRPr="002A0DA7">
        <w:rPr>
          <w:rStyle w:val="AERtextitalic"/>
        </w:rPr>
        <w:t>Electricity Supply (Safety and Net</w:t>
      </w:r>
      <w:r>
        <w:rPr>
          <w:rStyle w:val="AERtextitalic"/>
        </w:rPr>
        <w:t>work Management) Regulation 2002.</w:t>
      </w:r>
    </w:p>
  </w:footnote>
  <w:footnote w:id="728">
    <w:p w:rsidR="00223658" w:rsidRDefault="00223658" w:rsidP="00051BDB">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w:t>
      </w:r>
    </w:p>
  </w:footnote>
  <w:footnote w:id="729">
    <w:p w:rsidR="00223658" w:rsidRDefault="00223658" w:rsidP="00051BDB">
      <w:pPr>
        <w:pStyle w:val="FootnoteText"/>
      </w:pPr>
      <w:r>
        <w:rPr>
          <w:rStyle w:val="FootnoteReference"/>
        </w:rPr>
        <w:footnoteRef/>
      </w:r>
      <w:r>
        <w:t xml:space="preserve"> </w:t>
      </w:r>
      <w:r>
        <w:tab/>
        <w:t>Essential Energy, Revised Proposal: Attachment 7.10, January 20 2014, p. 9.</w:t>
      </w:r>
    </w:p>
  </w:footnote>
  <w:footnote w:id="730">
    <w:p w:rsidR="00223658" w:rsidRDefault="00223658" w:rsidP="00051BDB">
      <w:pPr>
        <w:pStyle w:val="FootnoteText"/>
      </w:pPr>
      <w:r>
        <w:rPr>
          <w:rStyle w:val="FootnoteReference"/>
        </w:rPr>
        <w:footnoteRef/>
      </w:r>
      <w:r>
        <w:t xml:space="preserve"> </w:t>
      </w:r>
      <w:r>
        <w:tab/>
      </w:r>
      <w:r w:rsidRPr="009D02F4">
        <w:t xml:space="preserve">NSW </w:t>
      </w:r>
      <w:r>
        <w:t>Department of Water</w:t>
      </w:r>
      <w:r w:rsidRPr="009D02F4">
        <w:t xml:space="preserve"> and Energy, </w:t>
      </w:r>
      <w:r w:rsidRPr="00F16FCC">
        <w:rPr>
          <w:rStyle w:val="AERtextitalic"/>
        </w:rPr>
        <w:t>Code of Practice Electricity transmission and distribution asset management,</w:t>
      </w:r>
      <w:r>
        <w:t xml:space="preserve"> February 2009, p. 5.</w:t>
      </w:r>
    </w:p>
  </w:footnote>
  <w:footnote w:id="731">
    <w:p w:rsidR="00223658" w:rsidRDefault="00223658" w:rsidP="00051BDB">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32.</w:t>
      </w:r>
    </w:p>
  </w:footnote>
  <w:footnote w:id="732">
    <w:p w:rsidR="00223658" w:rsidRDefault="00223658" w:rsidP="00051BDB">
      <w:pPr>
        <w:pStyle w:val="FootnoteText"/>
      </w:pPr>
      <w:r>
        <w:rPr>
          <w:rStyle w:val="FootnoteReference"/>
        </w:rPr>
        <w:footnoteRef/>
      </w:r>
      <w:r>
        <w:t xml:space="preserve"> </w:t>
      </w:r>
      <w:r>
        <w:tab/>
        <w:t>Electricity Safety (Electric Line Clearance Regulations) 2005, p.18</w:t>
      </w:r>
    </w:p>
  </w:footnote>
  <w:footnote w:id="733">
    <w:p w:rsidR="00223658" w:rsidRDefault="00223658" w:rsidP="00051BDB">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30.</w:t>
      </w:r>
    </w:p>
  </w:footnote>
  <w:footnote w:id="734">
    <w:p w:rsidR="00223658" w:rsidRDefault="00223658" w:rsidP="00051BDB">
      <w:pPr>
        <w:pStyle w:val="FootnoteText"/>
      </w:pPr>
      <w:r>
        <w:rPr>
          <w:rStyle w:val="FootnoteReference"/>
        </w:rPr>
        <w:footnoteRef/>
      </w:r>
      <w:r>
        <w:t xml:space="preserve"> </w:t>
      </w:r>
      <w:r>
        <w:tab/>
        <w:t>Electricity Safety (Electric Line Clearance Regulations) 2005, p.22.</w:t>
      </w:r>
    </w:p>
  </w:footnote>
  <w:footnote w:id="735">
    <w:p w:rsidR="00223658" w:rsidRDefault="00223658" w:rsidP="00051BDB">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30.</w:t>
      </w:r>
    </w:p>
  </w:footnote>
  <w:footnote w:id="736">
    <w:p w:rsidR="00223658" w:rsidRDefault="00223658" w:rsidP="00051BDB">
      <w:pPr>
        <w:pStyle w:val="FootnoteText"/>
      </w:pPr>
      <w:r>
        <w:rPr>
          <w:rStyle w:val="FootnoteReference"/>
        </w:rPr>
        <w:footnoteRef/>
      </w:r>
      <w:r>
        <w:t xml:space="preserve"> </w:t>
      </w:r>
      <w:r>
        <w:tab/>
        <w:t>Electricity Safety (Electric Line Clearance Regulations) 2005, p.25.</w:t>
      </w:r>
    </w:p>
  </w:footnote>
  <w:footnote w:id="737">
    <w:p w:rsidR="00223658" w:rsidRDefault="00223658" w:rsidP="00051BDB">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i.</w:t>
      </w:r>
    </w:p>
  </w:footnote>
  <w:footnote w:id="738">
    <w:p w:rsidR="00223658" w:rsidRDefault="00223658" w:rsidP="00051BDB">
      <w:pPr>
        <w:pStyle w:val="FootnoteText"/>
      </w:pPr>
      <w:r>
        <w:rPr>
          <w:rStyle w:val="FootnoteReference"/>
        </w:rPr>
        <w:footnoteRef/>
      </w:r>
      <w:r>
        <w:t xml:space="preserve"> </w:t>
      </w:r>
      <w:r>
        <w:tab/>
      </w:r>
      <w:r w:rsidRPr="00F72F59">
        <w:rPr>
          <w:rStyle w:val="AERtextitalic"/>
        </w:rPr>
        <w:t>Electricity Safety (Electric Line Clear</w:t>
      </w:r>
      <w:r>
        <w:rPr>
          <w:rStyle w:val="AERtextitalic"/>
        </w:rPr>
        <w:t>ance) Regulations 2010, Regulation 10.</w:t>
      </w:r>
    </w:p>
  </w:footnote>
  <w:footnote w:id="739">
    <w:p w:rsidR="00223658" w:rsidRDefault="00223658" w:rsidP="00051BDB">
      <w:pPr>
        <w:pStyle w:val="FootnoteText"/>
      </w:pPr>
      <w:r>
        <w:rPr>
          <w:rStyle w:val="FootnoteReference"/>
        </w:rPr>
        <w:footnoteRef/>
      </w:r>
      <w:r>
        <w:t xml:space="preserve"> </w:t>
      </w:r>
      <w:r>
        <w:tab/>
      </w:r>
      <w:r w:rsidRPr="00F72F59">
        <w:rPr>
          <w:rStyle w:val="AERtextitalic"/>
        </w:rPr>
        <w:t xml:space="preserve">Electricity Safety (Electric Line Clearance) Regulations 2010, </w:t>
      </w:r>
      <w:r>
        <w:rPr>
          <w:rStyle w:val="AERtextitalic"/>
        </w:rPr>
        <w:t>Regulation 10.</w:t>
      </w:r>
    </w:p>
  </w:footnote>
  <w:footnote w:id="740">
    <w:p w:rsidR="00223658" w:rsidRDefault="00223658" w:rsidP="00051BDB">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32</w:t>
      </w:r>
    </w:p>
  </w:footnote>
  <w:footnote w:id="741">
    <w:p w:rsidR="00223658" w:rsidRDefault="00223658" w:rsidP="00051BDB">
      <w:pPr>
        <w:pStyle w:val="FootnoteText"/>
      </w:pPr>
      <w:r>
        <w:rPr>
          <w:rStyle w:val="FootnoteReference"/>
        </w:rPr>
        <w:footnoteRef/>
      </w:r>
      <w:r>
        <w:t xml:space="preserve"> </w:t>
      </w:r>
      <w:r>
        <w:tab/>
      </w:r>
      <w:r w:rsidRPr="002C7228">
        <w:t>Electricity Safety (Electric Line Cleara</w:t>
      </w:r>
      <w:r>
        <w:t>nce Regulations) 2005, Part 2, Clause 9.</w:t>
      </w:r>
    </w:p>
  </w:footnote>
  <w:footnote w:id="742">
    <w:p w:rsidR="00223658" w:rsidRDefault="00223658" w:rsidP="00051BDB">
      <w:pPr>
        <w:pStyle w:val="FootnoteText"/>
      </w:pPr>
      <w:r>
        <w:rPr>
          <w:rStyle w:val="FootnoteReference"/>
        </w:rPr>
        <w:footnoteRef/>
      </w:r>
      <w:r>
        <w:t xml:space="preserve"> </w:t>
      </w:r>
      <w:r>
        <w:tab/>
        <w:t>Networks NSW, Executive Leadership Group Meeting 17 October 2013: Vegetation Management and Overhead Line Inspection, Post Meeting Edits as a Result of Discussion.</w:t>
      </w:r>
    </w:p>
  </w:footnote>
  <w:footnote w:id="743">
    <w:p w:rsidR="00223658" w:rsidRDefault="00223658" w:rsidP="00051BDB">
      <w:pPr>
        <w:pStyle w:val="FootnoteText"/>
      </w:pPr>
      <w:r>
        <w:rPr>
          <w:rStyle w:val="FootnoteReference"/>
        </w:rPr>
        <w:footnoteRef/>
      </w:r>
      <w:r>
        <w:t xml:space="preserve"> </w:t>
      </w:r>
      <w:r>
        <w:tab/>
      </w:r>
      <w:r w:rsidRPr="00F05FB6">
        <w:t>(Electricity Supply (Safety and Network Management) Regulation 2014 (NSW) section 5</w:t>
      </w:r>
    </w:p>
  </w:footnote>
  <w:footnote w:id="744">
    <w:p w:rsidR="00223658" w:rsidRDefault="00223658" w:rsidP="00051BDB">
      <w:pPr>
        <w:pStyle w:val="FootnoteText"/>
      </w:pPr>
      <w:r>
        <w:rPr>
          <w:rStyle w:val="FootnoteReference"/>
        </w:rPr>
        <w:footnoteRef/>
      </w:r>
      <w:r>
        <w:t xml:space="preserve"> </w:t>
      </w:r>
      <w:r>
        <w:tab/>
      </w:r>
      <w:r w:rsidRPr="00F05FB6">
        <w:t>Electricity Safety (Electric Line Clearance) Regulations 2010 section 2(3)).</w:t>
      </w:r>
    </w:p>
  </w:footnote>
  <w:footnote w:id="745">
    <w:p w:rsidR="00223658" w:rsidRDefault="00223658" w:rsidP="00051BDB">
      <w:pPr>
        <w:pStyle w:val="FootnoteText"/>
      </w:pPr>
      <w:r>
        <w:rPr>
          <w:rStyle w:val="FootnoteReference"/>
        </w:rPr>
        <w:footnoteRef/>
      </w:r>
      <w:r>
        <w:t xml:space="preserve"> </w:t>
      </w:r>
      <w:r>
        <w:tab/>
        <w:t>Essential Energy, Revised Proposal: Attachment 7.10, 20 January 2015, p. 18.</w:t>
      </w:r>
    </w:p>
  </w:footnote>
  <w:footnote w:id="746">
    <w:p w:rsidR="00223658" w:rsidRDefault="00223658" w:rsidP="00051BDB">
      <w:pPr>
        <w:pStyle w:val="FootnoteText"/>
      </w:pPr>
      <w:r>
        <w:rPr>
          <w:rStyle w:val="FootnoteReference"/>
        </w:rPr>
        <w:footnoteRef/>
      </w:r>
      <w:r>
        <w:t xml:space="preserve"> </w:t>
      </w:r>
      <w:r>
        <w:tab/>
        <w:t>IJM Consulting, Bushfire Mitigation Powercor Australia: Final Audit Report 2008, Audit Report, p. 4.</w:t>
      </w:r>
    </w:p>
  </w:footnote>
  <w:footnote w:id="747">
    <w:p w:rsidR="00223658" w:rsidRDefault="00223658" w:rsidP="00051BDB">
      <w:pPr>
        <w:pStyle w:val="FootnoteText"/>
      </w:pPr>
      <w:r>
        <w:rPr>
          <w:rStyle w:val="FootnoteReference"/>
        </w:rPr>
        <w:footnoteRef/>
      </w:r>
      <w:r>
        <w:t xml:space="preserve"> </w:t>
      </w:r>
      <w:r>
        <w:tab/>
        <w:t xml:space="preserve">AER, </w:t>
      </w:r>
      <w:r w:rsidRPr="004C08D2">
        <w:rPr>
          <w:rStyle w:val="AERtextitalic"/>
        </w:rPr>
        <w:t>Final decision: CitiPower Ltd and Powercor Australia Ltd vegetation management forecast operating expenditure step change</w:t>
      </w:r>
      <w:r>
        <w:t>, August 2012, p. 2.</w:t>
      </w:r>
    </w:p>
  </w:footnote>
  <w:footnote w:id="748">
    <w:p w:rsidR="00223658" w:rsidRDefault="00223658" w:rsidP="00051BDB">
      <w:pPr>
        <w:pStyle w:val="FootnoteText"/>
      </w:pPr>
      <w:r>
        <w:rPr>
          <w:rStyle w:val="FootnoteReference"/>
        </w:rPr>
        <w:footnoteRef/>
      </w:r>
      <w:r>
        <w:t xml:space="preserve"> </w:t>
      </w:r>
      <w:r>
        <w:tab/>
        <w:t xml:space="preserve">AER, </w:t>
      </w:r>
      <w:r w:rsidRPr="00D004AA">
        <w:rPr>
          <w:rStyle w:val="AERtextitalic"/>
        </w:rPr>
        <w:t>CitiPower Pty Distribution determination 2011-15</w:t>
      </w:r>
      <w:r>
        <w:t>, September 2012, p. 17.</w:t>
      </w:r>
    </w:p>
  </w:footnote>
  <w:footnote w:id="749">
    <w:p w:rsidR="00223658" w:rsidRDefault="00223658" w:rsidP="00051BDB">
      <w:pPr>
        <w:pStyle w:val="FootnoteText"/>
      </w:pPr>
      <w:r>
        <w:rPr>
          <w:rStyle w:val="FootnoteReference"/>
        </w:rPr>
        <w:footnoteRef/>
      </w:r>
      <w:r>
        <w:t xml:space="preserve"> </w:t>
      </w:r>
      <w:r>
        <w:tab/>
        <w:t xml:space="preserve">AER, </w:t>
      </w:r>
      <w:r w:rsidRPr="009709D8">
        <w:rPr>
          <w:rStyle w:val="AERtextitalic"/>
        </w:rPr>
        <w:t>Powercor Australia Ltd Distribution determination 2011-15</w:t>
      </w:r>
      <w:r>
        <w:t>, October 2012, p. 26.</w:t>
      </w:r>
    </w:p>
  </w:footnote>
  <w:footnote w:id="750">
    <w:p w:rsidR="00223658" w:rsidRDefault="00223658" w:rsidP="00051BDB">
      <w:pPr>
        <w:pStyle w:val="FootnoteText"/>
      </w:pPr>
      <w:r>
        <w:rPr>
          <w:rStyle w:val="FootnoteReference"/>
        </w:rPr>
        <w:footnoteRef/>
      </w:r>
      <w:r>
        <w:t xml:space="preserve"> </w:t>
      </w:r>
      <w:r>
        <w:tab/>
        <w:t xml:space="preserve">AER, </w:t>
      </w:r>
      <w:r w:rsidRPr="005A1935">
        <w:rPr>
          <w:rStyle w:val="AERtextitalic"/>
        </w:rPr>
        <w:t>Final decision: Powercor cost pass through application of 13 December 2011 for costs arising from the Victorian Bushfire Royal Commission</w:t>
      </w:r>
      <w:r>
        <w:t>, May 2011, p. 96</w:t>
      </w:r>
    </w:p>
  </w:footnote>
  <w:footnote w:id="751">
    <w:p w:rsidR="00223658" w:rsidRDefault="00223658" w:rsidP="00051BDB">
      <w:pPr>
        <w:pStyle w:val="FootnoteText"/>
      </w:pPr>
      <w:r>
        <w:rPr>
          <w:rStyle w:val="FootnoteReference"/>
        </w:rPr>
        <w:footnoteRef/>
      </w:r>
      <w:r>
        <w:t xml:space="preserve"> </w:t>
      </w:r>
      <w:r>
        <w:tab/>
        <w:t xml:space="preserve">AER, </w:t>
      </w:r>
      <w:r w:rsidRPr="00381696">
        <w:rPr>
          <w:rStyle w:val="AERtextitalic"/>
        </w:rPr>
        <w:t>Final decision - appendices: Victorian electricity distribution network service providers -  Distribution determination 2011-2015</w:t>
      </w:r>
      <w:r>
        <w:t>, October 2011, p. 301-304.</w:t>
      </w:r>
    </w:p>
  </w:footnote>
  <w:footnote w:id="752">
    <w:p w:rsidR="00223658" w:rsidRDefault="00223658" w:rsidP="00051BDB">
      <w:pPr>
        <w:pStyle w:val="FootnoteText"/>
      </w:pPr>
      <w:r>
        <w:rPr>
          <w:rStyle w:val="FootnoteReference"/>
        </w:rPr>
        <w:footnoteRef/>
      </w:r>
      <w:r>
        <w:t xml:space="preserve"> </w:t>
      </w:r>
      <w:r>
        <w:tab/>
        <w:t xml:space="preserve">AER, </w:t>
      </w:r>
      <w:r w:rsidRPr="00381696">
        <w:rPr>
          <w:rStyle w:val="AERtextitalic"/>
        </w:rPr>
        <w:t>Final Decision: SP AusNet cost pass through application of 31 July 2012 for costs arising from the Victorian Bushfire Royal Commission</w:t>
      </w:r>
      <w:r>
        <w:t>, 19 October 2012, p. 3.</w:t>
      </w:r>
    </w:p>
  </w:footnote>
  <w:footnote w:id="753">
    <w:p w:rsidR="00223658" w:rsidRDefault="00223658" w:rsidP="00051BDB">
      <w:pPr>
        <w:pStyle w:val="FootnoteText"/>
      </w:pPr>
      <w:r>
        <w:rPr>
          <w:rStyle w:val="FootnoteReference"/>
        </w:rPr>
        <w:footnoteRef/>
      </w:r>
      <w:r>
        <w:t xml:space="preserve"> </w:t>
      </w:r>
      <w:r>
        <w:tab/>
        <w:t>AER,</w:t>
      </w:r>
      <w:r w:rsidRPr="00A11826">
        <w:rPr>
          <w:rStyle w:val="AERtextitalic"/>
        </w:rPr>
        <w:t xml:space="preserve"> SPI Electricity Pty Ltd Distribution determination 2011-2015</w:t>
      </w:r>
      <w:r>
        <w:t>, August 2013, p. 20.</w:t>
      </w:r>
    </w:p>
  </w:footnote>
  <w:footnote w:id="754">
    <w:p w:rsidR="00223658" w:rsidRDefault="00223658" w:rsidP="00051BDB">
      <w:pPr>
        <w:pStyle w:val="FootnoteText"/>
      </w:pPr>
      <w:r>
        <w:rPr>
          <w:rStyle w:val="FootnoteReference"/>
        </w:rPr>
        <w:footnoteRef/>
      </w:r>
      <w:r>
        <w:t xml:space="preserve"> </w:t>
      </w:r>
      <w:r>
        <w:tab/>
        <w:t xml:space="preserve">AER, </w:t>
      </w:r>
      <w:r w:rsidRPr="00D04F6F">
        <w:rPr>
          <w:rStyle w:val="AERtextitalic"/>
        </w:rPr>
        <w:t>Jemena Electricity Network (Victoria) Ltd: Distribution determination 2011-2015</w:t>
      </w:r>
      <w:r>
        <w:t>, September 2012, p. 22.</w:t>
      </w:r>
    </w:p>
  </w:footnote>
  <w:footnote w:id="755">
    <w:p w:rsidR="00223658" w:rsidRDefault="00223658" w:rsidP="00051BDB">
      <w:pPr>
        <w:pStyle w:val="FootnoteText"/>
      </w:pPr>
      <w:r>
        <w:rPr>
          <w:rStyle w:val="FootnoteReference"/>
        </w:rPr>
        <w:footnoteRef/>
      </w:r>
      <w:r>
        <w:t xml:space="preserve"> </w:t>
      </w:r>
      <w:r>
        <w:tab/>
        <w:t xml:space="preserve">AER, </w:t>
      </w:r>
      <w:r w:rsidRPr="00D04F6F">
        <w:rPr>
          <w:rStyle w:val="AERtextitalic"/>
        </w:rPr>
        <w:t>United Energy Distribution: Distribution determination 2011-2015</w:t>
      </w:r>
      <w:r>
        <w:t>, September 2012, p. 19</w:t>
      </w:r>
    </w:p>
  </w:footnote>
  <w:footnote w:id="756">
    <w:p w:rsidR="00223658" w:rsidRDefault="00223658" w:rsidP="00051BDB">
      <w:pPr>
        <w:pStyle w:val="FootnoteText"/>
      </w:pPr>
      <w:r>
        <w:rPr>
          <w:rStyle w:val="FootnoteReference"/>
        </w:rPr>
        <w:footnoteRef/>
      </w:r>
      <w:r>
        <w:t xml:space="preserve"> </w:t>
      </w:r>
      <w:r>
        <w:tab/>
        <w:t xml:space="preserve">Pacific Economics Group, </w:t>
      </w:r>
      <w:r w:rsidRPr="007C7671">
        <w:t>Statistical Benchmarking for NSW</w:t>
      </w:r>
      <w:r>
        <w:t xml:space="preserve"> </w:t>
      </w:r>
      <w:r w:rsidRPr="007C7671">
        <w:t>Distributors</w:t>
      </w:r>
      <w:r>
        <w:t>, January 2015, p. 35.</w:t>
      </w:r>
    </w:p>
  </w:footnote>
  <w:footnote w:id="757">
    <w:p w:rsidR="00223658" w:rsidRDefault="00223658" w:rsidP="00051BDB">
      <w:pPr>
        <w:pStyle w:val="FootnoteText"/>
      </w:pPr>
      <w:r>
        <w:rPr>
          <w:rStyle w:val="FootnoteReference"/>
        </w:rPr>
        <w:footnoteRef/>
      </w:r>
      <w:r>
        <w:t xml:space="preserve"> </w:t>
      </w:r>
      <w:r>
        <w:tab/>
        <w:t xml:space="preserve">Category Analysis RIN response data, template 2.1 Expenditure Summary. </w:t>
      </w:r>
    </w:p>
  </w:footnote>
  <w:footnote w:id="758">
    <w:p w:rsidR="00223658" w:rsidRDefault="00223658" w:rsidP="00051BDB">
      <w:pPr>
        <w:pStyle w:val="FootnoteText"/>
      </w:pPr>
      <w:r>
        <w:rPr>
          <w:rStyle w:val="FootnoteReference"/>
        </w:rPr>
        <w:footnoteRef/>
      </w:r>
      <w:r>
        <w:t xml:space="preserve"> </w:t>
      </w:r>
      <w:r>
        <w:tab/>
        <w:t>Economic Benchmarking RIN response data,  template 3 Opex.</w:t>
      </w:r>
    </w:p>
  </w:footnote>
  <w:footnote w:id="759">
    <w:p w:rsidR="00223658" w:rsidRDefault="00223658" w:rsidP="00051BDB">
      <w:pPr>
        <w:pStyle w:val="FootnoteText"/>
      </w:pPr>
      <w:r>
        <w:rPr>
          <w:rStyle w:val="FootnoteReference"/>
        </w:rPr>
        <w:footnoteRef/>
      </w:r>
      <w:r>
        <w:t xml:space="preserve"> </w:t>
      </w:r>
      <w:r>
        <w:tab/>
        <w:t xml:space="preserve">Bureau of Meteorology, </w:t>
      </w:r>
      <w:r w:rsidRPr="00723549">
        <w:t>Six-monthly NDVI Average for Australia</w:t>
      </w:r>
      <w:r>
        <w:t xml:space="preserve">, available at </w:t>
      </w:r>
      <w:hyperlink r:id="rId8" w:history="1">
        <w:r w:rsidRPr="005665F3">
          <w:rPr>
            <w:rStyle w:val="Hyperlink"/>
            <w:sz w:val="16"/>
          </w:rPr>
          <w:t>http://www.bom.gov.au/jsp/awap/ndvi/index.jsp</w:t>
        </w:r>
      </w:hyperlink>
      <w:r>
        <w:t xml:space="preserve"> [last accessed 1 March 2015].</w:t>
      </w:r>
    </w:p>
  </w:footnote>
  <w:footnote w:id="760">
    <w:p w:rsidR="00223658" w:rsidRDefault="00223658" w:rsidP="00051BDB">
      <w:pPr>
        <w:pStyle w:val="FootnoteText"/>
      </w:pPr>
      <w:r>
        <w:rPr>
          <w:rStyle w:val="FootnoteReference"/>
        </w:rPr>
        <w:footnoteRef/>
      </w:r>
      <w:r>
        <w:t xml:space="preserve"> Category Analysis RIN response data, template 2.1 Expenditure Summary. </w:t>
      </w:r>
    </w:p>
  </w:footnote>
  <w:footnote w:id="761">
    <w:p w:rsidR="00223658" w:rsidRDefault="00223658" w:rsidP="00051BDB">
      <w:pPr>
        <w:pStyle w:val="FootnoteText"/>
      </w:pPr>
      <w:r>
        <w:rPr>
          <w:rStyle w:val="FootnoteReference"/>
        </w:rPr>
        <w:footnoteRef/>
      </w:r>
      <w:r>
        <w:t xml:space="preserve"> Economic Benchmarking RIN response data,  template 3 Opex.</w:t>
      </w:r>
    </w:p>
  </w:footnote>
  <w:footnote w:id="762">
    <w:p w:rsidR="00223658" w:rsidRDefault="00223658" w:rsidP="00051BDB">
      <w:pPr>
        <w:pStyle w:val="FootnoteText"/>
      </w:pPr>
      <w:r>
        <w:rPr>
          <w:rStyle w:val="FootnoteReference"/>
        </w:rPr>
        <w:footnoteRef/>
      </w:r>
      <w:r>
        <w:t xml:space="preserve"> </w:t>
      </w:r>
      <w:r>
        <w:tab/>
        <w:t>Category Analysis RIN data, template 2.1 Expenditure Summary.</w:t>
      </w:r>
    </w:p>
  </w:footnote>
  <w:footnote w:id="763">
    <w:p w:rsidR="00223658" w:rsidRDefault="00223658" w:rsidP="00051BDB">
      <w:pPr>
        <w:pStyle w:val="FootnoteText"/>
      </w:pPr>
      <w:r>
        <w:rPr>
          <w:rStyle w:val="FootnoteReference"/>
        </w:rPr>
        <w:footnoteRef/>
      </w:r>
      <w:r>
        <w:t xml:space="preserve"> </w:t>
      </w:r>
      <w:r>
        <w:tab/>
        <w:t>Ergon Energy, Regulatory Proposal: Attachment 0A.01.01, 31 October 2014, pp. 12-13.</w:t>
      </w:r>
    </w:p>
  </w:footnote>
  <w:footnote w:id="764">
    <w:p w:rsidR="00223658" w:rsidRDefault="00223658" w:rsidP="00051BDB">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66-7.</w:t>
      </w:r>
    </w:p>
  </w:footnote>
  <w:footnote w:id="765">
    <w:p w:rsidR="00223658" w:rsidRDefault="00223658" w:rsidP="00051BDB">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66.</w:t>
      </w:r>
    </w:p>
  </w:footnote>
  <w:footnote w:id="766">
    <w:p w:rsidR="00223658" w:rsidRDefault="00223658" w:rsidP="00051BDB">
      <w:pPr>
        <w:pStyle w:val="FootnoteText"/>
      </w:pPr>
      <w:r>
        <w:rPr>
          <w:rStyle w:val="FootnoteReference"/>
        </w:rPr>
        <w:footnoteRef/>
      </w:r>
      <w:r>
        <w:t xml:space="preserve"> </w:t>
      </w:r>
      <w:r>
        <w:tab/>
        <w:t>We considered this factor under the title natural disasters in our draft decision.</w:t>
      </w:r>
    </w:p>
  </w:footnote>
  <w:footnote w:id="767">
    <w:p w:rsidR="00223658" w:rsidRDefault="00223658" w:rsidP="00051BDB">
      <w:pPr>
        <w:pStyle w:val="FootnoteText"/>
      </w:pPr>
      <w:r>
        <w:rPr>
          <w:rStyle w:val="FootnoteReference"/>
        </w:rPr>
        <w:footnoteRef/>
      </w:r>
      <w:r>
        <w:t xml:space="preserve"> </w:t>
      </w:r>
      <w:r>
        <w:tab/>
        <w:t>Essential Energy, Revised Proposal: Attachment 7.4, 20 January 2015, p. 30 to 31.</w:t>
      </w:r>
    </w:p>
  </w:footnote>
  <w:footnote w:id="768">
    <w:p w:rsidR="00223658" w:rsidRDefault="00223658" w:rsidP="00051BDB">
      <w:pPr>
        <w:pStyle w:val="FootnoteText"/>
      </w:pPr>
      <w:r>
        <w:rPr>
          <w:rStyle w:val="FootnoteReference"/>
        </w:rPr>
        <w:footnoteRef/>
      </w:r>
      <w:r>
        <w:t xml:space="preserve"> </w:t>
      </w:r>
      <w:r>
        <w:tab/>
        <w:t>Ergon Energy, Response to information request ERG018(3), 30 January 2015.</w:t>
      </w:r>
    </w:p>
  </w:footnote>
  <w:footnote w:id="769">
    <w:p w:rsidR="00223658" w:rsidRDefault="00223658" w:rsidP="00051BDB">
      <w:pPr>
        <w:pStyle w:val="FootnoteText"/>
      </w:pPr>
      <w:r>
        <w:rPr>
          <w:rStyle w:val="FootnoteReference"/>
        </w:rPr>
        <w:footnoteRef/>
      </w:r>
      <w:r>
        <w:t xml:space="preserve"> </w:t>
      </w:r>
      <w:r>
        <w:tab/>
        <w:t>Ergon Energy, Response to information request ERG018(3), 30 January 2015, p. 5.</w:t>
      </w:r>
    </w:p>
  </w:footnote>
  <w:footnote w:id="770">
    <w:p w:rsidR="00223658" w:rsidRDefault="00223658" w:rsidP="00051BDB">
      <w:pPr>
        <w:pStyle w:val="FootnoteText"/>
      </w:pPr>
      <w:r>
        <w:rPr>
          <w:rStyle w:val="FootnoteReference"/>
        </w:rPr>
        <w:footnoteRef/>
      </w:r>
      <w:r>
        <w:t xml:space="preserve"> </w:t>
      </w:r>
      <w:r>
        <w:tab/>
      </w:r>
      <w:r w:rsidRPr="00EF6988">
        <w:t>Electricity Safety (Bushfire Mitigation) Regulations 2013</w:t>
      </w:r>
      <w:r>
        <w:t>, Regulation 6.</w:t>
      </w:r>
    </w:p>
  </w:footnote>
  <w:footnote w:id="771">
    <w:p w:rsidR="00223658" w:rsidRDefault="00223658" w:rsidP="00051BDB">
      <w:pPr>
        <w:pStyle w:val="FootnoteText"/>
      </w:pPr>
      <w:r>
        <w:rPr>
          <w:rStyle w:val="FootnoteReference"/>
        </w:rPr>
        <w:footnoteRef/>
      </w:r>
      <w:r>
        <w:t xml:space="preserve"> </w:t>
      </w:r>
      <w:r>
        <w:tab/>
      </w:r>
      <w:r w:rsidRPr="00EF6988">
        <w:t xml:space="preserve">Electricity Safety </w:t>
      </w:r>
      <w:r>
        <w:t>Amendment</w:t>
      </w:r>
      <w:r w:rsidRPr="00EF6988">
        <w:t xml:space="preserve"> (Bush</w:t>
      </w:r>
      <w:r>
        <w:t>fire Mitigation) Regulations 2011, Regulation 7.</w:t>
      </w:r>
    </w:p>
  </w:footnote>
  <w:footnote w:id="772">
    <w:p w:rsidR="00223658" w:rsidRDefault="00223658" w:rsidP="00051BDB">
      <w:pPr>
        <w:pStyle w:val="FootnoteText"/>
      </w:pPr>
      <w:r>
        <w:rPr>
          <w:rStyle w:val="FootnoteReference"/>
        </w:rPr>
        <w:footnoteRef/>
      </w:r>
      <w:r>
        <w:t xml:space="preserve"> </w:t>
      </w:r>
      <w:r>
        <w:tab/>
        <w:t>Ergon Energy, Response to information request ERG018(3), 30 January 2015, p. 5.</w:t>
      </w:r>
    </w:p>
  </w:footnote>
  <w:footnote w:id="773">
    <w:p w:rsidR="00223658" w:rsidRDefault="00223658" w:rsidP="00051BDB">
      <w:pPr>
        <w:pStyle w:val="FootnoteText"/>
      </w:pPr>
      <w:r>
        <w:rPr>
          <w:rStyle w:val="FootnoteReference"/>
        </w:rPr>
        <w:footnoteRef/>
      </w:r>
      <w:r>
        <w:t xml:space="preserve"> </w:t>
      </w:r>
      <w:r>
        <w:tab/>
        <w:t>Essential Energy, Response to Category Analysis RIN template 2.8 (2013-14).</w:t>
      </w:r>
    </w:p>
  </w:footnote>
  <w:footnote w:id="774">
    <w:p w:rsidR="00223658" w:rsidRDefault="00223658" w:rsidP="00051BDB">
      <w:pPr>
        <w:pStyle w:val="FootnoteText"/>
      </w:pPr>
      <w:r>
        <w:rPr>
          <w:rStyle w:val="FootnoteReference"/>
        </w:rPr>
        <w:footnoteRef/>
      </w:r>
      <w:r>
        <w:t xml:space="preserve"> </w:t>
      </w:r>
      <w:r>
        <w:tab/>
        <w:t>Ausgrid, Response to Category Analysis RIN template 2.8 (2013-14).</w:t>
      </w:r>
    </w:p>
  </w:footnote>
  <w:footnote w:id="775">
    <w:p w:rsidR="00223658" w:rsidRDefault="00223658" w:rsidP="00051BDB">
      <w:pPr>
        <w:pStyle w:val="FootnoteText"/>
      </w:pPr>
      <w:r>
        <w:rPr>
          <w:rStyle w:val="FootnoteReference"/>
        </w:rPr>
        <w:footnoteRef/>
      </w:r>
      <w:r>
        <w:t xml:space="preserve"> </w:t>
      </w:r>
      <w:r>
        <w:tab/>
        <w:t>Energex, Response to Category Analysis RIN template 2.8 (2013-14).</w:t>
      </w:r>
    </w:p>
  </w:footnote>
  <w:footnote w:id="776">
    <w:p w:rsidR="00223658" w:rsidRDefault="00223658" w:rsidP="00051BDB">
      <w:pPr>
        <w:pStyle w:val="FootnoteText"/>
      </w:pPr>
      <w:r>
        <w:rPr>
          <w:rStyle w:val="FootnoteReference"/>
        </w:rPr>
        <w:footnoteRef/>
      </w:r>
      <w:r>
        <w:t xml:space="preserve"> </w:t>
      </w:r>
      <w:r>
        <w:tab/>
        <w:t>Endeavour Energy, Response to Category Analysis RIN template 2.8 (2013-14)..</w:t>
      </w:r>
    </w:p>
  </w:footnote>
  <w:footnote w:id="777">
    <w:p w:rsidR="00223658" w:rsidRDefault="00223658" w:rsidP="00051BDB">
      <w:pPr>
        <w:pStyle w:val="FootnoteText"/>
      </w:pPr>
      <w:r>
        <w:rPr>
          <w:rStyle w:val="FootnoteReference"/>
        </w:rPr>
        <w:footnoteRef/>
      </w:r>
      <w:r>
        <w:t xml:space="preserve"> </w:t>
      </w:r>
      <w:r>
        <w:tab/>
        <w:t xml:space="preserve">Bureau of Meteorology, Annual Rainfall Average: </w:t>
      </w:r>
      <w:r w:rsidRPr="003625D8">
        <w:t>Product Code:   IDCJCM004</w:t>
      </w:r>
      <w:r>
        <w:t xml:space="preserve">, available at </w:t>
      </w:r>
      <w:hyperlink r:id="rId9" w:history="1">
        <w:r w:rsidRPr="00361856">
          <w:rPr>
            <w:rStyle w:val="Hyperlink"/>
            <w:sz w:val="16"/>
          </w:rPr>
          <w:t>http://www.bom.gov.au/jsp/ncc/climate_averages/rainfall/index.jsp</w:t>
        </w:r>
      </w:hyperlink>
      <w:r>
        <w:t xml:space="preserve"> [last accessed 18 March 2015].</w:t>
      </w:r>
    </w:p>
  </w:footnote>
  <w:footnote w:id="778">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47.</w:t>
      </w:r>
    </w:p>
  </w:footnote>
  <w:footnote w:id="779">
    <w:p w:rsidR="00223658" w:rsidRDefault="00223658" w:rsidP="00051BDB">
      <w:pPr>
        <w:pStyle w:val="FootnoteText"/>
      </w:pPr>
      <w:r>
        <w:rPr>
          <w:rStyle w:val="FootnoteReference"/>
        </w:rPr>
        <w:footnoteRef/>
      </w:r>
      <w:r>
        <w:t xml:space="preserve"> </w:t>
      </w:r>
      <w:r>
        <w:tab/>
        <w:t>Ergon Energy, Regulatory Proposal: Attachment 0A.01.01, pp. 15-16.</w:t>
      </w:r>
    </w:p>
  </w:footnote>
  <w:footnote w:id="780">
    <w:p w:rsidR="00223658" w:rsidRDefault="00223658" w:rsidP="00051BDB">
      <w:pPr>
        <w:pStyle w:val="FootnoteText"/>
      </w:pPr>
      <w:r>
        <w:rPr>
          <w:rStyle w:val="FootnoteReference"/>
        </w:rPr>
        <w:footnoteRef/>
      </w:r>
      <w:r>
        <w:t xml:space="preserve"> </w:t>
      </w:r>
      <w:r>
        <w:tab/>
        <w:t>Cookson, L.J. and Trajstman, A.C., Termite Survey and Hazard Mapping, June 2002, p. 34.</w:t>
      </w:r>
    </w:p>
  </w:footnote>
  <w:footnote w:id="781">
    <w:p w:rsidR="00223658" w:rsidRDefault="00223658" w:rsidP="00051BDB">
      <w:pPr>
        <w:pStyle w:val="FootnoteText"/>
      </w:pPr>
      <w:r>
        <w:rPr>
          <w:rStyle w:val="FootnoteReference"/>
        </w:rPr>
        <w:footnoteRef/>
      </w:r>
      <w:r>
        <w:t xml:space="preserve"> </w:t>
      </w:r>
      <w:r>
        <w:tab/>
      </w:r>
      <w:r w:rsidRPr="00577AC6">
        <w:t>AECOM, Climate change impact assessment on Powercor Australia for 2011–2015 EDPR, 30 September 2009, pp. 70–75.</w:t>
      </w:r>
    </w:p>
  </w:footnote>
  <w:footnote w:id="782">
    <w:p w:rsidR="00223658" w:rsidRDefault="00223658" w:rsidP="00051BDB">
      <w:pPr>
        <w:pStyle w:val="FootnoteText"/>
      </w:pPr>
      <w:r>
        <w:rPr>
          <w:rStyle w:val="FootnoteReference"/>
        </w:rPr>
        <w:footnoteRef/>
      </w:r>
      <w:r>
        <w:t xml:space="preserve"> </w:t>
      </w:r>
      <w:r>
        <w:tab/>
        <w:t>Ergon Energy, Response to AER Information Request AER ERG 018(4), 6 February 2015, p. 2.</w:t>
      </w:r>
    </w:p>
  </w:footnote>
  <w:footnote w:id="783">
    <w:p w:rsidR="00223658" w:rsidRDefault="00223658" w:rsidP="00051BDB">
      <w:pPr>
        <w:pStyle w:val="FootnoteText"/>
      </w:pPr>
      <w:r>
        <w:rPr>
          <w:rStyle w:val="FootnoteReference"/>
        </w:rPr>
        <w:footnoteRef/>
      </w:r>
      <w:r>
        <w:t xml:space="preserve"> 1.18=0.96*1.227</w:t>
      </w:r>
    </w:p>
  </w:footnote>
  <w:footnote w:id="784">
    <w:p w:rsidR="00223658" w:rsidRDefault="00223658" w:rsidP="00051BDB">
      <w:pPr>
        <w:pStyle w:val="FootnoteText"/>
      </w:pPr>
      <w:r>
        <w:rPr>
          <w:rStyle w:val="FootnoteReference"/>
        </w:rPr>
        <w:footnoteRef/>
      </w:r>
      <w:r>
        <w:t xml:space="preserve"> </w:t>
      </w:r>
      <w:r>
        <w:tab/>
        <w:t>Cookson, L. J. and Trajstman, A. C., Termite Survey and Hazard Mapping, June 2002, pp. 6 and 29.</w:t>
      </w:r>
    </w:p>
  </w:footnote>
  <w:footnote w:id="785">
    <w:p w:rsidR="00223658" w:rsidRDefault="00223658" w:rsidP="00051BDB">
      <w:pPr>
        <w:pStyle w:val="FootnoteText"/>
      </w:pPr>
      <w:r>
        <w:rPr>
          <w:rStyle w:val="FootnoteReference"/>
        </w:rPr>
        <w:footnoteRef/>
      </w:r>
      <w:r>
        <w:t xml:space="preserve"> </w:t>
      </w:r>
      <w:r>
        <w:tab/>
        <w:t>We assumed the NSW service providers, AusNet, CitiPower, and UED were respectively 158 per cent, 93 per cent, 42 per cent, and 52 per cent as likely to be affected by termites as Powercor. These are based on incidence rates from Cookson and Trajstman's termite survey.</w:t>
      </w:r>
    </w:p>
  </w:footnote>
  <w:footnote w:id="786">
    <w:p w:rsidR="00223658" w:rsidRDefault="00223658" w:rsidP="00051BDB">
      <w:pPr>
        <w:pStyle w:val="FootnoteText"/>
      </w:pPr>
      <w:r>
        <w:rPr>
          <w:rStyle w:val="FootnoteReference"/>
        </w:rPr>
        <w:footnoteRef/>
      </w:r>
      <w:r>
        <w:t xml:space="preserve"> </w:t>
      </w:r>
      <w:r>
        <w:tab/>
        <w:t>The number of wooden poles for each service provider was taken from the category analysis RIN responses.</w:t>
      </w:r>
    </w:p>
  </w:footnote>
  <w:footnote w:id="787">
    <w:p w:rsidR="00223658" w:rsidRDefault="00223658" w:rsidP="00051BDB">
      <w:pPr>
        <w:pStyle w:val="FootnoteText"/>
      </w:pPr>
      <w:r>
        <w:rPr>
          <w:rStyle w:val="FootnoteReference"/>
        </w:rPr>
        <w:footnoteRef/>
      </w:r>
      <w:r>
        <w:t xml:space="preserve"> </w:t>
      </w:r>
      <w:r>
        <w:tab/>
      </w:r>
      <w:r w:rsidRPr="006E2420">
        <w:t>ABCB</w:t>
      </w:r>
      <w:r w:rsidRPr="003625D8">
        <w:t xml:space="preserve">, The Building Code of Australia, available at; </w:t>
      </w:r>
      <w:hyperlink r:id="rId10" w:history="1">
        <w:r w:rsidRPr="00125D19">
          <w:rPr>
            <w:rStyle w:val="Hyperlink"/>
            <w:color w:val="auto"/>
            <w:sz w:val="16"/>
            <w:u w:val="none"/>
          </w:rPr>
          <w:t>http://www.abcb.gov.au/about-the-australian-building-codes-board</w:t>
        </w:r>
      </w:hyperlink>
      <w:r w:rsidRPr="003625D8">
        <w:t xml:space="preserve"> . [last accessed 4 September 2014].</w:t>
      </w:r>
    </w:p>
  </w:footnote>
  <w:footnote w:id="788">
    <w:p w:rsidR="00223658" w:rsidRDefault="00223658" w:rsidP="00051BDB">
      <w:pPr>
        <w:pStyle w:val="FootnoteText"/>
      </w:pPr>
      <w:r>
        <w:rPr>
          <w:rStyle w:val="FootnoteReference"/>
        </w:rPr>
        <w:footnoteRef/>
      </w:r>
      <w:r>
        <w:t xml:space="preserve"> </w:t>
      </w:r>
      <w:r>
        <w:tab/>
      </w:r>
      <w:r w:rsidRPr="003625D8">
        <w:t xml:space="preserve">ABCB, About the Australian Building Codes Board, available at; </w:t>
      </w:r>
      <w:hyperlink r:id="rId11" w:history="1">
        <w:r w:rsidRPr="00125D19">
          <w:rPr>
            <w:rStyle w:val="Hyperlink"/>
            <w:color w:val="auto"/>
            <w:sz w:val="16"/>
            <w:u w:val="none"/>
          </w:rPr>
          <w:t>http://www.abcb.gov.au/about-the-australian-building-codes-board</w:t>
        </w:r>
      </w:hyperlink>
      <w:r w:rsidRPr="003625D8">
        <w:t xml:space="preserve"> . [last accessed 4 September 2014].</w:t>
      </w:r>
    </w:p>
  </w:footnote>
  <w:footnote w:id="789">
    <w:p w:rsidR="00223658" w:rsidRDefault="00223658" w:rsidP="00051BDB">
      <w:pPr>
        <w:pStyle w:val="FootnoteText"/>
      </w:pPr>
      <w:r>
        <w:rPr>
          <w:rStyle w:val="FootnoteReference"/>
        </w:rPr>
        <w:footnoteRef/>
      </w:r>
      <w:r>
        <w:t xml:space="preserve"> </w:t>
      </w:r>
      <w:r>
        <w:tab/>
      </w:r>
      <w:r w:rsidRPr="003625D8">
        <w:t xml:space="preserve">ABCB, The Building Code of Australia, available at; </w:t>
      </w:r>
      <w:hyperlink r:id="rId12" w:history="1">
        <w:r w:rsidRPr="00125D19">
          <w:rPr>
            <w:rStyle w:val="Hyperlink"/>
            <w:color w:val="auto"/>
            <w:sz w:val="16"/>
            <w:u w:val="none"/>
          </w:rPr>
          <w:t>http://www.abcb.gov.au/about-the-australian-building-codes-board</w:t>
        </w:r>
      </w:hyperlink>
      <w:r>
        <w:t xml:space="preserve"> . [last accessed 22</w:t>
      </w:r>
      <w:r w:rsidRPr="003625D8">
        <w:t xml:space="preserve"> </w:t>
      </w:r>
      <w:r>
        <w:t>March 2015</w:t>
      </w:r>
      <w:r w:rsidRPr="003625D8">
        <w:t>].</w:t>
      </w:r>
    </w:p>
  </w:footnote>
  <w:footnote w:id="790">
    <w:p w:rsidR="00223658" w:rsidRDefault="00223658" w:rsidP="00051BDB">
      <w:pPr>
        <w:pStyle w:val="FootnoteText"/>
      </w:pPr>
      <w:r>
        <w:rPr>
          <w:rStyle w:val="FootnoteReference"/>
        </w:rPr>
        <w:footnoteRef/>
      </w:r>
      <w:r>
        <w:t xml:space="preserve"> </w:t>
      </w:r>
      <w:r>
        <w:tab/>
        <w:t>Ergon Energy, Response to AER information request Ergon 002, 17 December 2014, p. 7-9</w:t>
      </w:r>
    </w:p>
  </w:footnote>
  <w:footnote w:id="791">
    <w:p w:rsidR="00223658" w:rsidRDefault="00223658" w:rsidP="00051BDB">
      <w:pPr>
        <w:pStyle w:val="FootnoteText"/>
      </w:pPr>
      <w:r>
        <w:rPr>
          <w:rStyle w:val="FootnoteReference"/>
        </w:rPr>
        <w:footnoteRef/>
      </w:r>
      <w:r>
        <w:t xml:space="preserve"> </w:t>
      </w:r>
      <w:r>
        <w:tab/>
        <w:t xml:space="preserve">Productivity Commission, </w:t>
      </w:r>
      <w:r w:rsidRPr="00733962">
        <w:rPr>
          <w:rStyle w:val="AERtextitalic"/>
        </w:rPr>
        <w:t>Performance Benchmarking of Australian Business Regulation</w:t>
      </w:r>
      <w:r w:rsidRPr="00CF73C9">
        <w:rPr>
          <w:rStyle w:val="AERtextitalic"/>
        </w:rPr>
        <w:t>: Local Government as Regulator</w:t>
      </w:r>
      <w:r>
        <w:t>, July 2012, p. 386-390.</w:t>
      </w:r>
    </w:p>
  </w:footnote>
  <w:footnote w:id="792">
    <w:p w:rsidR="00223658" w:rsidRDefault="00223658" w:rsidP="00051BDB">
      <w:pPr>
        <w:pStyle w:val="FootnoteText"/>
      </w:pPr>
      <w:r>
        <w:rPr>
          <w:rStyle w:val="FootnoteReference"/>
        </w:rPr>
        <w:footnoteRef/>
      </w:r>
      <w:r>
        <w:t xml:space="preserve"> </w:t>
      </w:r>
      <w:r>
        <w:tab/>
        <w:t>Ausgrid, Revised Regulatory Proposal: Attachment 1.15, 20 January 2015, p. 1.</w:t>
      </w:r>
    </w:p>
  </w:footnote>
  <w:footnote w:id="793">
    <w:p w:rsidR="00223658" w:rsidRDefault="00223658" w:rsidP="00051BDB">
      <w:pPr>
        <w:pStyle w:val="FootnoteText"/>
      </w:pPr>
      <w:r>
        <w:rPr>
          <w:rStyle w:val="FootnoteReference"/>
        </w:rPr>
        <w:footnoteRef/>
      </w:r>
      <w:r>
        <w:t xml:space="preserve"> </w:t>
      </w:r>
      <w:r>
        <w:tab/>
        <w:t>Essential Energy, Revised Regulatory Proposal: Attachment 1.9, 20 January 2015, p. 3.</w:t>
      </w:r>
    </w:p>
  </w:footnote>
  <w:footnote w:id="794">
    <w:p w:rsidR="00223658" w:rsidRDefault="00223658" w:rsidP="00051BDB">
      <w:pPr>
        <w:pStyle w:val="FootnoteText"/>
      </w:pPr>
      <w:r>
        <w:rPr>
          <w:rStyle w:val="FootnoteReference"/>
        </w:rPr>
        <w:footnoteRef/>
      </w:r>
      <w:r>
        <w:t xml:space="preserve"> </w:t>
      </w:r>
      <w:r>
        <w:tab/>
        <w:t>Endeavour Energy, Revised Regulatory Proposal, 20 January 2015, pp. 37-38.</w:t>
      </w:r>
    </w:p>
  </w:footnote>
  <w:footnote w:id="795">
    <w:p w:rsidR="00223658" w:rsidRDefault="00223658" w:rsidP="00051BDB">
      <w:pPr>
        <w:pStyle w:val="FootnoteText"/>
      </w:pPr>
      <w:r>
        <w:rPr>
          <w:rStyle w:val="FootnoteReference"/>
        </w:rPr>
        <w:footnoteRef/>
      </w:r>
      <w:r>
        <w:t xml:space="preserve"> </w:t>
      </w:r>
      <w:r>
        <w:tab/>
        <w:t>ActewAGL, Revised Proposal, 20 January 2015, p. 3.</w:t>
      </w:r>
    </w:p>
  </w:footnote>
  <w:footnote w:id="796">
    <w:p w:rsidR="00223658" w:rsidRDefault="00223658" w:rsidP="00051BDB">
      <w:pPr>
        <w:pStyle w:val="FootnoteText"/>
      </w:pPr>
      <w:r>
        <w:rPr>
          <w:rStyle w:val="FootnoteReference"/>
        </w:rPr>
        <w:footnoteRef/>
      </w:r>
      <w:r>
        <w:t xml:space="preserve"> </w:t>
      </w:r>
      <w:r>
        <w:tab/>
        <w:t xml:space="preserve">PricewaterhouseCoopers, </w:t>
      </w:r>
      <w:r w:rsidRPr="003C7718">
        <w:rPr>
          <w:i/>
        </w:rPr>
        <w:t>Impact of the Proposed National Model Health Work and Safety Laws in Victoria</w:t>
      </w:r>
      <w:r>
        <w:t>, April 2012.</w:t>
      </w:r>
    </w:p>
  </w:footnote>
  <w:footnote w:id="797">
    <w:p w:rsidR="00223658" w:rsidRDefault="00223658" w:rsidP="00051BDB">
      <w:pPr>
        <w:pStyle w:val="FootnoteText"/>
      </w:pPr>
      <w:r>
        <w:rPr>
          <w:rStyle w:val="FootnoteReference"/>
        </w:rPr>
        <w:footnoteRef/>
      </w:r>
      <w:r>
        <w:t xml:space="preserve"> </w:t>
      </w:r>
      <w:r>
        <w:tab/>
        <w:t>PricewaterhouseCoopers, Review of AER's methodology of adjusting for differences in occupational health and safety obligations, 12 February 2015.</w:t>
      </w:r>
    </w:p>
  </w:footnote>
  <w:footnote w:id="798">
    <w:p w:rsidR="00223658" w:rsidRDefault="00223658" w:rsidP="00051BDB">
      <w:pPr>
        <w:pStyle w:val="FootnoteText"/>
      </w:pPr>
      <w:r>
        <w:rPr>
          <w:rStyle w:val="FootnoteReference"/>
        </w:rPr>
        <w:footnoteRef/>
      </w:r>
      <w:r>
        <w:t xml:space="preserve"> </w:t>
      </w:r>
      <w:r>
        <w:tab/>
        <w:t>The</w:t>
      </w:r>
      <w:r w:rsidRPr="00CA0DBF">
        <w:t xml:space="preserve"> </w:t>
      </w:r>
      <w:r>
        <w:t>annual costs forecast</w:t>
      </w:r>
      <w:r w:rsidRPr="00CA0DBF">
        <w:t xml:space="preserve"> </w:t>
      </w:r>
      <w:r>
        <w:t>by PwC</w:t>
      </w:r>
      <w:r w:rsidRPr="00CA0DBF">
        <w:t xml:space="preserve"> </w:t>
      </w:r>
      <w:r>
        <w:t>for the implementation of the new OH&amp;S laws</w:t>
      </w:r>
      <w:r w:rsidRPr="00CA0DBF">
        <w:t xml:space="preserve"> </w:t>
      </w:r>
      <w:r>
        <w:t>were</w:t>
      </w:r>
      <w:r w:rsidRPr="00CA0DBF">
        <w:t xml:space="preserve"> equivalent to 0.24</w:t>
      </w:r>
      <w:r>
        <w:t xml:space="preserve"> per cent</w:t>
      </w:r>
      <w:r w:rsidRPr="00CA0DBF">
        <w:t xml:space="preserve"> of </w:t>
      </w:r>
      <w:r>
        <w:t xml:space="preserve">the </w:t>
      </w:r>
      <w:r w:rsidRPr="00CA0DBF">
        <w:t>Gross State Product</w:t>
      </w:r>
      <w:r>
        <w:t xml:space="preserve"> of Victoria in financial year 2012</w:t>
      </w:r>
      <w:r w:rsidRPr="00CA0DBF">
        <w:t xml:space="preserve">. </w:t>
      </w:r>
      <w:r>
        <w:t>Because e</w:t>
      </w:r>
      <w:r w:rsidRPr="00CA0DBF">
        <w:t>lectricity distribution work environments may present more danger than the average work environment across the economy</w:t>
      </w:r>
      <w:r>
        <w:t xml:space="preserve"> we</w:t>
      </w:r>
      <w:r w:rsidRPr="00CA0DBF">
        <w:t xml:space="preserve"> </w:t>
      </w:r>
      <w:r>
        <w:t xml:space="preserve">multiplied this amount by 2.5. </w:t>
      </w:r>
      <w:r w:rsidRPr="00CA0DBF">
        <w:t>The PwC report suggests that the annualised ongoing costs for power generators would be almost two and a half times greater than for the majority of other businesses</w:t>
      </w:r>
      <w:r>
        <w:t>. This suggests that the Victorian service providers have a 0.6 per cent cost advantage relative to the other NEM service providers. However, as SA Power Networks accounts for 21 per cent of the comparison firm's customers, the customer weighted average cost advantage the comparison firms have is 0.5 per cent.</w:t>
      </w:r>
    </w:p>
  </w:footnote>
  <w:footnote w:id="799">
    <w:p w:rsidR="00223658" w:rsidRDefault="00223658" w:rsidP="00051BDB">
      <w:pPr>
        <w:pStyle w:val="FootnoteText"/>
      </w:pPr>
      <w:r>
        <w:rPr>
          <w:rStyle w:val="FootnoteReference"/>
        </w:rPr>
        <w:footnoteRef/>
      </w:r>
      <w:r>
        <w:t xml:space="preserve"> </w:t>
      </w:r>
      <w:r>
        <w:tab/>
        <w:t>Advisian, Review of AER benchmarking: Networks NSW, 16 January 2015, pp. 41 -46.</w:t>
      </w:r>
    </w:p>
  </w:footnote>
  <w:footnote w:id="800">
    <w:p w:rsidR="00223658" w:rsidRDefault="00223658" w:rsidP="00051BDB">
      <w:pPr>
        <w:pStyle w:val="FootnoteText"/>
      </w:pPr>
      <w:r>
        <w:rPr>
          <w:rStyle w:val="FootnoteReference"/>
        </w:rPr>
        <w:footnoteRef/>
      </w:r>
      <w:r>
        <w:t xml:space="preserve"> </w:t>
      </w:r>
      <w:r>
        <w:tab/>
        <w:t>Advisian, Opex Cost Drivers: ActewAGL Distribution Electricity (ACT), 16 January 2015, p. 50.</w:t>
      </w:r>
    </w:p>
  </w:footnote>
  <w:footnote w:id="801">
    <w:p w:rsidR="00223658" w:rsidRDefault="00223658" w:rsidP="00051BDB">
      <w:pPr>
        <w:pStyle w:val="FootnoteText"/>
      </w:pPr>
      <w:r>
        <w:rPr>
          <w:rStyle w:val="FootnoteReference"/>
        </w:rPr>
        <w:footnoteRef/>
      </w:r>
      <w:r>
        <w:t xml:space="preserve"> </w:t>
      </w:r>
      <w:r>
        <w:tab/>
        <w:t xml:space="preserve">NSW </w:t>
      </w:r>
      <w:r w:rsidRPr="000B65E4">
        <w:t xml:space="preserve">Minister for Energy, </w:t>
      </w:r>
      <w:r w:rsidRPr="00681695">
        <w:rPr>
          <w:rStyle w:val="AERtextitalic"/>
        </w:rPr>
        <w:t>Design, Reliability and Performance Licence Conditions For Distribution Network Service Providers</w:t>
      </w:r>
      <w:r>
        <w:t>, 1 December 2007, Schedules 2 and 3.</w:t>
      </w:r>
    </w:p>
  </w:footnote>
  <w:footnote w:id="802">
    <w:p w:rsidR="00223658" w:rsidRDefault="00223658" w:rsidP="00051BDB">
      <w:pPr>
        <w:pStyle w:val="FootnoteText"/>
      </w:pPr>
      <w:r>
        <w:rPr>
          <w:rStyle w:val="FootnoteReference"/>
        </w:rPr>
        <w:footnoteRef/>
      </w:r>
      <w:r>
        <w:t xml:space="preserve"> </w:t>
      </w:r>
      <w:r>
        <w:tab/>
        <w:t xml:space="preserve">NSW </w:t>
      </w:r>
      <w:r w:rsidRPr="000B65E4">
        <w:t>Minister for Energy</w:t>
      </w:r>
      <w:r>
        <w:t xml:space="preserve"> and Utilities</w:t>
      </w:r>
      <w:r w:rsidRPr="000B65E4">
        <w:t xml:space="preserve">, </w:t>
      </w:r>
      <w:r w:rsidRPr="00681695">
        <w:rPr>
          <w:rStyle w:val="AERtextitalic"/>
        </w:rPr>
        <w:t>Design, Reliability and Performance Licence Conditions Imposed on Distribution Network Service Providers by the Minister for Energy and Utilities</w:t>
      </w:r>
      <w:r>
        <w:t>, 1 August 2005, Schedules 2 and 3.</w:t>
      </w:r>
    </w:p>
  </w:footnote>
  <w:footnote w:id="803">
    <w:p w:rsidR="00223658" w:rsidRDefault="00223658" w:rsidP="00051BDB">
      <w:pPr>
        <w:pStyle w:val="FootnoteText"/>
      </w:pPr>
      <w:r>
        <w:rPr>
          <w:rStyle w:val="FootnoteReference"/>
        </w:rPr>
        <w:footnoteRef/>
      </w:r>
      <w:r>
        <w:t xml:space="preserve"> </w:t>
      </w:r>
      <w:r>
        <w:tab/>
        <w:t xml:space="preserve">NSW </w:t>
      </w:r>
      <w:r w:rsidRPr="000B65E4">
        <w:t xml:space="preserve">Minister for Energy, </w:t>
      </w:r>
      <w:r w:rsidRPr="00681695">
        <w:rPr>
          <w:rStyle w:val="AERtextitalic"/>
        </w:rPr>
        <w:t>Design, Reliability and Performance Licence Conditions For Distribution Network Service Providers</w:t>
      </w:r>
      <w:r>
        <w:t>, 1 December 2007, Schedule 1.</w:t>
      </w:r>
    </w:p>
  </w:footnote>
  <w:footnote w:id="804">
    <w:p w:rsidR="00223658" w:rsidRDefault="00223658" w:rsidP="00051BDB">
      <w:pPr>
        <w:pStyle w:val="FootnoteText"/>
      </w:pPr>
      <w:r>
        <w:rPr>
          <w:rStyle w:val="FootnoteReference"/>
        </w:rPr>
        <w:footnoteRef/>
      </w:r>
      <w:r>
        <w:t xml:space="preserve"> </w:t>
      </w:r>
      <w:r>
        <w:tab/>
        <w:t xml:space="preserve">NSW </w:t>
      </w:r>
      <w:r w:rsidRPr="000B65E4">
        <w:t>Minister for Energy</w:t>
      </w:r>
      <w:r>
        <w:t xml:space="preserve"> and Utilities</w:t>
      </w:r>
      <w:r w:rsidRPr="000B65E4">
        <w:t xml:space="preserve">, </w:t>
      </w:r>
      <w:r w:rsidRPr="00681695">
        <w:rPr>
          <w:rStyle w:val="AERtextitalic"/>
        </w:rPr>
        <w:t>Design, Reliability and Performance Licence Conditions Imposed on Distribution Network Service Providers by the Minister for Energy and Utilities</w:t>
      </w:r>
      <w:r>
        <w:t>, 1 August 2005, Schedule 1.</w:t>
      </w:r>
    </w:p>
  </w:footnote>
  <w:footnote w:id="805">
    <w:p w:rsidR="00223658" w:rsidRDefault="00223658" w:rsidP="00051BDB">
      <w:pPr>
        <w:pStyle w:val="FootnoteText"/>
      </w:pPr>
      <w:r>
        <w:rPr>
          <w:rStyle w:val="FootnoteReference"/>
        </w:rPr>
        <w:footnoteRef/>
      </w:r>
      <w:r>
        <w:t xml:space="preserve"> </w:t>
      </w:r>
      <w:r>
        <w:tab/>
        <w:t>Except for zone substations with a capacity of less than five MVA, which required no redundancy.</w:t>
      </w:r>
    </w:p>
  </w:footnote>
  <w:footnote w:id="806">
    <w:p w:rsidR="00223658" w:rsidRDefault="00223658" w:rsidP="00051BDB">
      <w:pPr>
        <w:pStyle w:val="FootnoteText"/>
      </w:pPr>
      <w:r>
        <w:rPr>
          <w:rStyle w:val="FootnoteReference"/>
        </w:rPr>
        <w:footnoteRef/>
      </w:r>
      <w:r>
        <w:t xml:space="preserve"> </w:t>
      </w:r>
      <w:r>
        <w:tab/>
        <w:t xml:space="preserve">Essential Energy, </w:t>
      </w:r>
      <w:r w:rsidRPr="006B4C70">
        <w:rPr>
          <w:rStyle w:val="AERtextitalic"/>
        </w:rPr>
        <w:t>Electricity Network Performance Report 2013/14</w:t>
      </w:r>
      <w:r>
        <w:t>, 2014, p. 24.</w:t>
      </w:r>
    </w:p>
  </w:footnote>
  <w:footnote w:id="807">
    <w:p w:rsidR="00223658" w:rsidRDefault="00223658" w:rsidP="00051BDB">
      <w:pPr>
        <w:pStyle w:val="FootnoteText"/>
      </w:pPr>
      <w:r>
        <w:rPr>
          <w:rStyle w:val="FootnoteReference"/>
        </w:rPr>
        <w:footnoteRef/>
      </w:r>
      <w:r>
        <w:t xml:space="preserve"> </w:t>
      </w:r>
      <w:r>
        <w:tab/>
        <w:t xml:space="preserve">Endeavour Energy, </w:t>
      </w:r>
      <w:r w:rsidRPr="006B4C70">
        <w:rPr>
          <w:rStyle w:val="AERtextitalic"/>
        </w:rPr>
        <w:t>Electricity Network Performance Report 2013/14</w:t>
      </w:r>
      <w:r>
        <w:t>, 2014, p. 10.</w:t>
      </w:r>
    </w:p>
  </w:footnote>
  <w:footnote w:id="808">
    <w:p w:rsidR="00223658" w:rsidRDefault="00223658" w:rsidP="00051BDB">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w:t>
      </w:r>
    </w:p>
  </w:footnote>
  <w:footnote w:id="809">
    <w:p w:rsidR="00223658" w:rsidRDefault="00223658" w:rsidP="00051BDB">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 Volume 1, p. XXVIII.</w:t>
      </w:r>
    </w:p>
  </w:footnote>
  <w:footnote w:id="810">
    <w:p w:rsidR="00223658" w:rsidRDefault="00223658" w:rsidP="00051BDB">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 Volume 1, p. XXXI.</w:t>
      </w:r>
    </w:p>
  </w:footnote>
  <w:footnote w:id="811">
    <w:p w:rsidR="00223658" w:rsidRDefault="00223658" w:rsidP="00051BDB">
      <w:pPr>
        <w:pStyle w:val="FootnoteText"/>
      </w:pPr>
      <w:r>
        <w:rPr>
          <w:rStyle w:val="FootnoteReference"/>
        </w:rPr>
        <w:footnoteRef/>
      </w:r>
      <w:r>
        <w:t xml:space="preserve"> ActewAGL, Revised Proposal, 20 January 2015, p. 199.</w:t>
      </w:r>
    </w:p>
  </w:footnote>
  <w:footnote w:id="812">
    <w:p w:rsidR="00223658" w:rsidRDefault="00223658" w:rsidP="00051BDB">
      <w:pPr>
        <w:pStyle w:val="FootnoteText"/>
      </w:pPr>
      <w:r>
        <w:rPr>
          <w:rStyle w:val="FootnoteReference"/>
        </w:rPr>
        <w:footnoteRef/>
      </w:r>
      <w:r>
        <w:t xml:space="preserve"> Ausgrid, Revised Proposal, 20 January 2015, p. 149.</w:t>
      </w:r>
    </w:p>
  </w:footnote>
  <w:footnote w:id="813">
    <w:p w:rsidR="00223658" w:rsidRDefault="00223658" w:rsidP="00051BDB">
      <w:pPr>
        <w:pStyle w:val="FootnoteText"/>
      </w:pPr>
      <w:r>
        <w:rPr>
          <w:rStyle w:val="FootnoteReference"/>
        </w:rPr>
        <w:footnoteRef/>
      </w:r>
      <w:r>
        <w:t xml:space="preserve"> Endeavour Energy Revised Proposal, 20  January 2015, p. 176.</w:t>
      </w:r>
    </w:p>
  </w:footnote>
  <w:footnote w:id="814">
    <w:p w:rsidR="00223658" w:rsidRDefault="00223658" w:rsidP="00051BDB">
      <w:pPr>
        <w:pStyle w:val="FootnoteText"/>
      </w:pPr>
      <w:r>
        <w:rPr>
          <w:rStyle w:val="FootnoteReference"/>
        </w:rPr>
        <w:footnoteRef/>
      </w:r>
      <w:r>
        <w:t xml:space="preserve"> Ergon Energy, Response to information request Ergon 002, 19 12 2014, p. 21.</w:t>
      </w:r>
    </w:p>
  </w:footnote>
  <w:footnote w:id="815">
    <w:p w:rsidR="00223658" w:rsidRDefault="00223658" w:rsidP="00051BDB">
      <w:pPr>
        <w:pStyle w:val="FootnoteText"/>
      </w:pPr>
      <w:r>
        <w:rPr>
          <w:rStyle w:val="FootnoteReference"/>
        </w:rPr>
        <w:footnoteRef/>
      </w:r>
      <w:r>
        <w:t xml:space="preserve"> </w:t>
      </w:r>
      <w:r>
        <w:tab/>
        <w:t>Ergon Energy, Submissions on the Draft Decisions: NSW and ACT distributions 2015-16 to 2018-19, 13 February 2015, p. 19.</w:t>
      </w:r>
    </w:p>
  </w:footnote>
  <w:footnote w:id="816">
    <w:p w:rsidR="00223658" w:rsidRDefault="00223658" w:rsidP="00051BDB">
      <w:pPr>
        <w:pStyle w:val="FootnoteText"/>
      </w:pPr>
      <w:r>
        <w:rPr>
          <w:rStyle w:val="FootnoteReference"/>
        </w:rPr>
        <w:footnoteRef/>
      </w:r>
      <w:r>
        <w:t xml:space="preserve"> </w:t>
      </w:r>
      <w:r>
        <w:tab/>
        <w:t>Essential Energy, Revised Proposal, 20 January 2015, p. 189.</w:t>
      </w:r>
    </w:p>
  </w:footnote>
  <w:footnote w:id="817">
    <w:p w:rsidR="00223658" w:rsidRDefault="00223658" w:rsidP="00051BDB">
      <w:pPr>
        <w:pStyle w:val="FootnoteText"/>
      </w:pPr>
      <w:r>
        <w:rPr>
          <w:rStyle w:val="FootnoteReference"/>
        </w:rPr>
        <w:footnoteRef/>
      </w:r>
      <w:r>
        <w:t xml:space="preserve"> </w:t>
      </w:r>
      <w:r>
        <w:tab/>
        <w:t>CitiPower and Powercor, Response to information request on vegetation management responsibility, 17 February 2015, p. 2.</w:t>
      </w:r>
    </w:p>
  </w:footnote>
  <w:footnote w:id="818">
    <w:p w:rsidR="00223658" w:rsidRDefault="00223658" w:rsidP="00051BDB">
      <w:pPr>
        <w:pStyle w:val="FootnoteText"/>
      </w:pPr>
      <w:r>
        <w:rPr>
          <w:rStyle w:val="FootnoteReference"/>
        </w:rPr>
        <w:footnoteRef/>
      </w:r>
      <w:r>
        <w:t xml:space="preserve"> </w:t>
      </w:r>
      <w:r>
        <w:tab/>
        <w:t>Jemena, Response to information request on vegetation management responsibility, 13 February 2015, p. 1.</w:t>
      </w:r>
    </w:p>
  </w:footnote>
  <w:footnote w:id="819">
    <w:p w:rsidR="00223658" w:rsidRDefault="00223658" w:rsidP="00051BDB">
      <w:pPr>
        <w:pStyle w:val="FootnoteText"/>
      </w:pPr>
      <w:r>
        <w:rPr>
          <w:rStyle w:val="FootnoteReference"/>
        </w:rPr>
        <w:footnoteRef/>
      </w:r>
      <w:r>
        <w:t xml:space="preserve"> </w:t>
      </w:r>
      <w:r>
        <w:tab/>
        <w:t>AusNet Services, Response to information request on vegetation management responsibility, 16 February 2015, p. 1.</w:t>
      </w:r>
    </w:p>
  </w:footnote>
  <w:footnote w:id="820">
    <w:p w:rsidR="00223658" w:rsidRDefault="00223658" w:rsidP="00051BDB">
      <w:pPr>
        <w:pStyle w:val="FootnoteText"/>
      </w:pPr>
      <w:r>
        <w:rPr>
          <w:rStyle w:val="FootnoteReference"/>
        </w:rPr>
        <w:footnoteRef/>
      </w:r>
      <w:r>
        <w:t xml:space="preserve"> </w:t>
      </w:r>
      <w:r>
        <w:tab/>
        <w:t xml:space="preserve">Declared areas are urban areas where </w:t>
      </w:r>
      <w:r w:rsidRPr="002103CB">
        <w:t xml:space="preserve">the local council </w:t>
      </w:r>
      <w:r>
        <w:t xml:space="preserve">has responsibility for vegetation management as declared under section 81 of the </w:t>
      </w:r>
      <w:r w:rsidRPr="002103CB">
        <w:rPr>
          <w:rStyle w:val="AERtextitalic"/>
        </w:rPr>
        <w:t>Electricity Safety Act 1998</w:t>
      </w:r>
      <w:r>
        <w:t xml:space="preserve"> by the Governor in Council. </w:t>
      </w:r>
    </w:p>
  </w:footnote>
  <w:footnote w:id="821">
    <w:p w:rsidR="00223658" w:rsidRDefault="00223658" w:rsidP="00051BDB">
      <w:pPr>
        <w:pStyle w:val="FootnoteText"/>
      </w:pPr>
      <w:r>
        <w:rPr>
          <w:rStyle w:val="FootnoteReference"/>
        </w:rPr>
        <w:footnoteRef/>
      </w:r>
      <w:r>
        <w:t xml:space="preserve"> </w:t>
      </w:r>
      <w:r>
        <w:tab/>
        <w:t>SA Power Networks, Response to information request AER SAPN 021, 13 February 2015, p. 1.</w:t>
      </w:r>
    </w:p>
  </w:footnote>
  <w:footnote w:id="822">
    <w:p w:rsidR="00223658" w:rsidRDefault="00223658" w:rsidP="00051BDB">
      <w:pPr>
        <w:pStyle w:val="FootnoteText"/>
      </w:pPr>
      <w:r>
        <w:rPr>
          <w:rStyle w:val="FootnoteReference"/>
        </w:rPr>
        <w:footnoteRef/>
      </w:r>
      <w:r>
        <w:t xml:space="preserve"> </w:t>
      </w:r>
      <w:r>
        <w:tab/>
        <w:t>SA Power Networks, Response to information request AER SAPN 021, 13 February 2015, p. 1.</w:t>
      </w:r>
    </w:p>
  </w:footnote>
  <w:footnote w:id="823">
    <w:p w:rsidR="00223658" w:rsidRDefault="00223658" w:rsidP="00051BDB">
      <w:pPr>
        <w:pStyle w:val="FootnoteText"/>
      </w:pPr>
      <w:r>
        <w:rPr>
          <w:rStyle w:val="FootnoteReference"/>
        </w:rPr>
        <w:footnoteRef/>
      </w:r>
      <w:r>
        <w:t xml:space="preserve"> </w:t>
      </w:r>
      <w:r>
        <w:tab/>
        <w:t>SA Power Networks, Response to information request AER SAPN 021, 13 February 2015, p. 1.</w:t>
      </w:r>
    </w:p>
  </w:footnote>
  <w:footnote w:id="824">
    <w:p w:rsidR="00223658" w:rsidRDefault="00223658" w:rsidP="00051BDB">
      <w:pPr>
        <w:pStyle w:val="FootnoteText"/>
      </w:pPr>
      <w:r>
        <w:rPr>
          <w:rStyle w:val="FootnoteReference"/>
        </w:rPr>
        <w:footnoteRef/>
      </w:r>
      <w:r>
        <w:t xml:space="preserve"> </w:t>
      </w:r>
      <w:r>
        <w:tab/>
        <w:t>Electricity Act 1996 (SA), subsection 55(3).</w:t>
      </w:r>
    </w:p>
  </w:footnote>
  <w:footnote w:id="825">
    <w:p w:rsidR="00223658" w:rsidRDefault="00223658" w:rsidP="00051BDB">
      <w:pPr>
        <w:pStyle w:val="FootnoteText"/>
      </w:pPr>
      <w:r>
        <w:rPr>
          <w:rStyle w:val="FootnoteReference"/>
        </w:rPr>
        <w:footnoteRef/>
      </w:r>
      <w:r>
        <w:t xml:space="preserve"> </w:t>
      </w:r>
      <w:r>
        <w:tab/>
        <w:t>Ausgrid, Response to information request Ausgrid 049, 16 February, 2015. p. 3.</w:t>
      </w:r>
    </w:p>
  </w:footnote>
  <w:footnote w:id="826">
    <w:p w:rsidR="00223658" w:rsidRDefault="00223658" w:rsidP="00051BDB">
      <w:pPr>
        <w:pStyle w:val="FootnoteText"/>
      </w:pPr>
      <w:r>
        <w:rPr>
          <w:rStyle w:val="FootnoteReference"/>
        </w:rPr>
        <w:footnoteRef/>
      </w:r>
      <w:r>
        <w:t xml:space="preserve"> </w:t>
      </w:r>
      <w:r>
        <w:tab/>
        <w:t>Endeavour Energy, Response to information request Endeavour 052, 13 February 2015, p. 3.</w:t>
      </w:r>
    </w:p>
  </w:footnote>
  <w:footnote w:id="827">
    <w:p w:rsidR="00223658" w:rsidRDefault="00223658" w:rsidP="00051BDB">
      <w:pPr>
        <w:pStyle w:val="FootnoteText"/>
      </w:pPr>
      <w:r>
        <w:rPr>
          <w:rStyle w:val="FootnoteReference"/>
        </w:rPr>
        <w:footnoteRef/>
      </w:r>
      <w:r>
        <w:t xml:space="preserve"> </w:t>
      </w:r>
      <w:r>
        <w:tab/>
        <w:t>Endeavour Energy, Response to information request Endeavour 042, 13 February 2015, p. 3.</w:t>
      </w:r>
    </w:p>
  </w:footnote>
  <w:footnote w:id="828">
    <w:p w:rsidR="00223658" w:rsidRDefault="00223658" w:rsidP="00051BDB">
      <w:pPr>
        <w:pStyle w:val="FootnoteText"/>
      </w:pPr>
      <w:r>
        <w:rPr>
          <w:rStyle w:val="FootnoteReference"/>
        </w:rPr>
        <w:footnoteRef/>
      </w:r>
      <w:r>
        <w:t xml:space="preserve"> </w:t>
      </w:r>
      <w:r>
        <w:tab/>
        <w:t>CitiPower and Powercor, Response to information request on vegetation management responsibility, 17 February 2015, p. 1.</w:t>
      </w:r>
    </w:p>
  </w:footnote>
  <w:footnote w:id="829">
    <w:p w:rsidR="00223658" w:rsidRDefault="00223658" w:rsidP="00051BDB">
      <w:pPr>
        <w:pStyle w:val="FootnoteText"/>
      </w:pPr>
      <w:r>
        <w:rPr>
          <w:rStyle w:val="FootnoteReference"/>
        </w:rPr>
        <w:footnoteRef/>
      </w:r>
      <w:r>
        <w:t xml:space="preserve"> </w:t>
      </w:r>
      <w:r>
        <w:tab/>
        <w:t>AusNet Services, Response to information request on vegetation management responsibility, 16 February 2015, p. 1.</w:t>
      </w:r>
    </w:p>
  </w:footnote>
  <w:footnote w:id="830">
    <w:p w:rsidR="00223658" w:rsidRDefault="00223658" w:rsidP="00051BDB">
      <w:pPr>
        <w:pStyle w:val="FootnoteText"/>
      </w:pPr>
      <w:r>
        <w:rPr>
          <w:rStyle w:val="FootnoteReference"/>
        </w:rPr>
        <w:footnoteRef/>
      </w:r>
      <w:r>
        <w:t xml:space="preserve"> </w:t>
      </w:r>
      <w:r>
        <w:tab/>
        <w:t>SA Power Networks, Response to information request AER SAPN 021, 13 February 2015, p. 4.</w:t>
      </w:r>
    </w:p>
  </w:footnote>
  <w:footnote w:id="831">
    <w:p w:rsidR="00223658" w:rsidRDefault="00223658" w:rsidP="00051BDB">
      <w:pPr>
        <w:pStyle w:val="FootnoteText"/>
      </w:pPr>
      <w:r>
        <w:rPr>
          <w:rStyle w:val="FootnoteReference"/>
        </w:rPr>
        <w:footnoteRef/>
      </w:r>
      <w:r>
        <w:t xml:space="preserve"> </w:t>
      </w:r>
      <w:r>
        <w:tab/>
        <w:t>National Approach to Traffic Control at Work Sites, Publication no: AP-R337/09, Austroads 2009, p1</w:t>
      </w:r>
    </w:p>
  </w:footnote>
  <w:footnote w:id="832">
    <w:p w:rsidR="00223658" w:rsidRDefault="00223658" w:rsidP="00051BDB">
      <w:pPr>
        <w:pStyle w:val="FootnoteText"/>
      </w:pPr>
      <w:r>
        <w:rPr>
          <w:rStyle w:val="FootnoteReference"/>
        </w:rPr>
        <w:footnoteRef/>
      </w:r>
      <w:r>
        <w:t xml:space="preserve"> </w:t>
      </w:r>
      <w:r>
        <w:tab/>
      </w:r>
      <w:r w:rsidRPr="0035756B">
        <w:t>Advisian, Opex Cost Drivers: ActewAGL Distribution Electricity (ACT),</w:t>
      </w:r>
      <w:r>
        <w:t xml:space="preserve"> 16 January 2015, pp. 83-86</w:t>
      </w:r>
      <w:r w:rsidRPr="0035756B">
        <w:t>.</w:t>
      </w:r>
    </w:p>
  </w:footnote>
  <w:footnote w:id="833">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34">
    <w:p w:rsidR="00223658" w:rsidRDefault="00223658" w:rsidP="00051BDB">
      <w:pPr>
        <w:pStyle w:val="FootnoteText"/>
      </w:pPr>
      <w:r>
        <w:rPr>
          <w:rStyle w:val="FootnoteReference"/>
        </w:rPr>
        <w:footnoteRef/>
      </w:r>
      <w:r>
        <w:t xml:space="preserve"> </w:t>
      </w:r>
      <w:r>
        <w:tab/>
        <w:t>Energy Market Consulting Associates, Relationship between Opex and Customer density for Sparse Rural Networks, 2.3.2 Routine and Non Routine Maintenance., April 2015.</w:t>
      </w:r>
    </w:p>
  </w:footnote>
  <w:footnote w:id="835">
    <w:p w:rsidR="00223658" w:rsidRDefault="00223658" w:rsidP="00051BDB">
      <w:pPr>
        <w:pStyle w:val="FootnoteText"/>
      </w:pPr>
      <w:r>
        <w:rPr>
          <w:rStyle w:val="FootnoteReference"/>
        </w:rPr>
        <w:footnoteRef/>
      </w:r>
      <w:r>
        <w:t xml:space="preserve"> </w:t>
      </w:r>
      <w:r>
        <w:tab/>
        <w:t>Energy Market Consulting Associates, Relationship between Opex and Customer density for Sparse Rural Networks, 2.3.4 Emergency Response., April 2015.</w:t>
      </w:r>
    </w:p>
  </w:footnote>
  <w:footnote w:id="836">
    <w:p w:rsidR="00223658" w:rsidRDefault="00223658" w:rsidP="00051BDB">
      <w:pPr>
        <w:pStyle w:val="FootnoteText"/>
      </w:pPr>
      <w:r>
        <w:rPr>
          <w:rStyle w:val="FootnoteReference"/>
        </w:rPr>
        <w:footnoteRef/>
      </w:r>
      <w:r>
        <w:t xml:space="preserve"> </w:t>
      </w:r>
      <w:r>
        <w:tab/>
        <w:t xml:space="preserve">AER, Draft Decision NSW distribution network service providers, November 2014  pp.128-129. </w:t>
      </w:r>
    </w:p>
  </w:footnote>
  <w:footnote w:id="837">
    <w:p w:rsidR="00223658" w:rsidRDefault="00223658" w:rsidP="00051BDB">
      <w:pPr>
        <w:pStyle w:val="FootnoteText"/>
      </w:pPr>
      <w:r>
        <w:rPr>
          <w:rStyle w:val="FootnoteReference"/>
        </w:rPr>
        <w:footnoteRef/>
      </w:r>
      <w:r>
        <w:t xml:space="preserve"> </w:t>
      </w:r>
      <w:r>
        <w:tab/>
        <w:t>Advisian, Review of AER benchmarking: Networks NSW, 16 January 2015, pp. 73-74.</w:t>
      </w:r>
    </w:p>
  </w:footnote>
  <w:footnote w:id="838">
    <w:p w:rsidR="00223658" w:rsidRDefault="00223658" w:rsidP="00051BDB">
      <w:pPr>
        <w:pStyle w:val="FootnoteText"/>
      </w:pPr>
      <w:r>
        <w:rPr>
          <w:rStyle w:val="FootnoteReference"/>
        </w:rPr>
        <w:footnoteRef/>
      </w:r>
      <w:r>
        <w:t xml:space="preserve"> </w:t>
      </w:r>
      <w:r>
        <w:tab/>
        <w:t>Ausgrid, Revised Proposal, 20 January 2015, pp. 96-97.</w:t>
      </w:r>
    </w:p>
  </w:footnote>
  <w:footnote w:id="839">
    <w:p w:rsidR="00223658" w:rsidRDefault="00223658" w:rsidP="00051BDB">
      <w:pPr>
        <w:pStyle w:val="FootnoteText"/>
      </w:pPr>
      <w:r>
        <w:rPr>
          <w:rStyle w:val="FootnoteReference"/>
        </w:rPr>
        <w:footnoteRef/>
      </w:r>
      <w:r>
        <w:t xml:space="preserve"> </w:t>
      </w:r>
      <w:r>
        <w:tab/>
        <w:t>Essential Energy, Revised Proposal, 20 January, p. 186.</w:t>
      </w:r>
    </w:p>
  </w:footnote>
  <w:footnote w:id="840">
    <w:p w:rsidR="00223658" w:rsidRDefault="00223658" w:rsidP="00051BDB">
      <w:pPr>
        <w:pStyle w:val="FootnoteText"/>
      </w:pPr>
      <w:r>
        <w:rPr>
          <w:rStyle w:val="FootnoteReference"/>
        </w:rPr>
        <w:footnoteRef/>
      </w:r>
      <w:r>
        <w:t xml:space="preserve"> </w:t>
      </w:r>
      <w:r>
        <w:tab/>
        <w:t>Advisian, Review of AER benchmarking: Networks NSW, 16 January 2015, p. 75.</w:t>
      </w:r>
    </w:p>
  </w:footnote>
  <w:footnote w:id="841">
    <w:p w:rsidR="00223658" w:rsidRDefault="00223658" w:rsidP="00051BDB">
      <w:pPr>
        <w:pStyle w:val="FootnoteText"/>
      </w:pPr>
      <w:r>
        <w:rPr>
          <w:rStyle w:val="FootnoteReference"/>
        </w:rPr>
        <w:footnoteRef/>
      </w:r>
      <w:r>
        <w:t xml:space="preserve"> </w:t>
      </w:r>
      <w:r>
        <w:tab/>
        <w:t>Jacobs, Networks NSW - Draft Determination Review: System Capex &amp; Maintenance Prudency Assessment, 15 January 2015, Appendix B.</w:t>
      </w:r>
    </w:p>
  </w:footnote>
  <w:footnote w:id="842">
    <w:p w:rsidR="00223658" w:rsidRDefault="00223658" w:rsidP="00051BDB">
      <w:pPr>
        <w:pStyle w:val="FootnoteText"/>
      </w:pPr>
      <w:r>
        <w:rPr>
          <w:rStyle w:val="FootnoteReference"/>
        </w:rPr>
        <w:footnoteRef/>
      </w:r>
      <w:r>
        <w:t xml:space="preserve"> </w:t>
      </w:r>
      <w:r>
        <w:tab/>
        <w:t>Advisian, Review of AER benchmarking: Networks NSW, 16 January 2015, pp. 41-54.</w:t>
      </w:r>
    </w:p>
  </w:footnote>
  <w:footnote w:id="843">
    <w:p w:rsidR="00223658" w:rsidRDefault="00223658" w:rsidP="00051BDB">
      <w:pPr>
        <w:pStyle w:val="FootnoteText"/>
      </w:pPr>
      <w:r>
        <w:rPr>
          <w:rStyle w:val="FootnoteReference"/>
        </w:rPr>
        <w:footnoteRef/>
      </w:r>
      <w:r>
        <w:t xml:space="preserve"> </w:t>
      </w:r>
      <w:r>
        <w:tab/>
        <w:t>Advisian, Opex Cost Drivers: ActewAGL Distribution Electricity (ACT), 16 January 2015, pp. 45 -59.</w:t>
      </w:r>
    </w:p>
  </w:footnote>
  <w:footnote w:id="844">
    <w:p w:rsidR="00223658" w:rsidRDefault="00223658" w:rsidP="00051BDB">
      <w:pPr>
        <w:pStyle w:val="FootnoteText"/>
      </w:pPr>
      <w:r>
        <w:rPr>
          <w:rStyle w:val="FootnoteReference"/>
        </w:rPr>
        <w:footnoteRef/>
      </w:r>
      <w:r>
        <w:t xml:space="preserve"> </w:t>
      </w:r>
      <w:r>
        <w:tab/>
        <w:t>Trevor Armstrong, Statement of Trevor Armstrong Chief Operating Officer Ausgrid, 19 January 2015, pp. 31.</w:t>
      </w:r>
    </w:p>
  </w:footnote>
  <w:footnote w:id="845">
    <w:p w:rsidR="00223658" w:rsidRDefault="00223658" w:rsidP="00051BDB">
      <w:pPr>
        <w:pStyle w:val="FootnoteText"/>
      </w:pPr>
      <w:r>
        <w:rPr>
          <w:rStyle w:val="FootnoteReference"/>
        </w:rPr>
        <w:footnoteRef/>
      </w:r>
      <w:r>
        <w:t xml:space="preserve"> </w:t>
      </w:r>
      <w:r>
        <w:tab/>
        <w:t>Gary Humphreys, Statement of Gary Humphries Chief Operating Officer Essential Energy, 19 January 2015, p. 4</w:t>
      </w:r>
    </w:p>
  </w:footnote>
  <w:footnote w:id="846">
    <w:p w:rsidR="00223658" w:rsidRDefault="00223658" w:rsidP="00051BDB">
      <w:pPr>
        <w:pStyle w:val="FootnoteText"/>
      </w:pPr>
      <w:r>
        <w:rPr>
          <w:rStyle w:val="FootnoteReference"/>
        </w:rPr>
        <w:footnoteRef/>
      </w:r>
      <w:r>
        <w:t xml:space="preserve"> </w:t>
      </w:r>
      <w:r>
        <w:tab/>
        <w:t xml:space="preserve">CEPA, </w:t>
      </w:r>
      <w:r w:rsidR="00555D3B" w:rsidRPr="00555D3B">
        <w:t>Benchmarking and setting efficiency targets for the Australian DNSPs, (</w:t>
      </w:r>
      <w:r w:rsidR="00FE480B">
        <w:t>ActewAGL</w:t>
      </w:r>
      <w:r w:rsidR="00555D3B" w:rsidRPr="00555D3B">
        <w:t>), 2015,</w:t>
      </w:r>
      <w:r>
        <w:t xml:space="preserve"> p. iv-5.</w:t>
      </w:r>
    </w:p>
  </w:footnote>
  <w:footnote w:id="847">
    <w:p w:rsidR="00223658" w:rsidRDefault="00223658" w:rsidP="00051BDB">
      <w:pPr>
        <w:pStyle w:val="FootnoteText"/>
      </w:pPr>
      <w:r>
        <w:rPr>
          <w:rStyle w:val="FootnoteReference"/>
        </w:rPr>
        <w:footnoteRef/>
      </w:r>
      <w:r>
        <w:t xml:space="preserve"> </w:t>
      </w:r>
      <w:r>
        <w:tab/>
        <w:t>Advisian, Review of AER benchmarking: Networks NSW, 16 January 2015, p. 44.</w:t>
      </w:r>
    </w:p>
  </w:footnote>
  <w:footnote w:id="848">
    <w:p w:rsidR="00223658" w:rsidRDefault="00223658" w:rsidP="00051BDB">
      <w:pPr>
        <w:pStyle w:val="FootnoteText"/>
      </w:pPr>
      <w:r>
        <w:rPr>
          <w:rStyle w:val="FootnoteReference"/>
        </w:rPr>
        <w:footnoteRef/>
      </w:r>
      <w:r>
        <w:t xml:space="preserve"> </w:t>
      </w:r>
      <w:r>
        <w:tab/>
        <w:t>Advisian, Opex Cost Drivers: ActewAGL Distribution Electricity (ACT), 16 January 2015, pp. 51 -57.</w:t>
      </w:r>
    </w:p>
  </w:footnote>
  <w:footnote w:id="849">
    <w:p w:rsidR="00223658" w:rsidRDefault="00223658" w:rsidP="00051BDB">
      <w:pPr>
        <w:pStyle w:val="FootnoteText"/>
      </w:pPr>
      <w:r>
        <w:rPr>
          <w:rStyle w:val="FootnoteReference"/>
        </w:rPr>
        <w:footnoteRef/>
      </w:r>
      <w:r>
        <w:t xml:space="preserve"> </w:t>
      </w:r>
      <w:r>
        <w:tab/>
        <w:t>Advisian, Opex Cost Drivers: ActewAGL Distribution Electricity (ACT), 16 January 2015, pp. 51 -57.</w:t>
      </w:r>
    </w:p>
  </w:footnote>
  <w:footnote w:id="850">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51">
    <w:p w:rsidR="00223658" w:rsidRDefault="00223658" w:rsidP="00051BDB">
      <w:pPr>
        <w:pStyle w:val="FootnoteText"/>
      </w:pPr>
      <w:r>
        <w:rPr>
          <w:rStyle w:val="FootnoteReference"/>
        </w:rPr>
        <w:footnoteRef/>
      </w:r>
      <w:r>
        <w:t xml:space="preserve"> </w:t>
      </w:r>
      <w:r>
        <w:tab/>
        <w:t>Ofgem, RIIO-ED1: Glossary of terms, 2014, p. 6.</w:t>
      </w:r>
    </w:p>
  </w:footnote>
  <w:footnote w:id="852">
    <w:p w:rsidR="00223658" w:rsidRDefault="00223658" w:rsidP="00051BDB">
      <w:pPr>
        <w:pStyle w:val="FootnoteText"/>
      </w:pPr>
      <w:r>
        <w:rPr>
          <w:rStyle w:val="FootnoteReference"/>
        </w:rPr>
        <w:footnoteRef/>
      </w:r>
      <w:r>
        <w:t xml:space="preserve"> </w:t>
      </w:r>
      <w:r>
        <w:tab/>
        <w:t>Ofgem, RIIO-ED1: Final determinations for the slow-track electricity distribution companies: Business plan expenditure assessment, 28 November, 2014, p. 99-100.</w:t>
      </w:r>
    </w:p>
  </w:footnote>
  <w:footnote w:id="853">
    <w:p w:rsidR="00223658" w:rsidRDefault="00223658" w:rsidP="00051BDB">
      <w:pPr>
        <w:pStyle w:val="FootnoteText"/>
      </w:pPr>
      <w:r>
        <w:rPr>
          <w:rStyle w:val="FootnoteReference"/>
        </w:rPr>
        <w:footnoteRef/>
      </w:r>
      <w:r>
        <w:t xml:space="preserve"> </w:t>
      </w:r>
      <w:r>
        <w:tab/>
        <w:t>Seconomics, National Grid Requirements, 31 January 2013, p. 40.</w:t>
      </w:r>
    </w:p>
  </w:footnote>
  <w:footnote w:id="854">
    <w:p w:rsidR="00223658" w:rsidRDefault="00223658" w:rsidP="00051BDB">
      <w:pPr>
        <w:pStyle w:val="FootnoteText"/>
      </w:pPr>
      <w:r>
        <w:rPr>
          <w:rStyle w:val="FootnoteReference"/>
        </w:rPr>
        <w:footnoteRef/>
      </w:r>
      <w:r>
        <w:t xml:space="preserve"> </w:t>
      </w:r>
      <w:r>
        <w:tab/>
        <w:t>ActewAGL, Regulatory Proposal, June 2008, p. 64.</w:t>
      </w:r>
    </w:p>
  </w:footnote>
  <w:footnote w:id="855">
    <w:p w:rsidR="00223658" w:rsidRDefault="00223658" w:rsidP="00051BDB">
      <w:pPr>
        <w:pStyle w:val="FootnoteText"/>
      </w:pPr>
      <w:r>
        <w:rPr>
          <w:rStyle w:val="FootnoteReference"/>
        </w:rPr>
        <w:footnoteRef/>
      </w:r>
      <w:r>
        <w:t xml:space="preserve"> </w:t>
      </w:r>
      <w:r>
        <w:tab/>
        <w:t>Advisian, Review of AER benchmarking: Networks NSW, 16 January 2015, pp. 41 -49.</w:t>
      </w:r>
    </w:p>
  </w:footnote>
  <w:footnote w:id="856">
    <w:p w:rsidR="00223658" w:rsidRDefault="00223658" w:rsidP="00051BDB">
      <w:pPr>
        <w:pStyle w:val="FootnoteText"/>
      </w:pPr>
      <w:r>
        <w:rPr>
          <w:rStyle w:val="FootnoteReference"/>
        </w:rPr>
        <w:footnoteRef/>
      </w:r>
      <w:r>
        <w:t xml:space="preserve"> </w:t>
      </w:r>
      <w:r>
        <w:tab/>
        <w:t>Category Analysis RIN responses, template 2.8.</w:t>
      </w:r>
    </w:p>
  </w:footnote>
  <w:footnote w:id="857">
    <w:p w:rsidR="00223658" w:rsidRDefault="00223658" w:rsidP="00051BDB">
      <w:pPr>
        <w:pStyle w:val="FootnoteText"/>
      </w:pPr>
      <w:r>
        <w:rPr>
          <w:rStyle w:val="FootnoteReference"/>
        </w:rPr>
        <w:footnoteRef/>
      </w:r>
      <w:r>
        <w:t xml:space="preserve"> </w:t>
      </w:r>
      <w:r>
        <w:tab/>
        <w:t>Economic Benchmarking RIN response, template 6. Physical assets.</w:t>
      </w:r>
    </w:p>
  </w:footnote>
  <w:footnote w:id="858">
    <w:p w:rsidR="00223658" w:rsidRDefault="00223658" w:rsidP="00051BDB">
      <w:pPr>
        <w:pStyle w:val="FootnoteText"/>
      </w:pPr>
      <w:r>
        <w:rPr>
          <w:rStyle w:val="FootnoteReference"/>
        </w:rPr>
        <w:footnoteRef/>
      </w:r>
      <w:r>
        <w:t xml:space="preserve"> </w:t>
      </w:r>
      <w:r>
        <w:tab/>
        <w:t>Economic Benchmarking RIN responses, template 6. Physical assets.</w:t>
      </w:r>
    </w:p>
  </w:footnote>
  <w:footnote w:id="859">
    <w:p w:rsidR="00223658" w:rsidRDefault="00223658" w:rsidP="00051BDB">
      <w:pPr>
        <w:pStyle w:val="FootnoteText"/>
      </w:pPr>
      <w:r>
        <w:rPr>
          <w:rStyle w:val="FootnoteReference"/>
        </w:rPr>
        <w:footnoteRef/>
      </w:r>
      <w:r>
        <w:t xml:space="preserve"> </w:t>
      </w:r>
      <w:r>
        <w:tab/>
        <w:t>Ergon Energy, AER information request AER Ergon 002, 17 December 2014, p. 14.</w:t>
      </w:r>
    </w:p>
  </w:footnote>
  <w:footnote w:id="860">
    <w:p w:rsidR="00223658" w:rsidRDefault="00223658" w:rsidP="00051BDB">
      <w:pPr>
        <w:pStyle w:val="FootnoteText"/>
      </w:pPr>
      <w:r>
        <w:rPr>
          <w:rStyle w:val="FootnoteReference"/>
        </w:rPr>
        <w:footnoteRef/>
      </w:r>
      <w:r>
        <w:t xml:space="preserve"> </w:t>
      </w:r>
      <w:r>
        <w:tab/>
        <w:t>Ergon Energy, Response to information request AER Ergon 02, 17 December 2014, p. 13.</w:t>
      </w:r>
    </w:p>
  </w:footnote>
  <w:footnote w:id="861">
    <w:p w:rsidR="00223658" w:rsidRDefault="00223658" w:rsidP="00051BDB">
      <w:pPr>
        <w:pStyle w:val="FootnoteText"/>
      </w:pPr>
      <w:r>
        <w:rPr>
          <w:rStyle w:val="FootnoteReference"/>
        </w:rPr>
        <w:footnoteRef/>
      </w:r>
      <w:r>
        <w:t xml:space="preserve"> </w:t>
      </w:r>
      <w:r>
        <w:tab/>
        <w:t>Ergon Energy, Response to information request AER Ergon 018(3), 30 January 2015, p. 7.</w:t>
      </w:r>
    </w:p>
  </w:footnote>
  <w:footnote w:id="862">
    <w:p w:rsidR="00223658" w:rsidRDefault="00223658" w:rsidP="00051BDB">
      <w:pPr>
        <w:pStyle w:val="FootnoteText"/>
      </w:pPr>
      <w:r>
        <w:rPr>
          <w:rStyle w:val="FootnoteReference"/>
        </w:rPr>
        <w:footnoteRef/>
      </w:r>
      <w:r>
        <w:t xml:space="preserve"> </w:t>
      </w:r>
      <w:r>
        <w:tab/>
        <w:t>Economic Benchmarking RIN.</w:t>
      </w:r>
    </w:p>
  </w:footnote>
  <w:footnote w:id="863">
    <w:p w:rsidR="00223658" w:rsidRDefault="00223658" w:rsidP="00051BDB">
      <w:pPr>
        <w:pStyle w:val="FootnoteText"/>
      </w:pPr>
      <w:r>
        <w:rPr>
          <w:rStyle w:val="FootnoteReference"/>
        </w:rPr>
        <w:footnoteRef/>
      </w:r>
      <w:r>
        <w:t xml:space="preserve"> </w:t>
      </w:r>
      <w:r>
        <w:tab/>
        <w:t>Ergon Energy, Response to information request AER Ergon 018(3), 30 January 2015, p. 7.</w:t>
      </w:r>
    </w:p>
  </w:footnote>
  <w:footnote w:id="864">
    <w:p w:rsidR="00223658" w:rsidRDefault="00223658" w:rsidP="00051BDB">
      <w:pPr>
        <w:pStyle w:val="FootnoteText"/>
      </w:pPr>
      <w:r>
        <w:rPr>
          <w:rStyle w:val="FootnoteReference"/>
        </w:rPr>
        <w:footnoteRef/>
      </w:r>
      <w:r>
        <w:t xml:space="preserve"> </w:t>
      </w:r>
      <w:r>
        <w:tab/>
        <w:t>Ergon Energy, Economic Benchmarking RIN responses, 2013 and 2014, Template 8. Operating Environment.</w:t>
      </w:r>
    </w:p>
  </w:footnote>
  <w:footnote w:id="865">
    <w:p w:rsidR="00223658" w:rsidRDefault="00223658" w:rsidP="00051BDB">
      <w:pPr>
        <w:pStyle w:val="FootnoteText"/>
      </w:pPr>
      <w:r>
        <w:rPr>
          <w:rStyle w:val="FootnoteReference"/>
        </w:rPr>
        <w:footnoteRef/>
      </w:r>
      <w:r>
        <w:t xml:space="preserve"> </w:t>
      </w:r>
      <w:r>
        <w:tab/>
        <w:t>Essential Energy, Revised Proposal: Attachment 7.4, p. 25.</w:t>
      </w:r>
    </w:p>
  </w:footnote>
  <w:footnote w:id="866">
    <w:p w:rsidR="00223658" w:rsidRDefault="00223658" w:rsidP="00051BDB">
      <w:pPr>
        <w:pStyle w:val="FootnoteText"/>
      </w:pPr>
      <w:r>
        <w:rPr>
          <w:rStyle w:val="FootnoteReference"/>
        </w:rPr>
        <w:footnoteRef/>
      </w:r>
      <w:r>
        <w:t xml:space="preserve"> </w:t>
      </w:r>
      <w:r>
        <w:tab/>
        <w:t>Stewart Smith, Electricity and Privatisation, NSW Parliamentary library research service,1997, p. 3.</w:t>
      </w:r>
    </w:p>
  </w:footnote>
  <w:footnote w:id="867">
    <w:p w:rsidR="00223658" w:rsidRDefault="00223658" w:rsidP="00051BDB">
      <w:pPr>
        <w:pStyle w:val="FootnoteText"/>
      </w:pPr>
      <w:r>
        <w:rPr>
          <w:rStyle w:val="FootnoteReference"/>
        </w:rPr>
        <w:footnoteRef/>
      </w:r>
      <w:r>
        <w:t xml:space="preserve"> </w:t>
      </w:r>
      <w:r>
        <w:tab/>
        <w:t>Victorian Government, Victorian Government Gazette, No 54 1961, 3 July 1961.</w:t>
      </w:r>
    </w:p>
  </w:footnote>
  <w:footnote w:id="868">
    <w:p w:rsidR="00223658" w:rsidRDefault="00223658" w:rsidP="00051BDB">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 113.</w:t>
      </w:r>
    </w:p>
  </w:footnote>
  <w:footnote w:id="869">
    <w:p w:rsidR="00223658" w:rsidRDefault="00223658" w:rsidP="00051BDB">
      <w:pPr>
        <w:pStyle w:val="FootnoteText"/>
      </w:pPr>
      <w:r>
        <w:rPr>
          <w:rStyle w:val="FootnoteReference"/>
        </w:rPr>
        <w:footnoteRef/>
      </w:r>
      <w:r>
        <w:t xml:space="preserve"> </w:t>
      </w:r>
      <w:r>
        <w:tab/>
        <w:t>Advisian, Review of AER benchmarking: Networks NSW, 16 January 2015, p. 46</w:t>
      </w:r>
    </w:p>
  </w:footnote>
  <w:footnote w:id="870">
    <w:p w:rsidR="00223658" w:rsidRDefault="00223658" w:rsidP="00051BDB">
      <w:pPr>
        <w:pStyle w:val="FootnoteText"/>
      </w:pPr>
      <w:r>
        <w:rPr>
          <w:rStyle w:val="FootnoteReference"/>
        </w:rPr>
        <w:footnoteRef/>
      </w:r>
      <w:r>
        <w:t xml:space="preserve"> </w:t>
      </w:r>
      <w:r>
        <w:tab/>
        <w:t>Essential Energy, Revised Proposal: Attachment 7.4, 20 January 2015, p. 32.</w:t>
      </w:r>
    </w:p>
  </w:footnote>
  <w:footnote w:id="871">
    <w:p w:rsidR="00223658" w:rsidRDefault="00223658" w:rsidP="00051BDB">
      <w:pPr>
        <w:pStyle w:val="FootnoteText"/>
      </w:pPr>
      <w:r>
        <w:rPr>
          <w:rStyle w:val="FootnoteReference"/>
        </w:rPr>
        <w:footnoteRef/>
      </w:r>
      <w:r>
        <w:t xml:space="preserve"> </w:t>
      </w:r>
      <w:r>
        <w:tab/>
        <w:t>Ofgem, RIIO-ED1: Glossary of terms, 2014, p. 23.</w:t>
      </w:r>
    </w:p>
  </w:footnote>
  <w:footnote w:id="872">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73">
    <w:p w:rsidR="00223658" w:rsidRDefault="00223658" w:rsidP="00051BDB">
      <w:pPr>
        <w:pStyle w:val="FootnoteText"/>
      </w:pPr>
      <w:r>
        <w:rPr>
          <w:rStyle w:val="FootnoteReference"/>
        </w:rPr>
        <w:footnoteRef/>
      </w:r>
      <w:r>
        <w:t xml:space="preserve"> </w:t>
      </w:r>
      <w:r>
        <w:tab/>
        <w:t>SP Energy Networks, SP Energy Networks 2015-2023 Business Plan: Annex Rising Mains and Laterals Strategy, March 2014, pp. 3-4.</w:t>
      </w:r>
    </w:p>
  </w:footnote>
  <w:footnote w:id="874">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75">
    <w:p w:rsidR="00223658" w:rsidRDefault="00223658" w:rsidP="00051BDB">
      <w:pPr>
        <w:pStyle w:val="FootnoteText"/>
      </w:pPr>
      <w:r>
        <w:rPr>
          <w:rStyle w:val="FootnoteReference"/>
        </w:rPr>
        <w:footnoteRef/>
      </w:r>
      <w:r>
        <w:t xml:space="preserve"> </w:t>
      </w:r>
      <w:r>
        <w:tab/>
        <w:t xml:space="preserve">Energex, Response to information request AER EGX 001 Question A, </w:t>
      </w:r>
      <w:r w:rsidRPr="0006722B">
        <w:t>17 December 2014</w:t>
      </w:r>
      <w:r>
        <w:t>, p. 9.</w:t>
      </w:r>
    </w:p>
  </w:footnote>
  <w:footnote w:id="876">
    <w:p w:rsidR="00223658" w:rsidRDefault="00223658" w:rsidP="00051BDB">
      <w:pPr>
        <w:pStyle w:val="FootnoteText"/>
      </w:pPr>
      <w:r>
        <w:rPr>
          <w:rStyle w:val="FootnoteReference"/>
        </w:rPr>
        <w:footnoteRef/>
      </w:r>
      <w:r>
        <w:t xml:space="preserve"> </w:t>
      </w:r>
      <w:r>
        <w:tab/>
        <w:t xml:space="preserve">Clean Energy Regulator, Small-scale installations by postcode, available at: </w:t>
      </w:r>
      <w:hyperlink r:id="rId13" w:history="1">
        <w:r w:rsidRPr="00694740">
          <w:rPr>
            <w:rStyle w:val="Hyperlink"/>
            <w:sz w:val="16"/>
          </w:rPr>
          <w:t>http://ret.cleanenergyregulator.gov.au/REC-Registry/Data-reports</w:t>
        </w:r>
      </w:hyperlink>
      <w:r>
        <w:t xml:space="preserve"> [last accessed 31 March 2015].</w:t>
      </w:r>
    </w:p>
  </w:footnote>
  <w:footnote w:id="877">
    <w:p w:rsidR="00223658" w:rsidRDefault="00223658" w:rsidP="00051BDB">
      <w:pPr>
        <w:pStyle w:val="FootnoteText"/>
      </w:pPr>
      <w:r>
        <w:rPr>
          <w:rStyle w:val="FootnoteReference"/>
        </w:rPr>
        <w:footnoteRef/>
      </w:r>
      <w:r>
        <w:t xml:space="preserve"> </w:t>
      </w:r>
      <w:r>
        <w:tab/>
        <w:t>Advisian, Review of AER benchmarking: Networks NSW, 16 January 2015, pp. 46 -49.</w:t>
      </w:r>
    </w:p>
  </w:footnote>
  <w:footnote w:id="878">
    <w:p w:rsidR="00223658" w:rsidRDefault="00223658" w:rsidP="00051BDB">
      <w:pPr>
        <w:pStyle w:val="FootnoteText"/>
      </w:pPr>
      <w:r>
        <w:rPr>
          <w:rStyle w:val="FootnoteReference"/>
        </w:rPr>
        <w:footnoteRef/>
      </w:r>
      <w:r>
        <w:t xml:space="preserve"> </w:t>
      </w:r>
      <w:r>
        <w:tab/>
        <w:t>Advisian, Opex Cost Drivers: ActewAGL Distribution Electricity (ACT), 16 January 2015, pp. 52 -55.</w:t>
      </w:r>
    </w:p>
  </w:footnote>
  <w:footnote w:id="879">
    <w:p w:rsidR="00223658" w:rsidRPr="003579AA" w:rsidRDefault="00223658" w:rsidP="00051BDB">
      <w:pPr>
        <w:pStyle w:val="FootnoteText"/>
      </w:pPr>
      <w:r>
        <w:rPr>
          <w:rStyle w:val="FootnoteReference"/>
        </w:rPr>
        <w:footnoteRef/>
      </w:r>
      <w:r>
        <w:t xml:space="preserve"> </w:t>
      </w:r>
      <w:r>
        <w:tab/>
      </w:r>
      <w:r w:rsidRPr="003579AA">
        <w:t>Frontier Economics,</w:t>
      </w:r>
      <w:r>
        <w:t xml:space="preserve"> </w:t>
      </w:r>
      <w:r w:rsidRPr="003579AA">
        <w:t>Taking account of heterogeneity between networks when conducting economic benchmarking analysis</w:t>
      </w:r>
      <w:r>
        <w:t>, February 2015, pp. 38-39</w:t>
      </w:r>
    </w:p>
  </w:footnote>
  <w:footnote w:id="880">
    <w:p w:rsidR="00223658" w:rsidRDefault="00223658" w:rsidP="00051BDB">
      <w:pPr>
        <w:pStyle w:val="FootnoteText"/>
      </w:pPr>
      <w:r>
        <w:rPr>
          <w:rStyle w:val="FootnoteReference"/>
        </w:rPr>
        <w:footnoteRef/>
      </w:r>
      <w:r>
        <w:t xml:space="preserve"> </w:t>
      </w:r>
      <w:r>
        <w:tab/>
      </w:r>
      <w:r w:rsidRPr="00A83CDC">
        <w:t xml:space="preserve">David Newbery, Cambridge Economic Policy </w:t>
      </w:r>
      <w:r w:rsidRPr="00B546AE">
        <w:t>Associates</w:t>
      </w:r>
      <w:r w:rsidRPr="00A83CDC">
        <w:t>: Expert report, January 2015</w:t>
      </w:r>
      <w:r>
        <w:t xml:space="preserve"> p</w:t>
      </w:r>
      <w:r w:rsidRPr="00A83CDC">
        <w:t>. 18.</w:t>
      </w:r>
    </w:p>
  </w:footnote>
  <w:footnote w:id="881">
    <w:p w:rsidR="00223658" w:rsidRDefault="00223658" w:rsidP="00051BDB">
      <w:pPr>
        <w:pStyle w:val="FootnoteText"/>
      </w:pPr>
      <w:r>
        <w:rPr>
          <w:rStyle w:val="FootnoteReference"/>
        </w:rPr>
        <w:footnoteRef/>
      </w:r>
      <w:r>
        <w:t xml:space="preserve"> </w:t>
      </w:r>
      <w:r>
        <w:tab/>
      </w:r>
      <w:r w:rsidRPr="0025588C">
        <w:t>Economic Insights</w:t>
      </w:r>
      <w:r>
        <w:t>, April 2015, p. vii.</w:t>
      </w:r>
    </w:p>
  </w:footnote>
  <w:footnote w:id="882">
    <w:p w:rsidR="00223658" w:rsidRPr="005542F1" w:rsidRDefault="00223658" w:rsidP="00051BDB">
      <w:pPr>
        <w:pStyle w:val="FootnoteText"/>
      </w:pPr>
      <w:r>
        <w:rPr>
          <w:rStyle w:val="FootnoteReference"/>
        </w:rPr>
        <w:footnoteRef/>
      </w:r>
      <w:r>
        <w:t xml:space="preserve"> </w:t>
      </w:r>
      <w:r>
        <w:tab/>
        <w:t>Four of the 27 included New Zealand DNSPs report very short lengths of line over 66 kV.</w:t>
      </w:r>
    </w:p>
  </w:footnote>
  <w:footnote w:id="883">
    <w:p w:rsidR="00223658" w:rsidRDefault="00223658" w:rsidP="00051BDB">
      <w:pPr>
        <w:pStyle w:val="FootnoteText"/>
      </w:pPr>
      <w:r>
        <w:rPr>
          <w:rStyle w:val="FootnoteReference"/>
        </w:rPr>
        <w:footnoteRef/>
      </w:r>
      <w:r>
        <w:t xml:space="preserve"> </w:t>
      </w:r>
      <w:r>
        <w:tab/>
      </w:r>
      <w:r w:rsidRPr="0025588C">
        <w:t>Economic Insights</w:t>
      </w:r>
      <w:r>
        <w:t>, April 2015, p. 49.</w:t>
      </w:r>
    </w:p>
  </w:footnote>
  <w:footnote w:id="884">
    <w:p w:rsidR="00223658" w:rsidRDefault="00223658" w:rsidP="00051BDB">
      <w:pPr>
        <w:pStyle w:val="FootnoteText"/>
      </w:pPr>
      <w:r>
        <w:rPr>
          <w:rStyle w:val="FootnoteReference"/>
        </w:rPr>
        <w:footnoteRef/>
      </w:r>
      <w:r>
        <w:t xml:space="preserve"> </w:t>
      </w:r>
      <w:r>
        <w:tab/>
        <w:t>Energy Australia regulatory accounts financial year 2001 to financial year 2009, Category Analysis data financial year 2009 to 2013.</w:t>
      </w:r>
    </w:p>
  </w:footnote>
  <w:footnote w:id="885">
    <w:p w:rsidR="00223658" w:rsidRDefault="00223658" w:rsidP="00051BDB">
      <w:pPr>
        <w:pStyle w:val="FootnoteText"/>
      </w:pPr>
      <w:r>
        <w:rPr>
          <w:rStyle w:val="FootnoteReference"/>
        </w:rPr>
        <w:footnoteRef/>
      </w:r>
      <w:r>
        <w:t xml:space="preserve"> 10.5-5.3=5.2</w:t>
      </w:r>
    </w:p>
  </w:footnote>
  <w:footnote w:id="886">
    <w:p w:rsidR="00223658" w:rsidRDefault="00223658" w:rsidP="00051BDB">
      <w:pPr>
        <w:pStyle w:val="FootnoteText"/>
      </w:pPr>
      <w:r>
        <w:rPr>
          <w:rStyle w:val="FootnoteReference"/>
        </w:rPr>
        <w:footnoteRef/>
      </w:r>
      <w:r>
        <w:t xml:space="preserve"> 10.2-5.3=4.9</w:t>
      </w:r>
    </w:p>
  </w:footnote>
  <w:footnote w:id="887">
    <w:p w:rsidR="00223658" w:rsidRDefault="00223658" w:rsidP="00051BDB">
      <w:pPr>
        <w:pStyle w:val="FootnoteText"/>
      </w:pPr>
      <w:r>
        <w:rPr>
          <w:rStyle w:val="FootnoteReference"/>
        </w:rPr>
        <w:footnoteRef/>
      </w:r>
      <w:r>
        <w:t xml:space="preserve"> 8.4-5.3=3.1</w:t>
      </w:r>
    </w:p>
  </w:footnote>
  <w:footnote w:id="888">
    <w:p w:rsidR="00223658" w:rsidRDefault="00223658" w:rsidP="00051BDB">
      <w:pPr>
        <w:pStyle w:val="FootnoteText"/>
      </w:pPr>
      <w:r>
        <w:rPr>
          <w:rStyle w:val="FootnoteReference"/>
        </w:rPr>
        <w:footnoteRef/>
      </w:r>
      <w:r>
        <w:t xml:space="preserve"> </w:t>
      </w:r>
      <w:r>
        <w:tab/>
      </w:r>
      <w:r w:rsidRPr="009D046E">
        <w:t>Advisian, Opex Cost Drivers: ActewAGL Distribution Electricity (</w:t>
      </w:r>
      <w:r>
        <w:t>ACT), 16 January 2015, pp. 57-59</w:t>
      </w:r>
      <w:r w:rsidRPr="009D046E">
        <w:t>.</w:t>
      </w:r>
    </w:p>
  </w:footnote>
  <w:footnote w:id="889">
    <w:p w:rsidR="00223658" w:rsidRDefault="00223658" w:rsidP="00051BDB">
      <w:pPr>
        <w:pStyle w:val="FootnoteText"/>
      </w:pPr>
      <w:r>
        <w:rPr>
          <w:rStyle w:val="FootnoteReference"/>
        </w:rPr>
        <w:footnoteRef/>
      </w:r>
      <w:r>
        <w:t xml:space="preserve"> </w:t>
      </w:r>
      <w:r>
        <w:tab/>
      </w:r>
      <w:r w:rsidRPr="00287897">
        <w:t xml:space="preserve">Advisian, Review of AER benchmarking: Networks </w:t>
      </w:r>
      <w:r>
        <w:t>NSW, 16 January 2015, pp. 50-52</w:t>
      </w:r>
      <w:r w:rsidRPr="00287897">
        <w:t>.</w:t>
      </w:r>
    </w:p>
  </w:footnote>
  <w:footnote w:id="890">
    <w:p w:rsidR="00223658" w:rsidRDefault="00223658" w:rsidP="00051BDB">
      <w:pPr>
        <w:pStyle w:val="FootnoteText"/>
      </w:pPr>
      <w:r>
        <w:rPr>
          <w:rStyle w:val="FootnoteReference"/>
        </w:rPr>
        <w:footnoteRef/>
      </w:r>
      <w:r>
        <w:t xml:space="preserve"> </w:t>
      </w:r>
      <w:r>
        <w:tab/>
      </w:r>
      <w:r w:rsidRPr="00287897">
        <w:t xml:space="preserve">CEPA, </w:t>
      </w:r>
      <w:r w:rsidR="00555D3B" w:rsidRPr="00555D3B">
        <w:t>Benchmarking and setting efficiency targets for the Australian DNSPs, (</w:t>
      </w:r>
      <w:r w:rsidR="00FE480B">
        <w:t>ActewAGL</w:t>
      </w:r>
      <w:r w:rsidR="00555D3B" w:rsidRPr="00555D3B">
        <w:t>), 2015,</w:t>
      </w:r>
      <w:r w:rsidRPr="00287897">
        <w:t xml:space="preserve"> p</w:t>
      </w:r>
      <w:r>
        <w:t>p. 26, 30, and 68.</w:t>
      </w:r>
    </w:p>
  </w:footnote>
  <w:footnote w:id="891">
    <w:p w:rsidR="00223658" w:rsidRDefault="00223658" w:rsidP="00051BDB">
      <w:pPr>
        <w:pStyle w:val="FootnoteText"/>
      </w:pPr>
      <w:r>
        <w:rPr>
          <w:rStyle w:val="FootnoteReference"/>
        </w:rPr>
        <w:footnoteRef/>
      </w:r>
      <w:r>
        <w:t xml:space="preserve"> </w:t>
      </w:r>
      <w:r>
        <w:tab/>
        <w:t>Synergies, Concerns over the AER's use of benchmarking as it might apply in its forthcoming draft decision on Ergon, January 2015,  p. 26</w:t>
      </w:r>
    </w:p>
  </w:footnote>
  <w:footnote w:id="892">
    <w:p w:rsidR="00223658" w:rsidRDefault="00223658" w:rsidP="00051BDB">
      <w:pPr>
        <w:pStyle w:val="FootnoteText"/>
      </w:pPr>
      <w:r>
        <w:rPr>
          <w:rStyle w:val="FootnoteReference"/>
        </w:rPr>
        <w:footnoteRef/>
      </w:r>
      <w:r>
        <w:t xml:space="preserve"> </w:t>
      </w:r>
      <w:r>
        <w:tab/>
        <w:t>Parsons Brinckerhoff, Indicative costs for replacing SWER lines, 28 August 2009, p. iv.</w:t>
      </w:r>
    </w:p>
  </w:footnote>
  <w:footnote w:id="893">
    <w:p w:rsidR="00223658" w:rsidRDefault="00223658" w:rsidP="00051BDB">
      <w:pPr>
        <w:pStyle w:val="FootnoteText"/>
      </w:pPr>
      <w:r>
        <w:rPr>
          <w:rStyle w:val="FootnoteReference"/>
        </w:rPr>
        <w:footnoteRef/>
      </w:r>
      <w:r>
        <w:t xml:space="preserve"> </w:t>
      </w:r>
      <w:r>
        <w:tab/>
        <w:t>The World Bank, Sub-Saharan Africa: Introducing Low-cost Methods in Electricity Distribution Networks, October 2006, p. xvi.</w:t>
      </w:r>
    </w:p>
  </w:footnote>
  <w:footnote w:id="894">
    <w:p w:rsidR="00223658" w:rsidRDefault="00223658" w:rsidP="00051BDB">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95">
    <w:p w:rsidR="00223658" w:rsidRDefault="00223658" w:rsidP="00051BDB">
      <w:pPr>
        <w:pStyle w:val="FootnoteText"/>
      </w:pPr>
      <w:r>
        <w:rPr>
          <w:rStyle w:val="FootnoteReference"/>
        </w:rPr>
        <w:footnoteRef/>
      </w:r>
      <w:r>
        <w:t xml:space="preserve"> </w:t>
      </w:r>
      <w:r>
        <w:tab/>
        <w:t>Ausgrid, Revised Regulatory Proposal, pp. 10, 151; Endeavour Energy, Revised Regulatory Proposal, pp. 9, 179; Essential Energy, Revised Regulatory Proposal, pp. 13, 191.</w:t>
      </w:r>
    </w:p>
  </w:footnote>
  <w:footnote w:id="896">
    <w:p w:rsidR="00223658" w:rsidRDefault="00223658" w:rsidP="00051BDB">
      <w:pPr>
        <w:pStyle w:val="FootnoteText"/>
      </w:pPr>
      <w:r>
        <w:rPr>
          <w:rStyle w:val="FootnoteReference"/>
        </w:rPr>
        <w:footnoteRef/>
      </w:r>
      <w:r>
        <w:t xml:space="preserve"> </w:t>
      </w:r>
      <w:r>
        <w:tab/>
        <w:t>For example, ActewAGL, Revised Regulatory Proposal, 2015, pp. 117,</w:t>
      </w:r>
      <w:r w:rsidRPr="0042461B">
        <w:t xml:space="preserve"> 126-129</w:t>
      </w:r>
      <w:r>
        <w:t>, Ausgrid, RRP, 2015, pp. 139–140.</w:t>
      </w:r>
    </w:p>
  </w:footnote>
  <w:footnote w:id="897">
    <w:p w:rsidR="00223658" w:rsidRDefault="00223658" w:rsidP="00051BDB">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898">
    <w:p w:rsidR="00223658" w:rsidRDefault="00223658" w:rsidP="00051BDB">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899">
    <w:p w:rsidR="00223658" w:rsidRDefault="00223658" w:rsidP="00051BDB">
      <w:pPr>
        <w:pStyle w:val="FootnoteText"/>
      </w:pPr>
      <w:r>
        <w:rPr>
          <w:rStyle w:val="FootnoteReference"/>
        </w:rPr>
        <w:footnoteRef/>
      </w:r>
      <w:r>
        <w:t xml:space="preserve"> </w:t>
      </w:r>
      <w:r>
        <w:tab/>
      </w:r>
      <w:r w:rsidRPr="00B2272D">
        <w:t xml:space="preserve">AEMC, Final Rule Determination: National Electricity Amendment (Economic Regulation of Network Service Providers) Rule 2012, 29 November 2012, pp 10.  </w:t>
      </w:r>
    </w:p>
  </w:footnote>
  <w:footnote w:id="900">
    <w:p w:rsidR="00223658" w:rsidRDefault="00223658" w:rsidP="00051BDB">
      <w:pPr>
        <w:pStyle w:val="FootnoteText"/>
      </w:pPr>
      <w:r>
        <w:rPr>
          <w:rStyle w:val="FootnoteReference"/>
        </w:rPr>
        <w:footnoteRef/>
      </w:r>
      <w:r>
        <w:t xml:space="preserve"> </w:t>
      </w:r>
      <w:r>
        <w:tab/>
        <w:t>ActewAGL, Revised Regulatory Proposal, 2015, pp. 117,</w:t>
      </w:r>
      <w:r w:rsidRPr="0042461B">
        <w:t xml:space="preserve"> 126-129</w:t>
      </w:r>
      <w:r>
        <w:t>, Ausgrid, RRP, 2015, pp. 139–140.</w:t>
      </w:r>
    </w:p>
  </w:footnote>
  <w:footnote w:id="901">
    <w:p w:rsidR="00223658" w:rsidRDefault="00223658" w:rsidP="00051BDB">
      <w:pPr>
        <w:pStyle w:val="FootnoteText"/>
      </w:pPr>
      <w:r>
        <w:rPr>
          <w:rStyle w:val="FootnoteReference"/>
        </w:rPr>
        <w:footnoteRef/>
      </w:r>
      <w:r>
        <w:t xml:space="preserve"> </w:t>
      </w:r>
      <w:r>
        <w:tab/>
        <w:t>ActewAGL, Revised Regulatory Proposal,, 2015, p. 118.</w:t>
      </w:r>
    </w:p>
  </w:footnote>
  <w:footnote w:id="902">
    <w:p w:rsidR="00223658" w:rsidRDefault="00223658" w:rsidP="00051BDB">
      <w:pPr>
        <w:pStyle w:val="FootnoteText"/>
      </w:pPr>
      <w:r>
        <w:rPr>
          <w:rStyle w:val="FootnoteReference"/>
        </w:rPr>
        <w:footnoteRef/>
      </w:r>
      <w:r>
        <w:t xml:space="preserve"> </w:t>
      </w:r>
      <w:r>
        <w:tab/>
        <w:t>ActewAGL, Revised Regulatory Proposal, pp. 168-173; CEPA</w:t>
      </w:r>
      <w:r w:rsidR="00555D3B">
        <w:t>,</w:t>
      </w:r>
      <w:r>
        <w:t xml:space="preserve"> </w:t>
      </w:r>
      <w:r w:rsidR="00555D3B" w:rsidRPr="00555D3B">
        <w:t>Benchmarking and setting efficiency targets for the Australian DNSPs, (ActewAGL)</w:t>
      </w:r>
      <w:r>
        <w:t>, 2015, p. 134.</w:t>
      </w:r>
    </w:p>
  </w:footnote>
  <w:footnote w:id="903">
    <w:p w:rsidR="00223658" w:rsidRDefault="00223658" w:rsidP="00051BDB">
      <w:pPr>
        <w:pStyle w:val="FootnoteText"/>
      </w:pPr>
      <w:r>
        <w:rPr>
          <w:rStyle w:val="FootnoteReference"/>
        </w:rPr>
        <w:footnoteRef/>
      </w:r>
      <w:r>
        <w:t xml:space="preserve"> </w:t>
      </w:r>
      <w:r>
        <w:tab/>
      </w:r>
      <w:r w:rsidRPr="0028384E">
        <w:t>Ausgrid, Revised R</w:t>
      </w:r>
      <w:r>
        <w:t xml:space="preserve">egulatory Proposal, pp. 143-144; </w:t>
      </w:r>
      <w:r w:rsidRPr="003558D9">
        <w:t>ActewAGL Revised Regulatory Proposal, pp. 166-175.</w:t>
      </w:r>
    </w:p>
  </w:footnote>
  <w:footnote w:id="904">
    <w:p w:rsidR="00223658" w:rsidRDefault="00223658" w:rsidP="00051BDB">
      <w:pPr>
        <w:pStyle w:val="FootnoteText"/>
      </w:pPr>
      <w:r>
        <w:rPr>
          <w:rStyle w:val="FootnoteReference"/>
        </w:rPr>
        <w:footnoteRef/>
      </w:r>
      <w:r>
        <w:t xml:space="preserve"> </w:t>
      </w:r>
      <w:r>
        <w:tab/>
      </w:r>
      <w:r w:rsidRPr="0028384E">
        <w:t>ActewAGL Revi</w:t>
      </w:r>
      <w:r>
        <w:t xml:space="preserve">sed Regulatory Proposal, p. 166; </w:t>
      </w:r>
      <w:r w:rsidRPr="006C5941">
        <w:t>Frontier Economics, (NSW</w:t>
      </w:r>
      <w:r w:rsidR="00555D3B">
        <w:t>/ACT</w:t>
      </w:r>
      <w:r w:rsidRPr="006C5941">
        <w:t>), 2015, p.97, PEGR, 2015, p.64. CEPA</w:t>
      </w:r>
      <w:r w:rsidR="00555D3B">
        <w:t xml:space="preserve">, </w:t>
      </w:r>
      <w:r w:rsidR="00555D3B" w:rsidRPr="00555D3B">
        <w:t>Benchmarking and setting efficiency targets for the Australian DNSPs, (NSW DNSPs), 2015,</w:t>
      </w:r>
      <w:r w:rsidRPr="006C5941">
        <w:t xml:space="preserve"> p.35.</w:t>
      </w:r>
    </w:p>
  </w:footnote>
  <w:footnote w:id="905">
    <w:p w:rsidR="00223658" w:rsidRDefault="00223658" w:rsidP="00051BDB">
      <w:pPr>
        <w:pStyle w:val="FootnoteText"/>
      </w:pPr>
      <w:r>
        <w:rPr>
          <w:rStyle w:val="FootnoteReference"/>
        </w:rPr>
        <w:footnoteRef/>
      </w:r>
      <w:r>
        <w:t xml:space="preserve"> </w:t>
      </w:r>
      <w:r>
        <w:tab/>
        <w:t>Economic Insights (2014), section 5.</w:t>
      </w:r>
    </w:p>
  </w:footnote>
  <w:footnote w:id="906">
    <w:p w:rsidR="00223658" w:rsidRDefault="00223658" w:rsidP="00051BDB">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907">
    <w:p w:rsidR="00223658" w:rsidRDefault="00223658" w:rsidP="00051BDB">
      <w:pPr>
        <w:pStyle w:val="FootnoteText"/>
      </w:pPr>
      <w:r>
        <w:rPr>
          <w:rStyle w:val="FootnoteReference"/>
        </w:rPr>
        <w:footnoteRef/>
      </w:r>
      <w:r>
        <w:t xml:space="preserve"> </w:t>
      </w:r>
      <w:r>
        <w:tab/>
        <w:t>NER, clause 6.5.6(c) states:</w:t>
      </w:r>
    </w:p>
    <w:p w:rsidR="00223658" w:rsidRPr="003C56A8" w:rsidRDefault="00223658" w:rsidP="00051BDB">
      <w:pPr>
        <w:pStyle w:val="FootnoteText"/>
        <w:rPr>
          <w:rStyle w:val="AERtextitalic"/>
        </w:rPr>
      </w:pPr>
      <w:r>
        <w:tab/>
      </w:r>
      <w:r w:rsidRPr="003C56A8">
        <w:rPr>
          <w:rStyle w:val="AERtextitalic"/>
        </w:rPr>
        <w:t xml:space="preserve">The AER must accept the forecast of required operating expenditure of a Distribution Network Service Provider that is included in a building block proposal if the AER is satisfied that the total of the forecast operating expenditure for the regulatory control period </w:t>
      </w:r>
      <w:r w:rsidRPr="003C56A8">
        <w:rPr>
          <w:rStyle w:val="AERtextbolditalics"/>
        </w:rPr>
        <w:t>reasonably reflects</w:t>
      </w:r>
      <w:r w:rsidRPr="003C56A8">
        <w:rPr>
          <w:rStyle w:val="AERtextitalic"/>
        </w:rPr>
        <w:t xml:space="preserve"> each of the following (the operating expenditure criteria):</w:t>
      </w:r>
    </w:p>
    <w:p w:rsidR="00223658" w:rsidRDefault="00223658" w:rsidP="00051BDB">
      <w:pPr>
        <w:pStyle w:val="FootnoteText"/>
      </w:pPr>
      <w:r w:rsidRPr="003C56A8">
        <w:rPr>
          <w:rStyle w:val="AERtextitalic"/>
        </w:rPr>
        <w:tab/>
      </w:r>
      <w:r w:rsidRPr="003C56A8">
        <w:rPr>
          <w:rStyle w:val="AERtextitalic"/>
        </w:rPr>
        <w:tab/>
        <w:t xml:space="preserve">(1) </w:t>
      </w:r>
      <w:r w:rsidRPr="003C56A8">
        <w:rPr>
          <w:rStyle w:val="AERtextbolditalics"/>
        </w:rPr>
        <w:t>the efficient costs</w:t>
      </w:r>
      <w:r w:rsidRPr="003C56A8">
        <w:rPr>
          <w:rStyle w:val="AERtextitalic"/>
        </w:rPr>
        <w:t xml:space="preserve"> of achieving the operating expenditure objectives…</w:t>
      </w:r>
    </w:p>
  </w:footnote>
  <w:footnote w:id="908">
    <w:p w:rsidR="00223658" w:rsidRDefault="00223658" w:rsidP="00051BDB">
      <w:pPr>
        <w:pStyle w:val="FootnoteText"/>
      </w:pPr>
      <w:r>
        <w:rPr>
          <w:rStyle w:val="FootnoteReference"/>
        </w:rPr>
        <w:footnoteRef/>
      </w:r>
      <w:r>
        <w:t xml:space="preserve"> </w:t>
      </w:r>
      <w:r>
        <w:tab/>
        <w:t>Economic Insights (2014), section 7.</w:t>
      </w:r>
    </w:p>
  </w:footnote>
  <w:footnote w:id="909">
    <w:p w:rsidR="00223658" w:rsidRDefault="00223658" w:rsidP="00051BDB">
      <w:pPr>
        <w:pStyle w:val="FootnoteText"/>
      </w:pPr>
      <w:r>
        <w:rPr>
          <w:rStyle w:val="FootnoteReference"/>
        </w:rPr>
        <w:footnoteRef/>
      </w:r>
      <w:r>
        <w:t xml:space="preserve"> </w:t>
      </w:r>
      <w:r>
        <w:tab/>
        <w:t>Ausgrid, pp. 150-151, Attachments 1.05 and 1.07.</w:t>
      </w:r>
    </w:p>
  </w:footnote>
  <w:footnote w:id="910">
    <w:p w:rsidR="00223658" w:rsidRDefault="00223658" w:rsidP="00051BDB">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911">
    <w:p w:rsidR="00223658" w:rsidRDefault="00223658" w:rsidP="00051BDB">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912">
    <w:p w:rsidR="00223658" w:rsidRDefault="00223658" w:rsidP="00051BDB">
      <w:pPr>
        <w:pStyle w:val="FootnoteText"/>
      </w:pPr>
      <w:r>
        <w:rPr>
          <w:rStyle w:val="FootnoteReference"/>
        </w:rPr>
        <w:footnoteRef/>
      </w:r>
      <w:r>
        <w:t xml:space="preserve"> </w:t>
      </w:r>
      <w:r>
        <w:tab/>
      </w:r>
      <w:r w:rsidRPr="006C5941">
        <w:t xml:space="preserve">CEPA, </w:t>
      </w:r>
      <w:r w:rsidR="00AC33AF" w:rsidRPr="00AC33AF">
        <w:t>Benchmarking and setting efficiency targets for the Australian DNSPs, (NSW DNSPs), 2015,</w:t>
      </w:r>
      <w:r>
        <w:t xml:space="preserve"> pp. 30-31.</w:t>
      </w:r>
    </w:p>
  </w:footnote>
  <w:footnote w:id="913">
    <w:p w:rsidR="00223658" w:rsidRDefault="00223658" w:rsidP="00051BDB">
      <w:pPr>
        <w:pStyle w:val="FootnoteText"/>
      </w:pPr>
      <w:r>
        <w:rPr>
          <w:rStyle w:val="FootnoteReference"/>
        </w:rPr>
        <w:footnoteRef/>
      </w:r>
      <w:r>
        <w:t xml:space="preserve"> </w:t>
      </w:r>
      <w:r>
        <w:tab/>
        <w:t>NEL, section 7A.</w:t>
      </w:r>
    </w:p>
  </w:footnote>
  <w:footnote w:id="914">
    <w:p w:rsidR="00223658" w:rsidRDefault="00223658" w:rsidP="00051BDB">
      <w:pPr>
        <w:pStyle w:val="FootnoteText"/>
      </w:pPr>
      <w:r>
        <w:rPr>
          <w:rStyle w:val="FootnoteReference"/>
        </w:rPr>
        <w:footnoteRef/>
      </w:r>
      <w:r>
        <w:t xml:space="preserve"> </w:t>
      </w:r>
      <w:r>
        <w:tab/>
        <w:t>Economic Insights (2015), section 5.1.</w:t>
      </w:r>
    </w:p>
  </w:footnote>
  <w:footnote w:id="915">
    <w:p w:rsidR="00223658" w:rsidRDefault="00223658" w:rsidP="00051BDB">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916">
    <w:p w:rsidR="00223658" w:rsidRDefault="00223658" w:rsidP="00051BDB">
      <w:pPr>
        <w:pStyle w:val="FootnoteText"/>
      </w:pPr>
      <w:r>
        <w:rPr>
          <w:rStyle w:val="FootnoteReference"/>
        </w:rPr>
        <w:footnoteRef/>
      </w:r>
      <w:r>
        <w:t xml:space="preserve"> </w:t>
      </w:r>
      <w:r>
        <w:tab/>
        <w:t>We use the standard control services opex as reported in the service provider's regulatory accounts.</w:t>
      </w:r>
    </w:p>
  </w:footnote>
  <w:footnote w:id="917">
    <w:p w:rsidR="00223658" w:rsidRDefault="00223658" w:rsidP="00051BDB">
      <w:pPr>
        <w:pStyle w:val="FootnoteText"/>
      </w:pPr>
      <w:r>
        <w:rPr>
          <w:rStyle w:val="FootnoteReference"/>
        </w:rPr>
        <w:footnoteRef/>
      </w:r>
      <w:r>
        <w:t xml:space="preserve"> </w:t>
      </w:r>
      <w:r>
        <w:tab/>
      </w:r>
      <w:r w:rsidRPr="0028384E">
        <w:t>Ausgrid, Revised R</w:t>
      </w:r>
      <w:r>
        <w:t xml:space="preserve">egulatory Proposal, pp. 143-144; </w:t>
      </w:r>
      <w:r w:rsidRPr="003558D9">
        <w:t>ActewAGL Revised R</w:t>
      </w:r>
      <w:r>
        <w:t xml:space="preserve">egulatory Proposal, pp. 166-175; </w:t>
      </w:r>
      <w:r w:rsidRPr="006C5941">
        <w:t>Frontier Economics, (NSW</w:t>
      </w:r>
      <w:r w:rsidR="00555D3B">
        <w:t>/ACT</w:t>
      </w:r>
      <w:r w:rsidRPr="006C5941">
        <w:t xml:space="preserve">), 2015, p.97, PEGR, 2015, p.64. CEPA, </w:t>
      </w:r>
      <w:r w:rsidR="00AC33AF" w:rsidRPr="00AC33AF">
        <w:t>Benchmarking and setting efficiency targets for the Australian DNSPs, (NSW DNSPs), 2015,</w:t>
      </w:r>
      <w:r w:rsidRPr="006C5941">
        <w:t xml:space="preserve"> p.35.</w:t>
      </w:r>
    </w:p>
  </w:footnote>
  <w:footnote w:id="918">
    <w:p w:rsidR="00223658" w:rsidRDefault="00223658" w:rsidP="00051BDB">
      <w:pPr>
        <w:pStyle w:val="FootnoteText"/>
      </w:pPr>
      <w:r>
        <w:rPr>
          <w:rStyle w:val="FootnoteReference"/>
        </w:rPr>
        <w:footnoteRef/>
      </w:r>
      <w:r>
        <w:t xml:space="preserve"> </w:t>
      </w:r>
      <w:r>
        <w:tab/>
        <w:t>Economic Insights (2015), section 4.1.</w:t>
      </w:r>
    </w:p>
  </w:footnote>
  <w:footnote w:id="919">
    <w:p w:rsidR="00223658" w:rsidRDefault="00223658" w:rsidP="00051BDB">
      <w:pPr>
        <w:pStyle w:val="FootnoteText"/>
      </w:pPr>
      <w:r>
        <w:rPr>
          <w:rStyle w:val="FootnoteReference"/>
        </w:rPr>
        <w:footnoteRef/>
      </w:r>
      <w:r>
        <w:t xml:space="preserve"> </w:t>
      </w:r>
      <w:r>
        <w:tab/>
        <w:t>Economic Insights (2015), section 4.1.</w:t>
      </w:r>
    </w:p>
  </w:footnote>
  <w:footnote w:id="920">
    <w:p w:rsidR="00223658" w:rsidRDefault="00223658" w:rsidP="00051BDB">
      <w:pPr>
        <w:pStyle w:val="FootnoteText"/>
      </w:pPr>
      <w:r>
        <w:rPr>
          <w:rStyle w:val="FootnoteReference"/>
        </w:rPr>
        <w:footnoteRef/>
      </w:r>
      <w:r>
        <w:t xml:space="preserve"> </w:t>
      </w:r>
      <w:r>
        <w:tab/>
        <w:t>Economic Insights (2015), section 4.3.</w:t>
      </w:r>
    </w:p>
  </w:footnote>
  <w:footnote w:id="921">
    <w:p w:rsidR="00223658" w:rsidRDefault="00223658" w:rsidP="00051BDB">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922">
    <w:p w:rsidR="00223658" w:rsidRDefault="00223658" w:rsidP="00051BDB">
      <w:pPr>
        <w:pStyle w:val="FootnoteText"/>
      </w:pPr>
      <w:r>
        <w:rPr>
          <w:rStyle w:val="FootnoteReference"/>
        </w:rPr>
        <w:footnoteRef/>
      </w:r>
      <w:r>
        <w:t xml:space="preserve"> </w:t>
      </w:r>
      <w:r>
        <w:tab/>
        <w:t>Economic Insights, 2015, pp. 45-46.</w:t>
      </w:r>
    </w:p>
  </w:footnote>
  <w:footnote w:id="923">
    <w:p w:rsidR="00223658" w:rsidRDefault="00223658" w:rsidP="00051BDB">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4">
    <w:p w:rsidR="00223658" w:rsidRDefault="00223658" w:rsidP="00051BDB">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5">
    <w:p w:rsidR="00223658" w:rsidRDefault="00223658" w:rsidP="00051BDB">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6">
    <w:p w:rsidR="00223658" w:rsidRDefault="00223658" w:rsidP="00051BDB">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7">
    <w:p w:rsidR="00223658" w:rsidRDefault="00223658" w:rsidP="00CA2215">
      <w:pPr>
        <w:pStyle w:val="FootnoteText"/>
      </w:pPr>
      <w:r>
        <w:rPr>
          <w:rStyle w:val="FootnoteReference"/>
        </w:rPr>
        <w:footnoteRef/>
      </w:r>
      <w:r>
        <w:t xml:space="preserve"> </w:t>
      </w:r>
      <w:r>
        <w:tab/>
        <w:t xml:space="preserve">AER. </w:t>
      </w:r>
      <w:r>
        <w:rPr>
          <w:rStyle w:val="AERtextitalic"/>
        </w:rPr>
        <w:t>Better Regulation explanatory statement expenditure forecast assessment guideline</w:t>
      </w:r>
      <w:r>
        <w:t>, November 2013, p. 61.</w:t>
      </w:r>
    </w:p>
  </w:footnote>
  <w:footnote w:id="928">
    <w:p w:rsidR="00223658" w:rsidRDefault="00223658" w:rsidP="00CA2215">
      <w:pPr>
        <w:pStyle w:val="FootnoteText"/>
      </w:pPr>
      <w:r>
        <w:rPr>
          <w:rStyle w:val="FootnoteReference"/>
        </w:rPr>
        <w:footnoteRef/>
      </w:r>
      <w:r>
        <w:t xml:space="preserve"> </w:t>
      </w:r>
      <w:r>
        <w:tab/>
        <w:t xml:space="preserve">Essential Energy, </w:t>
      </w:r>
      <w:r w:rsidRPr="00072994">
        <w:rPr>
          <w:rStyle w:val="AERtextitalic"/>
        </w:rPr>
        <w:t>Revised regulatory proposal</w:t>
      </w:r>
      <w:r>
        <w:t>, 20 January 2015, pp. 208–209. We note Essential Energy did not adopt our material price change approach, however it did not propose any non-labour price change so non-labour price change has no impact on overall opex.</w:t>
      </w:r>
    </w:p>
  </w:footnote>
  <w:footnote w:id="929">
    <w:p w:rsidR="00223658" w:rsidRDefault="00223658" w:rsidP="00CA2215">
      <w:pPr>
        <w:pStyle w:val="FootnoteText"/>
      </w:pPr>
      <w:r>
        <w:rPr>
          <w:rStyle w:val="FootnoteReference"/>
        </w:rPr>
        <w:footnoteRef/>
      </w:r>
      <w:r>
        <w:t xml:space="preserve"> </w:t>
      </w:r>
      <w:r>
        <w:tab/>
        <w:t xml:space="preserve">Essential Energy, </w:t>
      </w:r>
      <w:r w:rsidRPr="00072994">
        <w:rPr>
          <w:rStyle w:val="AERtextitalic"/>
        </w:rPr>
        <w:t>Revised regulatory proposal</w:t>
      </w:r>
      <w:r>
        <w:t>, 20 January 2015, pp. 208–209.</w:t>
      </w:r>
    </w:p>
  </w:footnote>
  <w:footnote w:id="930">
    <w:p w:rsidR="00223658" w:rsidRDefault="00223658" w:rsidP="00CA2215">
      <w:pPr>
        <w:pStyle w:val="FootnoteText"/>
      </w:pPr>
      <w:r>
        <w:rPr>
          <w:rStyle w:val="FootnoteReference"/>
        </w:rPr>
        <w:footnoteRef/>
      </w:r>
      <w:r>
        <w:t xml:space="preserve"> </w:t>
      </w:r>
      <w:r>
        <w:tab/>
        <w:t xml:space="preserve">Essential Energy, </w:t>
      </w:r>
      <w:r w:rsidRPr="00072994">
        <w:rPr>
          <w:rStyle w:val="AERtextitalic"/>
        </w:rPr>
        <w:t>Revised regulatory proposal</w:t>
      </w:r>
      <w:r>
        <w:t>, 20 January 2015, pp. 208–209.</w:t>
      </w:r>
    </w:p>
  </w:footnote>
  <w:footnote w:id="931">
    <w:p w:rsidR="00223658" w:rsidRDefault="00223658" w:rsidP="00CA2215">
      <w:pPr>
        <w:pStyle w:val="FootnoteText"/>
      </w:pPr>
      <w:r>
        <w:rPr>
          <w:rStyle w:val="FootnoteReference"/>
        </w:rPr>
        <w:footnoteRef/>
      </w:r>
      <w:r>
        <w:t xml:space="preserve"> </w:t>
      </w:r>
      <w:r>
        <w:tab/>
        <w:t>Essential Energy, Attachment 7.11 Asset growth escalator RRP.xls.</w:t>
      </w:r>
    </w:p>
  </w:footnote>
  <w:footnote w:id="932">
    <w:p w:rsidR="00223658" w:rsidRDefault="00223658" w:rsidP="00CA2215">
      <w:pPr>
        <w:pStyle w:val="FootnoteText"/>
      </w:pPr>
      <w:r>
        <w:rPr>
          <w:rStyle w:val="FootnoteReference"/>
        </w:rPr>
        <w:footnoteRef/>
      </w:r>
      <w:r>
        <w:t xml:space="preserve"> </w:t>
      </w:r>
      <w:r>
        <w:tab/>
        <w:t xml:space="preserve">Essential Energy, </w:t>
      </w:r>
      <w:r w:rsidRPr="00072994">
        <w:rPr>
          <w:rStyle w:val="AERtextitalic"/>
        </w:rPr>
        <w:t>Revised regulatory proposal</w:t>
      </w:r>
      <w:r>
        <w:t>, 20 January 2015, pp. 209.</w:t>
      </w:r>
    </w:p>
  </w:footnote>
  <w:footnote w:id="933">
    <w:p w:rsidR="00223658" w:rsidRDefault="00223658" w:rsidP="00CA2215">
      <w:pPr>
        <w:pStyle w:val="FootnoteText"/>
      </w:pPr>
      <w:r>
        <w:rPr>
          <w:rStyle w:val="FootnoteReference"/>
        </w:rPr>
        <w:footnoteRef/>
      </w:r>
      <w:r>
        <w:t xml:space="preserve"> </w:t>
      </w:r>
      <w:r>
        <w:tab/>
        <w:t xml:space="preserve">AusNet Services, </w:t>
      </w:r>
      <w:r w:rsidRPr="00F82280">
        <w:rPr>
          <w:rStyle w:val="AERtextitalic"/>
        </w:rPr>
        <w:t>Draft decisions NSW/ACT electricity distribution determination 2015–19</w:t>
      </w:r>
      <w:r>
        <w:t>, 12 February 2015,  p. 7.</w:t>
      </w:r>
    </w:p>
  </w:footnote>
  <w:footnote w:id="934">
    <w:p w:rsidR="00223658" w:rsidRDefault="00223658" w:rsidP="00CA2215">
      <w:pPr>
        <w:pStyle w:val="FootnoteText"/>
      </w:pPr>
      <w:r>
        <w:rPr>
          <w:rStyle w:val="FootnoteReference"/>
        </w:rPr>
        <w:footnoteRef/>
      </w:r>
      <w:r>
        <w:t xml:space="preserve"> </w:t>
      </w:r>
      <w:r>
        <w:tab/>
        <w:t xml:space="preserve">Energy Users Association of Australia, </w:t>
      </w:r>
      <w:r w:rsidRPr="00F82280">
        <w:rPr>
          <w:rStyle w:val="AERtextitalic"/>
        </w:rPr>
        <w:t>Submission to NSW DNSP revised revenue proposal to AER draft determination (2014 to 2019)</w:t>
      </w:r>
      <w:r>
        <w:t>, 13 February 2015, p. 44.</w:t>
      </w:r>
    </w:p>
  </w:footnote>
  <w:footnote w:id="935">
    <w:p w:rsidR="00223658" w:rsidRDefault="00223658" w:rsidP="00CA2215">
      <w:pPr>
        <w:pStyle w:val="FootnoteText"/>
      </w:pPr>
      <w:r>
        <w:rPr>
          <w:rStyle w:val="FootnoteReference"/>
        </w:rPr>
        <w:footnoteRef/>
      </w:r>
      <w:r>
        <w:t xml:space="preserve"> </w:t>
      </w:r>
      <w:r>
        <w:tab/>
        <w:t xml:space="preserve">AER, </w:t>
      </w:r>
      <w:r w:rsidRPr="00C649F1">
        <w:rPr>
          <w:rStyle w:val="AERtextitalic"/>
        </w:rPr>
        <w:t>Better regulation expenditure forecast assessment guidelines for electricity distribution</w:t>
      </w:r>
      <w:r>
        <w:t>, November 2013, pp. 22–23.</w:t>
      </w:r>
    </w:p>
  </w:footnote>
  <w:footnote w:id="936">
    <w:p w:rsidR="00223658" w:rsidRDefault="00223658" w:rsidP="00CA2215">
      <w:pPr>
        <w:pStyle w:val="FootnoteText"/>
      </w:pPr>
      <w:r>
        <w:rPr>
          <w:rStyle w:val="FootnoteReference"/>
        </w:rPr>
        <w:footnoteRef/>
      </w:r>
      <w:r>
        <w:t xml:space="preserve"> </w:t>
      </w:r>
      <w:r>
        <w:tab/>
        <w:t xml:space="preserve">AER, </w:t>
      </w:r>
      <w:r w:rsidRPr="00833661">
        <w:rPr>
          <w:rStyle w:val="Emphasis"/>
        </w:rPr>
        <w:t>Draft decision - Essential Energy distribution determination attachment 7 - Operating expenditure</w:t>
      </w:r>
      <w:r>
        <w:t>, p. 156.</w:t>
      </w:r>
    </w:p>
  </w:footnote>
  <w:footnote w:id="937">
    <w:p w:rsidR="00223658" w:rsidRDefault="00223658" w:rsidP="00CA2215">
      <w:pPr>
        <w:pStyle w:val="FootnoteText"/>
      </w:pPr>
      <w:r>
        <w:rPr>
          <w:rStyle w:val="FootnoteReference"/>
        </w:rPr>
        <w:footnoteRef/>
      </w:r>
      <w:r>
        <w:t xml:space="preserve"> </w:t>
      </w:r>
      <w:r>
        <w:tab/>
        <w:t xml:space="preserve">Essential Energy, </w:t>
      </w:r>
      <w:r w:rsidRPr="00407D6D">
        <w:rPr>
          <w:rStyle w:val="AERtextitalic"/>
        </w:rPr>
        <w:t>Response to RIN</w:t>
      </w:r>
      <w:r>
        <w:t>, p. 21.</w:t>
      </w:r>
    </w:p>
  </w:footnote>
  <w:footnote w:id="938">
    <w:p w:rsidR="00223658" w:rsidRDefault="00223658" w:rsidP="00CA2215">
      <w:pPr>
        <w:pStyle w:val="FootnoteText"/>
      </w:pPr>
      <w:r>
        <w:rPr>
          <w:rStyle w:val="FootnoteReference"/>
        </w:rPr>
        <w:footnoteRef/>
      </w:r>
      <w:r>
        <w:t xml:space="preserve"> </w:t>
      </w:r>
      <w:r>
        <w:tab/>
        <w:t xml:space="preserve">AER, </w:t>
      </w:r>
      <w:r w:rsidRPr="00571370">
        <w:rPr>
          <w:rStyle w:val="Emphasis"/>
        </w:rPr>
        <w:t>Draft decision - Essential Energy distribution determination attachment 7 - Operating expenditure</w:t>
      </w:r>
      <w:r>
        <w:t>, November 2014, p. 158.</w:t>
      </w:r>
    </w:p>
  </w:footnote>
  <w:footnote w:id="939">
    <w:p w:rsidR="00223658" w:rsidRDefault="00223658" w:rsidP="00CA2215">
      <w:pPr>
        <w:pStyle w:val="FootnoteText"/>
      </w:pPr>
      <w:r>
        <w:rPr>
          <w:rStyle w:val="FootnoteReference"/>
        </w:rPr>
        <w:footnoteRef/>
      </w:r>
      <w:r>
        <w:t xml:space="preserve"> </w:t>
      </w:r>
      <w:r>
        <w:tab/>
        <w:t xml:space="preserve">AER, </w:t>
      </w:r>
      <w:r w:rsidRPr="00571370">
        <w:rPr>
          <w:rStyle w:val="Emphasis"/>
        </w:rPr>
        <w:t>Draft decision - Essential Energy distribution determination attachment 7 - Operating expenditure</w:t>
      </w:r>
      <w:r>
        <w:t xml:space="preserve">, </w:t>
      </w:r>
      <w:r w:rsidRPr="00833661">
        <w:t>November 2014</w:t>
      </w:r>
      <w:r>
        <w:t>, p. 157.</w:t>
      </w:r>
    </w:p>
  </w:footnote>
  <w:footnote w:id="940">
    <w:p w:rsidR="00223658" w:rsidRDefault="00223658" w:rsidP="00C2445E">
      <w:pPr>
        <w:pStyle w:val="FootnoteText"/>
      </w:pPr>
      <w:r>
        <w:rPr>
          <w:rStyle w:val="FootnoteReference"/>
        </w:rPr>
        <w:footnoteRef/>
      </w:r>
      <w:r>
        <w:t xml:space="preserve"> </w:t>
      </w:r>
      <w:r>
        <w:tab/>
        <w:t xml:space="preserve">Essential Energy, </w:t>
      </w:r>
      <w:r w:rsidRPr="000C15C1">
        <w:rPr>
          <w:rStyle w:val="AERtextitalic"/>
        </w:rPr>
        <w:t>Revised regulatory proposal</w:t>
      </w:r>
      <w:r>
        <w:t>, January 2015, p. 171.</w:t>
      </w:r>
    </w:p>
  </w:footnote>
  <w:footnote w:id="941">
    <w:p w:rsidR="00223658" w:rsidRDefault="00223658" w:rsidP="00C2445E">
      <w:pPr>
        <w:pStyle w:val="FootnoteText"/>
      </w:pPr>
      <w:r>
        <w:rPr>
          <w:rStyle w:val="FootnoteReference"/>
        </w:rPr>
        <w:footnoteRef/>
      </w:r>
      <w:r>
        <w:t xml:space="preserve"> </w:t>
      </w:r>
      <w:r>
        <w:tab/>
        <w:t xml:space="preserve">Redundancy costs were included in the costs to implement network reform change factor. </w:t>
      </w:r>
    </w:p>
  </w:footnote>
  <w:footnote w:id="942">
    <w:p w:rsidR="00223658" w:rsidRDefault="00223658" w:rsidP="00C2445E">
      <w:pPr>
        <w:pStyle w:val="FootnoteText"/>
      </w:pPr>
      <w:r>
        <w:rPr>
          <w:rStyle w:val="FootnoteReference"/>
        </w:rPr>
        <w:footnoteRef/>
      </w:r>
      <w:r>
        <w:t xml:space="preserve"> </w:t>
      </w:r>
      <w:r>
        <w:tab/>
        <w:t xml:space="preserve">Essential Energy, </w:t>
      </w:r>
      <w:r w:rsidRPr="000C15C1">
        <w:rPr>
          <w:rStyle w:val="AERtextitalic"/>
        </w:rPr>
        <w:t>Revised regulatory proposal</w:t>
      </w:r>
      <w:r>
        <w:t>, January 2015, pg. 208.</w:t>
      </w:r>
    </w:p>
  </w:footnote>
  <w:footnote w:id="943">
    <w:p w:rsidR="00223658" w:rsidRDefault="00223658" w:rsidP="00C2445E">
      <w:pPr>
        <w:pStyle w:val="FootnoteText"/>
      </w:pPr>
      <w:r>
        <w:rPr>
          <w:rStyle w:val="FootnoteReference"/>
        </w:rPr>
        <w:footnoteRef/>
      </w:r>
      <w:r>
        <w:t xml:space="preserve"> </w:t>
      </w:r>
      <w:r>
        <w:tab/>
        <w:t xml:space="preserve">Essential Energy, </w:t>
      </w:r>
      <w:r w:rsidRPr="001B398F">
        <w:rPr>
          <w:rStyle w:val="AERtextitalic"/>
        </w:rPr>
        <w:t>Revised regulatory proposal</w:t>
      </w:r>
      <w:r>
        <w:t>, January 2015, p. 172.</w:t>
      </w:r>
    </w:p>
  </w:footnote>
  <w:footnote w:id="944">
    <w:p w:rsidR="00223658" w:rsidRDefault="00223658" w:rsidP="00C2445E">
      <w:pPr>
        <w:pStyle w:val="FootnoteText"/>
      </w:pPr>
      <w:r>
        <w:rPr>
          <w:rStyle w:val="FootnoteReference"/>
        </w:rPr>
        <w:footnoteRef/>
      </w:r>
      <w:r>
        <w:t xml:space="preserve"> </w:t>
      </w:r>
      <w:r>
        <w:tab/>
        <w:t xml:space="preserve">Essential Energy, </w:t>
      </w:r>
      <w:r w:rsidRPr="001B398F">
        <w:rPr>
          <w:rStyle w:val="AERtextitalic"/>
        </w:rPr>
        <w:t>Revised regulatory proposal</w:t>
      </w:r>
      <w:r>
        <w:t>, January 2015, p. 210.</w:t>
      </w:r>
    </w:p>
  </w:footnote>
  <w:footnote w:id="945">
    <w:p w:rsidR="00223658" w:rsidRDefault="00223658" w:rsidP="00C2445E">
      <w:pPr>
        <w:pStyle w:val="FootnoteText"/>
      </w:pPr>
      <w:r>
        <w:rPr>
          <w:rStyle w:val="FootnoteReference"/>
        </w:rPr>
        <w:footnoteRef/>
      </w:r>
      <w:r>
        <w:t xml:space="preserve"> </w:t>
      </w:r>
      <w:r>
        <w:tab/>
      </w:r>
      <w:r w:rsidRPr="00167C78">
        <w:rPr>
          <w:rStyle w:val="AERtextsize8"/>
        </w:rPr>
        <w:t xml:space="preserve">AER, </w:t>
      </w:r>
      <w:r w:rsidRPr="00167C78">
        <w:rPr>
          <w:rStyle w:val="Emphasis"/>
        </w:rPr>
        <w:t>Draft decision - Essential Energy distribution determination attachment 7 - Operating expenditure</w:t>
      </w:r>
      <w:r w:rsidRPr="00167C78">
        <w:rPr>
          <w:rStyle w:val="AERtextsize8"/>
        </w:rPr>
        <w:t>, November 2014, pp. 229-245</w:t>
      </w:r>
      <w:r>
        <w:rPr>
          <w:rStyle w:val="AERtextsize8"/>
        </w:rPr>
        <w:t>.</w:t>
      </w:r>
    </w:p>
  </w:footnote>
  <w:footnote w:id="946">
    <w:p w:rsidR="00223658" w:rsidRDefault="00223658" w:rsidP="00C2445E">
      <w:pPr>
        <w:pStyle w:val="FootnoteText"/>
      </w:pPr>
      <w:r>
        <w:rPr>
          <w:rStyle w:val="FootnoteReference"/>
        </w:rPr>
        <w:footnoteRef/>
      </w:r>
      <w:r>
        <w:t xml:space="preserve"> </w:t>
      </w:r>
      <w:r>
        <w:tab/>
        <w:t xml:space="preserve">EUAA, </w:t>
      </w:r>
      <w:r w:rsidRPr="00956638">
        <w:rPr>
          <w:rStyle w:val="AERtextitalic"/>
        </w:rPr>
        <w:t>Submission to NSW DNSP revised revenue proposal to AER draft determination (2014 to 2019)</w:t>
      </w:r>
      <w:r>
        <w:rPr>
          <w:rStyle w:val="AERtextsize8"/>
        </w:rPr>
        <w:t>, 13 February 2015, p. 48.</w:t>
      </w:r>
    </w:p>
  </w:footnote>
  <w:footnote w:id="947">
    <w:p w:rsidR="00223658" w:rsidRDefault="00223658" w:rsidP="00C2445E">
      <w:pPr>
        <w:pStyle w:val="FootnoteText"/>
      </w:pPr>
      <w:r>
        <w:rPr>
          <w:rStyle w:val="FootnoteReference"/>
        </w:rPr>
        <w:footnoteRef/>
      </w:r>
      <w:r>
        <w:t xml:space="preserve"> </w:t>
      </w:r>
      <w:r>
        <w:tab/>
        <w:t>NER, clause 6.6.5(c).</w:t>
      </w:r>
    </w:p>
  </w:footnote>
  <w:footnote w:id="948">
    <w:p w:rsidR="00223658" w:rsidRDefault="00223658" w:rsidP="00C2445E">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pp.11 and 24. We said we would apply this guideline in our Stage 2, Framework and approach paper.</w:t>
      </w:r>
    </w:p>
  </w:footnote>
  <w:footnote w:id="949">
    <w:p w:rsidR="00223658" w:rsidRDefault="00223658" w:rsidP="00C2445E">
      <w:pPr>
        <w:pStyle w:val="FootnoteText"/>
      </w:pPr>
      <w:r>
        <w:rPr>
          <w:rStyle w:val="FootnoteReference"/>
        </w:rPr>
        <w:footnoteRef/>
      </w:r>
      <w:r>
        <w:t xml:space="preserve"> </w:t>
      </w:r>
      <w:r>
        <w:tab/>
        <w:t xml:space="preserve">This is consistent with our decision in the Powerlink determination; AER, </w:t>
      </w:r>
      <w:r w:rsidRPr="00AC26CB">
        <w:rPr>
          <w:rStyle w:val="AERtextitalic"/>
        </w:rPr>
        <w:t>Final decision: Powerlink transmission determination 201</w:t>
      </w:r>
      <w:r>
        <w:rPr>
          <w:rStyle w:val="AERtextitalic"/>
        </w:rPr>
        <w:t>2–17</w:t>
      </w:r>
      <w:r>
        <w:t>, April 2012, pp, 164–165.</w:t>
      </w:r>
    </w:p>
  </w:footnote>
  <w:footnote w:id="950">
    <w:p w:rsidR="00223658" w:rsidRDefault="00223658" w:rsidP="00C2445E">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11.</w:t>
      </w:r>
    </w:p>
  </w:footnote>
  <w:footnote w:id="951">
    <w:p w:rsidR="00223658" w:rsidRDefault="00223658" w:rsidP="00C2445E">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24.</w:t>
      </w:r>
    </w:p>
  </w:footnote>
  <w:footnote w:id="952">
    <w:p w:rsidR="00223658" w:rsidRDefault="00223658" w:rsidP="00C2445E">
      <w:pPr>
        <w:pStyle w:val="FootnoteText"/>
      </w:pPr>
      <w:r>
        <w:rPr>
          <w:rStyle w:val="FootnoteReference"/>
        </w:rPr>
        <w:footnoteRef/>
      </w:r>
      <w:r>
        <w:t xml:space="preserve"> </w:t>
      </w:r>
      <w:r>
        <w:tab/>
        <w:t xml:space="preserve">We did not accept a step change proposed by SP AusNet for a technology innovation program because such an innovation program should have been self-funding; AER, </w:t>
      </w:r>
      <w:r w:rsidRPr="00CB1EC5">
        <w:rPr>
          <w:rStyle w:val="AERtextitalic"/>
        </w:rPr>
        <w:t>Draft decision</w:t>
      </w:r>
      <w:r>
        <w:rPr>
          <w:rStyle w:val="AERtextitalic"/>
        </w:rPr>
        <w:t>:</w:t>
      </w:r>
      <w:r w:rsidRPr="00CB1EC5">
        <w:rPr>
          <w:rStyle w:val="AERtextitalic"/>
        </w:rPr>
        <w:t xml:space="preserve"> SP AusNet </w:t>
      </w:r>
      <w:r>
        <w:rPr>
          <w:rStyle w:val="AERtextitalic"/>
        </w:rPr>
        <w:t>Transmission determination   </w:t>
      </w:r>
      <w:r>
        <w:rPr>
          <w:rStyle w:val="AERtextitalic"/>
        </w:rPr>
        <w:br/>
      </w:r>
      <w:r w:rsidRPr="00CB1EC5">
        <w:rPr>
          <w:rStyle w:val="AERtextitalic"/>
        </w:rPr>
        <w:t xml:space="preserve">2013–18, </w:t>
      </w:r>
      <w:r>
        <w:t>August 2013, pp. 240–241.</w:t>
      </w:r>
    </w:p>
  </w:footnote>
  <w:footnote w:id="953">
    <w:p w:rsidR="00223658" w:rsidRDefault="00223658" w:rsidP="00C2445E">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xml:space="preserve">, November 2013, p. 24; AER, </w:t>
      </w:r>
      <w:r w:rsidRPr="00A762C8">
        <w:rPr>
          <w:rStyle w:val="AERtextitalic"/>
        </w:rPr>
        <w:t>E</w:t>
      </w:r>
      <w:r>
        <w:rPr>
          <w:rStyle w:val="AERtextitalic"/>
        </w:rPr>
        <w:t>xplanatory guide: E</w:t>
      </w:r>
      <w:r w:rsidRPr="00A762C8">
        <w:rPr>
          <w:rStyle w:val="AERtextitalic"/>
        </w:rPr>
        <w:t>xpenditur</w:t>
      </w:r>
      <w:r>
        <w:rPr>
          <w:rStyle w:val="AERtextitalic"/>
        </w:rPr>
        <w:t>e assessment forecast guideline</w:t>
      </w:r>
      <w:r>
        <w:t>, November 2013, pp. 51–52.</w:t>
      </w:r>
    </w:p>
  </w:footnote>
  <w:footnote w:id="954">
    <w:p w:rsidR="00223658" w:rsidRDefault="00223658" w:rsidP="00C2445E">
      <w:pPr>
        <w:pStyle w:val="FootnoteText"/>
      </w:pPr>
      <w:r>
        <w:rPr>
          <w:rStyle w:val="FootnoteReference"/>
        </w:rPr>
        <w:footnoteRef/>
      </w:r>
      <w:r>
        <w:t xml:space="preserve"> </w:t>
      </w:r>
      <w:r>
        <w:tab/>
        <w:t xml:space="preserve">AER, </w:t>
      </w:r>
      <w:r w:rsidRPr="008A57FE">
        <w:rPr>
          <w:rStyle w:val="Emphasis"/>
        </w:rPr>
        <w:t>Draft decision - Essential Energy distribution determination attachment 7 - Operating expenditure</w:t>
      </w:r>
      <w:r>
        <w:t>, p. 243.</w:t>
      </w:r>
    </w:p>
  </w:footnote>
  <w:footnote w:id="955">
    <w:p w:rsidR="00223658" w:rsidRDefault="00223658" w:rsidP="00C2445E">
      <w:pPr>
        <w:pStyle w:val="FootnoteText"/>
      </w:pPr>
      <w:r>
        <w:rPr>
          <w:rStyle w:val="FootnoteReference"/>
        </w:rPr>
        <w:footnoteRef/>
      </w:r>
      <w:r>
        <w:t xml:space="preserve"> </w:t>
      </w:r>
      <w:r>
        <w:tab/>
      </w:r>
      <w:r w:rsidRPr="003B4641">
        <w:rPr>
          <w:rStyle w:val="AERtextitalic"/>
        </w:rPr>
        <w:t>ISSC3 - Guideline to managing vegetation near power lines</w:t>
      </w:r>
      <w:r>
        <w:rPr>
          <w:rStyle w:val="AERtextitalic"/>
        </w:rPr>
        <w:t xml:space="preserve">., </w:t>
      </w:r>
      <w:r w:rsidRPr="001E6FE6">
        <w:rPr>
          <w:rStyle w:val="AERtextsize8"/>
        </w:rPr>
        <w:t>December 2005</w:t>
      </w:r>
      <w:r>
        <w:rPr>
          <w:rStyle w:val="AERtextsize8"/>
        </w:rPr>
        <w:t>.</w:t>
      </w:r>
    </w:p>
  </w:footnote>
  <w:footnote w:id="956">
    <w:p w:rsidR="00223658" w:rsidRDefault="00223658" w:rsidP="00C2445E">
      <w:pPr>
        <w:pStyle w:val="FootnoteText"/>
      </w:pPr>
      <w:r>
        <w:rPr>
          <w:rStyle w:val="FootnoteReference"/>
        </w:rPr>
        <w:footnoteRef/>
      </w:r>
      <w:r>
        <w:t xml:space="preserve"> </w:t>
      </w:r>
      <w:r>
        <w:tab/>
        <w:t xml:space="preserve">Essential Energy, Attachment 6.8 to revised regulatory proposal, </w:t>
      </w:r>
      <w:r w:rsidRPr="00783BC1">
        <w:t>20 January 2015.</w:t>
      </w:r>
    </w:p>
  </w:footnote>
  <w:footnote w:id="957">
    <w:p w:rsidR="00223658" w:rsidRDefault="00223658" w:rsidP="00C2445E">
      <w:pPr>
        <w:pStyle w:val="FootnoteText"/>
      </w:pPr>
      <w:r>
        <w:rPr>
          <w:rStyle w:val="FootnoteReference"/>
        </w:rPr>
        <w:footnoteRef/>
      </w:r>
      <w:r>
        <w:t xml:space="preserve"> </w:t>
      </w:r>
      <w:r>
        <w:tab/>
        <w:t>Essential Energy, Attachment 6.8 to revised regulatory proposal, 20 January 2015.</w:t>
      </w:r>
    </w:p>
  </w:footnote>
  <w:footnote w:id="958">
    <w:p w:rsidR="00223658" w:rsidRDefault="00223658" w:rsidP="00C2445E">
      <w:pPr>
        <w:pStyle w:val="FootnoteText"/>
      </w:pPr>
      <w:r>
        <w:rPr>
          <w:rStyle w:val="FootnoteReference"/>
        </w:rPr>
        <w:footnoteRef/>
      </w:r>
      <w:r>
        <w:t xml:space="preserve">  </w:t>
      </w:r>
      <w:r>
        <w:tab/>
      </w:r>
      <w:r w:rsidRPr="003B4641">
        <w:rPr>
          <w:rStyle w:val="AERtextitalic"/>
        </w:rPr>
        <w:t>ISSC3 - Guideline to managing vegetation near power lines</w:t>
      </w:r>
      <w:r>
        <w:rPr>
          <w:rStyle w:val="AERtextitalic"/>
        </w:rPr>
        <w:t xml:space="preserve">, </w:t>
      </w:r>
      <w:r w:rsidRPr="001E6FE6">
        <w:rPr>
          <w:rStyle w:val="AERtextsize8"/>
        </w:rPr>
        <w:t>December 2005</w:t>
      </w:r>
      <w:r>
        <w:rPr>
          <w:rStyle w:val="AERtextsize8"/>
        </w:rPr>
        <w:t>.</w:t>
      </w:r>
    </w:p>
  </w:footnote>
  <w:footnote w:id="959">
    <w:p w:rsidR="00223658" w:rsidRDefault="00223658" w:rsidP="00C2445E">
      <w:pPr>
        <w:pStyle w:val="FootnoteText"/>
      </w:pPr>
      <w:r>
        <w:rPr>
          <w:rStyle w:val="FootnoteReference"/>
        </w:rPr>
        <w:footnoteRef/>
      </w:r>
      <w:r>
        <w:t xml:space="preserve"> </w:t>
      </w:r>
      <w:r>
        <w:tab/>
        <w:t xml:space="preserve">Essential Energy, </w:t>
      </w:r>
      <w:r w:rsidRPr="007C5CF7">
        <w:rPr>
          <w:rStyle w:val="AERtextitalic"/>
        </w:rPr>
        <w:t>Revised regulatory proposal, Attachment 7.10</w:t>
      </w:r>
      <w:r>
        <w:t>, January 2015.</w:t>
      </w:r>
    </w:p>
  </w:footnote>
  <w:footnote w:id="960">
    <w:p w:rsidR="00223658" w:rsidRDefault="00223658" w:rsidP="00C2445E">
      <w:pPr>
        <w:pStyle w:val="FootnoteText"/>
      </w:pPr>
      <w:r>
        <w:rPr>
          <w:rStyle w:val="FootnoteReference"/>
        </w:rPr>
        <w:footnoteRef/>
      </w:r>
      <w:r>
        <w:t xml:space="preserve"> </w:t>
      </w:r>
      <w:r>
        <w:tab/>
        <w:t xml:space="preserve">Essential Energy, </w:t>
      </w:r>
      <w:r w:rsidRPr="007C5CF7">
        <w:rPr>
          <w:rStyle w:val="AERtextitalic"/>
        </w:rPr>
        <w:t>Revised regulatory proposal, Attachment 7.10</w:t>
      </w:r>
      <w:r>
        <w:t xml:space="preserve">, January 2015, p 208. </w:t>
      </w:r>
    </w:p>
  </w:footnote>
  <w:footnote w:id="961">
    <w:p w:rsidR="00223658" w:rsidRDefault="00223658" w:rsidP="00C2445E">
      <w:pPr>
        <w:pStyle w:val="FootnoteText"/>
      </w:pPr>
      <w:r>
        <w:rPr>
          <w:rStyle w:val="FootnoteReference"/>
        </w:rPr>
        <w:footnoteRef/>
      </w:r>
      <w:r>
        <w:t xml:space="preserve"> </w:t>
      </w:r>
      <w:r>
        <w:tab/>
        <w:t xml:space="preserve">Deloitte Access Economics, </w:t>
      </w:r>
      <w:r w:rsidRPr="0066009B">
        <w:t>NSW Distribution Network Service Providers Labour Analysis</w:t>
      </w:r>
      <w:r>
        <w:t>–Addendum, April 2015, p. 31.</w:t>
      </w:r>
    </w:p>
  </w:footnote>
  <w:footnote w:id="962">
    <w:p w:rsidR="00223658" w:rsidRDefault="00223658" w:rsidP="00C2445E">
      <w:pPr>
        <w:pStyle w:val="FootnoteText"/>
      </w:pPr>
      <w:r>
        <w:rPr>
          <w:rStyle w:val="FootnoteReference"/>
        </w:rPr>
        <w:footnoteRef/>
      </w:r>
      <w:r>
        <w:t xml:space="preserve"> </w:t>
      </w:r>
      <w:r>
        <w:tab/>
        <w:t xml:space="preserve">Deloitte Access Economics, </w:t>
      </w:r>
      <w:r w:rsidRPr="0066009B">
        <w:t>NSW Distribution Network Service Providers Labour Analysis</w:t>
      </w:r>
      <w:r>
        <w:t>–Addendum, April 2015, p. 31.</w:t>
      </w:r>
    </w:p>
  </w:footnote>
  <w:footnote w:id="963">
    <w:p w:rsidR="00223658" w:rsidRDefault="00223658" w:rsidP="00C2445E">
      <w:pPr>
        <w:pStyle w:val="FootnoteText"/>
      </w:pPr>
      <w:r>
        <w:rPr>
          <w:rStyle w:val="FootnoteReference"/>
        </w:rPr>
        <w:footnoteRef/>
      </w:r>
      <w:r>
        <w:t xml:space="preserve"> </w:t>
      </w:r>
      <w:r>
        <w:tab/>
        <w:t xml:space="preserve">NSW Auditor-General, </w:t>
      </w:r>
      <w:r w:rsidRPr="003D2B97">
        <w:rPr>
          <w:rStyle w:val="AERtextitalic"/>
        </w:rPr>
        <w:t>NSW Auditor General's Report - Volume Four 2011</w:t>
      </w:r>
      <w:r>
        <w:t>, 2 November 2011, p. 24.</w:t>
      </w:r>
    </w:p>
  </w:footnote>
  <w:footnote w:id="964">
    <w:p w:rsidR="00223658" w:rsidRDefault="00223658" w:rsidP="00C2445E">
      <w:pPr>
        <w:pStyle w:val="FootnoteText"/>
      </w:pPr>
      <w:r>
        <w:rPr>
          <w:rStyle w:val="FootnoteReference"/>
        </w:rPr>
        <w:footnoteRef/>
      </w:r>
      <w:r>
        <w:t xml:space="preserve"> </w:t>
      </w:r>
      <w:r>
        <w:tab/>
        <w:t>Country Energy, Media release - Country Energy announces sale of gas network business, 26 October 2010.</w:t>
      </w:r>
    </w:p>
  </w:footnote>
  <w:footnote w:id="965">
    <w:p w:rsidR="00223658" w:rsidRDefault="00223658" w:rsidP="00C2445E">
      <w:pPr>
        <w:pStyle w:val="FootnoteText"/>
      </w:pPr>
      <w:r>
        <w:rPr>
          <w:rStyle w:val="FootnoteReference"/>
        </w:rPr>
        <w:footnoteRef/>
      </w:r>
      <w:r>
        <w:t xml:space="preserve"> </w:t>
      </w:r>
      <w:r>
        <w:tab/>
      </w:r>
      <w:r w:rsidRPr="0021106C">
        <w:rPr>
          <w:rStyle w:val="AERtexthighlight"/>
          <w:shd w:val="clear" w:color="auto" w:fill="auto"/>
        </w:rPr>
        <w:t>Essential Energy, Regulatory proposal, p. 77.</w:t>
      </w:r>
    </w:p>
  </w:footnote>
  <w:footnote w:id="966">
    <w:p w:rsidR="00223658" w:rsidRDefault="00223658" w:rsidP="00C2445E">
      <w:pPr>
        <w:pStyle w:val="FootnoteText"/>
      </w:pPr>
      <w:r>
        <w:rPr>
          <w:rStyle w:val="FootnoteReference"/>
        </w:rPr>
        <w:footnoteRef/>
      </w:r>
      <w:r>
        <w:t xml:space="preserve"> </w:t>
      </w:r>
      <w:r>
        <w:tab/>
      </w:r>
      <w:r w:rsidRPr="0066608A">
        <w:t>Essential Energy, Regulatory Information Notice, Table 2.17</w:t>
      </w:r>
      <w:r>
        <w:t>.</w:t>
      </w:r>
    </w:p>
  </w:footnote>
  <w:footnote w:id="967">
    <w:p w:rsidR="00223658" w:rsidRDefault="00223658" w:rsidP="00C2445E">
      <w:pPr>
        <w:pStyle w:val="FootnoteText"/>
      </w:pPr>
      <w:r>
        <w:rPr>
          <w:rStyle w:val="FootnoteReference"/>
        </w:rPr>
        <w:footnoteRef/>
      </w:r>
      <w:r>
        <w:t xml:space="preserve"> </w:t>
      </w:r>
      <w:r>
        <w:tab/>
        <w:t xml:space="preserve">AER, </w:t>
      </w:r>
      <w:r w:rsidRPr="00600BAF">
        <w:rPr>
          <w:rStyle w:val="Emphasis"/>
        </w:rPr>
        <w:t>Draft decision - Ausgrid distribution determination attachment 7 - Operating expenditure</w:t>
      </w:r>
      <w:r>
        <w:t>, pp. 238-39.</w:t>
      </w:r>
    </w:p>
  </w:footnote>
  <w:footnote w:id="968">
    <w:p w:rsidR="00223658" w:rsidRDefault="00223658" w:rsidP="00C2445E">
      <w:pPr>
        <w:pStyle w:val="FootnoteText"/>
      </w:pPr>
      <w:r>
        <w:rPr>
          <w:rStyle w:val="FootnoteReference"/>
        </w:rPr>
        <w:footnoteRef/>
      </w:r>
      <w:r>
        <w:t xml:space="preserve">  </w:t>
      </w:r>
      <w:r>
        <w:tab/>
        <w:t xml:space="preserve">Essential Energy, </w:t>
      </w:r>
      <w:r w:rsidRPr="001B398F">
        <w:rPr>
          <w:rStyle w:val="AERtextitalic"/>
        </w:rPr>
        <w:t>Revised regulatory proposal</w:t>
      </w:r>
      <w:r>
        <w:t>, 20 January 2015, p. 172.</w:t>
      </w:r>
    </w:p>
  </w:footnote>
  <w:footnote w:id="969">
    <w:p w:rsidR="00223658" w:rsidRDefault="00223658" w:rsidP="00C2445E">
      <w:pPr>
        <w:pStyle w:val="FootnoteText"/>
      </w:pPr>
      <w:r>
        <w:rPr>
          <w:rStyle w:val="FootnoteReference"/>
        </w:rPr>
        <w:footnoteRef/>
      </w:r>
      <w:r>
        <w:t xml:space="preserve"> </w:t>
      </w:r>
      <w:r>
        <w:tab/>
        <w:t xml:space="preserve">AER, </w:t>
      </w:r>
      <w:r w:rsidRPr="00600BAF">
        <w:rPr>
          <w:rStyle w:val="Emphasis"/>
        </w:rPr>
        <w:t>Essential Energy Information request 057</w:t>
      </w:r>
      <w:r>
        <w:t>, 31 March 2014.</w:t>
      </w:r>
    </w:p>
  </w:footnote>
  <w:footnote w:id="970">
    <w:p w:rsidR="00223658" w:rsidRDefault="00223658" w:rsidP="00C2445E">
      <w:pPr>
        <w:pStyle w:val="FootnoteText"/>
      </w:pPr>
      <w:r>
        <w:rPr>
          <w:rStyle w:val="FootnoteReference"/>
        </w:rPr>
        <w:footnoteRef/>
      </w:r>
      <w:r>
        <w:t xml:space="preserve"> </w:t>
      </w:r>
      <w:r>
        <w:tab/>
      </w:r>
      <w:r w:rsidRPr="00600BAF">
        <w:t xml:space="preserve">Essential Energy, </w:t>
      </w:r>
      <w:r>
        <w:rPr>
          <w:rStyle w:val="AERtextitalic"/>
        </w:rPr>
        <w:t xml:space="preserve">Re to Information request AER Essential 057, </w:t>
      </w:r>
      <w:r>
        <w:t>9 April 2015.</w:t>
      </w:r>
    </w:p>
  </w:footnote>
  <w:footnote w:id="971">
    <w:p w:rsidR="00223658" w:rsidRDefault="00223658" w:rsidP="00C2445E">
      <w:pPr>
        <w:pStyle w:val="FootnoteText"/>
      </w:pPr>
      <w:r>
        <w:rPr>
          <w:rStyle w:val="FootnoteReference"/>
        </w:rPr>
        <w:footnoteRef/>
      </w:r>
      <w:r>
        <w:t xml:space="preserve"> </w:t>
      </w:r>
      <w:r>
        <w:tab/>
        <w:t>NER, s.6.5.6(c)(1).</w:t>
      </w:r>
    </w:p>
  </w:footnote>
  <w:footnote w:id="972">
    <w:p w:rsidR="00223658" w:rsidRDefault="00223658" w:rsidP="00C2445E">
      <w:pPr>
        <w:pStyle w:val="FootnoteText"/>
      </w:pPr>
      <w:r>
        <w:rPr>
          <w:rStyle w:val="FootnoteReference"/>
        </w:rPr>
        <w:footnoteRef/>
      </w:r>
      <w:r>
        <w:t xml:space="preserve"> </w:t>
      </w:r>
      <w:r>
        <w:tab/>
        <w:t>NER, s. 6.5.6(e)(4).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658" w:rsidRDefault="00223658" w:rsidP="00051BDB">
    <w:pPr>
      <w:pStyle w:val="Heading5"/>
      <w:numPr>
        <w:ilvl w:val="0"/>
        <w:numId w:val="0"/>
      </w:numPr>
      <w:ind w:left="1008" w:hanging="10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D930C244"/>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removePersonalInformation/>
  <w:removeDateAndTime/>
  <w:activeWritingStyle w:appName="MSWord" w:lang="en-AU" w:vendorID="64" w:dllVersion="131078" w:nlCheck="1" w:checkStyle="0"/>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60\AER15 371  AER - Final decision Essential Energy distribution determination - Attachment 7 – Operating expenditure - April 2015.DOCX"/>
  </w:docVars>
  <w:rsids>
    <w:rsidRoot w:val="00961A4A"/>
    <w:rsid w:val="00011F13"/>
    <w:rsid w:val="00021018"/>
    <w:rsid w:val="00021202"/>
    <w:rsid w:val="00021C2B"/>
    <w:rsid w:val="0002517F"/>
    <w:rsid w:val="000271BB"/>
    <w:rsid w:val="0003578C"/>
    <w:rsid w:val="00051BDB"/>
    <w:rsid w:val="00063247"/>
    <w:rsid w:val="00070F9F"/>
    <w:rsid w:val="0007137B"/>
    <w:rsid w:val="000744A9"/>
    <w:rsid w:val="00085663"/>
    <w:rsid w:val="00085EBF"/>
    <w:rsid w:val="00091B15"/>
    <w:rsid w:val="000A0A1A"/>
    <w:rsid w:val="000A3020"/>
    <w:rsid w:val="000A6C7B"/>
    <w:rsid w:val="000B1617"/>
    <w:rsid w:val="000B6E4A"/>
    <w:rsid w:val="000C07DC"/>
    <w:rsid w:val="000C2B40"/>
    <w:rsid w:val="000D122C"/>
    <w:rsid w:val="000E1819"/>
    <w:rsid w:val="000E4821"/>
    <w:rsid w:val="000E6C72"/>
    <w:rsid w:val="000F24E3"/>
    <w:rsid w:val="000F6778"/>
    <w:rsid w:val="00110327"/>
    <w:rsid w:val="00116EB2"/>
    <w:rsid w:val="00124609"/>
    <w:rsid w:val="00126A4C"/>
    <w:rsid w:val="0014573B"/>
    <w:rsid w:val="00154224"/>
    <w:rsid w:val="001573E4"/>
    <w:rsid w:val="00160756"/>
    <w:rsid w:val="00165E00"/>
    <w:rsid w:val="0017232E"/>
    <w:rsid w:val="00172EA0"/>
    <w:rsid w:val="00174102"/>
    <w:rsid w:val="001754EE"/>
    <w:rsid w:val="00180157"/>
    <w:rsid w:val="00185CB9"/>
    <w:rsid w:val="00186F77"/>
    <w:rsid w:val="001926A4"/>
    <w:rsid w:val="00192AD5"/>
    <w:rsid w:val="0019674A"/>
    <w:rsid w:val="001B3260"/>
    <w:rsid w:val="001B45A0"/>
    <w:rsid w:val="001B7F5A"/>
    <w:rsid w:val="001C231C"/>
    <w:rsid w:val="001C74C9"/>
    <w:rsid w:val="001D055E"/>
    <w:rsid w:val="001F05A4"/>
    <w:rsid w:val="001F492E"/>
    <w:rsid w:val="001F52AA"/>
    <w:rsid w:val="001F6DA3"/>
    <w:rsid w:val="002010BC"/>
    <w:rsid w:val="002016E7"/>
    <w:rsid w:val="00202E03"/>
    <w:rsid w:val="00202F01"/>
    <w:rsid w:val="00204897"/>
    <w:rsid w:val="0020492C"/>
    <w:rsid w:val="00204E0E"/>
    <w:rsid w:val="00206F16"/>
    <w:rsid w:val="00212F79"/>
    <w:rsid w:val="002213F5"/>
    <w:rsid w:val="0022207F"/>
    <w:rsid w:val="00223658"/>
    <w:rsid w:val="00224DB9"/>
    <w:rsid w:val="00225BC5"/>
    <w:rsid w:val="00233775"/>
    <w:rsid w:val="002344AF"/>
    <w:rsid w:val="00236F04"/>
    <w:rsid w:val="00237780"/>
    <w:rsid w:val="00251745"/>
    <w:rsid w:val="00263AC0"/>
    <w:rsid w:val="00264264"/>
    <w:rsid w:val="0026772D"/>
    <w:rsid w:val="00282FE6"/>
    <w:rsid w:val="0028318D"/>
    <w:rsid w:val="00286874"/>
    <w:rsid w:val="0028689A"/>
    <w:rsid w:val="00290C63"/>
    <w:rsid w:val="002950B3"/>
    <w:rsid w:val="00296B65"/>
    <w:rsid w:val="002A7DEF"/>
    <w:rsid w:val="002A7FB7"/>
    <w:rsid w:val="002B1A23"/>
    <w:rsid w:val="002B1C36"/>
    <w:rsid w:val="002B1E4B"/>
    <w:rsid w:val="002B3AE7"/>
    <w:rsid w:val="002C233C"/>
    <w:rsid w:val="002C2CA1"/>
    <w:rsid w:val="002D6421"/>
    <w:rsid w:val="002D72E8"/>
    <w:rsid w:val="002E539A"/>
    <w:rsid w:val="002E7B22"/>
    <w:rsid w:val="002F3915"/>
    <w:rsid w:val="002F7986"/>
    <w:rsid w:val="00301B40"/>
    <w:rsid w:val="003029EE"/>
    <w:rsid w:val="00305CC8"/>
    <w:rsid w:val="00307F6D"/>
    <w:rsid w:val="00314F9A"/>
    <w:rsid w:val="003177A2"/>
    <w:rsid w:val="003257C4"/>
    <w:rsid w:val="003271B5"/>
    <w:rsid w:val="00327A1E"/>
    <w:rsid w:val="00331264"/>
    <w:rsid w:val="00334C8D"/>
    <w:rsid w:val="00343A18"/>
    <w:rsid w:val="003443BD"/>
    <w:rsid w:val="003518B3"/>
    <w:rsid w:val="00351B63"/>
    <w:rsid w:val="003652D2"/>
    <w:rsid w:val="00383A73"/>
    <w:rsid w:val="003844CD"/>
    <w:rsid w:val="003846F1"/>
    <w:rsid w:val="003A3A30"/>
    <w:rsid w:val="003B484F"/>
    <w:rsid w:val="003B4A7E"/>
    <w:rsid w:val="003B7FBA"/>
    <w:rsid w:val="003E4D71"/>
    <w:rsid w:val="003F174D"/>
    <w:rsid w:val="003F3860"/>
    <w:rsid w:val="003F4154"/>
    <w:rsid w:val="00415F02"/>
    <w:rsid w:val="00415F31"/>
    <w:rsid w:val="00423A77"/>
    <w:rsid w:val="0045516C"/>
    <w:rsid w:val="00456020"/>
    <w:rsid w:val="0045777E"/>
    <w:rsid w:val="0046198A"/>
    <w:rsid w:val="00474BBB"/>
    <w:rsid w:val="00480B4B"/>
    <w:rsid w:val="00484DAD"/>
    <w:rsid w:val="00485DC4"/>
    <w:rsid w:val="00492C36"/>
    <w:rsid w:val="004A43D1"/>
    <w:rsid w:val="004B2265"/>
    <w:rsid w:val="004B4412"/>
    <w:rsid w:val="004B6000"/>
    <w:rsid w:val="004C348C"/>
    <w:rsid w:val="004C528F"/>
    <w:rsid w:val="004D064A"/>
    <w:rsid w:val="004D55BA"/>
    <w:rsid w:val="004D6A6E"/>
    <w:rsid w:val="004E1719"/>
    <w:rsid w:val="004E22EC"/>
    <w:rsid w:val="004E3BA7"/>
    <w:rsid w:val="004E5D91"/>
    <w:rsid w:val="004E61CD"/>
    <w:rsid w:val="004F38E0"/>
    <w:rsid w:val="004F3969"/>
    <w:rsid w:val="004F6A0E"/>
    <w:rsid w:val="00506690"/>
    <w:rsid w:val="00507E65"/>
    <w:rsid w:val="005136CC"/>
    <w:rsid w:val="0051563B"/>
    <w:rsid w:val="00515B75"/>
    <w:rsid w:val="0052029A"/>
    <w:rsid w:val="00530128"/>
    <w:rsid w:val="005302FD"/>
    <w:rsid w:val="0053176F"/>
    <w:rsid w:val="005320E4"/>
    <w:rsid w:val="00532467"/>
    <w:rsid w:val="00555D3B"/>
    <w:rsid w:val="00564A4D"/>
    <w:rsid w:val="00567BA5"/>
    <w:rsid w:val="00571B35"/>
    <w:rsid w:val="00571D57"/>
    <w:rsid w:val="005727A4"/>
    <w:rsid w:val="00577A09"/>
    <w:rsid w:val="0058002F"/>
    <w:rsid w:val="005829C2"/>
    <w:rsid w:val="00584C69"/>
    <w:rsid w:val="00584D8F"/>
    <w:rsid w:val="00586BEB"/>
    <w:rsid w:val="005A404D"/>
    <w:rsid w:val="005B1E3C"/>
    <w:rsid w:val="005B4441"/>
    <w:rsid w:val="005B704A"/>
    <w:rsid w:val="005C21A4"/>
    <w:rsid w:val="005C26CC"/>
    <w:rsid w:val="005D7BA2"/>
    <w:rsid w:val="005E064E"/>
    <w:rsid w:val="005E36C2"/>
    <w:rsid w:val="005E57AD"/>
    <w:rsid w:val="006064A1"/>
    <w:rsid w:val="00607F29"/>
    <w:rsid w:val="00610EF9"/>
    <w:rsid w:val="00612A18"/>
    <w:rsid w:val="00612F4F"/>
    <w:rsid w:val="00615C6B"/>
    <w:rsid w:val="0062198E"/>
    <w:rsid w:val="00621DCE"/>
    <w:rsid w:val="0062224A"/>
    <w:rsid w:val="00632D6D"/>
    <w:rsid w:val="00633CC8"/>
    <w:rsid w:val="00634B74"/>
    <w:rsid w:val="00642C3E"/>
    <w:rsid w:val="006472D6"/>
    <w:rsid w:val="00650D42"/>
    <w:rsid w:val="006552FE"/>
    <w:rsid w:val="0066104A"/>
    <w:rsid w:val="00663DAD"/>
    <w:rsid w:val="00675E20"/>
    <w:rsid w:val="00676679"/>
    <w:rsid w:val="0068068C"/>
    <w:rsid w:val="006826BA"/>
    <w:rsid w:val="00683C89"/>
    <w:rsid w:val="0069085A"/>
    <w:rsid w:val="006B2395"/>
    <w:rsid w:val="006B4CF9"/>
    <w:rsid w:val="006B7AC8"/>
    <w:rsid w:val="006B7B34"/>
    <w:rsid w:val="006C1736"/>
    <w:rsid w:val="006C2F61"/>
    <w:rsid w:val="006C35D4"/>
    <w:rsid w:val="006C60FB"/>
    <w:rsid w:val="006D14B7"/>
    <w:rsid w:val="006D550F"/>
    <w:rsid w:val="006D59CE"/>
    <w:rsid w:val="006D5C35"/>
    <w:rsid w:val="006E4316"/>
    <w:rsid w:val="006E4C49"/>
    <w:rsid w:val="006F21E4"/>
    <w:rsid w:val="0070011E"/>
    <w:rsid w:val="00701CAB"/>
    <w:rsid w:val="00707563"/>
    <w:rsid w:val="007117C8"/>
    <w:rsid w:val="00712C76"/>
    <w:rsid w:val="0072060E"/>
    <w:rsid w:val="0072348C"/>
    <w:rsid w:val="00724A37"/>
    <w:rsid w:val="007303C3"/>
    <w:rsid w:val="0073522A"/>
    <w:rsid w:val="007429BE"/>
    <w:rsid w:val="00743223"/>
    <w:rsid w:val="007468AF"/>
    <w:rsid w:val="00746E01"/>
    <w:rsid w:val="007500E5"/>
    <w:rsid w:val="00754560"/>
    <w:rsid w:val="00756041"/>
    <w:rsid w:val="00757364"/>
    <w:rsid w:val="00757BDF"/>
    <w:rsid w:val="007609D0"/>
    <w:rsid w:val="00763E5D"/>
    <w:rsid w:val="00767740"/>
    <w:rsid w:val="00777EE6"/>
    <w:rsid w:val="00782EEA"/>
    <w:rsid w:val="00785A0E"/>
    <w:rsid w:val="00795F3B"/>
    <w:rsid w:val="007A58F7"/>
    <w:rsid w:val="007B186E"/>
    <w:rsid w:val="007B2C72"/>
    <w:rsid w:val="007C1C53"/>
    <w:rsid w:val="007C5A40"/>
    <w:rsid w:val="007C74BB"/>
    <w:rsid w:val="007D456E"/>
    <w:rsid w:val="007E0650"/>
    <w:rsid w:val="007E4904"/>
    <w:rsid w:val="007E4CB5"/>
    <w:rsid w:val="007F066B"/>
    <w:rsid w:val="007F6005"/>
    <w:rsid w:val="008033C4"/>
    <w:rsid w:val="00806C88"/>
    <w:rsid w:val="0081034E"/>
    <w:rsid w:val="008242BB"/>
    <w:rsid w:val="00833025"/>
    <w:rsid w:val="008344F6"/>
    <w:rsid w:val="0083510F"/>
    <w:rsid w:val="00837F60"/>
    <w:rsid w:val="00851209"/>
    <w:rsid w:val="00857EC6"/>
    <w:rsid w:val="00861BC7"/>
    <w:rsid w:val="00871EF6"/>
    <w:rsid w:val="008837AC"/>
    <w:rsid w:val="0089490E"/>
    <w:rsid w:val="00895956"/>
    <w:rsid w:val="008A587D"/>
    <w:rsid w:val="008B0B8C"/>
    <w:rsid w:val="008B35CD"/>
    <w:rsid w:val="008B5FCC"/>
    <w:rsid w:val="008C33CA"/>
    <w:rsid w:val="008C5486"/>
    <w:rsid w:val="008C7016"/>
    <w:rsid w:val="008D1026"/>
    <w:rsid w:val="008D1661"/>
    <w:rsid w:val="008D6800"/>
    <w:rsid w:val="008E1562"/>
    <w:rsid w:val="008E7031"/>
    <w:rsid w:val="008E77DE"/>
    <w:rsid w:val="008F07A3"/>
    <w:rsid w:val="008F5606"/>
    <w:rsid w:val="008F7DBE"/>
    <w:rsid w:val="009001B6"/>
    <w:rsid w:val="00900E1B"/>
    <w:rsid w:val="009113BC"/>
    <w:rsid w:val="00921300"/>
    <w:rsid w:val="009233EE"/>
    <w:rsid w:val="00944955"/>
    <w:rsid w:val="009460AA"/>
    <w:rsid w:val="00951978"/>
    <w:rsid w:val="00961A4A"/>
    <w:rsid w:val="009661DE"/>
    <w:rsid w:val="009664DF"/>
    <w:rsid w:val="00966D46"/>
    <w:rsid w:val="00983C25"/>
    <w:rsid w:val="009856B7"/>
    <w:rsid w:val="00985C86"/>
    <w:rsid w:val="009874C6"/>
    <w:rsid w:val="009879F7"/>
    <w:rsid w:val="009A5FC3"/>
    <w:rsid w:val="009B0844"/>
    <w:rsid w:val="009B49B4"/>
    <w:rsid w:val="009B6F84"/>
    <w:rsid w:val="009B74B0"/>
    <w:rsid w:val="009C57B5"/>
    <w:rsid w:val="009D2EDE"/>
    <w:rsid w:val="009D3906"/>
    <w:rsid w:val="009D3DCB"/>
    <w:rsid w:val="009D6B46"/>
    <w:rsid w:val="009E1FEF"/>
    <w:rsid w:val="009F1E0C"/>
    <w:rsid w:val="009F4940"/>
    <w:rsid w:val="009F5BA1"/>
    <w:rsid w:val="00A02A88"/>
    <w:rsid w:val="00A0562E"/>
    <w:rsid w:val="00A0726D"/>
    <w:rsid w:val="00A20FE0"/>
    <w:rsid w:val="00A30901"/>
    <w:rsid w:val="00A32FBB"/>
    <w:rsid w:val="00A33E41"/>
    <w:rsid w:val="00A35646"/>
    <w:rsid w:val="00A409CB"/>
    <w:rsid w:val="00A428EE"/>
    <w:rsid w:val="00A4478A"/>
    <w:rsid w:val="00A44852"/>
    <w:rsid w:val="00A46066"/>
    <w:rsid w:val="00A50502"/>
    <w:rsid w:val="00A55D10"/>
    <w:rsid w:val="00A57D04"/>
    <w:rsid w:val="00A60A26"/>
    <w:rsid w:val="00A61598"/>
    <w:rsid w:val="00A62B05"/>
    <w:rsid w:val="00A70890"/>
    <w:rsid w:val="00A84A99"/>
    <w:rsid w:val="00A84F46"/>
    <w:rsid w:val="00A871F4"/>
    <w:rsid w:val="00A87B7B"/>
    <w:rsid w:val="00A907AF"/>
    <w:rsid w:val="00A91FF1"/>
    <w:rsid w:val="00AA10EA"/>
    <w:rsid w:val="00AB7677"/>
    <w:rsid w:val="00AC1B2C"/>
    <w:rsid w:val="00AC227C"/>
    <w:rsid w:val="00AC3264"/>
    <w:rsid w:val="00AC33AF"/>
    <w:rsid w:val="00AC3A92"/>
    <w:rsid w:val="00AC3A99"/>
    <w:rsid w:val="00AD05DA"/>
    <w:rsid w:val="00AD4771"/>
    <w:rsid w:val="00AE1BF1"/>
    <w:rsid w:val="00AF0DD2"/>
    <w:rsid w:val="00B10B06"/>
    <w:rsid w:val="00B13048"/>
    <w:rsid w:val="00B1716D"/>
    <w:rsid w:val="00B17A1D"/>
    <w:rsid w:val="00B207A0"/>
    <w:rsid w:val="00B26CB0"/>
    <w:rsid w:val="00B27604"/>
    <w:rsid w:val="00B355F9"/>
    <w:rsid w:val="00B514DD"/>
    <w:rsid w:val="00B52AF0"/>
    <w:rsid w:val="00B5524A"/>
    <w:rsid w:val="00B561BD"/>
    <w:rsid w:val="00B56E03"/>
    <w:rsid w:val="00B65392"/>
    <w:rsid w:val="00B72BDC"/>
    <w:rsid w:val="00B8080B"/>
    <w:rsid w:val="00B82223"/>
    <w:rsid w:val="00B87BA5"/>
    <w:rsid w:val="00B87C39"/>
    <w:rsid w:val="00B9562D"/>
    <w:rsid w:val="00BA4665"/>
    <w:rsid w:val="00BB2FB2"/>
    <w:rsid w:val="00BB3304"/>
    <w:rsid w:val="00BC02BD"/>
    <w:rsid w:val="00BC10D5"/>
    <w:rsid w:val="00BD3446"/>
    <w:rsid w:val="00BD6D26"/>
    <w:rsid w:val="00BE13BC"/>
    <w:rsid w:val="00BE1F1B"/>
    <w:rsid w:val="00BE341D"/>
    <w:rsid w:val="00BE47B5"/>
    <w:rsid w:val="00BF1D8D"/>
    <w:rsid w:val="00BF69FF"/>
    <w:rsid w:val="00C106A9"/>
    <w:rsid w:val="00C2445E"/>
    <w:rsid w:val="00C25FA6"/>
    <w:rsid w:val="00C33046"/>
    <w:rsid w:val="00C4466F"/>
    <w:rsid w:val="00C538A9"/>
    <w:rsid w:val="00C53B5A"/>
    <w:rsid w:val="00C54F5A"/>
    <w:rsid w:val="00C569B4"/>
    <w:rsid w:val="00C67A92"/>
    <w:rsid w:val="00C71E9C"/>
    <w:rsid w:val="00C72173"/>
    <w:rsid w:val="00C74791"/>
    <w:rsid w:val="00C84560"/>
    <w:rsid w:val="00C86679"/>
    <w:rsid w:val="00C95865"/>
    <w:rsid w:val="00CA2215"/>
    <w:rsid w:val="00CA489E"/>
    <w:rsid w:val="00CB0279"/>
    <w:rsid w:val="00CB0CF2"/>
    <w:rsid w:val="00CB43C0"/>
    <w:rsid w:val="00CB666B"/>
    <w:rsid w:val="00CC165D"/>
    <w:rsid w:val="00CC6D33"/>
    <w:rsid w:val="00CC7F1D"/>
    <w:rsid w:val="00CE1FA4"/>
    <w:rsid w:val="00CE484B"/>
    <w:rsid w:val="00CF0DEE"/>
    <w:rsid w:val="00CF0EEB"/>
    <w:rsid w:val="00CF2125"/>
    <w:rsid w:val="00D006AE"/>
    <w:rsid w:val="00D01CF0"/>
    <w:rsid w:val="00D0442A"/>
    <w:rsid w:val="00D05081"/>
    <w:rsid w:val="00D118A0"/>
    <w:rsid w:val="00D162B9"/>
    <w:rsid w:val="00D61388"/>
    <w:rsid w:val="00D61A54"/>
    <w:rsid w:val="00D64DEA"/>
    <w:rsid w:val="00D66E49"/>
    <w:rsid w:val="00D66FDC"/>
    <w:rsid w:val="00D67787"/>
    <w:rsid w:val="00D7168E"/>
    <w:rsid w:val="00D71E57"/>
    <w:rsid w:val="00D75A1C"/>
    <w:rsid w:val="00D80893"/>
    <w:rsid w:val="00D84854"/>
    <w:rsid w:val="00D92819"/>
    <w:rsid w:val="00D92CF1"/>
    <w:rsid w:val="00D92D38"/>
    <w:rsid w:val="00D950F5"/>
    <w:rsid w:val="00DA4752"/>
    <w:rsid w:val="00DA61F3"/>
    <w:rsid w:val="00DA7479"/>
    <w:rsid w:val="00DB042D"/>
    <w:rsid w:val="00DB0F93"/>
    <w:rsid w:val="00DB1A67"/>
    <w:rsid w:val="00DB31AC"/>
    <w:rsid w:val="00DB49AD"/>
    <w:rsid w:val="00DB5074"/>
    <w:rsid w:val="00DB54FA"/>
    <w:rsid w:val="00DC7981"/>
    <w:rsid w:val="00DE1093"/>
    <w:rsid w:val="00DE4925"/>
    <w:rsid w:val="00DE4EFA"/>
    <w:rsid w:val="00DE5520"/>
    <w:rsid w:val="00DE563D"/>
    <w:rsid w:val="00DE7B65"/>
    <w:rsid w:val="00DF0C71"/>
    <w:rsid w:val="00DF2BB8"/>
    <w:rsid w:val="00DF6237"/>
    <w:rsid w:val="00E04818"/>
    <w:rsid w:val="00E06442"/>
    <w:rsid w:val="00E161C6"/>
    <w:rsid w:val="00E20E93"/>
    <w:rsid w:val="00E23993"/>
    <w:rsid w:val="00E25B8C"/>
    <w:rsid w:val="00E27C23"/>
    <w:rsid w:val="00E42B71"/>
    <w:rsid w:val="00E4585E"/>
    <w:rsid w:val="00E65C85"/>
    <w:rsid w:val="00E66199"/>
    <w:rsid w:val="00E70279"/>
    <w:rsid w:val="00E755EC"/>
    <w:rsid w:val="00E75C6B"/>
    <w:rsid w:val="00E7624D"/>
    <w:rsid w:val="00E94567"/>
    <w:rsid w:val="00EA2493"/>
    <w:rsid w:val="00EA29A6"/>
    <w:rsid w:val="00EA3D42"/>
    <w:rsid w:val="00EA6B1B"/>
    <w:rsid w:val="00EC04F1"/>
    <w:rsid w:val="00ED7323"/>
    <w:rsid w:val="00EE28F3"/>
    <w:rsid w:val="00EE50D1"/>
    <w:rsid w:val="00EF1A32"/>
    <w:rsid w:val="00EF484F"/>
    <w:rsid w:val="00EF5110"/>
    <w:rsid w:val="00EF63F8"/>
    <w:rsid w:val="00F017B8"/>
    <w:rsid w:val="00F1013F"/>
    <w:rsid w:val="00F10411"/>
    <w:rsid w:val="00F15882"/>
    <w:rsid w:val="00F171E0"/>
    <w:rsid w:val="00F20BD3"/>
    <w:rsid w:val="00F34268"/>
    <w:rsid w:val="00F373A5"/>
    <w:rsid w:val="00F43434"/>
    <w:rsid w:val="00F47559"/>
    <w:rsid w:val="00F576D7"/>
    <w:rsid w:val="00F61BE4"/>
    <w:rsid w:val="00F64C7B"/>
    <w:rsid w:val="00F676DD"/>
    <w:rsid w:val="00F7123E"/>
    <w:rsid w:val="00F75A26"/>
    <w:rsid w:val="00F76706"/>
    <w:rsid w:val="00F83FAD"/>
    <w:rsid w:val="00F92E4F"/>
    <w:rsid w:val="00F952A0"/>
    <w:rsid w:val="00FA3C7F"/>
    <w:rsid w:val="00FB60FE"/>
    <w:rsid w:val="00FB74E2"/>
    <w:rsid w:val="00FD3771"/>
    <w:rsid w:val="00FD5614"/>
    <w:rsid w:val="00FD5E78"/>
    <w:rsid w:val="00FE0BE1"/>
    <w:rsid w:val="00FE1DE9"/>
    <w:rsid w:val="00FE36AF"/>
    <w:rsid w:val="00FE39C2"/>
    <w:rsid w:val="00FE3C32"/>
    <w:rsid w:val="00FE480B"/>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uiPriority w:val="99"/>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lockText">
    <w:name w:val="Block Text"/>
    <w:basedOn w:val="Normal"/>
    <w:uiPriority w:val="99"/>
    <w:unhideWhenUsed/>
    <w:rsid w:val="00E75C6B"/>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 w:type="paragraph" w:styleId="BodyText">
    <w:name w:val="Body Text"/>
    <w:basedOn w:val="Normal"/>
    <w:link w:val="BodyTextChar"/>
    <w:uiPriority w:val="99"/>
    <w:unhideWhenUsed/>
    <w:rsid w:val="00E75C6B"/>
    <w:pPr>
      <w:spacing w:after="120"/>
    </w:pPr>
  </w:style>
  <w:style w:type="character" w:customStyle="1" w:styleId="BodyTextChar">
    <w:name w:val="Body Text Char"/>
    <w:basedOn w:val="DefaultParagraphFont"/>
    <w:link w:val="BodyText"/>
    <w:uiPriority w:val="99"/>
    <w:rsid w:val="00E75C6B"/>
    <w:rPr>
      <w:rFonts w:ascii="Arial" w:hAnsi="Arial"/>
    </w:rPr>
  </w:style>
  <w:style w:type="paragraph" w:styleId="NormalWeb">
    <w:name w:val="Normal (Web)"/>
    <w:basedOn w:val="Normal"/>
    <w:uiPriority w:val="99"/>
    <w:semiHidden/>
    <w:unhideWhenUsed/>
    <w:rsid w:val="00E75C6B"/>
    <w:pPr>
      <w:spacing w:before="0" w:after="240" w:line="288" w:lineRule="auto"/>
      <w:jc w:val="both"/>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uiPriority w:val="99"/>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lockText">
    <w:name w:val="Block Text"/>
    <w:basedOn w:val="Normal"/>
    <w:uiPriority w:val="99"/>
    <w:unhideWhenUsed/>
    <w:rsid w:val="00E75C6B"/>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 w:type="paragraph" w:styleId="BodyText">
    <w:name w:val="Body Text"/>
    <w:basedOn w:val="Normal"/>
    <w:link w:val="BodyTextChar"/>
    <w:uiPriority w:val="99"/>
    <w:unhideWhenUsed/>
    <w:rsid w:val="00E75C6B"/>
    <w:pPr>
      <w:spacing w:after="120"/>
    </w:pPr>
  </w:style>
  <w:style w:type="character" w:customStyle="1" w:styleId="BodyTextChar">
    <w:name w:val="Body Text Char"/>
    <w:basedOn w:val="DefaultParagraphFont"/>
    <w:link w:val="BodyText"/>
    <w:uiPriority w:val="99"/>
    <w:rsid w:val="00E75C6B"/>
    <w:rPr>
      <w:rFonts w:ascii="Arial" w:hAnsi="Arial"/>
    </w:rPr>
  </w:style>
  <w:style w:type="paragraph" w:styleId="NormalWeb">
    <w:name w:val="Normal (Web)"/>
    <w:basedOn w:val="Normal"/>
    <w:uiPriority w:val="99"/>
    <w:semiHidden/>
    <w:unhideWhenUsed/>
    <w:rsid w:val="00E75C6B"/>
    <w:pPr>
      <w:spacing w:before="0" w:after="240" w:line="288" w:lineRule="auto"/>
      <w:jc w:val="both"/>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341712">
      <w:bodyDiv w:val="1"/>
      <w:marLeft w:val="0"/>
      <w:marRight w:val="0"/>
      <w:marTop w:val="0"/>
      <w:marBottom w:val="0"/>
      <w:divBdr>
        <w:top w:val="none" w:sz="0" w:space="0" w:color="auto"/>
        <w:left w:val="none" w:sz="0" w:space="0" w:color="auto"/>
        <w:bottom w:val="none" w:sz="0" w:space="0" w:color="auto"/>
        <w:right w:val="none" w:sz="0" w:space="0" w:color="auto"/>
      </w:divBdr>
    </w:div>
    <w:div w:id="414598098">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11684792">
      <w:bodyDiv w:val="1"/>
      <w:marLeft w:val="0"/>
      <w:marRight w:val="0"/>
      <w:marTop w:val="0"/>
      <w:marBottom w:val="0"/>
      <w:divBdr>
        <w:top w:val="none" w:sz="0" w:space="0" w:color="auto"/>
        <w:left w:val="none" w:sz="0" w:space="0" w:color="auto"/>
        <w:bottom w:val="none" w:sz="0" w:space="0" w:color="auto"/>
        <w:right w:val="none" w:sz="0" w:space="0" w:color="auto"/>
      </w:divBdr>
    </w:div>
    <w:div w:id="10257179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206483184">
      <w:bodyDiv w:val="1"/>
      <w:marLeft w:val="0"/>
      <w:marRight w:val="0"/>
      <w:marTop w:val="0"/>
      <w:marBottom w:val="0"/>
      <w:divBdr>
        <w:top w:val="none" w:sz="0" w:space="0" w:color="auto"/>
        <w:left w:val="none" w:sz="0" w:space="0" w:color="auto"/>
        <w:bottom w:val="none" w:sz="0" w:space="0" w:color="auto"/>
        <w:right w:val="none" w:sz="0" w:space="0" w:color="auto"/>
      </w:divBdr>
    </w:div>
    <w:div w:id="1241018691">
      <w:bodyDiv w:val="1"/>
      <w:marLeft w:val="0"/>
      <w:marRight w:val="0"/>
      <w:marTop w:val="0"/>
      <w:marBottom w:val="0"/>
      <w:divBdr>
        <w:top w:val="none" w:sz="0" w:space="0" w:color="auto"/>
        <w:left w:val="none" w:sz="0" w:space="0" w:color="auto"/>
        <w:bottom w:val="none" w:sz="0" w:space="0" w:color="auto"/>
        <w:right w:val="none" w:sz="0" w:space="0" w:color="auto"/>
      </w:divBdr>
    </w:div>
    <w:div w:id="1400012500">
      <w:bodyDiv w:val="1"/>
      <w:marLeft w:val="0"/>
      <w:marRight w:val="0"/>
      <w:marTop w:val="0"/>
      <w:marBottom w:val="0"/>
      <w:divBdr>
        <w:top w:val="none" w:sz="0" w:space="0" w:color="auto"/>
        <w:left w:val="none" w:sz="0" w:space="0" w:color="auto"/>
        <w:bottom w:val="none" w:sz="0" w:space="0" w:color="auto"/>
        <w:right w:val="none" w:sz="0" w:space="0" w:color="auto"/>
      </w:divBdr>
      <w:divsChild>
        <w:div w:id="643778209">
          <w:marLeft w:val="547"/>
          <w:marRight w:val="0"/>
          <w:marTop w:val="0"/>
          <w:marBottom w:val="0"/>
          <w:divBdr>
            <w:top w:val="none" w:sz="0" w:space="0" w:color="auto"/>
            <w:left w:val="none" w:sz="0" w:space="0" w:color="auto"/>
            <w:bottom w:val="none" w:sz="0" w:space="0" w:color="auto"/>
            <w:right w:val="none" w:sz="0" w:space="0" w:color="auto"/>
          </w:divBdr>
        </w:div>
        <w:div w:id="374621404">
          <w:marLeft w:val="547"/>
          <w:marRight w:val="0"/>
          <w:marTop w:val="0"/>
          <w:marBottom w:val="0"/>
          <w:divBdr>
            <w:top w:val="none" w:sz="0" w:space="0" w:color="auto"/>
            <w:left w:val="none" w:sz="0" w:space="0" w:color="auto"/>
            <w:bottom w:val="none" w:sz="0" w:space="0" w:color="auto"/>
            <w:right w:val="none" w:sz="0" w:space="0" w:color="auto"/>
          </w:divBdr>
        </w:div>
      </w:divsChild>
    </w:div>
    <w:div w:id="1439371004">
      <w:bodyDiv w:val="1"/>
      <w:marLeft w:val="0"/>
      <w:marRight w:val="0"/>
      <w:marTop w:val="0"/>
      <w:marBottom w:val="0"/>
      <w:divBdr>
        <w:top w:val="none" w:sz="0" w:space="0" w:color="auto"/>
        <w:left w:val="none" w:sz="0" w:space="0" w:color="auto"/>
        <w:bottom w:val="none" w:sz="0" w:space="0" w:color="auto"/>
        <w:right w:val="none" w:sz="0" w:space="0" w:color="auto"/>
      </w:divBdr>
    </w:div>
    <w:div w:id="154266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diagramLayout" Target="diagrams/layout2.xml"/><Relationship Id="rId39" Type="http://schemas.openxmlformats.org/officeDocument/2006/relationships/image" Target="media/image12.emf"/><Relationship Id="rId21" Type="http://schemas.openxmlformats.org/officeDocument/2006/relationships/image" Target="media/image4.emf"/><Relationship Id="rId34" Type="http://schemas.microsoft.com/office/2007/relationships/diagramDrawing" Target="diagrams/drawing3.xml"/><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image" Target="media/image41.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2.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diagramQuickStyle" Target="diagrams/quickStyle3.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image" Target="media/image39.png"/><Relationship Id="rId7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diagramColors" Target="diagrams/colors2.xml"/><Relationship Id="rId36" Type="http://schemas.openxmlformats.org/officeDocument/2006/relationships/image" Target="media/image9.emf"/><Relationship Id="rId49" Type="http://schemas.openxmlformats.org/officeDocument/2006/relationships/image" Target="media/image22.emf"/><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hyperlink" Target="mailto:AERInquiry@aer.gov.au" TargetMode="External"/><Relationship Id="rId19" Type="http://schemas.microsoft.com/office/2007/relationships/diagramDrawing" Target="diagrams/drawing1.xml"/><Relationship Id="rId31" Type="http://schemas.openxmlformats.org/officeDocument/2006/relationships/diagramLayout" Target="diagrams/layout3.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png"/><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image" Target="media/image11.png"/><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png"/><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bom.gov.au/jsp/awap/ndvi/index.jsp" TargetMode="External"/><Relationship Id="rId13" Type="http://schemas.openxmlformats.org/officeDocument/2006/relationships/hyperlink" Target="http://ret.cleanenergyregulator.gov.au/REC-Registry/Data-reports" TargetMode="External"/><Relationship Id="rId3" Type="http://schemas.openxmlformats.org/officeDocument/2006/relationships/hyperlink" Target="https://www.powerwater.com.au/about_power_and_water" TargetMode="External"/><Relationship Id="rId7" Type="http://schemas.openxmlformats.org/officeDocument/2006/relationships/hyperlink" Target="https://www.aer.gov.au/node/30944" TargetMode="External"/><Relationship Id="rId12" Type="http://schemas.openxmlformats.org/officeDocument/2006/relationships/hyperlink" Target="http://www.abcb.gov.au/about-the-australian-building-codes-board" TargetMode="External"/><Relationship Id="rId2" Type="http://schemas.openxmlformats.org/officeDocument/2006/relationships/hyperlink" Target="http://www.aer.gov.au/node/25078" TargetMode="External"/><Relationship Id="rId1" Type="http://schemas.openxmlformats.org/officeDocument/2006/relationships/hyperlink" Target="http://www.aer.gov.au/node/25078" TargetMode="External"/><Relationship Id="rId6" Type="http://schemas.openxmlformats.org/officeDocument/2006/relationships/hyperlink" Target="http://www.aer.gov.au/node/30100" TargetMode="External"/><Relationship Id="rId11" Type="http://schemas.openxmlformats.org/officeDocument/2006/relationships/hyperlink" Target="http://www.abcb.gov.au/about-the-australian-building-codes-board" TargetMode="External"/><Relationship Id="rId5" Type="http://schemas.openxmlformats.org/officeDocument/2006/relationships/hyperlink" Target="https://www.telstra.com.au/mobile-phones/coverage-networks/our-coverage" TargetMode="External"/><Relationship Id="rId10" Type="http://schemas.openxmlformats.org/officeDocument/2006/relationships/hyperlink" Target="http://www.abcb.gov.au/about-the-australian-building-codes-board" TargetMode="External"/><Relationship Id="rId4" Type="http://schemas.openxmlformats.org/officeDocument/2006/relationships/hyperlink" Target="https://www.powerwater.com.au/community_and_education/student_resources/maps/electricity_map" TargetMode="External"/><Relationship Id="rId9" Type="http://schemas.openxmlformats.org/officeDocument/2006/relationships/hyperlink" Target="http://www.bom.gov.au/jsp/ncc/climate_averages/rainfall/index.jsp"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4" loCatId="process" qsTypeId="urn:microsoft.com/office/officeart/2005/8/quickstyle/simple2" qsCatId="simple" csTypeId="urn:microsoft.com/office/officeart/2005/8/colors/accent3_2" csCatId="accent3" phldr="1"/>
      <dgm:spPr/>
      <dgm:t>
        <a:bodyPr/>
        <a:lstStyle/>
        <a:p>
          <a:endParaRPr lang="en-AU"/>
        </a:p>
      </dgm:t>
    </dgm:pt>
    <dgm:pt modelId="{9C47A6F4-2D2D-401E-8E8C-257F4F60A451}">
      <dgm:prSet phldrT="[Text]" custT="1"/>
      <dgm:spPr>
        <a:xfrm rot="10800000">
          <a:off x="0" y="3525"/>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1 - Start with service provider's opex. </a:t>
          </a:r>
        </a:p>
        <a:p>
          <a:r>
            <a:rPr lang="en-AU" sz="8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a:solidFill>
                <a:sysClr val="window" lastClr="FFFFFF"/>
              </a:solidFill>
              <a:latin typeface="Arial"/>
              <a:ea typeface="+mn-ea"/>
              <a:cs typeface="+mn-cs"/>
            </a:rPr>
            <a:t>.</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custT="1"/>
      <dgm:spPr>
        <a:xfrm rot="10800000">
          <a:off x="0" y="1319930"/>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2- Assess base year opex </a:t>
          </a:r>
        </a:p>
        <a:p>
          <a:r>
            <a:rPr lang="en-AU" sz="8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r>
            <a:rPr lang="en-AU" sz="8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custT="1"/>
      <dgm:spPr>
        <a:xfrm rot="10800000">
          <a:off x="0" y="263633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3 - Add a rate of change to base opex. </a:t>
          </a:r>
        </a:p>
        <a:p>
          <a:r>
            <a:rPr lang="en-AU" sz="8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custT="1"/>
      <dgm:spPr>
        <a:xfrm rot="10800000">
          <a:off x="0" y="3952739"/>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4 - Add or subtract any step changes</a:t>
          </a:r>
        </a:p>
        <a:p>
          <a:r>
            <a:rPr lang="en-AU" sz="8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custT="1"/>
      <dgm:spPr>
        <a:xfrm rot="10800000">
          <a:off x="0" y="526914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5 - Other opex</a:t>
          </a:r>
        </a:p>
        <a:p>
          <a:r>
            <a:rPr lang="en-AU" sz="8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AD28C4B6-4B44-4864-9589-03EDCF6F1FFE}">
      <dgm:prSet custT="1"/>
      <dgm:spPr>
        <a:xfrm>
          <a:off x="0" y="6585548"/>
          <a:ext cx="5380075" cy="864349"/>
        </a:xfr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chemeClr val="accent5"/>
              </a:solidFill>
              <a:latin typeface="Arial"/>
              <a:ea typeface="+mn-ea"/>
              <a:cs typeface="+mn-cs"/>
            </a:rPr>
            <a:t>Having established our esitmate of total  forecast opex we can compare our alternative opex forecast with the service provider’s total forecast opex.</a:t>
          </a:r>
        </a:p>
        <a:p>
          <a:r>
            <a:rPr lang="en-AU" sz="8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gm:t>
    </dgm:pt>
    <dgm:pt modelId="{944373D4-736F-42F2-801D-FD9C4BADBEB5}" type="parTrans" cxnId="{8218644E-50A9-4513-B75B-8AA832797482}">
      <dgm:prSet/>
      <dgm:spPr/>
      <dgm:t>
        <a:bodyPr/>
        <a:lstStyle/>
        <a:p>
          <a:endParaRPr lang="en-AU"/>
        </a:p>
      </dgm:t>
    </dgm:pt>
    <dgm:pt modelId="{75284E6C-E3C7-4DA6-807B-FB54B76983BC}" type="sibTrans" cxnId="{8218644E-50A9-4513-B75B-8AA832797482}">
      <dgm:prSet/>
      <dgm:spPr/>
      <dgm:t>
        <a:bodyPr/>
        <a:lstStyle/>
        <a:p>
          <a:endParaRPr lang="en-AU"/>
        </a:p>
      </dgm:t>
    </dgm:pt>
    <dgm:pt modelId="{BB4B5562-5C0F-4F0A-8534-0727E9C644AA}" type="pres">
      <dgm:prSet presAssocID="{0CD3B7BF-2FEE-4CCC-B56C-756F5811693B}" presName="Name0" presStyleCnt="0">
        <dgm:presLayoutVars>
          <dgm:dir/>
          <dgm:animLvl val="lvl"/>
          <dgm:resizeHandles val="exact"/>
        </dgm:presLayoutVars>
      </dgm:prSet>
      <dgm:spPr/>
      <dgm:t>
        <a:bodyPr/>
        <a:lstStyle/>
        <a:p>
          <a:endParaRPr lang="en-AU"/>
        </a:p>
      </dgm:t>
    </dgm:pt>
    <dgm:pt modelId="{DD5D9977-7E4F-472F-8460-168066ABE07B}" type="pres">
      <dgm:prSet presAssocID="{AD28C4B6-4B44-4864-9589-03EDCF6F1FFE}" presName="boxAndChildren" presStyleCnt="0"/>
      <dgm:spPr/>
      <dgm:t>
        <a:bodyPr/>
        <a:lstStyle/>
        <a:p>
          <a:endParaRPr lang="en-AU"/>
        </a:p>
      </dgm:t>
    </dgm:pt>
    <dgm:pt modelId="{A7D909A5-61D3-4FAC-9E1B-94BAFFE149C8}" type="pres">
      <dgm:prSet presAssocID="{AD28C4B6-4B44-4864-9589-03EDCF6F1FFE}" presName="parentTextBox" presStyleLbl="node1" presStyleIdx="0" presStyleCnt="6"/>
      <dgm:spPr>
        <a:prstGeom prst="rect">
          <a:avLst/>
        </a:prstGeom>
      </dgm:spPr>
      <dgm:t>
        <a:bodyPr/>
        <a:lstStyle/>
        <a:p>
          <a:endParaRPr lang="en-AU"/>
        </a:p>
      </dgm:t>
    </dgm:pt>
    <dgm:pt modelId="{A07F0B10-1172-4DA6-A189-AE7F32936E8F}" type="pres">
      <dgm:prSet presAssocID="{977ED627-47E6-4A3D-B6DD-60937E15F66C}" presName="sp" presStyleCnt="0"/>
      <dgm:spPr/>
      <dgm:t>
        <a:bodyPr/>
        <a:lstStyle/>
        <a:p>
          <a:endParaRPr lang="en-AU"/>
        </a:p>
      </dgm:t>
    </dgm:pt>
    <dgm:pt modelId="{0F1513B9-D83C-4927-9E52-35C8C3516930}" type="pres">
      <dgm:prSet presAssocID="{C46829A4-CBEA-434B-AFFA-A763D4F31F9F}" presName="arrowAndChildren" presStyleCnt="0"/>
      <dgm:spPr/>
      <dgm:t>
        <a:bodyPr/>
        <a:lstStyle/>
        <a:p>
          <a:endParaRPr lang="en-AU"/>
        </a:p>
      </dgm:t>
    </dgm:pt>
    <dgm:pt modelId="{5454B07C-516E-4134-9667-2DD9F64A5A54}" type="pres">
      <dgm:prSet presAssocID="{C46829A4-CBEA-434B-AFFA-A763D4F31F9F}" presName="parentTextArrow" presStyleLbl="node1" presStyleIdx="1" presStyleCnt="6"/>
      <dgm:spPr>
        <a:prstGeom prst="upArrowCallout">
          <a:avLst/>
        </a:prstGeom>
      </dgm:spPr>
      <dgm:t>
        <a:bodyPr/>
        <a:lstStyle/>
        <a:p>
          <a:endParaRPr lang="en-AU"/>
        </a:p>
      </dgm:t>
    </dgm:pt>
    <dgm:pt modelId="{B3D0E7D6-AE40-4251-92C1-275854055565}" type="pres">
      <dgm:prSet presAssocID="{3D8C6DCE-562A-4C6E-9B93-17E69BE7CF38}" presName="sp" presStyleCnt="0"/>
      <dgm:spPr/>
      <dgm:t>
        <a:bodyPr/>
        <a:lstStyle/>
        <a:p>
          <a:endParaRPr lang="en-AU"/>
        </a:p>
      </dgm:t>
    </dgm:pt>
    <dgm:pt modelId="{714C5785-9474-49A7-A73F-807127D89BCA}" type="pres">
      <dgm:prSet presAssocID="{1F9AEA4B-1889-4916-A8C4-02A7B409F8FD}" presName="arrowAndChildren" presStyleCnt="0"/>
      <dgm:spPr/>
      <dgm:t>
        <a:bodyPr/>
        <a:lstStyle/>
        <a:p>
          <a:endParaRPr lang="en-AU"/>
        </a:p>
      </dgm:t>
    </dgm:pt>
    <dgm:pt modelId="{D15D1D6F-7DCD-4AE5-B149-7785CC2469B6}" type="pres">
      <dgm:prSet presAssocID="{1F9AEA4B-1889-4916-A8C4-02A7B409F8FD}" presName="parentTextArrow" presStyleLbl="node1" presStyleIdx="2" presStyleCnt="6"/>
      <dgm:spPr>
        <a:prstGeom prst="upArrowCallout">
          <a:avLst/>
        </a:prstGeom>
      </dgm:spPr>
      <dgm:t>
        <a:bodyPr/>
        <a:lstStyle/>
        <a:p>
          <a:endParaRPr lang="en-AU"/>
        </a:p>
      </dgm:t>
    </dgm:pt>
    <dgm:pt modelId="{8A400F16-7CF3-4994-BFA9-EFC77DA1DC2A}" type="pres">
      <dgm:prSet presAssocID="{C4803D4A-E5FF-426D-9F2D-160DD91B3613}" presName="sp" presStyleCnt="0"/>
      <dgm:spPr/>
      <dgm:t>
        <a:bodyPr/>
        <a:lstStyle/>
        <a:p>
          <a:endParaRPr lang="en-AU"/>
        </a:p>
      </dgm:t>
    </dgm:pt>
    <dgm:pt modelId="{6B3250BC-549E-434B-8809-7435ACEF18C0}" type="pres">
      <dgm:prSet presAssocID="{0E807F0E-DCCE-4C5B-A50E-80BE0EADF331}" presName="arrowAndChildren" presStyleCnt="0"/>
      <dgm:spPr/>
      <dgm:t>
        <a:bodyPr/>
        <a:lstStyle/>
        <a:p>
          <a:endParaRPr lang="en-AU"/>
        </a:p>
      </dgm:t>
    </dgm:pt>
    <dgm:pt modelId="{7706543F-BD42-48EB-9BC6-91648880A2B7}" type="pres">
      <dgm:prSet presAssocID="{0E807F0E-DCCE-4C5B-A50E-80BE0EADF331}" presName="parentTextArrow" presStyleLbl="node1" presStyleIdx="3" presStyleCnt="6"/>
      <dgm:spPr>
        <a:prstGeom prst="upArrowCallout">
          <a:avLst/>
        </a:prstGeom>
      </dgm:spPr>
      <dgm:t>
        <a:bodyPr/>
        <a:lstStyle/>
        <a:p>
          <a:endParaRPr lang="en-AU"/>
        </a:p>
      </dgm:t>
    </dgm:pt>
    <dgm:pt modelId="{8CFCB65B-3915-4013-A96F-429D6794E64C}" type="pres">
      <dgm:prSet presAssocID="{54CDA9FB-18EA-4AA4-896E-AD575A113BCF}" presName="sp" presStyleCnt="0"/>
      <dgm:spPr/>
      <dgm:t>
        <a:bodyPr/>
        <a:lstStyle/>
        <a:p>
          <a:endParaRPr lang="en-AU"/>
        </a:p>
      </dgm:t>
    </dgm:pt>
    <dgm:pt modelId="{6C011B82-E905-4451-9B10-D18306875232}" type="pres">
      <dgm:prSet presAssocID="{AC473FD4-F2AF-45C9-A4B1-550F9CB6BB91}" presName="arrowAndChildren" presStyleCnt="0"/>
      <dgm:spPr/>
      <dgm:t>
        <a:bodyPr/>
        <a:lstStyle/>
        <a:p>
          <a:endParaRPr lang="en-AU"/>
        </a:p>
      </dgm:t>
    </dgm:pt>
    <dgm:pt modelId="{02266745-C7A2-4A75-B615-37EF6AD1DF72}" type="pres">
      <dgm:prSet presAssocID="{AC473FD4-F2AF-45C9-A4B1-550F9CB6BB91}" presName="parentTextArrow" presStyleLbl="node1" presStyleIdx="4" presStyleCnt="6" custScaleY="110296"/>
      <dgm:spPr>
        <a:prstGeom prst="upArrowCallout">
          <a:avLst/>
        </a:prstGeom>
      </dgm:spPr>
      <dgm:t>
        <a:bodyPr/>
        <a:lstStyle/>
        <a:p>
          <a:endParaRPr lang="en-AU"/>
        </a:p>
      </dgm:t>
    </dgm:pt>
    <dgm:pt modelId="{739FF07F-9438-4C1C-ABA5-1BBDD1414B3F}" type="pres">
      <dgm:prSet presAssocID="{184D268C-C8A6-4CB8-8996-1382A65562B7}" presName="sp" presStyleCnt="0"/>
      <dgm:spPr/>
      <dgm:t>
        <a:bodyPr/>
        <a:lstStyle/>
        <a:p>
          <a:endParaRPr lang="en-AU"/>
        </a:p>
      </dgm:t>
    </dgm:pt>
    <dgm:pt modelId="{B50945C0-8D1A-4679-A5CE-B82540D7EBEC}" type="pres">
      <dgm:prSet presAssocID="{9C47A6F4-2D2D-401E-8E8C-257F4F60A451}" presName="arrowAndChildren" presStyleCnt="0"/>
      <dgm:spPr/>
      <dgm:t>
        <a:bodyPr/>
        <a:lstStyle/>
        <a:p>
          <a:endParaRPr lang="en-AU"/>
        </a:p>
      </dgm:t>
    </dgm:pt>
    <dgm:pt modelId="{B4C9A1EC-3D30-4803-9C07-A599DAFC6514}" type="pres">
      <dgm:prSet presAssocID="{9C47A6F4-2D2D-401E-8E8C-257F4F60A451}" presName="parentTextArrow" presStyleLbl="node1" presStyleIdx="5" presStyleCnt="6"/>
      <dgm:spPr>
        <a:prstGeom prst="upArrowCallout">
          <a:avLst/>
        </a:prstGeom>
      </dgm:spPr>
      <dgm:t>
        <a:bodyPr/>
        <a:lstStyle/>
        <a:p>
          <a:endParaRPr lang="en-AU"/>
        </a:p>
      </dgm:t>
    </dgm:pt>
  </dgm:ptLst>
  <dgm:cxnLst>
    <dgm:cxn modelId="{9E049C38-11C6-4C21-935B-6673DC446529}" srcId="{0CD3B7BF-2FEE-4CCC-B56C-756F5811693B}" destId="{9C47A6F4-2D2D-401E-8E8C-257F4F60A451}" srcOrd="0" destOrd="0" parTransId="{FE7AE3C6-CE1F-44D6-B9C8-9CCC9162FA7B}" sibTransId="{184D268C-C8A6-4CB8-8996-1382A65562B7}"/>
    <dgm:cxn modelId="{24A79486-4162-4001-AC83-633216E4FC5B}" type="presOf" srcId="{0CD3B7BF-2FEE-4CCC-B56C-756F5811693B}" destId="{BB4B5562-5C0F-4F0A-8534-0727E9C644AA}" srcOrd="0" destOrd="0" presId="urn:microsoft.com/office/officeart/2005/8/layout/process4"/>
    <dgm:cxn modelId="{70EC28A9-78B5-4E6A-86F1-84BE29807549}" type="presOf" srcId="{9C47A6F4-2D2D-401E-8E8C-257F4F60A451}" destId="{B4C9A1EC-3D30-4803-9C07-A599DAFC6514}" srcOrd="0" destOrd="0" presId="urn:microsoft.com/office/officeart/2005/8/layout/process4"/>
    <dgm:cxn modelId="{8218644E-50A9-4513-B75B-8AA832797482}" srcId="{0CD3B7BF-2FEE-4CCC-B56C-756F5811693B}" destId="{AD28C4B6-4B44-4864-9589-03EDCF6F1FFE}" srcOrd="5" destOrd="0" parTransId="{944373D4-736F-42F2-801D-FD9C4BADBEB5}" sibTransId="{75284E6C-E3C7-4DA6-807B-FB54B76983BC}"/>
    <dgm:cxn modelId="{E3A3FD04-4CC9-4810-8AF0-BD2E67757EF0}" type="presOf" srcId="{AC473FD4-F2AF-45C9-A4B1-550F9CB6BB91}" destId="{02266745-C7A2-4A75-B615-37EF6AD1DF72}" srcOrd="0" destOrd="0" presId="urn:microsoft.com/office/officeart/2005/8/layout/process4"/>
    <dgm:cxn modelId="{EB4F8EE3-F53C-424B-9C2F-EEAF71DA0D20}" srcId="{0CD3B7BF-2FEE-4CCC-B56C-756F5811693B}" destId="{C46829A4-CBEA-434B-AFFA-A763D4F31F9F}" srcOrd="4" destOrd="0" parTransId="{60FF9687-DAC1-4E7A-A4E0-2B0412E31E73}" sibTransId="{977ED627-47E6-4A3D-B6DD-60937E15F66C}"/>
    <dgm:cxn modelId="{4C548E40-AD77-45A3-AE78-C56DA018AF5C}" srcId="{0CD3B7BF-2FEE-4CCC-B56C-756F5811693B}" destId="{AC473FD4-F2AF-45C9-A4B1-550F9CB6BB91}" srcOrd="1" destOrd="0" parTransId="{DA60D50A-1DF4-4440-9483-25B372B27DA5}" sibTransId="{54CDA9FB-18EA-4AA4-896E-AD575A113BCF}"/>
    <dgm:cxn modelId="{923AC015-ECC9-47E2-88D7-E9A923E5BEE8}" srcId="{0CD3B7BF-2FEE-4CCC-B56C-756F5811693B}" destId="{0E807F0E-DCCE-4C5B-A50E-80BE0EADF331}" srcOrd="2" destOrd="0" parTransId="{9E7BA093-3131-4FE5-AAE8-D69EEC781F25}" sibTransId="{C4803D4A-E5FF-426D-9F2D-160DD91B3613}"/>
    <dgm:cxn modelId="{1139D23F-7346-4804-9CC6-AD546B1FC14D}" type="presOf" srcId="{1F9AEA4B-1889-4916-A8C4-02A7B409F8FD}" destId="{D15D1D6F-7DCD-4AE5-B149-7785CC2469B6}" srcOrd="0" destOrd="0" presId="urn:microsoft.com/office/officeart/2005/8/layout/process4"/>
    <dgm:cxn modelId="{72F980FB-76C1-46E7-9D1B-00725424AD3F}" type="presOf" srcId="{C46829A4-CBEA-434B-AFFA-A763D4F31F9F}" destId="{5454B07C-516E-4134-9667-2DD9F64A5A54}" srcOrd="0" destOrd="0" presId="urn:microsoft.com/office/officeart/2005/8/layout/process4"/>
    <dgm:cxn modelId="{045F34B3-578B-4299-8BF4-DD9E96E13179}" type="presOf" srcId="{AD28C4B6-4B44-4864-9589-03EDCF6F1FFE}" destId="{A7D909A5-61D3-4FAC-9E1B-94BAFFE149C8}" srcOrd="0" destOrd="0" presId="urn:microsoft.com/office/officeart/2005/8/layout/process4"/>
    <dgm:cxn modelId="{CBA5B77B-764F-452A-A252-D3F6E17B3F20}" type="presOf" srcId="{0E807F0E-DCCE-4C5B-A50E-80BE0EADF331}" destId="{7706543F-BD42-48EB-9BC6-91648880A2B7}" srcOrd="0" destOrd="0" presId="urn:microsoft.com/office/officeart/2005/8/layout/process4"/>
    <dgm:cxn modelId="{C466E166-BD13-4EFA-8404-9D79D22C8B75}" srcId="{0CD3B7BF-2FEE-4CCC-B56C-756F5811693B}" destId="{1F9AEA4B-1889-4916-A8C4-02A7B409F8FD}" srcOrd="3" destOrd="0" parTransId="{1347B298-2B45-454A-9F87-C529E24A0862}" sibTransId="{3D8C6DCE-562A-4C6E-9B93-17E69BE7CF38}"/>
    <dgm:cxn modelId="{667E69DA-DCC7-4E1A-859A-E586863EB764}" type="presParOf" srcId="{BB4B5562-5C0F-4F0A-8534-0727E9C644AA}" destId="{DD5D9977-7E4F-472F-8460-168066ABE07B}" srcOrd="0" destOrd="0" presId="urn:microsoft.com/office/officeart/2005/8/layout/process4"/>
    <dgm:cxn modelId="{EFD7D9AB-FE2A-4FCB-B49E-277A28587991}" type="presParOf" srcId="{DD5D9977-7E4F-472F-8460-168066ABE07B}" destId="{A7D909A5-61D3-4FAC-9E1B-94BAFFE149C8}" srcOrd="0" destOrd="0" presId="urn:microsoft.com/office/officeart/2005/8/layout/process4"/>
    <dgm:cxn modelId="{4A81E4C6-EF52-47D1-A32D-E623089B3310}" type="presParOf" srcId="{BB4B5562-5C0F-4F0A-8534-0727E9C644AA}" destId="{A07F0B10-1172-4DA6-A189-AE7F32936E8F}" srcOrd="1" destOrd="0" presId="urn:microsoft.com/office/officeart/2005/8/layout/process4"/>
    <dgm:cxn modelId="{9264BC00-EF2B-4DEB-83C1-5BFEBAA9366E}" type="presParOf" srcId="{BB4B5562-5C0F-4F0A-8534-0727E9C644AA}" destId="{0F1513B9-D83C-4927-9E52-35C8C3516930}" srcOrd="2" destOrd="0" presId="urn:microsoft.com/office/officeart/2005/8/layout/process4"/>
    <dgm:cxn modelId="{FC87CB15-A130-418D-A7CA-412E8AA23355}" type="presParOf" srcId="{0F1513B9-D83C-4927-9E52-35C8C3516930}" destId="{5454B07C-516E-4134-9667-2DD9F64A5A54}" srcOrd="0" destOrd="0" presId="urn:microsoft.com/office/officeart/2005/8/layout/process4"/>
    <dgm:cxn modelId="{323E9575-9BF3-497E-9D78-3D9AEFA6E50B}" type="presParOf" srcId="{BB4B5562-5C0F-4F0A-8534-0727E9C644AA}" destId="{B3D0E7D6-AE40-4251-92C1-275854055565}" srcOrd="3" destOrd="0" presId="urn:microsoft.com/office/officeart/2005/8/layout/process4"/>
    <dgm:cxn modelId="{899C66BD-2F3E-4345-96ED-BC58E1E31F28}" type="presParOf" srcId="{BB4B5562-5C0F-4F0A-8534-0727E9C644AA}" destId="{714C5785-9474-49A7-A73F-807127D89BCA}" srcOrd="4" destOrd="0" presId="urn:microsoft.com/office/officeart/2005/8/layout/process4"/>
    <dgm:cxn modelId="{EE255009-B6A1-4605-9AC0-1E3C95A23444}" type="presParOf" srcId="{714C5785-9474-49A7-A73F-807127D89BCA}" destId="{D15D1D6F-7DCD-4AE5-B149-7785CC2469B6}" srcOrd="0" destOrd="0" presId="urn:microsoft.com/office/officeart/2005/8/layout/process4"/>
    <dgm:cxn modelId="{6FEEEA61-BEB2-466E-B428-D0EE3BAE4A5A}" type="presParOf" srcId="{BB4B5562-5C0F-4F0A-8534-0727E9C644AA}" destId="{8A400F16-7CF3-4994-BFA9-EFC77DA1DC2A}" srcOrd="5" destOrd="0" presId="urn:microsoft.com/office/officeart/2005/8/layout/process4"/>
    <dgm:cxn modelId="{F3E7BB29-9622-4CA5-BBAC-B374BD312B7E}" type="presParOf" srcId="{BB4B5562-5C0F-4F0A-8534-0727E9C644AA}" destId="{6B3250BC-549E-434B-8809-7435ACEF18C0}" srcOrd="6" destOrd="0" presId="urn:microsoft.com/office/officeart/2005/8/layout/process4"/>
    <dgm:cxn modelId="{6D96ACAF-7577-4C30-B48C-1224FD09A51E}" type="presParOf" srcId="{6B3250BC-549E-434B-8809-7435ACEF18C0}" destId="{7706543F-BD42-48EB-9BC6-91648880A2B7}" srcOrd="0" destOrd="0" presId="urn:microsoft.com/office/officeart/2005/8/layout/process4"/>
    <dgm:cxn modelId="{3B5DCEA7-D126-403A-B13F-C4D54B328BDD}" type="presParOf" srcId="{BB4B5562-5C0F-4F0A-8534-0727E9C644AA}" destId="{8CFCB65B-3915-4013-A96F-429D6794E64C}" srcOrd="7" destOrd="0" presId="urn:microsoft.com/office/officeart/2005/8/layout/process4"/>
    <dgm:cxn modelId="{813FF505-AAB3-4F08-B5D3-5EBDBE31EABF}" type="presParOf" srcId="{BB4B5562-5C0F-4F0A-8534-0727E9C644AA}" destId="{6C011B82-E905-4451-9B10-D18306875232}" srcOrd="8" destOrd="0" presId="urn:microsoft.com/office/officeart/2005/8/layout/process4"/>
    <dgm:cxn modelId="{12A45120-893F-41CE-80DC-4D5C495D85B4}" type="presParOf" srcId="{6C011B82-E905-4451-9B10-D18306875232}" destId="{02266745-C7A2-4A75-B615-37EF6AD1DF72}" srcOrd="0" destOrd="0" presId="urn:microsoft.com/office/officeart/2005/8/layout/process4"/>
    <dgm:cxn modelId="{9871038E-2A42-4652-81C1-1C231789D8F1}" type="presParOf" srcId="{BB4B5562-5C0F-4F0A-8534-0727E9C644AA}" destId="{739FF07F-9438-4C1C-ABA5-1BBDD1414B3F}" srcOrd="9" destOrd="0" presId="urn:microsoft.com/office/officeart/2005/8/layout/process4"/>
    <dgm:cxn modelId="{E05EF1AE-AB7F-4941-9B93-4A8A08AAAE52}" type="presParOf" srcId="{BB4B5562-5C0F-4F0A-8534-0727E9C644AA}" destId="{B50945C0-8D1A-4679-A5CE-B82540D7EBEC}" srcOrd="10" destOrd="0" presId="urn:microsoft.com/office/officeart/2005/8/layout/process4"/>
    <dgm:cxn modelId="{B02F720C-B5E0-433A-90A7-F4F5F285B9FB}" type="presParOf" srcId="{B50945C0-8D1A-4679-A5CE-B82540D7EBEC}" destId="{B4C9A1EC-3D30-4803-9C07-A599DAFC6514}"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dgm:spPr>
        <a:solidFill>
          <a:srgbClr val="0070C0"/>
        </a:solidFill>
        <a:ln w="3175">
          <a:solidFill>
            <a:srgbClr val="0070C0"/>
          </a:solidFill>
        </a:ln>
      </dgm:spPr>
      <dgm:t>
        <a:bodyPr/>
        <a:lstStyle/>
        <a:p>
          <a:r>
            <a:rPr lang="en-AU">
              <a:solidFill>
                <a:schemeClr val="bg1"/>
              </a:solidFill>
            </a:rPr>
            <a:t>Step 1 - Start with service provider's opex</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dgm:spPr>
        <a:solidFill>
          <a:srgbClr val="0070C0"/>
        </a:solidFill>
        <a:ln w="3175">
          <a:solidFill>
            <a:srgbClr val="0070C0"/>
          </a:solidFill>
        </a:ln>
      </dgm:spPr>
      <dgm:t>
        <a:bodyPr/>
        <a:lstStyle/>
        <a:p>
          <a:r>
            <a:rPr lang="en-AU">
              <a:solidFill>
                <a:schemeClr val="bg1"/>
              </a:solidFill>
            </a:rPr>
            <a:t>Step 2 - Assess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dgm:spPr>
        <a:solidFill>
          <a:schemeClr val="bg1">
            <a:lumMod val="85000"/>
          </a:schemeClr>
        </a:solidFill>
        <a:ln w="3175">
          <a:solidFill>
            <a:schemeClr val="tx2"/>
          </a:solidFill>
        </a:ln>
      </dgm:spPr>
      <dgm:t>
        <a:bodyPr/>
        <a:lstStyle/>
        <a:p>
          <a:r>
            <a:rPr lang="en-AU">
              <a:solidFill>
                <a:schemeClr val="accent5"/>
              </a:solidFill>
            </a:rPr>
            <a:t>Step 3 - Add a rate of change to base opex</a:t>
          </a:r>
          <a:r>
            <a:rPr lang="en-AU"/>
            <a:t> </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dgm:spPr>
        <a:solidFill>
          <a:schemeClr val="bg1">
            <a:lumMod val="85000"/>
          </a:schemeClr>
        </a:solidFill>
        <a:ln w="3175">
          <a:solidFill>
            <a:schemeClr val="tx2"/>
          </a:solidFill>
        </a:ln>
      </dgm:spPr>
      <dgm:t>
        <a:bodyPr/>
        <a:lstStyle/>
        <a:p>
          <a:r>
            <a:rPr lang="en-AU">
              <a:solidFill>
                <a:schemeClr val="accent5"/>
              </a:solidFill>
            </a:rPr>
            <a:t>Step 4 - Add or subtract any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dgm:spPr>
        <a:solidFill>
          <a:schemeClr val="bg1">
            <a:lumMod val="85000"/>
          </a:schemeClr>
        </a:solidFill>
        <a:ln w="3175">
          <a:solidFill>
            <a:schemeClr val="tx2"/>
          </a:solidFill>
        </a:ln>
      </dgm:spPr>
      <dgm:t>
        <a:bodyPr/>
        <a:lstStyle/>
        <a:p>
          <a:r>
            <a:rPr lang="en-AU">
              <a:solidFill>
                <a:schemeClr val="accent5"/>
              </a:solidFill>
            </a:rPr>
            <a:t>Step 5 - Other opex</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B946DEBE-5251-4688-B223-6D040D4455D7}">
      <dgm:prSet/>
      <dgm:spPr>
        <a:solidFill>
          <a:schemeClr val="bg1">
            <a:lumMod val="85000"/>
          </a:schemeClr>
        </a:solidFill>
        <a:ln w="3175">
          <a:solidFill>
            <a:schemeClr val="tx2"/>
          </a:solidFill>
        </a:ln>
      </dgm:spPr>
      <dgm:t>
        <a:bodyPr/>
        <a:lstStyle/>
        <a:p>
          <a:r>
            <a:rPr lang="en-AU">
              <a:solidFill>
                <a:schemeClr val="accent5"/>
              </a:solidFill>
            </a:rPr>
            <a:t>Step 6 - Compare our forecast to service provider's forecast</a:t>
          </a:r>
        </a:p>
      </dgm:t>
    </dgm:pt>
    <dgm:pt modelId="{9D45242B-A264-48E6-9CE8-69CC9FB3BF77}" type="parTrans" cxnId="{A9CBC89B-5C08-43EE-AEC6-A529E305C9B6}">
      <dgm:prSet/>
      <dgm:spPr/>
    </dgm:pt>
    <dgm:pt modelId="{B99B6403-14EE-42D2-A87B-B2A72E564218}" type="sibTrans" cxnId="{A9CBC89B-5C08-43EE-AEC6-A529E305C9B6}">
      <dgm:prSet/>
      <dgm:spPr/>
    </dgm:pt>
    <dgm:pt modelId="{68EF61B4-E18C-46F4-AF82-FDC885E34D56}" type="pres">
      <dgm:prSet presAssocID="{0CD3B7BF-2FEE-4CCC-B56C-756F5811693B}" presName="linearFlow" presStyleCnt="0">
        <dgm:presLayoutVars>
          <dgm:resizeHandles val="exact"/>
        </dgm:presLayoutVars>
      </dgm:prSet>
      <dgm:spPr/>
      <dgm:t>
        <a:bodyPr/>
        <a:lstStyle/>
        <a:p>
          <a:endParaRPr lang="en-AU"/>
        </a:p>
      </dgm:t>
    </dgm:pt>
    <dgm:pt modelId="{07D09216-A68C-4690-93C6-574B0EC4E5A5}" type="pres">
      <dgm:prSet presAssocID="{9C47A6F4-2D2D-401E-8E8C-257F4F60A451}" presName="node" presStyleLbl="node1" presStyleIdx="0" presStyleCnt="6">
        <dgm:presLayoutVars>
          <dgm:bulletEnabled val="1"/>
        </dgm:presLayoutVars>
      </dgm:prSet>
      <dgm:spPr/>
      <dgm:t>
        <a:bodyPr/>
        <a:lstStyle/>
        <a:p>
          <a:endParaRPr lang="en-AU"/>
        </a:p>
      </dgm:t>
    </dgm:pt>
    <dgm:pt modelId="{2893A2D2-2421-4C9C-9D40-F75DE2A1814A}" type="pres">
      <dgm:prSet presAssocID="{184D268C-C8A6-4CB8-8996-1382A65562B7}" presName="sibTrans" presStyleLbl="sibTrans2D1" presStyleIdx="0" presStyleCnt="5"/>
      <dgm:spPr/>
      <dgm:t>
        <a:bodyPr/>
        <a:lstStyle/>
        <a:p>
          <a:endParaRPr lang="en-AU"/>
        </a:p>
      </dgm:t>
    </dgm:pt>
    <dgm:pt modelId="{AB9D7333-EC86-4C83-AD8B-7C2A12AA3105}" type="pres">
      <dgm:prSet presAssocID="{184D268C-C8A6-4CB8-8996-1382A65562B7}" presName="connectorText" presStyleLbl="sibTrans2D1" presStyleIdx="0" presStyleCnt="5"/>
      <dgm:spPr/>
      <dgm:t>
        <a:bodyPr/>
        <a:lstStyle/>
        <a:p>
          <a:endParaRPr lang="en-AU"/>
        </a:p>
      </dgm:t>
    </dgm:pt>
    <dgm:pt modelId="{EA906748-4F49-43E0-BD4C-827F1D39BBA5}" type="pres">
      <dgm:prSet presAssocID="{AC473FD4-F2AF-45C9-A4B1-550F9CB6BB91}" presName="node" presStyleLbl="node1" presStyleIdx="1" presStyleCnt="6">
        <dgm:presLayoutVars>
          <dgm:bulletEnabled val="1"/>
        </dgm:presLayoutVars>
      </dgm:prSet>
      <dgm:spPr/>
      <dgm:t>
        <a:bodyPr/>
        <a:lstStyle/>
        <a:p>
          <a:endParaRPr lang="en-AU"/>
        </a:p>
      </dgm:t>
    </dgm:pt>
    <dgm:pt modelId="{1D95AC65-D756-45A0-89F9-7866FCEE34DB}" type="pres">
      <dgm:prSet presAssocID="{54CDA9FB-18EA-4AA4-896E-AD575A113BCF}" presName="sibTrans" presStyleLbl="sibTrans2D1" presStyleIdx="1" presStyleCnt="5"/>
      <dgm:spPr/>
      <dgm:t>
        <a:bodyPr/>
        <a:lstStyle/>
        <a:p>
          <a:endParaRPr lang="en-AU"/>
        </a:p>
      </dgm:t>
    </dgm:pt>
    <dgm:pt modelId="{11A9F7E1-E3B7-48A6-8A00-FD2EAF2EEE0E}" type="pres">
      <dgm:prSet presAssocID="{54CDA9FB-18EA-4AA4-896E-AD575A113BCF}" presName="connectorText" presStyleLbl="sibTrans2D1" presStyleIdx="1" presStyleCnt="5"/>
      <dgm:spPr/>
      <dgm:t>
        <a:bodyPr/>
        <a:lstStyle/>
        <a:p>
          <a:endParaRPr lang="en-AU"/>
        </a:p>
      </dgm:t>
    </dgm:pt>
    <dgm:pt modelId="{C5B8304F-D0AF-4175-A300-7ED9EA9557D4}" type="pres">
      <dgm:prSet presAssocID="{0E807F0E-DCCE-4C5B-A50E-80BE0EADF331}" presName="node" presStyleLbl="node1" presStyleIdx="2" presStyleCnt="6">
        <dgm:presLayoutVars>
          <dgm:bulletEnabled val="1"/>
        </dgm:presLayoutVars>
      </dgm:prSet>
      <dgm:spPr/>
      <dgm:t>
        <a:bodyPr/>
        <a:lstStyle/>
        <a:p>
          <a:endParaRPr lang="en-AU"/>
        </a:p>
      </dgm:t>
    </dgm:pt>
    <dgm:pt modelId="{88BBFE6E-FFC3-4719-98ED-6020EC4041FD}" type="pres">
      <dgm:prSet presAssocID="{C4803D4A-E5FF-426D-9F2D-160DD91B3613}" presName="sibTrans" presStyleLbl="sibTrans2D1" presStyleIdx="2" presStyleCnt="5"/>
      <dgm:spPr/>
      <dgm:t>
        <a:bodyPr/>
        <a:lstStyle/>
        <a:p>
          <a:endParaRPr lang="en-AU"/>
        </a:p>
      </dgm:t>
    </dgm:pt>
    <dgm:pt modelId="{855AC762-512D-4B4A-B2E3-57CFE9CE4C9B}" type="pres">
      <dgm:prSet presAssocID="{C4803D4A-E5FF-426D-9F2D-160DD91B3613}" presName="connectorText" presStyleLbl="sibTrans2D1" presStyleIdx="2" presStyleCnt="5"/>
      <dgm:spPr/>
      <dgm:t>
        <a:bodyPr/>
        <a:lstStyle/>
        <a:p>
          <a:endParaRPr lang="en-AU"/>
        </a:p>
      </dgm:t>
    </dgm:pt>
    <dgm:pt modelId="{177713EB-06DB-4865-A1C8-B262EDC2C69A}" type="pres">
      <dgm:prSet presAssocID="{1F9AEA4B-1889-4916-A8C4-02A7B409F8FD}" presName="node" presStyleLbl="node1" presStyleIdx="3" presStyleCnt="6" custScaleY="95833">
        <dgm:presLayoutVars>
          <dgm:bulletEnabled val="1"/>
        </dgm:presLayoutVars>
      </dgm:prSet>
      <dgm:spPr/>
      <dgm:t>
        <a:bodyPr/>
        <a:lstStyle/>
        <a:p>
          <a:endParaRPr lang="en-AU"/>
        </a:p>
      </dgm:t>
    </dgm:pt>
    <dgm:pt modelId="{088B141C-E6DA-47FF-9657-BCAD1158F602}" type="pres">
      <dgm:prSet presAssocID="{3D8C6DCE-562A-4C6E-9B93-17E69BE7CF38}" presName="sibTrans" presStyleLbl="sibTrans2D1" presStyleIdx="3" presStyleCnt="5"/>
      <dgm:spPr/>
      <dgm:t>
        <a:bodyPr/>
        <a:lstStyle/>
        <a:p>
          <a:endParaRPr lang="en-AU"/>
        </a:p>
      </dgm:t>
    </dgm:pt>
    <dgm:pt modelId="{7E284E55-E739-41E4-9C89-E199228AB900}" type="pres">
      <dgm:prSet presAssocID="{3D8C6DCE-562A-4C6E-9B93-17E69BE7CF38}" presName="connectorText" presStyleLbl="sibTrans2D1" presStyleIdx="3" presStyleCnt="5"/>
      <dgm:spPr/>
      <dgm:t>
        <a:bodyPr/>
        <a:lstStyle/>
        <a:p>
          <a:endParaRPr lang="en-AU"/>
        </a:p>
      </dgm:t>
    </dgm:pt>
    <dgm:pt modelId="{4562305E-195C-4728-BF67-9CC29B23C7DB}" type="pres">
      <dgm:prSet presAssocID="{C46829A4-CBEA-434B-AFFA-A763D4F31F9F}" presName="node" presStyleLbl="node1" presStyleIdx="4" presStyleCnt="6" custScaleY="102216">
        <dgm:presLayoutVars>
          <dgm:bulletEnabled val="1"/>
        </dgm:presLayoutVars>
      </dgm:prSet>
      <dgm:spPr/>
      <dgm:t>
        <a:bodyPr/>
        <a:lstStyle/>
        <a:p>
          <a:endParaRPr lang="en-AU"/>
        </a:p>
      </dgm:t>
    </dgm:pt>
    <dgm:pt modelId="{60691C4A-AF77-407F-905D-93513C867409}" type="pres">
      <dgm:prSet presAssocID="{977ED627-47E6-4A3D-B6DD-60937E15F66C}" presName="sibTrans" presStyleLbl="sibTrans2D1" presStyleIdx="4" presStyleCnt="5"/>
      <dgm:spPr/>
      <dgm:t>
        <a:bodyPr/>
        <a:lstStyle/>
        <a:p>
          <a:endParaRPr lang="en-AU"/>
        </a:p>
      </dgm:t>
    </dgm:pt>
    <dgm:pt modelId="{39499B18-4686-4268-A8DF-5BB9E38B87E7}" type="pres">
      <dgm:prSet presAssocID="{977ED627-47E6-4A3D-B6DD-60937E15F66C}" presName="connectorText" presStyleLbl="sibTrans2D1" presStyleIdx="4" presStyleCnt="5"/>
      <dgm:spPr/>
      <dgm:t>
        <a:bodyPr/>
        <a:lstStyle/>
        <a:p>
          <a:endParaRPr lang="en-AU"/>
        </a:p>
      </dgm:t>
    </dgm:pt>
    <dgm:pt modelId="{34F96972-70C8-4B9C-B81A-973D9F10ADAC}" type="pres">
      <dgm:prSet presAssocID="{B946DEBE-5251-4688-B223-6D040D4455D7}" presName="node" presStyleLbl="node1" presStyleIdx="5" presStyleCnt="6">
        <dgm:presLayoutVars>
          <dgm:bulletEnabled val="1"/>
        </dgm:presLayoutVars>
      </dgm:prSet>
      <dgm:spPr/>
      <dgm:t>
        <a:bodyPr/>
        <a:lstStyle/>
        <a:p>
          <a:endParaRPr lang="en-AU"/>
        </a:p>
      </dgm:t>
    </dgm:pt>
  </dgm:ptLst>
  <dgm:cxnLst>
    <dgm:cxn modelId="{B524D634-3117-44C9-8447-D4DAC386211E}" type="presOf" srcId="{3D8C6DCE-562A-4C6E-9B93-17E69BE7CF38}" destId="{088B141C-E6DA-47FF-9657-BCAD1158F602}" srcOrd="0" destOrd="0" presId="urn:microsoft.com/office/officeart/2005/8/layout/process2"/>
    <dgm:cxn modelId="{6F83924E-98AE-439B-8026-ADE00FBAC800}" type="presOf" srcId="{54CDA9FB-18EA-4AA4-896E-AD575A113BCF}" destId="{11A9F7E1-E3B7-48A6-8A00-FD2EAF2EEE0E}" srcOrd="1" destOrd="0" presId="urn:microsoft.com/office/officeart/2005/8/layout/process2"/>
    <dgm:cxn modelId="{4C548E40-AD77-45A3-AE78-C56DA018AF5C}" srcId="{0CD3B7BF-2FEE-4CCC-B56C-756F5811693B}" destId="{AC473FD4-F2AF-45C9-A4B1-550F9CB6BB91}" srcOrd="1" destOrd="0" parTransId="{DA60D50A-1DF4-4440-9483-25B372B27DA5}" sibTransId="{54CDA9FB-18EA-4AA4-896E-AD575A113BCF}"/>
    <dgm:cxn modelId="{CCA997ED-5C3B-4F93-9996-E1D239F91CBF}" type="presOf" srcId="{184D268C-C8A6-4CB8-8996-1382A65562B7}" destId="{AB9D7333-EC86-4C83-AD8B-7C2A12AA3105}" srcOrd="1" destOrd="0" presId="urn:microsoft.com/office/officeart/2005/8/layout/process2"/>
    <dgm:cxn modelId="{3BD2C07E-0734-4631-A380-B8D4946EDC7D}" type="presOf" srcId="{C4803D4A-E5FF-426D-9F2D-160DD91B3613}" destId="{855AC762-512D-4B4A-B2E3-57CFE9CE4C9B}" srcOrd="1" destOrd="0" presId="urn:microsoft.com/office/officeart/2005/8/layout/process2"/>
    <dgm:cxn modelId="{743E547A-5729-42A0-9E0C-EA291082C6FD}" type="presOf" srcId="{C4803D4A-E5FF-426D-9F2D-160DD91B3613}" destId="{88BBFE6E-FFC3-4719-98ED-6020EC4041FD}" srcOrd="0" destOrd="0" presId="urn:microsoft.com/office/officeart/2005/8/layout/process2"/>
    <dgm:cxn modelId="{923AC015-ECC9-47E2-88D7-E9A923E5BEE8}" srcId="{0CD3B7BF-2FEE-4CCC-B56C-756F5811693B}" destId="{0E807F0E-DCCE-4C5B-A50E-80BE0EADF331}" srcOrd="2" destOrd="0" parTransId="{9E7BA093-3131-4FE5-AAE8-D69EEC781F25}" sibTransId="{C4803D4A-E5FF-426D-9F2D-160DD91B3613}"/>
    <dgm:cxn modelId="{384ED1FF-2438-42EE-B6C1-1A8B8370F55D}" type="presOf" srcId="{C46829A4-CBEA-434B-AFFA-A763D4F31F9F}" destId="{4562305E-195C-4728-BF67-9CC29B23C7DB}" srcOrd="0" destOrd="0" presId="urn:microsoft.com/office/officeart/2005/8/layout/process2"/>
    <dgm:cxn modelId="{F23F3946-1AC2-4DC4-9890-F4039FEC6B39}" type="presOf" srcId="{3D8C6DCE-562A-4C6E-9B93-17E69BE7CF38}" destId="{7E284E55-E739-41E4-9C89-E199228AB900}" srcOrd="1" destOrd="0" presId="urn:microsoft.com/office/officeart/2005/8/layout/process2"/>
    <dgm:cxn modelId="{48D9A714-5CB9-4569-BD3C-3486C627F034}" type="presOf" srcId="{AC473FD4-F2AF-45C9-A4B1-550F9CB6BB91}" destId="{EA906748-4F49-43E0-BD4C-827F1D39BBA5}" srcOrd="0" destOrd="0" presId="urn:microsoft.com/office/officeart/2005/8/layout/process2"/>
    <dgm:cxn modelId="{57018F5D-AC44-4990-82ED-BF33D352AF0D}" type="presOf" srcId="{B946DEBE-5251-4688-B223-6D040D4455D7}" destId="{34F96972-70C8-4B9C-B81A-973D9F10ADAC}" srcOrd="0" destOrd="0" presId="urn:microsoft.com/office/officeart/2005/8/layout/process2"/>
    <dgm:cxn modelId="{6D0BC25D-D7B1-4F14-B9AC-FDDD36F5F569}" type="presOf" srcId="{1F9AEA4B-1889-4916-A8C4-02A7B409F8FD}" destId="{177713EB-06DB-4865-A1C8-B262EDC2C69A}" srcOrd="0" destOrd="0" presId="urn:microsoft.com/office/officeart/2005/8/layout/process2"/>
    <dgm:cxn modelId="{B6C3E2D9-BB82-411F-A0A4-D4D9A38E43D4}" type="presOf" srcId="{977ED627-47E6-4A3D-B6DD-60937E15F66C}" destId="{39499B18-4686-4268-A8DF-5BB9E38B87E7}" srcOrd="1" destOrd="0" presId="urn:microsoft.com/office/officeart/2005/8/layout/process2"/>
    <dgm:cxn modelId="{9E049C38-11C6-4C21-935B-6673DC446529}" srcId="{0CD3B7BF-2FEE-4CCC-B56C-756F5811693B}" destId="{9C47A6F4-2D2D-401E-8E8C-257F4F60A451}" srcOrd="0" destOrd="0" parTransId="{FE7AE3C6-CE1F-44D6-B9C8-9CCC9162FA7B}" sibTransId="{184D268C-C8A6-4CB8-8996-1382A65562B7}"/>
    <dgm:cxn modelId="{947DD544-16AD-4978-B576-C690B1172667}" type="presOf" srcId="{184D268C-C8A6-4CB8-8996-1382A65562B7}" destId="{2893A2D2-2421-4C9C-9D40-F75DE2A1814A}" srcOrd="0" destOrd="0" presId="urn:microsoft.com/office/officeart/2005/8/layout/process2"/>
    <dgm:cxn modelId="{171D931A-C8A9-4CAA-8C5E-775F22933D6C}" type="presOf" srcId="{54CDA9FB-18EA-4AA4-896E-AD575A113BCF}" destId="{1D95AC65-D756-45A0-89F9-7866FCEE34DB}" srcOrd="0" destOrd="0" presId="urn:microsoft.com/office/officeart/2005/8/layout/process2"/>
    <dgm:cxn modelId="{A1AFCCE0-8E78-4FFB-858F-28834930CE78}" type="presOf" srcId="{0E807F0E-DCCE-4C5B-A50E-80BE0EADF331}" destId="{C5B8304F-D0AF-4175-A300-7ED9EA9557D4}" srcOrd="0" destOrd="0" presId="urn:microsoft.com/office/officeart/2005/8/layout/process2"/>
    <dgm:cxn modelId="{EB4F8EE3-F53C-424B-9C2F-EEAF71DA0D20}" srcId="{0CD3B7BF-2FEE-4CCC-B56C-756F5811693B}" destId="{C46829A4-CBEA-434B-AFFA-A763D4F31F9F}" srcOrd="4" destOrd="0" parTransId="{60FF9687-DAC1-4E7A-A4E0-2B0412E31E73}" sibTransId="{977ED627-47E6-4A3D-B6DD-60937E15F66C}"/>
    <dgm:cxn modelId="{AC5CA9EE-B19E-4696-B366-A49755E44757}" type="presOf" srcId="{0CD3B7BF-2FEE-4CCC-B56C-756F5811693B}" destId="{68EF61B4-E18C-46F4-AF82-FDC885E34D56}" srcOrd="0" destOrd="0" presId="urn:microsoft.com/office/officeart/2005/8/layout/process2"/>
    <dgm:cxn modelId="{11BC0BD6-93F7-4A9A-BBC4-A1E5CD62BE0A}" type="presOf" srcId="{9C47A6F4-2D2D-401E-8E8C-257F4F60A451}" destId="{07D09216-A68C-4690-93C6-574B0EC4E5A5}" srcOrd="0" destOrd="0" presId="urn:microsoft.com/office/officeart/2005/8/layout/process2"/>
    <dgm:cxn modelId="{A9CBC89B-5C08-43EE-AEC6-A529E305C9B6}" srcId="{0CD3B7BF-2FEE-4CCC-B56C-756F5811693B}" destId="{B946DEBE-5251-4688-B223-6D040D4455D7}" srcOrd="5" destOrd="0" parTransId="{9D45242B-A264-48E6-9CE8-69CC9FB3BF77}" sibTransId="{B99B6403-14EE-42D2-A87B-B2A72E564218}"/>
    <dgm:cxn modelId="{C466E166-BD13-4EFA-8404-9D79D22C8B75}" srcId="{0CD3B7BF-2FEE-4CCC-B56C-756F5811693B}" destId="{1F9AEA4B-1889-4916-A8C4-02A7B409F8FD}" srcOrd="3" destOrd="0" parTransId="{1347B298-2B45-454A-9F87-C529E24A0862}" sibTransId="{3D8C6DCE-562A-4C6E-9B93-17E69BE7CF38}"/>
    <dgm:cxn modelId="{859DED89-E10A-4036-9C5E-B0872D9512C4}" type="presOf" srcId="{977ED627-47E6-4A3D-B6DD-60937E15F66C}" destId="{60691C4A-AF77-407F-905D-93513C867409}" srcOrd="0" destOrd="0" presId="urn:microsoft.com/office/officeart/2005/8/layout/process2"/>
    <dgm:cxn modelId="{49C432DF-85CE-43C4-8668-2A7DDD27F373}" type="presParOf" srcId="{68EF61B4-E18C-46F4-AF82-FDC885E34D56}" destId="{07D09216-A68C-4690-93C6-574B0EC4E5A5}" srcOrd="0" destOrd="0" presId="urn:microsoft.com/office/officeart/2005/8/layout/process2"/>
    <dgm:cxn modelId="{77664BC3-5C8D-42AD-B109-DEC97A53490A}" type="presParOf" srcId="{68EF61B4-E18C-46F4-AF82-FDC885E34D56}" destId="{2893A2D2-2421-4C9C-9D40-F75DE2A1814A}" srcOrd="1" destOrd="0" presId="urn:microsoft.com/office/officeart/2005/8/layout/process2"/>
    <dgm:cxn modelId="{544D8B3C-E2B9-4950-A824-6CD7F61644FF}" type="presParOf" srcId="{2893A2D2-2421-4C9C-9D40-F75DE2A1814A}" destId="{AB9D7333-EC86-4C83-AD8B-7C2A12AA3105}" srcOrd="0" destOrd="0" presId="urn:microsoft.com/office/officeart/2005/8/layout/process2"/>
    <dgm:cxn modelId="{79E303E4-393E-4478-9CEA-CDB93F174D01}" type="presParOf" srcId="{68EF61B4-E18C-46F4-AF82-FDC885E34D56}" destId="{EA906748-4F49-43E0-BD4C-827F1D39BBA5}" srcOrd="2" destOrd="0" presId="urn:microsoft.com/office/officeart/2005/8/layout/process2"/>
    <dgm:cxn modelId="{33217985-FD11-4BE2-B24D-87286387DCA8}" type="presParOf" srcId="{68EF61B4-E18C-46F4-AF82-FDC885E34D56}" destId="{1D95AC65-D756-45A0-89F9-7866FCEE34DB}" srcOrd="3" destOrd="0" presId="urn:microsoft.com/office/officeart/2005/8/layout/process2"/>
    <dgm:cxn modelId="{1D154B0A-8D2A-4508-8484-9C2AA53554E2}" type="presParOf" srcId="{1D95AC65-D756-45A0-89F9-7866FCEE34DB}" destId="{11A9F7E1-E3B7-48A6-8A00-FD2EAF2EEE0E}" srcOrd="0" destOrd="0" presId="urn:microsoft.com/office/officeart/2005/8/layout/process2"/>
    <dgm:cxn modelId="{B307A717-BFD1-44B9-A2DA-E0B17F0E4624}" type="presParOf" srcId="{68EF61B4-E18C-46F4-AF82-FDC885E34D56}" destId="{C5B8304F-D0AF-4175-A300-7ED9EA9557D4}" srcOrd="4" destOrd="0" presId="urn:microsoft.com/office/officeart/2005/8/layout/process2"/>
    <dgm:cxn modelId="{5A9A6497-4FA7-4D78-A787-6401973F60EA}" type="presParOf" srcId="{68EF61B4-E18C-46F4-AF82-FDC885E34D56}" destId="{88BBFE6E-FFC3-4719-98ED-6020EC4041FD}" srcOrd="5" destOrd="0" presId="urn:microsoft.com/office/officeart/2005/8/layout/process2"/>
    <dgm:cxn modelId="{7ECF44D3-EE5B-4176-A613-A0752E36801D}" type="presParOf" srcId="{88BBFE6E-FFC3-4719-98ED-6020EC4041FD}" destId="{855AC762-512D-4B4A-B2E3-57CFE9CE4C9B}" srcOrd="0" destOrd="0" presId="urn:microsoft.com/office/officeart/2005/8/layout/process2"/>
    <dgm:cxn modelId="{77460963-2CD3-4969-896F-C7D9ABACC4D8}" type="presParOf" srcId="{68EF61B4-E18C-46F4-AF82-FDC885E34D56}" destId="{177713EB-06DB-4865-A1C8-B262EDC2C69A}" srcOrd="6" destOrd="0" presId="urn:microsoft.com/office/officeart/2005/8/layout/process2"/>
    <dgm:cxn modelId="{76A8CFEA-9DAA-4F94-8905-971422CBE1FC}" type="presParOf" srcId="{68EF61B4-E18C-46F4-AF82-FDC885E34D56}" destId="{088B141C-E6DA-47FF-9657-BCAD1158F602}" srcOrd="7" destOrd="0" presId="urn:microsoft.com/office/officeart/2005/8/layout/process2"/>
    <dgm:cxn modelId="{EF9839B7-ADE1-4886-8769-6A1B916DEFF0}" type="presParOf" srcId="{088B141C-E6DA-47FF-9657-BCAD1158F602}" destId="{7E284E55-E739-41E4-9C89-E199228AB900}" srcOrd="0" destOrd="0" presId="urn:microsoft.com/office/officeart/2005/8/layout/process2"/>
    <dgm:cxn modelId="{8202BC1E-ED16-4D3B-8BFA-BB6BF4C49876}" type="presParOf" srcId="{68EF61B4-E18C-46F4-AF82-FDC885E34D56}" destId="{4562305E-195C-4728-BF67-9CC29B23C7DB}" srcOrd="8" destOrd="0" presId="urn:microsoft.com/office/officeart/2005/8/layout/process2"/>
    <dgm:cxn modelId="{6F3D354C-1E46-42DA-BF92-BCD886F6C69B}" type="presParOf" srcId="{68EF61B4-E18C-46F4-AF82-FDC885E34D56}" destId="{60691C4A-AF77-407F-905D-93513C867409}" srcOrd="9" destOrd="0" presId="urn:microsoft.com/office/officeart/2005/8/layout/process2"/>
    <dgm:cxn modelId="{207E8497-829F-40F8-AD48-295AB20897EB}" type="presParOf" srcId="{60691C4A-AF77-407F-905D-93513C867409}" destId="{39499B18-4686-4268-A8DF-5BB9E38B87E7}" srcOrd="0" destOrd="0" presId="urn:microsoft.com/office/officeart/2005/8/layout/process2"/>
    <dgm:cxn modelId="{DCC7A646-EB88-4E28-8E3D-39987C9FF043}" type="presParOf" srcId="{68EF61B4-E18C-46F4-AF82-FDC885E34D56}" destId="{34F96972-70C8-4B9C-B81A-973D9F10ADAC}" srcOrd="10"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D3B7BF-2FEE-4CCC-B56C-756F5811693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2a</a:t>
          </a:r>
        </a:p>
        <a:p>
          <a:r>
            <a:rPr lang="en-AU" sz="900">
              <a:solidFill>
                <a:sysClr val="windowText" lastClr="000000"/>
              </a:solidFill>
            </a:rPr>
            <a:t>Using several sources of evidence, form a view about the efficiency of base opex:</a:t>
          </a:r>
        </a:p>
        <a:p>
          <a:r>
            <a:rPr lang="en-AU" sz="900">
              <a:solidFill>
                <a:sysClr val="windowText" lastClr="000000"/>
              </a:solidFill>
            </a:rPr>
            <a:t>- Economic benchmarking techniques, adjusted for operating environment factors</a:t>
          </a:r>
        </a:p>
        <a:p>
          <a:r>
            <a:rPr lang="en-AU" sz="900">
              <a:solidFill>
                <a:sysClr val="windowText" lastClr="000000"/>
              </a:solidFill>
            </a:rPr>
            <a:t>- Detailed reviews</a:t>
          </a:r>
        </a:p>
        <a:p>
          <a:r>
            <a:rPr lang="en-AU" sz="900">
              <a:solidFill>
                <a:sysClr val="windowText" lastClr="000000"/>
              </a:solidFill>
            </a:rPr>
            <a:t>- Partial performance indicators</a:t>
          </a:r>
        </a:p>
        <a:p>
          <a:r>
            <a:rPr lang="en-AU" sz="900">
              <a:solidFill>
                <a:sysClr val="windowText" lastClr="000000"/>
              </a:solidFill>
            </a:rPr>
            <a:t>- Category analysis</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F8F0A148-A176-46B3-BDEE-847B6E95270B}">
      <dgm:prSet phldrT="[Text]" custT="1"/>
      <dgm:spPr>
        <a:solidFill>
          <a:srgbClr val="0070C0"/>
        </a:solidFill>
        <a:ln w="3175">
          <a:solidFill>
            <a:schemeClr val="tx1"/>
          </a:solidFill>
        </a:ln>
      </dgm:spPr>
      <dgm:t>
        <a:bodyPr/>
        <a:lstStyle/>
        <a:p>
          <a:r>
            <a:rPr lang="en-AU" sz="900">
              <a:solidFill>
                <a:schemeClr val="bg1"/>
              </a:solidFill>
            </a:rPr>
            <a:t>Step 2</a:t>
          </a:r>
          <a:br>
            <a:rPr lang="en-AU" sz="900">
              <a:solidFill>
                <a:schemeClr val="bg1"/>
              </a:solidFill>
            </a:rPr>
          </a:br>
          <a:r>
            <a:rPr lang="en-AU" sz="900">
              <a:solidFill>
                <a:schemeClr val="bg1"/>
              </a:solidFill>
            </a:rPr>
            <a:t>Assess base year opex</a:t>
          </a:r>
        </a:p>
      </dgm:t>
    </dgm:pt>
    <dgm:pt modelId="{5886E0A0-4C18-4CE1-9C4A-A28AD5EC27F7}" type="parTrans" cxnId="{CFB8A4B9-8F68-4DA4-B719-D88BD5F74E03}">
      <dgm:prSet/>
      <dgm:spPr/>
      <dgm:t>
        <a:bodyPr/>
        <a:lstStyle/>
        <a:p>
          <a:endParaRPr lang="en-AU"/>
        </a:p>
      </dgm:t>
    </dgm:pt>
    <dgm:pt modelId="{22104ACA-F144-4F70-BC48-5EA1657D1F66}" type="sibTrans" cxnId="{CFB8A4B9-8F68-4DA4-B719-D88BD5F74E03}">
      <dgm:prSet/>
      <dgm:spPr/>
      <dgm:t>
        <a:bodyPr/>
        <a:lstStyle/>
        <a:p>
          <a:endParaRPr lang="en-AU"/>
        </a:p>
      </dgm:t>
    </dgm:pt>
    <dgm:pt modelId="{B3A5BCCB-3025-46B4-8EA4-D2140A0E399E}">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2b</a:t>
          </a:r>
        </a:p>
        <a:p>
          <a:r>
            <a:rPr lang="en-AU" sz="900">
              <a:solidFill>
                <a:sysClr val="windowText" lastClr="000000"/>
              </a:solidFill>
            </a:rPr>
            <a:t>Determine the appropriate adjustment using the most robust benchmarking technique (SFA) and a benchmark comparison point that reflects 'materially inefficient' rather than the efficient frontier</a:t>
          </a:r>
        </a:p>
      </dgm:t>
    </dgm:pt>
    <dgm:pt modelId="{B5668126-78E2-41B6-94F4-87F7B9F62C88}" type="parTrans" cxnId="{B864BB49-1012-4B49-9CE1-7967818D9806}">
      <dgm:prSet/>
      <dgm:spPr/>
      <dgm:t>
        <a:bodyPr/>
        <a:lstStyle/>
        <a:p>
          <a:endParaRPr lang="en-AU"/>
        </a:p>
      </dgm:t>
    </dgm:pt>
    <dgm:pt modelId="{FC9ABE95-4898-40E4-915F-447B531E734D}" type="sibTrans" cxnId="{B864BB49-1012-4B49-9CE1-7967818D9806}">
      <dgm:prSet/>
      <dgm:spPr/>
      <dgm:t>
        <a:bodyPr/>
        <a:lstStyle/>
        <a:p>
          <a:endParaRPr lang="en-AU"/>
        </a:p>
      </dgm:t>
    </dgm:pt>
    <dgm:pt modelId="{17C24BF3-862B-48E3-AE3A-D397AECFFDD5}" type="pres">
      <dgm:prSet presAssocID="{0CD3B7BF-2FEE-4CCC-B56C-756F5811693B}" presName="diagram" presStyleCnt="0">
        <dgm:presLayoutVars>
          <dgm:dir/>
          <dgm:resizeHandles val="exact"/>
        </dgm:presLayoutVars>
      </dgm:prSet>
      <dgm:spPr/>
      <dgm:t>
        <a:bodyPr/>
        <a:lstStyle/>
        <a:p>
          <a:endParaRPr lang="en-AU"/>
        </a:p>
      </dgm:t>
    </dgm:pt>
    <dgm:pt modelId="{B1A0ABBA-18AF-449B-9111-4BEFF36CABC4}" type="pres">
      <dgm:prSet presAssocID="{F8F0A148-A176-46B3-BDEE-847B6E95270B}" presName="node" presStyleLbl="node1" presStyleIdx="0" presStyleCnt="3" custScaleX="216842" custScaleY="71271" custLinFactNeighborX="1973" custLinFactNeighborY="-2521">
        <dgm:presLayoutVars>
          <dgm:bulletEnabled val="1"/>
        </dgm:presLayoutVars>
      </dgm:prSet>
      <dgm:spPr/>
      <dgm:t>
        <a:bodyPr/>
        <a:lstStyle/>
        <a:p>
          <a:endParaRPr lang="en-AU"/>
        </a:p>
      </dgm:t>
    </dgm:pt>
    <dgm:pt modelId="{C85B4E6A-6662-47E5-A005-78E084BDB3B4}" type="pres">
      <dgm:prSet presAssocID="{22104ACA-F144-4F70-BC48-5EA1657D1F66}" presName="sibTrans" presStyleCnt="0"/>
      <dgm:spPr/>
    </dgm:pt>
    <dgm:pt modelId="{5E42C676-711C-43CF-8FE8-3FB83C403D7A}" type="pres">
      <dgm:prSet presAssocID="{9C47A6F4-2D2D-401E-8E8C-257F4F60A451}" presName="node" presStyleLbl="node1" presStyleIdx="1" presStyleCnt="3" custScaleX="217872" custScaleY="140693" custLinFactNeighborX="349" custLinFactNeighborY="-1942">
        <dgm:presLayoutVars>
          <dgm:bulletEnabled val="1"/>
        </dgm:presLayoutVars>
      </dgm:prSet>
      <dgm:spPr/>
      <dgm:t>
        <a:bodyPr/>
        <a:lstStyle/>
        <a:p>
          <a:endParaRPr lang="en-AU"/>
        </a:p>
      </dgm:t>
    </dgm:pt>
    <dgm:pt modelId="{5643A528-5DE6-4A6E-B2B5-80CAF2877D54}" type="pres">
      <dgm:prSet presAssocID="{184D268C-C8A6-4CB8-8996-1382A65562B7}" presName="sibTrans" presStyleCnt="0"/>
      <dgm:spPr/>
    </dgm:pt>
    <dgm:pt modelId="{4D66C65F-978B-4624-8081-EEA706DA8362}" type="pres">
      <dgm:prSet presAssocID="{B3A5BCCB-3025-46B4-8EA4-D2140A0E399E}" presName="node" presStyleLbl="node1" presStyleIdx="2" presStyleCnt="3" custScaleX="217807" custScaleY="82397" custLinFactNeighborX="382" custLinFactNeighborY="-2182">
        <dgm:presLayoutVars>
          <dgm:bulletEnabled val="1"/>
        </dgm:presLayoutVars>
      </dgm:prSet>
      <dgm:spPr/>
      <dgm:t>
        <a:bodyPr/>
        <a:lstStyle/>
        <a:p>
          <a:endParaRPr lang="en-AU"/>
        </a:p>
      </dgm:t>
    </dgm:pt>
  </dgm:ptLst>
  <dgm:cxnLst>
    <dgm:cxn modelId="{ED22CE77-7477-4E13-B4F3-F5325F78F4D2}" type="presOf" srcId="{B3A5BCCB-3025-46B4-8EA4-D2140A0E399E}" destId="{4D66C65F-978B-4624-8081-EEA706DA8362}" srcOrd="0" destOrd="0" presId="urn:microsoft.com/office/officeart/2005/8/layout/default"/>
    <dgm:cxn modelId="{1706C43D-5376-4C59-A949-DC51FD764E0E}" type="presOf" srcId="{9C47A6F4-2D2D-401E-8E8C-257F4F60A451}" destId="{5E42C676-711C-43CF-8FE8-3FB83C403D7A}" srcOrd="0" destOrd="0" presId="urn:microsoft.com/office/officeart/2005/8/layout/default"/>
    <dgm:cxn modelId="{B864BB49-1012-4B49-9CE1-7967818D9806}" srcId="{0CD3B7BF-2FEE-4CCC-B56C-756F5811693B}" destId="{B3A5BCCB-3025-46B4-8EA4-D2140A0E399E}" srcOrd="2" destOrd="0" parTransId="{B5668126-78E2-41B6-94F4-87F7B9F62C88}" sibTransId="{FC9ABE95-4898-40E4-915F-447B531E734D}"/>
    <dgm:cxn modelId="{9E049C38-11C6-4C21-935B-6673DC446529}" srcId="{0CD3B7BF-2FEE-4CCC-B56C-756F5811693B}" destId="{9C47A6F4-2D2D-401E-8E8C-257F4F60A451}" srcOrd="1" destOrd="0" parTransId="{FE7AE3C6-CE1F-44D6-B9C8-9CCC9162FA7B}" sibTransId="{184D268C-C8A6-4CB8-8996-1382A65562B7}"/>
    <dgm:cxn modelId="{CFB8A4B9-8F68-4DA4-B719-D88BD5F74E03}" srcId="{0CD3B7BF-2FEE-4CCC-B56C-756F5811693B}" destId="{F8F0A148-A176-46B3-BDEE-847B6E95270B}" srcOrd="0" destOrd="0" parTransId="{5886E0A0-4C18-4CE1-9C4A-A28AD5EC27F7}" sibTransId="{22104ACA-F144-4F70-BC48-5EA1657D1F66}"/>
    <dgm:cxn modelId="{3F0EE32E-670D-44B6-9A46-E356271DCF55}" type="presOf" srcId="{F8F0A148-A176-46B3-BDEE-847B6E95270B}" destId="{B1A0ABBA-18AF-449B-9111-4BEFF36CABC4}" srcOrd="0" destOrd="0" presId="urn:microsoft.com/office/officeart/2005/8/layout/default"/>
    <dgm:cxn modelId="{F630ED34-D96D-4611-B9E9-AC7D2E385089}" type="presOf" srcId="{0CD3B7BF-2FEE-4CCC-B56C-756F5811693B}" destId="{17C24BF3-862B-48E3-AE3A-D397AECFFDD5}" srcOrd="0" destOrd="0" presId="urn:microsoft.com/office/officeart/2005/8/layout/default"/>
    <dgm:cxn modelId="{FA40561D-3011-476D-9C8F-18844621B0A8}" type="presParOf" srcId="{17C24BF3-862B-48E3-AE3A-D397AECFFDD5}" destId="{B1A0ABBA-18AF-449B-9111-4BEFF36CABC4}" srcOrd="0" destOrd="0" presId="urn:microsoft.com/office/officeart/2005/8/layout/default"/>
    <dgm:cxn modelId="{995A778A-9542-49F3-A6F4-ACD82406E2E3}" type="presParOf" srcId="{17C24BF3-862B-48E3-AE3A-D397AECFFDD5}" destId="{C85B4E6A-6662-47E5-A005-78E084BDB3B4}" srcOrd="1" destOrd="0" presId="urn:microsoft.com/office/officeart/2005/8/layout/default"/>
    <dgm:cxn modelId="{31707E0A-A166-4217-A7B9-565D460F7CC6}" type="presParOf" srcId="{17C24BF3-862B-48E3-AE3A-D397AECFFDD5}" destId="{5E42C676-711C-43CF-8FE8-3FB83C403D7A}" srcOrd="2" destOrd="0" presId="urn:microsoft.com/office/officeart/2005/8/layout/default"/>
    <dgm:cxn modelId="{DDF3CDE1-15FF-45B5-8598-99B7BF236569}" type="presParOf" srcId="{17C24BF3-862B-48E3-AE3A-D397AECFFDD5}" destId="{5643A528-5DE6-4A6E-B2B5-80CAF2877D54}" srcOrd="3" destOrd="0" presId="urn:microsoft.com/office/officeart/2005/8/layout/default"/>
    <dgm:cxn modelId="{379D1E17-7C8A-4668-8917-CEA8AB132506}" type="presParOf" srcId="{17C24BF3-862B-48E3-AE3A-D397AECFFDD5}" destId="{4D66C65F-978B-4624-8081-EEA706DA8362}" srcOrd="4"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909A5-61D3-4FAC-9E1B-94BAFFE149C8}">
      <dsp:nvSpPr>
        <dsp:cNvPr id="0" name=""/>
        <dsp:cNvSpPr/>
      </dsp:nvSpPr>
      <dsp:spPr>
        <a:xfrm>
          <a:off x="0" y="6601601"/>
          <a:ext cx="5380075" cy="848882"/>
        </a:xfrm>
        <a:prstGeom prst="rect">
          <a:avLst/>
        </a:prstGeo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chemeClr val="accent5"/>
              </a:solidFill>
              <a:latin typeface="Arial"/>
              <a:ea typeface="+mn-ea"/>
              <a:cs typeface="+mn-cs"/>
            </a:rPr>
            <a:t>Having established our esitmate of total  forecast opex we can compare our alternative opex forecast with the service provider’s total forecast opex.</a:t>
          </a:r>
        </a:p>
        <a:p>
          <a:pPr lvl="0" algn="ctr" defTabSz="355600">
            <a:lnSpc>
              <a:spcPct val="90000"/>
            </a:lnSpc>
            <a:spcBef>
              <a:spcPct val="0"/>
            </a:spcBef>
            <a:spcAft>
              <a:spcPct val="35000"/>
            </a:spcAft>
          </a:pPr>
          <a:r>
            <a:rPr lang="en-AU" sz="800" kern="12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sp:txBody>
      <dsp:txXfrm>
        <a:off x="0" y="6601601"/>
        <a:ext cx="5380075" cy="848882"/>
      </dsp:txXfrm>
    </dsp:sp>
    <dsp:sp modelId="{5454B07C-516E-4134-9667-2DD9F64A5A54}">
      <dsp:nvSpPr>
        <dsp:cNvPr id="0" name=""/>
        <dsp:cNvSpPr/>
      </dsp:nvSpPr>
      <dsp:spPr>
        <a:xfrm rot="10800000">
          <a:off x="0" y="5308753"/>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5 - Other opex</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sp:txBody>
      <dsp:txXfrm rot="10800000">
        <a:off x="0" y="5308753"/>
        <a:ext cx="5380075" cy="848327"/>
      </dsp:txXfrm>
    </dsp:sp>
    <dsp:sp modelId="{D15D1D6F-7DCD-4AE5-B149-7785CC2469B6}">
      <dsp:nvSpPr>
        <dsp:cNvPr id="0" name=""/>
        <dsp:cNvSpPr/>
      </dsp:nvSpPr>
      <dsp:spPr>
        <a:xfrm rot="10800000">
          <a:off x="0" y="4015906"/>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4 - Add or subtract any step changes</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sp:txBody>
      <dsp:txXfrm rot="10800000">
        <a:off x="0" y="4015906"/>
        <a:ext cx="5380075" cy="848327"/>
      </dsp:txXfrm>
    </dsp:sp>
    <dsp:sp modelId="{7706543F-BD42-48EB-9BC6-91648880A2B7}">
      <dsp:nvSpPr>
        <dsp:cNvPr id="0" name=""/>
        <dsp:cNvSpPr/>
      </dsp:nvSpPr>
      <dsp:spPr>
        <a:xfrm rot="10800000">
          <a:off x="0" y="2723058"/>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3 - Add a rate of change to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sp:txBody>
      <dsp:txXfrm rot="10800000">
        <a:off x="0" y="2723058"/>
        <a:ext cx="5380075" cy="848327"/>
      </dsp:txXfrm>
    </dsp:sp>
    <dsp:sp modelId="{02266745-C7A2-4A75-B615-37EF6AD1DF72}">
      <dsp:nvSpPr>
        <dsp:cNvPr id="0" name=""/>
        <dsp:cNvSpPr/>
      </dsp:nvSpPr>
      <dsp:spPr>
        <a:xfrm rot="10800000">
          <a:off x="0" y="1295787"/>
          <a:ext cx="5380075" cy="1440003"/>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2- Assess base year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sp:txBody>
      <dsp:txXfrm rot="10800000">
        <a:off x="0" y="1295787"/>
        <a:ext cx="5380075" cy="935671"/>
      </dsp:txXfrm>
    </dsp:sp>
    <dsp:sp modelId="{B4C9A1EC-3D30-4803-9C07-A599DAFC6514}">
      <dsp:nvSpPr>
        <dsp:cNvPr id="0" name=""/>
        <dsp:cNvSpPr/>
      </dsp:nvSpPr>
      <dsp:spPr>
        <a:xfrm rot="10800000">
          <a:off x="0" y="2939"/>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1 - Start with service provider's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kern="1200">
              <a:solidFill>
                <a:sysClr val="window" lastClr="FFFFFF"/>
              </a:solidFill>
              <a:latin typeface="Arial"/>
              <a:ea typeface="+mn-ea"/>
              <a:cs typeface="+mn-cs"/>
            </a:rPr>
            <a:t>.</a:t>
          </a:r>
        </a:p>
      </dsp:txBody>
      <dsp:txXfrm rot="10800000">
        <a:off x="0" y="2939"/>
        <a:ext cx="5380075" cy="848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09216-A68C-4690-93C6-574B0EC4E5A5}">
      <dsp:nvSpPr>
        <dsp:cNvPr id="0" name=""/>
        <dsp:cNvSpPr/>
      </dsp:nvSpPr>
      <dsp:spPr>
        <a:xfrm>
          <a:off x="356658" y="2196"/>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1 - Start with service provider's opex</a:t>
          </a:r>
        </a:p>
      </dsp:txBody>
      <dsp:txXfrm>
        <a:off x="371571" y="17109"/>
        <a:ext cx="1180272" cy="479348"/>
      </dsp:txXfrm>
    </dsp:sp>
    <dsp:sp modelId="{2893A2D2-2421-4C9C-9D40-F75DE2A1814A}">
      <dsp:nvSpPr>
        <dsp:cNvPr id="0" name=""/>
        <dsp:cNvSpPr/>
      </dsp:nvSpPr>
      <dsp:spPr>
        <a:xfrm rot="5400000">
          <a:off x="866237" y="524100"/>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543194"/>
        <a:ext cx="137476" cy="133658"/>
      </dsp:txXfrm>
    </dsp:sp>
    <dsp:sp modelId="{EA906748-4F49-43E0-BD4C-827F1D39BBA5}">
      <dsp:nvSpPr>
        <dsp:cNvPr id="0" name=""/>
        <dsp:cNvSpPr/>
      </dsp:nvSpPr>
      <dsp:spPr>
        <a:xfrm>
          <a:off x="356658" y="765958"/>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2 - Assess base year opex</a:t>
          </a:r>
        </a:p>
      </dsp:txBody>
      <dsp:txXfrm>
        <a:off x="371571" y="780871"/>
        <a:ext cx="1180272" cy="479348"/>
      </dsp:txXfrm>
    </dsp:sp>
    <dsp:sp modelId="{1D95AC65-D756-45A0-89F9-7866FCEE34DB}">
      <dsp:nvSpPr>
        <dsp:cNvPr id="0" name=""/>
        <dsp:cNvSpPr/>
      </dsp:nvSpPr>
      <dsp:spPr>
        <a:xfrm rot="5400000">
          <a:off x="866237" y="1287863"/>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1306957"/>
        <a:ext cx="137476" cy="133658"/>
      </dsp:txXfrm>
    </dsp:sp>
    <dsp:sp modelId="{C5B8304F-D0AF-4175-A300-7ED9EA9557D4}">
      <dsp:nvSpPr>
        <dsp:cNvPr id="0" name=""/>
        <dsp:cNvSpPr/>
      </dsp:nvSpPr>
      <dsp:spPr>
        <a:xfrm>
          <a:off x="356658" y="1529721"/>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3 - Add a rate of change to base opex</a:t>
          </a:r>
          <a:r>
            <a:rPr lang="en-AU" sz="900" kern="1200"/>
            <a:t> </a:t>
          </a:r>
        </a:p>
      </dsp:txBody>
      <dsp:txXfrm>
        <a:off x="371571" y="1544634"/>
        <a:ext cx="1180272" cy="479348"/>
      </dsp:txXfrm>
    </dsp:sp>
    <dsp:sp modelId="{88BBFE6E-FFC3-4719-98ED-6020EC4041FD}">
      <dsp:nvSpPr>
        <dsp:cNvPr id="0" name=""/>
        <dsp:cNvSpPr/>
      </dsp:nvSpPr>
      <dsp:spPr>
        <a:xfrm rot="5400000">
          <a:off x="866237" y="205162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070719"/>
        <a:ext cx="137476" cy="133658"/>
      </dsp:txXfrm>
    </dsp:sp>
    <dsp:sp modelId="{177713EB-06DB-4865-A1C8-B262EDC2C69A}">
      <dsp:nvSpPr>
        <dsp:cNvPr id="0" name=""/>
        <dsp:cNvSpPr/>
      </dsp:nvSpPr>
      <dsp:spPr>
        <a:xfrm>
          <a:off x="356658" y="2293483"/>
          <a:ext cx="1210098" cy="487957"/>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4 - Add or subtract any step changes</a:t>
          </a:r>
        </a:p>
      </dsp:txBody>
      <dsp:txXfrm>
        <a:off x="370950" y="2307775"/>
        <a:ext cx="1181514" cy="459373"/>
      </dsp:txXfrm>
    </dsp:sp>
    <dsp:sp modelId="{088B141C-E6DA-47FF-9657-BCAD1158F602}">
      <dsp:nvSpPr>
        <dsp:cNvPr id="0" name=""/>
        <dsp:cNvSpPr/>
      </dsp:nvSpPr>
      <dsp:spPr>
        <a:xfrm rot="5400000">
          <a:off x="866237" y="2794169"/>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813263"/>
        <a:ext cx="137476" cy="133658"/>
      </dsp:txXfrm>
    </dsp:sp>
    <dsp:sp modelId="{4562305E-195C-4728-BF67-9CC29B23C7DB}">
      <dsp:nvSpPr>
        <dsp:cNvPr id="0" name=""/>
        <dsp:cNvSpPr/>
      </dsp:nvSpPr>
      <dsp:spPr>
        <a:xfrm>
          <a:off x="356658" y="3036027"/>
          <a:ext cx="1210098" cy="520458"/>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5 - Other opex</a:t>
          </a:r>
        </a:p>
      </dsp:txBody>
      <dsp:txXfrm>
        <a:off x="371902" y="3051271"/>
        <a:ext cx="1179610" cy="489970"/>
      </dsp:txXfrm>
    </dsp:sp>
    <dsp:sp modelId="{60691C4A-AF77-407F-905D-93513C867409}">
      <dsp:nvSpPr>
        <dsp:cNvPr id="0" name=""/>
        <dsp:cNvSpPr/>
      </dsp:nvSpPr>
      <dsp:spPr>
        <a:xfrm rot="5400000">
          <a:off x="866237" y="356921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3588309"/>
        <a:ext cx="137476" cy="133658"/>
      </dsp:txXfrm>
    </dsp:sp>
    <dsp:sp modelId="{34F96972-70C8-4B9C-B81A-973D9F10ADAC}">
      <dsp:nvSpPr>
        <dsp:cNvPr id="0" name=""/>
        <dsp:cNvSpPr/>
      </dsp:nvSpPr>
      <dsp:spPr>
        <a:xfrm>
          <a:off x="356658" y="3811073"/>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6 - Compare our forecast to service provider's forecast</a:t>
          </a:r>
        </a:p>
      </dsp:txBody>
      <dsp:txXfrm>
        <a:off x="371571" y="3825986"/>
        <a:ext cx="1180272" cy="4793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0ABBA-18AF-449B-9111-4BEFF36CABC4}">
      <dsp:nvSpPr>
        <dsp:cNvPr id="0" name=""/>
        <dsp:cNvSpPr/>
      </dsp:nvSpPr>
      <dsp:spPr>
        <a:xfrm>
          <a:off x="27971" y="159237"/>
          <a:ext cx="3510248" cy="692243"/>
        </a:xfrm>
        <a:prstGeom prst="rect">
          <a:avLst/>
        </a:prstGeom>
        <a:solidFill>
          <a:srgbClr val="0070C0"/>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a:t>
          </a:r>
          <a:br>
            <a:rPr lang="en-AU" sz="900" kern="1200">
              <a:solidFill>
                <a:schemeClr val="bg1"/>
              </a:solidFill>
            </a:rPr>
          </a:br>
          <a:r>
            <a:rPr lang="en-AU" sz="900" kern="1200">
              <a:solidFill>
                <a:schemeClr val="bg1"/>
              </a:solidFill>
            </a:rPr>
            <a:t>Assess base year opex</a:t>
          </a:r>
        </a:p>
      </dsp:txBody>
      <dsp:txXfrm>
        <a:off x="27971" y="159237"/>
        <a:ext cx="3510248" cy="692243"/>
      </dsp:txXfrm>
    </dsp:sp>
    <dsp:sp modelId="{5E42C676-711C-43CF-8FE8-3FB83C403D7A}">
      <dsp:nvSpPr>
        <dsp:cNvPr id="0" name=""/>
        <dsp:cNvSpPr/>
      </dsp:nvSpPr>
      <dsp:spPr>
        <a:xfrm>
          <a:off x="11297" y="1018984"/>
          <a:ext cx="3526922" cy="1366526"/>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2a</a:t>
          </a:r>
        </a:p>
        <a:p>
          <a:pPr lvl="0" algn="ctr" defTabSz="400050">
            <a:lnSpc>
              <a:spcPct val="90000"/>
            </a:lnSpc>
            <a:spcBef>
              <a:spcPct val="0"/>
            </a:spcBef>
            <a:spcAft>
              <a:spcPct val="35000"/>
            </a:spcAft>
          </a:pPr>
          <a:r>
            <a:rPr lang="en-AU" sz="900" kern="1200">
              <a:solidFill>
                <a:sysClr val="windowText" lastClr="000000"/>
              </a:solidFill>
            </a:rPr>
            <a:t>Using several sources of evidence, form a view about the efficiency of base opex:</a:t>
          </a:r>
        </a:p>
        <a:p>
          <a:pPr lvl="0" algn="ctr" defTabSz="400050">
            <a:lnSpc>
              <a:spcPct val="90000"/>
            </a:lnSpc>
            <a:spcBef>
              <a:spcPct val="0"/>
            </a:spcBef>
            <a:spcAft>
              <a:spcPct val="35000"/>
            </a:spcAft>
          </a:pPr>
          <a:r>
            <a:rPr lang="en-AU" sz="900" kern="1200">
              <a:solidFill>
                <a:sysClr val="windowText" lastClr="000000"/>
              </a:solidFill>
            </a:rPr>
            <a:t>- Economic benchmarking techniques, adjusted for operating environment factors</a:t>
          </a:r>
        </a:p>
        <a:p>
          <a:pPr lvl="0" algn="ctr" defTabSz="400050">
            <a:lnSpc>
              <a:spcPct val="90000"/>
            </a:lnSpc>
            <a:spcBef>
              <a:spcPct val="0"/>
            </a:spcBef>
            <a:spcAft>
              <a:spcPct val="35000"/>
            </a:spcAft>
          </a:pPr>
          <a:r>
            <a:rPr lang="en-AU" sz="900" kern="1200">
              <a:solidFill>
                <a:sysClr val="windowText" lastClr="000000"/>
              </a:solidFill>
            </a:rPr>
            <a:t>- Detailed reviews</a:t>
          </a:r>
        </a:p>
        <a:p>
          <a:pPr lvl="0" algn="ctr" defTabSz="400050">
            <a:lnSpc>
              <a:spcPct val="90000"/>
            </a:lnSpc>
            <a:spcBef>
              <a:spcPct val="0"/>
            </a:spcBef>
            <a:spcAft>
              <a:spcPct val="35000"/>
            </a:spcAft>
          </a:pPr>
          <a:r>
            <a:rPr lang="en-AU" sz="900" kern="1200">
              <a:solidFill>
                <a:sysClr val="windowText" lastClr="000000"/>
              </a:solidFill>
            </a:rPr>
            <a:t>- Partial performance indicators</a:t>
          </a:r>
        </a:p>
        <a:p>
          <a:pPr lvl="0" algn="ctr" defTabSz="400050">
            <a:lnSpc>
              <a:spcPct val="90000"/>
            </a:lnSpc>
            <a:spcBef>
              <a:spcPct val="0"/>
            </a:spcBef>
            <a:spcAft>
              <a:spcPct val="35000"/>
            </a:spcAft>
          </a:pPr>
          <a:r>
            <a:rPr lang="en-AU" sz="900" kern="1200">
              <a:solidFill>
                <a:sysClr val="windowText" lastClr="000000"/>
              </a:solidFill>
            </a:rPr>
            <a:t>- Category analysis</a:t>
          </a:r>
        </a:p>
      </dsp:txBody>
      <dsp:txXfrm>
        <a:off x="11297" y="1018984"/>
        <a:ext cx="3526922" cy="1366526"/>
      </dsp:txXfrm>
    </dsp:sp>
    <dsp:sp modelId="{4D66C65F-978B-4624-8081-EEA706DA8362}">
      <dsp:nvSpPr>
        <dsp:cNvPr id="0" name=""/>
        <dsp:cNvSpPr/>
      </dsp:nvSpPr>
      <dsp:spPr>
        <a:xfrm>
          <a:off x="12349" y="2545060"/>
          <a:ext cx="3525870" cy="800307"/>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2b</a:t>
          </a:r>
        </a:p>
        <a:p>
          <a:pPr lvl="0" algn="ctr" defTabSz="400050">
            <a:lnSpc>
              <a:spcPct val="90000"/>
            </a:lnSpc>
            <a:spcBef>
              <a:spcPct val="0"/>
            </a:spcBef>
            <a:spcAft>
              <a:spcPct val="35000"/>
            </a:spcAft>
          </a:pPr>
          <a:r>
            <a:rPr lang="en-AU" sz="900" kern="1200">
              <a:solidFill>
                <a:sysClr val="windowText" lastClr="000000"/>
              </a:solidFill>
            </a:rPr>
            <a:t>Determine the appropriate adjustment using the most robust benchmarking technique (SFA) and a benchmark comparison point that reflects 'materially inefficient' rather than the efficient frontier</a:t>
          </a:r>
        </a:p>
      </dsp:txBody>
      <dsp:txXfrm>
        <a:off x="12349" y="2545060"/>
        <a:ext cx="3525870" cy="8003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B934EDA3.dotm</Template>
  <TotalTime>0</TotalTime>
  <Pages>302</Pages>
  <Words>96566</Words>
  <Characters>550430</Characters>
  <Application>Microsoft Office Word</Application>
  <DocSecurity>0</DocSecurity>
  <Lines>4586</Lines>
  <Paragraphs>1291</Paragraphs>
  <ScaleCrop>false</ScaleCrop>
  <Company/>
  <LinksUpToDate>false</LinksUpToDate>
  <CharactersWithSpaces>645705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2015-04-28T06:45:00Z</dcterms:created>
  <dcterms:modified xsi:type="dcterms:W3CDTF">2015-04-28T06:45:00Z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