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3BF9433" wp14:editId="57A53F1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0C4D64">
            <w:t>10</w:t>
          </w:r>
          <w:r>
            <w:t xml:space="preserve"> </w:t>
          </w:r>
          <w:r>
            <w:rPr>
              <w:rFonts w:cs="Arial"/>
            </w:rPr>
            <w:t>−</w:t>
          </w:r>
          <w:r>
            <w:t xml:space="preserve"> </w:t>
          </w:r>
          <w:r w:rsidR="000C4D64">
            <w:t>Reference tariff setting</w:t>
          </w:r>
        </w:p>
        <w:p w:rsidR="000A6C7B" w:rsidRPr="00327A1E" w:rsidRDefault="003A7EE9" w:rsidP="00327A1E">
          <w:pPr>
            <w:pStyle w:val="ReportDate"/>
          </w:pPr>
          <w:r>
            <w:t>June</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0" w:name="_Toc404354899"/>
      <w:bookmarkStart w:id="1" w:name="_Toc404353070"/>
      <w:bookmarkStart w:id="2" w:name="_Toc404684201"/>
      <w:bookmarkStart w:id="3" w:name="_Toc404700923"/>
      <w:bookmarkStart w:id="4" w:name="_Toc419988586"/>
      <w:r>
        <w:lastRenderedPageBreak/>
        <w:t>N</w:t>
      </w:r>
      <w:r w:rsidR="008F07A3">
        <w:t>ote</w:t>
      </w:r>
      <w:bookmarkEnd w:id="0"/>
      <w:bookmarkEnd w:id="1"/>
      <w:bookmarkEnd w:id="2"/>
      <w:bookmarkEnd w:id="3"/>
      <w:bookmarkEnd w:id="4"/>
    </w:p>
    <w:p w:rsidR="008F07A3" w:rsidRDefault="008F07A3" w:rsidP="008F07A3"/>
    <w:p w:rsidR="00CB6EAE" w:rsidRPr="00CB6EAE" w:rsidRDefault="00CB6EAE" w:rsidP="00CB6EAE">
      <w:r w:rsidRPr="00CB6EAE">
        <w:t>This attachment forms part of the AER's final decision on Jemena Gas Networks' 2015–20 access arrangement. It should be read with other parts of the final decision.</w:t>
      </w:r>
    </w:p>
    <w:p w:rsidR="00CB6EAE" w:rsidRPr="00CB6EAE" w:rsidRDefault="00CB6EAE" w:rsidP="00CB6EAE">
      <w:r w:rsidRPr="00CB6EAE">
        <w:t>The final decision includes the following documents:</w:t>
      </w:r>
    </w:p>
    <w:p w:rsidR="00CB6EAE" w:rsidRPr="00CB6EAE" w:rsidRDefault="00CB6EAE" w:rsidP="00CB6EAE">
      <w:r w:rsidRPr="00CB6EAE">
        <w:t>Overview</w:t>
      </w:r>
    </w:p>
    <w:p w:rsidR="00CB6EAE" w:rsidRPr="00CB6EAE" w:rsidRDefault="00CB6EAE" w:rsidP="00CB6EAE">
      <w:r w:rsidRPr="00CB6EAE">
        <w:t>Attachment 1 – services covered by the access arrangement</w:t>
      </w:r>
    </w:p>
    <w:p w:rsidR="00CB6EAE" w:rsidRPr="00CB6EAE" w:rsidRDefault="00CB6EAE" w:rsidP="00CB6EAE">
      <w:r w:rsidRPr="00CB6EAE">
        <w:t>Attachment 2 – capital base</w:t>
      </w:r>
    </w:p>
    <w:p w:rsidR="00CB6EAE" w:rsidRPr="00CB6EAE" w:rsidRDefault="00CB6EAE" w:rsidP="00CB6EAE">
      <w:r w:rsidRPr="00CB6EAE">
        <w:t>Attachment 3 – rate of return</w:t>
      </w:r>
    </w:p>
    <w:p w:rsidR="00CB6EAE" w:rsidRPr="00CB6EAE" w:rsidRDefault="00CB6EAE" w:rsidP="00CB6EAE">
      <w:r w:rsidRPr="00CB6EAE">
        <w:t>Attachment 4 – value of imputation credits</w:t>
      </w:r>
    </w:p>
    <w:p w:rsidR="00CB6EAE" w:rsidRPr="00CB6EAE" w:rsidRDefault="00CB6EAE" w:rsidP="00CB6EAE">
      <w:r w:rsidRPr="00CB6EAE">
        <w:t>Attachment 5 – regulatory depreciation</w:t>
      </w:r>
    </w:p>
    <w:p w:rsidR="00CB6EAE" w:rsidRPr="00CB6EAE" w:rsidRDefault="00CB6EAE" w:rsidP="00CB6EAE">
      <w:r w:rsidRPr="00CB6EAE">
        <w:t xml:space="preserve">Attachment 6 – capital expenditure </w:t>
      </w:r>
    </w:p>
    <w:p w:rsidR="00CB6EAE" w:rsidRPr="00CB6EAE" w:rsidRDefault="00CB6EAE" w:rsidP="00CB6EAE">
      <w:r w:rsidRPr="00CB6EAE">
        <w:t>Attachment 7 – operating expenditure</w:t>
      </w:r>
    </w:p>
    <w:p w:rsidR="00CB6EAE" w:rsidRPr="00CB6EAE" w:rsidRDefault="00CB6EAE" w:rsidP="00CB6EAE">
      <w:r w:rsidRPr="00CB6EAE">
        <w:t>Attachment 8 – corporate income tax</w:t>
      </w:r>
    </w:p>
    <w:p w:rsidR="00CB6EAE" w:rsidRPr="00CB6EAE" w:rsidRDefault="00CB6EAE" w:rsidP="00CB6EAE">
      <w:r w:rsidRPr="00CB6EAE">
        <w:t>Attachment 9 – efficiency carryover mechanism</w:t>
      </w:r>
    </w:p>
    <w:p w:rsidR="00CB6EAE" w:rsidRPr="00CB6EAE" w:rsidRDefault="00CB6EAE" w:rsidP="00CB6EAE">
      <w:r w:rsidRPr="00CB6EAE">
        <w:t>Attachment 10 – reference tariff setting</w:t>
      </w:r>
    </w:p>
    <w:p w:rsidR="00CB6EAE" w:rsidRPr="00CB6EAE" w:rsidRDefault="00CB6EAE" w:rsidP="00CB6EAE">
      <w:r w:rsidRPr="00CB6EAE">
        <w:t>Attachment 11 – reference tariff variation mechanism</w:t>
      </w:r>
    </w:p>
    <w:p w:rsidR="00CB6EAE" w:rsidRPr="00CB6EAE" w:rsidRDefault="00CB6EAE" w:rsidP="00CB6EAE">
      <w:r w:rsidRPr="00CB6EAE">
        <w:t>Attachment 12 – non-tariff components</w:t>
      </w:r>
    </w:p>
    <w:p w:rsidR="00CB6EAE" w:rsidRPr="00CB6EAE" w:rsidRDefault="00CB6EAE" w:rsidP="00CB6EAE">
      <w:r w:rsidRPr="00CB6EAE">
        <w:t xml:space="preserve">Attachment 13 – demand </w:t>
      </w:r>
    </w:p>
    <w:p w:rsidR="00FB5826" w:rsidRPr="00FB5826" w:rsidRDefault="00FB5826" w:rsidP="00FB5826">
      <w:r w:rsidRPr="00FB5826">
        <w:t xml:space="preserve"> </w:t>
      </w:r>
    </w:p>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D755E1">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998858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A49DF"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9988586" w:history="1">
            <w:r w:rsidR="00BA49DF" w:rsidRPr="0000549C">
              <w:rPr>
                <w:rStyle w:val="Hyperlink"/>
              </w:rPr>
              <w:t>Note</w:t>
            </w:r>
            <w:r w:rsidR="00BA49DF">
              <w:rPr>
                <w:webHidden/>
              </w:rPr>
              <w:tab/>
            </w:r>
            <w:r w:rsidR="00BA49DF">
              <w:rPr>
                <w:webHidden/>
              </w:rPr>
              <w:fldChar w:fldCharType="begin"/>
            </w:r>
            <w:r w:rsidR="00BA49DF">
              <w:rPr>
                <w:webHidden/>
              </w:rPr>
              <w:instrText xml:space="preserve"> PAGEREF _Toc419988586 \h </w:instrText>
            </w:r>
            <w:r w:rsidR="00BA49DF">
              <w:rPr>
                <w:webHidden/>
              </w:rPr>
            </w:r>
            <w:r w:rsidR="00BA49DF">
              <w:rPr>
                <w:webHidden/>
              </w:rPr>
              <w:fldChar w:fldCharType="separate"/>
            </w:r>
            <w:r w:rsidR="0084679A">
              <w:rPr>
                <w:webHidden/>
              </w:rPr>
              <w:t>10-2</w:t>
            </w:r>
            <w:r w:rsidR="00BA49DF">
              <w:rPr>
                <w:webHidden/>
              </w:rPr>
              <w:fldChar w:fldCharType="end"/>
            </w:r>
          </w:hyperlink>
        </w:p>
        <w:p w:rsidR="00BA49DF" w:rsidRDefault="0084679A">
          <w:pPr>
            <w:pStyle w:val="TOC1"/>
            <w:rPr>
              <w:rFonts w:asciiTheme="minorHAnsi" w:eastAsiaTheme="minorEastAsia" w:hAnsiTheme="minorHAnsi"/>
              <w:b w:val="0"/>
              <w:color w:val="auto"/>
              <w:sz w:val="22"/>
              <w:lang w:val="en-AU" w:eastAsia="en-AU"/>
            </w:rPr>
          </w:pPr>
          <w:hyperlink w:anchor="_Toc419988587" w:history="1">
            <w:r w:rsidR="00BA49DF" w:rsidRPr="0000549C">
              <w:rPr>
                <w:rStyle w:val="Hyperlink"/>
              </w:rPr>
              <w:t>Contents</w:t>
            </w:r>
            <w:r w:rsidR="00BA49DF">
              <w:rPr>
                <w:webHidden/>
              </w:rPr>
              <w:tab/>
            </w:r>
            <w:r w:rsidR="00BA49DF">
              <w:rPr>
                <w:webHidden/>
              </w:rPr>
              <w:fldChar w:fldCharType="begin"/>
            </w:r>
            <w:r w:rsidR="00BA49DF">
              <w:rPr>
                <w:webHidden/>
              </w:rPr>
              <w:instrText xml:space="preserve"> PAGEREF _Toc419988587 \h </w:instrText>
            </w:r>
            <w:r w:rsidR="00BA49DF">
              <w:rPr>
                <w:webHidden/>
              </w:rPr>
            </w:r>
            <w:r w:rsidR="00BA49DF">
              <w:rPr>
                <w:webHidden/>
              </w:rPr>
              <w:fldChar w:fldCharType="separate"/>
            </w:r>
            <w:r>
              <w:rPr>
                <w:webHidden/>
              </w:rPr>
              <w:t>10-3</w:t>
            </w:r>
            <w:r w:rsidR="00BA49DF">
              <w:rPr>
                <w:webHidden/>
              </w:rPr>
              <w:fldChar w:fldCharType="end"/>
            </w:r>
          </w:hyperlink>
        </w:p>
        <w:p w:rsidR="00BA49DF" w:rsidRDefault="0084679A">
          <w:pPr>
            <w:pStyle w:val="TOC1"/>
            <w:rPr>
              <w:rFonts w:asciiTheme="minorHAnsi" w:eastAsiaTheme="minorEastAsia" w:hAnsiTheme="minorHAnsi"/>
              <w:b w:val="0"/>
              <w:color w:val="auto"/>
              <w:sz w:val="22"/>
              <w:lang w:val="en-AU" w:eastAsia="en-AU"/>
            </w:rPr>
          </w:pPr>
          <w:hyperlink w:anchor="_Toc419988588" w:history="1">
            <w:r w:rsidR="00BA49DF" w:rsidRPr="0000549C">
              <w:rPr>
                <w:rStyle w:val="Hyperlink"/>
              </w:rPr>
              <w:t>Shortened forms</w:t>
            </w:r>
            <w:r w:rsidR="00BA49DF">
              <w:rPr>
                <w:webHidden/>
              </w:rPr>
              <w:tab/>
            </w:r>
            <w:r w:rsidR="00BA49DF">
              <w:rPr>
                <w:webHidden/>
              </w:rPr>
              <w:fldChar w:fldCharType="begin"/>
            </w:r>
            <w:r w:rsidR="00BA49DF">
              <w:rPr>
                <w:webHidden/>
              </w:rPr>
              <w:instrText xml:space="preserve"> PAGEREF _Toc419988588 \h </w:instrText>
            </w:r>
            <w:r w:rsidR="00BA49DF">
              <w:rPr>
                <w:webHidden/>
              </w:rPr>
            </w:r>
            <w:r w:rsidR="00BA49DF">
              <w:rPr>
                <w:webHidden/>
              </w:rPr>
              <w:fldChar w:fldCharType="separate"/>
            </w:r>
            <w:r>
              <w:rPr>
                <w:webHidden/>
              </w:rPr>
              <w:t>10-4</w:t>
            </w:r>
            <w:r w:rsidR="00BA49DF">
              <w:rPr>
                <w:webHidden/>
              </w:rPr>
              <w:fldChar w:fldCharType="end"/>
            </w:r>
          </w:hyperlink>
        </w:p>
        <w:p w:rsidR="00BA49DF" w:rsidRDefault="0084679A">
          <w:pPr>
            <w:pStyle w:val="TOC1"/>
            <w:rPr>
              <w:rFonts w:asciiTheme="minorHAnsi" w:eastAsiaTheme="minorEastAsia" w:hAnsiTheme="minorHAnsi"/>
              <w:b w:val="0"/>
              <w:color w:val="auto"/>
              <w:sz w:val="22"/>
              <w:lang w:val="en-AU" w:eastAsia="en-AU"/>
            </w:rPr>
          </w:pPr>
          <w:hyperlink w:anchor="_Toc419988589" w:history="1">
            <w:r w:rsidR="00BA49DF" w:rsidRPr="0000549C">
              <w:rPr>
                <w:rStyle w:val="Hyperlink"/>
              </w:rPr>
              <w:t>10</w:t>
            </w:r>
            <w:r w:rsidR="00BA49DF">
              <w:rPr>
                <w:rFonts w:asciiTheme="minorHAnsi" w:eastAsiaTheme="minorEastAsia" w:hAnsiTheme="minorHAnsi"/>
                <w:b w:val="0"/>
                <w:color w:val="auto"/>
                <w:sz w:val="22"/>
                <w:lang w:val="en-AU" w:eastAsia="en-AU"/>
              </w:rPr>
              <w:tab/>
            </w:r>
            <w:r w:rsidR="00BA49DF" w:rsidRPr="0000549C">
              <w:rPr>
                <w:rStyle w:val="Hyperlink"/>
              </w:rPr>
              <w:t>Reference tariff setting</w:t>
            </w:r>
            <w:r w:rsidR="00BA49DF">
              <w:rPr>
                <w:webHidden/>
              </w:rPr>
              <w:tab/>
            </w:r>
            <w:r w:rsidR="00BA49DF">
              <w:rPr>
                <w:webHidden/>
              </w:rPr>
              <w:fldChar w:fldCharType="begin"/>
            </w:r>
            <w:r w:rsidR="00BA49DF">
              <w:rPr>
                <w:webHidden/>
              </w:rPr>
              <w:instrText xml:space="preserve"> PAGEREF _Toc419988589 \h </w:instrText>
            </w:r>
            <w:r w:rsidR="00BA49DF">
              <w:rPr>
                <w:webHidden/>
              </w:rPr>
            </w:r>
            <w:r w:rsidR="00BA49DF">
              <w:rPr>
                <w:webHidden/>
              </w:rPr>
              <w:fldChar w:fldCharType="separate"/>
            </w:r>
            <w:r>
              <w:rPr>
                <w:webHidden/>
              </w:rPr>
              <w:t>10-5</w:t>
            </w:r>
            <w:r w:rsidR="00BA49DF">
              <w:rPr>
                <w:webHidden/>
              </w:rPr>
              <w:fldChar w:fldCharType="end"/>
            </w:r>
          </w:hyperlink>
        </w:p>
        <w:p w:rsidR="00BA49DF" w:rsidRDefault="0084679A">
          <w:pPr>
            <w:pStyle w:val="TOC2"/>
            <w:tabs>
              <w:tab w:val="left" w:pos="1276"/>
            </w:tabs>
            <w:rPr>
              <w:rFonts w:asciiTheme="minorHAnsi" w:eastAsiaTheme="minorEastAsia" w:hAnsiTheme="minorHAnsi"/>
              <w:b w:val="0"/>
              <w:color w:val="auto"/>
              <w:sz w:val="22"/>
              <w:lang w:eastAsia="en-AU"/>
            </w:rPr>
          </w:pPr>
          <w:hyperlink w:anchor="_Toc419988590" w:history="1">
            <w:r w:rsidR="00BA49DF" w:rsidRPr="0000549C">
              <w:rPr>
                <w:rStyle w:val="Hyperlink"/>
              </w:rPr>
              <w:t>10.1</w:t>
            </w:r>
            <w:r w:rsidR="00BA49DF">
              <w:rPr>
                <w:rFonts w:asciiTheme="minorHAnsi" w:eastAsiaTheme="minorEastAsia" w:hAnsiTheme="minorHAnsi"/>
                <w:b w:val="0"/>
                <w:color w:val="auto"/>
                <w:sz w:val="22"/>
                <w:lang w:eastAsia="en-AU"/>
              </w:rPr>
              <w:tab/>
            </w:r>
            <w:r w:rsidR="00BA49DF" w:rsidRPr="0000549C">
              <w:rPr>
                <w:rStyle w:val="Hyperlink"/>
              </w:rPr>
              <w:t>Final decision</w:t>
            </w:r>
            <w:r w:rsidR="00BA49DF">
              <w:rPr>
                <w:webHidden/>
              </w:rPr>
              <w:tab/>
            </w:r>
            <w:r w:rsidR="00BA49DF">
              <w:rPr>
                <w:webHidden/>
              </w:rPr>
              <w:fldChar w:fldCharType="begin"/>
            </w:r>
            <w:r w:rsidR="00BA49DF">
              <w:rPr>
                <w:webHidden/>
              </w:rPr>
              <w:instrText xml:space="preserve"> PAGEREF _Toc419988590 \h </w:instrText>
            </w:r>
            <w:r w:rsidR="00BA49DF">
              <w:rPr>
                <w:webHidden/>
              </w:rPr>
            </w:r>
            <w:r w:rsidR="00BA49DF">
              <w:rPr>
                <w:webHidden/>
              </w:rPr>
              <w:fldChar w:fldCharType="separate"/>
            </w:r>
            <w:r>
              <w:rPr>
                <w:webHidden/>
              </w:rPr>
              <w:t>10-5</w:t>
            </w:r>
            <w:r w:rsidR="00BA49DF">
              <w:rPr>
                <w:webHidden/>
              </w:rPr>
              <w:fldChar w:fldCharType="end"/>
            </w:r>
          </w:hyperlink>
        </w:p>
        <w:p w:rsidR="00BA49DF" w:rsidRDefault="0084679A">
          <w:pPr>
            <w:pStyle w:val="TOC2"/>
            <w:tabs>
              <w:tab w:val="left" w:pos="1276"/>
            </w:tabs>
            <w:rPr>
              <w:rFonts w:asciiTheme="minorHAnsi" w:eastAsiaTheme="minorEastAsia" w:hAnsiTheme="minorHAnsi"/>
              <w:b w:val="0"/>
              <w:color w:val="auto"/>
              <w:sz w:val="22"/>
              <w:lang w:eastAsia="en-AU"/>
            </w:rPr>
          </w:pPr>
          <w:hyperlink w:anchor="_Toc419988591" w:history="1">
            <w:r w:rsidR="00BA49DF" w:rsidRPr="0000549C">
              <w:rPr>
                <w:rStyle w:val="Hyperlink"/>
              </w:rPr>
              <w:t>10.2</w:t>
            </w:r>
            <w:r w:rsidR="00BA49DF">
              <w:rPr>
                <w:rFonts w:asciiTheme="minorHAnsi" w:eastAsiaTheme="minorEastAsia" w:hAnsiTheme="minorHAnsi"/>
                <w:b w:val="0"/>
                <w:color w:val="auto"/>
                <w:sz w:val="22"/>
                <w:lang w:eastAsia="en-AU"/>
              </w:rPr>
              <w:tab/>
            </w:r>
            <w:r w:rsidR="00BA49DF" w:rsidRPr="0000549C">
              <w:rPr>
                <w:rStyle w:val="Hyperlink"/>
              </w:rPr>
              <w:t>JGN's revised proposal</w:t>
            </w:r>
            <w:r w:rsidR="00BA49DF">
              <w:rPr>
                <w:webHidden/>
              </w:rPr>
              <w:tab/>
            </w:r>
            <w:r w:rsidR="00BA49DF">
              <w:rPr>
                <w:webHidden/>
              </w:rPr>
              <w:fldChar w:fldCharType="begin"/>
            </w:r>
            <w:r w:rsidR="00BA49DF">
              <w:rPr>
                <w:webHidden/>
              </w:rPr>
              <w:instrText xml:space="preserve"> PAGEREF _Toc419988591 \h </w:instrText>
            </w:r>
            <w:r w:rsidR="00BA49DF">
              <w:rPr>
                <w:webHidden/>
              </w:rPr>
            </w:r>
            <w:r w:rsidR="00BA49DF">
              <w:rPr>
                <w:webHidden/>
              </w:rPr>
              <w:fldChar w:fldCharType="separate"/>
            </w:r>
            <w:r>
              <w:rPr>
                <w:webHidden/>
              </w:rPr>
              <w:t>10-5</w:t>
            </w:r>
            <w:r w:rsidR="00BA49DF">
              <w:rPr>
                <w:webHidden/>
              </w:rPr>
              <w:fldChar w:fldCharType="end"/>
            </w:r>
          </w:hyperlink>
        </w:p>
        <w:p w:rsidR="00BA49DF" w:rsidRDefault="0084679A">
          <w:pPr>
            <w:pStyle w:val="TOC2"/>
            <w:tabs>
              <w:tab w:val="left" w:pos="1276"/>
            </w:tabs>
            <w:rPr>
              <w:rFonts w:asciiTheme="minorHAnsi" w:eastAsiaTheme="minorEastAsia" w:hAnsiTheme="minorHAnsi"/>
              <w:b w:val="0"/>
              <w:color w:val="auto"/>
              <w:sz w:val="22"/>
              <w:lang w:eastAsia="en-AU"/>
            </w:rPr>
          </w:pPr>
          <w:hyperlink w:anchor="_Toc419988592" w:history="1">
            <w:r w:rsidR="00BA49DF" w:rsidRPr="0000549C">
              <w:rPr>
                <w:rStyle w:val="Hyperlink"/>
              </w:rPr>
              <w:t>10.3</w:t>
            </w:r>
            <w:r w:rsidR="00BA49DF">
              <w:rPr>
                <w:rFonts w:asciiTheme="minorHAnsi" w:eastAsiaTheme="minorEastAsia" w:hAnsiTheme="minorHAnsi"/>
                <w:b w:val="0"/>
                <w:color w:val="auto"/>
                <w:sz w:val="22"/>
                <w:lang w:eastAsia="en-AU"/>
              </w:rPr>
              <w:tab/>
            </w:r>
            <w:r w:rsidR="00BA49DF" w:rsidRPr="0000549C">
              <w:rPr>
                <w:rStyle w:val="Hyperlink"/>
              </w:rPr>
              <w:t>AER’s assessment approach</w:t>
            </w:r>
            <w:r w:rsidR="00BA49DF">
              <w:rPr>
                <w:webHidden/>
              </w:rPr>
              <w:tab/>
            </w:r>
            <w:r w:rsidR="00BA49DF">
              <w:rPr>
                <w:webHidden/>
              </w:rPr>
              <w:fldChar w:fldCharType="begin"/>
            </w:r>
            <w:r w:rsidR="00BA49DF">
              <w:rPr>
                <w:webHidden/>
              </w:rPr>
              <w:instrText xml:space="preserve"> PAGEREF _Toc419988592 \h </w:instrText>
            </w:r>
            <w:r w:rsidR="00BA49DF">
              <w:rPr>
                <w:webHidden/>
              </w:rPr>
            </w:r>
            <w:r w:rsidR="00BA49DF">
              <w:rPr>
                <w:webHidden/>
              </w:rPr>
              <w:fldChar w:fldCharType="separate"/>
            </w:r>
            <w:r>
              <w:rPr>
                <w:webHidden/>
              </w:rPr>
              <w:t>10-5</w:t>
            </w:r>
            <w:r w:rsidR="00BA49DF">
              <w:rPr>
                <w:webHidden/>
              </w:rPr>
              <w:fldChar w:fldCharType="end"/>
            </w:r>
          </w:hyperlink>
        </w:p>
        <w:p w:rsidR="00BA49DF" w:rsidRDefault="0084679A">
          <w:pPr>
            <w:pStyle w:val="TOC2"/>
            <w:tabs>
              <w:tab w:val="left" w:pos="1276"/>
            </w:tabs>
            <w:rPr>
              <w:rFonts w:asciiTheme="minorHAnsi" w:eastAsiaTheme="minorEastAsia" w:hAnsiTheme="minorHAnsi"/>
              <w:b w:val="0"/>
              <w:color w:val="auto"/>
              <w:sz w:val="22"/>
              <w:lang w:eastAsia="en-AU"/>
            </w:rPr>
          </w:pPr>
          <w:hyperlink w:anchor="_Toc419988593" w:history="1">
            <w:r w:rsidR="00BA49DF" w:rsidRPr="0000549C">
              <w:rPr>
                <w:rStyle w:val="Hyperlink"/>
              </w:rPr>
              <w:t>10.4</w:t>
            </w:r>
            <w:r w:rsidR="00BA49DF">
              <w:rPr>
                <w:rFonts w:asciiTheme="minorHAnsi" w:eastAsiaTheme="minorEastAsia" w:hAnsiTheme="minorHAnsi"/>
                <w:b w:val="0"/>
                <w:color w:val="auto"/>
                <w:sz w:val="22"/>
                <w:lang w:eastAsia="en-AU"/>
              </w:rPr>
              <w:tab/>
            </w:r>
            <w:r w:rsidR="00BA49DF" w:rsidRPr="0000549C">
              <w:rPr>
                <w:rStyle w:val="Hyperlink"/>
              </w:rPr>
              <w:t>Reasons for final decision</w:t>
            </w:r>
            <w:r w:rsidR="00BA49DF">
              <w:rPr>
                <w:webHidden/>
              </w:rPr>
              <w:tab/>
            </w:r>
            <w:r w:rsidR="00BA49DF">
              <w:rPr>
                <w:webHidden/>
              </w:rPr>
              <w:fldChar w:fldCharType="begin"/>
            </w:r>
            <w:r w:rsidR="00BA49DF">
              <w:rPr>
                <w:webHidden/>
              </w:rPr>
              <w:instrText xml:space="preserve"> PAGEREF _Toc419988593 \h </w:instrText>
            </w:r>
            <w:r w:rsidR="00BA49DF">
              <w:rPr>
                <w:webHidden/>
              </w:rPr>
            </w:r>
            <w:r w:rsidR="00BA49DF">
              <w:rPr>
                <w:webHidden/>
              </w:rPr>
              <w:fldChar w:fldCharType="separate"/>
            </w:r>
            <w:r>
              <w:rPr>
                <w:webHidden/>
              </w:rPr>
              <w:t>10-5</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594" w:history="1">
            <w:r w:rsidR="00BA49DF" w:rsidRPr="0000549C">
              <w:rPr>
                <w:rStyle w:val="Hyperlink"/>
              </w:rPr>
              <w:t>10.4.1</w:t>
            </w:r>
            <w:r w:rsidR="00BA49DF">
              <w:rPr>
                <w:rFonts w:asciiTheme="minorHAnsi" w:eastAsiaTheme="minorEastAsia" w:hAnsiTheme="minorHAnsi"/>
                <w:lang w:eastAsia="en-AU"/>
              </w:rPr>
              <w:tab/>
            </w:r>
            <w:r w:rsidR="00BA49DF" w:rsidRPr="0000549C">
              <w:rPr>
                <w:rStyle w:val="Hyperlink"/>
              </w:rPr>
              <w:t>Ability to add, vary or remove tariffs</w:t>
            </w:r>
            <w:r w:rsidR="00BA49DF">
              <w:rPr>
                <w:webHidden/>
              </w:rPr>
              <w:tab/>
            </w:r>
            <w:r w:rsidR="00BA49DF">
              <w:rPr>
                <w:webHidden/>
              </w:rPr>
              <w:fldChar w:fldCharType="begin"/>
            </w:r>
            <w:r w:rsidR="00BA49DF">
              <w:rPr>
                <w:webHidden/>
              </w:rPr>
              <w:instrText xml:space="preserve"> PAGEREF _Toc419988594 \h </w:instrText>
            </w:r>
            <w:r w:rsidR="00BA49DF">
              <w:rPr>
                <w:webHidden/>
              </w:rPr>
            </w:r>
            <w:r w:rsidR="00BA49DF">
              <w:rPr>
                <w:webHidden/>
              </w:rPr>
              <w:fldChar w:fldCharType="separate"/>
            </w:r>
            <w:r>
              <w:rPr>
                <w:webHidden/>
              </w:rPr>
              <w:t>10-5</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595" w:history="1">
            <w:r w:rsidR="00BA49DF" w:rsidRPr="0000549C">
              <w:rPr>
                <w:rStyle w:val="Hyperlink"/>
              </w:rPr>
              <w:t>10.4.2</w:t>
            </w:r>
            <w:r w:rsidR="00BA49DF">
              <w:rPr>
                <w:rFonts w:asciiTheme="minorHAnsi" w:eastAsiaTheme="minorEastAsia" w:hAnsiTheme="minorHAnsi"/>
                <w:lang w:eastAsia="en-AU"/>
              </w:rPr>
              <w:tab/>
            </w:r>
            <w:r w:rsidR="00BA49DF" w:rsidRPr="0000549C">
              <w:rPr>
                <w:rStyle w:val="Hyperlink"/>
              </w:rPr>
              <w:t>Disconnection services</w:t>
            </w:r>
            <w:r w:rsidR="00BA49DF">
              <w:rPr>
                <w:webHidden/>
              </w:rPr>
              <w:tab/>
            </w:r>
            <w:r w:rsidR="00BA49DF">
              <w:rPr>
                <w:webHidden/>
              </w:rPr>
              <w:fldChar w:fldCharType="begin"/>
            </w:r>
            <w:r w:rsidR="00BA49DF">
              <w:rPr>
                <w:webHidden/>
              </w:rPr>
              <w:instrText xml:space="preserve"> PAGEREF _Toc419988595 \h </w:instrText>
            </w:r>
            <w:r w:rsidR="00BA49DF">
              <w:rPr>
                <w:webHidden/>
              </w:rPr>
            </w:r>
            <w:r w:rsidR="00BA49DF">
              <w:rPr>
                <w:webHidden/>
              </w:rPr>
              <w:fldChar w:fldCharType="separate"/>
            </w:r>
            <w:r>
              <w:rPr>
                <w:webHidden/>
              </w:rPr>
              <w:t>10-6</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596" w:history="1">
            <w:r w:rsidR="00BA49DF" w:rsidRPr="0000549C">
              <w:rPr>
                <w:rStyle w:val="Hyperlink"/>
              </w:rPr>
              <w:t>10.4.3</w:t>
            </w:r>
            <w:r w:rsidR="00BA49DF">
              <w:rPr>
                <w:rFonts w:asciiTheme="minorHAnsi" w:eastAsiaTheme="minorEastAsia" w:hAnsiTheme="minorHAnsi"/>
                <w:lang w:eastAsia="en-AU"/>
              </w:rPr>
              <w:tab/>
            </w:r>
            <w:r w:rsidR="00BA49DF" w:rsidRPr="0000549C">
              <w:rPr>
                <w:rStyle w:val="Hyperlink"/>
              </w:rPr>
              <w:t>Cogeneration</w:t>
            </w:r>
            <w:r w:rsidR="00BA49DF">
              <w:rPr>
                <w:webHidden/>
              </w:rPr>
              <w:tab/>
            </w:r>
            <w:r w:rsidR="00BA49DF">
              <w:rPr>
                <w:webHidden/>
              </w:rPr>
              <w:fldChar w:fldCharType="begin"/>
            </w:r>
            <w:r w:rsidR="00BA49DF">
              <w:rPr>
                <w:webHidden/>
              </w:rPr>
              <w:instrText xml:space="preserve"> PAGEREF _Toc419988596 \h </w:instrText>
            </w:r>
            <w:r w:rsidR="00BA49DF">
              <w:rPr>
                <w:webHidden/>
              </w:rPr>
            </w:r>
            <w:r w:rsidR="00BA49DF">
              <w:rPr>
                <w:webHidden/>
              </w:rPr>
              <w:fldChar w:fldCharType="separate"/>
            </w:r>
            <w:r>
              <w:rPr>
                <w:webHidden/>
              </w:rPr>
              <w:t>10-9</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597" w:history="1">
            <w:r w:rsidR="00BA49DF" w:rsidRPr="0000549C">
              <w:rPr>
                <w:rStyle w:val="Hyperlink"/>
              </w:rPr>
              <w:t>10.4.4</w:t>
            </w:r>
            <w:r w:rsidR="00BA49DF">
              <w:rPr>
                <w:rFonts w:asciiTheme="minorHAnsi" w:eastAsiaTheme="minorEastAsia" w:hAnsiTheme="minorHAnsi"/>
                <w:lang w:eastAsia="en-AU"/>
              </w:rPr>
              <w:tab/>
            </w:r>
            <w:r w:rsidR="00BA49DF" w:rsidRPr="0000549C">
              <w:rPr>
                <w:rStyle w:val="Hyperlink"/>
              </w:rPr>
              <w:t>Fixed Charges</w:t>
            </w:r>
            <w:r w:rsidR="00BA49DF">
              <w:rPr>
                <w:webHidden/>
              </w:rPr>
              <w:tab/>
            </w:r>
            <w:r w:rsidR="00BA49DF">
              <w:rPr>
                <w:webHidden/>
              </w:rPr>
              <w:fldChar w:fldCharType="begin"/>
            </w:r>
            <w:r w:rsidR="00BA49DF">
              <w:rPr>
                <w:webHidden/>
              </w:rPr>
              <w:instrText xml:space="preserve"> PAGEREF _Toc419988597 \h </w:instrText>
            </w:r>
            <w:r w:rsidR="00BA49DF">
              <w:rPr>
                <w:webHidden/>
              </w:rPr>
            </w:r>
            <w:r w:rsidR="00BA49DF">
              <w:rPr>
                <w:webHidden/>
              </w:rPr>
              <w:fldChar w:fldCharType="separate"/>
            </w:r>
            <w:r>
              <w:rPr>
                <w:webHidden/>
              </w:rPr>
              <w:t>10-9</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598" w:history="1">
            <w:r w:rsidR="00BA49DF" w:rsidRPr="0000549C">
              <w:rPr>
                <w:rStyle w:val="Hyperlink"/>
              </w:rPr>
              <w:t>10.4.5</w:t>
            </w:r>
            <w:r w:rsidR="00BA49DF">
              <w:rPr>
                <w:rFonts w:asciiTheme="minorHAnsi" w:eastAsiaTheme="minorEastAsia" w:hAnsiTheme="minorHAnsi"/>
                <w:lang w:eastAsia="en-AU"/>
              </w:rPr>
              <w:tab/>
            </w:r>
            <w:r w:rsidR="00BA49DF" w:rsidRPr="0000549C">
              <w:rPr>
                <w:rStyle w:val="Hyperlink"/>
              </w:rPr>
              <w:t>Decommissioning and meter removal charges</w:t>
            </w:r>
            <w:r w:rsidR="00BA49DF">
              <w:rPr>
                <w:webHidden/>
              </w:rPr>
              <w:tab/>
            </w:r>
            <w:r w:rsidR="00BA49DF">
              <w:rPr>
                <w:webHidden/>
              </w:rPr>
              <w:fldChar w:fldCharType="begin"/>
            </w:r>
            <w:r w:rsidR="00BA49DF">
              <w:rPr>
                <w:webHidden/>
              </w:rPr>
              <w:instrText xml:space="preserve"> PAGEREF _Toc419988598 \h </w:instrText>
            </w:r>
            <w:r w:rsidR="00BA49DF">
              <w:rPr>
                <w:webHidden/>
              </w:rPr>
            </w:r>
            <w:r w:rsidR="00BA49DF">
              <w:rPr>
                <w:webHidden/>
              </w:rPr>
              <w:fldChar w:fldCharType="separate"/>
            </w:r>
            <w:r>
              <w:rPr>
                <w:webHidden/>
              </w:rPr>
              <w:t>10-9</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599" w:history="1">
            <w:r w:rsidR="00BA49DF" w:rsidRPr="0000549C">
              <w:rPr>
                <w:rStyle w:val="Hyperlink"/>
              </w:rPr>
              <w:t>10.4.6</w:t>
            </w:r>
            <w:r w:rsidR="00BA49DF">
              <w:rPr>
                <w:rFonts w:asciiTheme="minorHAnsi" w:eastAsiaTheme="minorEastAsia" w:hAnsiTheme="minorHAnsi"/>
                <w:lang w:eastAsia="en-AU"/>
              </w:rPr>
              <w:tab/>
            </w:r>
            <w:r w:rsidR="00BA49DF" w:rsidRPr="0000549C">
              <w:rPr>
                <w:rStyle w:val="Hyperlink"/>
              </w:rPr>
              <w:t>Special Meter Reads</w:t>
            </w:r>
            <w:r w:rsidR="00BA49DF">
              <w:rPr>
                <w:webHidden/>
              </w:rPr>
              <w:tab/>
            </w:r>
            <w:r w:rsidR="00BA49DF">
              <w:rPr>
                <w:webHidden/>
              </w:rPr>
              <w:fldChar w:fldCharType="begin"/>
            </w:r>
            <w:r w:rsidR="00BA49DF">
              <w:rPr>
                <w:webHidden/>
              </w:rPr>
              <w:instrText xml:space="preserve"> PAGEREF _Toc419988599 \h </w:instrText>
            </w:r>
            <w:r w:rsidR="00BA49DF">
              <w:rPr>
                <w:webHidden/>
              </w:rPr>
            </w:r>
            <w:r w:rsidR="00BA49DF">
              <w:rPr>
                <w:webHidden/>
              </w:rPr>
              <w:fldChar w:fldCharType="separate"/>
            </w:r>
            <w:r>
              <w:rPr>
                <w:webHidden/>
              </w:rPr>
              <w:t>10-10</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600" w:history="1">
            <w:r w:rsidR="00BA49DF" w:rsidRPr="0000549C">
              <w:rPr>
                <w:rStyle w:val="Hyperlink"/>
              </w:rPr>
              <w:t>10.4.7</w:t>
            </w:r>
            <w:r w:rsidR="00BA49DF">
              <w:rPr>
                <w:rFonts w:asciiTheme="minorHAnsi" w:eastAsiaTheme="minorEastAsia" w:hAnsiTheme="minorHAnsi"/>
                <w:lang w:eastAsia="en-AU"/>
              </w:rPr>
              <w:tab/>
            </w:r>
            <w:r w:rsidR="00BA49DF" w:rsidRPr="0000549C">
              <w:rPr>
                <w:rStyle w:val="Hyperlink"/>
              </w:rPr>
              <w:t>Temporary disconnection for small customers</w:t>
            </w:r>
            <w:r w:rsidR="00BA49DF">
              <w:rPr>
                <w:webHidden/>
              </w:rPr>
              <w:tab/>
            </w:r>
            <w:r w:rsidR="00BA49DF">
              <w:rPr>
                <w:webHidden/>
              </w:rPr>
              <w:fldChar w:fldCharType="begin"/>
            </w:r>
            <w:r w:rsidR="00BA49DF">
              <w:rPr>
                <w:webHidden/>
              </w:rPr>
              <w:instrText xml:space="preserve"> PAGEREF _Toc419988600 \h </w:instrText>
            </w:r>
            <w:r w:rsidR="00BA49DF">
              <w:rPr>
                <w:webHidden/>
              </w:rPr>
            </w:r>
            <w:r w:rsidR="00BA49DF">
              <w:rPr>
                <w:webHidden/>
              </w:rPr>
              <w:fldChar w:fldCharType="separate"/>
            </w:r>
            <w:r>
              <w:rPr>
                <w:webHidden/>
              </w:rPr>
              <w:t>10-11</w:t>
            </w:r>
            <w:r w:rsidR="00BA49DF">
              <w:rPr>
                <w:webHidden/>
              </w:rPr>
              <w:fldChar w:fldCharType="end"/>
            </w:r>
          </w:hyperlink>
        </w:p>
        <w:p w:rsidR="00BA49DF" w:rsidRDefault="0084679A">
          <w:pPr>
            <w:pStyle w:val="TOC3"/>
            <w:rPr>
              <w:rFonts w:asciiTheme="minorHAnsi" w:eastAsiaTheme="minorEastAsia" w:hAnsiTheme="minorHAnsi"/>
              <w:lang w:eastAsia="en-AU"/>
            </w:rPr>
          </w:pPr>
          <w:hyperlink w:anchor="_Toc419988601" w:history="1">
            <w:r w:rsidR="00BA49DF" w:rsidRPr="0000549C">
              <w:rPr>
                <w:rStyle w:val="Hyperlink"/>
              </w:rPr>
              <w:t>10.4.8</w:t>
            </w:r>
            <w:r w:rsidR="00BA49DF">
              <w:rPr>
                <w:rFonts w:asciiTheme="minorHAnsi" w:eastAsiaTheme="minorEastAsia" w:hAnsiTheme="minorHAnsi"/>
                <w:lang w:eastAsia="en-AU"/>
              </w:rPr>
              <w:tab/>
            </w:r>
            <w:r w:rsidR="00BA49DF" w:rsidRPr="0000549C">
              <w:rPr>
                <w:rStyle w:val="Hyperlink"/>
              </w:rPr>
              <w:t>Large customer tariffs</w:t>
            </w:r>
            <w:r w:rsidR="00BA49DF">
              <w:rPr>
                <w:webHidden/>
              </w:rPr>
              <w:tab/>
            </w:r>
            <w:r w:rsidR="00BA49DF">
              <w:rPr>
                <w:webHidden/>
              </w:rPr>
              <w:fldChar w:fldCharType="begin"/>
            </w:r>
            <w:r w:rsidR="00BA49DF">
              <w:rPr>
                <w:webHidden/>
              </w:rPr>
              <w:instrText xml:space="preserve"> PAGEREF _Toc419988601 \h </w:instrText>
            </w:r>
            <w:r w:rsidR="00BA49DF">
              <w:rPr>
                <w:webHidden/>
              </w:rPr>
            </w:r>
            <w:r w:rsidR="00BA49DF">
              <w:rPr>
                <w:webHidden/>
              </w:rPr>
              <w:fldChar w:fldCharType="separate"/>
            </w:r>
            <w:r>
              <w:rPr>
                <w:webHidden/>
              </w:rPr>
              <w:t>10-11</w:t>
            </w:r>
            <w:r w:rsidR="00BA49DF">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9988588"/>
      <w:r>
        <w:lastRenderedPageBreak/>
        <w:t>Shortened forms</w:t>
      </w:r>
      <w:bookmarkStart w:id="9" w:name="_GoBack"/>
      <w:bookmarkEnd w:id="7"/>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3A7EE9">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3A7EE9">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0C4D64" w:rsidP="000C4D64">
      <w:pPr>
        <w:pStyle w:val="Heading1"/>
      </w:pPr>
      <w:bookmarkStart w:id="10" w:name="_Toc419988589"/>
      <w:r>
        <w:lastRenderedPageBreak/>
        <w:t>Reference tariff setting</w:t>
      </w:r>
      <w:bookmarkEnd w:id="10"/>
    </w:p>
    <w:p w:rsidR="0024125D" w:rsidRPr="0024125D" w:rsidRDefault="0024125D" w:rsidP="0024125D">
      <w:pPr>
        <w:numPr>
          <w:ilvl w:val="0"/>
          <w:numId w:val="25"/>
        </w:numPr>
      </w:pPr>
      <w:r w:rsidRPr="0024125D">
        <w:rPr>
          <w:rStyle w:val="AERbody"/>
        </w:rPr>
        <w:t xml:space="preserve">This attachment outlines our assessment of the reference tariffs proposed by JGN against the requirements of the </w:t>
      </w:r>
      <w:r w:rsidR="003A7EE9">
        <w:rPr>
          <w:rStyle w:val="AERbody"/>
        </w:rPr>
        <w:t xml:space="preserve">NGL and </w:t>
      </w:r>
      <w:r w:rsidRPr="0024125D">
        <w:rPr>
          <w:rStyle w:val="AERbody"/>
        </w:rPr>
        <w:t xml:space="preserve">NGR. Our </w:t>
      </w:r>
      <w:r w:rsidR="00E857A9">
        <w:rPr>
          <w:rStyle w:val="AERbody"/>
        </w:rPr>
        <w:t xml:space="preserve">evaluation </w:t>
      </w:r>
      <w:r w:rsidRPr="0024125D">
        <w:rPr>
          <w:rStyle w:val="AERbody"/>
        </w:rPr>
        <w:t>focuses on the structure of reference tariffs and takes into account the revenue and pricing principles.</w:t>
      </w:r>
      <w:r w:rsidRPr="0024125D">
        <w:rPr>
          <w:rStyle w:val="FootnoteReference"/>
        </w:rPr>
        <w:footnoteReference w:id="1"/>
      </w:r>
      <w:r w:rsidRPr="0024125D">
        <w:rPr>
          <w:rStyle w:val="AERbody"/>
        </w:rPr>
        <w:t xml:space="preserve"> </w:t>
      </w:r>
    </w:p>
    <w:p w:rsidR="00DE563D" w:rsidRDefault="00AF1F9E" w:rsidP="00AF1F9E">
      <w:pPr>
        <w:pStyle w:val="Heading2"/>
      </w:pPr>
      <w:bookmarkStart w:id="11" w:name="_Toc403144136"/>
      <w:bookmarkStart w:id="12" w:name="_Toc419988590"/>
      <w:r>
        <w:t>Final</w:t>
      </w:r>
      <w:r w:rsidR="00DE563D" w:rsidRPr="00AF1F9E">
        <w:t xml:space="preserve"> decision</w:t>
      </w:r>
      <w:bookmarkEnd w:id="11"/>
      <w:bookmarkEnd w:id="12"/>
    </w:p>
    <w:p w:rsidR="00FD1804" w:rsidRDefault="00794320" w:rsidP="002F52DC">
      <w:r>
        <w:t xml:space="preserve">We </w:t>
      </w:r>
      <w:r w:rsidRPr="00794320">
        <w:t xml:space="preserve">accept the proposed structure of </w:t>
      </w:r>
      <w:r>
        <w:t>JGN's</w:t>
      </w:r>
      <w:r w:rsidRPr="00794320">
        <w:t xml:space="preserve"> reference tariffs set out in its revised proposal</w:t>
      </w:r>
      <w:r w:rsidR="0092631D">
        <w:t>. Nevertheless we</w:t>
      </w:r>
      <w:r w:rsidRPr="00794320">
        <w:t xml:space="preserve"> consider th</w:t>
      </w:r>
      <w:r w:rsidR="00343A14">
        <w:t xml:space="preserve">at </w:t>
      </w:r>
      <w:r w:rsidR="00F45B67">
        <w:t xml:space="preserve">JGN </w:t>
      </w:r>
      <w:r w:rsidR="00343A14">
        <w:t>must amend its ac</w:t>
      </w:r>
      <w:r w:rsidR="005B1FD5">
        <w:t>cess arrangement in order to comply with the NSW Retail Market Procedures</w:t>
      </w:r>
      <w:r w:rsidRPr="00794320">
        <w:t>.</w:t>
      </w:r>
      <w:r w:rsidR="00FD1804" w:rsidRPr="00FD1804">
        <w:rPr>
          <w:rStyle w:val="FootnoteReference"/>
        </w:rPr>
        <w:footnoteReference w:id="2"/>
      </w:r>
      <w:r w:rsidR="00FD1804" w:rsidRPr="00FD1804">
        <w:t xml:space="preserve">  </w:t>
      </w:r>
    </w:p>
    <w:p w:rsidR="00DD285E" w:rsidRPr="00DD285E" w:rsidRDefault="00DD285E" w:rsidP="00DD285E">
      <w:r w:rsidRPr="00DD285E">
        <w:t xml:space="preserve">We have made all revisions necessary to give effect to this final decision to JGN’s revised proposed access arrangement. These revisions can be found in </w:t>
      </w:r>
      <w:r>
        <w:t>schedule</w:t>
      </w:r>
      <w:r w:rsidRPr="00DD285E">
        <w:t xml:space="preserve"> 2 of the </w:t>
      </w:r>
      <w:r w:rsidRPr="00DD285E">
        <w:rPr>
          <w:rStyle w:val="AERtextitalic"/>
        </w:rPr>
        <w:t>Approved Access Arrangement, JGN’s NSW gas distribution networks 1 July 2015 – 30 June 2020</w:t>
      </w:r>
      <w:r w:rsidRPr="00DD285E">
        <w:t xml:space="preserve"> (</w:t>
      </w:r>
      <w:r w:rsidR="003A7EE9">
        <w:t>June</w:t>
      </w:r>
      <w:r w:rsidR="003A7EE9" w:rsidRPr="00DD285E">
        <w:t xml:space="preserve"> </w:t>
      </w:r>
      <w:r w:rsidRPr="00DD285E">
        <w:t>2015).</w:t>
      </w:r>
      <w:r w:rsidRPr="00DD285E">
        <w:rPr>
          <w:rStyle w:val="FootnoteReference"/>
        </w:rPr>
        <w:footnoteReference w:id="3"/>
      </w:r>
    </w:p>
    <w:p w:rsidR="00DE563D" w:rsidRPr="00AF1F9E" w:rsidRDefault="00FB5826" w:rsidP="00AF1F9E">
      <w:pPr>
        <w:pStyle w:val="Heading2"/>
      </w:pPr>
      <w:bookmarkStart w:id="13" w:name="_Toc403144137"/>
      <w:bookmarkStart w:id="14" w:name="_Toc419988591"/>
      <w:r>
        <w:t>JGN's</w:t>
      </w:r>
      <w:r w:rsidR="00AF1F9E">
        <w:t xml:space="preserve"> revised</w:t>
      </w:r>
      <w:r w:rsidR="00DE563D" w:rsidRPr="00AF1F9E">
        <w:t xml:space="preserve"> proposal</w:t>
      </w:r>
      <w:bookmarkEnd w:id="13"/>
      <w:bookmarkEnd w:id="14"/>
    </w:p>
    <w:p w:rsidR="00277FF4" w:rsidRPr="00277FF4" w:rsidRDefault="00BB6768" w:rsidP="00277FF4">
      <w:r>
        <w:t>JGN's revised proposal accepted most of our draft decision on tariff setting</w:t>
      </w:r>
      <w:r w:rsidR="009A6D4B">
        <w:t xml:space="preserve">. However, it proposed </w:t>
      </w:r>
      <w:r w:rsidR="00FD1804" w:rsidRPr="00FD1804">
        <w:t xml:space="preserve">that </w:t>
      </w:r>
      <w:r w:rsidR="008F79D9">
        <w:t>it should be allowed to vary tariff</w:t>
      </w:r>
      <w:r w:rsidR="00C2023F">
        <w:t>s</w:t>
      </w:r>
      <w:r w:rsidR="008F79D9">
        <w:t xml:space="preserve"> </w:t>
      </w:r>
      <w:r w:rsidR="00C2023F">
        <w:t>in accordance with its access arrangement</w:t>
      </w:r>
      <w:r w:rsidR="008E6C9D">
        <w:t xml:space="preserve"> </w:t>
      </w:r>
      <w:r w:rsidR="006D322D">
        <w:t xml:space="preserve">and </w:t>
      </w:r>
      <w:r w:rsidR="00C2023F">
        <w:t xml:space="preserve">our </w:t>
      </w:r>
      <w:r w:rsidR="0092631D">
        <w:t xml:space="preserve">subsequent </w:t>
      </w:r>
      <w:r w:rsidR="00D976FC">
        <w:t xml:space="preserve">formal </w:t>
      </w:r>
      <w:r w:rsidR="00C2023F">
        <w:t>approval</w:t>
      </w:r>
      <w:r w:rsidR="0092631D">
        <w:t xml:space="preserve"> of any proposed tariff variations</w:t>
      </w:r>
      <w:r w:rsidR="008E6C9D">
        <w:t>.</w:t>
      </w:r>
      <w:r w:rsidR="008E6C9D">
        <w:rPr>
          <w:rStyle w:val="FootnoteReference"/>
        </w:rPr>
        <w:footnoteReference w:id="4"/>
      </w:r>
      <w:r w:rsidR="00277FF4" w:rsidRPr="00277FF4">
        <w:t xml:space="preserve"> </w:t>
      </w:r>
    </w:p>
    <w:p w:rsidR="00DE563D" w:rsidRPr="00AF1F9E" w:rsidRDefault="00DE563D" w:rsidP="00AF1F9E">
      <w:pPr>
        <w:pStyle w:val="Heading2"/>
      </w:pPr>
      <w:bookmarkStart w:id="15" w:name="_Toc403144138"/>
      <w:bookmarkStart w:id="16" w:name="_Toc419988592"/>
      <w:r w:rsidRPr="00AF1F9E">
        <w:t>AER’s assessment approach</w:t>
      </w:r>
      <w:bookmarkEnd w:id="15"/>
      <w:bookmarkEnd w:id="16"/>
    </w:p>
    <w:p w:rsidR="00DE563D" w:rsidRPr="00AF1F9E" w:rsidRDefault="00D976FC" w:rsidP="00AF1F9E">
      <w:r>
        <w:t>The</w:t>
      </w:r>
      <w:r w:rsidRPr="00277FF4">
        <w:t xml:space="preserve"> draft decision described in detail </w:t>
      </w:r>
      <w:r>
        <w:t xml:space="preserve">our </w:t>
      </w:r>
      <w:r w:rsidR="00277FF4" w:rsidRPr="00277FF4">
        <w:t xml:space="preserve">approach to assessing </w:t>
      </w:r>
      <w:r w:rsidRPr="00277FF4">
        <w:t>JGN</w:t>
      </w:r>
      <w:r>
        <w:t xml:space="preserve">'s </w:t>
      </w:r>
      <w:r w:rsidR="00277FF4">
        <w:t>reference tariffs</w:t>
      </w:r>
      <w:r w:rsidR="00277FF4" w:rsidRPr="00277FF4">
        <w:t xml:space="preserve">. </w:t>
      </w:r>
      <w:r w:rsidR="0092631D">
        <w:t xml:space="preserve">The same approach has been </w:t>
      </w:r>
      <w:r w:rsidR="00277FF4" w:rsidRPr="00277FF4">
        <w:t>maintained for the final decision.</w:t>
      </w:r>
      <w:r w:rsidR="00C2023F">
        <w:rPr>
          <w:rStyle w:val="FootnoteReference"/>
        </w:rPr>
        <w:footnoteReference w:id="5"/>
      </w:r>
      <w:r w:rsidR="00277FF4" w:rsidRPr="00277FF4">
        <w:t xml:space="preserve">  </w:t>
      </w:r>
    </w:p>
    <w:p w:rsidR="00DE563D" w:rsidRDefault="00DE563D" w:rsidP="00AF1F9E">
      <w:pPr>
        <w:pStyle w:val="Heading2"/>
      </w:pPr>
      <w:bookmarkStart w:id="17" w:name="_Toc403144140"/>
      <w:bookmarkStart w:id="18" w:name="_Toc419988593"/>
      <w:r w:rsidRPr="00AF1F9E">
        <w:t xml:space="preserve">Reasons for </w:t>
      </w:r>
      <w:r w:rsidR="00AF1F9E">
        <w:t>final</w:t>
      </w:r>
      <w:r w:rsidRPr="00AF1F9E">
        <w:t xml:space="preserve"> decision</w:t>
      </w:r>
      <w:bookmarkEnd w:id="17"/>
      <w:bookmarkEnd w:id="18"/>
      <w:r w:rsidRPr="00AF1F9E">
        <w:t xml:space="preserve"> </w:t>
      </w:r>
    </w:p>
    <w:p w:rsidR="00AF1F9E" w:rsidRDefault="00AB61A5" w:rsidP="00E24269">
      <w:pPr>
        <w:pStyle w:val="Heading3"/>
      </w:pPr>
      <w:bookmarkStart w:id="19" w:name="_Toc419988594"/>
      <w:r>
        <w:t>Ability to add</w:t>
      </w:r>
      <w:r w:rsidR="000537DA">
        <w:t>, vary</w:t>
      </w:r>
      <w:r>
        <w:t xml:space="preserve"> </w:t>
      </w:r>
      <w:r w:rsidR="000537DA">
        <w:t>or</w:t>
      </w:r>
      <w:r>
        <w:t xml:space="preserve"> remove tariffs</w:t>
      </w:r>
      <w:bookmarkEnd w:id="19"/>
      <w:r w:rsidR="00BB1A54">
        <w:t xml:space="preserve"> </w:t>
      </w:r>
    </w:p>
    <w:p w:rsidR="00BB1A54" w:rsidRDefault="006D322D" w:rsidP="00E24269">
      <w:r w:rsidRPr="006D322D">
        <w:t xml:space="preserve">JGN proposed a mechanism to </w:t>
      </w:r>
      <w:r w:rsidR="00DA37FC">
        <w:t>enable</w:t>
      </w:r>
      <w:r w:rsidR="00DA37FC" w:rsidRPr="006D322D">
        <w:t xml:space="preserve"> </w:t>
      </w:r>
      <w:r w:rsidR="00DA37FC">
        <w:t>it to</w:t>
      </w:r>
      <w:r w:rsidR="00DA37FC" w:rsidRPr="006D322D">
        <w:t xml:space="preserve"> </w:t>
      </w:r>
      <w:r w:rsidR="00DA37FC">
        <w:t>introduce</w:t>
      </w:r>
      <w:r w:rsidR="00DA37FC" w:rsidRPr="006D322D">
        <w:t xml:space="preserve"> </w:t>
      </w:r>
      <w:r w:rsidRPr="006D322D">
        <w:t xml:space="preserve">or withdrawal reference tariffs </w:t>
      </w:r>
      <w:r w:rsidR="00DA37FC">
        <w:t>v</w:t>
      </w:r>
      <w:r w:rsidR="0092631D">
        <w:t>ia</w:t>
      </w:r>
      <w:r w:rsidR="0092631D" w:rsidRPr="006D322D">
        <w:t xml:space="preserve"> </w:t>
      </w:r>
      <w:r w:rsidRPr="006D322D">
        <w:t>the</w:t>
      </w:r>
      <w:r w:rsidR="00DA37FC">
        <w:t xml:space="preserve"> annual</w:t>
      </w:r>
      <w:r w:rsidRPr="006D322D">
        <w:t xml:space="preserve"> tariff variation mechanism</w:t>
      </w:r>
      <w:r>
        <w:t xml:space="preserve">. </w:t>
      </w:r>
      <w:r w:rsidR="00BB1A54">
        <w:t>This was so that it could respond in a timely manner to changes in customer preferences that may</w:t>
      </w:r>
      <w:r w:rsidR="009A6D4B">
        <w:t>, for instance,</w:t>
      </w:r>
      <w:r w:rsidR="00BB1A54">
        <w:t xml:space="preserve"> necessitate intr</w:t>
      </w:r>
      <w:r w:rsidR="007F5377">
        <w:t>o</w:t>
      </w:r>
      <w:r w:rsidR="00BB1A54">
        <w:t>ducing a new tariff class.</w:t>
      </w:r>
    </w:p>
    <w:p w:rsidR="0092631D" w:rsidRDefault="00BB1A54" w:rsidP="00E24269">
      <w:r>
        <w:t xml:space="preserve">On this basis </w:t>
      </w:r>
      <w:r w:rsidR="009A6D4B">
        <w:t xml:space="preserve">JGN proposed </w:t>
      </w:r>
      <w:r>
        <w:t xml:space="preserve">that </w:t>
      </w:r>
      <w:r w:rsidR="009A6D4B">
        <w:t>our</w:t>
      </w:r>
      <w:r>
        <w:t xml:space="preserve"> draft decision</w:t>
      </w:r>
      <w:r w:rsidR="009A6D4B">
        <w:t>,</w:t>
      </w:r>
      <w:r>
        <w:t xml:space="preserve"> that changes </w:t>
      </w:r>
      <w:r w:rsidR="009A6D4B">
        <w:t xml:space="preserve">such </w:t>
      </w:r>
      <w:r>
        <w:t>as</w:t>
      </w:r>
      <w:r w:rsidR="00DA37FC">
        <w:t xml:space="preserve"> the introduction or withdrawal of </w:t>
      </w:r>
      <w:r>
        <w:t xml:space="preserve">tariffs </w:t>
      </w:r>
      <w:r w:rsidR="009A6D4B">
        <w:t xml:space="preserve">should </w:t>
      </w:r>
      <w:r w:rsidR="00DA37FC">
        <w:t>be effected through</w:t>
      </w:r>
      <w:r w:rsidR="007F5377">
        <w:t xml:space="preserve"> </w:t>
      </w:r>
      <w:r w:rsidR="006D322D" w:rsidRPr="006D322D">
        <w:t xml:space="preserve">a formal variation of </w:t>
      </w:r>
      <w:r w:rsidR="00E24269">
        <w:t>the access arrangement under rule 65 of the NGR</w:t>
      </w:r>
      <w:r w:rsidR="009A6D4B">
        <w:t>,</w:t>
      </w:r>
      <w:r>
        <w:t xml:space="preserve"> was excessive</w:t>
      </w:r>
      <w:r w:rsidR="006D322D" w:rsidRPr="006D322D">
        <w:t>.</w:t>
      </w:r>
    </w:p>
    <w:p w:rsidR="000E2306" w:rsidRDefault="00E24269" w:rsidP="00E24269">
      <w:r>
        <w:lastRenderedPageBreak/>
        <w:t xml:space="preserve">JGN </w:t>
      </w:r>
      <w:r w:rsidR="0092631D">
        <w:t>reasoned</w:t>
      </w:r>
      <w:r w:rsidR="0092631D" w:rsidDel="0092631D">
        <w:t xml:space="preserve"> </w:t>
      </w:r>
      <w:r>
        <w:t xml:space="preserve">that such a process </w:t>
      </w:r>
      <w:r w:rsidR="006D322D" w:rsidRPr="006D322D">
        <w:t xml:space="preserve">would be administratively burdensome for no additional </w:t>
      </w:r>
      <w:r w:rsidR="0092631D">
        <w:t>customer</w:t>
      </w:r>
      <w:r w:rsidR="0092631D" w:rsidRPr="006D322D">
        <w:t xml:space="preserve"> benefit</w:t>
      </w:r>
      <w:r w:rsidR="006D322D" w:rsidRPr="006D322D">
        <w:t>.</w:t>
      </w:r>
      <w:r>
        <w:t xml:space="preserve"> </w:t>
      </w:r>
      <w:r w:rsidRPr="00E24269">
        <w:t>JGN</w:t>
      </w:r>
      <w:r>
        <w:t xml:space="preserve"> </w:t>
      </w:r>
      <w:r w:rsidR="0092631D">
        <w:t>contended</w:t>
      </w:r>
      <w:r w:rsidR="0092631D" w:rsidDel="0092631D">
        <w:t xml:space="preserve"> </w:t>
      </w:r>
      <w:r>
        <w:t xml:space="preserve">that </w:t>
      </w:r>
      <w:r w:rsidR="0092631D">
        <w:t xml:space="preserve">the </w:t>
      </w:r>
      <w:r w:rsidR="002F2410">
        <w:t xml:space="preserve">way </w:t>
      </w:r>
      <w:r w:rsidR="002F2410" w:rsidRPr="00E24269">
        <w:t xml:space="preserve">clause 3.1 </w:t>
      </w:r>
      <w:r w:rsidRPr="00E24269">
        <w:t xml:space="preserve">of </w:t>
      </w:r>
      <w:r>
        <w:t>its</w:t>
      </w:r>
      <w:r w:rsidRPr="00E24269">
        <w:t xml:space="preserve"> </w:t>
      </w:r>
      <w:r>
        <w:t xml:space="preserve">access arrangement </w:t>
      </w:r>
      <w:r w:rsidRPr="00E24269">
        <w:t xml:space="preserve">proposal </w:t>
      </w:r>
      <w:r w:rsidR="002F2410">
        <w:t xml:space="preserve">is written </w:t>
      </w:r>
      <w:r w:rsidRPr="00E24269">
        <w:t xml:space="preserve">makes sufficient provision for AER oversight </w:t>
      </w:r>
      <w:r w:rsidR="002F2410">
        <w:t>of tariff structure changes.</w:t>
      </w:r>
      <w:r w:rsidR="00BB1A54">
        <w:rPr>
          <w:rStyle w:val="FootnoteReference"/>
        </w:rPr>
        <w:footnoteReference w:id="6"/>
      </w:r>
    </w:p>
    <w:p w:rsidR="00E24269" w:rsidRPr="00E24269" w:rsidRDefault="00E24269" w:rsidP="00E24269">
      <w:r>
        <w:t xml:space="preserve">We agree with JGN's revised proposal </w:t>
      </w:r>
      <w:r w:rsidR="004D08AA">
        <w:t>that the</w:t>
      </w:r>
      <w:r w:rsidRPr="00E24269">
        <w:t xml:space="preserve"> </w:t>
      </w:r>
      <w:r w:rsidR="00A106AA" w:rsidRPr="00A106AA">
        <w:t>intro</w:t>
      </w:r>
      <w:r w:rsidR="00A106AA">
        <w:t>duction</w:t>
      </w:r>
      <w:r w:rsidR="00A106AA" w:rsidRPr="00A106AA">
        <w:t xml:space="preserve"> or withdrawal </w:t>
      </w:r>
      <w:r w:rsidR="00A106AA">
        <w:t xml:space="preserve">of </w:t>
      </w:r>
      <w:r w:rsidR="00A106AA" w:rsidRPr="00A106AA">
        <w:t xml:space="preserve">reference tariffs </w:t>
      </w:r>
      <w:r w:rsidR="00A106AA">
        <w:t xml:space="preserve">be managed </w:t>
      </w:r>
      <w:r w:rsidR="00A106AA" w:rsidRPr="00A106AA">
        <w:t>via the annual tariff variation mechanism</w:t>
      </w:r>
      <w:r w:rsidR="004D08AA">
        <w:t>,</w:t>
      </w:r>
      <w:r w:rsidR="000E2306">
        <w:t xml:space="preserve"> rather than</w:t>
      </w:r>
      <w:r w:rsidRPr="00E24269">
        <w:t xml:space="preserve"> reopening </w:t>
      </w:r>
      <w:r w:rsidR="00A106AA">
        <w:t>the access arrangement</w:t>
      </w:r>
      <w:r>
        <w:t xml:space="preserve">. </w:t>
      </w:r>
      <w:r w:rsidR="000E2306">
        <w:t xml:space="preserve">This is </w:t>
      </w:r>
      <w:r w:rsidR="007F5377">
        <w:t>administratively</w:t>
      </w:r>
      <w:r w:rsidR="000E2306">
        <w:t xml:space="preserve"> simpler, </w:t>
      </w:r>
      <w:r w:rsidR="004D08AA">
        <w:t xml:space="preserve">and </w:t>
      </w:r>
      <w:r w:rsidR="000E2306">
        <w:t xml:space="preserve">more efficient and effective </w:t>
      </w:r>
      <w:r w:rsidR="00DE1C37">
        <w:t>for network operators and</w:t>
      </w:r>
      <w:r w:rsidR="000E2306">
        <w:t xml:space="preserve"> customers</w:t>
      </w:r>
      <w:r w:rsidR="004D08AA">
        <w:t>,</w:t>
      </w:r>
      <w:r w:rsidR="000E2306">
        <w:t xml:space="preserve"> than </w:t>
      </w:r>
      <w:r w:rsidR="00DE1C37">
        <w:t xml:space="preserve">reopening </w:t>
      </w:r>
      <w:r w:rsidR="000E2306">
        <w:t xml:space="preserve">an access </w:t>
      </w:r>
      <w:r w:rsidR="004D08AA">
        <w:t>arrangement</w:t>
      </w:r>
      <w:r w:rsidR="000E2306">
        <w:t xml:space="preserve">. The latter can be a </w:t>
      </w:r>
      <w:r w:rsidR="007F5377">
        <w:t>lengthy</w:t>
      </w:r>
      <w:r w:rsidR="000E2306">
        <w:t xml:space="preserve"> process and is generally only reserved for making </w:t>
      </w:r>
      <w:r w:rsidR="00DE1C37">
        <w:t>amendments</w:t>
      </w:r>
      <w:r w:rsidR="000E2306">
        <w:t xml:space="preserve"> on account o</w:t>
      </w:r>
      <w:r w:rsidR="00DE1C37">
        <w:t>f</w:t>
      </w:r>
      <w:r w:rsidR="000E2306">
        <w:t xml:space="preserve"> errors </w:t>
      </w:r>
      <w:r w:rsidR="00DE1C37">
        <w:t xml:space="preserve">in, or </w:t>
      </w:r>
      <w:r w:rsidR="008614E9">
        <w:t>omission</w:t>
      </w:r>
      <w:r w:rsidR="003A7EE9">
        <w:t>s</w:t>
      </w:r>
      <w:r w:rsidR="00DE1C37">
        <w:t xml:space="preserve"> from,</w:t>
      </w:r>
      <w:r w:rsidR="000E2306">
        <w:t xml:space="preserve"> access arrang</w:t>
      </w:r>
      <w:r w:rsidR="004D08AA">
        <w:t>e</w:t>
      </w:r>
      <w:r w:rsidR="000E2306">
        <w:t>ment</w:t>
      </w:r>
      <w:r w:rsidR="00DE1C37">
        <w:t>s</w:t>
      </w:r>
      <w:r w:rsidR="000E2306">
        <w:t>. It is also notewo</w:t>
      </w:r>
      <w:r w:rsidR="004D08AA">
        <w:t>r</w:t>
      </w:r>
      <w:r w:rsidR="000E2306">
        <w:t xml:space="preserve">thy that the process </w:t>
      </w:r>
      <w:r w:rsidR="009A6D4B">
        <w:t xml:space="preserve">recommended by </w:t>
      </w:r>
      <w:r w:rsidR="00DE1C37" w:rsidRPr="00DE1C37">
        <w:t xml:space="preserve">JGN </w:t>
      </w:r>
      <w:r w:rsidR="000E2306">
        <w:t>(and now accepted by us) is</w:t>
      </w:r>
      <w:r>
        <w:t xml:space="preserve"> similar to </w:t>
      </w:r>
      <w:r w:rsidR="009A6D4B">
        <w:t xml:space="preserve">amendments made to the NER. These </w:t>
      </w:r>
      <w:r w:rsidRPr="00E24269">
        <w:t>allow electricity distributors to make changes to tariff structures via their tariff structure statements</w:t>
      </w:r>
      <w:r w:rsidR="009A6D4B">
        <w:t xml:space="preserve"> without a</w:t>
      </w:r>
      <w:r w:rsidR="000E2306">
        <w:t xml:space="preserve">mendments to their </w:t>
      </w:r>
      <w:r w:rsidR="00EA6DF1">
        <w:t>revenue</w:t>
      </w:r>
      <w:r w:rsidR="000E2306">
        <w:t xml:space="preserve"> determinations.</w:t>
      </w:r>
    </w:p>
    <w:p w:rsidR="00C2023F" w:rsidRDefault="00414BCD" w:rsidP="006101C8">
      <w:pPr>
        <w:pStyle w:val="Heading3"/>
      </w:pPr>
      <w:bookmarkStart w:id="20" w:name="_Toc419988595"/>
      <w:r>
        <w:t>Disconnection services</w:t>
      </w:r>
      <w:bookmarkEnd w:id="20"/>
    </w:p>
    <w:p w:rsidR="00234033" w:rsidRDefault="00234033" w:rsidP="00234033">
      <w:r>
        <w:t xml:space="preserve">JGN proposed to rationalise its </w:t>
      </w:r>
      <w:r w:rsidR="007F5D85">
        <w:t xml:space="preserve">disconnection </w:t>
      </w:r>
      <w:r>
        <w:t>charge</w:t>
      </w:r>
      <w:r w:rsidR="007F5D85">
        <w:t>s</w:t>
      </w:r>
      <w:r>
        <w:t xml:space="preserve"> for small </w:t>
      </w:r>
      <w:r w:rsidR="007F5D85">
        <w:t xml:space="preserve">retail </w:t>
      </w:r>
      <w:r w:rsidR="00414BCD">
        <w:t xml:space="preserve">(i.e. household) </w:t>
      </w:r>
      <w:r>
        <w:t>customers by:</w:t>
      </w:r>
    </w:p>
    <w:p w:rsidR="00234033" w:rsidRDefault="00414BCD" w:rsidP="00234033">
      <w:pPr>
        <w:pStyle w:val="AERbulletlistfirststyle"/>
      </w:pPr>
      <w:r>
        <w:t xml:space="preserve">removing </w:t>
      </w:r>
      <w:r w:rsidR="00234033">
        <w:t xml:space="preserve">its </w:t>
      </w:r>
      <w:r>
        <w:t xml:space="preserve">$146.86 </w:t>
      </w:r>
      <w:r w:rsidR="00A66DDD">
        <w:t>"</w:t>
      </w:r>
      <w:r w:rsidR="00234033">
        <w:t>temporary disconnection</w:t>
      </w:r>
      <w:r w:rsidR="00A66DDD">
        <w:t>" charge</w:t>
      </w:r>
      <w:r w:rsidR="002E48F7">
        <w:t>.</w:t>
      </w:r>
    </w:p>
    <w:p w:rsidR="00234033" w:rsidRDefault="00414BCD" w:rsidP="00234033">
      <w:pPr>
        <w:pStyle w:val="AERbulletlistfirststyle"/>
      </w:pPr>
      <w:r>
        <w:t>e</w:t>
      </w:r>
      <w:r w:rsidR="002F2410">
        <w:t>liminating</w:t>
      </w:r>
      <w:r w:rsidR="002F2410" w:rsidDel="002F2410">
        <w:t xml:space="preserve"> </w:t>
      </w:r>
      <w:r w:rsidR="00234033">
        <w:t xml:space="preserve">its </w:t>
      </w:r>
      <w:r>
        <w:t>"</w:t>
      </w:r>
      <w:r w:rsidR="00234033">
        <w:t>permanent disconnection</w:t>
      </w:r>
      <w:r>
        <w:t>"</w:t>
      </w:r>
      <w:r w:rsidR="00234033">
        <w:t xml:space="preserve"> charge of $433.88</w:t>
      </w:r>
      <w:r w:rsidR="002E48F7">
        <w:t>.</w:t>
      </w:r>
    </w:p>
    <w:p w:rsidR="00234033" w:rsidRDefault="000E2306" w:rsidP="00414BCD">
      <w:r>
        <w:t xml:space="preserve">The </w:t>
      </w:r>
      <w:r w:rsidR="00414BCD">
        <w:t>separate temporary</w:t>
      </w:r>
      <w:r w:rsidR="00A66DDD">
        <w:t xml:space="preserve"> disconnection and permanent disconnection</w:t>
      </w:r>
      <w:r w:rsidR="00414BCD">
        <w:t xml:space="preserve"> services</w:t>
      </w:r>
      <w:r w:rsidR="00A66DDD">
        <w:t xml:space="preserve"> </w:t>
      </w:r>
      <w:r>
        <w:t xml:space="preserve">would </w:t>
      </w:r>
      <w:r w:rsidR="003A7EE9">
        <w:t xml:space="preserve">instead </w:t>
      </w:r>
      <w:r>
        <w:t xml:space="preserve">be combined </w:t>
      </w:r>
      <w:r w:rsidR="00234033">
        <w:t>into a single</w:t>
      </w:r>
      <w:r w:rsidR="009A6D4B">
        <w:t>, $150</w:t>
      </w:r>
      <w:r w:rsidR="00234033">
        <w:t xml:space="preserve"> </w:t>
      </w:r>
      <w:r w:rsidR="003A7EE9">
        <w:t>“</w:t>
      </w:r>
      <w:r w:rsidR="003A7EE9" w:rsidRPr="00AC25B3">
        <w:rPr>
          <w:rStyle w:val="AERbody"/>
        </w:rPr>
        <w:t>disconnection</w:t>
      </w:r>
      <w:r w:rsidR="003A7EE9">
        <w:rPr>
          <w:rStyle w:val="AERbody"/>
        </w:rPr>
        <w:t xml:space="preserve">” </w:t>
      </w:r>
      <w:r w:rsidR="00234033">
        <w:t>charge</w:t>
      </w:r>
      <w:r>
        <w:t>.</w:t>
      </w:r>
      <w:r w:rsidR="00234033">
        <w:rPr>
          <w:rStyle w:val="FootnoteReference"/>
        </w:rPr>
        <w:footnoteReference w:id="7"/>
      </w:r>
    </w:p>
    <w:p w:rsidR="00414BCD" w:rsidRDefault="009A6D4B" w:rsidP="00FD5CEB">
      <w:r>
        <w:t>Our</w:t>
      </w:r>
      <w:r w:rsidR="00DE1C37" w:rsidRPr="00DE1C37">
        <w:t xml:space="preserve"> draft decision </w:t>
      </w:r>
      <w:r w:rsidR="00DE1C37">
        <w:t>accepted this</w:t>
      </w:r>
      <w:r>
        <w:t xml:space="preserve"> proposal</w:t>
      </w:r>
      <w:r w:rsidR="00EE28F6">
        <w:t xml:space="preserve">. </w:t>
      </w:r>
      <w:r>
        <w:t xml:space="preserve">However, submissions from </w:t>
      </w:r>
      <w:r w:rsidR="00EE28F6">
        <w:t>r</w:t>
      </w:r>
      <w:r w:rsidR="007F5D85">
        <w:t>etailers</w:t>
      </w:r>
      <w:r>
        <w:t xml:space="preserve"> argued that </w:t>
      </w:r>
      <w:r w:rsidR="007F5D85">
        <w:t xml:space="preserve">JGN </w:t>
      </w:r>
      <w:r>
        <w:t>should</w:t>
      </w:r>
      <w:r w:rsidR="007F5D85">
        <w:t xml:space="preserve"> </w:t>
      </w:r>
      <w:r w:rsidR="00AB6133">
        <w:t xml:space="preserve">split </w:t>
      </w:r>
      <w:r w:rsidR="007F5D85">
        <w:t>its</w:t>
      </w:r>
      <w:r w:rsidR="00AB6133">
        <w:t xml:space="preserve"> </w:t>
      </w:r>
      <w:r w:rsidR="003A7EE9">
        <w:t xml:space="preserve">proposed </w:t>
      </w:r>
      <w:r w:rsidR="00AB6133" w:rsidRPr="00BA49DF">
        <w:t>disconnection</w:t>
      </w:r>
      <w:r w:rsidR="00AB6133" w:rsidRPr="003A7EE9">
        <w:t xml:space="preserve"> </w:t>
      </w:r>
      <w:r w:rsidR="00AB6133">
        <w:t>charge into two separate charges</w:t>
      </w:r>
      <w:r w:rsidR="00414BCD">
        <w:t xml:space="preserve">, called </w:t>
      </w:r>
      <w:r w:rsidR="00EE28F6">
        <w:t xml:space="preserve">"disconnection" and </w:t>
      </w:r>
      <w:r w:rsidR="00414BCD">
        <w:t>"</w:t>
      </w:r>
      <w:r w:rsidR="00AB6133">
        <w:t>reconnection</w:t>
      </w:r>
      <w:r w:rsidR="00414BCD">
        <w:t>"</w:t>
      </w:r>
      <w:r w:rsidR="00EE28F6">
        <w:t>.</w:t>
      </w:r>
    </w:p>
    <w:p w:rsidR="00AB6133" w:rsidRDefault="00BF7CE2" w:rsidP="00FD5CEB">
      <w:r>
        <w:t>JGN's</w:t>
      </w:r>
      <w:r w:rsidR="00677C7B">
        <w:t xml:space="preserve"> proposed</w:t>
      </w:r>
      <w:r>
        <w:t xml:space="preserve"> </w:t>
      </w:r>
      <w:r w:rsidRPr="00BA49DF">
        <w:t>disconnection</w:t>
      </w:r>
      <w:r w:rsidRPr="003A7EE9">
        <w:t xml:space="preserve"> </w:t>
      </w:r>
      <w:r w:rsidR="006F4AF8" w:rsidRPr="003A7EE9">
        <w:t>c</w:t>
      </w:r>
      <w:r w:rsidR="006F4AF8">
        <w:t>harge</w:t>
      </w:r>
      <w:r>
        <w:t xml:space="preserve"> of $150 includes a disconnection </w:t>
      </w:r>
      <w:r w:rsidRPr="00EE28F6">
        <w:rPr>
          <w:rStyle w:val="AERtextitalic"/>
        </w:rPr>
        <w:t>and</w:t>
      </w:r>
      <w:r>
        <w:t xml:space="preserve"> reconnection service</w:t>
      </w:r>
      <w:r w:rsidR="00EE28F6">
        <w:t xml:space="preserve"> as a package</w:t>
      </w:r>
      <w:r w:rsidR="006F4AF8">
        <w:t xml:space="preserve">. This means customers pay only $150 </w:t>
      </w:r>
      <w:r w:rsidR="002A3D4B">
        <w:t>for a temporary disconnection and then a</w:t>
      </w:r>
      <w:r w:rsidR="00414BCD">
        <w:t xml:space="preserve"> subsequent</w:t>
      </w:r>
      <w:r w:rsidR="002A3D4B">
        <w:t xml:space="preserve"> reconnection</w:t>
      </w:r>
      <w:r w:rsidR="006F4AF8">
        <w:t>.</w:t>
      </w:r>
      <w:r w:rsidR="00EE28F6">
        <w:t xml:space="preserve"> </w:t>
      </w:r>
      <w:r w:rsidR="00677C7B">
        <w:t>The same $150 charge applies for a request for permanent disconnection (previously $433.88).</w:t>
      </w:r>
      <w:r w:rsidR="00C95864">
        <w:rPr>
          <w:rStyle w:val="FootnoteReference"/>
        </w:rPr>
        <w:footnoteReference w:id="8"/>
      </w:r>
      <w:r w:rsidR="00FD5CEB">
        <w:t xml:space="preserve"> </w:t>
      </w:r>
    </w:p>
    <w:p w:rsidR="00EA6DF1" w:rsidRDefault="00AB6133" w:rsidP="00FD5CEB">
      <w:r>
        <w:lastRenderedPageBreak/>
        <w:t xml:space="preserve">We </w:t>
      </w:r>
      <w:r w:rsidR="00FD5CEB">
        <w:t xml:space="preserve">consider </w:t>
      </w:r>
      <w:r>
        <w:t xml:space="preserve">JGN's </w:t>
      </w:r>
      <w:r w:rsidR="00FD5CEB" w:rsidRPr="00BA49DF">
        <w:t>disconnection</w:t>
      </w:r>
      <w:r w:rsidRPr="003A7EE9">
        <w:t xml:space="preserve"> </w:t>
      </w:r>
      <w:r>
        <w:t xml:space="preserve">charge </w:t>
      </w:r>
      <w:r w:rsidR="00D520E8">
        <w:t xml:space="preserve">should </w:t>
      </w:r>
      <w:r w:rsidR="003A061F">
        <w:t xml:space="preserve">be </w:t>
      </w:r>
      <w:r w:rsidR="00847215">
        <w:t>implemented as described above</w:t>
      </w:r>
      <w:r w:rsidR="00D520E8">
        <w:t xml:space="preserve">. </w:t>
      </w:r>
      <w:r w:rsidR="004D08AA">
        <w:t>This</w:t>
      </w:r>
      <w:r w:rsidR="00EA6DF1">
        <w:t xml:space="preserve"> is despite retailers</w:t>
      </w:r>
      <w:r w:rsidR="00677C7B">
        <w:t>’ submissions that we should require</w:t>
      </w:r>
      <w:r w:rsidR="00E24269">
        <w:t xml:space="preserve"> separate charges</w:t>
      </w:r>
      <w:r w:rsidR="00677C7B">
        <w:t xml:space="preserve"> for disconnection and reconnection</w:t>
      </w:r>
      <w:r w:rsidR="00EA6DF1">
        <w:t>.</w:t>
      </w:r>
      <w:r w:rsidR="00677C7B">
        <w:t xml:space="preserve"> These submissions are discussed below.</w:t>
      </w:r>
    </w:p>
    <w:p w:rsidR="003E1FA7" w:rsidRDefault="00744E99" w:rsidP="006101C8">
      <w:r>
        <w:t xml:space="preserve">AGL submitted that we should reconsider our </w:t>
      </w:r>
      <w:r w:rsidR="00D520E8">
        <w:t xml:space="preserve">draft </w:t>
      </w:r>
      <w:r>
        <w:t xml:space="preserve">decision </w:t>
      </w:r>
      <w:r w:rsidR="004F5CE7">
        <w:t>and approve separate charges</w:t>
      </w:r>
      <w:r w:rsidR="00847215">
        <w:t xml:space="preserve">. </w:t>
      </w:r>
      <w:r w:rsidR="00677C7B">
        <w:t>It</w:t>
      </w:r>
      <w:r w:rsidR="00560DD8">
        <w:t xml:space="preserve"> contended that:</w:t>
      </w:r>
    </w:p>
    <w:p w:rsidR="00C95864" w:rsidRDefault="00847215" w:rsidP="00AD04AE">
      <w:pPr>
        <w:pStyle w:val="AERbulletlistfirststyle"/>
      </w:pPr>
      <w:r>
        <w:t>the</w:t>
      </w:r>
      <w:r w:rsidR="00C95864">
        <w:t xml:space="preserve"> current disconnection charge </w:t>
      </w:r>
      <w:r w:rsidR="00F124AB">
        <w:t>does not reflect the service provided</w:t>
      </w:r>
      <w:r w:rsidR="008614E9">
        <w:t xml:space="preserve"> and that </w:t>
      </w:r>
      <w:r w:rsidR="00677C7B">
        <w:t>AGL was</w:t>
      </w:r>
      <w:r w:rsidR="008614E9">
        <w:t xml:space="preserve"> overcharged</w:t>
      </w:r>
      <w:r w:rsidR="006F4AF8">
        <w:t xml:space="preserve"> for these services.</w:t>
      </w:r>
    </w:p>
    <w:p w:rsidR="003E1FA7" w:rsidRDefault="00192C7C" w:rsidP="00DE6757">
      <w:r>
        <w:t>We are</w:t>
      </w:r>
      <w:r w:rsidR="00AD04AE">
        <w:t xml:space="preserve"> not aware that JGN charges for services that </w:t>
      </w:r>
      <w:r w:rsidR="00560DD8">
        <w:t xml:space="preserve">it does not </w:t>
      </w:r>
      <w:r w:rsidR="00DE6757">
        <w:t>deliver</w:t>
      </w:r>
      <w:r w:rsidR="00560DD8">
        <w:t>.</w:t>
      </w:r>
      <w:r w:rsidR="00596A24">
        <w:t xml:space="preserve"> JGN submitted </w:t>
      </w:r>
      <w:r w:rsidR="002E48F7">
        <w:t xml:space="preserve">to us </w:t>
      </w:r>
      <w:r w:rsidR="00596A24">
        <w:t>that the</w:t>
      </w:r>
      <w:r w:rsidR="00AD04AE">
        <w:t xml:space="preserve"> figures provided by AGL appear not to be </w:t>
      </w:r>
      <w:r w:rsidR="00AD04AE" w:rsidRPr="00AD04AE">
        <w:t>the number of</w:t>
      </w:r>
      <w:r w:rsidR="00AD04AE">
        <w:t xml:space="preserve"> </w:t>
      </w:r>
      <w:r w:rsidR="00AD04AE" w:rsidRPr="00AD04AE">
        <w:t>disconnection charges levied on AGL</w:t>
      </w:r>
      <w:r w:rsidR="00560DD8">
        <w:t>. R</w:t>
      </w:r>
      <w:r w:rsidR="00AD04AE" w:rsidRPr="00AD04AE">
        <w:t>ather it is the</w:t>
      </w:r>
      <w:r w:rsidR="00AD04AE">
        <w:t xml:space="preserve"> </w:t>
      </w:r>
      <w:r w:rsidR="00AD04AE" w:rsidRPr="00AD04AE">
        <w:t>proportion completed relative to the number of</w:t>
      </w:r>
      <w:r w:rsidR="00AD04AE">
        <w:t xml:space="preserve"> </w:t>
      </w:r>
      <w:r w:rsidR="00AD04AE" w:rsidRPr="00AD04AE">
        <w:t xml:space="preserve">disconnection requests. </w:t>
      </w:r>
      <w:r w:rsidR="00253B0F">
        <w:t xml:space="preserve">Where a </w:t>
      </w:r>
      <w:r w:rsidR="00AD04AE" w:rsidRPr="00AD04AE">
        <w:t xml:space="preserve">disconnection request </w:t>
      </w:r>
      <w:r w:rsidR="00253B0F">
        <w:t xml:space="preserve">is </w:t>
      </w:r>
      <w:r w:rsidR="00AD04AE" w:rsidRPr="00AD04AE">
        <w:t>not completed</w:t>
      </w:r>
      <w:r w:rsidR="00677C7B">
        <w:t>,</w:t>
      </w:r>
      <w:r w:rsidR="00AD04AE" w:rsidRPr="00AD04AE">
        <w:t xml:space="preserve"> </w:t>
      </w:r>
      <w:r w:rsidR="002E48F7">
        <w:t>AGL</w:t>
      </w:r>
      <w:r w:rsidR="00253B0F">
        <w:t xml:space="preserve"> is </w:t>
      </w:r>
      <w:r w:rsidR="00AD04AE" w:rsidRPr="00AD04AE">
        <w:t>not charged</w:t>
      </w:r>
      <w:r w:rsidR="00AD04AE">
        <w:t xml:space="preserve"> </w:t>
      </w:r>
      <w:r w:rsidR="00AD04AE" w:rsidRPr="00AD04AE">
        <w:t>for</w:t>
      </w:r>
      <w:r w:rsidR="002E48F7">
        <w:t xml:space="preserve"> the service</w:t>
      </w:r>
      <w:r w:rsidR="00AD04AE" w:rsidRPr="00AD04AE">
        <w:t>.</w:t>
      </w:r>
      <w:r w:rsidR="00253B0F">
        <w:rPr>
          <w:rStyle w:val="FootnoteReference"/>
        </w:rPr>
        <w:footnoteReference w:id="9"/>
      </w:r>
      <w:r w:rsidR="00596A24">
        <w:t xml:space="preserve"> Consequently we accept </w:t>
      </w:r>
      <w:r w:rsidR="00F124AB">
        <w:t xml:space="preserve">JGN's submission that it only charges for </w:t>
      </w:r>
      <w:r w:rsidR="00596A24">
        <w:t>services that it has performed.</w:t>
      </w:r>
      <w:r w:rsidR="00AD04AE">
        <w:t xml:space="preserve"> </w:t>
      </w:r>
      <w:r w:rsidR="003E1FA7">
        <w:t xml:space="preserve"> </w:t>
      </w:r>
    </w:p>
    <w:p w:rsidR="00C95864" w:rsidRDefault="00560DD8" w:rsidP="00DF1900">
      <w:pPr>
        <w:pStyle w:val="AERbulletlistfirststyle"/>
      </w:pPr>
      <w:r>
        <w:t>t</w:t>
      </w:r>
      <w:r w:rsidR="00C95864">
        <w:t>he disconnection charge is not equitable</w:t>
      </w:r>
      <w:r w:rsidR="00A653F6">
        <w:t>—</w:t>
      </w:r>
      <w:r w:rsidR="00253B0F">
        <w:t xml:space="preserve">AGL </w:t>
      </w:r>
      <w:r w:rsidR="00253B0F" w:rsidRPr="00253B0F">
        <w:t>ha</w:t>
      </w:r>
      <w:r w:rsidR="00C95864">
        <w:t>s</w:t>
      </w:r>
      <w:r w:rsidR="00253B0F" w:rsidRPr="00253B0F">
        <w:t xml:space="preserve"> to absorb</w:t>
      </w:r>
      <w:r w:rsidR="00253B0F">
        <w:t xml:space="preserve"> </w:t>
      </w:r>
      <w:r w:rsidR="00253B0F" w:rsidRPr="00253B0F">
        <w:t>significant fees on behalf of other retailers</w:t>
      </w:r>
      <w:r w:rsidR="00C95864">
        <w:t xml:space="preserve"> because it uses the disconnection service less</w:t>
      </w:r>
      <w:r w:rsidR="00677C7B">
        <w:t>,</w:t>
      </w:r>
      <w:r w:rsidR="00C95864">
        <w:t xml:space="preserve"> but is paying the same price as other retailers</w:t>
      </w:r>
      <w:r w:rsidR="00253B0F">
        <w:t>.</w:t>
      </w:r>
      <w:r w:rsidR="00C95864">
        <w:t xml:space="preserve"> AGL's submission provided data in percentage form to </w:t>
      </w:r>
      <w:r w:rsidR="00677C7B">
        <w:t xml:space="preserve">support </w:t>
      </w:r>
      <w:r w:rsidR="00C95864">
        <w:t>its submission.</w:t>
      </w:r>
      <w:r w:rsidR="003A46B9">
        <w:t xml:space="preserve"> </w:t>
      </w:r>
    </w:p>
    <w:p w:rsidR="003A46B9" w:rsidRDefault="00192C7C" w:rsidP="00DE6757">
      <w:r>
        <w:t>We</w:t>
      </w:r>
      <w:r w:rsidR="00DE6757">
        <w:t xml:space="preserve"> accept</w:t>
      </w:r>
      <w:r w:rsidR="00596A24">
        <w:t xml:space="preserve"> JGN's submission that </w:t>
      </w:r>
      <w:r w:rsidR="008556A5">
        <w:t>AGL</w:t>
      </w:r>
      <w:r w:rsidR="00596A24">
        <w:t xml:space="preserve"> does not have to absorb significant fees on behalf of other retailers. JGN submitted that </w:t>
      </w:r>
      <w:r w:rsidR="003A46B9">
        <w:t xml:space="preserve">the sample size used by AGL to derive </w:t>
      </w:r>
      <w:r w:rsidR="008D68CA">
        <w:t xml:space="preserve">data </w:t>
      </w:r>
      <w:r w:rsidR="00596A24">
        <w:t>(in percentage form</w:t>
      </w:r>
      <w:r w:rsidR="00677C7B">
        <w:rPr>
          <w:rStyle w:val="FootnoteReference"/>
        </w:rPr>
        <w:footnoteReference w:id="10"/>
      </w:r>
      <w:r w:rsidR="00596A24">
        <w:t>) to</w:t>
      </w:r>
      <w:r w:rsidR="008D68CA">
        <w:t xml:space="preserve"> </w:t>
      </w:r>
      <w:r w:rsidR="00677C7B">
        <w:t>support</w:t>
      </w:r>
      <w:r w:rsidR="00560DD8">
        <w:t xml:space="preserve"> its claim</w:t>
      </w:r>
      <w:r w:rsidR="008D68CA">
        <w:t xml:space="preserve"> is </w:t>
      </w:r>
      <w:r w:rsidR="003A46B9">
        <w:t>small</w:t>
      </w:r>
      <w:r w:rsidR="00677C7B">
        <w:t>. T</w:t>
      </w:r>
      <w:r w:rsidR="00CC721E" w:rsidRPr="00CC721E">
        <w:t>he number of disconnections completed</w:t>
      </w:r>
      <w:r w:rsidR="00CC721E">
        <w:t xml:space="preserve"> </w:t>
      </w:r>
      <w:r w:rsidR="00CC721E" w:rsidRPr="00CC721E">
        <w:t xml:space="preserve">by JGN for AGL </w:t>
      </w:r>
      <w:r w:rsidR="00CC721E">
        <w:t>is small compared to the</w:t>
      </w:r>
      <w:r w:rsidR="00771F18">
        <w:t xml:space="preserve"> </w:t>
      </w:r>
      <w:r w:rsidR="00A653F6" w:rsidRPr="00A653F6">
        <w:t xml:space="preserve">5000 </w:t>
      </w:r>
      <w:r w:rsidR="008D68CA">
        <w:t>disconnections undertaken</w:t>
      </w:r>
      <w:r w:rsidR="00CC721E">
        <w:t xml:space="preserve"> in NSW in 2013–14</w:t>
      </w:r>
      <w:r w:rsidR="003A46B9">
        <w:t>.</w:t>
      </w:r>
      <w:r w:rsidR="00DF1900">
        <w:rPr>
          <w:rStyle w:val="FootnoteReference"/>
        </w:rPr>
        <w:footnoteReference w:id="11"/>
      </w:r>
      <w:r w:rsidR="003A46B9">
        <w:t xml:space="preserve"> </w:t>
      </w:r>
      <w:r w:rsidR="00C12A9E">
        <w:t>Further,</w:t>
      </w:r>
      <w:r w:rsidR="00DF1900">
        <w:t xml:space="preserve"> </w:t>
      </w:r>
      <w:r w:rsidR="00CC721E">
        <w:t xml:space="preserve">JGN stated that </w:t>
      </w:r>
      <w:r w:rsidR="00DF1900">
        <w:t xml:space="preserve">the </w:t>
      </w:r>
      <w:r w:rsidR="003A46B9">
        <w:t xml:space="preserve">sample </w:t>
      </w:r>
      <w:r w:rsidR="00F84994">
        <w:t>appears to have</w:t>
      </w:r>
      <w:r w:rsidR="003A46B9">
        <w:t xml:space="preserve"> </w:t>
      </w:r>
      <w:r w:rsidR="00DF1900">
        <w:t xml:space="preserve">also </w:t>
      </w:r>
      <w:r w:rsidR="003A46B9">
        <w:t>included difficult site</w:t>
      </w:r>
      <w:r w:rsidR="00DF1900">
        <w:t>s</w:t>
      </w:r>
      <w:r w:rsidR="006360E8">
        <w:rPr>
          <w:rStyle w:val="FootnoteReference"/>
        </w:rPr>
        <w:footnoteReference w:id="12"/>
      </w:r>
      <w:r w:rsidR="00677C7B">
        <w:t>,</w:t>
      </w:r>
      <w:r w:rsidR="003A46B9">
        <w:t xml:space="preserve"> </w:t>
      </w:r>
      <w:r w:rsidR="006360E8">
        <w:t xml:space="preserve">and as such </w:t>
      </w:r>
      <w:r w:rsidR="00235853">
        <w:t xml:space="preserve">may </w:t>
      </w:r>
      <w:r w:rsidR="006360E8">
        <w:t xml:space="preserve">not </w:t>
      </w:r>
      <w:r w:rsidR="00235853">
        <w:t xml:space="preserve">be representative </w:t>
      </w:r>
      <w:r w:rsidR="006360E8">
        <w:t>of all disconnections</w:t>
      </w:r>
      <w:r w:rsidR="00E6226F">
        <w:t xml:space="preserve"> that it provides to all retailers</w:t>
      </w:r>
      <w:r w:rsidR="003A46B9">
        <w:t>.</w:t>
      </w:r>
      <w:r w:rsidR="006360E8">
        <w:rPr>
          <w:rStyle w:val="FootnoteReference"/>
        </w:rPr>
        <w:footnoteReference w:id="13"/>
      </w:r>
      <w:r w:rsidR="007F5D85">
        <w:t xml:space="preserve"> We </w:t>
      </w:r>
      <w:r w:rsidR="000E4E72">
        <w:t xml:space="preserve">are </w:t>
      </w:r>
      <w:r w:rsidR="007F5D85">
        <w:t xml:space="preserve">therefore not persuaded </w:t>
      </w:r>
      <w:r w:rsidR="00A653F6">
        <w:t xml:space="preserve">by </w:t>
      </w:r>
      <w:r w:rsidR="008556A5">
        <w:t>AGL's</w:t>
      </w:r>
      <w:r w:rsidR="007F5D85">
        <w:t xml:space="preserve"> submission that it should </w:t>
      </w:r>
      <w:r w:rsidR="00A653F6">
        <w:t xml:space="preserve">pay a different price to that of other </w:t>
      </w:r>
      <w:r w:rsidR="007F5D85">
        <w:t>retailers for disconnections.</w:t>
      </w:r>
      <w:r w:rsidR="006360E8">
        <w:t xml:space="preserve"> </w:t>
      </w:r>
      <w:r w:rsidR="00DF1900">
        <w:t xml:space="preserve"> </w:t>
      </w:r>
    </w:p>
    <w:p w:rsidR="00F84994" w:rsidRDefault="00A653F6" w:rsidP="006360E8">
      <w:pPr>
        <w:pStyle w:val="AERbulletlistfirststyle"/>
      </w:pPr>
      <w:r>
        <w:t>d</w:t>
      </w:r>
      <w:r w:rsidR="006360E8">
        <w:t>isconnection should be split so that r</w:t>
      </w:r>
      <w:r w:rsidR="006360E8" w:rsidRPr="006360E8">
        <w:t>etailers are only paying</w:t>
      </w:r>
      <w:r w:rsidR="006360E8">
        <w:t xml:space="preserve"> </w:t>
      </w:r>
      <w:r w:rsidR="006360E8" w:rsidRPr="006360E8">
        <w:t>for services actually performed</w:t>
      </w:r>
      <w:r w:rsidR="00E66CC8">
        <w:t xml:space="preserve"> when </w:t>
      </w:r>
      <w:r w:rsidR="004F5CE7">
        <w:t xml:space="preserve">collecting retail </w:t>
      </w:r>
      <w:r w:rsidR="00E66CC8">
        <w:t>debt</w:t>
      </w:r>
      <w:r w:rsidR="006360E8" w:rsidRPr="006360E8">
        <w:t>.</w:t>
      </w:r>
      <w:r w:rsidR="00E66CC8">
        <w:t xml:space="preserve"> </w:t>
      </w:r>
    </w:p>
    <w:p w:rsidR="00E26DA0" w:rsidRDefault="00F84994" w:rsidP="00DE6757">
      <w:r>
        <w:lastRenderedPageBreak/>
        <w:t xml:space="preserve">We are not persuaded by this </w:t>
      </w:r>
      <w:r w:rsidR="00235853">
        <w:t xml:space="preserve">submission </w:t>
      </w:r>
      <w:r>
        <w:t xml:space="preserve">because </w:t>
      </w:r>
      <w:r w:rsidR="00CC721E">
        <w:t xml:space="preserve">JGN only charges </w:t>
      </w:r>
      <w:r>
        <w:t xml:space="preserve">AGL </w:t>
      </w:r>
      <w:r w:rsidR="00E66CC8">
        <w:t>for successful disconnections</w:t>
      </w:r>
      <w:r w:rsidR="00A653F6">
        <w:t>,</w:t>
      </w:r>
      <w:r w:rsidR="00E66CC8">
        <w:t xml:space="preserve"> </w:t>
      </w:r>
      <w:r w:rsidR="00C12A9E">
        <w:t>or</w:t>
      </w:r>
      <w:r w:rsidR="00E66CC8">
        <w:t xml:space="preserve"> where </w:t>
      </w:r>
      <w:r w:rsidR="00CC721E">
        <w:t>AGL</w:t>
      </w:r>
      <w:r w:rsidR="00E66CC8">
        <w:t xml:space="preserve"> ha</w:t>
      </w:r>
      <w:r>
        <w:t>s</w:t>
      </w:r>
      <w:r w:rsidR="00E66CC8">
        <w:t xml:space="preserve"> not </w:t>
      </w:r>
      <w:r w:rsidR="00A653F6">
        <w:t xml:space="preserve">complied with </w:t>
      </w:r>
      <w:r>
        <w:t>its</w:t>
      </w:r>
      <w:r w:rsidR="00E66CC8">
        <w:t xml:space="preserve"> retail services agreement obligation.</w:t>
      </w:r>
      <w:r>
        <w:rPr>
          <w:rStyle w:val="FootnoteReference"/>
        </w:rPr>
        <w:footnoteReference w:id="14"/>
      </w:r>
      <w:r w:rsidR="00771F18">
        <w:t xml:space="preserve"> </w:t>
      </w:r>
    </w:p>
    <w:p w:rsidR="000E2CC2" w:rsidRDefault="000E2CC2" w:rsidP="00677C7B">
      <w:pPr>
        <w:pStyle w:val="AERbulletlistfirststyle"/>
        <w:numPr>
          <w:ilvl w:val="0"/>
          <w:numId w:val="0"/>
        </w:numPr>
      </w:pPr>
      <w:r>
        <w:t>Origin</w:t>
      </w:r>
      <w:r w:rsidR="008D68CA">
        <w:t xml:space="preserve"> Energy</w:t>
      </w:r>
      <w:r>
        <w:t xml:space="preserve"> also </w:t>
      </w:r>
      <w:r w:rsidR="00677C7B">
        <w:t>submitted that</w:t>
      </w:r>
      <w:r w:rsidR="00CB453E">
        <w:t xml:space="preserve"> </w:t>
      </w:r>
      <w:r>
        <w:t>our draft decision</w:t>
      </w:r>
      <w:r w:rsidR="00CB453E">
        <w:t xml:space="preserve"> was inadequate</w:t>
      </w:r>
      <w:r w:rsidR="00192C7C">
        <w:t>,</w:t>
      </w:r>
      <w:r w:rsidR="00AF0E20">
        <w:t xml:space="preserve"> </w:t>
      </w:r>
      <w:r w:rsidR="004F5CE7">
        <w:t xml:space="preserve">and </w:t>
      </w:r>
      <w:r w:rsidR="00CB453E">
        <w:t xml:space="preserve">that we should </w:t>
      </w:r>
      <w:r w:rsidR="00677C7B">
        <w:t xml:space="preserve">require </w:t>
      </w:r>
      <w:r w:rsidR="004F5CE7">
        <w:t>JGN to split its disconnection charge into two separate charges (</w:t>
      </w:r>
      <w:r w:rsidR="00AF0E20">
        <w:t>disconnection and reconnection charges</w:t>
      </w:r>
      <w:r w:rsidR="004F5CE7">
        <w:t>)</w:t>
      </w:r>
      <w:r>
        <w:t xml:space="preserve">. It raised two issues for </w:t>
      </w:r>
      <w:r w:rsidR="00F84994">
        <w:t xml:space="preserve">our </w:t>
      </w:r>
      <w:r>
        <w:t>consideration:</w:t>
      </w:r>
      <w:r w:rsidR="006E7642">
        <w:rPr>
          <w:rStyle w:val="FootnoteReference"/>
        </w:rPr>
        <w:footnoteReference w:id="15"/>
      </w:r>
    </w:p>
    <w:p w:rsidR="00F84994" w:rsidRDefault="00F84994" w:rsidP="000046E8">
      <w:pPr>
        <w:pStyle w:val="AERbulletlistfirststyle"/>
      </w:pPr>
      <w:r>
        <w:t>Cost reflectivity</w:t>
      </w:r>
      <w:r w:rsidR="00A653F6">
        <w:t>—a</w:t>
      </w:r>
      <w:r w:rsidR="000E2CC2" w:rsidRPr="000E2CC2">
        <w:t xml:space="preserve"> single disconnection </w:t>
      </w:r>
      <w:r w:rsidR="000E2CC2">
        <w:t xml:space="preserve">charge may not be </w:t>
      </w:r>
      <w:r w:rsidR="000E2CC2" w:rsidRPr="000E2CC2">
        <w:t>cost reflective</w:t>
      </w:r>
      <w:r w:rsidR="000E2CC2">
        <w:t xml:space="preserve"> (because disconnection and a reconnection service</w:t>
      </w:r>
      <w:r w:rsidR="00AF0E20">
        <w:t>s are different tasks</w:t>
      </w:r>
      <w:r w:rsidR="000E2CC2">
        <w:t xml:space="preserve">) and therefore </w:t>
      </w:r>
      <w:r w:rsidR="00CB453E">
        <w:t xml:space="preserve">the charge </w:t>
      </w:r>
      <w:r w:rsidR="000E2CC2">
        <w:t>lacked transparency</w:t>
      </w:r>
      <w:r w:rsidR="000E2CC2" w:rsidRPr="000E2CC2">
        <w:t>.</w:t>
      </w:r>
      <w:r w:rsidR="000E2CC2">
        <w:t xml:space="preserve"> </w:t>
      </w:r>
    </w:p>
    <w:p w:rsidR="00F84994" w:rsidRDefault="00DE6757" w:rsidP="00DE6757">
      <w:r>
        <w:t>It appears that</w:t>
      </w:r>
      <w:r w:rsidR="00A653F6">
        <w:t xml:space="preserve"> Origin Energy may have misunderstood that </w:t>
      </w:r>
      <w:r w:rsidR="00AB4893">
        <w:t xml:space="preserve">the </w:t>
      </w:r>
      <w:r w:rsidR="000E4E72">
        <w:t xml:space="preserve">proposed </w:t>
      </w:r>
      <w:r w:rsidR="000E2CC2" w:rsidRPr="000E2CC2">
        <w:t xml:space="preserve">disconnection service </w:t>
      </w:r>
      <w:r w:rsidR="005B62A2">
        <w:t>still enables a retailer</w:t>
      </w:r>
      <w:r w:rsidR="000E2CC2">
        <w:t xml:space="preserve"> </w:t>
      </w:r>
      <w:r w:rsidR="000E2CC2" w:rsidRPr="000E2CC2">
        <w:t xml:space="preserve">to arrange for </w:t>
      </w:r>
      <w:r w:rsidR="00771F18">
        <w:t xml:space="preserve">a </w:t>
      </w:r>
      <w:r w:rsidR="000E2CC2" w:rsidRPr="000E2CC2">
        <w:t xml:space="preserve">disconnection and subsequent reconnection </w:t>
      </w:r>
      <w:r w:rsidR="005B62A2">
        <w:t>for the</w:t>
      </w:r>
      <w:r w:rsidR="000E2CC2" w:rsidRPr="000E2CC2">
        <w:t xml:space="preserve"> same customer</w:t>
      </w:r>
      <w:r w:rsidR="00CB453E">
        <w:t xml:space="preserve"> (at a cost of $150)</w:t>
      </w:r>
      <w:r w:rsidR="001D6B0D">
        <w:t xml:space="preserve">. </w:t>
      </w:r>
      <w:r w:rsidR="00F25C36">
        <w:t>JGN stated that t</w:t>
      </w:r>
      <w:r w:rsidR="003A061F">
        <w:t xml:space="preserve">he single </w:t>
      </w:r>
      <w:r w:rsidR="008556A5" w:rsidRPr="00BA49DF">
        <w:t>disconnection</w:t>
      </w:r>
      <w:r w:rsidR="00A66DDD" w:rsidRPr="006659CD">
        <w:t xml:space="preserve"> </w:t>
      </w:r>
      <w:r w:rsidR="003A061F" w:rsidRPr="006659CD">
        <w:t>c</w:t>
      </w:r>
      <w:r w:rsidR="003A061F">
        <w:t xml:space="preserve">harge </w:t>
      </w:r>
      <w:r w:rsidR="000E4E72">
        <w:t xml:space="preserve">it proposed </w:t>
      </w:r>
      <w:r w:rsidR="003A061F">
        <w:t xml:space="preserve">covers both </w:t>
      </w:r>
      <w:r w:rsidR="00C12A9E">
        <w:t>services</w:t>
      </w:r>
      <w:r w:rsidR="003A061F">
        <w:t xml:space="preserve">. </w:t>
      </w:r>
      <w:r w:rsidR="001D6B0D">
        <w:t>Further,</w:t>
      </w:r>
      <w:r w:rsidR="00CC721E">
        <w:t xml:space="preserve"> JGN submitted that</w:t>
      </w:r>
      <w:r w:rsidR="001D6B0D">
        <w:t xml:space="preserve"> </w:t>
      </w:r>
      <w:r w:rsidR="001D6B0D" w:rsidRPr="001D6B0D">
        <w:t>split</w:t>
      </w:r>
      <w:r w:rsidR="001D6B0D">
        <w:t xml:space="preserve">ting the </w:t>
      </w:r>
      <w:r w:rsidR="001D6B0D" w:rsidRPr="001D6B0D">
        <w:t xml:space="preserve">charge </w:t>
      </w:r>
      <w:r w:rsidR="00235853">
        <w:t>c</w:t>
      </w:r>
      <w:r w:rsidR="00235853" w:rsidRPr="001D6B0D">
        <w:t xml:space="preserve">ould </w:t>
      </w:r>
      <w:r w:rsidR="001D6B0D" w:rsidRPr="001D6B0D">
        <w:t>result in adverse market outcomes (by making</w:t>
      </w:r>
      <w:r w:rsidR="001D6B0D">
        <w:t xml:space="preserve"> </w:t>
      </w:r>
      <w:r w:rsidR="001D6B0D" w:rsidRPr="001D6B0D">
        <w:t>disconnection easier and reconnection harder)</w:t>
      </w:r>
      <w:r w:rsidR="00B85FAD">
        <w:t xml:space="preserve">. It </w:t>
      </w:r>
      <w:r w:rsidR="00235853">
        <w:t xml:space="preserve">may </w:t>
      </w:r>
      <w:r w:rsidR="001D6B0D" w:rsidRPr="001D6B0D">
        <w:t>result in</w:t>
      </w:r>
      <w:r w:rsidR="001D6B0D">
        <w:t xml:space="preserve"> </w:t>
      </w:r>
      <w:r w:rsidR="001D6B0D" w:rsidRPr="001D6B0D">
        <w:t xml:space="preserve">additional </w:t>
      </w:r>
      <w:r w:rsidR="00F84994">
        <w:t>c</w:t>
      </w:r>
      <w:r w:rsidR="001D6B0D" w:rsidRPr="001D6B0D">
        <w:t>osts</w:t>
      </w:r>
      <w:r w:rsidR="00F84994">
        <w:t xml:space="preserve"> to JGN</w:t>
      </w:r>
      <w:r w:rsidR="001D6B0D" w:rsidRPr="001D6B0D">
        <w:t xml:space="preserve"> </w:t>
      </w:r>
      <w:r w:rsidR="001D6B0D">
        <w:t>(</w:t>
      </w:r>
      <w:r w:rsidR="001D6B0D" w:rsidRPr="001D6B0D">
        <w:t xml:space="preserve">to change </w:t>
      </w:r>
      <w:r w:rsidR="000E4E72">
        <w:t xml:space="preserve">its </w:t>
      </w:r>
      <w:r w:rsidR="001D6B0D" w:rsidRPr="001D6B0D">
        <w:t xml:space="preserve">systems </w:t>
      </w:r>
      <w:r w:rsidR="000E4E72">
        <w:t>to accommodate</w:t>
      </w:r>
      <w:r w:rsidR="000E4E72" w:rsidRPr="001D6B0D">
        <w:t xml:space="preserve"> </w:t>
      </w:r>
      <w:r w:rsidR="001D6B0D" w:rsidRPr="001D6B0D">
        <w:t>the split charges</w:t>
      </w:r>
      <w:r w:rsidR="000E4E72">
        <w:t>,</w:t>
      </w:r>
      <w:r w:rsidR="001D6B0D" w:rsidRPr="001D6B0D">
        <w:t xml:space="preserve"> and to</w:t>
      </w:r>
      <w:r w:rsidR="001D6B0D">
        <w:t xml:space="preserve"> </w:t>
      </w:r>
      <w:r w:rsidR="001D6B0D" w:rsidRPr="001D6B0D">
        <w:t>manage double the number of disconnection/reconnection charge</w:t>
      </w:r>
      <w:r w:rsidR="001D6B0D">
        <w:t xml:space="preserve"> </w:t>
      </w:r>
      <w:r w:rsidR="001D6B0D" w:rsidRPr="001D6B0D">
        <w:t>transactions</w:t>
      </w:r>
      <w:r w:rsidR="001D6B0D">
        <w:t>)</w:t>
      </w:r>
      <w:r w:rsidR="001D6B0D" w:rsidRPr="001D6B0D">
        <w:t xml:space="preserve">. </w:t>
      </w:r>
      <w:r w:rsidR="00B85FAD">
        <w:t xml:space="preserve">Inevitably, </w:t>
      </w:r>
      <w:r w:rsidR="00CB453E">
        <w:t xml:space="preserve">consumers would bear </w:t>
      </w:r>
      <w:r w:rsidR="000E4E72">
        <w:t xml:space="preserve">the cost of </w:t>
      </w:r>
      <w:r w:rsidR="00B85FAD">
        <w:t>s</w:t>
      </w:r>
      <w:r w:rsidR="001D6B0D">
        <w:t xml:space="preserve">uch </w:t>
      </w:r>
      <w:r w:rsidR="00CB453E">
        <w:t>changes</w:t>
      </w:r>
      <w:r w:rsidR="00771F18">
        <w:t xml:space="preserve">. </w:t>
      </w:r>
      <w:r w:rsidR="00CC721E">
        <w:t xml:space="preserve">Origin </w:t>
      </w:r>
      <w:r w:rsidR="00A63250">
        <w:t xml:space="preserve">Energy </w:t>
      </w:r>
      <w:r w:rsidR="00CC721E">
        <w:t>has not demonstrated that there is a consumer benefit</w:t>
      </w:r>
      <w:r w:rsidR="00771F18">
        <w:t xml:space="preserve"> to</w:t>
      </w:r>
      <w:r w:rsidR="00CC721E">
        <w:t xml:space="preserve"> </w:t>
      </w:r>
      <w:r w:rsidR="00CB453E">
        <w:t>its alternative</w:t>
      </w:r>
      <w:r w:rsidR="00CC721E">
        <w:t xml:space="preserve"> </w:t>
      </w:r>
      <w:r w:rsidR="00CB453E">
        <w:t>proposal</w:t>
      </w:r>
      <w:r w:rsidR="00235C84">
        <w:t xml:space="preserve"> and therefore we have not taken it up in this final decision</w:t>
      </w:r>
      <w:r w:rsidR="001D6B0D" w:rsidRPr="001D6B0D">
        <w:t>.</w:t>
      </w:r>
      <w:r w:rsidR="00A727AD">
        <w:rPr>
          <w:rStyle w:val="FootnoteReference"/>
        </w:rPr>
        <w:footnoteReference w:id="16"/>
      </w:r>
    </w:p>
    <w:p w:rsidR="001D6B0D" w:rsidRDefault="00CB453E" w:rsidP="00DE6757">
      <w:r>
        <w:t xml:space="preserve">Nor are we </w:t>
      </w:r>
      <w:r w:rsidR="000046E8">
        <w:t>persuaded by Origin</w:t>
      </w:r>
      <w:r w:rsidR="00660B24">
        <w:t xml:space="preserve"> Energy's</w:t>
      </w:r>
      <w:r w:rsidR="000046E8">
        <w:t xml:space="preserve"> submission about transparenc</w:t>
      </w:r>
      <w:r w:rsidR="00B85FAD">
        <w:t>y</w:t>
      </w:r>
      <w:r>
        <w:t>.</w:t>
      </w:r>
      <w:r w:rsidR="000046E8">
        <w:t xml:space="preserve"> </w:t>
      </w:r>
      <w:r>
        <w:t xml:space="preserve">This is </w:t>
      </w:r>
      <w:r w:rsidR="00F84994">
        <w:t xml:space="preserve">because </w:t>
      </w:r>
      <w:r w:rsidR="00F25C36">
        <w:t xml:space="preserve">we accept JGN's </w:t>
      </w:r>
      <w:r>
        <w:t xml:space="preserve">contention </w:t>
      </w:r>
      <w:r w:rsidR="00F25C36">
        <w:t xml:space="preserve">that </w:t>
      </w:r>
      <w:r w:rsidR="00F84994">
        <w:t>it</w:t>
      </w:r>
      <w:r w:rsidR="00B85FAD">
        <w:t xml:space="preserve"> comes at the expense</w:t>
      </w:r>
      <w:r w:rsidR="00F84994">
        <w:t xml:space="preserve"> </w:t>
      </w:r>
      <w:r w:rsidR="00B85FAD">
        <w:t>of</w:t>
      </w:r>
      <w:r w:rsidR="000046E8">
        <w:t xml:space="preserve"> higher </w:t>
      </w:r>
      <w:r w:rsidR="00B85FAD">
        <w:t xml:space="preserve">overall </w:t>
      </w:r>
      <w:r w:rsidR="000046E8">
        <w:t>cost</w:t>
      </w:r>
      <w:r w:rsidR="00C12A9E">
        <w:t>s</w:t>
      </w:r>
      <w:r w:rsidR="000046E8">
        <w:t xml:space="preserve"> to consumers</w:t>
      </w:r>
      <w:r w:rsidR="000E4E72">
        <w:t>,</w:t>
      </w:r>
      <w:r w:rsidR="00A63250">
        <w:t xml:space="preserve"> without corresponding</w:t>
      </w:r>
      <w:r>
        <w:t xml:space="preserve"> offsetting </w:t>
      </w:r>
      <w:r w:rsidR="00A63250">
        <w:t>benefit</w:t>
      </w:r>
      <w:r>
        <w:t>s</w:t>
      </w:r>
      <w:r w:rsidR="000046E8">
        <w:t xml:space="preserve">. </w:t>
      </w:r>
      <w:r w:rsidR="00F25C36">
        <w:t xml:space="preserve">JGN considered that </w:t>
      </w:r>
      <w:r w:rsidR="00E66B0F">
        <w:t>retailers</w:t>
      </w:r>
      <w:r w:rsidR="00F84994">
        <w:t xml:space="preserve"> </w:t>
      </w:r>
      <w:r w:rsidR="00E66B0F">
        <w:t xml:space="preserve">are best placed to </w:t>
      </w:r>
      <w:r w:rsidR="00F84994">
        <w:t xml:space="preserve">manage customer debt rather </w:t>
      </w:r>
      <w:r w:rsidR="00235853">
        <w:t xml:space="preserve">than </w:t>
      </w:r>
      <w:r w:rsidR="00A63250">
        <w:t xml:space="preserve">use JGN's resources to </w:t>
      </w:r>
      <w:r w:rsidR="000046E8" w:rsidRPr="000046E8">
        <w:t>physical</w:t>
      </w:r>
      <w:r w:rsidR="00A63250">
        <w:t>ly</w:t>
      </w:r>
      <w:r w:rsidR="000046E8" w:rsidRPr="000046E8">
        <w:t xml:space="preserve"> disconnect and then reconnect supply</w:t>
      </w:r>
      <w:r w:rsidR="00A63250">
        <w:t>.</w:t>
      </w:r>
      <w:r w:rsidR="00A727AD">
        <w:rPr>
          <w:rStyle w:val="FootnoteReference"/>
        </w:rPr>
        <w:footnoteReference w:id="17"/>
      </w:r>
      <w:r w:rsidR="000046E8">
        <w:t xml:space="preserve"> </w:t>
      </w:r>
    </w:p>
    <w:p w:rsidR="00CB453E" w:rsidRDefault="00235C84" w:rsidP="000046E8">
      <w:pPr>
        <w:pStyle w:val="AERbulletlistfirststyle"/>
      </w:pPr>
      <w:r>
        <w:t>c</w:t>
      </w:r>
      <w:r w:rsidR="000046E8">
        <w:t>omplication in the billing system between retailers, consumers and JGN</w:t>
      </w:r>
      <w:r w:rsidR="00D328FF">
        <w:t xml:space="preserve"> by having one charge</w:t>
      </w:r>
      <w:r w:rsidR="00771F18">
        <w:t>—billing issues where a consumer switches retailer</w:t>
      </w:r>
      <w:r w:rsidR="00DA4C05">
        <w:t>.</w:t>
      </w:r>
    </w:p>
    <w:p w:rsidR="000046E8" w:rsidRDefault="00CB453E" w:rsidP="00DE6757">
      <w:r>
        <w:t>Our view is that this issue</w:t>
      </w:r>
      <w:r w:rsidR="00D328FF">
        <w:t xml:space="preserve"> </w:t>
      </w:r>
      <w:r>
        <w:t xml:space="preserve">is </w:t>
      </w:r>
      <w:r w:rsidR="00D328FF">
        <w:t xml:space="preserve">beyond the scope of an access arrangement </w:t>
      </w:r>
      <w:r w:rsidR="00A63250">
        <w:t xml:space="preserve">because it relates to contractual arrangements between the consumer, </w:t>
      </w:r>
      <w:r>
        <w:t xml:space="preserve">their </w:t>
      </w:r>
      <w:r w:rsidR="00A63250">
        <w:t>retailer and JGN. Consequently</w:t>
      </w:r>
      <w:r w:rsidR="00771F18">
        <w:t>,</w:t>
      </w:r>
      <w:r w:rsidR="00A63250">
        <w:t xml:space="preserve"> we consider this issue </w:t>
      </w:r>
      <w:r w:rsidR="006E7642">
        <w:t xml:space="preserve">should be addressed </w:t>
      </w:r>
      <w:r>
        <w:t>by retailers and JGN</w:t>
      </w:r>
      <w:r w:rsidR="006E7642">
        <w:t xml:space="preserve"> </w:t>
      </w:r>
      <w:r>
        <w:t>through other means, such as business to business operational guidelines</w:t>
      </w:r>
      <w:r w:rsidR="00E27516">
        <w:t xml:space="preserve"> or</w:t>
      </w:r>
      <w:r>
        <w:t xml:space="preserve"> </w:t>
      </w:r>
      <w:r w:rsidR="00E27516">
        <w:t xml:space="preserve">bilateral </w:t>
      </w:r>
      <w:r w:rsidR="006E7642">
        <w:t>contractual obligations</w:t>
      </w:r>
      <w:r w:rsidR="000046E8" w:rsidRPr="000046E8">
        <w:t>.</w:t>
      </w:r>
    </w:p>
    <w:p w:rsidR="005079F3" w:rsidRDefault="005079F3" w:rsidP="00BA49DF">
      <w:pPr>
        <w:pStyle w:val="Heading3"/>
        <w:keepNext/>
      </w:pPr>
      <w:bookmarkStart w:id="21" w:name="_Toc419988596"/>
      <w:r>
        <w:lastRenderedPageBreak/>
        <w:t>Cogeneration</w:t>
      </w:r>
      <w:bookmarkEnd w:id="21"/>
    </w:p>
    <w:p w:rsidR="005079F3" w:rsidRDefault="005079F3" w:rsidP="00BA49DF">
      <w:pPr>
        <w:keepNext/>
      </w:pPr>
      <w:r w:rsidRPr="005079F3">
        <w:t>Origin</w:t>
      </w:r>
      <w:r w:rsidR="00B85FAD">
        <w:t xml:space="preserve"> Energy's</w:t>
      </w:r>
      <w:r w:rsidR="00B85FAD" w:rsidRPr="005079F3">
        <w:t xml:space="preserve"> submission</w:t>
      </w:r>
      <w:r w:rsidRPr="005079F3">
        <w:t xml:space="preserve"> sought assurances</w:t>
      </w:r>
      <w:r w:rsidR="00D328FF">
        <w:t xml:space="preserve"> from </w:t>
      </w:r>
      <w:r w:rsidR="00B87C7B">
        <w:t>JGN</w:t>
      </w:r>
      <w:r w:rsidR="00916FDF" w:rsidRPr="005079F3">
        <w:t xml:space="preserve"> </w:t>
      </w:r>
      <w:r w:rsidRPr="005079F3">
        <w:t>that existing projects will retain their current tariff class and that JGN will continue to engage with retailers to establish the best tariff arrangement for prospective projects.</w:t>
      </w:r>
    </w:p>
    <w:p w:rsidR="00B85FAD" w:rsidRPr="00B85FAD" w:rsidRDefault="00B87C7B" w:rsidP="00B85FAD">
      <w:r>
        <w:t>JGN</w:t>
      </w:r>
      <w:r w:rsidR="00B85FAD" w:rsidRPr="00B85FAD">
        <w:t xml:space="preserve"> stated</w:t>
      </w:r>
      <w:r w:rsidR="00B85FAD">
        <w:t xml:space="preserve"> it</w:t>
      </w:r>
      <w:r w:rsidR="00B85FAD" w:rsidRPr="00B85FAD">
        <w:t>:</w:t>
      </w:r>
    </w:p>
    <w:p w:rsidR="00B85FAD" w:rsidRDefault="00B85FAD" w:rsidP="00B85FAD">
      <w:pPr>
        <w:pStyle w:val="AERquoteindent3"/>
      </w:pPr>
      <w:r>
        <w:t>…</w:t>
      </w:r>
      <w:r w:rsidRPr="00C141D3">
        <w:t>is incentivised to facilitate new project to grow network utilisation and put downward pressure on network</w:t>
      </w:r>
      <w:r>
        <w:t xml:space="preserve"> </w:t>
      </w:r>
      <w:r w:rsidRPr="00C141D3">
        <w:t xml:space="preserve">charges. The </w:t>
      </w:r>
      <w:r w:rsidR="004F5CE7">
        <w:t xml:space="preserve">Access Arrangement </w:t>
      </w:r>
      <w:r w:rsidRPr="00C141D3">
        <w:t>provides an effective framework for JGN to engage with retailers in the manner requested. We</w:t>
      </w:r>
      <w:r>
        <w:t xml:space="preserve"> </w:t>
      </w:r>
      <w:r w:rsidRPr="00C141D3">
        <w:t>will engage further with Origin about existing negotiated services and to make any requests necessary for future</w:t>
      </w:r>
      <w:r>
        <w:t xml:space="preserve"> </w:t>
      </w:r>
      <w:r w:rsidRPr="00C141D3">
        <w:t>reference services.</w:t>
      </w:r>
      <w:r>
        <w:rPr>
          <w:rStyle w:val="FootnoteReference"/>
        </w:rPr>
        <w:footnoteReference w:id="18"/>
      </w:r>
    </w:p>
    <w:p w:rsidR="005079F3" w:rsidRPr="005079F3" w:rsidRDefault="00E27516" w:rsidP="001B502E">
      <w:r>
        <w:t>C</w:t>
      </w:r>
      <w:r w:rsidR="005079F3">
        <w:t>ontractual arrangement</w:t>
      </w:r>
      <w:r w:rsidR="00B85FAD">
        <w:t>s</w:t>
      </w:r>
      <w:r w:rsidR="001B502E">
        <w:t xml:space="preserve"> between retailers and JGN</w:t>
      </w:r>
      <w:r w:rsidR="00B85FAD">
        <w:t xml:space="preserve">, rather than amendments to the </w:t>
      </w:r>
      <w:r w:rsidR="001B502E">
        <w:t>access arrangement</w:t>
      </w:r>
      <w:r>
        <w:t xml:space="preserve"> are the best means to address such matters</w:t>
      </w:r>
      <w:r w:rsidR="001B502E">
        <w:t>.</w:t>
      </w:r>
      <w:r w:rsidR="00C141D3">
        <w:rPr>
          <w:rStyle w:val="FootnoteReference"/>
        </w:rPr>
        <w:footnoteReference w:id="19"/>
      </w:r>
      <w:r w:rsidR="001B502E">
        <w:t xml:space="preserve"> </w:t>
      </w:r>
      <w:r>
        <w:t xml:space="preserve">We </w:t>
      </w:r>
      <w:r w:rsidR="006659CD">
        <w:t xml:space="preserve">consider </w:t>
      </w:r>
      <w:r>
        <w:t>that JGN's approach sufficiently addresses Origin Energy's concerns.</w:t>
      </w:r>
    </w:p>
    <w:p w:rsidR="008A6843" w:rsidRDefault="008A6843" w:rsidP="008A6843">
      <w:pPr>
        <w:pStyle w:val="Heading3"/>
      </w:pPr>
      <w:bookmarkStart w:id="22" w:name="_Toc419988597"/>
      <w:r w:rsidRPr="008A6843">
        <w:t>Fixed Charges</w:t>
      </w:r>
      <w:bookmarkEnd w:id="22"/>
      <w:r w:rsidRPr="008A6843">
        <w:t xml:space="preserve"> </w:t>
      </w:r>
    </w:p>
    <w:p w:rsidR="00E47A0C" w:rsidRPr="00E47A0C" w:rsidRDefault="00E47A0C" w:rsidP="00E47A0C">
      <w:r>
        <w:t xml:space="preserve">Our draft decision did not </w:t>
      </w:r>
      <w:r w:rsidR="000E4E72">
        <w:t xml:space="preserve">require </w:t>
      </w:r>
      <w:r>
        <w:t>JGN to express its fixed charge</w:t>
      </w:r>
      <w:r w:rsidR="00916FDF">
        <w:t>s on</w:t>
      </w:r>
      <w:r>
        <w:t xml:space="preserve"> a daily basis</w:t>
      </w:r>
      <w:r w:rsidR="00E27516">
        <w:t>. This outcome was advocated</w:t>
      </w:r>
      <w:r w:rsidR="00916FDF">
        <w:t xml:space="preserve"> </w:t>
      </w:r>
      <w:r>
        <w:t xml:space="preserve">by retailers. </w:t>
      </w:r>
    </w:p>
    <w:p w:rsidR="004609F4" w:rsidRDefault="00E47A0C" w:rsidP="00E47A0C">
      <w:r>
        <w:t xml:space="preserve">AGL's submission </w:t>
      </w:r>
      <w:r w:rsidR="00C92189">
        <w:t xml:space="preserve">on the </w:t>
      </w:r>
      <w:r>
        <w:t xml:space="preserve">draft decision outlined </w:t>
      </w:r>
      <w:r w:rsidR="00AB0A6D">
        <w:t xml:space="preserve">that </w:t>
      </w:r>
      <w:r>
        <w:t xml:space="preserve">JGN's </w:t>
      </w:r>
      <w:r w:rsidR="00AB0A6D">
        <w:t xml:space="preserve">new </w:t>
      </w:r>
      <w:r w:rsidR="00C92189">
        <w:t>Information T</w:t>
      </w:r>
      <w:r w:rsidR="00E27516">
        <w:t xml:space="preserve">echnology </w:t>
      </w:r>
      <w:r>
        <w:t xml:space="preserve">platform should be able to </w:t>
      </w:r>
      <w:r w:rsidR="00AB3288">
        <w:t>accommodate</w:t>
      </w:r>
      <w:r>
        <w:t xml:space="preserve"> </w:t>
      </w:r>
      <w:r w:rsidR="00916FDF">
        <w:t xml:space="preserve">a </w:t>
      </w:r>
      <w:r>
        <w:t>fixed charge being expressed on a daily basis.</w:t>
      </w:r>
      <w:r w:rsidR="00D328FF">
        <w:rPr>
          <w:rStyle w:val="FootnoteReference"/>
        </w:rPr>
        <w:footnoteReference w:id="20"/>
      </w:r>
    </w:p>
    <w:p w:rsidR="00C141D3" w:rsidRDefault="00DA4C05" w:rsidP="00E47A0C">
      <w:r>
        <w:t>Retailers did not file sufficient evidence to demonstrate that the benefits to consumers outweigh the costs of mandating these proposed changes.</w:t>
      </w:r>
      <w:r>
        <w:rPr>
          <w:rStyle w:val="FootnoteReference"/>
        </w:rPr>
        <w:footnoteReference w:id="21"/>
      </w:r>
      <w:r>
        <w:t xml:space="preserve"> However we note that </w:t>
      </w:r>
      <w:r w:rsidR="00C141D3">
        <w:t xml:space="preserve">JGN has </w:t>
      </w:r>
      <w:r w:rsidR="00D328FF">
        <w:t xml:space="preserve">submitted that </w:t>
      </w:r>
      <w:r w:rsidR="00C141D3">
        <w:t xml:space="preserve">it may be able to accommodate </w:t>
      </w:r>
      <w:r w:rsidR="008D68CA">
        <w:t>retailer</w:t>
      </w:r>
      <w:r w:rsidR="00C141D3">
        <w:t>s</w:t>
      </w:r>
      <w:r w:rsidR="008D68CA">
        <w:t>'</w:t>
      </w:r>
      <w:r w:rsidR="00C141D3">
        <w:t xml:space="preserve"> requests in future years</w:t>
      </w:r>
      <w:r w:rsidR="00C92189">
        <w:t>,</w:t>
      </w:r>
      <w:r w:rsidR="00C141D3">
        <w:t xml:space="preserve"> if the costs of the changes are negligible.</w:t>
      </w:r>
      <w:r w:rsidR="00C141D3">
        <w:rPr>
          <w:rStyle w:val="FootnoteReference"/>
        </w:rPr>
        <w:footnoteReference w:id="22"/>
      </w:r>
      <w:r w:rsidR="00C141D3">
        <w:t xml:space="preserve"> </w:t>
      </w:r>
    </w:p>
    <w:p w:rsidR="008D68CA" w:rsidRDefault="000E4E72" w:rsidP="00E47A0C">
      <w:r>
        <w:t>Our</w:t>
      </w:r>
      <w:r w:rsidR="0051030C">
        <w:t xml:space="preserve"> final decision </w:t>
      </w:r>
      <w:r>
        <w:t xml:space="preserve">therefore maintains </w:t>
      </w:r>
      <w:r w:rsidR="0051030C">
        <w:t>the position set</w:t>
      </w:r>
      <w:r w:rsidR="00E27516">
        <w:t xml:space="preserve"> out in </w:t>
      </w:r>
      <w:r>
        <w:t>our</w:t>
      </w:r>
      <w:r w:rsidR="00E27516">
        <w:t xml:space="preserve"> draft decision</w:t>
      </w:r>
      <w:r w:rsidR="00916FDF">
        <w:t xml:space="preserve">. </w:t>
      </w:r>
    </w:p>
    <w:p w:rsidR="008A6843" w:rsidRDefault="008A6843" w:rsidP="008A6843">
      <w:pPr>
        <w:pStyle w:val="Heading3"/>
      </w:pPr>
      <w:bookmarkStart w:id="23" w:name="_Toc419988598"/>
      <w:r w:rsidRPr="008A6843">
        <w:t>Decommissioning and meter removal</w:t>
      </w:r>
      <w:r>
        <w:t xml:space="preserve"> charges</w:t>
      </w:r>
      <w:bookmarkEnd w:id="23"/>
      <w:r>
        <w:t xml:space="preserve"> </w:t>
      </w:r>
    </w:p>
    <w:p w:rsidR="008A6843" w:rsidRDefault="008A6843" w:rsidP="008A6843">
      <w:r>
        <w:t xml:space="preserve">AGL's submission questioned </w:t>
      </w:r>
      <w:r w:rsidRPr="008A6843">
        <w:t>JGN</w:t>
      </w:r>
      <w:r>
        <w:t>'s</w:t>
      </w:r>
      <w:r w:rsidRPr="008A6843">
        <w:t xml:space="preserve"> </w:t>
      </w:r>
      <w:r>
        <w:t xml:space="preserve">proposed </w:t>
      </w:r>
      <w:r w:rsidRPr="008A6843">
        <w:t>charge</w:t>
      </w:r>
      <w:r w:rsidR="000E4E72">
        <w:t>s</w:t>
      </w:r>
      <w:r w:rsidRPr="008A6843">
        <w:t xml:space="preserve"> of $1050 </w:t>
      </w:r>
      <w:r w:rsidR="00A66DDD">
        <w:t>and</w:t>
      </w:r>
      <w:r w:rsidRPr="008A6843">
        <w:t xml:space="preserve"> $2188 for </w:t>
      </w:r>
      <w:r>
        <w:t>decommissioning and meter removal</w:t>
      </w:r>
      <w:r w:rsidR="0051030C">
        <w:t xml:space="preserve"> respectively</w:t>
      </w:r>
      <w:r w:rsidRPr="008A6843">
        <w:t>.</w:t>
      </w:r>
      <w:r>
        <w:t xml:space="preserve"> </w:t>
      </w:r>
      <w:r w:rsidR="00B87C7B">
        <w:t xml:space="preserve">AGL </w:t>
      </w:r>
      <w:r w:rsidRPr="008A6843">
        <w:t>accept</w:t>
      </w:r>
      <w:r>
        <w:t>ed</w:t>
      </w:r>
      <w:r w:rsidRPr="008A6843">
        <w:t xml:space="preserve"> the costs of these </w:t>
      </w:r>
      <w:r w:rsidRPr="008A6843">
        <w:lastRenderedPageBreak/>
        <w:t>services provided the assets are removed</w:t>
      </w:r>
      <w:r w:rsidR="000E4E72">
        <w:t xml:space="preserve">. However, it submitted that </w:t>
      </w:r>
      <w:r w:rsidRPr="008A6843">
        <w:t>if JGN chooses to leave assets on site (</w:t>
      </w:r>
      <w:r>
        <w:t>i.e.</w:t>
      </w:r>
      <w:r w:rsidRPr="008A6843">
        <w:t xml:space="preserve"> service connection) then </w:t>
      </w:r>
      <w:r w:rsidR="00E22FA1">
        <w:t>it</w:t>
      </w:r>
      <w:r w:rsidR="00E22FA1" w:rsidRPr="008A6843">
        <w:t xml:space="preserve"> </w:t>
      </w:r>
      <w:r w:rsidRPr="008A6843">
        <w:t xml:space="preserve">would expect a substantially reduced service charge </w:t>
      </w:r>
      <w:r w:rsidR="000E4E72">
        <w:t>to</w:t>
      </w:r>
      <w:r w:rsidR="00916FDF">
        <w:t xml:space="preserve"> apply</w:t>
      </w:r>
      <w:r w:rsidRPr="008A6843">
        <w:t>.</w:t>
      </w:r>
      <w:r>
        <w:rPr>
          <w:rStyle w:val="FootnoteReference"/>
        </w:rPr>
        <w:footnoteReference w:id="23"/>
      </w:r>
    </w:p>
    <w:p w:rsidR="00021655" w:rsidRDefault="00B87C7B" w:rsidP="008A6843">
      <w:r>
        <w:t>Our</w:t>
      </w:r>
      <w:r w:rsidR="00916FDF">
        <w:t xml:space="preserve"> </w:t>
      </w:r>
      <w:r w:rsidR="00DA0C89">
        <w:t>draft decision considered JGN's</w:t>
      </w:r>
      <w:r w:rsidR="00D328FF">
        <w:t xml:space="preserve"> charge</w:t>
      </w:r>
      <w:r w:rsidR="00DA0C89">
        <w:t xml:space="preserve"> for meter decommissioning and meter removal to be reasonable because it was cost reflective. </w:t>
      </w:r>
      <w:r w:rsidR="000E4E72">
        <w:t>We</w:t>
      </w:r>
      <w:r w:rsidR="001E5B67">
        <w:t xml:space="preserve"> also </w:t>
      </w:r>
      <w:r w:rsidR="004F5CE7">
        <w:t xml:space="preserve">noted that </w:t>
      </w:r>
      <w:r w:rsidR="00DA0C89">
        <w:t>the tasks undertaken to decommission or remov</w:t>
      </w:r>
      <w:r w:rsidR="00E25A15">
        <w:t xml:space="preserve">e a </w:t>
      </w:r>
      <w:r w:rsidR="00916FDF">
        <w:t xml:space="preserve">gas </w:t>
      </w:r>
      <w:r w:rsidR="00E25A15">
        <w:t>meter</w:t>
      </w:r>
      <w:r w:rsidR="00DA0C89">
        <w:t xml:space="preserve"> may vary between distributors</w:t>
      </w:r>
      <w:r w:rsidR="001E5B67">
        <w:t xml:space="preserve"> and as such the charge levied may be different to the published rates</w:t>
      </w:r>
      <w:r w:rsidR="00DA0C89">
        <w:t>.</w:t>
      </w:r>
      <w:r w:rsidR="00D328FF">
        <w:rPr>
          <w:rStyle w:val="FootnoteReference"/>
        </w:rPr>
        <w:footnoteReference w:id="24"/>
      </w:r>
      <w:r w:rsidR="00021655">
        <w:t xml:space="preserve"> </w:t>
      </w:r>
    </w:p>
    <w:p w:rsidR="00021655" w:rsidRDefault="00021655" w:rsidP="00021655">
      <w:r>
        <w:t xml:space="preserve">JGN </w:t>
      </w:r>
      <w:r w:rsidR="00284F46">
        <w:t xml:space="preserve">confirmed </w:t>
      </w:r>
      <w:r w:rsidR="00551EFC">
        <w:t xml:space="preserve">that it </w:t>
      </w:r>
      <w:r>
        <w:t xml:space="preserve">does not charge a decommission fee if </w:t>
      </w:r>
      <w:r w:rsidR="005C65B1">
        <w:t>the service is not rendered</w:t>
      </w:r>
      <w:r w:rsidRPr="00021655">
        <w:t xml:space="preserve">. </w:t>
      </w:r>
      <w:r w:rsidR="00551EFC">
        <w:t>D</w:t>
      </w:r>
      <w:r w:rsidRPr="00021655">
        <w:t>ecommissioning does not</w:t>
      </w:r>
      <w:r>
        <w:t xml:space="preserve"> </w:t>
      </w:r>
      <w:r w:rsidRPr="00021655">
        <w:t>mean “removing all gas plant from the premises”</w:t>
      </w:r>
      <w:r w:rsidR="00DB21DC">
        <w:t>,</w:t>
      </w:r>
      <w:r w:rsidRPr="00021655">
        <w:t xml:space="preserve"> because assets of no practical value are commonly</w:t>
      </w:r>
      <w:r>
        <w:t xml:space="preserve"> </w:t>
      </w:r>
      <w:r w:rsidRPr="00021655">
        <w:t>abandoned on site (for example</w:t>
      </w:r>
      <w:r>
        <w:t xml:space="preserve"> </w:t>
      </w:r>
      <w:r w:rsidRPr="00021655">
        <w:t>decommissioned buried pipework cannot be re-used</w:t>
      </w:r>
      <w:r w:rsidR="006659CD">
        <w:t>,</w:t>
      </w:r>
      <w:r w:rsidRPr="00021655">
        <w:t xml:space="preserve"> and is not dug up and</w:t>
      </w:r>
      <w:r>
        <w:t xml:space="preserve"> </w:t>
      </w:r>
      <w:r w:rsidRPr="00021655">
        <w:t xml:space="preserve">removed). </w:t>
      </w:r>
      <w:r>
        <w:t>Further</w:t>
      </w:r>
      <w:r w:rsidR="005C65B1">
        <w:t>,</w:t>
      </w:r>
      <w:r>
        <w:t xml:space="preserve"> </w:t>
      </w:r>
      <w:r w:rsidR="00551EFC">
        <w:t xml:space="preserve">JGN stated that </w:t>
      </w:r>
      <w:r w:rsidRPr="00021655">
        <w:t xml:space="preserve">if </w:t>
      </w:r>
      <w:r w:rsidR="00551EFC">
        <w:t xml:space="preserve">it </w:t>
      </w:r>
      <w:r w:rsidRPr="00021655">
        <w:t>adopt</w:t>
      </w:r>
      <w:r w:rsidR="00551EFC">
        <w:t>ed</w:t>
      </w:r>
      <w:r w:rsidRPr="00021655">
        <w:t xml:space="preserve"> a reduced scope of work</w:t>
      </w:r>
      <w:r>
        <w:t xml:space="preserve"> </w:t>
      </w:r>
      <w:r w:rsidRPr="00021655">
        <w:t>such that decommissioning was not effectively completed (i</w:t>
      </w:r>
      <w:r w:rsidR="005C65B1">
        <w:t>.</w:t>
      </w:r>
      <w:r w:rsidRPr="00021655">
        <w:t>e</w:t>
      </w:r>
      <w:r w:rsidR="005C65B1">
        <w:t>.</w:t>
      </w:r>
      <w:r w:rsidRPr="00021655">
        <w:t xml:space="preserve"> the delivery point continued to have an active</w:t>
      </w:r>
      <w:r>
        <w:t xml:space="preserve"> </w:t>
      </w:r>
      <w:r w:rsidRPr="00021655">
        <w:t>connection to the network)</w:t>
      </w:r>
      <w:r w:rsidR="00DB21DC">
        <w:t>,</w:t>
      </w:r>
      <w:r w:rsidRPr="00021655">
        <w:t xml:space="preserve"> then the decommission</w:t>
      </w:r>
      <w:r w:rsidR="00E277A0">
        <w:t>ing</w:t>
      </w:r>
      <w:r w:rsidRPr="00021655">
        <w:t xml:space="preserve"> charge would not apply.</w:t>
      </w:r>
      <w:r w:rsidR="00D328FF">
        <w:rPr>
          <w:rStyle w:val="FootnoteReference"/>
        </w:rPr>
        <w:footnoteReference w:id="25"/>
      </w:r>
    </w:p>
    <w:p w:rsidR="00E22FA1" w:rsidRPr="00E47A0C" w:rsidRDefault="00E22FA1" w:rsidP="00E22FA1">
      <w:r>
        <w:t xml:space="preserve">We have therefore </w:t>
      </w:r>
      <w:r w:rsidR="00DB21DC">
        <w:t>maintained</w:t>
      </w:r>
      <w:r w:rsidR="00284F46">
        <w:t xml:space="preserve"> </w:t>
      </w:r>
      <w:r>
        <w:t xml:space="preserve">our draft decision </w:t>
      </w:r>
      <w:r w:rsidR="00284F46">
        <w:t>in regard to decommissioning and meter removal charges</w:t>
      </w:r>
      <w:r>
        <w:t xml:space="preserve">. </w:t>
      </w:r>
    </w:p>
    <w:p w:rsidR="008A6843" w:rsidRPr="008A6843" w:rsidRDefault="008A6843" w:rsidP="008A6843">
      <w:pPr>
        <w:pStyle w:val="Heading3"/>
      </w:pPr>
      <w:bookmarkStart w:id="24" w:name="_Toc419988599"/>
      <w:r w:rsidRPr="008A6843">
        <w:t>Special Meter Reads</w:t>
      </w:r>
      <w:bookmarkEnd w:id="24"/>
    </w:p>
    <w:p w:rsidR="0000027D" w:rsidRDefault="0000027D" w:rsidP="0000027D">
      <w:r>
        <w:t xml:space="preserve">AGL's submission stated that </w:t>
      </w:r>
      <w:r w:rsidRPr="0000027D">
        <w:t xml:space="preserve">the </w:t>
      </w:r>
      <w:r>
        <w:t xml:space="preserve">new </w:t>
      </w:r>
      <w:r w:rsidRPr="0000027D">
        <w:t>NSW Retail Market Procedures would only require 2 b</w:t>
      </w:r>
      <w:r>
        <w:t>usiness days’ notice for special meter reads</w:t>
      </w:r>
      <w:r w:rsidRPr="0000027D">
        <w:t>.</w:t>
      </w:r>
      <w:r>
        <w:t xml:space="preserve"> </w:t>
      </w:r>
      <w:r w:rsidRPr="0000027D">
        <w:t>AGL</w:t>
      </w:r>
      <w:r>
        <w:t xml:space="preserve">'s submission accepted </w:t>
      </w:r>
      <w:r w:rsidRPr="0000027D">
        <w:t xml:space="preserve">the 5 business day requirement for the </w:t>
      </w:r>
      <w:r>
        <w:t>2015–</w:t>
      </w:r>
      <w:r w:rsidRPr="0000027D">
        <w:t>2016 period prior to the new retail procedures coming into force, but does not support their inclusion from July 2016 onwards.</w:t>
      </w:r>
      <w:r>
        <w:rPr>
          <w:rStyle w:val="FootnoteReference"/>
        </w:rPr>
        <w:footnoteReference w:id="26"/>
      </w:r>
    </w:p>
    <w:p w:rsidR="0051030C" w:rsidRDefault="006153C6" w:rsidP="002842B2">
      <w:r>
        <w:t xml:space="preserve">We are aware </w:t>
      </w:r>
      <w:r w:rsidR="00921163">
        <w:t>that</w:t>
      </w:r>
      <w:r>
        <w:t xml:space="preserve"> changes </w:t>
      </w:r>
      <w:r w:rsidR="00921163">
        <w:t xml:space="preserve">to </w:t>
      </w:r>
      <w:r>
        <w:t xml:space="preserve">the </w:t>
      </w:r>
      <w:r w:rsidR="00DB21DC" w:rsidRPr="0000027D">
        <w:t>NSW Retail Market Procedures</w:t>
      </w:r>
      <w:r w:rsidR="00DB21DC">
        <w:t xml:space="preserve"> </w:t>
      </w:r>
      <w:r w:rsidR="00921163">
        <w:t>are expected to</w:t>
      </w:r>
      <w:r w:rsidR="00DB21DC">
        <w:t xml:space="preserve"> take effect in 2016,</w:t>
      </w:r>
      <w:r w:rsidR="00DB21DC" w:rsidRPr="0000027D">
        <w:t xml:space="preserve"> </w:t>
      </w:r>
      <w:r w:rsidR="00612723">
        <w:t xml:space="preserve">but can only make </w:t>
      </w:r>
      <w:r w:rsidR="006659CD">
        <w:t xml:space="preserve">this </w:t>
      </w:r>
      <w:r w:rsidR="00612723">
        <w:t xml:space="preserve">decision based on the current </w:t>
      </w:r>
      <w:r w:rsidR="008556A5">
        <w:t>legislative requirement</w:t>
      </w:r>
      <w:r w:rsidR="00612723">
        <w:t xml:space="preserve">. However </w:t>
      </w:r>
      <w:r>
        <w:t xml:space="preserve">this issue </w:t>
      </w:r>
      <w:r w:rsidR="008556A5">
        <w:t>may</w:t>
      </w:r>
      <w:r>
        <w:t xml:space="preserve"> be addressed via</w:t>
      </w:r>
      <w:r w:rsidR="002842B2">
        <w:t xml:space="preserve"> JGN's annual </w:t>
      </w:r>
      <w:r w:rsidR="00811291">
        <w:t xml:space="preserve">tariff variation </w:t>
      </w:r>
      <w:r w:rsidR="002842B2">
        <w:t>proposal</w:t>
      </w:r>
      <w:r w:rsidR="002842B2" w:rsidRPr="002842B2">
        <w:t>, which contains JGN’s tariffs and charge descriptions. This occurs</w:t>
      </w:r>
      <w:r w:rsidR="002842B2">
        <w:t xml:space="preserve"> on an annual basis </w:t>
      </w:r>
      <w:r w:rsidR="002842B2" w:rsidRPr="002842B2">
        <w:t>wi</w:t>
      </w:r>
      <w:r w:rsidR="002842B2">
        <w:t>th effect from 1 July each year.</w:t>
      </w:r>
      <w:r w:rsidR="002842B2">
        <w:rPr>
          <w:rStyle w:val="FootnoteReference"/>
        </w:rPr>
        <w:footnoteReference w:id="27"/>
      </w:r>
    </w:p>
    <w:p w:rsidR="0014222E" w:rsidRDefault="0014222E" w:rsidP="002842B2">
      <w:r>
        <w:t>We accept JGN</w:t>
      </w:r>
      <w:r w:rsidR="00F45B67">
        <w:t>'s</w:t>
      </w:r>
      <w:r>
        <w:t xml:space="preserve"> proposal to require </w:t>
      </w:r>
      <w:r w:rsidR="00F45B67">
        <w:t>five</w:t>
      </w:r>
      <w:r>
        <w:t xml:space="preserve"> business days' notice for special meter reads until July 2016</w:t>
      </w:r>
      <w:r w:rsidR="0051030C">
        <w:t>. Nevertheless</w:t>
      </w:r>
      <w:r>
        <w:t xml:space="preserve"> </w:t>
      </w:r>
      <w:r w:rsidR="00921163">
        <w:t xml:space="preserve">we consider that </w:t>
      </w:r>
      <w:r>
        <w:t>JGN</w:t>
      </w:r>
      <w:r w:rsidR="00921163">
        <w:t>’s</w:t>
      </w:r>
      <w:r>
        <w:t xml:space="preserve"> </w:t>
      </w:r>
      <w:r w:rsidR="00921163">
        <w:t>proposed</w:t>
      </w:r>
      <w:r>
        <w:t xml:space="preserve"> Access Arrangement </w:t>
      </w:r>
      <w:r w:rsidR="00921163">
        <w:lastRenderedPageBreak/>
        <w:t xml:space="preserve">should be revised </w:t>
      </w:r>
      <w:r>
        <w:t>so that it</w:t>
      </w:r>
      <w:r w:rsidR="006F4AF8">
        <w:t xml:space="preserve"> can</w:t>
      </w:r>
      <w:r>
        <w:t xml:space="preserve"> accommodate the new NSW </w:t>
      </w:r>
      <w:r w:rsidR="00921163">
        <w:t xml:space="preserve">Retail </w:t>
      </w:r>
      <w:r>
        <w:t>Market Procedures</w:t>
      </w:r>
      <w:r w:rsidR="0051030C">
        <w:t xml:space="preserve"> once in force</w:t>
      </w:r>
      <w:r>
        <w:t xml:space="preserve">. </w:t>
      </w:r>
      <w:r w:rsidR="006F4AF8">
        <w:t>This will ensure tha</w:t>
      </w:r>
      <w:r w:rsidR="002A3D4B">
        <w:t>t</w:t>
      </w:r>
      <w:r w:rsidR="006F4AF8">
        <w:t xml:space="preserve"> the access </w:t>
      </w:r>
      <w:r w:rsidR="0051030C">
        <w:t>arrangement</w:t>
      </w:r>
      <w:r w:rsidR="00C6272E">
        <w:t xml:space="preserve"> </w:t>
      </w:r>
      <w:r w:rsidR="004D08AA">
        <w:t>provisions mirror</w:t>
      </w:r>
      <w:r w:rsidR="006F4AF8">
        <w:t xml:space="preserve"> th</w:t>
      </w:r>
      <w:r w:rsidR="002A3D4B">
        <w:t>e</w:t>
      </w:r>
      <w:r w:rsidR="006F4AF8">
        <w:t xml:space="preserve"> </w:t>
      </w:r>
      <w:r w:rsidR="00921163">
        <w:t>r</w:t>
      </w:r>
      <w:r w:rsidR="006F4AF8">
        <w:t xml:space="preserve">etail services agreement. </w:t>
      </w:r>
      <w:r w:rsidR="00921163">
        <w:t xml:space="preserve">We have made revisions giving effect to this decision in schedule 2, clause 4.1(j) of the </w:t>
      </w:r>
      <w:r w:rsidR="00921163" w:rsidRPr="00DD285E">
        <w:rPr>
          <w:rStyle w:val="AERtextitalic"/>
        </w:rPr>
        <w:t>Approved Access Arrangement, JGN’s NSW gas distribution networks 1 July 2015 – 30 June 2020</w:t>
      </w:r>
      <w:r w:rsidR="00921163" w:rsidRPr="00DD285E">
        <w:t xml:space="preserve"> (</w:t>
      </w:r>
      <w:r w:rsidR="006659CD">
        <w:t>June</w:t>
      </w:r>
      <w:r w:rsidR="006659CD" w:rsidRPr="00DD285E">
        <w:t xml:space="preserve"> </w:t>
      </w:r>
      <w:r w:rsidR="00921163" w:rsidRPr="00DD285E">
        <w:t>2015)</w:t>
      </w:r>
      <w:r w:rsidR="00921163">
        <w:t>:</w:t>
      </w:r>
    </w:p>
    <w:p w:rsidR="00921163" w:rsidRDefault="006659CD" w:rsidP="00AB3870">
      <w:pPr>
        <w:pStyle w:val="AERquote"/>
      </w:pPr>
      <w:r w:rsidRPr="00BA49DF">
        <w:rPr>
          <w:rStyle w:val="Strong"/>
        </w:rPr>
        <w:t>Special Meter Reads</w:t>
      </w:r>
      <w:r>
        <w:t xml:space="preserve"> - </w:t>
      </w:r>
      <w:r w:rsidR="00921163">
        <w:t xml:space="preserve">For meter reading requested by a User for a Delivery Point that is in addition to the scheduled ordinary meter reading comprised in the Haulage Reference Service (for instance, when the meter reader makes a special visit to read a particular meter out of the usual meter reading route or schedule). </w:t>
      </w:r>
      <w:r w:rsidR="00921163" w:rsidRPr="00F23483">
        <w:t>This service</w:t>
      </w:r>
      <w:r w:rsidR="00010E3E" w:rsidRPr="00F23483">
        <w:t xml:space="preserve"> must be scheduled by the User with the Service Provider </w:t>
      </w:r>
      <w:r w:rsidR="00010E3E" w:rsidRPr="00BA49DF">
        <w:rPr>
          <w:rStyle w:val="AERtextunderline"/>
        </w:rPr>
        <w:t xml:space="preserve">in accordance with the </w:t>
      </w:r>
      <w:r w:rsidR="00101E28" w:rsidRPr="00BA49DF">
        <w:rPr>
          <w:rStyle w:val="AERtextunderline"/>
        </w:rPr>
        <w:t>NSW Retail Market Procedures</w:t>
      </w:r>
      <w:r w:rsidR="00010E3E" w:rsidRPr="00F23483">
        <w:t>.</w:t>
      </w:r>
    </w:p>
    <w:p w:rsidR="006153C6" w:rsidRDefault="00A66F72" w:rsidP="0014222E">
      <w:pPr>
        <w:pStyle w:val="Heading3"/>
      </w:pPr>
      <w:bookmarkStart w:id="25" w:name="_Toc419988600"/>
      <w:r>
        <w:t>Temporary disconnection for small customers</w:t>
      </w:r>
      <w:bookmarkEnd w:id="25"/>
    </w:p>
    <w:p w:rsidR="00A66F72" w:rsidRDefault="00A66F72" w:rsidP="00A66F72">
      <w:r>
        <w:t>AGL considered</w:t>
      </w:r>
      <w:r w:rsidR="0013505D">
        <w:t xml:space="preserve"> that</w:t>
      </w:r>
      <w:r w:rsidR="002A3D4B">
        <w:t xml:space="preserve"> </w:t>
      </w:r>
      <w:r w:rsidR="006E60F0">
        <w:t xml:space="preserve">a </w:t>
      </w:r>
      <w:r w:rsidRPr="00A66F72">
        <w:t xml:space="preserve">temporary disconnection </w:t>
      </w:r>
      <w:r w:rsidR="006E60F0">
        <w:t>charge for</w:t>
      </w:r>
      <w:r w:rsidRPr="00A66F72">
        <w:t xml:space="preserve"> small customers is necessary</w:t>
      </w:r>
      <w:r w:rsidR="00811291">
        <w:t xml:space="preserve"> in cases of housing </w:t>
      </w:r>
      <w:r w:rsidRPr="00A66F72">
        <w:t>renovation</w:t>
      </w:r>
      <w:r w:rsidR="00023CBF">
        <w:t>s</w:t>
      </w:r>
      <w:r w:rsidRPr="00A66F72">
        <w:t xml:space="preserve"> or customer debt</w:t>
      </w:r>
      <w:r w:rsidR="00811291">
        <w:t>,</w:t>
      </w:r>
      <w:r w:rsidRPr="00A66F72">
        <w:t xml:space="preserve"> </w:t>
      </w:r>
      <w:r w:rsidR="00811291">
        <w:t xml:space="preserve">which might </w:t>
      </w:r>
      <w:r w:rsidRPr="00A66F72">
        <w:t>require a temporary cessat</w:t>
      </w:r>
      <w:r>
        <w:t>ion of service</w:t>
      </w:r>
      <w:r w:rsidR="0013505D">
        <w:t>.</w:t>
      </w:r>
      <w:r>
        <w:t xml:space="preserve"> </w:t>
      </w:r>
    </w:p>
    <w:p w:rsidR="0013505D" w:rsidRDefault="00551EFC" w:rsidP="00AB3870">
      <w:r>
        <w:t>As outlined above, w</w:t>
      </w:r>
      <w:r w:rsidR="00C70C65">
        <w:t>e are not persuaded by AGL's submission because</w:t>
      </w:r>
      <w:r w:rsidR="006E60F0">
        <w:t xml:space="preserve"> th</w:t>
      </w:r>
      <w:r>
        <w:t>ese</w:t>
      </w:r>
      <w:r w:rsidR="006E60F0">
        <w:t xml:space="preserve"> service</w:t>
      </w:r>
      <w:r>
        <w:t>s</w:t>
      </w:r>
      <w:r w:rsidR="006E60F0">
        <w:t xml:space="preserve"> </w:t>
      </w:r>
      <w:r>
        <w:t>are</w:t>
      </w:r>
      <w:r w:rsidR="006E60F0">
        <w:t xml:space="preserve"> still provided. </w:t>
      </w:r>
      <w:r w:rsidR="002A3D4B">
        <w:t>We are not persuaded because w</w:t>
      </w:r>
      <w:r w:rsidR="00A727AD">
        <w:t>e accept JGN's submission that</w:t>
      </w:r>
      <w:r w:rsidR="00C12A6E">
        <w:t xml:space="preserve"> its proposal</w:t>
      </w:r>
      <w:r w:rsidR="00A66F72" w:rsidRPr="00A66F72">
        <w:t xml:space="preserve"> would not inhibit </w:t>
      </w:r>
      <w:r w:rsidR="00C70C65">
        <w:t>AGL</w:t>
      </w:r>
      <w:r w:rsidR="00A66F72" w:rsidRPr="00A66F72">
        <w:t>'s ability to request</w:t>
      </w:r>
      <w:r w:rsidR="0013505D">
        <w:t xml:space="preserve"> </w:t>
      </w:r>
      <w:r w:rsidR="00A66F72" w:rsidRPr="00A66F72">
        <w:t>JGN to re-energise disconnected sites in the future (where physical connection remains intact)</w:t>
      </w:r>
      <w:r w:rsidR="00811291">
        <w:t>.</w:t>
      </w:r>
    </w:p>
    <w:p w:rsidR="00F006D2" w:rsidRDefault="0076632D" w:rsidP="004073EE">
      <w:r w:rsidDel="0076632D">
        <w:rPr>
          <w:rStyle w:val="FootnoteReference"/>
        </w:rPr>
        <w:t xml:space="preserve"> </w:t>
      </w:r>
      <w:r w:rsidR="004073EE">
        <w:t>Our res</w:t>
      </w:r>
      <w:r w:rsidR="002A3D4B">
        <w:t>p</w:t>
      </w:r>
      <w:r w:rsidR="004073EE">
        <w:t>onse to the unbundling of disconnection service</w:t>
      </w:r>
      <w:r>
        <w:t>s</w:t>
      </w:r>
      <w:r w:rsidR="004073EE">
        <w:t xml:space="preserve"> is outlined in section </w:t>
      </w:r>
      <w:r w:rsidR="004073EE">
        <w:fldChar w:fldCharType="begin"/>
      </w:r>
      <w:r w:rsidR="004073EE">
        <w:instrText xml:space="preserve"> REF _Ref418864215 \r \h </w:instrText>
      </w:r>
      <w:r w:rsidR="004073EE">
        <w:fldChar w:fldCharType="end"/>
      </w:r>
      <w:r>
        <w:t xml:space="preserve"> which applies to small customers.</w:t>
      </w:r>
    </w:p>
    <w:p w:rsidR="00CE4C5F" w:rsidRDefault="0051030C" w:rsidP="00627F2D">
      <w:pPr>
        <w:pStyle w:val="Heading3"/>
      </w:pPr>
      <w:bookmarkStart w:id="26" w:name="_Toc419988601"/>
      <w:r>
        <w:t>L</w:t>
      </w:r>
      <w:r w:rsidR="00627F2D">
        <w:t>arge customer</w:t>
      </w:r>
      <w:r w:rsidR="00960A75">
        <w:t xml:space="preserve"> </w:t>
      </w:r>
      <w:r>
        <w:t>tariffs</w:t>
      </w:r>
      <w:bookmarkEnd w:id="26"/>
    </w:p>
    <w:p w:rsidR="00627F2D" w:rsidRDefault="00627F2D" w:rsidP="00627F2D">
      <w:r>
        <w:t xml:space="preserve">The Energy Markets Reform Forum </w:t>
      </w:r>
      <w:r w:rsidR="007E43DB">
        <w:t xml:space="preserve">(EMRF) </w:t>
      </w:r>
      <w:r w:rsidR="006E60F0">
        <w:t>submission</w:t>
      </w:r>
      <w:r>
        <w:t xml:space="preserve"> </w:t>
      </w:r>
      <w:r w:rsidR="00C12A6E">
        <w:t xml:space="preserve">expressed </w:t>
      </w:r>
      <w:r>
        <w:t xml:space="preserve">concern that JGN is </w:t>
      </w:r>
      <w:r w:rsidRPr="00627F2D">
        <w:t xml:space="preserve">charging </w:t>
      </w:r>
      <w:r w:rsidR="0051030C" w:rsidRPr="00627F2D">
        <w:t xml:space="preserve">larger users </w:t>
      </w:r>
      <w:r w:rsidRPr="00627F2D">
        <w:t xml:space="preserve">more than is </w:t>
      </w:r>
      <w:r w:rsidR="0076632D" w:rsidRPr="00627F2D">
        <w:t>necessary</w:t>
      </w:r>
      <w:r>
        <w:t>. It commented that</w:t>
      </w:r>
      <w:r w:rsidR="00F23483">
        <w:t>:</w:t>
      </w:r>
      <w:r w:rsidR="004317F7">
        <w:rPr>
          <w:rStyle w:val="FootnoteReference"/>
        </w:rPr>
        <w:footnoteReference w:id="28"/>
      </w:r>
    </w:p>
    <w:p w:rsidR="00E61D7C" w:rsidRDefault="006E60F0" w:rsidP="00AB3870">
      <w:pPr>
        <w:pStyle w:val="AERbulletlistfirststyle"/>
      </w:pPr>
      <w:r>
        <w:t>Large gas consumers</w:t>
      </w:r>
      <w:r w:rsidR="00E61D7C" w:rsidRPr="00E61D7C">
        <w:t xml:space="preserve"> prefer price path stability but this is not the same as a </w:t>
      </w:r>
      <w:r w:rsidR="00B3558E">
        <w:t>"</w:t>
      </w:r>
      <w:r w:rsidR="00E61D7C" w:rsidRPr="00E61D7C">
        <w:t>preference</w:t>
      </w:r>
      <w:r w:rsidR="00B3558E">
        <w:t>"</w:t>
      </w:r>
      <w:r w:rsidR="00E61D7C" w:rsidRPr="00E61D7C">
        <w:t xml:space="preserve"> for </w:t>
      </w:r>
      <w:r w:rsidR="0014222E">
        <w:t xml:space="preserve">a 2.5 per cent per annum </w:t>
      </w:r>
      <w:r w:rsidR="00E61D7C" w:rsidRPr="00E61D7C">
        <w:t>price increase</w:t>
      </w:r>
      <w:r w:rsidR="00CA5EF4">
        <w:t xml:space="preserve">. That is, </w:t>
      </w:r>
      <w:r w:rsidR="0051030C">
        <w:t xml:space="preserve">the </w:t>
      </w:r>
      <w:r w:rsidR="007E43DB">
        <w:t>EMRF</w:t>
      </w:r>
      <w:r w:rsidR="00CA5EF4" w:rsidRPr="00CA5EF4">
        <w:t xml:space="preserve"> is of the view that a preference for certainty</w:t>
      </w:r>
      <w:r w:rsidR="00CA5EF4">
        <w:t xml:space="preserve"> </w:t>
      </w:r>
      <w:r w:rsidR="00CA5EF4" w:rsidRPr="00CA5EF4">
        <w:t>does not mean a preference for a 13</w:t>
      </w:r>
      <w:r w:rsidR="00084C90">
        <w:t xml:space="preserve"> per cent</w:t>
      </w:r>
      <w:r w:rsidR="00CA5EF4" w:rsidRPr="00CA5EF4">
        <w:t xml:space="preserve"> increase in network prices over the</w:t>
      </w:r>
      <w:r w:rsidR="00CA5EF4">
        <w:t xml:space="preserve"> </w:t>
      </w:r>
      <w:r w:rsidR="00CA5EF4" w:rsidRPr="00CA5EF4">
        <w:t>next 5 years</w:t>
      </w:r>
      <w:r w:rsidR="00CA5EF4">
        <w:t>.</w:t>
      </w:r>
      <w:r w:rsidR="00FA3353">
        <w:t xml:space="preserve"> </w:t>
      </w:r>
    </w:p>
    <w:p w:rsidR="00627F2D" w:rsidRPr="00627F2D" w:rsidRDefault="006E60F0" w:rsidP="00B3558E">
      <w:pPr>
        <w:pStyle w:val="AERbulletlistfirststyle"/>
      </w:pPr>
      <w:r>
        <w:t>Large gas consumers</w:t>
      </w:r>
      <w:r w:rsidR="003C17D1">
        <w:t xml:space="preserve"> should not face a price increase when</w:t>
      </w:r>
      <w:r w:rsidR="00B3558E">
        <w:t xml:space="preserve"> their number </w:t>
      </w:r>
      <w:r w:rsidR="0051030C">
        <w:t>connected to the gas network is</w:t>
      </w:r>
      <w:r w:rsidR="003C17D1">
        <w:t xml:space="preserve"> declining and they do not add to network costs</w:t>
      </w:r>
      <w:r w:rsidR="004317F7">
        <w:t>.</w:t>
      </w:r>
    </w:p>
    <w:p w:rsidR="00627F2D" w:rsidRPr="00627F2D" w:rsidRDefault="006E60F0" w:rsidP="00B3558E">
      <w:pPr>
        <w:pStyle w:val="AERbulletlistfirststyle"/>
      </w:pPr>
      <w:r>
        <w:t>Large gas consumers</w:t>
      </w:r>
      <w:r w:rsidR="00627F2D" w:rsidRPr="00627F2D">
        <w:t xml:space="preserve"> are more exposed to the future shocks of gas price</w:t>
      </w:r>
      <w:r w:rsidR="00627F2D">
        <w:t xml:space="preserve"> </w:t>
      </w:r>
      <w:r w:rsidR="00627F2D" w:rsidRPr="00627F2D">
        <w:t xml:space="preserve">increases than small </w:t>
      </w:r>
      <w:r>
        <w:t>consumers</w:t>
      </w:r>
      <w:r w:rsidR="003C17D1">
        <w:t xml:space="preserve">. The price increase proposed by JGN will </w:t>
      </w:r>
      <w:r>
        <w:t xml:space="preserve">also </w:t>
      </w:r>
      <w:r w:rsidR="003C17D1">
        <w:t xml:space="preserve">affect large </w:t>
      </w:r>
      <w:r w:rsidR="00023CBF">
        <w:t>consumers'</w:t>
      </w:r>
      <w:r w:rsidR="003C17D1">
        <w:t xml:space="preserve"> financial viability</w:t>
      </w:r>
      <w:r w:rsidR="004317F7">
        <w:t>.</w:t>
      </w:r>
    </w:p>
    <w:p w:rsidR="00E61D7C" w:rsidRDefault="00E61D7C" w:rsidP="00BA49DF">
      <w:pPr>
        <w:pStyle w:val="Tabletitle"/>
        <w:keepNext/>
      </w:pPr>
      <w:r>
        <w:lastRenderedPageBreak/>
        <w:t>Price path stability</w:t>
      </w:r>
    </w:p>
    <w:p w:rsidR="00CF34AE" w:rsidRDefault="0001504D" w:rsidP="00BA49DF">
      <w:pPr>
        <w:keepNext/>
      </w:pPr>
      <w:r>
        <w:t>We accept that</w:t>
      </w:r>
      <w:r w:rsidR="00B3558E">
        <w:t xml:space="preserve"> a desire for </w:t>
      </w:r>
      <w:r w:rsidRPr="00E61D7C">
        <w:t xml:space="preserve">price path stability </w:t>
      </w:r>
      <w:r>
        <w:t xml:space="preserve">does </w:t>
      </w:r>
      <w:r w:rsidRPr="00E61D7C">
        <w:t xml:space="preserve">not </w:t>
      </w:r>
      <w:r>
        <w:t xml:space="preserve">necessarily mean that </w:t>
      </w:r>
      <w:r w:rsidRPr="00E61D7C">
        <w:t>the</w:t>
      </w:r>
      <w:r>
        <w:t>re</w:t>
      </w:r>
      <w:r w:rsidRPr="00E61D7C">
        <w:t xml:space="preserve"> </w:t>
      </w:r>
      <w:r>
        <w:t xml:space="preserve">is </w:t>
      </w:r>
      <w:r w:rsidRPr="00E61D7C">
        <w:t xml:space="preserve">a preference for </w:t>
      </w:r>
      <w:r w:rsidR="0014222E">
        <w:t xml:space="preserve">a 2.5 per cent per annum </w:t>
      </w:r>
      <w:r w:rsidRPr="00E61D7C">
        <w:t>price increase</w:t>
      </w:r>
      <w:r>
        <w:t xml:space="preserve">. </w:t>
      </w:r>
    </w:p>
    <w:p w:rsidR="00EB28DF" w:rsidRDefault="00CF34AE" w:rsidP="00CF34AE">
      <w:r>
        <w:t xml:space="preserve">We understand the </w:t>
      </w:r>
      <w:r w:rsidR="007E43DB">
        <w:t>EMRF</w:t>
      </w:r>
      <w:r w:rsidR="00B3558E">
        <w:t>'</w:t>
      </w:r>
      <w:r w:rsidR="0051030C">
        <w:t>s</w:t>
      </w:r>
      <w:r>
        <w:t xml:space="preserve"> concerns</w:t>
      </w:r>
      <w:r w:rsidR="00B3558E">
        <w:t>. However we</w:t>
      </w:r>
      <w:r>
        <w:t xml:space="preserve"> accept JGN's reasoning </w:t>
      </w:r>
      <w:r w:rsidR="00FA3353">
        <w:t>that the price decreases enjoyed by large gas users</w:t>
      </w:r>
      <w:r w:rsidR="00B3558E">
        <w:t xml:space="preserve"> in the </w:t>
      </w:r>
      <w:r w:rsidR="00960A75">
        <w:t>current</w:t>
      </w:r>
      <w:r w:rsidR="00B3558E">
        <w:t xml:space="preserve"> access arrangement</w:t>
      </w:r>
      <w:r w:rsidR="00FA3353">
        <w:t xml:space="preserve"> </w:t>
      </w:r>
      <w:r w:rsidR="00960A75">
        <w:t xml:space="preserve">period </w:t>
      </w:r>
      <w:r w:rsidR="00FA3353">
        <w:t>do not reflect their network utilisation. Further this price decrease was temporary</w:t>
      </w:r>
      <w:r w:rsidR="00F23483">
        <w:t>,</w:t>
      </w:r>
      <w:r w:rsidR="00FA3353">
        <w:t xml:space="preserve"> and part </w:t>
      </w:r>
      <w:r w:rsidR="00F23483">
        <w:t xml:space="preserve">of </w:t>
      </w:r>
      <w:r w:rsidR="00FA3353">
        <w:t>JGN's strategy to m</w:t>
      </w:r>
      <w:r w:rsidR="00EB28DF">
        <w:t xml:space="preserve">itigate price shocks for large gas consumers as a result </w:t>
      </w:r>
      <w:r w:rsidR="00FA3353">
        <w:t>of the recovery of the carbon tax levy and delay in revenue recovery</w:t>
      </w:r>
      <w:r w:rsidR="00EB28DF">
        <w:t xml:space="preserve"> from the tribunal decision in 2012</w:t>
      </w:r>
      <w:r w:rsidR="00FA3353">
        <w:t>.</w:t>
      </w:r>
      <w:r w:rsidR="00EB28DF">
        <w:t xml:space="preserve"> That is</w:t>
      </w:r>
      <w:r w:rsidR="006454AA">
        <w:t>,</w:t>
      </w:r>
      <w:r w:rsidR="00EB28DF">
        <w:t xml:space="preserve"> JGN recovered less revenue from large gas users in the current </w:t>
      </w:r>
      <w:r w:rsidR="00C6272E">
        <w:t xml:space="preserve">access arrangement </w:t>
      </w:r>
      <w:r w:rsidR="00EB28DF">
        <w:t>period to mitigate price shocks.</w:t>
      </w:r>
      <w:r w:rsidR="00EB28DF">
        <w:rPr>
          <w:rStyle w:val="FootnoteReference"/>
        </w:rPr>
        <w:footnoteReference w:id="29"/>
      </w:r>
    </w:p>
    <w:p w:rsidR="00CF34AE" w:rsidRDefault="00FA3353" w:rsidP="00CF34AE">
      <w:r>
        <w:t xml:space="preserve">JGN submitted that </w:t>
      </w:r>
      <w:r w:rsidR="00CF34AE">
        <w:t xml:space="preserve">its </w:t>
      </w:r>
      <w:r w:rsidR="00CF34AE" w:rsidRPr="00CF34AE">
        <w:t xml:space="preserve">large customer tariff strategy </w:t>
      </w:r>
      <w:r w:rsidR="00EB28DF">
        <w:t xml:space="preserve">in the next access arrangement </w:t>
      </w:r>
      <w:r w:rsidR="00CF34AE" w:rsidRPr="00CF34AE">
        <w:t>is to return this market segment to a historical</w:t>
      </w:r>
      <w:r w:rsidR="00CF34AE">
        <w:t xml:space="preserve"> c</w:t>
      </w:r>
      <w:r w:rsidR="00CF34AE" w:rsidRPr="00CF34AE">
        <w:t>ost</w:t>
      </w:r>
      <w:r w:rsidR="00CF34AE">
        <w:t xml:space="preserve"> </w:t>
      </w:r>
      <w:r w:rsidR="00CF34AE" w:rsidRPr="00CF34AE">
        <w:t>reflective</w:t>
      </w:r>
      <w:r w:rsidR="00CF34AE">
        <w:t xml:space="preserve"> </w:t>
      </w:r>
      <w:r w:rsidR="00CF34AE" w:rsidRPr="00CF34AE">
        <w:t xml:space="preserve">proportion of </w:t>
      </w:r>
      <w:r w:rsidR="00C6272E">
        <w:t>JGN's</w:t>
      </w:r>
      <w:r w:rsidR="00CF34AE" w:rsidRPr="00CF34AE">
        <w:t xml:space="preserve"> total revenue.</w:t>
      </w:r>
      <w:r w:rsidR="00CF34AE">
        <w:t xml:space="preserve"> This means that large customers will see a steady price </w:t>
      </w:r>
      <w:r w:rsidR="008614E9">
        <w:t>increase of</w:t>
      </w:r>
      <w:r w:rsidR="00CF34AE">
        <w:t xml:space="preserve"> around 2.5 per cent per annum in the next access arrangement period.</w:t>
      </w:r>
      <w:r w:rsidR="00CF34AE" w:rsidRPr="00CF34AE">
        <w:t xml:space="preserve"> </w:t>
      </w:r>
    </w:p>
    <w:p w:rsidR="0001504D" w:rsidRDefault="00CF34AE" w:rsidP="0002166C">
      <w:r>
        <w:t xml:space="preserve">We consider </w:t>
      </w:r>
      <w:r w:rsidRPr="00CF34AE">
        <w:t xml:space="preserve">that large </w:t>
      </w:r>
      <w:r>
        <w:t xml:space="preserve">gas consumers </w:t>
      </w:r>
      <w:r w:rsidRPr="00CF34AE">
        <w:t>would prefer a stable price path that results in a total 13</w:t>
      </w:r>
      <w:r>
        <w:t xml:space="preserve"> per cent </w:t>
      </w:r>
      <w:r w:rsidRPr="00CF34AE">
        <w:t xml:space="preserve">real price increase over </w:t>
      </w:r>
      <w:r w:rsidR="00F23483">
        <w:t>five</w:t>
      </w:r>
      <w:r w:rsidRPr="00CF34AE">
        <w:t xml:space="preserve"> years, </w:t>
      </w:r>
      <w:r w:rsidR="00F23483">
        <w:t>to</w:t>
      </w:r>
      <w:r w:rsidRPr="00CF34AE">
        <w:t xml:space="preserve"> a volatile price path that also results in a total 13</w:t>
      </w:r>
      <w:r>
        <w:t xml:space="preserve"> per cent</w:t>
      </w:r>
      <w:r w:rsidRPr="00CF34AE">
        <w:t xml:space="preserve"> real price increase</w:t>
      </w:r>
      <w:r>
        <w:t xml:space="preserve"> </w:t>
      </w:r>
      <w:r w:rsidRPr="00CF34AE">
        <w:t xml:space="preserve">over </w:t>
      </w:r>
      <w:r w:rsidR="00F23483">
        <w:t>five</w:t>
      </w:r>
      <w:r w:rsidRPr="00CF34AE">
        <w:t xml:space="preserve"> years. The latter might be achieved through a mixture of price increases and decreases of various</w:t>
      </w:r>
      <w:r>
        <w:t xml:space="preserve"> </w:t>
      </w:r>
      <w:r w:rsidRPr="00CF34AE">
        <w:t xml:space="preserve">magnitudes over the </w:t>
      </w:r>
      <w:r w:rsidR="00F23483">
        <w:t>five</w:t>
      </w:r>
      <w:r w:rsidR="00F23483" w:rsidRPr="00CF34AE">
        <w:t xml:space="preserve"> </w:t>
      </w:r>
      <w:r w:rsidRPr="00CF34AE">
        <w:t xml:space="preserve">year </w:t>
      </w:r>
      <w:r w:rsidR="00C6272E">
        <w:t xml:space="preserve">access arrangement </w:t>
      </w:r>
      <w:r w:rsidRPr="00CF34AE">
        <w:t xml:space="preserve">period. We do not </w:t>
      </w:r>
      <w:r>
        <w:t>consider</w:t>
      </w:r>
      <w:r w:rsidRPr="00CF34AE">
        <w:t xml:space="preserve"> that such a volatile price path profile is in </w:t>
      </w:r>
      <w:r>
        <w:t>the interests of consumers</w:t>
      </w:r>
      <w:r w:rsidRPr="00CF34AE">
        <w:t>.</w:t>
      </w:r>
      <w:r w:rsidR="0001504D">
        <w:t xml:space="preserve"> </w:t>
      </w:r>
    </w:p>
    <w:p w:rsidR="004317F7" w:rsidRDefault="00C6272E" w:rsidP="004317F7">
      <w:pPr>
        <w:pStyle w:val="Tabletitle"/>
      </w:pPr>
      <w:r>
        <w:t>P</w:t>
      </w:r>
      <w:r w:rsidR="004017B8">
        <w:t>rice increase</w:t>
      </w:r>
      <w:r w:rsidR="007F4629">
        <w:t>s</w:t>
      </w:r>
      <w:r>
        <w:t xml:space="preserve"> for large users</w:t>
      </w:r>
      <w:r w:rsidR="004017B8">
        <w:t xml:space="preserve"> </w:t>
      </w:r>
      <w:r>
        <w:t xml:space="preserve">with declining </w:t>
      </w:r>
      <w:r w:rsidR="008614E9">
        <w:t>net</w:t>
      </w:r>
      <w:r>
        <w:t>w</w:t>
      </w:r>
      <w:r w:rsidR="008614E9">
        <w:t>o</w:t>
      </w:r>
      <w:r>
        <w:t>rk utilisation</w:t>
      </w:r>
    </w:p>
    <w:p w:rsidR="008227E5" w:rsidRDefault="00F75231" w:rsidP="00D71365">
      <w:r>
        <w:t xml:space="preserve">The </w:t>
      </w:r>
      <w:r w:rsidR="007E43DB">
        <w:t>EMRF</w:t>
      </w:r>
      <w:r w:rsidR="00C6272E">
        <w:t xml:space="preserve"> </w:t>
      </w:r>
      <w:r>
        <w:t>submitted</w:t>
      </w:r>
      <w:r w:rsidR="007F4629">
        <w:t xml:space="preserve"> that l</w:t>
      </w:r>
      <w:r w:rsidR="007F4629" w:rsidRPr="007F4629">
        <w:t xml:space="preserve">arge </w:t>
      </w:r>
      <w:r w:rsidR="006E60F0">
        <w:t xml:space="preserve">gas consumers </w:t>
      </w:r>
      <w:r w:rsidR="007F4629" w:rsidRPr="007F4629">
        <w:t>have not added to the costs of the</w:t>
      </w:r>
      <w:r w:rsidR="007F4629">
        <w:t xml:space="preserve"> </w:t>
      </w:r>
      <w:r w:rsidR="007F4629" w:rsidRPr="007F4629">
        <w:t>network</w:t>
      </w:r>
      <w:r w:rsidR="007F4629">
        <w:t xml:space="preserve"> </w:t>
      </w:r>
      <w:r>
        <w:t xml:space="preserve">and </w:t>
      </w:r>
      <w:r w:rsidR="006C57B6">
        <w:t xml:space="preserve">that </w:t>
      </w:r>
      <w:r>
        <w:t>their numbers are declining</w:t>
      </w:r>
      <w:r w:rsidR="00687977">
        <w:t>.</w:t>
      </w:r>
      <w:r>
        <w:t xml:space="preserve"> </w:t>
      </w:r>
      <w:r w:rsidR="00687977">
        <w:t xml:space="preserve">Therefore, </w:t>
      </w:r>
      <w:r w:rsidR="006454AA">
        <w:t xml:space="preserve">it </w:t>
      </w:r>
      <w:r w:rsidR="00687977">
        <w:t>consider</w:t>
      </w:r>
      <w:r w:rsidR="006454AA">
        <w:t>ed</w:t>
      </w:r>
      <w:r w:rsidR="00687977">
        <w:t xml:space="preserve"> that</w:t>
      </w:r>
      <w:r w:rsidR="007F4629" w:rsidRPr="007F4629">
        <w:t xml:space="preserve"> </w:t>
      </w:r>
      <w:r w:rsidR="00127FC1">
        <w:t xml:space="preserve">large gas consumers' </w:t>
      </w:r>
      <w:r w:rsidR="00990D8B">
        <w:t>prices should not increase</w:t>
      </w:r>
      <w:r w:rsidR="007F4629" w:rsidRPr="007F4629">
        <w:t>.</w:t>
      </w:r>
      <w:r w:rsidR="00D71365">
        <w:t xml:space="preserve"> </w:t>
      </w:r>
    </w:p>
    <w:p w:rsidR="00F33413" w:rsidRDefault="006454AA">
      <w:r>
        <w:t>As discussed above, i</w:t>
      </w:r>
      <w:r w:rsidR="00F33413">
        <w:t xml:space="preserve">n the current period </w:t>
      </w:r>
      <w:r w:rsidR="00F33413" w:rsidRPr="00F33413">
        <w:t>large users enjoyed relatively stable prices because JGN altered its pricing strategy to reduce price shocks</w:t>
      </w:r>
      <w:r w:rsidR="00EB28DF">
        <w:t>.</w:t>
      </w:r>
      <w:r w:rsidR="00F33413">
        <w:t xml:space="preserve"> </w:t>
      </w:r>
    </w:p>
    <w:p w:rsidR="007F4629" w:rsidRDefault="00D71365" w:rsidP="00D71365">
      <w:r>
        <w:t xml:space="preserve">We </w:t>
      </w:r>
      <w:r w:rsidR="00786E94">
        <w:t xml:space="preserve">accept </w:t>
      </w:r>
      <w:r>
        <w:t xml:space="preserve">that large </w:t>
      </w:r>
      <w:r w:rsidR="00551EFC">
        <w:t>gas users</w:t>
      </w:r>
      <w:r>
        <w:t xml:space="preserve"> will face a price increase</w:t>
      </w:r>
      <w:r w:rsidR="00F75231">
        <w:t xml:space="preserve"> in the 2015–20 </w:t>
      </w:r>
      <w:r w:rsidR="00A727AD">
        <w:t>access arrangement period</w:t>
      </w:r>
      <w:r w:rsidR="00687977">
        <w:t>.</w:t>
      </w:r>
      <w:r w:rsidR="00CB22D4">
        <w:t xml:space="preserve"> </w:t>
      </w:r>
      <w:r w:rsidR="00687977">
        <w:t>H</w:t>
      </w:r>
      <w:r w:rsidR="006C57B6">
        <w:t xml:space="preserve">owever </w:t>
      </w:r>
      <w:r w:rsidR="00A727AD">
        <w:t xml:space="preserve">we accept JGN's submission that it must take </w:t>
      </w:r>
      <w:r w:rsidR="00687977">
        <w:t xml:space="preserve">various </w:t>
      </w:r>
      <w:r w:rsidRPr="00D71365">
        <w:t>pricing</w:t>
      </w:r>
      <w:r>
        <w:t xml:space="preserve"> </w:t>
      </w:r>
      <w:r w:rsidRPr="00D71365">
        <w:t xml:space="preserve">objectives and principles </w:t>
      </w:r>
      <w:r w:rsidR="00A727AD">
        <w:t>in</w:t>
      </w:r>
      <w:r w:rsidR="006C57B6">
        <w:t xml:space="preserve">to account </w:t>
      </w:r>
      <w:r w:rsidR="00A727AD">
        <w:t xml:space="preserve">when </w:t>
      </w:r>
      <w:r w:rsidR="006C57B6">
        <w:t xml:space="preserve">setting tariffs, </w:t>
      </w:r>
      <w:r w:rsidRPr="00D71365">
        <w:t>such as:</w:t>
      </w:r>
      <w:r>
        <w:t xml:space="preserve"> </w:t>
      </w:r>
    </w:p>
    <w:p w:rsidR="00D71365" w:rsidRPr="00D71365" w:rsidRDefault="00CB22D4" w:rsidP="00D71365">
      <w:pPr>
        <w:pStyle w:val="AERbulletlistfirststyle"/>
      </w:pPr>
      <w:r>
        <w:t>the r</w:t>
      </w:r>
      <w:r w:rsidR="00D71365">
        <w:t>ecov</w:t>
      </w:r>
      <w:r w:rsidR="00D81654">
        <w:t>er</w:t>
      </w:r>
      <w:r>
        <w:t>y</w:t>
      </w:r>
      <w:r w:rsidR="00D71365">
        <w:t xml:space="preserve"> </w:t>
      </w:r>
      <w:r w:rsidR="005C31F2">
        <w:t xml:space="preserve">of </w:t>
      </w:r>
      <w:r w:rsidR="00D71365" w:rsidRPr="00D71365">
        <w:t xml:space="preserve">efficient costs of operation </w:t>
      </w:r>
      <w:r w:rsidR="00D81654">
        <w:t xml:space="preserve">for JGN </w:t>
      </w:r>
      <w:r w:rsidR="00D71365" w:rsidRPr="00D71365">
        <w:t>to continue to</w:t>
      </w:r>
      <w:r w:rsidR="00D71365">
        <w:t xml:space="preserve"> </w:t>
      </w:r>
      <w:r w:rsidR="00D71365" w:rsidRPr="00D71365">
        <w:t>provide safe and reliable natural gas services into the future</w:t>
      </w:r>
      <w:r w:rsidR="006C57B6">
        <w:t>.</w:t>
      </w:r>
    </w:p>
    <w:p w:rsidR="00D71365" w:rsidRPr="00D71365" w:rsidRDefault="00D71365" w:rsidP="00D71365">
      <w:pPr>
        <w:pStyle w:val="AERbulletlistfirststyle"/>
      </w:pPr>
      <w:r w:rsidRPr="00D71365">
        <w:lastRenderedPageBreak/>
        <w:t>keep</w:t>
      </w:r>
      <w:r w:rsidR="008227E5">
        <w:t>ing</w:t>
      </w:r>
      <w:r w:rsidRPr="00D71365">
        <w:t xml:space="preserve"> gas competitive compared to other fuel options</w:t>
      </w:r>
      <w:r w:rsidR="00CB22D4">
        <w:t xml:space="preserve"> for all consumers</w:t>
      </w:r>
      <w:r w:rsidR="00636841">
        <w:t>,</w:t>
      </w:r>
      <w:r w:rsidR="00CB22D4">
        <w:t xml:space="preserve"> not just large gas consumers</w:t>
      </w:r>
      <w:r w:rsidR="006C57B6">
        <w:t>.</w:t>
      </w:r>
    </w:p>
    <w:p w:rsidR="00D71365" w:rsidRPr="00D71365" w:rsidRDefault="00D81654" w:rsidP="00D71365">
      <w:pPr>
        <w:pStyle w:val="AERbulletlistfirststyle"/>
      </w:pPr>
      <w:r>
        <w:t>promot</w:t>
      </w:r>
      <w:r w:rsidR="008227E5">
        <w:t>ing</w:t>
      </w:r>
      <w:r w:rsidR="00D71365" w:rsidRPr="00D71365">
        <w:t xml:space="preserve"> efficient use of </w:t>
      </w:r>
      <w:r>
        <w:t xml:space="preserve">the gas </w:t>
      </w:r>
      <w:r w:rsidR="00D71365" w:rsidRPr="00D71365">
        <w:t>network and treat customers equitably—ensure customer groups pay</w:t>
      </w:r>
      <w:r w:rsidR="00D71365">
        <w:t xml:space="preserve"> </w:t>
      </w:r>
      <w:r w:rsidR="00D71365" w:rsidRPr="00D71365">
        <w:t xml:space="preserve">prices that reflect the costs they impose on </w:t>
      </w:r>
      <w:r>
        <w:t xml:space="preserve">the gas </w:t>
      </w:r>
      <w:r w:rsidR="00D71365" w:rsidRPr="00D71365">
        <w:t xml:space="preserve">network and ensure </w:t>
      </w:r>
      <w:r>
        <w:t xml:space="preserve">that </w:t>
      </w:r>
      <w:r w:rsidR="00D71365" w:rsidRPr="00D71365">
        <w:t>similar customers pay similar prices</w:t>
      </w:r>
      <w:r w:rsidR="00704E34">
        <w:t>.</w:t>
      </w:r>
    </w:p>
    <w:p w:rsidR="00D71365" w:rsidRPr="00D71365" w:rsidRDefault="00D81654" w:rsidP="00D71365">
      <w:pPr>
        <w:pStyle w:val="AERbulletlistfirststyle"/>
      </w:pPr>
      <w:r>
        <w:t>provid</w:t>
      </w:r>
      <w:r w:rsidR="008227E5">
        <w:t>ing</w:t>
      </w:r>
      <w:r w:rsidR="00D71365" w:rsidRPr="00D71365">
        <w:t xml:space="preserve"> stability in</w:t>
      </w:r>
      <w:r>
        <w:t xml:space="preserve"> gas</w:t>
      </w:r>
      <w:r w:rsidR="00D71365" w:rsidRPr="00D71365">
        <w:t xml:space="preserve"> network and in end-retail prices—where possible, minimise any sharp change in</w:t>
      </w:r>
      <w:r w:rsidR="00D71365">
        <w:t xml:space="preserve"> </w:t>
      </w:r>
      <w:r w:rsidR="00D71365" w:rsidRPr="00D71365">
        <w:t>end-customer bills</w:t>
      </w:r>
      <w:r w:rsidR="00704E34">
        <w:t>.</w:t>
      </w:r>
    </w:p>
    <w:p w:rsidR="00D71365" w:rsidRDefault="00D81654" w:rsidP="00D71365">
      <w:pPr>
        <w:pStyle w:val="AERbulletlistfirststyle"/>
      </w:pPr>
      <w:r>
        <w:t>provid</w:t>
      </w:r>
      <w:r w:rsidR="008227E5">
        <w:t>ing</w:t>
      </w:r>
      <w:r w:rsidR="00D71365" w:rsidRPr="00D71365">
        <w:t xml:space="preserve"> simplicity and transparency—ensure customers and stakeholders can understand </w:t>
      </w:r>
      <w:r>
        <w:t>tariffs</w:t>
      </w:r>
      <w:r w:rsidR="00D71365" w:rsidRPr="00D71365">
        <w:t>.</w:t>
      </w:r>
    </w:p>
    <w:p w:rsidR="002D0098" w:rsidRDefault="003F63EE" w:rsidP="00D71365">
      <w:pPr>
        <w:pStyle w:val="AERnumberedlistsecondstyle"/>
        <w:numPr>
          <w:ilvl w:val="0"/>
          <w:numId w:val="0"/>
        </w:numPr>
      </w:pPr>
      <w:r>
        <w:t>Balancing the above principles means that both large and small customers may face a price increase from time to time.</w:t>
      </w:r>
      <w:r w:rsidR="00704E34">
        <w:t xml:space="preserve"> For the 2015–20 access arrangement, it is </w:t>
      </w:r>
      <w:r w:rsidR="00786E94">
        <w:t>large gas users</w:t>
      </w:r>
      <w:r w:rsidR="00636841">
        <w:t xml:space="preserve"> that will bear the largest tariff increases.</w:t>
      </w:r>
      <w:r w:rsidR="00704E34">
        <w:t xml:space="preserve"> </w:t>
      </w:r>
    </w:p>
    <w:p w:rsidR="00EF13E8" w:rsidRPr="00A66DDD" w:rsidRDefault="00EF13E8" w:rsidP="00A66DDD">
      <w:pPr>
        <w:rPr>
          <w:rStyle w:val="AERbody"/>
        </w:rPr>
      </w:pPr>
      <w:r w:rsidRPr="00A66DDD">
        <w:rPr>
          <w:rStyle w:val="AERbody"/>
        </w:rPr>
        <w:t>We therefore accept JGN's proposal to recover its efficient cost</w:t>
      </w:r>
      <w:r w:rsidR="00636841">
        <w:rPr>
          <w:rStyle w:val="AERbody"/>
        </w:rPr>
        <w:t>s</w:t>
      </w:r>
      <w:r w:rsidRPr="00A66DDD">
        <w:rPr>
          <w:rStyle w:val="AERbody"/>
        </w:rPr>
        <w:t xml:space="preserve"> from large gas consumers by increasing prices for its demand tariff classes. We also consider that JGN has appropriately applied rule</w:t>
      </w:r>
      <w:r w:rsidR="006454AA">
        <w:rPr>
          <w:rStyle w:val="AERbody"/>
        </w:rPr>
        <w:t>s</w:t>
      </w:r>
      <w:r w:rsidRPr="00A66DDD">
        <w:rPr>
          <w:rStyle w:val="AERbody"/>
        </w:rPr>
        <w:t xml:space="preserve"> </w:t>
      </w:r>
      <w:r w:rsidR="001101E9">
        <w:rPr>
          <w:rStyle w:val="AERbody"/>
        </w:rPr>
        <w:t xml:space="preserve">93 and </w:t>
      </w:r>
      <w:r w:rsidRPr="00A66DDD">
        <w:rPr>
          <w:rStyle w:val="AERbody"/>
        </w:rPr>
        <w:t>9</w:t>
      </w:r>
      <w:r w:rsidR="00E03592">
        <w:rPr>
          <w:rStyle w:val="AERbody"/>
        </w:rPr>
        <w:t xml:space="preserve">4 </w:t>
      </w:r>
      <w:r w:rsidR="006454AA">
        <w:rPr>
          <w:rStyle w:val="AERbody"/>
        </w:rPr>
        <w:t xml:space="preserve">of the NGR </w:t>
      </w:r>
      <w:r w:rsidRPr="00A66DDD">
        <w:rPr>
          <w:rStyle w:val="AERbody"/>
        </w:rPr>
        <w:t>in setting its tariffs for the</w:t>
      </w:r>
      <w:r w:rsidR="00886205" w:rsidRPr="00886205">
        <w:rPr>
          <w:rStyle w:val="AERbody"/>
        </w:rPr>
        <w:t xml:space="preserve"> next access arrangement period</w:t>
      </w:r>
      <w:r w:rsidR="00886205">
        <w:rPr>
          <w:rStyle w:val="AERbody"/>
        </w:rPr>
        <w:t>.</w:t>
      </w:r>
    </w:p>
    <w:p w:rsidR="005D7429" w:rsidRPr="002D0098" w:rsidRDefault="00D81654" w:rsidP="00D81654">
      <w:pPr>
        <w:pStyle w:val="Tabletitle"/>
      </w:pPr>
      <w:r>
        <w:t xml:space="preserve">Price shocks </w:t>
      </w:r>
      <w:r w:rsidR="003F63EE">
        <w:t xml:space="preserve">and </w:t>
      </w:r>
      <w:r w:rsidR="00636841">
        <w:t>users</w:t>
      </w:r>
      <w:r w:rsidR="007E43DB">
        <w:t>'</w:t>
      </w:r>
      <w:r w:rsidR="00636841">
        <w:t xml:space="preserve"> </w:t>
      </w:r>
      <w:r w:rsidR="003F63EE">
        <w:t>financial viability</w:t>
      </w:r>
    </w:p>
    <w:p w:rsidR="00636841" w:rsidRDefault="006454AA" w:rsidP="006454AA">
      <w:r>
        <w:t>The EMRF’s submission suggested that our</w:t>
      </w:r>
      <w:r w:rsidR="00636841">
        <w:t xml:space="preserve"> draft decision</w:t>
      </w:r>
      <w:r>
        <w:t xml:space="preserve"> on</w:t>
      </w:r>
      <w:r w:rsidR="00CE0FEF">
        <w:t xml:space="preserve"> </w:t>
      </w:r>
      <w:r w:rsidR="00636841">
        <w:t xml:space="preserve">tariff increases for </w:t>
      </w:r>
      <w:r w:rsidR="00CE0FEF">
        <w:t xml:space="preserve">large gas </w:t>
      </w:r>
      <w:r w:rsidR="00AB5011">
        <w:t>c</w:t>
      </w:r>
      <w:r w:rsidR="003F63EE">
        <w:t>onsumers</w:t>
      </w:r>
      <w:r w:rsidR="00CE0FEF">
        <w:t xml:space="preserve"> </w:t>
      </w:r>
      <w:r w:rsidR="00AB5011">
        <w:t xml:space="preserve">will </w:t>
      </w:r>
      <w:r w:rsidR="00636841">
        <w:t xml:space="preserve">cause them to </w:t>
      </w:r>
      <w:r w:rsidR="00AB5011">
        <w:t>become financially unviable</w:t>
      </w:r>
      <w:r w:rsidR="00CE0FEF">
        <w:t>.</w:t>
      </w:r>
      <w:r w:rsidR="00084C90">
        <w:rPr>
          <w:rStyle w:val="FootnoteReference"/>
        </w:rPr>
        <w:footnoteReference w:id="30"/>
      </w:r>
      <w:r w:rsidR="00CE0FEF">
        <w:t xml:space="preserve"> </w:t>
      </w:r>
      <w:r w:rsidR="00786E94">
        <w:t xml:space="preserve">While financial viability is not a NGR requirement for our consideration, we have taken the long term interests of consumers into account </w:t>
      </w:r>
      <w:r>
        <w:t xml:space="preserve">in assessing JGN’s proposed inputs to its total revenue requirement. We have also </w:t>
      </w:r>
      <w:r w:rsidR="00170A73">
        <w:t>smooth</w:t>
      </w:r>
      <w:r>
        <w:t>ed</w:t>
      </w:r>
      <w:r w:rsidR="00170A73">
        <w:t xml:space="preserve"> price increases </w:t>
      </w:r>
      <w:r>
        <w:t>over the access arrangement period</w:t>
      </w:r>
      <w:r w:rsidR="00636841">
        <w:t xml:space="preserve"> to mitigate tariff volatility, including the size of any </w:t>
      </w:r>
      <w:r w:rsidR="00265F30">
        <w:t xml:space="preserve">annual </w:t>
      </w:r>
      <w:r w:rsidR="00636841">
        <w:t xml:space="preserve">tariff </w:t>
      </w:r>
      <w:r w:rsidR="00265F30">
        <w:t>increases</w:t>
      </w:r>
      <w:r w:rsidR="00636841">
        <w:t xml:space="preserve">. </w:t>
      </w:r>
    </w:p>
    <w:p w:rsidR="00CA1003" w:rsidRDefault="00170A73" w:rsidP="00CE0FEF">
      <w:r>
        <w:t>Further, w</w:t>
      </w:r>
      <w:r w:rsidR="00EF13E8">
        <w:t>e accept JGN's submission that its</w:t>
      </w:r>
      <w:r w:rsidR="00AB5011">
        <w:t xml:space="preserve"> </w:t>
      </w:r>
      <w:r w:rsidR="00CE0FEF" w:rsidRPr="00CE0FEF">
        <w:t>network charges are only 10</w:t>
      </w:r>
      <w:r w:rsidR="00AB5011">
        <w:t xml:space="preserve"> per cent</w:t>
      </w:r>
      <w:r w:rsidR="003F63EE">
        <w:t xml:space="preserve"> of a large gas consumers</w:t>
      </w:r>
      <w:r w:rsidR="00CE0FEF" w:rsidRPr="00CE0FEF">
        <w:t xml:space="preserve">’ bill </w:t>
      </w:r>
      <w:r w:rsidR="007D55A9">
        <w:t>(</w:t>
      </w:r>
      <w:r w:rsidR="00CE0FEF" w:rsidRPr="00CE0FEF">
        <w:t>on average</w:t>
      </w:r>
      <w:r w:rsidR="007D55A9">
        <w:t>). A</w:t>
      </w:r>
      <w:r w:rsidR="00CE0FEF" w:rsidRPr="00CE0FEF">
        <w:t xml:space="preserve"> 2.5</w:t>
      </w:r>
      <w:r w:rsidR="00AB5011">
        <w:t xml:space="preserve"> per cent</w:t>
      </w:r>
      <w:r w:rsidR="00CE0FEF" w:rsidRPr="00CE0FEF">
        <w:t xml:space="preserve"> average p</w:t>
      </w:r>
      <w:r w:rsidR="00AB5011">
        <w:t xml:space="preserve">er annum </w:t>
      </w:r>
      <w:r w:rsidR="00CE0FEF" w:rsidRPr="00CE0FEF">
        <w:t xml:space="preserve">increase </w:t>
      </w:r>
      <w:r w:rsidR="007D55A9">
        <w:t xml:space="preserve">from our final decision </w:t>
      </w:r>
      <w:r w:rsidR="00CE0FEF" w:rsidRPr="00CE0FEF">
        <w:t xml:space="preserve">is </w:t>
      </w:r>
      <w:r w:rsidR="00AB3870">
        <w:t>therefore</w:t>
      </w:r>
      <w:r w:rsidR="00AB3870" w:rsidRPr="00CE0FEF">
        <w:t xml:space="preserve"> </w:t>
      </w:r>
      <w:r w:rsidR="00CE0FEF" w:rsidRPr="00CE0FEF">
        <w:t>equivalent</w:t>
      </w:r>
      <w:r w:rsidR="007D55A9">
        <w:t xml:space="preserve"> </w:t>
      </w:r>
      <w:r w:rsidR="00CE0FEF" w:rsidRPr="00CE0FEF">
        <w:t>to a 0.25</w:t>
      </w:r>
      <w:r w:rsidR="00AB5011">
        <w:t xml:space="preserve"> per cent</w:t>
      </w:r>
      <w:r w:rsidR="00CE0FEF" w:rsidRPr="00CE0FEF">
        <w:t xml:space="preserve"> average real increase </w:t>
      </w:r>
      <w:r w:rsidR="00704E34">
        <w:t xml:space="preserve">to </w:t>
      </w:r>
      <w:r w:rsidR="00AB3870">
        <w:t xml:space="preserve">a large users’ annual </w:t>
      </w:r>
      <w:r w:rsidR="00CE0FEF" w:rsidRPr="00CE0FEF">
        <w:t>bill.</w:t>
      </w:r>
      <w:r w:rsidR="002962A3">
        <w:rPr>
          <w:rStyle w:val="FootnoteReference"/>
        </w:rPr>
        <w:footnoteReference w:id="31"/>
      </w:r>
    </w:p>
    <w:p w:rsidR="00895001" w:rsidRDefault="00895001" w:rsidP="00895001">
      <w:pPr>
        <w:pStyle w:val="Tabletitle"/>
      </w:pPr>
      <w:r>
        <w:t>Removal of first response tariffs</w:t>
      </w:r>
    </w:p>
    <w:p w:rsidR="00BF6F71" w:rsidRPr="00C80DF8" w:rsidRDefault="00BF6F71" w:rsidP="00BF6F71">
      <w:bookmarkStart w:id="27" w:name="_Ref404757378"/>
      <w:bookmarkStart w:id="28" w:name="_Toc404758464"/>
      <w:r>
        <w:t xml:space="preserve">The </w:t>
      </w:r>
      <w:r w:rsidR="007E43DB">
        <w:t>EMRF</w:t>
      </w:r>
      <w:r w:rsidR="007D55A9" w:rsidRPr="00C80DF8">
        <w:t xml:space="preserve"> </w:t>
      </w:r>
      <w:r>
        <w:t>made</w:t>
      </w:r>
      <w:r w:rsidRPr="00C80DF8">
        <w:t xml:space="preserve"> the following points </w:t>
      </w:r>
      <w:r>
        <w:t>about</w:t>
      </w:r>
      <w:r w:rsidRPr="00C80DF8">
        <w:t xml:space="preserve"> </w:t>
      </w:r>
      <w:r>
        <w:t>our draft decision to allow JGN to close its</w:t>
      </w:r>
      <w:r w:rsidRPr="00C80DF8">
        <w:t xml:space="preserve"> first response</w:t>
      </w:r>
      <w:r>
        <w:rPr>
          <w:rStyle w:val="FootnoteReference"/>
        </w:rPr>
        <w:footnoteReference w:id="32"/>
      </w:r>
      <w:r w:rsidRPr="00C80DF8">
        <w:t xml:space="preserve"> tariff</w:t>
      </w:r>
      <w:r w:rsidR="00B644E2">
        <w:t>s</w:t>
      </w:r>
      <w:r w:rsidRPr="00C80DF8">
        <w:t xml:space="preserve"> for new</w:t>
      </w:r>
      <w:r>
        <w:t xml:space="preserve"> </w:t>
      </w:r>
      <w:r w:rsidRPr="00C80DF8">
        <w:t>customers:</w:t>
      </w:r>
    </w:p>
    <w:p w:rsidR="00BF6F71" w:rsidRDefault="00BF6F71" w:rsidP="00AB3870">
      <w:pPr>
        <w:pStyle w:val="AERbulletlistfirststyle"/>
      </w:pPr>
      <w:r>
        <w:t>JGN needs to promote</w:t>
      </w:r>
      <w:r w:rsidRPr="00C80DF8">
        <w:t xml:space="preserve"> </w:t>
      </w:r>
      <w:r>
        <w:t xml:space="preserve">its first response to large customers better </w:t>
      </w:r>
    </w:p>
    <w:p w:rsidR="00BF6F71" w:rsidRDefault="00BF6F71" w:rsidP="00AB3870">
      <w:pPr>
        <w:pStyle w:val="AERbulletlistfirststyle"/>
      </w:pPr>
      <w:r w:rsidRPr="00C80DF8">
        <w:lastRenderedPageBreak/>
        <w:t>due to potential supply shortfalls</w:t>
      </w:r>
      <w:r w:rsidRPr="005C3DD2">
        <w:t xml:space="preserve"> </w:t>
      </w:r>
      <w:r>
        <w:t>now is</w:t>
      </w:r>
      <w:r w:rsidRPr="00C80DF8">
        <w:t xml:space="preserve"> not the time now to abandon this tariff.</w:t>
      </w:r>
      <w:r>
        <w:rPr>
          <w:rStyle w:val="FootnoteReference"/>
        </w:rPr>
        <w:footnoteReference w:id="33"/>
      </w:r>
    </w:p>
    <w:p w:rsidR="000C2BDB" w:rsidRDefault="000C2BDB" w:rsidP="00BF6F71">
      <w:pPr>
        <w:rPr>
          <w:rStyle w:val="AERbody"/>
        </w:rPr>
      </w:pPr>
      <w:r w:rsidRPr="000C2BDB">
        <w:t>Th</w:t>
      </w:r>
      <w:r>
        <w:t>e first response tariff is</w:t>
      </w:r>
      <w:r w:rsidRPr="000C2BDB">
        <w:t xml:space="preserve"> a discounted tariff for demand customers</w:t>
      </w:r>
      <w:r>
        <w:t xml:space="preserve"> (</w:t>
      </w:r>
      <w:r w:rsidR="007D55A9">
        <w:t xml:space="preserve">i.e. </w:t>
      </w:r>
      <w:r>
        <w:t>large gas users)</w:t>
      </w:r>
      <w:r w:rsidRPr="000C2BDB">
        <w:t xml:space="preserve"> who </w:t>
      </w:r>
      <w:r w:rsidR="0021687B">
        <w:t>are</w:t>
      </w:r>
      <w:r w:rsidR="0021687B" w:rsidRPr="000C2BDB">
        <w:t xml:space="preserve"> </w:t>
      </w:r>
      <w:r w:rsidRPr="000C2BDB">
        <w:t xml:space="preserve">willing </w:t>
      </w:r>
      <w:r w:rsidR="00AB3870">
        <w:t xml:space="preserve">to, </w:t>
      </w:r>
      <w:r w:rsidRPr="000C2BDB">
        <w:t xml:space="preserve">and capable </w:t>
      </w:r>
      <w:r w:rsidR="002C0977">
        <w:t>of</w:t>
      </w:r>
      <w:r w:rsidR="00AB3870">
        <w:t>,</w:t>
      </w:r>
      <w:r w:rsidRPr="000C2BDB">
        <w:t xml:space="preserve"> participat</w:t>
      </w:r>
      <w:r w:rsidR="002C0977">
        <w:t xml:space="preserve">ing </w:t>
      </w:r>
      <w:r w:rsidRPr="000C2BDB">
        <w:t>in network load shedding on a “first response” basis</w:t>
      </w:r>
      <w:r w:rsidR="00AB3870">
        <w:t>,</w:t>
      </w:r>
      <w:r w:rsidRPr="000C2BDB">
        <w:t xml:space="preserve"> and who sought this tariff when it was open</w:t>
      </w:r>
      <w:r w:rsidR="0061248A">
        <w:t>ed</w:t>
      </w:r>
      <w:r w:rsidRPr="000C2BDB">
        <w:t>.</w:t>
      </w:r>
    </w:p>
    <w:p w:rsidR="00BF6F71" w:rsidRDefault="00BF6F71" w:rsidP="00BF6F71">
      <w:r w:rsidRPr="00C6574F">
        <w:rPr>
          <w:rStyle w:val="AERbody"/>
        </w:rPr>
        <w:t xml:space="preserve">Our draft decision </w:t>
      </w:r>
      <w:r w:rsidR="00AB3870">
        <w:rPr>
          <w:rStyle w:val="AERbody"/>
        </w:rPr>
        <w:t>approved</w:t>
      </w:r>
      <w:r w:rsidR="007D55A9" w:rsidRPr="00C6574F">
        <w:rPr>
          <w:rStyle w:val="AERbody"/>
        </w:rPr>
        <w:t xml:space="preserve"> </w:t>
      </w:r>
      <w:r w:rsidRPr="00C6574F">
        <w:rPr>
          <w:rStyle w:val="AERbody"/>
        </w:rPr>
        <w:t>JGN</w:t>
      </w:r>
      <w:r w:rsidR="00AB3870">
        <w:rPr>
          <w:rStyle w:val="AERbody"/>
        </w:rPr>
        <w:t>’s proposal to</w:t>
      </w:r>
      <w:r w:rsidRPr="00C6574F">
        <w:rPr>
          <w:rStyle w:val="AERbody"/>
        </w:rPr>
        <w:t xml:space="preserve"> clos</w:t>
      </w:r>
      <w:r w:rsidR="00AB3870">
        <w:rPr>
          <w:rStyle w:val="AERbody"/>
        </w:rPr>
        <w:t>e</w:t>
      </w:r>
      <w:r w:rsidRPr="00C6574F">
        <w:rPr>
          <w:rStyle w:val="AERbody"/>
        </w:rPr>
        <w:t xml:space="preserve"> the first response tariff classes DCFR1 to DCFR11 and DMTFR1 to DMTFR5 to </w:t>
      </w:r>
      <w:r w:rsidRPr="007E43DB">
        <w:rPr>
          <w:rStyle w:val="AERtextitalic"/>
        </w:rPr>
        <w:t>new</w:t>
      </w:r>
      <w:r w:rsidRPr="00C6574F">
        <w:rPr>
          <w:rStyle w:val="AERbody"/>
        </w:rPr>
        <w:t xml:space="preserve"> customers</w:t>
      </w:r>
      <w:r w:rsidR="007D55A9">
        <w:rPr>
          <w:rStyle w:val="AERbody"/>
        </w:rPr>
        <w:t>;</w:t>
      </w:r>
      <w:r w:rsidRPr="00C6574F">
        <w:rPr>
          <w:rStyle w:val="AERbody"/>
        </w:rPr>
        <w:t xml:space="preserve"> </w:t>
      </w:r>
      <w:r w:rsidR="00AB3870">
        <w:rPr>
          <w:rStyle w:val="AERbody"/>
        </w:rPr>
        <w:t xml:space="preserve">and to </w:t>
      </w:r>
      <w:r w:rsidRPr="00C6574F">
        <w:rPr>
          <w:rStyle w:val="AERbody"/>
        </w:rPr>
        <w:t>grandfather DCFR6 and DMTFR3 which have eligible customers and remove the first response tariffs which have no customers assigned to them</w:t>
      </w:r>
      <w:r>
        <w:t>.</w:t>
      </w:r>
      <w:r>
        <w:rPr>
          <w:rStyle w:val="FootnoteReference"/>
        </w:rPr>
        <w:footnoteReference w:id="34"/>
      </w:r>
      <w:r>
        <w:t xml:space="preserve"> </w:t>
      </w:r>
    </w:p>
    <w:p w:rsidR="00BF6F71" w:rsidRPr="00C6574F" w:rsidRDefault="00BF6F71" w:rsidP="00BF6F71">
      <w:pPr>
        <w:rPr>
          <w:rStyle w:val="AERbody"/>
        </w:rPr>
      </w:pPr>
      <w:r w:rsidRPr="00C6574F">
        <w:rPr>
          <w:rStyle w:val="AERbody"/>
        </w:rPr>
        <w:t xml:space="preserve">We accept JGN's </w:t>
      </w:r>
      <w:r w:rsidR="00C54816">
        <w:rPr>
          <w:rStyle w:val="AERbody"/>
        </w:rPr>
        <w:t>submissions that</w:t>
      </w:r>
      <w:r w:rsidRPr="00C6574F">
        <w:rPr>
          <w:rStyle w:val="AERbody"/>
        </w:rPr>
        <w:t>:</w:t>
      </w:r>
    </w:p>
    <w:p w:rsidR="00BF6F71" w:rsidRDefault="000620B9" w:rsidP="00BF6F71">
      <w:pPr>
        <w:pStyle w:val="AERbulletlistfirststyle"/>
      </w:pPr>
      <w:r>
        <w:t xml:space="preserve">it costs large customers more to be on the first response tariff than it benefits them </w:t>
      </w:r>
      <w:r w:rsidR="009F2DF6">
        <w:t>(</w:t>
      </w:r>
      <w:r w:rsidR="00BF6F71">
        <w:t>around $500</w:t>
      </w:r>
      <w:r w:rsidR="002C0977">
        <w:t>,000</w:t>
      </w:r>
      <w:r w:rsidR="00BF6F71">
        <w:t xml:space="preserve"> per annum </w:t>
      </w:r>
      <w:r w:rsidR="00BF6F71" w:rsidRPr="006D62E7">
        <w:t>to offset the incremental business risks to reduce gas demand quickly</w:t>
      </w:r>
      <w:r w:rsidR="009F2DF6">
        <w:t>)</w:t>
      </w:r>
      <w:r w:rsidR="00C54816">
        <w:t xml:space="preserve">. This is supported by </w:t>
      </w:r>
      <w:r w:rsidR="00BF6F71">
        <w:t>the low participation rate</w:t>
      </w:r>
      <w:r w:rsidR="00010EF3">
        <w:t xml:space="preserve">. </w:t>
      </w:r>
      <w:r w:rsidR="007D55A9">
        <w:t xml:space="preserve">It is also what large </w:t>
      </w:r>
      <w:r w:rsidR="00674C6F">
        <w:t>customers have</w:t>
      </w:r>
      <w:r w:rsidR="007D55A9">
        <w:t xml:space="preserve"> told JGN.</w:t>
      </w:r>
    </w:p>
    <w:p w:rsidR="00BF6F71" w:rsidRDefault="00BF6F71" w:rsidP="00BF6F71">
      <w:pPr>
        <w:pStyle w:val="AERbulletlistfirststyle"/>
      </w:pPr>
      <w:r>
        <w:t xml:space="preserve">large gas </w:t>
      </w:r>
      <w:r w:rsidR="008A418F">
        <w:t xml:space="preserve">customers </w:t>
      </w:r>
      <w:r>
        <w:t xml:space="preserve">who </w:t>
      </w:r>
      <w:r w:rsidRPr="00314C10">
        <w:t xml:space="preserve">are able to participate have already </w:t>
      </w:r>
      <w:r>
        <w:t>done so</w:t>
      </w:r>
      <w:r w:rsidR="007D55A9">
        <w:t xml:space="preserve"> and there is no new demand by any customer for this particular </w:t>
      </w:r>
      <w:r w:rsidR="004D08AA">
        <w:t>tariff.</w:t>
      </w:r>
      <w:r>
        <w:rPr>
          <w:rStyle w:val="FootnoteReference"/>
        </w:rPr>
        <w:footnoteReference w:id="35"/>
      </w:r>
      <w:r>
        <w:t xml:space="preserve"> </w:t>
      </w:r>
    </w:p>
    <w:p w:rsidR="00BF6F71" w:rsidRPr="00C6574F" w:rsidRDefault="00BF6F71" w:rsidP="00BF6F71">
      <w:pPr>
        <w:rPr>
          <w:rStyle w:val="AERbody"/>
        </w:rPr>
      </w:pPr>
      <w:r w:rsidRPr="00C6574F">
        <w:rPr>
          <w:rStyle w:val="AERbody"/>
        </w:rPr>
        <w:t>JGN also stated that it had consulted large customers with sufficient load to qualify for the first response tariff classes between December 2013 and May 2014. Further</w:t>
      </w:r>
      <w:r w:rsidR="00342BC2">
        <w:rPr>
          <w:rStyle w:val="AERbody"/>
        </w:rPr>
        <w:t>more,</w:t>
      </w:r>
      <w:r w:rsidRPr="00C6574F">
        <w:rPr>
          <w:rStyle w:val="AERbody"/>
        </w:rPr>
        <w:t xml:space="preserve"> it consulted with twenty of its large customers prior to submitting its </w:t>
      </w:r>
      <w:r w:rsidR="00342BC2">
        <w:rPr>
          <w:rStyle w:val="AERbody"/>
        </w:rPr>
        <w:t xml:space="preserve">access arrangement </w:t>
      </w:r>
      <w:r w:rsidRPr="00C6574F">
        <w:rPr>
          <w:rStyle w:val="AERbody"/>
        </w:rPr>
        <w:t>proposal</w:t>
      </w:r>
      <w:r w:rsidR="00342BC2">
        <w:rPr>
          <w:rStyle w:val="AERbody"/>
        </w:rPr>
        <w:t xml:space="preserve"> to us</w:t>
      </w:r>
      <w:r w:rsidRPr="00C6574F">
        <w:rPr>
          <w:rStyle w:val="AERbody"/>
        </w:rPr>
        <w:t xml:space="preserve"> to close the first response tariffs to </w:t>
      </w:r>
      <w:r w:rsidRPr="00BA49DF">
        <w:t>new</w:t>
      </w:r>
      <w:r w:rsidRPr="00C6574F">
        <w:rPr>
          <w:rStyle w:val="AERbody"/>
        </w:rPr>
        <w:t xml:space="preserve"> customers</w:t>
      </w:r>
      <w:r>
        <w:t>.</w:t>
      </w:r>
      <w:r>
        <w:rPr>
          <w:rStyle w:val="FootnoteReference"/>
        </w:rPr>
        <w:footnoteReference w:id="36"/>
      </w:r>
    </w:p>
    <w:p w:rsidR="002C0977" w:rsidRDefault="00392551" w:rsidP="000620B9">
      <w:r>
        <w:rPr>
          <w:rStyle w:val="AERbody"/>
        </w:rPr>
        <w:t xml:space="preserve">The curtailment of load by customers on the first response tariff is not necessarily the main line of defence against a severe </w:t>
      </w:r>
      <w:r w:rsidR="003F6C1E">
        <w:rPr>
          <w:rStyle w:val="AERbody"/>
        </w:rPr>
        <w:t>network constraint</w:t>
      </w:r>
      <w:r>
        <w:rPr>
          <w:rStyle w:val="AERbody"/>
        </w:rPr>
        <w:t>. I</w:t>
      </w:r>
      <w:r w:rsidRPr="00C6574F">
        <w:rPr>
          <w:rStyle w:val="AERbody"/>
        </w:rPr>
        <w:t xml:space="preserve">n the event of a </w:t>
      </w:r>
      <w:r>
        <w:rPr>
          <w:rStyle w:val="AERbody"/>
        </w:rPr>
        <w:t xml:space="preserve">gas </w:t>
      </w:r>
      <w:r w:rsidRPr="00C6574F">
        <w:rPr>
          <w:rStyle w:val="AERbody"/>
        </w:rPr>
        <w:t>shortfall</w:t>
      </w:r>
      <w:r w:rsidR="00AB3870">
        <w:rPr>
          <w:rStyle w:val="AERbody"/>
        </w:rPr>
        <w:t>,</w:t>
      </w:r>
      <w:r w:rsidRPr="00392551">
        <w:rPr>
          <w:rStyle w:val="AERbody"/>
        </w:rPr>
        <w:t xml:space="preserve"> JGN implements network load shedding and issues directions as to which customers are required to shed</w:t>
      </w:r>
      <w:r w:rsidR="008A418F">
        <w:rPr>
          <w:rStyle w:val="AERbody"/>
        </w:rPr>
        <w:t xml:space="preserve"> load</w:t>
      </w:r>
      <w:r w:rsidR="00AB3870">
        <w:rPr>
          <w:rStyle w:val="AERbody"/>
        </w:rPr>
        <w:t xml:space="preserve">. It does this </w:t>
      </w:r>
      <w:r w:rsidRPr="00392551">
        <w:rPr>
          <w:rStyle w:val="AERbody"/>
        </w:rPr>
        <w:t xml:space="preserve">in accordance with established load shedding procedures and the customer information which has been provided to </w:t>
      </w:r>
      <w:r>
        <w:rPr>
          <w:rStyle w:val="AERbody"/>
        </w:rPr>
        <w:t>JGN</w:t>
      </w:r>
      <w:r w:rsidRPr="00392551">
        <w:rPr>
          <w:rStyle w:val="AERbody"/>
        </w:rPr>
        <w:t xml:space="preserve"> by retailers.</w:t>
      </w:r>
      <w:r w:rsidR="00AB3870">
        <w:rPr>
          <w:rStyle w:val="AERbody"/>
        </w:rPr>
        <w:t xml:space="preserve"> </w:t>
      </w:r>
      <w:r w:rsidR="00BF6F71" w:rsidRPr="00C6574F">
        <w:rPr>
          <w:rStyle w:val="AERbody"/>
        </w:rPr>
        <w:t xml:space="preserve">This may involve </w:t>
      </w:r>
      <w:r w:rsidR="00C55F8A">
        <w:rPr>
          <w:rStyle w:val="AERbody"/>
        </w:rPr>
        <w:t>many customers being required to shed</w:t>
      </w:r>
      <w:r w:rsidR="00BF6F71" w:rsidRPr="00C6574F">
        <w:rPr>
          <w:rStyle w:val="AERbody"/>
        </w:rPr>
        <w:t xml:space="preserve"> </w:t>
      </w:r>
      <w:r w:rsidR="00AB3870" w:rsidRPr="00C6574F">
        <w:rPr>
          <w:rStyle w:val="AERbody"/>
        </w:rPr>
        <w:t xml:space="preserve">load </w:t>
      </w:r>
      <w:r w:rsidR="00BF6F71" w:rsidRPr="00C6574F">
        <w:rPr>
          <w:rStyle w:val="AERbody"/>
        </w:rPr>
        <w:t>as necessary for the event</w:t>
      </w:r>
      <w:r w:rsidR="00C55F8A">
        <w:rPr>
          <w:rStyle w:val="AERbody"/>
        </w:rPr>
        <w:t xml:space="preserve"> to be contained. This action most likely will not be</w:t>
      </w:r>
      <w:r w:rsidR="00BF6F71" w:rsidRPr="00C6574F">
        <w:rPr>
          <w:rStyle w:val="AERbody"/>
        </w:rPr>
        <w:t xml:space="preserve"> limited to demand consumers who are on </w:t>
      </w:r>
      <w:r w:rsidR="00C55F8A">
        <w:rPr>
          <w:rStyle w:val="AERbody"/>
        </w:rPr>
        <w:t>JGN's</w:t>
      </w:r>
      <w:r w:rsidR="00BF6F71" w:rsidRPr="00C6574F">
        <w:rPr>
          <w:rStyle w:val="AERbody"/>
        </w:rPr>
        <w:t xml:space="preserve"> first response tariff</w:t>
      </w:r>
      <w:r w:rsidR="00BF6F71" w:rsidRPr="00B44ACB">
        <w:t>.</w:t>
      </w:r>
      <w:r w:rsidR="00BF6F71">
        <w:rPr>
          <w:rStyle w:val="FootnoteReference"/>
        </w:rPr>
        <w:footnoteReference w:id="37"/>
      </w:r>
      <w:r w:rsidR="00BF6F71">
        <w:t xml:space="preserve"> </w:t>
      </w:r>
      <w:r w:rsidR="0001504D">
        <w:t>Put simp</w:t>
      </w:r>
      <w:r w:rsidR="00C55F8A">
        <w:t>ly, in the event of a gas short</w:t>
      </w:r>
      <w:r w:rsidR="0001504D">
        <w:t xml:space="preserve">fall all gas users </w:t>
      </w:r>
      <w:r w:rsidR="002C0977">
        <w:t>may be required to</w:t>
      </w:r>
      <w:r w:rsidR="0001504D">
        <w:t xml:space="preserve"> restrict their gas usage</w:t>
      </w:r>
      <w:r w:rsidR="002C0977">
        <w:t>.</w:t>
      </w:r>
    </w:p>
    <w:p w:rsidR="004317F7" w:rsidRPr="00627F2D" w:rsidRDefault="000C2BDB" w:rsidP="004317F7">
      <w:pPr>
        <w:numPr>
          <w:ilvl w:val="0"/>
          <w:numId w:val="25"/>
        </w:numPr>
      </w:pPr>
      <w:r>
        <w:t>As such</w:t>
      </w:r>
      <w:r w:rsidR="0061248A">
        <w:t>,</w:t>
      </w:r>
      <w:r>
        <w:t xml:space="preserve"> JGN </w:t>
      </w:r>
      <w:r w:rsidR="002C0977">
        <w:t xml:space="preserve">no longer saw value in continuing with the first response tariff. We are </w:t>
      </w:r>
      <w:r w:rsidR="00DE76A1">
        <w:t>satisfied with JGN's approach</w:t>
      </w:r>
      <w:r w:rsidR="002C0977">
        <w:t>.</w:t>
      </w:r>
      <w:r w:rsidR="008614E9" w:rsidDel="008614E9">
        <w:t xml:space="preserve"> </w:t>
      </w:r>
      <w:r w:rsidR="00AB3870">
        <w:t>Our</w:t>
      </w:r>
      <w:r w:rsidR="003F6C1E">
        <w:t xml:space="preserve"> final decision reflects this outcome.</w:t>
      </w:r>
      <w:bookmarkEnd w:id="27"/>
      <w:bookmarkEnd w:id="28"/>
    </w:p>
    <w:sectPr w:rsidR="004317F7" w:rsidRPr="00627F2D"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57" w:rsidRPr="00290C63" w:rsidRDefault="00DE6757" w:rsidP="00290C63">
      <w:r>
        <w:separator/>
      </w:r>
    </w:p>
    <w:p w:rsidR="00DE6757" w:rsidRDefault="00DE6757"/>
  </w:endnote>
  <w:endnote w:type="continuationSeparator" w:id="0">
    <w:p w:rsidR="00DE6757" w:rsidRPr="00290C63" w:rsidRDefault="00DE6757" w:rsidP="00290C63">
      <w:r>
        <w:continuationSeparator/>
      </w:r>
    </w:p>
    <w:p w:rsidR="00DE6757" w:rsidRDefault="00DE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57" w:rsidRPr="00290C63" w:rsidRDefault="00DE675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E6757" w:rsidRDefault="00DE6757"/>
  <w:p w:rsidR="00DE6757" w:rsidRDefault="00DE6757"/>
  <w:p w:rsidR="00DE6757" w:rsidRDefault="00DE6757"/>
  <w:p w:rsidR="00DE6757" w:rsidRDefault="00DE6757"/>
  <w:p w:rsidR="00DE6757" w:rsidRDefault="00DE6757"/>
  <w:p w:rsidR="00DE6757" w:rsidRDefault="00DE6757"/>
  <w:p w:rsidR="00DE6757" w:rsidRDefault="00DE67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6757" w:rsidRDefault="00DE6757">
        <w:pPr>
          <w:pStyle w:val="Footer"/>
        </w:pPr>
        <w:r>
          <w:fldChar w:fldCharType="begin"/>
        </w:r>
        <w:r>
          <w:instrText xml:space="preserve"> PAGE   \* MERGEFORMAT </w:instrText>
        </w:r>
        <w:r>
          <w:fldChar w:fldCharType="separate"/>
        </w:r>
        <w:r w:rsidR="0084679A">
          <w:rPr>
            <w:noProof/>
          </w:rPr>
          <w:t>10-11</w:t>
        </w:r>
        <w:r>
          <w:rPr>
            <w:noProof/>
          </w:rPr>
          <w:fldChar w:fldCharType="end"/>
        </w:r>
        <w:r>
          <w:rPr>
            <w:noProof/>
          </w:rPr>
          <w:t xml:space="preserve">      </w:t>
        </w:r>
        <w:r>
          <w:t xml:space="preserve">         10 </w:t>
        </w:r>
        <w:r>
          <w:rPr>
            <w:rFonts w:cs="Gautami"/>
            <w:noProof/>
          </w:rPr>
          <w:t>–</w:t>
        </w:r>
        <w:r>
          <w:t xml:space="preserve"> Reference tariff setting </w:t>
        </w:r>
        <w:r>
          <w:rPr>
            <w:rFonts w:cs="Gautami"/>
            <w:noProof/>
          </w:rPr>
          <w:t xml:space="preserve">| </w:t>
        </w:r>
        <w:r>
          <w:t>Final decision: Jemena Gas Networks</w:t>
        </w:r>
        <w:r>
          <w:rPr>
            <w:rFonts w:cs="Gautami"/>
            <w:noProof/>
          </w:rPr>
          <w:t xml:space="preserve"> 2015–20</w:t>
        </w:r>
      </w:p>
    </w:sdtContent>
  </w:sdt>
  <w:p w:rsidR="00DE6757" w:rsidRDefault="00DE6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57" w:rsidRPr="00290C63" w:rsidRDefault="00DE675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E6757" w:rsidRDefault="00DE6757">
    <w:pPr>
      <w:pStyle w:val="Footer"/>
    </w:pPr>
  </w:p>
  <w:p w:rsidR="00DE6757" w:rsidRDefault="00DE6757"/>
  <w:p w:rsidR="00DE6757" w:rsidRDefault="00DE6757"/>
  <w:p w:rsidR="00DE6757" w:rsidRDefault="00DE6757"/>
  <w:p w:rsidR="00DE6757" w:rsidRDefault="00DE6757"/>
  <w:p w:rsidR="00DE6757" w:rsidRDefault="00DE6757"/>
  <w:p w:rsidR="00DE6757" w:rsidRDefault="00DE6757"/>
  <w:p w:rsidR="00DE6757" w:rsidRDefault="00DE67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57" w:rsidRPr="00290C63" w:rsidRDefault="00DE6757" w:rsidP="00290C63">
      <w:r>
        <w:separator/>
      </w:r>
    </w:p>
    <w:p w:rsidR="00DE6757" w:rsidRDefault="00DE6757"/>
  </w:footnote>
  <w:footnote w:type="continuationSeparator" w:id="0">
    <w:p w:rsidR="00DE6757" w:rsidRPr="00290C63" w:rsidRDefault="00DE6757" w:rsidP="00290C63">
      <w:r>
        <w:continuationSeparator/>
      </w:r>
    </w:p>
    <w:p w:rsidR="00DE6757" w:rsidRDefault="00DE6757"/>
  </w:footnote>
  <w:footnote w:id="1">
    <w:p w:rsidR="00DE6757" w:rsidRDefault="00DE6757" w:rsidP="0024125D">
      <w:pPr>
        <w:pStyle w:val="FootnoteText"/>
      </w:pPr>
      <w:r>
        <w:rPr>
          <w:rStyle w:val="FootnoteReference"/>
        </w:rPr>
        <w:footnoteRef/>
      </w:r>
      <w:r>
        <w:t xml:space="preserve"> </w:t>
      </w:r>
      <w:r>
        <w:tab/>
      </w:r>
      <w:r w:rsidR="003A7EE9">
        <w:t>NGL</w:t>
      </w:r>
      <w:r>
        <w:t xml:space="preserve">, </w:t>
      </w:r>
      <w:r w:rsidRPr="006049FB">
        <w:t>s. 24</w:t>
      </w:r>
      <w:r>
        <w:t>.</w:t>
      </w:r>
    </w:p>
  </w:footnote>
  <w:footnote w:id="2">
    <w:p w:rsidR="00DE6757" w:rsidRDefault="00DE6757" w:rsidP="00FD1804">
      <w:pPr>
        <w:pStyle w:val="FootnoteText"/>
      </w:pPr>
      <w:r>
        <w:rPr>
          <w:rStyle w:val="FootnoteReference"/>
        </w:rPr>
        <w:footnoteRef/>
      </w:r>
      <w:r>
        <w:t xml:space="preserve"> </w:t>
      </w:r>
      <w:r>
        <w:tab/>
      </w:r>
      <w:r w:rsidRPr="00213992">
        <w:t>NGR, rr. 93 and 94</w:t>
      </w:r>
      <w:r>
        <w:t>.</w:t>
      </w:r>
    </w:p>
  </w:footnote>
  <w:footnote w:id="3">
    <w:p w:rsidR="00DE6757" w:rsidRDefault="00DE6757" w:rsidP="00DD285E">
      <w:pPr>
        <w:pStyle w:val="FootnoteText"/>
      </w:pPr>
      <w:r>
        <w:rPr>
          <w:rStyle w:val="FootnoteReference"/>
        </w:rPr>
        <w:footnoteRef/>
      </w:r>
      <w:r>
        <w:t xml:space="preserve"> </w:t>
      </w:r>
      <w:r>
        <w:tab/>
      </w:r>
      <w:r w:rsidRPr="00815801">
        <w:t>NGR, r</w:t>
      </w:r>
      <w:r>
        <w:t>r</w:t>
      </w:r>
      <w:r w:rsidRPr="00815801">
        <w:t>. 64(1) &amp; (4).</w:t>
      </w:r>
    </w:p>
  </w:footnote>
  <w:footnote w:id="4">
    <w:p w:rsidR="00DE6757" w:rsidRDefault="00DE6757">
      <w:pPr>
        <w:pStyle w:val="FootnoteText"/>
      </w:pPr>
      <w:r>
        <w:rPr>
          <w:rStyle w:val="FootnoteReference"/>
        </w:rPr>
        <w:footnoteRef/>
      </w:r>
      <w:r>
        <w:t xml:space="preserve"> </w:t>
      </w:r>
      <w:r>
        <w:tab/>
        <w:t>As oppose to a variation via rule 65 of the NGR.</w:t>
      </w:r>
    </w:p>
  </w:footnote>
  <w:footnote w:id="5">
    <w:p w:rsidR="00DE6757" w:rsidRDefault="00DE6757" w:rsidP="00C2023F">
      <w:pPr>
        <w:pStyle w:val="FootnoteText"/>
      </w:pPr>
      <w:r>
        <w:rPr>
          <w:rStyle w:val="FootnoteReference"/>
        </w:rPr>
        <w:footnoteRef/>
      </w:r>
      <w:r>
        <w:t xml:space="preserve"> </w:t>
      </w:r>
      <w:r>
        <w:tab/>
        <w:t xml:space="preserve">AER, </w:t>
      </w:r>
      <w:r w:rsidRPr="00C2023F">
        <w:rPr>
          <w:rStyle w:val="AERtextitalic"/>
        </w:rPr>
        <w:t>Draft decision Jemena Gas Networks (NSW) Ltd Access arrangement 2015–20 Attachment 10 – Reference tariff setting</w:t>
      </w:r>
      <w:r>
        <w:t>, November 2014, pp. 9–11.</w:t>
      </w:r>
    </w:p>
  </w:footnote>
  <w:footnote w:id="6">
    <w:p w:rsidR="00DE6757" w:rsidRDefault="00DE6757">
      <w:pPr>
        <w:pStyle w:val="FootnoteText"/>
      </w:pPr>
      <w:r>
        <w:rPr>
          <w:rStyle w:val="FootnoteReference"/>
        </w:rPr>
        <w:footnoteRef/>
      </w:r>
      <w:r>
        <w:t xml:space="preserve"> </w:t>
      </w:r>
      <w:r>
        <w:tab/>
        <w:t xml:space="preserve">JGN, </w:t>
      </w:r>
      <w:r w:rsidRPr="000E2306">
        <w:rPr>
          <w:rStyle w:val="AERtextitalic"/>
        </w:rPr>
        <w:t>Jemena Gas Networks (NSW) 2015–20 Access Arrangement Response to the AER's draft decision and revised proposal</w:t>
      </w:r>
      <w:r>
        <w:t>, 27 February 2015, p. 116.  Specifically JGN stated "</w:t>
      </w:r>
      <w:r w:rsidRPr="00BB1A54">
        <w:t>clause 3.1(b) provides that JGN may vary reference tariffs in the manner contemplated by sub-clauses (i) to (iv) ‘in accordance with this clause 3’, which in turn invokes the process for AER approval in clauses 3.6 to 3.8</w:t>
      </w:r>
      <w:r>
        <w:t>".</w:t>
      </w:r>
    </w:p>
  </w:footnote>
  <w:footnote w:id="7">
    <w:p w:rsidR="00DE6757" w:rsidRDefault="00DE6757" w:rsidP="002A2E2F">
      <w:pPr>
        <w:pStyle w:val="FootnoteText"/>
      </w:pPr>
      <w:r>
        <w:rPr>
          <w:rStyle w:val="FootnoteReference"/>
        </w:rPr>
        <w:footnoteRef/>
      </w:r>
      <w:r>
        <w:t xml:space="preserve"> </w:t>
      </w:r>
      <w:r>
        <w:tab/>
        <w:t xml:space="preserve">JGN, </w:t>
      </w:r>
      <w:r w:rsidRPr="00A66DDD">
        <w:rPr>
          <w:rStyle w:val="AERtextitalic"/>
        </w:rPr>
        <w:t>Jemena Gas Networks (NSW) Ltd 2015-20 Access Arrangement Information</w:t>
      </w:r>
      <w:r>
        <w:t xml:space="preserve">, June 2014, p. 117, JGN, </w:t>
      </w:r>
      <w:r w:rsidRPr="00A66DDD">
        <w:rPr>
          <w:rStyle w:val="AERtextitalic"/>
        </w:rPr>
        <w:t>Jemena Gas Networks (NSW) Ltd NSW Gas Network Schedule of reference tariffs and charges effective 1 July 2014</w:t>
      </w:r>
      <w:r>
        <w:t>, pp. 16–17.</w:t>
      </w:r>
    </w:p>
  </w:footnote>
  <w:footnote w:id="8">
    <w:p w:rsidR="00DE6757" w:rsidRDefault="00DE6757">
      <w:pPr>
        <w:pStyle w:val="FootnoteText"/>
      </w:pPr>
      <w:r>
        <w:rPr>
          <w:rStyle w:val="FootnoteReference"/>
        </w:rPr>
        <w:footnoteRef/>
      </w:r>
      <w:r>
        <w:t xml:space="preserve"> </w:t>
      </w:r>
      <w:r>
        <w:tab/>
        <w:t xml:space="preserve">These charges have never been unbundled by JGN; AER, </w:t>
      </w:r>
      <w:r w:rsidRPr="00C2023F">
        <w:rPr>
          <w:rStyle w:val="AERtextitalic"/>
        </w:rPr>
        <w:t>Draft decision Jemena Gas Networks (NSW) Ltd Access arrangement 2015–20 Attachment 10 – Reference tariff setting</w:t>
      </w:r>
      <w:r>
        <w:t xml:space="preserve">, November 2014, pp. 13–14. </w:t>
      </w:r>
    </w:p>
  </w:footnote>
  <w:footnote w:id="9">
    <w:p w:rsidR="00DE6757" w:rsidRDefault="00DE6757" w:rsidP="00417256">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xml:space="preserve">, pp. 3–5. Disconnections may be complex as </w:t>
      </w:r>
      <w:r w:rsidRPr="00417256">
        <w:t>customer</w:t>
      </w:r>
      <w:r>
        <w:t>s</w:t>
      </w:r>
      <w:r w:rsidRPr="00417256">
        <w:t xml:space="preserve"> </w:t>
      </w:r>
      <w:r>
        <w:t xml:space="preserve">may </w:t>
      </w:r>
      <w:r w:rsidRPr="00417256">
        <w:t>object</w:t>
      </w:r>
      <w:r>
        <w:t xml:space="preserve"> </w:t>
      </w:r>
      <w:r w:rsidRPr="00417256">
        <w:t>to the work, no access, or the site already being</w:t>
      </w:r>
      <w:r>
        <w:t xml:space="preserve"> </w:t>
      </w:r>
      <w:r w:rsidRPr="00417256">
        <w:t>disconnected.</w:t>
      </w:r>
    </w:p>
  </w:footnote>
  <w:footnote w:id="10">
    <w:p w:rsidR="00DE6757" w:rsidRDefault="00DE6757" w:rsidP="00677C7B">
      <w:pPr>
        <w:pStyle w:val="FootnoteText"/>
      </w:pPr>
      <w:r>
        <w:rPr>
          <w:rStyle w:val="FootnoteReference"/>
        </w:rPr>
        <w:footnoteRef/>
      </w:r>
      <w:r>
        <w:t xml:space="preserve"> </w:t>
      </w:r>
      <w:r>
        <w:tab/>
      </w:r>
      <w:r w:rsidRPr="003A46B9">
        <w:t>AGL has found that only 55% of AGL’s Jemena Gas customers who were</w:t>
      </w:r>
      <w:r>
        <w:t xml:space="preserve"> </w:t>
      </w:r>
      <w:r w:rsidRPr="003A46B9">
        <w:t>successfully disconnected for debt then reconnected with AGL.</w:t>
      </w:r>
    </w:p>
  </w:footnote>
  <w:footnote w:id="11">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xml:space="preserve">, pp. 3–5. Disconnections may be complex as </w:t>
      </w:r>
      <w:r w:rsidRPr="00417256">
        <w:t>customer</w:t>
      </w:r>
      <w:r>
        <w:t>s</w:t>
      </w:r>
      <w:r w:rsidRPr="00417256">
        <w:t xml:space="preserve"> </w:t>
      </w:r>
      <w:r>
        <w:t xml:space="preserve">may </w:t>
      </w:r>
      <w:r w:rsidRPr="00417256">
        <w:t>object</w:t>
      </w:r>
      <w:r>
        <w:t xml:space="preserve"> </w:t>
      </w:r>
      <w:r w:rsidRPr="00417256">
        <w:t>to the work, no access, or the site already being</w:t>
      </w:r>
      <w:r>
        <w:t xml:space="preserve"> </w:t>
      </w:r>
      <w:r w:rsidRPr="00417256">
        <w:t>disconnected.</w:t>
      </w:r>
    </w:p>
  </w:footnote>
  <w:footnote w:id="12">
    <w:p w:rsidR="00DE6757" w:rsidRDefault="00DE6757">
      <w:pPr>
        <w:pStyle w:val="FootnoteText"/>
      </w:pPr>
      <w:r>
        <w:rPr>
          <w:rStyle w:val="FootnoteReference"/>
        </w:rPr>
        <w:footnoteRef/>
      </w:r>
      <w:r>
        <w:t xml:space="preserve"> </w:t>
      </w:r>
      <w:r>
        <w:tab/>
        <w:t xml:space="preserve">Difficult sites can mean </w:t>
      </w:r>
      <w:r w:rsidRPr="006360E8">
        <w:t>sites with locked gates, or internal locations where keys’ or identification as a network operator is required to gain entry to the premises, or possibly also customers that have previously obstructed AGL’s contractor</w:t>
      </w:r>
      <w:r>
        <w:t>.</w:t>
      </w:r>
    </w:p>
  </w:footnote>
  <w:footnote w:id="13">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p. 4.</w:t>
      </w:r>
    </w:p>
  </w:footnote>
  <w:footnote w:id="14">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p. 4.</w:t>
      </w:r>
    </w:p>
  </w:footnote>
  <w:footnote w:id="15">
    <w:p w:rsidR="00DE6757" w:rsidRDefault="00DE6757">
      <w:pPr>
        <w:pStyle w:val="FootnoteText"/>
      </w:pPr>
      <w:r>
        <w:rPr>
          <w:rStyle w:val="FootnoteReference"/>
        </w:rPr>
        <w:footnoteRef/>
      </w:r>
      <w:r>
        <w:t xml:space="preserve"> </w:t>
      </w:r>
      <w:r>
        <w:tab/>
        <w:t xml:space="preserve">Origin, </w:t>
      </w:r>
      <w:r w:rsidRPr="006E7642">
        <w:rPr>
          <w:rStyle w:val="AERtextitalic"/>
        </w:rPr>
        <w:t>AER's draft decision and Jemena Gas Networks' revised access arrangement proposal</w:t>
      </w:r>
      <w:r>
        <w:t xml:space="preserve">, 27 March 2015, </w:t>
      </w:r>
      <w:r>
        <w:br/>
        <w:t>pp. 13–14.</w:t>
      </w:r>
    </w:p>
  </w:footnote>
  <w:footnote w:id="16">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pp. 3–6.</w:t>
      </w:r>
    </w:p>
  </w:footnote>
  <w:footnote w:id="17">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pp. 3–6.</w:t>
      </w:r>
    </w:p>
  </w:footnote>
  <w:footnote w:id="18">
    <w:p w:rsidR="00DE6757" w:rsidRDefault="00DE6757" w:rsidP="00B85FAD">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p. 7.</w:t>
      </w:r>
    </w:p>
  </w:footnote>
  <w:footnote w:id="19">
    <w:p w:rsidR="00DE6757" w:rsidRDefault="00DE6757">
      <w:pPr>
        <w:pStyle w:val="FootnoteText"/>
      </w:pPr>
      <w:r>
        <w:rPr>
          <w:rStyle w:val="FootnoteReference"/>
        </w:rPr>
        <w:footnoteRef/>
      </w:r>
      <w:r>
        <w:t xml:space="preserve"> </w:t>
      </w:r>
      <w:r>
        <w:tab/>
        <w:t>Generally,</w:t>
      </w:r>
      <w:r w:rsidRPr="00C141D3">
        <w:t xml:space="preserve"> an access arrangement </w:t>
      </w:r>
      <w:r>
        <w:t xml:space="preserve">does not </w:t>
      </w:r>
      <w:r w:rsidRPr="00C141D3">
        <w:t>change the terms and conditions of an existing contractual arrangement, other than where the parties have expressly agreed between themselves for that to occur.</w:t>
      </w:r>
    </w:p>
  </w:footnote>
  <w:footnote w:id="20">
    <w:p w:rsidR="00DE6757" w:rsidRDefault="00DE6757">
      <w:pPr>
        <w:pStyle w:val="FootnoteText"/>
      </w:pPr>
      <w:r>
        <w:rPr>
          <w:rStyle w:val="FootnoteReference"/>
        </w:rPr>
        <w:footnoteRef/>
      </w:r>
      <w:r>
        <w:t xml:space="preserve"> </w:t>
      </w:r>
      <w:r>
        <w:tab/>
        <w:t xml:space="preserve">AGL, </w:t>
      </w:r>
      <w:r w:rsidRPr="0000027D">
        <w:rPr>
          <w:rStyle w:val="AERtextitalic"/>
        </w:rPr>
        <w:t>Jemena Gas Networks (NSW) Gas Access Arrangement 2015-20: AER Draft Decision and Revised Regulatory Proposal</w:t>
      </w:r>
      <w:r>
        <w:t xml:space="preserve">, 27 March 2015, p. 5. </w:t>
      </w:r>
    </w:p>
  </w:footnote>
  <w:footnote w:id="21">
    <w:p w:rsidR="00DE6757" w:rsidRDefault="00DE6757" w:rsidP="00DA4C05">
      <w:pPr>
        <w:pStyle w:val="FootnoteText"/>
      </w:pPr>
      <w:r>
        <w:rPr>
          <w:rStyle w:val="FootnoteReference"/>
        </w:rPr>
        <w:footnoteRef/>
      </w:r>
      <w:r>
        <w:t xml:space="preserve"> </w:t>
      </w:r>
      <w:r>
        <w:tab/>
        <w:t xml:space="preserve">AER, </w:t>
      </w:r>
      <w:r w:rsidRPr="00C2023F">
        <w:rPr>
          <w:rStyle w:val="AERtextitalic"/>
        </w:rPr>
        <w:t>Draft decision Jemena Gas Networks (NSW) Ltd Access arrangement 2015–20 Attachment 10 – Reference tariff setting</w:t>
      </w:r>
      <w:r>
        <w:t>, November 2014, pp. 16–17.</w:t>
      </w:r>
    </w:p>
  </w:footnote>
  <w:footnote w:id="22">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pp. 5–6.</w:t>
      </w:r>
    </w:p>
  </w:footnote>
  <w:footnote w:id="23">
    <w:p w:rsidR="00DE6757" w:rsidRDefault="00DE6757" w:rsidP="0000027D">
      <w:pPr>
        <w:pStyle w:val="FootnoteText"/>
      </w:pPr>
      <w:r>
        <w:rPr>
          <w:rStyle w:val="FootnoteReference"/>
        </w:rPr>
        <w:footnoteRef/>
      </w:r>
      <w:r>
        <w:t xml:space="preserve"> </w:t>
      </w:r>
      <w:r>
        <w:tab/>
        <w:t xml:space="preserve">AGL, </w:t>
      </w:r>
      <w:r w:rsidRPr="0000027D">
        <w:rPr>
          <w:rStyle w:val="AERtextitalic"/>
        </w:rPr>
        <w:t>Jemena Gas Networks (NSW) Gas Access Arrangement 2015-20: AER Draft Decision and Revised Regulatory Proposal</w:t>
      </w:r>
      <w:r>
        <w:t xml:space="preserve">, 27 March 2015, p. 5. </w:t>
      </w:r>
    </w:p>
  </w:footnote>
  <w:footnote w:id="24">
    <w:p w:rsidR="00DE6757" w:rsidRDefault="00DE6757">
      <w:pPr>
        <w:pStyle w:val="FootnoteText"/>
      </w:pPr>
      <w:r>
        <w:rPr>
          <w:rStyle w:val="FootnoteReference"/>
        </w:rPr>
        <w:footnoteRef/>
      </w:r>
      <w:r>
        <w:t xml:space="preserve"> </w:t>
      </w:r>
      <w:r>
        <w:tab/>
        <w:t xml:space="preserve">AER, </w:t>
      </w:r>
      <w:r w:rsidRPr="00C2023F">
        <w:rPr>
          <w:rStyle w:val="AERtextitalic"/>
        </w:rPr>
        <w:t>Draft decision Jemena Gas Networks (NSW) Ltd Access arrangement 2015–20 Attachment 10 – Reference tariff setting</w:t>
      </w:r>
      <w:r>
        <w:t>, November 2014, pp. 15–16.</w:t>
      </w:r>
    </w:p>
  </w:footnote>
  <w:footnote w:id="25">
    <w:p w:rsidR="00DE6757" w:rsidRDefault="00DE6757">
      <w:pPr>
        <w:pStyle w:val="FootnoteText"/>
      </w:pPr>
      <w:r>
        <w:rPr>
          <w:rStyle w:val="FootnoteReference"/>
        </w:rPr>
        <w:footnoteRef/>
      </w:r>
      <w:r>
        <w:t xml:space="preserve"> </w:t>
      </w:r>
      <w:r>
        <w:tab/>
        <w:t xml:space="preserve">JGN, </w:t>
      </w:r>
      <w:r w:rsidRPr="00253B0F">
        <w:rPr>
          <w:rStyle w:val="AERtextitalic"/>
        </w:rPr>
        <w:t xml:space="preserve">JGN's AER information request 051 Pricing matters raised in public submissions JGN response </w:t>
      </w:r>
      <w:r w:rsidR="009763D9">
        <w:rPr>
          <w:rStyle w:val="AERtextitalic"/>
        </w:rPr>
        <w:t>PUBLIC</w:t>
      </w:r>
      <w:r>
        <w:t xml:space="preserve">, </w:t>
      </w:r>
      <w:r w:rsidRPr="00253B0F">
        <w:t>14 April</w:t>
      </w:r>
      <w:r>
        <w:t xml:space="preserve">, p. 6. </w:t>
      </w:r>
    </w:p>
  </w:footnote>
  <w:footnote w:id="26">
    <w:p w:rsidR="00DE6757" w:rsidRDefault="00DE6757">
      <w:pPr>
        <w:pStyle w:val="FootnoteText"/>
      </w:pPr>
      <w:r>
        <w:rPr>
          <w:rStyle w:val="FootnoteReference"/>
        </w:rPr>
        <w:footnoteRef/>
      </w:r>
      <w:r>
        <w:t xml:space="preserve"> </w:t>
      </w:r>
      <w:r>
        <w:tab/>
        <w:t xml:space="preserve">AGL, </w:t>
      </w:r>
      <w:r w:rsidRPr="0000027D">
        <w:rPr>
          <w:rStyle w:val="AERtextitalic"/>
        </w:rPr>
        <w:t>Jemena Gas Networks (NSW) Gas Access Arrangement 2015-20: AER Draft Decision and Revised Regulatory Proposal</w:t>
      </w:r>
      <w:r>
        <w:t xml:space="preserve">, 27 March 2015, p. 5. </w:t>
      </w:r>
    </w:p>
  </w:footnote>
  <w:footnote w:id="27">
    <w:p w:rsidR="00DE6757" w:rsidRDefault="00DE6757">
      <w:pPr>
        <w:pStyle w:val="FootnoteText"/>
      </w:pPr>
      <w:r>
        <w:rPr>
          <w:rStyle w:val="FootnoteReference"/>
        </w:rPr>
        <w:footnoteRef/>
      </w:r>
      <w:r>
        <w:t xml:space="preserve"> </w:t>
      </w:r>
      <w:r>
        <w:tab/>
        <w:t xml:space="preserve">JGN indicated to retailers that there are other options that would allow this amendment. JGN, </w:t>
      </w:r>
      <w:r w:rsidRPr="002842B2">
        <w:rPr>
          <w:rStyle w:val="AERtextitalic"/>
        </w:rPr>
        <w:t>Letter to AGL, re: Jemena gas AA</w:t>
      </w:r>
      <w:r>
        <w:t xml:space="preserve">, 25 March 2015. </w:t>
      </w:r>
    </w:p>
  </w:footnote>
  <w:footnote w:id="28">
    <w:p w:rsidR="00DE6757" w:rsidRDefault="00DE6757" w:rsidP="004317F7">
      <w:pPr>
        <w:pStyle w:val="FootnoteText"/>
      </w:pPr>
      <w:r>
        <w:rPr>
          <w:rStyle w:val="FootnoteReference"/>
        </w:rPr>
        <w:footnoteRef/>
      </w:r>
      <w:r>
        <w:t xml:space="preserve"> </w:t>
      </w:r>
      <w:r>
        <w:tab/>
        <w:t xml:space="preserve">Energy Markets Reform Forum, </w:t>
      </w:r>
      <w:r w:rsidRPr="004317F7">
        <w:rPr>
          <w:rStyle w:val="AERtextitalic"/>
        </w:rPr>
        <w:t>AER Review of Jemena Gas Distribution EMRF response to AER DD and Jemena revis</w:t>
      </w:r>
      <w:r w:rsidR="009763D9">
        <w:rPr>
          <w:rStyle w:val="AERtextitalic"/>
        </w:rPr>
        <w:t>e</w:t>
      </w:r>
      <w:r w:rsidRPr="004317F7">
        <w:rPr>
          <w:rStyle w:val="AERtextitalic"/>
        </w:rPr>
        <w:t>d proposal</w:t>
      </w:r>
      <w:r>
        <w:t>, March 2015, pp. 96–102</w:t>
      </w:r>
    </w:p>
  </w:footnote>
  <w:footnote w:id="29">
    <w:p w:rsidR="00DE6757" w:rsidRDefault="00DE6757">
      <w:pPr>
        <w:pStyle w:val="FootnoteText"/>
      </w:pPr>
      <w:r>
        <w:rPr>
          <w:rStyle w:val="FootnoteReference"/>
        </w:rPr>
        <w:footnoteRef/>
      </w:r>
      <w:r>
        <w:t xml:space="preserve"> </w:t>
      </w:r>
      <w:r>
        <w:tab/>
      </w:r>
      <w:r w:rsidRPr="006A6BAA">
        <w:t>JGN</w:t>
      </w:r>
      <w:r w:rsidRPr="00A66DDD">
        <w:rPr>
          <w:rStyle w:val="AERtextitalic"/>
        </w:rPr>
        <w:t>, Response to proposed tariff changes questions Information request 019</w:t>
      </w:r>
      <w:r w:rsidRPr="006A6BAA">
        <w:t>, August 2014, pp. 4–6.</w:t>
      </w:r>
      <w:r>
        <w:t xml:space="preserve"> </w:t>
      </w:r>
      <w:r w:rsidRPr="008906FB">
        <w:t>In June 2012, two changes to network pricing had to be introduced:</w:t>
      </w:r>
      <w:r>
        <w:t xml:space="preserve"> (1) </w:t>
      </w:r>
      <w:r w:rsidRPr="008906FB">
        <w:t xml:space="preserve">the delayed recovery of JGN allowed revenues (due to the 2010 </w:t>
      </w:r>
      <w:r>
        <w:t xml:space="preserve">tribunal </w:t>
      </w:r>
      <w:r w:rsidRPr="008906FB">
        <w:t>merits review</w:t>
      </w:r>
      <w:r>
        <w:t xml:space="preserve"> of the access arrangement</w:t>
      </w:r>
      <w:r w:rsidRPr="008906FB">
        <w:t xml:space="preserve">) resulted in average price increases for each of the 2013, 2014 and 2015 years of around 11-12 per cent </w:t>
      </w:r>
      <w:r>
        <w:t>per annum</w:t>
      </w:r>
      <w:r w:rsidRPr="008906FB">
        <w:t xml:space="preserve"> (nominal)</w:t>
      </w:r>
      <w:r w:rsidR="005C31F2">
        <w:t>;</w:t>
      </w:r>
      <w:r>
        <w:t xml:space="preserve"> and (2) an approved </w:t>
      </w:r>
      <w:r w:rsidRPr="008906FB">
        <w:t xml:space="preserve">cost pass through event to recover JGN’s carbon tax liability of around $0.11/GJ—which represented a 5-20 per cent increase in the network </w:t>
      </w:r>
      <w:r>
        <w:t>tariffs</w:t>
      </w:r>
      <w:r w:rsidRPr="008906FB">
        <w:t xml:space="preserve"> for demand customers, and around a 0.05 per cent increase in the network </w:t>
      </w:r>
      <w:r>
        <w:t>tariffs</w:t>
      </w:r>
      <w:r w:rsidRPr="008906FB">
        <w:t xml:space="preserve"> for small customers.</w:t>
      </w:r>
    </w:p>
  </w:footnote>
  <w:footnote w:id="30">
    <w:p w:rsidR="00DE6757" w:rsidRDefault="00DE6757">
      <w:pPr>
        <w:pStyle w:val="FootnoteText"/>
      </w:pPr>
      <w:r>
        <w:rPr>
          <w:rStyle w:val="FootnoteReference"/>
        </w:rPr>
        <w:footnoteRef/>
      </w:r>
      <w:r>
        <w:t xml:space="preserve"> </w:t>
      </w:r>
      <w:r>
        <w:tab/>
        <w:t xml:space="preserve">Energy Markets Reform Forum, </w:t>
      </w:r>
      <w:r w:rsidRPr="004317F7">
        <w:rPr>
          <w:rStyle w:val="AERtextitalic"/>
        </w:rPr>
        <w:t>AER Review of Jemena Gas Distribution EMRF response to AER DD and Jemena revised proposal</w:t>
      </w:r>
      <w:r>
        <w:t>, March 2015, p. 103</w:t>
      </w:r>
    </w:p>
  </w:footnote>
  <w:footnote w:id="31">
    <w:p w:rsidR="00DE6757" w:rsidRDefault="00DE6757">
      <w:pPr>
        <w:pStyle w:val="FootnoteText"/>
      </w:pPr>
      <w:r>
        <w:rPr>
          <w:rStyle w:val="FootnoteReference"/>
        </w:rPr>
        <w:footnoteRef/>
      </w:r>
      <w:r>
        <w:t xml:space="preserve"> </w:t>
      </w:r>
      <w:r>
        <w:tab/>
      </w:r>
      <w:r w:rsidRPr="002962A3">
        <w:t xml:space="preserve">JGN, </w:t>
      </w:r>
      <w:r w:rsidRPr="002962A3">
        <w:rPr>
          <w:rStyle w:val="AERtextitalic"/>
        </w:rPr>
        <w:t xml:space="preserve">JGN's AER information request 051 Pricing matters raised in public submissions JGN response </w:t>
      </w:r>
      <w:r w:rsidR="009763D9">
        <w:rPr>
          <w:rStyle w:val="AERtextitalic"/>
        </w:rPr>
        <w:t>PUBLIC</w:t>
      </w:r>
      <w:r w:rsidRPr="002962A3">
        <w:t>, 14 April, p. 8.</w:t>
      </w:r>
    </w:p>
  </w:footnote>
  <w:footnote w:id="32">
    <w:p w:rsidR="00DE6757" w:rsidRDefault="00DE6757" w:rsidP="00010EF3">
      <w:pPr>
        <w:pStyle w:val="FootnoteText"/>
      </w:pPr>
      <w:r>
        <w:rPr>
          <w:rStyle w:val="FootnoteReference"/>
        </w:rPr>
        <w:footnoteRef/>
      </w:r>
      <w:r>
        <w:t xml:space="preserve"> </w:t>
      </w:r>
      <w:r>
        <w:tab/>
        <w:t>This tariff provides eligible large gas users with</w:t>
      </w:r>
      <w:r w:rsidRPr="00010EF3">
        <w:t xml:space="preserve"> </w:t>
      </w:r>
      <w:r>
        <w:t xml:space="preserve">a </w:t>
      </w:r>
      <w:r w:rsidRPr="00010EF3">
        <w:t>discount</w:t>
      </w:r>
      <w:r>
        <w:t>ed charge</w:t>
      </w:r>
      <w:r w:rsidRPr="00010EF3">
        <w:t xml:space="preserve"> for</w:t>
      </w:r>
      <w:r>
        <w:t xml:space="preserve"> </w:t>
      </w:r>
      <w:r w:rsidRPr="00010EF3">
        <w:t>participating in emergency supply curtailment</w:t>
      </w:r>
      <w:r>
        <w:t>.</w:t>
      </w:r>
      <w:r>
        <w:tab/>
      </w:r>
    </w:p>
  </w:footnote>
  <w:footnote w:id="33">
    <w:p w:rsidR="00DE6757" w:rsidRDefault="00DE6757" w:rsidP="00BF6F71">
      <w:pPr>
        <w:pStyle w:val="FootnoteText"/>
      </w:pPr>
      <w:r>
        <w:rPr>
          <w:rStyle w:val="FootnoteReference"/>
        </w:rPr>
        <w:footnoteRef/>
      </w:r>
      <w:r>
        <w:t xml:space="preserve"> </w:t>
      </w:r>
      <w:r>
        <w:tab/>
        <w:t xml:space="preserve">Energy Markets Reform Forum, </w:t>
      </w:r>
      <w:r w:rsidRPr="004317F7">
        <w:rPr>
          <w:rStyle w:val="AERtextitalic"/>
        </w:rPr>
        <w:t>AER Review of Jemena Gas Distribution EMRF response to AER DD and Jemena revised proposal</w:t>
      </w:r>
      <w:r>
        <w:t>, March 2015, p. 103.</w:t>
      </w:r>
    </w:p>
  </w:footnote>
  <w:footnote w:id="34">
    <w:p w:rsidR="00DE6757" w:rsidRDefault="00DE6757" w:rsidP="00BF6F71">
      <w:pPr>
        <w:pStyle w:val="FootnoteText"/>
      </w:pPr>
      <w:r>
        <w:rPr>
          <w:rStyle w:val="FootnoteReference"/>
        </w:rPr>
        <w:footnoteRef/>
      </w:r>
      <w:r>
        <w:t xml:space="preserve"> </w:t>
      </w:r>
      <w:r>
        <w:tab/>
        <w:t xml:space="preserve">AER, </w:t>
      </w:r>
      <w:r w:rsidRPr="00C2023F">
        <w:rPr>
          <w:rStyle w:val="AERtextitalic"/>
        </w:rPr>
        <w:t>Draft decision Jemena Gas Networks (NSW) Ltd Access arrangement 2015–20 Attachment 10 – Reference tariff setting</w:t>
      </w:r>
      <w:r>
        <w:t>, November 2014, p. 15.</w:t>
      </w:r>
    </w:p>
  </w:footnote>
  <w:footnote w:id="35">
    <w:p w:rsidR="00DE6757" w:rsidRDefault="00DE6757" w:rsidP="00BF6F71">
      <w:pPr>
        <w:pStyle w:val="FootnoteText"/>
      </w:pPr>
      <w:r>
        <w:rPr>
          <w:rStyle w:val="FootnoteReference"/>
        </w:rPr>
        <w:footnoteRef/>
      </w:r>
      <w:r>
        <w:t xml:space="preserve"> </w:t>
      </w:r>
      <w:r>
        <w:tab/>
      </w:r>
      <w:r w:rsidRPr="00065830">
        <w:t xml:space="preserve">JGN, </w:t>
      </w:r>
      <w:r w:rsidRPr="00C6574F">
        <w:rPr>
          <w:rStyle w:val="AERtextitalic"/>
        </w:rPr>
        <w:t xml:space="preserve">JGN's AER information request 051 Pricing matters raised in public submissions JGN response </w:t>
      </w:r>
      <w:r w:rsidR="009763D9">
        <w:rPr>
          <w:rStyle w:val="AERtextitalic"/>
        </w:rPr>
        <w:t>PUBLIC</w:t>
      </w:r>
      <w:r w:rsidRPr="00065830">
        <w:t xml:space="preserve">, 14 April, p. </w:t>
      </w:r>
      <w:r>
        <w:t>10</w:t>
      </w:r>
      <w:r w:rsidRPr="00065830">
        <w:t>.</w:t>
      </w:r>
    </w:p>
  </w:footnote>
  <w:footnote w:id="36">
    <w:p w:rsidR="00DE6757" w:rsidRDefault="00DE6757" w:rsidP="00BF6F71">
      <w:pPr>
        <w:pStyle w:val="FootnoteText"/>
      </w:pPr>
      <w:r>
        <w:rPr>
          <w:rStyle w:val="FootnoteReference"/>
        </w:rPr>
        <w:footnoteRef/>
      </w:r>
      <w:r>
        <w:t xml:space="preserve"> </w:t>
      </w:r>
      <w:r>
        <w:tab/>
      </w:r>
      <w:r w:rsidRPr="00065830">
        <w:t xml:space="preserve">JGN, </w:t>
      </w:r>
      <w:r w:rsidRPr="00C6574F">
        <w:rPr>
          <w:rStyle w:val="AERtextitalic"/>
        </w:rPr>
        <w:t xml:space="preserve">JGN's AER information request 051 Pricing matters raised in public submissions JGN response </w:t>
      </w:r>
      <w:r w:rsidR="009763D9">
        <w:rPr>
          <w:rStyle w:val="AERtextitalic"/>
        </w:rPr>
        <w:t>PUBLIC</w:t>
      </w:r>
      <w:r w:rsidRPr="00065830">
        <w:t xml:space="preserve">, 14 April, p. </w:t>
      </w:r>
      <w:r>
        <w:t>10</w:t>
      </w:r>
      <w:r w:rsidRPr="00065830">
        <w:t>.</w:t>
      </w:r>
      <w:r>
        <w:t xml:space="preserve"> </w:t>
      </w:r>
    </w:p>
  </w:footnote>
  <w:footnote w:id="37">
    <w:p w:rsidR="00DE6757" w:rsidRDefault="00DE6757" w:rsidP="00BF6F71">
      <w:pPr>
        <w:pStyle w:val="FootnoteText"/>
      </w:pPr>
      <w:r>
        <w:rPr>
          <w:rStyle w:val="FootnoteReference"/>
        </w:rPr>
        <w:footnoteRef/>
      </w:r>
      <w:r>
        <w:t xml:space="preserve"> </w:t>
      </w:r>
      <w:r>
        <w:tab/>
      </w:r>
      <w:r w:rsidRPr="00065830">
        <w:t xml:space="preserve">JGN, </w:t>
      </w:r>
      <w:r w:rsidRPr="00C6574F">
        <w:rPr>
          <w:rStyle w:val="AERtextitalic"/>
        </w:rPr>
        <w:t xml:space="preserve">JGN's AER information request 051 Pricing matters raised in public submissions JGN response </w:t>
      </w:r>
      <w:r w:rsidR="009763D9">
        <w:rPr>
          <w:rStyle w:val="AERtextitalic"/>
        </w:rPr>
        <w:t>PUBLIC</w:t>
      </w:r>
      <w:r w:rsidRPr="00065830">
        <w:t xml:space="preserve">, 14 April, p. </w:t>
      </w:r>
      <w:r>
        <w:t>10</w:t>
      </w:r>
      <w:r w:rsidRPr="0006583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69204EE2"/>
    <w:lvl w:ilvl="0">
      <w:start w:val="1"/>
      <w:numFmt w:val="decimal"/>
      <w:pStyle w:val="ListNumber"/>
      <w:lvlText w:val="%1."/>
      <w:lvlJc w:val="left"/>
      <w:pPr>
        <w:tabs>
          <w:tab w:val="num" w:pos="502"/>
        </w:tabs>
        <w:ind w:left="502"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0C2C5E9C"/>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AC6DD7"/>
    <w:multiLevelType w:val="multilevel"/>
    <w:tmpl w:val="950A1C52"/>
    <w:lvl w:ilvl="0">
      <w:start w:val="1"/>
      <w:numFmt w:val="none"/>
      <w:lvlText w:val="%1"/>
      <w:lvlJc w:val="left"/>
      <w:pPr>
        <w:tabs>
          <w:tab w:val="num" w:pos="0"/>
        </w:tabs>
        <w:ind w:left="0" w:firstLine="0"/>
      </w:pPr>
      <w:rPr>
        <w:rFonts w:hint="default"/>
      </w:rPr>
    </w:lvl>
    <w:lvl w:ilvl="1">
      <w:start w:val="1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851"/>
        </w:tabs>
        <w:ind w:left="851"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3"/>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23"/>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8"/>
    <w:lvlOverride w:ilvl="0">
      <w:startOverride w:val="1"/>
    </w:lvlOverride>
  </w:num>
  <w:num w:numId="41">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10 - Reference tariff setting - June 2015.docx"/>
  </w:docVars>
  <w:rsids>
    <w:rsidRoot w:val="00961A4A"/>
    <w:rsid w:val="0000027D"/>
    <w:rsid w:val="000046E8"/>
    <w:rsid w:val="00010E3E"/>
    <w:rsid w:val="00010EF3"/>
    <w:rsid w:val="0001504D"/>
    <w:rsid w:val="00021202"/>
    <w:rsid w:val="00021655"/>
    <w:rsid w:val="0002166C"/>
    <w:rsid w:val="00023CBF"/>
    <w:rsid w:val="0002517F"/>
    <w:rsid w:val="000309B6"/>
    <w:rsid w:val="0003578C"/>
    <w:rsid w:val="00053721"/>
    <w:rsid w:val="000537DA"/>
    <w:rsid w:val="000620B9"/>
    <w:rsid w:val="00062744"/>
    <w:rsid w:val="00063247"/>
    <w:rsid w:val="00070F9F"/>
    <w:rsid w:val="0007137B"/>
    <w:rsid w:val="00084C90"/>
    <w:rsid w:val="00085663"/>
    <w:rsid w:val="00085EBF"/>
    <w:rsid w:val="000A3020"/>
    <w:rsid w:val="000A6C7B"/>
    <w:rsid w:val="000A72C1"/>
    <w:rsid w:val="000C2BDB"/>
    <w:rsid w:val="000C4D64"/>
    <w:rsid w:val="000C6015"/>
    <w:rsid w:val="000D122C"/>
    <w:rsid w:val="000D5B44"/>
    <w:rsid w:val="000D6EDE"/>
    <w:rsid w:val="000E1819"/>
    <w:rsid w:val="000E2306"/>
    <w:rsid w:val="000E2CC2"/>
    <w:rsid w:val="000E4821"/>
    <w:rsid w:val="000E4E72"/>
    <w:rsid w:val="000E6C72"/>
    <w:rsid w:val="00101E28"/>
    <w:rsid w:val="001101E9"/>
    <w:rsid w:val="00111D39"/>
    <w:rsid w:val="00116EB2"/>
    <w:rsid w:val="00124609"/>
    <w:rsid w:val="00126A4C"/>
    <w:rsid w:val="00127FC1"/>
    <w:rsid w:val="0013505D"/>
    <w:rsid w:val="0014222E"/>
    <w:rsid w:val="00144465"/>
    <w:rsid w:val="0014573B"/>
    <w:rsid w:val="001573E4"/>
    <w:rsid w:val="00160756"/>
    <w:rsid w:val="00170A73"/>
    <w:rsid w:val="0017232E"/>
    <w:rsid w:val="00174102"/>
    <w:rsid w:val="0017480F"/>
    <w:rsid w:val="00180157"/>
    <w:rsid w:val="00182DB0"/>
    <w:rsid w:val="00185CB9"/>
    <w:rsid w:val="00186F77"/>
    <w:rsid w:val="001926A4"/>
    <w:rsid w:val="00192AD5"/>
    <w:rsid w:val="00192C7C"/>
    <w:rsid w:val="001A4AA2"/>
    <w:rsid w:val="001B45A0"/>
    <w:rsid w:val="001B502E"/>
    <w:rsid w:val="001D055E"/>
    <w:rsid w:val="001D098F"/>
    <w:rsid w:val="001D6B0D"/>
    <w:rsid w:val="001E3F2B"/>
    <w:rsid w:val="001E5B67"/>
    <w:rsid w:val="001F492E"/>
    <w:rsid w:val="001F6DA3"/>
    <w:rsid w:val="002010BC"/>
    <w:rsid w:val="00202E03"/>
    <w:rsid w:val="0020492C"/>
    <w:rsid w:val="00210E03"/>
    <w:rsid w:val="0021687B"/>
    <w:rsid w:val="00224DB9"/>
    <w:rsid w:val="00233775"/>
    <w:rsid w:val="00234033"/>
    <w:rsid w:val="00235853"/>
    <w:rsid w:val="00235C84"/>
    <w:rsid w:val="0024125D"/>
    <w:rsid w:val="00251745"/>
    <w:rsid w:val="00253B0F"/>
    <w:rsid w:val="00263AC0"/>
    <w:rsid w:val="00264264"/>
    <w:rsid w:val="00265F30"/>
    <w:rsid w:val="0026772D"/>
    <w:rsid w:val="0027373D"/>
    <w:rsid w:val="00277FF4"/>
    <w:rsid w:val="002842B2"/>
    <w:rsid w:val="00284F46"/>
    <w:rsid w:val="00286874"/>
    <w:rsid w:val="00290C63"/>
    <w:rsid w:val="002962A3"/>
    <w:rsid w:val="00296B65"/>
    <w:rsid w:val="002A2E2F"/>
    <w:rsid w:val="002A3D4B"/>
    <w:rsid w:val="002A7DEF"/>
    <w:rsid w:val="002C0977"/>
    <w:rsid w:val="002D0098"/>
    <w:rsid w:val="002E48F7"/>
    <w:rsid w:val="002E7B22"/>
    <w:rsid w:val="002F0F36"/>
    <w:rsid w:val="002F2410"/>
    <w:rsid w:val="002F52DC"/>
    <w:rsid w:val="002F7986"/>
    <w:rsid w:val="00301B40"/>
    <w:rsid w:val="003029EE"/>
    <w:rsid w:val="00305CC8"/>
    <w:rsid w:val="00307F6D"/>
    <w:rsid w:val="00316169"/>
    <w:rsid w:val="003177A2"/>
    <w:rsid w:val="003271B5"/>
    <w:rsid w:val="00327A1E"/>
    <w:rsid w:val="00331264"/>
    <w:rsid w:val="00334C8D"/>
    <w:rsid w:val="00342BC2"/>
    <w:rsid w:val="00343A14"/>
    <w:rsid w:val="00343A18"/>
    <w:rsid w:val="00345E4F"/>
    <w:rsid w:val="003518B3"/>
    <w:rsid w:val="00353578"/>
    <w:rsid w:val="0037438F"/>
    <w:rsid w:val="003846F1"/>
    <w:rsid w:val="00387E42"/>
    <w:rsid w:val="00392551"/>
    <w:rsid w:val="003A061F"/>
    <w:rsid w:val="003A36EE"/>
    <w:rsid w:val="003A46B9"/>
    <w:rsid w:val="003A7EE9"/>
    <w:rsid w:val="003B484F"/>
    <w:rsid w:val="003C17D1"/>
    <w:rsid w:val="003E1FA7"/>
    <w:rsid w:val="003F174D"/>
    <w:rsid w:val="003F63E5"/>
    <w:rsid w:val="003F63EE"/>
    <w:rsid w:val="003F6C1E"/>
    <w:rsid w:val="004017B8"/>
    <w:rsid w:val="00403AB8"/>
    <w:rsid w:val="004073EE"/>
    <w:rsid w:val="00414BCD"/>
    <w:rsid w:val="00417256"/>
    <w:rsid w:val="004317F7"/>
    <w:rsid w:val="00452F2F"/>
    <w:rsid w:val="0045777E"/>
    <w:rsid w:val="004609F4"/>
    <w:rsid w:val="00480B4B"/>
    <w:rsid w:val="00485DC4"/>
    <w:rsid w:val="004A43D1"/>
    <w:rsid w:val="004B4412"/>
    <w:rsid w:val="004C348C"/>
    <w:rsid w:val="004D08AA"/>
    <w:rsid w:val="004D55BA"/>
    <w:rsid w:val="004D63FF"/>
    <w:rsid w:val="004E22EC"/>
    <w:rsid w:val="004F5CE7"/>
    <w:rsid w:val="004F66C0"/>
    <w:rsid w:val="00504B1D"/>
    <w:rsid w:val="005079F3"/>
    <w:rsid w:val="0051030C"/>
    <w:rsid w:val="005275E3"/>
    <w:rsid w:val="00530128"/>
    <w:rsid w:val="00532467"/>
    <w:rsid w:val="0053789C"/>
    <w:rsid w:val="00544635"/>
    <w:rsid w:val="00550CA5"/>
    <w:rsid w:val="00551EFC"/>
    <w:rsid w:val="00560DD8"/>
    <w:rsid w:val="00564A4D"/>
    <w:rsid w:val="00565B02"/>
    <w:rsid w:val="00567BA5"/>
    <w:rsid w:val="00571B35"/>
    <w:rsid w:val="00571D57"/>
    <w:rsid w:val="00571DB0"/>
    <w:rsid w:val="00577A09"/>
    <w:rsid w:val="005829C2"/>
    <w:rsid w:val="00584D8F"/>
    <w:rsid w:val="00596A24"/>
    <w:rsid w:val="00596A9F"/>
    <w:rsid w:val="005A404D"/>
    <w:rsid w:val="005A4ABE"/>
    <w:rsid w:val="005B1E3C"/>
    <w:rsid w:val="005B1FD5"/>
    <w:rsid w:val="005B62A2"/>
    <w:rsid w:val="005C26CC"/>
    <w:rsid w:val="005C31F2"/>
    <w:rsid w:val="005C65B1"/>
    <w:rsid w:val="005D7429"/>
    <w:rsid w:val="005D7BA2"/>
    <w:rsid w:val="005E36C2"/>
    <w:rsid w:val="00605DDB"/>
    <w:rsid w:val="006101C8"/>
    <w:rsid w:val="0061248A"/>
    <w:rsid w:val="00612723"/>
    <w:rsid w:val="006153C6"/>
    <w:rsid w:val="00615C6B"/>
    <w:rsid w:val="00621DCE"/>
    <w:rsid w:val="0062230F"/>
    <w:rsid w:val="00627F2D"/>
    <w:rsid w:val="00632D6D"/>
    <w:rsid w:val="006360E8"/>
    <w:rsid w:val="00636841"/>
    <w:rsid w:val="00642C3E"/>
    <w:rsid w:val="006454AA"/>
    <w:rsid w:val="00660B24"/>
    <w:rsid w:val="0066104A"/>
    <w:rsid w:val="00663DAD"/>
    <w:rsid w:val="006659CD"/>
    <w:rsid w:val="006677CA"/>
    <w:rsid w:val="006701E6"/>
    <w:rsid w:val="00674C6F"/>
    <w:rsid w:val="00675E20"/>
    <w:rsid w:val="00676679"/>
    <w:rsid w:val="00677C7B"/>
    <w:rsid w:val="00681F8A"/>
    <w:rsid w:val="00683C89"/>
    <w:rsid w:val="00687977"/>
    <w:rsid w:val="006A6BAA"/>
    <w:rsid w:val="006B2395"/>
    <w:rsid w:val="006B4CF9"/>
    <w:rsid w:val="006B7AC8"/>
    <w:rsid w:val="006C57B6"/>
    <w:rsid w:val="006D322D"/>
    <w:rsid w:val="006D550F"/>
    <w:rsid w:val="006E60F0"/>
    <w:rsid w:val="006E7642"/>
    <w:rsid w:val="006F4AF8"/>
    <w:rsid w:val="00701CAB"/>
    <w:rsid w:val="00703FB0"/>
    <w:rsid w:val="00704E34"/>
    <w:rsid w:val="00707563"/>
    <w:rsid w:val="00716323"/>
    <w:rsid w:val="0072348C"/>
    <w:rsid w:val="00724A37"/>
    <w:rsid w:val="007303C3"/>
    <w:rsid w:val="007429BE"/>
    <w:rsid w:val="00743223"/>
    <w:rsid w:val="00744E99"/>
    <w:rsid w:val="00746E01"/>
    <w:rsid w:val="00757BDF"/>
    <w:rsid w:val="00763E5D"/>
    <w:rsid w:val="0076632D"/>
    <w:rsid w:val="00767740"/>
    <w:rsid w:val="00771F18"/>
    <w:rsid w:val="00777EE6"/>
    <w:rsid w:val="00782EEA"/>
    <w:rsid w:val="00786E94"/>
    <w:rsid w:val="00791C28"/>
    <w:rsid w:val="00794320"/>
    <w:rsid w:val="007B2C72"/>
    <w:rsid w:val="007B49E1"/>
    <w:rsid w:val="007C04D2"/>
    <w:rsid w:val="007C1C53"/>
    <w:rsid w:val="007C74BB"/>
    <w:rsid w:val="007D55A9"/>
    <w:rsid w:val="007E43DB"/>
    <w:rsid w:val="007E4904"/>
    <w:rsid w:val="007E4CB5"/>
    <w:rsid w:val="007F066B"/>
    <w:rsid w:val="007F4629"/>
    <w:rsid w:val="007F5377"/>
    <w:rsid w:val="007F5D85"/>
    <w:rsid w:val="008033C4"/>
    <w:rsid w:val="00806C88"/>
    <w:rsid w:val="0081034E"/>
    <w:rsid w:val="00811291"/>
    <w:rsid w:val="008140D0"/>
    <w:rsid w:val="008227E5"/>
    <w:rsid w:val="0082643B"/>
    <w:rsid w:val="008344F6"/>
    <w:rsid w:val="0083510F"/>
    <w:rsid w:val="0084679A"/>
    <w:rsid w:val="00847215"/>
    <w:rsid w:val="00851209"/>
    <w:rsid w:val="0085214D"/>
    <w:rsid w:val="008556A5"/>
    <w:rsid w:val="008614E9"/>
    <w:rsid w:val="008710C2"/>
    <w:rsid w:val="008837AC"/>
    <w:rsid w:val="00886205"/>
    <w:rsid w:val="008906FB"/>
    <w:rsid w:val="00895001"/>
    <w:rsid w:val="008A418F"/>
    <w:rsid w:val="008A587D"/>
    <w:rsid w:val="008A6843"/>
    <w:rsid w:val="008B1C04"/>
    <w:rsid w:val="008B35CD"/>
    <w:rsid w:val="008B5FCC"/>
    <w:rsid w:val="008C5486"/>
    <w:rsid w:val="008D1661"/>
    <w:rsid w:val="008D68CA"/>
    <w:rsid w:val="008E27C2"/>
    <w:rsid w:val="008E4F21"/>
    <w:rsid w:val="008E6C9D"/>
    <w:rsid w:val="008E7031"/>
    <w:rsid w:val="008E77DE"/>
    <w:rsid w:val="008F07A3"/>
    <w:rsid w:val="008F79D9"/>
    <w:rsid w:val="00900E1B"/>
    <w:rsid w:val="009060E6"/>
    <w:rsid w:val="00916FDF"/>
    <w:rsid w:val="00921163"/>
    <w:rsid w:val="009233EE"/>
    <w:rsid w:val="0092631D"/>
    <w:rsid w:val="009370D1"/>
    <w:rsid w:val="009460AA"/>
    <w:rsid w:val="00951978"/>
    <w:rsid w:val="00960A75"/>
    <w:rsid w:val="00961A4A"/>
    <w:rsid w:val="009661DE"/>
    <w:rsid w:val="00966B14"/>
    <w:rsid w:val="009763D9"/>
    <w:rsid w:val="00983C25"/>
    <w:rsid w:val="009856B7"/>
    <w:rsid w:val="00985C86"/>
    <w:rsid w:val="00990D8B"/>
    <w:rsid w:val="009A5FC3"/>
    <w:rsid w:val="009A6D4B"/>
    <w:rsid w:val="009B74B0"/>
    <w:rsid w:val="009D6B46"/>
    <w:rsid w:val="009D6EB1"/>
    <w:rsid w:val="009F2DF6"/>
    <w:rsid w:val="009F4940"/>
    <w:rsid w:val="009F5BA1"/>
    <w:rsid w:val="00A02A88"/>
    <w:rsid w:val="00A0562E"/>
    <w:rsid w:val="00A0726D"/>
    <w:rsid w:val="00A106AA"/>
    <w:rsid w:val="00A32FBB"/>
    <w:rsid w:val="00A428EE"/>
    <w:rsid w:val="00A4478A"/>
    <w:rsid w:val="00A44852"/>
    <w:rsid w:val="00A57D04"/>
    <w:rsid w:val="00A60A26"/>
    <w:rsid w:val="00A61598"/>
    <w:rsid w:val="00A63250"/>
    <w:rsid w:val="00A64225"/>
    <w:rsid w:val="00A653F6"/>
    <w:rsid w:val="00A66DDD"/>
    <w:rsid w:val="00A66F72"/>
    <w:rsid w:val="00A727AD"/>
    <w:rsid w:val="00A72D2D"/>
    <w:rsid w:val="00A8282A"/>
    <w:rsid w:val="00A84A99"/>
    <w:rsid w:val="00A84F46"/>
    <w:rsid w:val="00A871F4"/>
    <w:rsid w:val="00AB0A6D"/>
    <w:rsid w:val="00AB3288"/>
    <w:rsid w:val="00AB356F"/>
    <w:rsid w:val="00AB3870"/>
    <w:rsid w:val="00AB4893"/>
    <w:rsid w:val="00AB5011"/>
    <w:rsid w:val="00AB60C5"/>
    <w:rsid w:val="00AB6133"/>
    <w:rsid w:val="00AB61A5"/>
    <w:rsid w:val="00AC1B2C"/>
    <w:rsid w:val="00AC3264"/>
    <w:rsid w:val="00AD04AE"/>
    <w:rsid w:val="00AE0E67"/>
    <w:rsid w:val="00AE1BF1"/>
    <w:rsid w:val="00AF0DD2"/>
    <w:rsid w:val="00AF0E20"/>
    <w:rsid w:val="00AF1F9E"/>
    <w:rsid w:val="00B066DC"/>
    <w:rsid w:val="00B13048"/>
    <w:rsid w:val="00B1716D"/>
    <w:rsid w:val="00B17A1D"/>
    <w:rsid w:val="00B207A0"/>
    <w:rsid w:val="00B3558E"/>
    <w:rsid w:val="00B514DD"/>
    <w:rsid w:val="00B52AF0"/>
    <w:rsid w:val="00B561BD"/>
    <w:rsid w:val="00B56E03"/>
    <w:rsid w:val="00B644E2"/>
    <w:rsid w:val="00B66590"/>
    <w:rsid w:val="00B8080B"/>
    <w:rsid w:val="00B84DE3"/>
    <w:rsid w:val="00B85FAD"/>
    <w:rsid w:val="00B87BA5"/>
    <w:rsid w:val="00B87C39"/>
    <w:rsid w:val="00B87C7B"/>
    <w:rsid w:val="00B95720"/>
    <w:rsid w:val="00BA4665"/>
    <w:rsid w:val="00BA49DF"/>
    <w:rsid w:val="00BB1A54"/>
    <w:rsid w:val="00BB2FB2"/>
    <w:rsid w:val="00BB3304"/>
    <w:rsid w:val="00BB6768"/>
    <w:rsid w:val="00BD3446"/>
    <w:rsid w:val="00BE1F1B"/>
    <w:rsid w:val="00BE47B5"/>
    <w:rsid w:val="00BF6F71"/>
    <w:rsid w:val="00BF7CE2"/>
    <w:rsid w:val="00C0189C"/>
    <w:rsid w:val="00C0633C"/>
    <w:rsid w:val="00C12A6E"/>
    <w:rsid w:val="00C12A9E"/>
    <w:rsid w:val="00C141D3"/>
    <w:rsid w:val="00C2023F"/>
    <w:rsid w:val="00C25FA6"/>
    <w:rsid w:val="00C30FF4"/>
    <w:rsid w:val="00C538A9"/>
    <w:rsid w:val="00C53B5A"/>
    <w:rsid w:val="00C54816"/>
    <w:rsid w:val="00C54F5A"/>
    <w:rsid w:val="00C55F8A"/>
    <w:rsid w:val="00C569B4"/>
    <w:rsid w:val="00C6097A"/>
    <w:rsid w:val="00C6272E"/>
    <w:rsid w:val="00C67A92"/>
    <w:rsid w:val="00C7057B"/>
    <w:rsid w:val="00C70C65"/>
    <w:rsid w:val="00C84DB9"/>
    <w:rsid w:val="00C86679"/>
    <w:rsid w:val="00C8792E"/>
    <w:rsid w:val="00C92189"/>
    <w:rsid w:val="00C95864"/>
    <w:rsid w:val="00CA1003"/>
    <w:rsid w:val="00CA489E"/>
    <w:rsid w:val="00CA5EF4"/>
    <w:rsid w:val="00CB0279"/>
    <w:rsid w:val="00CB22D4"/>
    <w:rsid w:val="00CB453E"/>
    <w:rsid w:val="00CB666B"/>
    <w:rsid w:val="00CB6EAE"/>
    <w:rsid w:val="00CB7ECF"/>
    <w:rsid w:val="00CC721E"/>
    <w:rsid w:val="00CC7F1D"/>
    <w:rsid w:val="00CE0FEF"/>
    <w:rsid w:val="00CE1FA9"/>
    <w:rsid w:val="00CE4C5F"/>
    <w:rsid w:val="00CF34AE"/>
    <w:rsid w:val="00D006AE"/>
    <w:rsid w:val="00D01CF0"/>
    <w:rsid w:val="00D0442A"/>
    <w:rsid w:val="00D0577F"/>
    <w:rsid w:val="00D328FF"/>
    <w:rsid w:val="00D4321F"/>
    <w:rsid w:val="00D477AF"/>
    <w:rsid w:val="00D50B14"/>
    <w:rsid w:val="00D520E8"/>
    <w:rsid w:val="00D61388"/>
    <w:rsid w:val="00D61A54"/>
    <w:rsid w:val="00D64DEA"/>
    <w:rsid w:val="00D70577"/>
    <w:rsid w:val="00D71365"/>
    <w:rsid w:val="00D7168E"/>
    <w:rsid w:val="00D71E57"/>
    <w:rsid w:val="00D755E1"/>
    <w:rsid w:val="00D80893"/>
    <w:rsid w:val="00D81654"/>
    <w:rsid w:val="00D84854"/>
    <w:rsid w:val="00D92CF1"/>
    <w:rsid w:val="00D92D38"/>
    <w:rsid w:val="00D950F5"/>
    <w:rsid w:val="00D976FC"/>
    <w:rsid w:val="00DA0C89"/>
    <w:rsid w:val="00DA37FC"/>
    <w:rsid w:val="00DA436D"/>
    <w:rsid w:val="00DA4752"/>
    <w:rsid w:val="00DA4C05"/>
    <w:rsid w:val="00DA61F3"/>
    <w:rsid w:val="00DB0F93"/>
    <w:rsid w:val="00DB13D9"/>
    <w:rsid w:val="00DB1A67"/>
    <w:rsid w:val="00DB1CD8"/>
    <w:rsid w:val="00DB21DC"/>
    <w:rsid w:val="00DB5074"/>
    <w:rsid w:val="00DC066B"/>
    <w:rsid w:val="00DC289C"/>
    <w:rsid w:val="00DC7981"/>
    <w:rsid w:val="00DD285E"/>
    <w:rsid w:val="00DD5364"/>
    <w:rsid w:val="00DE1093"/>
    <w:rsid w:val="00DE1C37"/>
    <w:rsid w:val="00DE4EFA"/>
    <w:rsid w:val="00DE5520"/>
    <w:rsid w:val="00DE563D"/>
    <w:rsid w:val="00DE6757"/>
    <w:rsid w:val="00DE76A1"/>
    <w:rsid w:val="00DF1900"/>
    <w:rsid w:val="00DF1FA5"/>
    <w:rsid w:val="00E03592"/>
    <w:rsid w:val="00E04818"/>
    <w:rsid w:val="00E06442"/>
    <w:rsid w:val="00E22D10"/>
    <w:rsid w:val="00E22FA1"/>
    <w:rsid w:val="00E23993"/>
    <w:rsid w:val="00E24269"/>
    <w:rsid w:val="00E25A15"/>
    <w:rsid w:val="00E25B8C"/>
    <w:rsid w:val="00E26DA0"/>
    <w:rsid w:val="00E27516"/>
    <w:rsid w:val="00E277A0"/>
    <w:rsid w:val="00E31DDD"/>
    <w:rsid w:val="00E47A0C"/>
    <w:rsid w:val="00E57CB1"/>
    <w:rsid w:val="00E61D7C"/>
    <w:rsid w:val="00E6226F"/>
    <w:rsid w:val="00E646A6"/>
    <w:rsid w:val="00E65C85"/>
    <w:rsid w:val="00E66199"/>
    <w:rsid w:val="00E66B0F"/>
    <w:rsid w:val="00E66CC8"/>
    <w:rsid w:val="00E71E5A"/>
    <w:rsid w:val="00E755EC"/>
    <w:rsid w:val="00E7624D"/>
    <w:rsid w:val="00E857A9"/>
    <w:rsid w:val="00EA3D42"/>
    <w:rsid w:val="00EA6B1B"/>
    <w:rsid w:val="00EA6DF1"/>
    <w:rsid w:val="00EB28DF"/>
    <w:rsid w:val="00ED7323"/>
    <w:rsid w:val="00EE28F3"/>
    <w:rsid w:val="00EE28F6"/>
    <w:rsid w:val="00EF13E8"/>
    <w:rsid w:val="00EF5110"/>
    <w:rsid w:val="00EF7337"/>
    <w:rsid w:val="00EF7F94"/>
    <w:rsid w:val="00F006D2"/>
    <w:rsid w:val="00F10411"/>
    <w:rsid w:val="00F124AB"/>
    <w:rsid w:val="00F15882"/>
    <w:rsid w:val="00F171E0"/>
    <w:rsid w:val="00F20BD3"/>
    <w:rsid w:val="00F23483"/>
    <w:rsid w:val="00F25C36"/>
    <w:rsid w:val="00F33413"/>
    <w:rsid w:val="00F373A5"/>
    <w:rsid w:val="00F40EC9"/>
    <w:rsid w:val="00F45B67"/>
    <w:rsid w:val="00F474F4"/>
    <w:rsid w:val="00F47559"/>
    <w:rsid w:val="00F64C7B"/>
    <w:rsid w:val="00F676DD"/>
    <w:rsid w:val="00F75231"/>
    <w:rsid w:val="00F75A26"/>
    <w:rsid w:val="00F76706"/>
    <w:rsid w:val="00F83FAD"/>
    <w:rsid w:val="00F84994"/>
    <w:rsid w:val="00F944ED"/>
    <w:rsid w:val="00F952A0"/>
    <w:rsid w:val="00FA3353"/>
    <w:rsid w:val="00FA3C7F"/>
    <w:rsid w:val="00FB5826"/>
    <w:rsid w:val="00FB74E2"/>
    <w:rsid w:val="00FC10C4"/>
    <w:rsid w:val="00FC62B0"/>
    <w:rsid w:val="00FD1804"/>
    <w:rsid w:val="00FD5614"/>
    <w:rsid w:val="00FD5CEB"/>
    <w:rsid w:val="00FE0BE1"/>
    <w:rsid w:val="00FE1DE9"/>
    <w:rsid w:val="00FE36AF"/>
    <w:rsid w:val="00FE37B0"/>
    <w:rsid w:val="00FE39C2"/>
    <w:rsid w:val="00FE3C32"/>
    <w:rsid w:val="00FE64AE"/>
    <w:rsid w:val="00FF6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h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aliases w:val="h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aliases w:val="h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aliases w:val="Legal Level 1.1.,H7,i.,(1),heading 7,h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aliases w:val="H8,Legal Level 1.1.1.,Annex,h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aliases w:val="Heading 9 Char1,Heading 9 Char Char,Legal Level 1.1.1.1. Char Char,H9 Char Char,Legal Level 1.1.1.1. Char,H9 Char,Annex1, Appen 1,Appen 1,Legal Level 1.1.1.1.,H9,h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aliases w:val="h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aliases w:val="h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Legal Level 1.1. Char,H7 Char,i. Char,(1) Char,heading 7 Char,h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aliases w:val="H8 Char,Legal Level 1.1.1. Char,Annex Char,h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h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aliases w:val="h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aliases w:val="h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aliases w:val="Legal Level 1.1.,H7,i.,(1),heading 7,h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aliases w:val="H8,Legal Level 1.1.1.,Annex,h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aliases w:val="Heading 9 Char1,Heading 9 Char Char,Legal Level 1.1.1.1. Char Char,H9 Char Char,Legal Level 1.1.1.1. Char,H9 Char,Annex1, Appen 1,Appen 1,Legal Level 1.1.1.1.,H9,h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aliases w:val="h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aliases w:val="h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Legal Level 1.1. Char,H7 Char,i. Char,(1) Char,heading 7 Char,h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aliases w:val="H8 Char,Legal Level 1.1.1. Char,Annex Char,h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954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0870731">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56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4A98BCAE</Template>
  <TotalTime>0</TotalTime>
  <Pages>15</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2015-06-01T00:42:00Z</dcterms:created>
  <dcterms:modified xsi:type="dcterms:W3CDTF">2015-06-01T00:42:00Z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