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72AEBEC" wp14:editId="44A9B8A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FB5826" w:rsidP="008F07A3">
          <w:pPr>
            <w:pStyle w:val="ReportSubtitle"/>
          </w:pPr>
          <w:r>
            <w:t>Jemena Gas Networks (NSW) Ltd</w:t>
          </w:r>
        </w:p>
        <w:p w:rsidR="00FB5826" w:rsidRDefault="00FB5826" w:rsidP="008F07A3">
          <w:pPr>
            <w:pStyle w:val="ReportSubtitle"/>
          </w:pPr>
          <w:r>
            <w:t>Access Arrangement 2015-20</w:t>
          </w:r>
        </w:p>
        <w:p w:rsidR="000A6C7B" w:rsidRDefault="000A6C7B" w:rsidP="008F07A3">
          <w:pPr>
            <w:pStyle w:val="ReportSubtitle"/>
          </w:pPr>
        </w:p>
        <w:p w:rsidR="008F07A3" w:rsidRPr="000A6C7B" w:rsidRDefault="008F07A3" w:rsidP="008F07A3">
          <w:pPr>
            <w:pStyle w:val="ReportSubtitle"/>
          </w:pPr>
        </w:p>
        <w:p w:rsidR="000A6C7B" w:rsidRPr="000A6C7B" w:rsidRDefault="00DA4752" w:rsidP="008F07A3">
          <w:pPr>
            <w:pStyle w:val="ReportSubtitle"/>
          </w:pPr>
          <w:r>
            <w:t xml:space="preserve">Attachment </w:t>
          </w:r>
          <w:r w:rsidR="000C4D64">
            <w:t>1</w:t>
          </w:r>
          <w:r w:rsidR="006A2E6A">
            <w:t>1</w:t>
          </w:r>
          <w:r>
            <w:t xml:space="preserve"> </w:t>
          </w:r>
          <w:r>
            <w:rPr>
              <w:rFonts w:cs="Arial"/>
            </w:rPr>
            <w:t>−</w:t>
          </w:r>
          <w:r>
            <w:t xml:space="preserve"> </w:t>
          </w:r>
          <w:r w:rsidR="00BC721E">
            <w:t>Reference t</w:t>
          </w:r>
          <w:r w:rsidR="006A2E6A">
            <w:t>ariff variation mechanism</w:t>
          </w:r>
        </w:p>
        <w:p w:rsidR="000A6C7B" w:rsidRPr="00327A1E" w:rsidRDefault="004A357D" w:rsidP="00327A1E">
          <w:pPr>
            <w:pStyle w:val="ReportDate"/>
          </w:pPr>
          <w:r>
            <w:t xml:space="preserve">June </w:t>
          </w:r>
          <w:r w:rsidR="00DA4752">
            <w:t>2015</w:t>
          </w:r>
        </w:p>
      </w:sdtContent>
    </w:sdt>
    <w:p w:rsidR="00327A1E" w:rsidRPr="00290C63" w:rsidRDefault="00327A1E" w:rsidP="00290C63">
      <w:r>
        <w:br w:type="page"/>
      </w:r>
    </w:p>
    <w:p w:rsidR="000A6C7B" w:rsidRDefault="008F07A3" w:rsidP="00024653">
      <w:r>
        <w:lastRenderedPageBreak/>
        <w:t>© Commonwealth of Australia 2015</w:t>
      </w:r>
    </w:p>
    <w:p w:rsidR="000A6C7B" w:rsidRDefault="000A6C7B" w:rsidP="00024653">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024653">
      <w:pPr>
        <w:pStyle w:val="AERbulletlistfirststyle"/>
      </w:pPr>
      <w:r>
        <w:t xml:space="preserve">the </w:t>
      </w:r>
      <w:r w:rsidRPr="00983C25">
        <w:t>Commonwealth Coat of Arms</w:t>
      </w:r>
    </w:p>
    <w:p w:rsidR="000A6C7B" w:rsidRPr="00983C25" w:rsidRDefault="000A6C7B" w:rsidP="00024653">
      <w:pPr>
        <w:pStyle w:val="AERbulletlistfirststyle"/>
      </w:pPr>
      <w:r w:rsidRPr="00983C25">
        <w:t>the ACCC and AER logos</w:t>
      </w:r>
    </w:p>
    <w:p w:rsidR="000A6C7B" w:rsidRPr="00983C25" w:rsidRDefault="000A6C7B" w:rsidP="00024653">
      <w:pPr>
        <w:pStyle w:val="AERbulletlistfirststyle"/>
      </w:pPr>
      <w:r w:rsidRPr="00983C25">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24653">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024653">
      <w:r>
        <w:t>Inquiries about this publication should be addressed to:</w:t>
      </w:r>
    </w:p>
    <w:p w:rsidR="000A6C7B" w:rsidRDefault="000A6C7B" w:rsidP="00024653">
      <w:r>
        <w:t xml:space="preserve">Australian Energy </w:t>
      </w:r>
      <w:r w:rsidRPr="00F171E0">
        <w:t>Regulator</w:t>
      </w:r>
      <w:r w:rsidR="00951978">
        <w:br/>
      </w:r>
      <w:r>
        <w:t>GPO Box 520</w:t>
      </w:r>
      <w:r w:rsidR="00951978">
        <w:br/>
      </w:r>
      <w:r>
        <w:t>Melbourne  Vic  3001</w:t>
      </w:r>
    </w:p>
    <w:p w:rsidR="000A6C7B" w:rsidRDefault="000A6C7B" w:rsidP="00024653">
      <w:r>
        <w:t>Tel: (03) 9290 1444</w:t>
      </w:r>
      <w:r w:rsidR="00951978">
        <w:br/>
      </w:r>
      <w:r>
        <w:t>Fax: (03) 9290 1457</w:t>
      </w:r>
    </w:p>
    <w:p w:rsidR="00AF1F9E" w:rsidRDefault="000A6C7B" w:rsidP="00024653">
      <w:pPr>
        <w:rPr>
          <w:rStyle w:val="Hyperlink"/>
        </w:rPr>
      </w:pPr>
      <w:r>
        <w:t xml:space="preserve">Email: </w:t>
      </w:r>
      <w:hyperlink r:id="rId10" w:history="1">
        <w:r w:rsidRPr="00D64888">
          <w:rPr>
            <w:rStyle w:val="Hyperlink"/>
          </w:rPr>
          <w:t>AERInquiry@aer.gov.au</w:t>
        </w:r>
      </w:hyperlink>
    </w:p>
    <w:p w:rsidR="005D7BA2" w:rsidRDefault="00AF1F9E" w:rsidP="00024653">
      <w:r w:rsidRPr="00AF1F9E">
        <w:t>AER reference: 5</w:t>
      </w:r>
      <w:r w:rsidR="00FB5826">
        <w:t>1741</w:t>
      </w:r>
      <w:r w:rsidR="00951978" w:rsidRPr="00AF1F9E">
        <w:br/>
      </w:r>
    </w:p>
    <w:p w:rsidR="00CE1FA9" w:rsidRDefault="00CE1FA9">
      <w:pPr>
        <w:spacing w:line="240" w:lineRule="auto"/>
      </w:pPr>
      <w:r>
        <w:br w:type="page"/>
      </w:r>
    </w:p>
    <w:p w:rsidR="008F07A3" w:rsidRDefault="00DA61F3" w:rsidP="00415BEC">
      <w:pPr>
        <w:pStyle w:val="UnnumberedHeading"/>
        <w:numPr>
          <w:ilvl w:val="0"/>
          <w:numId w:val="23"/>
        </w:numPr>
      </w:pPr>
      <w:bookmarkStart w:id="1" w:name="_Toc404354899"/>
      <w:bookmarkStart w:id="2" w:name="_Toc404353070"/>
      <w:bookmarkStart w:id="3" w:name="_Toc404684201"/>
      <w:bookmarkStart w:id="4" w:name="_Toc404700923"/>
      <w:bookmarkStart w:id="5" w:name="_Toc420510017"/>
      <w:r>
        <w:lastRenderedPageBreak/>
        <w:t>N</w:t>
      </w:r>
      <w:r w:rsidR="008F07A3">
        <w:t>ote</w:t>
      </w:r>
      <w:bookmarkEnd w:id="1"/>
      <w:bookmarkEnd w:id="2"/>
      <w:bookmarkEnd w:id="3"/>
      <w:bookmarkEnd w:id="4"/>
      <w:bookmarkEnd w:id="5"/>
    </w:p>
    <w:p w:rsidR="008F07A3" w:rsidRDefault="008F07A3" w:rsidP="008F07A3"/>
    <w:p w:rsidR="000550CD" w:rsidRPr="000550CD" w:rsidRDefault="000550CD" w:rsidP="000550CD">
      <w:r w:rsidRPr="000550CD">
        <w:t>This attachment forms part of the AER's final decision on Jemena Gas Networks' 2015–20 access arrangement. It should be read with other parts of the final decision.</w:t>
      </w:r>
    </w:p>
    <w:p w:rsidR="000550CD" w:rsidRPr="000550CD" w:rsidRDefault="000550CD" w:rsidP="000550CD">
      <w:r w:rsidRPr="000550CD">
        <w:t>The final decision includes the following documents:</w:t>
      </w:r>
    </w:p>
    <w:p w:rsidR="000550CD" w:rsidRPr="000550CD" w:rsidRDefault="000550CD" w:rsidP="000550CD">
      <w:r w:rsidRPr="000550CD">
        <w:t>Overview</w:t>
      </w:r>
    </w:p>
    <w:p w:rsidR="000550CD" w:rsidRPr="000550CD" w:rsidRDefault="000550CD" w:rsidP="000550CD">
      <w:r w:rsidRPr="000550CD">
        <w:t>Attachment 1 – services covered by the access arrangement</w:t>
      </w:r>
    </w:p>
    <w:p w:rsidR="000550CD" w:rsidRPr="000550CD" w:rsidRDefault="000550CD" w:rsidP="000550CD">
      <w:r w:rsidRPr="000550CD">
        <w:t>Attachment 2 – capital base</w:t>
      </w:r>
    </w:p>
    <w:p w:rsidR="000550CD" w:rsidRPr="000550CD" w:rsidRDefault="000550CD" w:rsidP="000550CD">
      <w:r w:rsidRPr="000550CD">
        <w:t>Attachment 3 – rate of return</w:t>
      </w:r>
    </w:p>
    <w:p w:rsidR="000550CD" w:rsidRPr="000550CD" w:rsidRDefault="000550CD" w:rsidP="000550CD">
      <w:r w:rsidRPr="000550CD">
        <w:t>Attachment 4 – value of imputation credits</w:t>
      </w:r>
    </w:p>
    <w:p w:rsidR="000550CD" w:rsidRPr="000550CD" w:rsidRDefault="000550CD" w:rsidP="000550CD">
      <w:r w:rsidRPr="000550CD">
        <w:t>Attachment 5 – regulatory depreciation</w:t>
      </w:r>
    </w:p>
    <w:p w:rsidR="000550CD" w:rsidRPr="000550CD" w:rsidRDefault="000550CD" w:rsidP="000550CD">
      <w:r w:rsidRPr="000550CD">
        <w:t xml:space="preserve">Attachment 6 – capital expenditure </w:t>
      </w:r>
    </w:p>
    <w:p w:rsidR="000550CD" w:rsidRPr="000550CD" w:rsidRDefault="000550CD" w:rsidP="000550CD">
      <w:r w:rsidRPr="000550CD">
        <w:t>Attachment 7 – operating expenditure</w:t>
      </w:r>
    </w:p>
    <w:p w:rsidR="000550CD" w:rsidRPr="000550CD" w:rsidRDefault="000550CD" w:rsidP="000550CD">
      <w:r w:rsidRPr="000550CD">
        <w:t>Attachment 8 – corporate income tax</w:t>
      </w:r>
    </w:p>
    <w:p w:rsidR="000550CD" w:rsidRPr="000550CD" w:rsidRDefault="000550CD" w:rsidP="000550CD">
      <w:r w:rsidRPr="000550CD">
        <w:t>Attachment 9 – efficiency carryover mechanism</w:t>
      </w:r>
    </w:p>
    <w:p w:rsidR="000550CD" w:rsidRPr="000550CD" w:rsidRDefault="000550CD" w:rsidP="000550CD">
      <w:r w:rsidRPr="000550CD">
        <w:t>Attachment 10 – reference tariff setting</w:t>
      </w:r>
    </w:p>
    <w:p w:rsidR="000550CD" w:rsidRPr="000550CD" w:rsidRDefault="000550CD" w:rsidP="000550CD">
      <w:r w:rsidRPr="000550CD">
        <w:t>Attachment 11 – reference tariff variation mechanism</w:t>
      </w:r>
    </w:p>
    <w:p w:rsidR="000550CD" w:rsidRPr="000550CD" w:rsidRDefault="000550CD" w:rsidP="000550CD">
      <w:r w:rsidRPr="000550CD">
        <w:t>Attachment 12 – non-tariff components</w:t>
      </w:r>
    </w:p>
    <w:p w:rsidR="000550CD" w:rsidRPr="000550CD" w:rsidRDefault="000550CD" w:rsidP="000550CD">
      <w:r w:rsidRPr="000550CD">
        <w:t xml:space="preserve">Attachment 13 – demand </w:t>
      </w:r>
    </w:p>
    <w:p w:rsidR="00FB5826" w:rsidRPr="00FB5826" w:rsidRDefault="00FB5826" w:rsidP="00FB5826">
      <w:r w:rsidRPr="00FB5826">
        <w:t xml:space="preserve"> </w:t>
      </w:r>
    </w:p>
    <w:p w:rsidR="00AF1F9E" w:rsidRPr="009134B1" w:rsidRDefault="00AF1F9E" w:rsidP="00415BEC">
      <w:pPr>
        <w:numPr>
          <w:ilvl w:val="0"/>
          <w:numId w:val="24"/>
        </w:numPr>
        <w:spacing w:before="0" w:after="240" w:line="288" w:lineRule="auto"/>
        <w:jc w:val="both"/>
      </w:pPr>
    </w:p>
    <w:p w:rsidR="00AF1F9E" w:rsidRPr="008F07A3" w:rsidRDefault="00AF1F9E" w:rsidP="008F07A3">
      <w:pPr>
        <w:sectPr w:rsidR="00AF1F9E" w:rsidRPr="008F07A3" w:rsidSect="006A2E6A">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415BEC">
      <w:pPr>
        <w:pStyle w:val="UnnumberedHeading"/>
        <w:numPr>
          <w:ilvl w:val="0"/>
          <w:numId w:val="23"/>
        </w:numPr>
      </w:pPr>
      <w:bookmarkStart w:id="6" w:name="_Toc403144133"/>
      <w:bookmarkStart w:id="7" w:name="_Toc42051001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4420A" w:rsidRDefault="007A5AAE">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20510017" w:history="1">
            <w:r w:rsidR="0074420A" w:rsidRPr="00A54DDA">
              <w:rPr>
                <w:rStyle w:val="Hyperlink"/>
              </w:rPr>
              <w:t>Note</w:t>
            </w:r>
            <w:r w:rsidR="0074420A">
              <w:rPr>
                <w:webHidden/>
              </w:rPr>
              <w:tab/>
            </w:r>
            <w:r w:rsidR="0074420A">
              <w:rPr>
                <w:webHidden/>
              </w:rPr>
              <w:fldChar w:fldCharType="begin"/>
            </w:r>
            <w:r w:rsidR="0074420A">
              <w:rPr>
                <w:webHidden/>
              </w:rPr>
              <w:instrText xml:space="preserve"> PAGEREF _Toc420510017 \h </w:instrText>
            </w:r>
            <w:r w:rsidR="0074420A">
              <w:rPr>
                <w:webHidden/>
              </w:rPr>
            </w:r>
            <w:r w:rsidR="0074420A">
              <w:rPr>
                <w:webHidden/>
              </w:rPr>
              <w:fldChar w:fldCharType="separate"/>
            </w:r>
            <w:r w:rsidR="00EF7A04">
              <w:rPr>
                <w:webHidden/>
              </w:rPr>
              <w:t>11-2</w:t>
            </w:r>
            <w:r w:rsidR="0074420A">
              <w:rPr>
                <w:webHidden/>
              </w:rPr>
              <w:fldChar w:fldCharType="end"/>
            </w:r>
          </w:hyperlink>
        </w:p>
        <w:p w:rsidR="0074420A" w:rsidRDefault="00EF7A04">
          <w:pPr>
            <w:pStyle w:val="TOC1"/>
            <w:rPr>
              <w:rFonts w:asciiTheme="minorHAnsi" w:eastAsiaTheme="minorEastAsia" w:hAnsiTheme="minorHAnsi"/>
              <w:b w:val="0"/>
              <w:color w:val="auto"/>
              <w:sz w:val="22"/>
              <w:lang w:val="en-AU" w:eastAsia="en-AU"/>
            </w:rPr>
          </w:pPr>
          <w:hyperlink w:anchor="_Toc420510018" w:history="1">
            <w:r w:rsidR="0074420A" w:rsidRPr="00A54DDA">
              <w:rPr>
                <w:rStyle w:val="Hyperlink"/>
              </w:rPr>
              <w:t>Contents</w:t>
            </w:r>
            <w:r w:rsidR="0074420A">
              <w:rPr>
                <w:webHidden/>
              </w:rPr>
              <w:tab/>
            </w:r>
            <w:r w:rsidR="0074420A">
              <w:rPr>
                <w:webHidden/>
              </w:rPr>
              <w:fldChar w:fldCharType="begin"/>
            </w:r>
            <w:r w:rsidR="0074420A">
              <w:rPr>
                <w:webHidden/>
              </w:rPr>
              <w:instrText xml:space="preserve"> PAGEREF _Toc420510018 \h </w:instrText>
            </w:r>
            <w:r w:rsidR="0074420A">
              <w:rPr>
                <w:webHidden/>
              </w:rPr>
            </w:r>
            <w:r w:rsidR="0074420A">
              <w:rPr>
                <w:webHidden/>
              </w:rPr>
              <w:fldChar w:fldCharType="separate"/>
            </w:r>
            <w:r>
              <w:rPr>
                <w:webHidden/>
              </w:rPr>
              <w:t>11-3</w:t>
            </w:r>
            <w:r w:rsidR="0074420A">
              <w:rPr>
                <w:webHidden/>
              </w:rPr>
              <w:fldChar w:fldCharType="end"/>
            </w:r>
          </w:hyperlink>
        </w:p>
        <w:p w:rsidR="0074420A" w:rsidRDefault="00EF7A04">
          <w:pPr>
            <w:pStyle w:val="TOC1"/>
            <w:rPr>
              <w:rFonts w:asciiTheme="minorHAnsi" w:eastAsiaTheme="minorEastAsia" w:hAnsiTheme="minorHAnsi"/>
              <w:b w:val="0"/>
              <w:color w:val="auto"/>
              <w:sz w:val="22"/>
              <w:lang w:val="en-AU" w:eastAsia="en-AU"/>
            </w:rPr>
          </w:pPr>
          <w:hyperlink w:anchor="_Toc420510019" w:history="1">
            <w:r w:rsidR="0074420A" w:rsidRPr="00A54DDA">
              <w:rPr>
                <w:rStyle w:val="Hyperlink"/>
              </w:rPr>
              <w:t>Shortened forms</w:t>
            </w:r>
            <w:r w:rsidR="0074420A">
              <w:rPr>
                <w:webHidden/>
              </w:rPr>
              <w:tab/>
            </w:r>
            <w:r w:rsidR="0074420A">
              <w:rPr>
                <w:webHidden/>
              </w:rPr>
              <w:fldChar w:fldCharType="begin"/>
            </w:r>
            <w:r w:rsidR="0074420A">
              <w:rPr>
                <w:webHidden/>
              </w:rPr>
              <w:instrText xml:space="preserve"> PAGEREF _Toc420510019 \h </w:instrText>
            </w:r>
            <w:r w:rsidR="0074420A">
              <w:rPr>
                <w:webHidden/>
              </w:rPr>
            </w:r>
            <w:r w:rsidR="0074420A">
              <w:rPr>
                <w:webHidden/>
              </w:rPr>
              <w:fldChar w:fldCharType="separate"/>
            </w:r>
            <w:r>
              <w:rPr>
                <w:webHidden/>
              </w:rPr>
              <w:t>11-4</w:t>
            </w:r>
            <w:r w:rsidR="0074420A">
              <w:rPr>
                <w:webHidden/>
              </w:rPr>
              <w:fldChar w:fldCharType="end"/>
            </w:r>
          </w:hyperlink>
        </w:p>
        <w:p w:rsidR="0074420A" w:rsidRDefault="00EF7A04">
          <w:pPr>
            <w:pStyle w:val="TOC1"/>
            <w:rPr>
              <w:rFonts w:asciiTheme="minorHAnsi" w:eastAsiaTheme="minorEastAsia" w:hAnsiTheme="minorHAnsi"/>
              <w:b w:val="0"/>
              <w:color w:val="auto"/>
              <w:sz w:val="22"/>
              <w:lang w:val="en-AU" w:eastAsia="en-AU"/>
            </w:rPr>
          </w:pPr>
          <w:hyperlink w:anchor="_Toc420510020" w:history="1">
            <w:r w:rsidR="0074420A" w:rsidRPr="00A54DDA">
              <w:rPr>
                <w:rStyle w:val="Hyperlink"/>
              </w:rPr>
              <w:t>11</w:t>
            </w:r>
            <w:r w:rsidR="0074420A">
              <w:rPr>
                <w:rFonts w:asciiTheme="minorHAnsi" w:eastAsiaTheme="minorEastAsia" w:hAnsiTheme="minorHAnsi"/>
                <w:b w:val="0"/>
                <w:color w:val="auto"/>
                <w:sz w:val="22"/>
                <w:lang w:val="en-AU" w:eastAsia="en-AU"/>
              </w:rPr>
              <w:tab/>
            </w:r>
            <w:r w:rsidR="0074420A" w:rsidRPr="00A54DDA">
              <w:rPr>
                <w:rStyle w:val="Hyperlink"/>
              </w:rPr>
              <w:t>Reference tariff variation mechanism</w:t>
            </w:r>
            <w:r w:rsidR="0074420A">
              <w:rPr>
                <w:webHidden/>
              </w:rPr>
              <w:tab/>
            </w:r>
            <w:r w:rsidR="0074420A">
              <w:rPr>
                <w:webHidden/>
              </w:rPr>
              <w:fldChar w:fldCharType="begin"/>
            </w:r>
            <w:r w:rsidR="0074420A">
              <w:rPr>
                <w:webHidden/>
              </w:rPr>
              <w:instrText xml:space="preserve"> PAGEREF _Toc420510020 \h </w:instrText>
            </w:r>
            <w:r w:rsidR="0074420A">
              <w:rPr>
                <w:webHidden/>
              </w:rPr>
            </w:r>
            <w:r w:rsidR="0074420A">
              <w:rPr>
                <w:webHidden/>
              </w:rPr>
              <w:fldChar w:fldCharType="separate"/>
            </w:r>
            <w:r>
              <w:rPr>
                <w:webHidden/>
              </w:rPr>
              <w:t>11-5</w:t>
            </w:r>
            <w:r w:rsidR="0074420A">
              <w:rPr>
                <w:webHidden/>
              </w:rPr>
              <w:fldChar w:fldCharType="end"/>
            </w:r>
          </w:hyperlink>
        </w:p>
        <w:p w:rsidR="0074420A" w:rsidRDefault="00EF7A04">
          <w:pPr>
            <w:pStyle w:val="TOC2"/>
            <w:tabs>
              <w:tab w:val="left" w:pos="1276"/>
            </w:tabs>
            <w:rPr>
              <w:rFonts w:asciiTheme="minorHAnsi" w:eastAsiaTheme="minorEastAsia" w:hAnsiTheme="minorHAnsi"/>
              <w:b w:val="0"/>
              <w:color w:val="auto"/>
              <w:sz w:val="22"/>
              <w:lang w:eastAsia="en-AU"/>
            </w:rPr>
          </w:pPr>
          <w:hyperlink w:anchor="_Toc420510021" w:history="1">
            <w:r w:rsidR="0074420A" w:rsidRPr="00A54DDA">
              <w:rPr>
                <w:rStyle w:val="Hyperlink"/>
              </w:rPr>
              <w:t>11.1</w:t>
            </w:r>
            <w:r w:rsidR="0074420A">
              <w:rPr>
                <w:rFonts w:asciiTheme="minorHAnsi" w:eastAsiaTheme="minorEastAsia" w:hAnsiTheme="minorHAnsi"/>
                <w:b w:val="0"/>
                <w:color w:val="auto"/>
                <w:sz w:val="22"/>
                <w:lang w:eastAsia="en-AU"/>
              </w:rPr>
              <w:tab/>
            </w:r>
            <w:r w:rsidR="0074420A" w:rsidRPr="00A54DDA">
              <w:rPr>
                <w:rStyle w:val="Hyperlink"/>
              </w:rPr>
              <w:t>Final decision</w:t>
            </w:r>
            <w:r w:rsidR="0074420A">
              <w:rPr>
                <w:webHidden/>
              </w:rPr>
              <w:tab/>
            </w:r>
            <w:r w:rsidR="0074420A">
              <w:rPr>
                <w:webHidden/>
              </w:rPr>
              <w:fldChar w:fldCharType="begin"/>
            </w:r>
            <w:r w:rsidR="0074420A">
              <w:rPr>
                <w:webHidden/>
              </w:rPr>
              <w:instrText xml:space="preserve"> PAGEREF _Toc420510021 \h </w:instrText>
            </w:r>
            <w:r w:rsidR="0074420A">
              <w:rPr>
                <w:webHidden/>
              </w:rPr>
            </w:r>
            <w:r w:rsidR="0074420A">
              <w:rPr>
                <w:webHidden/>
              </w:rPr>
              <w:fldChar w:fldCharType="separate"/>
            </w:r>
            <w:r>
              <w:rPr>
                <w:webHidden/>
              </w:rPr>
              <w:t>11-5</w:t>
            </w:r>
            <w:r w:rsidR="0074420A">
              <w:rPr>
                <w:webHidden/>
              </w:rPr>
              <w:fldChar w:fldCharType="end"/>
            </w:r>
          </w:hyperlink>
        </w:p>
        <w:p w:rsidR="0074420A" w:rsidRDefault="00EF7A04">
          <w:pPr>
            <w:pStyle w:val="TOC2"/>
            <w:tabs>
              <w:tab w:val="left" w:pos="1276"/>
            </w:tabs>
            <w:rPr>
              <w:rFonts w:asciiTheme="minorHAnsi" w:eastAsiaTheme="minorEastAsia" w:hAnsiTheme="minorHAnsi"/>
              <w:b w:val="0"/>
              <w:color w:val="auto"/>
              <w:sz w:val="22"/>
              <w:lang w:eastAsia="en-AU"/>
            </w:rPr>
          </w:pPr>
          <w:hyperlink w:anchor="_Toc420510022" w:history="1">
            <w:r w:rsidR="0074420A" w:rsidRPr="00A54DDA">
              <w:rPr>
                <w:rStyle w:val="Hyperlink"/>
              </w:rPr>
              <w:t>11.2</w:t>
            </w:r>
            <w:r w:rsidR="0074420A">
              <w:rPr>
                <w:rFonts w:asciiTheme="minorHAnsi" w:eastAsiaTheme="minorEastAsia" w:hAnsiTheme="minorHAnsi"/>
                <w:b w:val="0"/>
                <w:color w:val="auto"/>
                <w:sz w:val="22"/>
                <w:lang w:eastAsia="en-AU"/>
              </w:rPr>
              <w:tab/>
            </w:r>
            <w:r w:rsidR="0074420A" w:rsidRPr="00A54DDA">
              <w:rPr>
                <w:rStyle w:val="Hyperlink"/>
              </w:rPr>
              <w:t>JGN's revised proposal</w:t>
            </w:r>
            <w:r w:rsidR="0074420A">
              <w:rPr>
                <w:webHidden/>
              </w:rPr>
              <w:tab/>
            </w:r>
            <w:r w:rsidR="0074420A">
              <w:rPr>
                <w:webHidden/>
              </w:rPr>
              <w:fldChar w:fldCharType="begin"/>
            </w:r>
            <w:r w:rsidR="0074420A">
              <w:rPr>
                <w:webHidden/>
              </w:rPr>
              <w:instrText xml:space="preserve"> PAGEREF _Toc420510022 \h </w:instrText>
            </w:r>
            <w:r w:rsidR="0074420A">
              <w:rPr>
                <w:webHidden/>
              </w:rPr>
            </w:r>
            <w:r w:rsidR="0074420A">
              <w:rPr>
                <w:webHidden/>
              </w:rPr>
              <w:fldChar w:fldCharType="separate"/>
            </w:r>
            <w:r>
              <w:rPr>
                <w:webHidden/>
              </w:rPr>
              <w:t>11-8</w:t>
            </w:r>
            <w:r w:rsidR="0074420A">
              <w:rPr>
                <w:webHidden/>
              </w:rPr>
              <w:fldChar w:fldCharType="end"/>
            </w:r>
          </w:hyperlink>
        </w:p>
        <w:p w:rsidR="0074420A" w:rsidRDefault="00EF7A04">
          <w:pPr>
            <w:pStyle w:val="TOC3"/>
            <w:rPr>
              <w:rFonts w:asciiTheme="minorHAnsi" w:eastAsiaTheme="minorEastAsia" w:hAnsiTheme="minorHAnsi"/>
              <w:lang w:eastAsia="en-AU"/>
            </w:rPr>
          </w:pPr>
          <w:hyperlink w:anchor="_Toc420510023" w:history="1">
            <w:r w:rsidR="0074420A" w:rsidRPr="00A54DDA">
              <w:rPr>
                <w:rStyle w:val="Hyperlink"/>
              </w:rPr>
              <w:t>11.2.1</w:t>
            </w:r>
            <w:r w:rsidR="0074420A">
              <w:rPr>
                <w:rFonts w:asciiTheme="minorHAnsi" w:eastAsiaTheme="minorEastAsia" w:hAnsiTheme="minorHAnsi"/>
                <w:lang w:eastAsia="en-AU"/>
              </w:rPr>
              <w:tab/>
            </w:r>
            <w:r w:rsidR="0074420A" w:rsidRPr="00A54DDA">
              <w:rPr>
                <w:rStyle w:val="Hyperlink"/>
              </w:rPr>
              <w:t>Reference tariff variation mechanism</w:t>
            </w:r>
            <w:r w:rsidR="0074420A">
              <w:rPr>
                <w:webHidden/>
              </w:rPr>
              <w:tab/>
            </w:r>
            <w:r w:rsidR="0074420A">
              <w:rPr>
                <w:webHidden/>
              </w:rPr>
              <w:fldChar w:fldCharType="begin"/>
            </w:r>
            <w:r w:rsidR="0074420A">
              <w:rPr>
                <w:webHidden/>
              </w:rPr>
              <w:instrText xml:space="preserve"> PAGEREF _Toc420510023 \h </w:instrText>
            </w:r>
            <w:r w:rsidR="0074420A">
              <w:rPr>
                <w:webHidden/>
              </w:rPr>
            </w:r>
            <w:r w:rsidR="0074420A">
              <w:rPr>
                <w:webHidden/>
              </w:rPr>
              <w:fldChar w:fldCharType="separate"/>
            </w:r>
            <w:r>
              <w:rPr>
                <w:webHidden/>
              </w:rPr>
              <w:t>11-8</w:t>
            </w:r>
            <w:r w:rsidR="0074420A">
              <w:rPr>
                <w:webHidden/>
              </w:rPr>
              <w:fldChar w:fldCharType="end"/>
            </w:r>
          </w:hyperlink>
        </w:p>
        <w:p w:rsidR="0074420A" w:rsidRDefault="00EF7A04">
          <w:pPr>
            <w:pStyle w:val="TOC3"/>
            <w:rPr>
              <w:rFonts w:asciiTheme="minorHAnsi" w:eastAsiaTheme="minorEastAsia" w:hAnsiTheme="minorHAnsi"/>
              <w:lang w:eastAsia="en-AU"/>
            </w:rPr>
          </w:pPr>
          <w:hyperlink w:anchor="_Toc420510024" w:history="1">
            <w:r w:rsidR="0074420A" w:rsidRPr="00A54DDA">
              <w:rPr>
                <w:rStyle w:val="Hyperlink"/>
              </w:rPr>
              <w:t>11.2.2</w:t>
            </w:r>
            <w:r w:rsidR="0074420A">
              <w:rPr>
                <w:rFonts w:asciiTheme="minorHAnsi" w:eastAsiaTheme="minorEastAsia" w:hAnsiTheme="minorHAnsi"/>
                <w:lang w:eastAsia="en-AU"/>
              </w:rPr>
              <w:tab/>
            </w:r>
            <w:r w:rsidR="0074420A" w:rsidRPr="00A54DDA">
              <w:rPr>
                <w:rStyle w:val="Hyperlink"/>
              </w:rPr>
              <w:t>Cost pass through events</w:t>
            </w:r>
            <w:r w:rsidR="0074420A">
              <w:rPr>
                <w:webHidden/>
              </w:rPr>
              <w:tab/>
            </w:r>
            <w:r w:rsidR="0074420A">
              <w:rPr>
                <w:webHidden/>
              </w:rPr>
              <w:fldChar w:fldCharType="begin"/>
            </w:r>
            <w:r w:rsidR="0074420A">
              <w:rPr>
                <w:webHidden/>
              </w:rPr>
              <w:instrText xml:space="preserve"> PAGEREF _Toc420510024 \h </w:instrText>
            </w:r>
            <w:r w:rsidR="0074420A">
              <w:rPr>
                <w:webHidden/>
              </w:rPr>
            </w:r>
            <w:r w:rsidR="0074420A">
              <w:rPr>
                <w:webHidden/>
              </w:rPr>
              <w:fldChar w:fldCharType="separate"/>
            </w:r>
            <w:r>
              <w:rPr>
                <w:webHidden/>
              </w:rPr>
              <w:t>11-9</w:t>
            </w:r>
            <w:r w:rsidR="0074420A">
              <w:rPr>
                <w:webHidden/>
              </w:rPr>
              <w:fldChar w:fldCharType="end"/>
            </w:r>
          </w:hyperlink>
        </w:p>
        <w:p w:rsidR="0074420A" w:rsidRDefault="00EF7A04">
          <w:pPr>
            <w:pStyle w:val="TOC2"/>
            <w:tabs>
              <w:tab w:val="left" w:pos="1276"/>
            </w:tabs>
            <w:rPr>
              <w:rFonts w:asciiTheme="minorHAnsi" w:eastAsiaTheme="minorEastAsia" w:hAnsiTheme="minorHAnsi"/>
              <w:b w:val="0"/>
              <w:color w:val="auto"/>
              <w:sz w:val="22"/>
              <w:lang w:eastAsia="en-AU"/>
            </w:rPr>
          </w:pPr>
          <w:hyperlink w:anchor="_Toc420510025" w:history="1">
            <w:r w:rsidR="0074420A" w:rsidRPr="00A54DDA">
              <w:rPr>
                <w:rStyle w:val="Hyperlink"/>
              </w:rPr>
              <w:t>11.3</w:t>
            </w:r>
            <w:r w:rsidR="0074420A">
              <w:rPr>
                <w:rFonts w:asciiTheme="minorHAnsi" w:eastAsiaTheme="minorEastAsia" w:hAnsiTheme="minorHAnsi"/>
                <w:b w:val="0"/>
                <w:color w:val="auto"/>
                <w:sz w:val="22"/>
                <w:lang w:eastAsia="en-AU"/>
              </w:rPr>
              <w:tab/>
            </w:r>
            <w:r w:rsidR="0074420A" w:rsidRPr="00A54DDA">
              <w:rPr>
                <w:rStyle w:val="Hyperlink"/>
              </w:rPr>
              <w:t>AER’s assessment approach</w:t>
            </w:r>
            <w:r w:rsidR="0074420A">
              <w:rPr>
                <w:webHidden/>
              </w:rPr>
              <w:tab/>
            </w:r>
            <w:r w:rsidR="0074420A">
              <w:rPr>
                <w:webHidden/>
              </w:rPr>
              <w:fldChar w:fldCharType="begin"/>
            </w:r>
            <w:r w:rsidR="0074420A">
              <w:rPr>
                <w:webHidden/>
              </w:rPr>
              <w:instrText xml:space="preserve"> PAGEREF _Toc420510025 \h </w:instrText>
            </w:r>
            <w:r w:rsidR="0074420A">
              <w:rPr>
                <w:webHidden/>
              </w:rPr>
            </w:r>
            <w:r w:rsidR="0074420A">
              <w:rPr>
                <w:webHidden/>
              </w:rPr>
              <w:fldChar w:fldCharType="separate"/>
            </w:r>
            <w:r>
              <w:rPr>
                <w:webHidden/>
              </w:rPr>
              <w:t>11-9</w:t>
            </w:r>
            <w:r w:rsidR="0074420A">
              <w:rPr>
                <w:webHidden/>
              </w:rPr>
              <w:fldChar w:fldCharType="end"/>
            </w:r>
          </w:hyperlink>
        </w:p>
        <w:p w:rsidR="0074420A" w:rsidRDefault="00EF7A04">
          <w:pPr>
            <w:pStyle w:val="TOC2"/>
            <w:tabs>
              <w:tab w:val="left" w:pos="1276"/>
            </w:tabs>
            <w:rPr>
              <w:rFonts w:asciiTheme="minorHAnsi" w:eastAsiaTheme="minorEastAsia" w:hAnsiTheme="minorHAnsi"/>
              <w:b w:val="0"/>
              <w:color w:val="auto"/>
              <w:sz w:val="22"/>
              <w:lang w:eastAsia="en-AU"/>
            </w:rPr>
          </w:pPr>
          <w:hyperlink w:anchor="_Toc420510026" w:history="1">
            <w:r w:rsidR="0074420A" w:rsidRPr="00A54DDA">
              <w:rPr>
                <w:rStyle w:val="Hyperlink"/>
              </w:rPr>
              <w:t>11.4</w:t>
            </w:r>
            <w:r w:rsidR="0074420A">
              <w:rPr>
                <w:rFonts w:asciiTheme="minorHAnsi" w:eastAsiaTheme="minorEastAsia" w:hAnsiTheme="minorHAnsi"/>
                <w:b w:val="0"/>
                <w:color w:val="auto"/>
                <w:sz w:val="22"/>
                <w:lang w:eastAsia="en-AU"/>
              </w:rPr>
              <w:tab/>
            </w:r>
            <w:r w:rsidR="0074420A" w:rsidRPr="00A54DDA">
              <w:rPr>
                <w:rStyle w:val="Hyperlink"/>
              </w:rPr>
              <w:t>Reasons for final decision</w:t>
            </w:r>
            <w:r w:rsidR="0074420A">
              <w:rPr>
                <w:webHidden/>
              </w:rPr>
              <w:tab/>
            </w:r>
            <w:r w:rsidR="0074420A">
              <w:rPr>
                <w:webHidden/>
              </w:rPr>
              <w:fldChar w:fldCharType="begin"/>
            </w:r>
            <w:r w:rsidR="0074420A">
              <w:rPr>
                <w:webHidden/>
              </w:rPr>
              <w:instrText xml:space="preserve"> PAGEREF _Toc420510026 \h </w:instrText>
            </w:r>
            <w:r w:rsidR="0074420A">
              <w:rPr>
                <w:webHidden/>
              </w:rPr>
            </w:r>
            <w:r w:rsidR="0074420A">
              <w:rPr>
                <w:webHidden/>
              </w:rPr>
              <w:fldChar w:fldCharType="separate"/>
            </w:r>
            <w:r>
              <w:rPr>
                <w:webHidden/>
              </w:rPr>
              <w:t>11-9</w:t>
            </w:r>
            <w:r w:rsidR="0074420A">
              <w:rPr>
                <w:webHidden/>
              </w:rPr>
              <w:fldChar w:fldCharType="end"/>
            </w:r>
          </w:hyperlink>
        </w:p>
        <w:p w:rsidR="0074420A" w:rsidRDefault="00EF7A04">
          <w:pPr>
            <w:pStyle w:val="TOC3"/>
            <w:rPr>
              <w:rFonts w:asciiTheme="minorHAnsi" w:eastAsiaTheme="minorEastAsia" w:hAnsiTheme="minorHAnsi"/>
              <w:lang w:eastAsia="en-AU"/>
            </w:rPr>
          </w:pPr>
          <w:hyperlink w:anchor="_Toc420510027" w:history="1">
            <w:r w:rsidR="0074420A" w:rsidRPr="00A54DDA">
              <w:rPr>
                <w:rStyle w:val="Hyperlink"/>
              </w:rPr>
              <w:t>11.4.1</w:t>
            </w:r>
            <w:r w:rsidR="0074420A">
              <w:rPr>
                <w:rFonts w:asciiTheme="minorHAnsi" w:eastAsiaTheme="minorEastAsia" w:hAnsiTheme="minorHAnsi"/>
                <w:lang w:eastAsia="en-AU"/>
              </w:rPr>
              <w:tab/>
            </w:r>
            <w:r w:rsidR="0074420A" w:rsidRPr="00A54DDA">
              <w:rPr>
                <w:rStyle w:val="Hyperlink"/>
              </w:rPr>
              <w:t>Reference tariff variation mechanism</w:t>
            </w:r>
            <w:r w:rsidR="0074420A">
              <w:rPr>
                <w:webHidden/>
              </w:rPr>
              <w:tab/>
            </w:r>
            <w:r w:rsidR="0074420A">
              <w:rPr>
                <w:webHidden/>
              </w:rPr>
              <w:fldChar w:fldCharType="begin"/>
            </w:r>
            <w:r w:rsidR="0074420A">
              <w:rPr>
                <w:webHidden/>
              </w:rPr>
              <w:instrText xml:space="preserve"> PAGEREF _Toc420510027 \h </w:instrText>
            </w:r>
            <w:r w:rsidR="0074420A">
              <w:rPr>
                <w:webHidden/>
              </w:rPr>
            </w:r>
            <w:r w:rsidR="0074420A">
              <w:rPr>
                <w:webHidden/>
              </w:rPr>
              <w:fldChar w:fldCharType="separate"/>
            </w:r>
            <w:r>
              <w:rPr>
                <w:webHidden/>
              </w:rPr>
              <w:t>11-9</w:t>
            </w:r>
            <w:r w:rsidR="0074420A">
              <w:rPr>
                <w:webHidden/>
              </w:rPr>
              <w:fldChar w:fldCharType="end"/>
            </w:r>
          </w:hyperlink>
        </w:p>
        <w:p w:rsidR="0074420A" w:rsidRDefault="00EF7A04">
          <w:pPr>
            <w:pStyle w:val="TOC3"/>
            <w:rPr>
              <w:rFonts w:asciiTheme="minorHAnsi" w:eastAsiaTheme="minorEastAsia" w:hAnsiTheme="minorHAnsi"/>
              <w:lang w:eastAsia="en-AU"/>
            </w:rPr>
          </w:pPr>
          <w:hyperlink w:anchor="_Toc420510028" w:history="1">
            <w:r w:rsidR="0074420A" w:rsidRPr="00A54DDA">
              <w:rPr>
                <w:rStyle w:val="Hyperlink"/>
              </w:rPr>
              <w:t>11.4.2</w:t>
            </w:r>
            <w:r w:rsidR="0074420A">
              <w:rPr>
                <w:rFonts w:asciiTheme="minorHAnsi" w:eastAsiaTheme="minorEastAsia" w:hAnsiTheme="minorHAnsi"/>
                <w:lang w:eastAsia="en-AU"/>
              </w:rPr>
              <w:tab/>
            </w:r>
            <w:r w:rsidR="0074420A" w:rsidRPr="00A54DDA">
              <w:rPr>
                <w:rStyle w:val="Hyperlink"/>
              </w:rPr>
              <w:t>Cost pass through reference tariff variation mechanism</w:t>
            </w:r>
            <w:r w:rsidR="0074420A">
              <w:rPr>
                <w:webHidden/>
              </w:rPr>
              <w:tab/>
            </w:r>
            <w:r w:rsidR="0074420A">
              <w:rPr>
                <w:webHidden/>
              </w:rPr>
              <w:fldChar w:fldCharType="begin"/>
            </w:r>
            <w:r w:rsidR="0074420A">
              <w:rPr>
                <w:webHidden/>
              </w:rPr>
              <w:instrText xml:space="preserve"> PAGEREF _Toc420510028 \h </w:instrText>
            </w:r>
            <w:r w:rsidR="0074420A">
              <w:rPr>
                <w:webHidden/>
              </w:rPr>
            </w:r>
            <w:r w:rsidR="0074420A">
              <w:rPr>
                <w:webHidden/>
              </w:rPr>
              <w:fldChar w:fldCharType="separate"/>
            </w:r>
            <w:r>
              <w:rPr>
                <w:webHidden/>
              </w:rPr>
              <w:t>11-11</w:t>
            </w:r>
            <w:r w:rsidR="0074420A">
              <w:rPr>
                <w:webHidden/>
              </w:rPr>
              <w:fldChar w:fldCharType="end"/>
            </w:r>
          </w:hyperlink>
        </w:p>
        <w:p w:rsidR="0074420A" w:rsidRDefault="00EF7A04">
          <w:pPr>
            <w:pStyle w:val="TOC3"/>
            <w:rPr>
              <w:rFonts w:asciiTheme="minorHAnsi" w:eastAsiaTheme="minorEastAsia" w:hAnsiTheme="minorHAnsi"/>
              <w:lang w:eastAsia="en-AU"/>
            </w:rPr>
          </w:pPr>
          <w:hyperlink w:anchor="_Toc420510029" w:history="1">
            <w:r w:rsidR="0074420A" w:rsidRPr="00A54DDA">
              <w:rPr>
                <w:rStyle w:val="Hyperlink"/>
              </w:rPr>
              <w:t>11.4.3</w:t>
            </w:r>
            <w:r w:rsidR="0074420A">
              <w:rPr>
                <w:rFonts w:asciiTheme="minorHAnsi" w:eastAsiaTheme="minorEastAsia" w:hAnsiTheme="minorHAnsi"/>
                <w:lang w:eastAsia="en-AU"/>
              </w:rPr>
              <w:tab/>
            </w:r>
            <w:r w:rsidR="0074420A" w:rsidRPr="00A54DDA">
              <w:rPr>
                <w:rStyle w:val="Hyperlink"/>
              </w:rPr>
              <w:t>Materiality threshold for cost pass through events</w:t>
            </w:r>
            <w:r w:rsidR="0074420A">
              <w:rPr>
                <w:webHidden/>
              </w:rPr>
              <w:tab/>
            </w:r>
            <w:r w:rsidR="0074420A">
              <w:rPr>
                <w:webHidden/>
              </w:rPr>
              <w:fldChar w:fldCharType="begin"/>
            </w:r>
            <w:r w:rsidR="0074420A">
              <w:rPr>
                <w:webHidden/>
              </w:rPr>
              <w:instrText xml:space="preserve"> PAGEREF _Toc420510029 \h </w:instrText>
            </w:r>
            <w:r w:rsidR="0074420A">
              <w:rPr>
                <w:webHidden/>
              </w:rPr>
            </w:r>
            <w:r w:rsidR="0074420A">
              <w:rPr>
                <w:webHidden/>
              </w:rPr>
              <w:fldChar w:fldCharType="separate"/>
            </w:r>
            <w:r>
              <w:rPr>
                <w:webHidden/>
              </w:rPr>
              <w:t>11-25</w:t>
            </w:r>
            <w:r w:rsidR="0074420A">
              <w:rPr>
                <w:webHidden/>
              </w:rPr>
              <w:fldChar w:fldCharType="end"/>
            </w:r>
          </w:hyperlink>
        </w:p>
        <w:p w:rsidR="0074420A" w:rsidRDefault="00EF7A04">
          <w:pPr>
            <w:pStyle w:val="TOC3"/>
            <w:rPr>
              <w:rFonts w:asciiTheme="minorHAnsi" w:eastAsiaTheme="minorEastAsia" w:hAnsiTheme="minorHAnsi"/>
              <w:lang w:eastAsia="en-AU"/>
            </w:rPr>
          </w:pPr>
          <w:hyperlink w:anchor="_Toc420510030" w:history="1">
            <w:r w:rsidR="0074420A" w:rsidRPr="00A54DDA">
              <w:rPr>
                <w:rStyle w:val="Hyperlink"/>
              </w:rPr>
              <w:t>11.4.4</w:t>
            </w:r>
            <w:r w:rsidR="0074420A">
              <w:rPr>
                <w:rFonts w:asciiTheme="minorHAnsi" w:eastAsiaTheme="minorEastAsia" w:hAnsiTheme="minorHAnsi"/>
                <w:lang w:eastAsia="en-AU"/>
              </w:rPr>
              <w:tab/>
            </w:r>
            <w:r w:rsidR="0074420A" w:rsidRPr="00A54DDA">
              <w:rPr>
                <w:rStyle w:val="Hyperlink"/>
              </w:rPr>
              <w:t>Fixed principle in relation to cost pass through events from an immediately prior access arrangement period</w:t>
            </w:r>
            <w:r w:rsidR="0074420A">
              <w:rPr>
                <w:webHidden/>
              </w:rPr>
              <w:tab/>
            </w:r>
            <w:r w:rsidR="0074420A">
              <w:rPr>
                <w:webHidden/>
              </w:rPr>
              <w:fldChar w:fldCharType="begin"/>
            </w:r>
            <w:r w:rsidR="0074420A">
              <w:rPr>
                <w:webHidden/>
              </w:rPr>
              <w:instrText xml:space="preserve"> PAGEREF _Toc420510030 \h </w:instrText>
            </w:r>
            <w:r w:rsidR="0074420A">
              <w:rPr>
                <w:webHidden/>
              </w:rPr>
            </w:r>
            <w:r w:rsidR="0074420A">
              <w:rPr>
                <w:webHidden/>
              </w:rPr>
              <w:fldChar w:fldCharType="separate"/>
            </w:r>
            <w:r>
              <w:rPr>
                <w:webHidden/>
              </w:rPr>
              <w:t>11-26</w:t>
            </w:r>
            <w:r w:rsidR="0074420A">
              <w:rPr>
                <w:webHidden/>
              </w:rPr>
              <w:fldChar w:fldCharType="end"/>
            </w:r>
          </w:hyperlink>
        </w:p>
        <w:p w:rsidR="00DE563D" w:rsidRDefault="007A5AAE" w:rsidP="007A5AAE">
          <w:pPr>
            <w:pStyle w:val="TOC1"/>
          </w:pPr>
          <w:r>
            <w:rPr>
              <w:color w:val="auto"/>
              <w:sz w:val="22"/>
            </w:rPr>
            <w:fldChar w:fldCharType="end"/>
          </w:r>
        </w:p>
      </w:sdtContent>
    </w:sdt>
    <w:p w:rsidR="00DE563D" w:rsidRDefault="00DE563D">
      <w:pPr>
        <w:spacing w:line="240" w:lineRule="auto"/>
      </w:pPr>
    </w:p>
    <w:p w:rsidR="00DE563D" w:rsidRDefault="00DE563D" w:rsidP="00415BEC">
      <w:pPr>
        <w:pStyle w:val="UnnumberedHeading"/>
        <w:numPr>
          <w:ilvl w:val="0"/>
          <w:numId w:val="23"/>
        </w:numPr>
      </w:pPr>
      <w:bookmarkStart w:id="8" w:name="_Toc404700925"/>
      <w:bookmarkStart w:id="9" w:name="_Toc420510019"/>
      <w:r>
        <w:lastRenderedPageBreak/>
        <w:t>Shortened forms</w:t>
      </w:r>
      <w:bookmarkEnd w:id="8"/>
      <w:bookmarkEnd w:id="9"/>
    </w:p>
    <w:p w:rsidR="00DE563D" w:rsidRPr="00271F7C" w:rsidRDefault="00DE563D" w:rsidP="00415BEC">
      <w:pPr>
        <w:numPr>
          <w:ilvl w:val="0"/>
          <w:numId w:val="24"/>
        </w:numPr>
      </w:pPr>
    </w:p>
    <w:tbl>
      <w:tblPr>
        <w:tblStyle w:val="AERtable-numbers"/>
        <w:tblW w:w="0" w:type="auto"/>
        <w:tblLook w:val="04A0" w:firstRow="1" w:lastRow="0" w:firstColumn="1" w:lastColumn="0" w:noHBand="0" w:noVBand="1"/>
      </w:tblPr>
      <w:tblGrid>
        <w:gridCol w:w="3652"/>
        <w:gridCol w:w="5041"/>
      </w:tblGrid>
      <w:tr w:rsidR="00FB5826" w:rsidTr="00FB5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Shortened form</w:t>
            </w:r>
          </w:p>
        </w:tc>
        <w:tc>
          <w:tcPr>
            <w:tcW w:w="5041" w:type="dxa"/>
          </w:tcPr>
          <w:p w:rsidR="00FB5826" w:rsidRDefault="00FB5826" w:rsidP="00415BEC">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AER</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capex</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CAPM</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CCP</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Code</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CPI</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DRP</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ERP</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JGN</w:t>
            </w:r>
          </w:p>
        </w:tc>
        <w:tc>
          <w:tcPr>
            <w:tcW w:w="5041" w:type="dxa"/>
          </w:tcPr>
          <w:p w:rsidR="00FB5826" w:rsidRDefault="00FB5826" w:rsidP="004A357D">
            <w:pPr>
              <w:numPr>
                <w:ilvl w:val="0"/>
                <w:numId w:val="24"/>
              </w:numPr>
              <w:cnfStyle w:val="000000000000" w:firstRow="0" w:lastRow="0" w:firstColumn="0" w:lastColumn="0" w:oddVBand="0" w:evenVBand="0" w:oddHBand="0" w:evenHBand="0" w:firstRowFirstColumn="0" w:firstRowLastColumn="0" w:lastRowFirstColumn="0" w:lastRowLastColumn="0"/>
            </w:pPr>
            <w:r>
              <w:t>Jemena Gas Networks (NSW) Ltd (A</w:t>
            </w:r>
            <w:r w:rsidR="004A357D">
              <w:t>C</w:t>
            </w:r>
            <w:r>
              <w:t>N 003 004 322)</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MRP</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NGL</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NGO</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NGR</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opex</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PPI</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PTRM</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RAB</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regulatory asset base</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RBA</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RFM</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RIN</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CF1216" w:rsidTr="00FB5826">
        <w:tc>
          <w:tcPr>
            <w:cnfStyle w:val="001000000000" w:firstRow="0" w:lastRow="0" w:firstColumn="1" w:lastColumn="0" w:oddVBand="0" w:evenVBand="0" w:oddHBand="0" w:evenHBand="0" w:firstRowFirstColumn="0" w:firstRowLastColumn="0" w:lastRowFirstColumn="0" w:lastRowLastColumn="0"/>
            <w:tcW w:w="3652" w:type="dxa"/>
          </w:tcPr>
          <w:p w:rsidR="00CF1216" w:rsidRDefault="00CF1216" w:rsidP="00415BEC">
            <w:pPr>
              <w:numPr>
                <w:ilvl w:val="0"/>
                <w:numId w:val="24"/>
              </w:numPr>
            </w:pPr>
            <w:r>
              <w:t>RoLR</w:t>
            </w:r>
          </w:p>
        </w:tc>
        <w:tc>
          <w:tcPr>
            <w:tcW w:w="5041" w:type="dxa"/>
          </w:tcPr>
          <w:p w:rsidR="00CF1216" w:rsidRDefault="00CF1216" w:rsidP="00415BEC">
            <w:pPr>
              <w:numPr>
                <w:ilvl w:val="0"/>
                <w:numId w:val="24"/>
              </w:numPr>
              <w:cnfStyle w:val="000000000000" w:firstRow="0" w:lastRow="0" w:firstColumn="0" w:lastColumn="0" w:oddVBand="0" w:evenVBand="0" w:oddHBand="0" w:evenHBand="0" w:firstRowFirstColumn="0" w:firstRowLastColumn="0" w:lastRowFirstColumn="0" w:lastRowLastColumn="0"/>
            </w:pPr>
            <w:r>
              <w:t>retailer of last resort</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RPP</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SLCAPM</w:t>
            </w:r>
          </w:p>
        </w:tc>
        <w:tc>
          <w:tcPr>
            <w:tcW w:w="5041" w:type="dxa"/>
          </w:tcPr>
          <w:p w:rsidR="00FB5826" w:rsidRDefault="00FB5826" w:rsidP="00415BEC">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415BEC">
            <w:pPr>
              <w:numPr>
                <w:ilvl w:val="0"/>
                <w:numId w:val="24"/>
              </w:numPr>
            </w:pPr>
            <w:r>
              <w:t>WACC</w:t>
            </w:r>
          </w:p>
        </w:tc>
        <w:tc>
          <w:tcPr>
            <w:tcW w:w="5041" w:type="dxa"/>
          </w:tcPr>
          <w:p w:rsidR="00FB5826" w:rsidRDefault="00FB5826" w:rsidP="00415BEC">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436A39" w:rsidRDefault="00DE563D" w:rsidP="00415BEC">
      <w:pPr>
        <w:numPr>
          <w:ilvl w:val="0"/>
          <w:numId w:val="24"/>
        </w:numPr>
      </w:pPr>
    </w:p>
    <w:p w:rsidR="00DE563D" w:rsidRDefault="00DE563D" w:rsidP="00DE563D"/>
    <w:p w:rsidR="00DE563D" w:rsidRPr="00AF1F9E" w:rsidRDefault="009C42FC" w:rsidP="006A2E6A">
      <w:pPr>
        <w:pStyle w:val="Heading1"/>
      </w:pPr>
      <w:bookmarkStart w:id="10" w:name="_Toc420510020"/>
      <w:r>
        <w:lastRenderedPageBreak/>
        <w:t>Reference t</w:t>
      </w:r>
      <w:r w:rsidR="006A2E6A">
        <w:t>ariff variation mechanism</w:t>
      </w:r>
      <w:bookmarkEnd w:id="10"/>
    </w:p>
    <w:p w:rsidR="009C42FC" w:rsidRDefault="009C42FC" w:rsidP="00AF1F9E">
      <w:r>
        <w:t xml:space="preserve">This attachment sets out </w:t>
      </w:r>
      <w:r w:rsidR="007A5AAE">
        <w:t>our</w:t>
      </w:r>
      <w:r>
        <w:t xml:space="preserve"> decision</w:t>
      </w:r>
      <w:r w:rsidR="00A76DD9">
        <w:t xml:space="preserve"> on</w:t>
      </w:r>
      <w:r>
        <w:t xml:space="preserve"> the reference tariff variation mechanism</w:t>
      </w:r>
      <w:r w:rsidR="004B073B">
        <w:t xml:space="preserve"> (including cost pass through</w:t>
      </w:r>
      <w:r w:rsidR="00DE12E5">
        <w:t xml:space="preserve"> events</w:t>
      </w:r>
      <w:r w:rsidR="004B073B">
        <w:t>)</w:t>
      </w:r>
      <w:r>
        <w:t xml:space="preserve"> proposed by JGN in its revised proposal. The reference tariff variation mechanism:</w:t>
      </w:r>
    </w:p>
    <w:p w:rsidR="009C42FC" w:rsidRDefault="009C42FC" w:rsidP="009C42FC">
      <w:pPr>
        <w:pStyle w:val="AERbulletlistfirststyle"/>
      </w:pPr>
      <w:r>
        <w:t>permits building block revenues to be recovered smoothly over the access arrangement period, subject to any differences between forecast and actual demand</w:t>
      </w:r>
    </w:p>
    <w:p w:rsidR="009C42FC" w:rsidRDefault="009C42FC" w:rsidP="009C42FC">
      <w:pPr>
        <w:pStyle w:val="AERbulletlistfirststyle"/>
      </w:pPr>
      <w:r>
        <w:t>accounts for actual inflation</w:t>
      </w:r>
    </w:p>
    <w:p w:rsidR="009C42FC" w:rsidRDefault="009C42FC" w:rsidP="009C42FC">
      <w:pPr>
        <w:pStyle w:val="AERbulletlistfirststyle"/>
      </w:pPr>
      <w:r>
        <w:t>accommodates other reference tariff variation adjustments that may be required, such as approved cost pass through events</w:t>
      </w:r>
      <w:r w:rsidR="00DE12E5">
        <w:t>, and</w:t>
      </w:r>
    </w:p>
    <w:p w:rsidR="00DE563D" w:rsidRPr="00AF1F9E" w:rsidRDefault="009C42FC" w:rsidP="0064445E">
      <w:pPr>
        <w:pStyle w:val="AERbulletlistfirststyle"/>
      </w:pPr>
      <w:r>
        <w:t>sets administrative procedures for the approval of any proposed changes to reference tariffs.</w:t>
      </w:r>
    </w:p>
    <w:p w:rsidR="00DE563D" w:rsidRPr="00AF1F9E" w:rsidRDefault="00AF1F9E" w:rsidP="00AF1F9E">
      <w:pPr>
        <w:pStyle w:val="Heading2"/>
      </w:pPr>
      <w:bookmarkStart w:id="11" w:name="_Toc403144136"/>
      <w:bookmarkStart w:id="12" w:name="_Toc420510021"/>
      <w:r>
        <w:t>Final</w:t>
      </w:r>
      <w:r w:rsidR="00DE563D" w:rsidRPr="00AF1F9E">
        <w:t xml:space="preserve"> decision</w:t>
      </w:r>
      <w:bookmarkEnd w:id="11"/>
      <w:bookmarkEnd w:id="12"/>
    </w:p>
    <w:p w:rsidR="00BA1AB7" w:rsidRPr="00BA1AB7" w:rsidRDefault="00BA1AB7" w:rsidP="00BA1AB7">
      <w:r w:rsidRPr="00BA1AB7">
        <w:t xml:space="preserve">We have made all revisions necessary to give effect to this final decision to JGN’s revised proposed access arrangement. These revisions can be found in section 3, and schedules 1 and 2 of the </w:t>
      </w:r>
      <w:r w:rsidRPr="00BA1AB7">
        <w:rPr>
          <w:rStyle w:val="AERtextitalic"/>
        </w:rPr>
        <w:t>Approved Access Arrangement, JGN’s NSW gas distribution networks 1 July 2015 – 30 June 2020</w:t>
      </w:r>
      <w:r w:rsidRPr="00BA1AB7">
        <w:t xml:space="preserve"> (</w:t>
      </w:r>
      <w:r w:rsidR="004A357D">
        <w:t>June</w:t>
      </w:r>
      <w:r w:rsidRPr="00BA1AB7">
        <w:t xml:space="preserve"> 2015).</w:t>
      </w:r>
      <w:r w:rsidR="00815801">
        <w:rPr>
          <w:rStyle w:val="FootnoteReference"/>
        </w:rPr>
        <w:footnoteReference w:id="1"/>
      </w:r>
    </w:p>
    <w:p w:rsidR="00A7068C" w:rsidRDefault="00A7068C" w:rsidP="00A7068C">
      <w:pPr>
        <w:pStyle w:val="HeadingBoldBlue"/>
      </w:pPr>
      <w:r>
        <w:t>Reference tariff variation mechanism</w:t>
      </w:r>
    </w:p>
    <w:p w:rsidR="0083427E" w:rsidRDefault="009C42FC" w:rsidP="0064445E">
      <w:r>
        <w:t xml:space="preserve">We do not accept JGN's </w:t>
      </w:r>
      <w:r w:rsidR="00DD71C1">
        <w:t xml:space="preserve">revised </w:t>
      </w:r>
      <w:r>
        <w:t>reference tariff variation mechanism</w:t>
      </w:r>
      <w:r w:rsidR="004B073B">
        <w:t xml:space="preserve"> </w:t>
      </w:r>
      <w:r>
        <w:t xml:space="preserve">for the 2015-20 access arrangement period. </w:t>
      </w:r>
      <w:r w:rsidR="007E7DC2">
        <w:t>JGN's p</w:t>
      </w:r>
      <w:r>
        <w:t>roposed initial reference tariffs and X factors must be revised to reflect the changes to the forecast total</w:t>
      </w:r>
      <w:r w:rsidR="004A357D">
        <w:t xml:space="preserve"> revenue requirement</w:t>
      </w:r>
      <w:r w:rsidR="009A0ACD">
        <w:t xml:space="preserve"> and approved demand forecast</w:t>
      </w:r>
      <w:r>
        <w:t xml:space="preserve"> </w:t>
      </w:r>
      <w:r w:rsidR="00A7068C">
        <w:t>in</w:t>
      </w:r>
      <w:r>
        <w:t xml:space="preserve"> this final decision. </w:t>
      </w:r>
    </w:p>
    <w:p w:rsidR="00A7068C" w:rsidRPr="00A7068C" w:rsidRDefault="00A7068C" w:rsidP="00A7068C">
      <w:pPr>
        <w:pStyle w:val="HeadingBoldBlue"/>
        <w:rPr>
          <w:rStyle w:val="AERtexthighlight"/>
          <w:shd w:val="clear" w:color="auto" w:fill="auto"/>
        </w:rPr>
      </w:pPr>
      <w:r w:rsidRPr="00A7068C">
        <w:rPr>
          <w:rStyle w:val="AERtexthighlight"/>
          <w:shd w:val="clear" w:color="auto" w:fill="auto"/>
        </w:rPr>
        <w:t>Pass through events</w:t>
      </w:r>
    </w:p>
    <w:p w:rsidR="0083427E" w:rsidRDefault="0083427E" w:rsidP="0064445E">
      <w:r>
        <w:t>Our final decision</w:t>
      </w:r>
      <w:r w:rsidR="00BE485E">
        <w:t xml:space="preserve"> </w:t>
      </w:r>
      <w:r>
        <w:t>is that the following pass through events will apply to JGN for the 2015–20 access arrangement period</w:t>
      </w:r>
      <w:r w:rsidR="00CF0F0A">
        <w:t>:</w:t>
      </w:r>
      <w:r>
        <w:t xml:space="preserve"> </w:t>
      </w:r>
    </w:p>
    <w:p w:rsidR="001B094B" w:rsidRDefault="00CF1216" w:rsidP="001B094B">
      <w:pPr>
        <w:pStyle w:val="AERbulletlistfirststyle"/>
      </w:pPr>
      <w:r>
        <w:t>Service Standard E</w:t>
      </w:r>
      <w:r w:rsidR="001B094B">
        <w:t>vent</w:t>
      </w:r>
    </w:p>
    <w:p w:rsidR="001B094B" w:rsidRDefault="00CF1216" w:rsidP="001B094B">
      <w:pPr>
        <w:pStyle w:val="AERbulletlistfirststyle"/>
      </w:pPr>
      <w:r>
        <w:t>Regulatory Change E</w:t>
      </w:r>
      <w:r w:rsidR="001B094B">
        <w:t>vent</w:t>
      </w:r>
    </w:p>
    <w:p w:rsidR="0083427E" w:rsidRDefault="00CF1216" w:rsidP="001B094B">
      <w:pPr>
        <w:pStyle w:val="AERbulletlistfirststyle"/>
      </w:pPr>
      <w:r>
        <w:t>Terrorism E</w:t>
      </w:r>
      <w:r w:rsidR="0083427E">
        <w:t>vent</w:t>
      </w:r>
    </w:p>
    <w:p w:rsidR="0083427E" w:rsidRDefault="00CF1216" w:rsidP="001B094B">
      <w:pPr>
        <w:pStyle w:val="AERbulletlistfirststyle"/>
      </w:pPr>
      <w:r>
        <w:t>Natural Disaster E</w:t>
      </w:r>
      <w:r w:rsidR="0083427E">
        <w:t>vent</w:t>
      </w:r>
    </w:p>
    <w:p w:rsidR="0083427E" w:rsidRDefault="00CF1216" w:rsidP="001B094B">
      <w:pPr>
        <w:pStyle w:val="AERbulletlistfirststyle"/>
      </w:pPr>
      <w:r>
        <w:t>Insurance Cap E</w:t>
      </w:r>
      <w:r w:rsidR="0083427E">
        <w:t>vent</w:t>
      </w:r>
    </w:p>
    <w:p w:rsidR="0083427E" w:rsidRDefault="00CF1216" w:rsidP="001B094B">
      <w:pPr>
        <w:pStyle w:val="AERbulletlistfirststyle"/>
      </w:pPr>
      <w:r>
        <w:t>Insurer's Credit Risk E</w:t>
      </w:r>
      <w:r w:rsidR="0083427E">
        <w:t>vent</w:t>
      </w:r>
    </w:p>
    <w:p w:rsidR="00DE12E5" w:rsidRDefault="00CF1216" w:rsidP="001B094B">
      <w:pPr>
        <w:pStyle w:val="AERbulletlistfirststyle"/>
      </w:pPr>
      <w:r>
        <w:lastRenderedPageBreak/>
        <w:t>Network User Failure E</w:t>
      </w:r>
      <w:r w:rsidR="00DE12E5">
        <w:t>vent</w:t>
      </w:r>
      <w:r w:rsidR="004A357D">
        <w:t>.</w:t>
      </w:r>
    </w:p>
    <w:p w:rsidR="00A7068C" w:rsidRDefault="00A7068C" w:rsidP="00A7068C">
      <w:r>
        <w:t xml:space="preserve">We have not accepted JGN's proposed gas supply shortfall event. </w:t>
      </w:r>
    </w:p>
    <w:p w:rsidR="00A7068C" w:rsidRPr="00A7068C" w:rsidRDefault="00A7068C" w:rsidP="00A7068C">
      <w:r w:rsidRPr="00A7068C">
        <w:t xml:space="preserve">The approved pass through events </w:t>
      </w:r>
      <w:r w:rsidR="00A76DD9">
        <w:t xml:space="preserve">are defined </w:t>
      </w:r>
      <w:r w:rsidRPr="00A7068C">
        <w:t xml:space="preserve">in </w:t>
      </w:r>
      <w:r w:rsidRPr="00A7068C">
        <w:fldChar w:fldCharType="begin"/>
      </w:r>
      <w:r w:rsidRPr="00A7068C">
        <w:instrText xml:space="preserve"> REF _Ref415659240 \h </w:instrText>
      </w:r>
      <w:r>
        <w:instrText xml:space="preserve"> \* MERGEFORMAT </w:instrText>
      </w:r>
      <w:r w:rsidRPr="00A7068C">
        <w:fldChar w:fldCharType="separate"/>
      </w:r>
      <w:r w:rsidR="00EF7A04">
        <w:t>Table 11.1</w:t>
      </w:r>
      <w:r w:rsidRPr="00A7068C">
        <w:fldChar w:fldCharType="end"/>
      </w:r>
      <w:r w:rsidRPr="00A7068C">
        <w:t xml:space="preserve">. </w:t>
      </w:r>
      <w:r>
        <w:t xml:space="preserve">These include revised definitions for </w:t>
      </w:r>
      <w:r w:rsidR="00BE485E">
        <w:t>each of these events</w:t>
      </w:r>
      <w:r>
        <w:t xml:space="preserve">. </w:t>
      </w:r>
    </w:p>
    <w:p w:rsidR="00417F4E" w:rsidRDefault="00417F4E" w:rsidP="001B094B">
      <w:pPr>
        <w:pStyle w:val="AERbulletlistfirststyle"/>
        <w:numPr>
          <w:ilvl w:val="0"/>
          <w:numId w:val="0"/>
        </w:numPr>
      </w:pPr>
      <w:r>
        <w:t xml:space="preserve">Our final decision is </w:t>
      </w:r>
      <w:r w:rsidR="00A7068C">
        <w:t>that</w:t>
      </w:r>
      <w:r>
        <w:t xml:space="preserve"> a materiality threshold </w:t>
      </w:r>
      <w:r w:rsidR="00A7068C">
        <w:t xml:space="preserve">will apply to pass through events </w:t>
      </w:r>
      <w:r>
        <w:t>for the 2015–20 access arrangement</w:t>
      </w:r>
      <w:r w:rsidR="00A76DD9">
        <w:t>. A pass through event will result in JGN incurring materially higher (or lower) costs if the change in costs (as opposed to the revenue impact) that JGN has incurred and is likely to incur in any year of the access arrangement period exceeds one per cent of the smoothed revenue requirement for that year</w:t>
      </w:r>
      <w:r>
        <w:t xml:space="preserve"> </w:t>
      </w:r>
      <w:r w:rsidR="00A76DD9">
        <w:t>under this</w:t>
      </w:r>
      <w:r>
        <w:t xml:space="preserve"> final decision.</w:t>
      </w:r>
    </w:p>
    <w:p w:rsidR="00A7068C" w:rsidRDefault="00A7068C" w:rsidP="001B094B">
      <w:pPr>
        <w:pStyle w:val="AERbulletlistfirststyle"/>
        <w:numPr>
          <w:ilvl w:val="0"/>
          <w:numId w:val="0"/>
        </w:numPr>
      </w:pPr>
      <w:r>
        <w:t>We have approved JGN's proposed fixed principle relating to the process for cross-period pass through events</w:t>
      </w:r>
      <w:r w:rsidR="00A76DD9">
        <w:t xml:space="preserve"> for the 2015-20 regulatory control period</w:t>
      </w:r>
      <w:r>
        <w:t>.</w:t>
      </w:r>
    </w:p>
    <w:p w:rsidR="00D11D3A" w:rsidRDefault="00D11D3A" w:rsidP="00D11D3A">
      <w:pPr>
        <w:pStyle w:val="Caption"/>
      </w:pPr>
      <w:bookmarkStart w:id="13" w:name="_Ref415659240"/>
      <w:r>
        <w:t xml:space="preserve">Table </w:t>
      </w:r>
      <w:fldSimple w:instr=" STYLEREF 1 \s ">
        <w:r w:rsidR="00EF7A04">
          <w:rPr>
            <w:noProof/>
          </w:rPr>
          <w:t>11</w:t>
        </w:r>
      </w:fldSimple>
      <w:r>
        <w:t>.</w:t>
      </w:r>
      <w:fldSimple w:instr=" SEQ Table \* ARABIC \s 1 ">
        <w:r w:rsidR="00EF7A04">
          <w:rPr>
            <w:noProof/>
          </w:rPr>
          <w:t>1</w:t>
        </w:r>
      </w:fldSimple>
      <w:bookmarkEnd w:id="13"/>
      <w:r w:rsidR="00F37C8F">
        <w:tab/>
      </w:r>
      <w:r w:rsidR="007A5AAE">
        <w:t>Approved c</w:t>
      </w:r>
      <w:r w:rsidR="00F37C8F">
        <w:t xml:space="preserve">ost </w:t>
      </w:r>
      <w:r w:rsidR="007A5AAE">
        <w:t>p</w:t>
      </w:r>
      <w:r w:rsidR="00F37C8F">
        <w:t xml:space="preserve">ass </w:t>
      </w:r>
      <w:r w:rsidR="007A5AAE">
        <w:t>t</w:t>
      </w:r>
      <w:r w:rsidR="00F37C8F">
        <w:t xml:space="preserve">hrough </w:t>
      </w:r>
      <w:r w:rsidR="007A5AAE">
        <w:t>e</w:t>
      </w:r>
      <w:r w:rsidR="00F37C8F">
        <w:t>vent definitions</w:t>
      </w:r>
    </w:p>
    <w:tbl>
      <w:tblPr>
        <w:tblStyle w:val="AERtable-text0"/>
        <w:tblW w:w="0" w:type="auto"/>
        <w:tblLook w:val="04A0" w:firstRow="1" w:lastRow="0" w:firstColumn="1" w:lastColumn="0" w:noHBand="0" w:noVBand="1"/>
      </w:tblPr>
      <w:tblGrid>
        <w:gridCol w:w="2518"/>
        <w:gridCol w:w="6175"/>
      </w:tblGrid>
      <w:tr w:rsidR="0083427E" w:rsidTr="00DE0C78">
        <w:trPr>
          <w:cnfStyle w:val="100000000000" w:firstRow="1" w:lastRow="0" w:firstColumn="0" w:lastColumn="0" w:oddVBand="0" w:evenVBand="0" w:oddHBand="0" w:evenHBand="0" w:firstRowFirstColumn="0" w:firstRowLastColumn="0" w:lastRowFirstColumn="0" w:lastRowLastColumn="0"/>
          <w:tblHeader/>
        </w:trPr>
        <w:tc>
          <w:tcPr>
            <w:tcW w:w="2518" w:type="dxa"/>
          </w:tcPr>
          <w:p w:rsidR="0083427E" w:rsidRPr="0083427E" w:rsidRDefault="00F37C8F" w:rsidP="0083427E">
            <w:r>
              <w:t>E</w:t>
            </w:r>
            <w:r w:rsidR="0083427E">
              <w:t>vent</w:t>
            </w:r>
          </w:p>
        </w:tc>
        <w:tc>
          <w:tcPr>
            <w:tcW w:w="6175" w:type="dxa"/>
          </w:tcPr>
          <w:p w:rsidR="0083427E" w:rsidRPr="0083427E" w:rsidRDefault="0083427E" w:rsidP="0083427E">
            <w:r>
              <w:t>Definition</w:t>
            </w:r>
          </w:p>
        </w:tc>
      </w:tr>
      <w:tr w:rsidR="001B094B" w:rsidTr="00A7068C">
        <w:tc>
          <w:tcPr>
            <w:tcW w:w="2518" w:type="dxa"/>
          </w:tcPr>
          <w:p w:rsidR="001B094B" w:rsidRDefault="001B094B" w:rsidP="00CF1216">
            <w:r>
              <w:t xml:space="preserve">Service </w:t>
            </w:r>
            <w:r w:rsidR="00CF1216">
              <w:t>Standard E</w:t>
            </w:r>
            <w:r>
              <w:t>vent</w:t>
            </w:r>
          </w:p>
        </w:tc>
        <w:tc>
          <w:tcPr>
            <w:tcW w:w="6175" w:type="dxa"/>
          </w:tcPr>
          <w:p w:rsidR="00DE29F8" w:rsidRDefault="00DE29F8" w:rsidP="00DE29F8">
            <w:pPr>
              <w:pStyle w:val="BodyText"/>
            </w:pPr>
            <w:r>
              <w:rPr>
                <w:b/>
              </w:rPr>
              <w:t xml:space="preserve"> </w:t>
            </w:r>
            <w:r w:rsidRPr="00DE29F8">
              <w:t>Service Standard Event</w:t>
            </w:r>
            <w:r>
              <w:t xml:space="preserve"> means a legislative or administrative act or decision that has the effect of:</w:t>
            </w:r>
          </w:p>
          <w:p w:rsidR="00DE29F8" w:rsidRPr="00DE29F8" w:rsidRDefault="00DE29F8" w:rsidP="00303532">
            <w:pPr>
              <w:pStyle w:val="ListBullet2"/>
            </w:pPr>
            <w:r>
              <w:t>V</w:t>
            </w:r>
            <w:r w:rsidRPr="00DE29F8">
              <w:t xml:space="preserve">arying, during the course of an Access Arrangement Period, the manner in which the Service Provider is required to provide the Reference Service; or </w:t>
            </w:r>
          </w:p>
          <w:p w:rsidR="00DE29F8" w:rsidRPr="00DE29F8" w:rsidRDefault="00DE29F8" w:rsidP="00303532">
            <w:pPr>
              <w:pStyle w:val="ListBullet2"/>
            </w:pPr>
            <w:r>
              <w:t>I</w:t>
            </w:r>
            <w:r w:rsidRPr="00DE29F8">
              <w:t xml:space="preserve">mposing, removing or varying, during the course of an Access Arrangement Period, minimum service standards applicable to the Reference Service; or </w:t>
            </w:r>
          </w:p>
          <w:p w:rsidR="001B094B" w:rsidRPr="00DE29F8" w:rsidRDefault="00DE29F8" w:rsidP="00724237">
            <w:pPr>
              <w:pStyle w:val="ListBullet2"/>
            </w:pPr>
            <w:r>
              <w:t>A</w:t>
            </w:r>
            <w:r w:rsidRPr="00DE29F8">
              <w:t xml:space="preserve">ltering, during the course of an Access Arrangement Period, the nature or scope of the Reference Service </w:t>
            </w:r>
            <w:r w:rsidR="00724237">
              <w:t>provided by the Service Provider.</w:t>
            </w:r>
          </w:p>
        </w:tc>
      </w:tr>
      <w:tr w:rsidR="001B094B" w:rsidTr="00A7068C">
        <w:trPr>
          <w:cnfStyle w:val="000000010000" w:firstRow="0" w:lastRow="0" w:firstColumn="0" w:lastColumn="0" w:oddVBand="0" w:evenVBand="0" w:oddHBand="0" w:evenHBand="1" w:firstRowFirstColumn="0" w:firstRowLastColumn="0" w:lastRowFirstColumn="0" w:lastRowLastColumn="0"/>
        </w:trPr>
        <w:tc>
          <w:tcPr>
            <w:tcW w:w="2518" w:type="dxa"/>
          </w:tcPr>
          <w:p w:rsidR="001B094B" w:rsidRDefault="00CF1216" w:rsidP="0083427E">
            <w:r>
              <w:t>Regulatory Change E</w:t>
            </w:r>
            <w:r w:rsidR="001B094B">
              <w:t>vent</w:t>
            </w:r>
          </w:p>
        </w:tc>
        <w:tc>
          <w:tcPr>
            <w:tcW w:w="6175" w:type="dxa"/>
          </w:tcPr>
          <w:p w:rsidR="001B094B" w:rsidRDefault="00DE29F8" w:rsidP="00DE29F8">
            <w:r w:rsidRPr="00DE29F8">
              <w:t xml:space="preserve">Regulatory Change Event means a change in regulatory obligation or requirement that falls within no other category of Cost Pass Through Event and substantially affects the manner in which the Service Provider provides the Reference </w:t>
            </w:r>
            <w:r w:rsidR="00724237">
              <w:t>Service.</w:t>
            </w:r>
            <w:r w:rsidR="001B094B">
              <w:t xml:space="preserve"> </w:t>
            </w:r>
          </w:p>
        </w:tc>
      </w:tr>
      <w:tr w:rsidR="0083427E" w:rsidTr="00A7068C">
        <w:tc>
          <w:tcPr>
            <w:tcW w:w="2518" w:type="dxa"/>
          </w:tcPr>
          <w:p w:rsidR="0083427E" w:rsidRPr="0083427E" w:rsidRDefault="0083427E" w:rsidP="00CF1216">
            <w:r>
              <w:t xml:space="preserve">Terrorism </w:t>
            </w:r>
            <w:r w:rsidR="00CF1216">
              <w:t>E</w:t>
            </w:r>
            <w:r>
              <w:t>vent</w:t>
            </w:r>
          </w:p>
        </w:tc>
        <w:tc>
          <w:tcPr>
            <w:tcW w:w="6175" w:type="dxa"/>
          </w:tcPr>
          <w:p w:rsidR="00DE29F8" w:rsidRDefault="00DE29F8" w:rsidP="00DE29F8">
            <w:pPr>
              <w:pStyle w:val="BodyText"/>
            </w:pPr>
            <w:r w:rsidRPr="00DE29F8">
              <w:t>Terrorism Event</w:t>
            </w:r>
            <w:r>
              <w:t xml:space="preserve"> means 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increases the cost to the Service Provider in providing the Reference Service.</w:t>
            </w:r>
          </w:p>
          <w:p w:rsidR="00DE29F8" w:rsidRDefault="00DE29F8" w:rsidP="00DE29F8">
            <w:pPr>
              <w:pStyle w:val="BodyText"/>
            </w:pPr>
            <w:r>
              <w:t>Note for the avoidance of doubt, in making a determination on a</w:t>
            </w:r>
            <w:r w:rsidR="005D0DE5">
              <w:t xml:space="preserve"> Terrorism</w:t>
            </w:r>
            <w:r>
              <w:t xml:space="preserve"> Event pursuant to clause </w:t>
            </w:r>
            <w:r w:rsidR="00303532">
              <w:t>3.4(i)  [of JGN’s Access Arrangement]</w:t>
            </w:r>
            <w:r>
              <w:t xml:space="preserve"> , the AER will have regard to, amongst other things:</w:t>
            </w:r>
          </w:p>
          <w:p w:rsidR="00DE29F8" w:rsidRPr="00DE29F8" w:rsidRDefault="00DE29F8" w:rsidP="00303532">
            <w:pPr>
              <w:pStyle w:val="AERnumberedlistthirdstyle"/>
            </w:pPr>
            <w:r>
              <w:t>w</w:t>
            </w:r>
            <w:r w:rsidRPr="00DE29F8">
              <w:t>hether the Service Provider has insurance against the event,</w:t>
            </w:r>
          </w:p>
          <w:p w:rsidR="00DE29F8" w:rsidRPr="00DE29F8" w:rsidRDefault="00DE29F8" w:rsidP="00303532">
            <w:pPr>
              <w:pStyle w:val="AERnumberedlistthirdstyle"/>
            </w:pPr>
            <w:r>
              <w:t>t</w:t>
            </w:r>
            <w:r w:rsidRPr="00DE29F8">
              <w:t>he level of insurance that an efficient and prudent service provider would obtain in respect of the event, and</w:t>
            </w:r>
          </w:p>
          <w:p w:rsidR="0083427E" w:rsidRPr="0083427E" w:rsidRDefault="00DE29F8" w:rsidP="00303532">
            <w:pPr>
              <w:pStyle w:val="AERnumberedlistthirdstyle"/>
            </w:pPr>
            <w:r>
              <w:t>w</w:t>
            </w:r>
            <w:r w:rsidRPr="00DE29F8">
              <w:t>hether a declaration has been made by a relevant government authority that a terrorism event has occurred</w:t>
            </w:r>
            <w:r w:rsidR="00724237">
              <w:t>.</w:t>
            </w:r>
          </w:p>
        </w:tc>
      </w:tr>
      <w:tr w:rsidR="0083427E" w:rsidTr="00A7068C">
        <w:trPr>
          <w:cnfStyle w:val="000000010000" w:firstRow="0" w:lastRow="0" w:firstColumn="0" w:lastColumn="0" w:oddVBand="0" w:evenVBand="0" w:oddHBand="0" w:evenHBand="1" w:firstRowFirstColumn="0" w:firstRowLastColumn="0" w:lastRowFirstColumn="0" w:lastRowLastColumn="0"/>
        </w:trPr>
        <w:tc>
          <w:tcPr>
            <w:tcW w:w="2518" w:type="dxa"/>
          </w:tcPr>
          <w:p w:rsidR="0083427E" w:rsidRDefault="0083427E" w:rsidP="00CF1216">
            <w:r>
              <w:t xml:space="preserve">Natural </w:t>
            </w:r>
            <w:r w:rsidR="00CF1216">
              <w:t>D</w:t>
            </w:r>
            <w:r>
              <w:t xml:space="preserve">isaster </w:t>
            </w:r>
            <w:r w:rsidR="00CF1216">
              <w:t>E</w:t>
            </w:r>
            <w:r>
              <w:t>vent</w:t>
            </w:r>
          </w:p>
        </w:tc>
        <w:tc>
          <w:tcPr>
            <w:tcW w:w="6175" w:type="dxa"/>
          </w:tcPr>
          <w:p w:rsidR="0083427E" w:rsidRPr="0083427E" w:rsidRDefault="00CF1216" w:rsidP="0083427E">
            <w:r>
              <w:t>N</w:t>
            </w:r>
            <w:r w:rsidR="0083427E" w:rsidRPr="00243359">
              <w:t xml:space="preserve">atural </w:t>
            </w:r>
            <w:r>
              <w:t>D</w:t>
            </w:r>
            <w:r w:rsidR="0083427E" w:rsidRPr="00243359">
              <w:t xml:space="preserve">isaster </w:t>
            </w:r>
            <w:r>
              <w:t>E</w:t>
            </w:r>
            <w:r w:rsidR="0083427E" w:rsidRPr="00243359">
              <w:t xml:space="preserve">vent </w:t>
            </w:r>
            <w:r w:rsidR="00303532">
              <w:t>means a</w:t>
            </w:r>
            <w:r w:rsidR="0083427E" w:rsidRPr="00243359">
              <w:t>ny major fire, flood, earthquake or other natural d</w:t>
            </w:r>
            <w:r w:rsidR="00550DE6">
              <w:t xml:space="preserve">isaster </w:t>
            </w:r>
            <w:r w:rsidR="00FC421E">
              <w:t xml:space="preserve">that </w:t>
            </w:r>
            <w:r w:rsidR="00550DE6">
              <w:t>occurs during the 2015-20</w:t>
            </w:r>
            <w:r w:rsidR="0083427E" w:rsidRPr="00243359">
              <w:t xml:space="preserve"> </w:t>
            </w:r>
            <w:r w:rsidR="00550DE6">
              <w:t xml:space="preserve">Access Arrangement </w:t>
            </w:r>
            <w:r w:rsidR="00DE12E5">
              <w:t>P</w:t>
            </w:r>
            <w:r w:rsidR="0083427E" w:rsidRPr="00243359">
              <w:t>eriod and increases the costs to</w:t>
            </w:r>
            <w:r w:rsidR="00550DE6">
              <w:t xml:space="preserve"> the Service Provider </w:t>
            </w:r>
            <w:r w:rsidR="0083427E" w:rsidRPr="00243359">
              <w:t>in providing</w:t>
            </w:r>
            <w:r w:rsidR="0083427E">
              <w:t xml:space="preserve"> </w:t>
            </w:r>
            <w:r w:rsidR="00DE12E5">
              <w:t>the R</w:t>
            </w:r>
            <w:r w:rsidR="0083427E">
              <w:t xml:space="preserve">eference </w:t>
            </w:r>
            <w:r w:rsidR="00DE12E5">
              <w:t>S</w:t>
            </w:r>
            <w:r w:rsidR="0083427E">
              <w:t>ervice</w:t>
            </w:r>
            <w:r w:rsidR="00303532" w:rsidRPr="00243359">
              <w:t>,</w:t>
            </w:r>
            <w:r w:rsidR="00303532">
              <w:t xml:space="preserve"> </w:t>
            </w:r>
            <w:r w:rsidR="0083427E" w:rsidRPr="00243359">
              <w:t xml:space="preserve">provided the fire, flood or other event was not a consequence of the acts or omissions of the </w:t>
            </w:r>
            <w:r w:rsidR="00550DE6">
              <w:lastRenderedPageBreak/>
              <w:t>S</w:t>
            </w:r>
            <w:r w:rsidR="0083427E" w:rsidRPr="00243359">
              <w:t xml:space="preserve">ervice </w:t>
            </w:r>
            <w:r w:rsidR="00550DE6">
              <w:t>P</w:t>
            </w:r>
            <w:r w:rsidR="0083427E" w:rsidRPr="00243359">
              <w:t>rovider</w:t>
            </w:r>
            <w:r w:rsidR="0083427E">
              <w:t>.</w:t>
            </w:r>
          </w:p>
          <w:p w:rsidR="0083427E" w:rsidRPr="0083427E" w:rsidRDefault="0083427E" w:rsidP="0083427E">
            <w:r w:rsidRPr="00243359">
              <w:t xml:space="preserve">The term ‘major’ in the above paragraph means an event that is serious and significant. </w:t>
            </w:r>
          </w:p>
          <w:p w:rsidR="0083427E" w:rsidRPr="0083427E" w:rsidRDefault="005D0DE5" w:rsidP="0083427E">
            <w:r>
              <w:t xml:space="preserve">Note for the avoidance of doubt, in making a determination on a </w:t>
            </w:r>
            <w:r w:rsidRPr="005D0DE5">
              <w:t>Natural Disaster Event pursuant to clause</w:t>
            </w:r>
            <w:r w:rsidR="00303532">
              <w:t xml:space="preserve"> 3.4(i)  [of JGN’s Access Arrangement]</w:t>
            </w:r>
            <w:r w:rsidRPr="005D0DE5">
              <w:t>,</w:t>
            </w:r>
            <w:r w:rsidR="00303532">
              <w:t xml:space="preserve"> </w:t>
            </w:r>
            <w:r w:rsidR="0083427E" w:rsidRPr="00243359">
              <w:t xml:space="preserve"> the AER will have regard to, amongst other things:</w:t>
            </w:r>
          </w:p>
          <w:p w:rsidR="0083427E" w:rsidRPr="005D0DE5" w:rsidRDefault="0083427E" w:rsidP="00415BEC">
            <w:pPr>
              <w:pStyle w:val="AERnumberedlistthirdstyle"/>
              <w:numPr>
                <w:ilvl w:val="0"/>
                <w:numId w:val="38"/>
              </w:numPr>
            </w:pPr>
            <w:r w:rsidRPr="005D0DE5">
              <w:t xml:space="preserve">whether </w:t>
            </w:r>
            <w:r w:rsidR="000E0852" w:rsidRPr="005D0DE5">
              <w:t>the Service Provider</w:t>
            </w:r>
            <w:r w:rsidRPr="005D0DE5">
              <w:t xml:space="preserve"> </w:t>
            </w:r>
            <w:r w:rsidR="00CF1216" w:rsidRPr="005D0DE5">
              <w:t>has insurance against the event</w:t>
            </w:r>
            <w:r w:rsidRPr="005D0DE5">
              <w:t xml:space="preserve"> </w:t>
            </w:r>
          </w:p>
          <w:p w:rsidR="0083427E" w:rsidRPr="0083427E" w:rsidRDefault="0083427E" w:rsidP="005D0DE5">
            <w:pPr>
              <w:pStyle w:val="AERnumberedlistthirdstyle"/>
            </w:pPr>
            <w:r w:rsidRPr="00243359">
              <w:t xml:space="preserve">the level of insurance that an efficient and prudent </w:t>
            </w:r>
            <w:r>
              <w:t>service provider</w:t>
            </w:r>
            <w:r w:rsidRPr="00243359">
              <w:t xml:space="preserve"> would obtain in respect of the event, </w:t>
            </w:r>
            <w:r>
              <w:t>and</w:t>
            </w:r>
          </w:p>
          <w:p w:rsidR="0083427E" w:rsidRDefault="0083427E" w:rsidP="005D0DE5">
            <w:pPr>
              <w:pStyle w:val="AERnumberedlistthirdstyle"/>
            </w:pPr>
            <w:r w:rsidRPr="00243359">
              <w:t>whether a relevant government authority has made a declaration that a natural disaster has occurred</w:t>
            </w:r>
            <w:r w:rsidR="00521AE5">
              <w:t>.</w:t>
            </w:r>
          </w:p>
        </w:tc>
      </w:tr>
      <w:tr w:rsidR="0083427E" w:rsidTr="00A7068C">
        <w:tc>
          <w:tcPr>
            <w:tcW w:w="2518" w:type="dxa"/>
          </w:tcPr>
          <w:p w:rsidR="0083427E" w:rsidRPr="0083427E" w:rsidRDefault="00CF1216" w:rsidP="0083427E">
            <w:r>
              <w:lastRenderedPageBreak/>
              <w:t>Insurance Cap E</w:t>
            </w:r>
            <w:r w:rsidR="0083427E">
              <w:t>vent</w:t>
            </w:r>
          </w:p>
        </w:tc>
        <w:tc>
          <w:tcPr>
            <w:tcW w:w="6175" w:type="dxa"/>
          </w:tcPr>
          <w:p w:rsidR="00DE29F8" w:rsidRPr="00DE29F8" w:rsidRDefault="00DE29F8" w:rsidP="00DE29F8">
            <w:r w:rsidRPr="00DE29F8">
              <w:t>Insurance Cap Event means an event where:</w:t>
            </w:r>
          </w:p>
          <w:p w:rsidR="00DE29F8" w:rsidRPr="00303532" w:rsidRDefault="00DE29F8" w:rsidP="00415BEC">
            <w:pPr>
              <w:pStyle w:val="ListBullet2"/>
              <w:numPr>
                <w:ilvl w:val="0"/>
                <w:numId w:val="37"/>
              </w:numPr>
            </w:pPr>
            <w:r w:rsidRPr="005D0DE5">
              <w:t>the Service Provider makes a claim or claims and receives the benefit of a payment or payments</w:t>
            </w:r>
            <w:r w:rsidRPr="00303532">
              <w:t xml:space="preserve"> under a relevant insurance policy;</w:t>
            </w:r>
          </w:p>
          <w:p w:rsidR="00DE29F8" w:rsidRPr="00DE29F8" w:rsidRDefault="00DE29F8" w:rsidP="00303532">
            <w:pPr>
              <w:pStyle w:val="ListBullet2"/>
            </w:pPr>
            <w:r w:rsidRPr="00BD5A5C">
              <w:t>the Service Provider incurs costs beyond the relevant policy limit; and</w:t>
            </w:r>
          </w:p>
          <w:p w:rsidR="00DE29F8" w:rsidRPr="00DE29F8" w:rsidRDefault="00DE29F8" w:rsidP="00303532">
            <w:pPr>
              <w:pStyle w:val="ListBullet2"/>
            </w:pPr>
            <w:r w:rsidRPr="00BD5A5C">
              <w:t>the costs beyond the relevant policy limit increase the costs to the Service Provider of providing the Reference Service.</w:t>
            </w:r>
          </w:p>
          <w:p w:rsidR="00DE29F8" w:rsidRPr="00DE29F8" w:rsidRDefault="00DE29F8" w:rsidP="00DE29F8">
            <w:r w:rsidRPr="00DE29F8">
              <w:t>For this Insurance Cap Event:</w:t>
            </w:r>
          </w:p>
          <w:p w:rsidR="00DE29F8" w:rsidRPr="00DE29F8" w:rsidRDefault="00DE29F8" w:rsidP="00415BEC">
            <w:pPr>
              <w:pStyle w:val="ListBullet2"/>
              <w:numPr>
                <w:ilvl w:val="0"/>
                <w:numId w:val="30"/>
              </w:numPr>
            </w:pPr>
            <w:r w:rsidRPr="00DE29F8">
              <w:t xml:space="preserve">the relevant policy limit is the greater of: </w:t>
            </w:r>
          </w:p>
          <w:p w:rsidR="00DE29F8" w:rsidRPr="00303532" w:rsidRDefault="00DE29F8" w:rsidP="00415BEC">
            <w:pPr>
              <w:pStyle w:val="AERnumberedlistthirdstyle"/>
              <w:numPr>
                <w:ilvl w:val="0"/>
                <w:numId w:val="36"/>
              </w:numPr>
            </w:pPr>
            <w:r w:rsidRPr="005D0DE5">
              <w:t>the Service Provider’s actual policy limit at the time of the event that gives, or would have given rise to the claim; and</w:t>
            </w:r>
          </w:p>
          <w:p w:rsidR="00DE29F8" w:rsidRPr="00DE29F8" w:rsidRDefault="00DE29F8" w:rsidP="00303532">
            <w:pPr>
              <w:pStyle w:val="AERnumberedlistthirdstyle"/>
            </w:pPr>
            <w:r w:rsidRPr="00BD5A5C">
              <w:t>the policy limit that is explicitly or implicitly commensurate with the allowance for insurance premiums that is included in the forecast operating expendi</w:t>
            </w:r>
            <w:r w:rsidRPr="00DE29F8">
              <w:t>ture allowance approved in the AER’s final decision for the Access Arrangement Period;</w:t>
            </w:r>
          </w:p>
          <w:p w:rsidR="00DE29F8" w:rsidRPr="00DE29F8" w:rsidRDefault="00DE29F8" w:rsidP="00303532">
            <w:pPr>
              <w:pStyle w:val="ListBullet2"/>
            </w:pPr>
            <w:r w:rsidRPr="00797C49">
              <w:t xml:space="preserve">a relevant insurance policy is an insurance policy held </w:t>
            </w:r>
            <w:r w:rsidRPr="00DE29F8">
              <w:t>during the Access Arrangement Period or a previous period in which access to the pipeline services was regulated; and</w:t>
            </w:r>
          </w:p>
          <w:p w:rsidR="00DE29F8" w:rsidRPr="00DE29F8" w:rsidRDefault="00DE29F8" w:rsidP="00303532">
            <w:pPr>
              <w:pStyle w:val="ListBullet2"/>
            </w:pPr>
            <w:r w:rsidRPr="00EC1698">
              <w:t>the Service Provider will be deemed to have made a claim on a relevant insurance policy if the claim is made by a related party of the Service Provider in relation to any aspect of the Network or the Service Provider’s business</w:t>
            </w:r>
          </w:p>
          <w:p w:rsidR="00DE29F8" w:rsidRPr="00DE29F8" w:rsidRDefault="00DE29F8" w:rsidP="00DE29F8">
            <w:r>
              <w:t xml:space="preserve">Note for the avoidance of doubt, in </w:t>
            </w:r>
            <w:r w:rsidRPr="00DE29F8">
              <w:t xml:space="preserve">making a determination on an Insurance Cap Event pursuant to clause </w:t>
            </w:r>
            <w:r w:rsidR="00303532">
              <w:t>3.4(i) [of JGN’s Access Arrangement]</w:t>
            </w:r>
            <w:r w:rsidRPr="00DE29F8">
              <w:t xml:space="preserve"> , the AER will have regard to, amongst other things:</w:t>
            </w:r>
          </w:p>
          <w:p w:rsidR="00DE29F8" w:rsidRPr="00DE29F8" w:rsidRDefault="00DE29F8" w:rsidP="00415BEC">
            <w:pPr>
              <w:pStyle w:val="AERnumberedlistthirdstyle"/>
              <w:numPr>
                <w:ilvl w:val="0"/>
                <w:numId w:val="31"/>
              </w:numPr>
            </w:pPr>
            <w:r w:rsidRPr="00DE29F8">
              <w:t>the insurance policy for the event, and</w:t>
            </w:r>
          </w:p>
          <w:p w:rsidR="0083427E" w:rsidRDefault="00DE29F8" w:rsidP="00724237">
            <w:pPr>
              <w:pStyle w:val="AERnumberedlistthirdstyle"/>
            </w:pPr>
            <w:r w:rsidRPr="00DE29F8">
              <w:t>the level of insurance that an efficient and prudent Service Provider would obtain in respect of the event</w:t>
            </w:r>
            <w:r w:rsidR="00724237">
              <w:t>.</w:t>
            </w:r>
          </w:p>
        </w:tc>
      </w:tr>
      <w:tr w:rsidR="0083427E" w:rsidTr="00A7068C">
        <w:trPr>
          <w:cnfStyle w:val="000000010000" w:firstRow="0" w:lastRow="0" w:firstColumn="0" w:lastColumn="0" w:oddVBand="0" w:evenVBand="0" w:oddHBand="0" w:evenHBand="1" w:firstRowFirstColumn="0" w:firstRowLastColumn="0" w:lastRowFirstColumn="0" w:lastRowLastColumn="0"/>
          <w:trHeight w:val="4724"/>
        </w:trPr>
        <w:tc>
          <w:tcPr>
            <w:tcW w:w="2518" w:type="dxa"/>
          </w:tcPr>
          <w:p w:rsidR="0083427E" w:rsidRPr="0083427E" w:rsidRDefault="0083427E" w:rsidP="00DE29F8">
            <w:r>
              <w:lastRenderedPageBreak/>
              <w:t>Insurer</w:t>
            </w:r>
            <w:r w:rsidRPr="0083427E">
              <w:t xml:space="preserve"> </w:t>
            </w:r>
            <w:r w:rsidR="00CF1216">
              <w:t>Credit Risk E</w:t>
            </w:r>
            <w:r w:rsidRPr="0083427E">
              <w:t>vent</w:t>
            </w:r>
          </w:p>
        </w:tc>
        <w:tc>
          <w:tcPr>
            <w:tcW w:w="6175" w:type="dxa"/>
          </w:tcPr>
          <w:p w:rsidR="00DE29F8" w:rsidRPr="00DE29F8" w:rsidRDefault="00DE29F8" w:rsidP="00DE29F8">
            <w:r w:rsidRPr="00DE29F8">
              <w:t>Insurer Credit Risk Event means an event where:</w:t>
            </w:r>
          </w:p>
          <w:p w:rsidR="00DE29F8" w:rsidRPr="00DE29F8" w:rsidRDefault="00DE29F8" w:rsidP="00415BEC">
            <w:pPr>
              <w:pStyle w:val="ListBullet2"/>
              <w:numPr>
                <w:ilvl w:val="0"/>
                <w:numId w:val="32"/>
              </w:numPr>
            </w:pPr>
            <w:r w:rsidRPr="00DE29F8">
              <w:t xml:space="preserve"> A nominated insurer of the Service Provider becomes insolvent, and as a result, in respect of an existing, or potential, claim for a risk that was insured by the insolvent insurer, the Service Provider:</w:t>
            </w:r>
          </w:p>
          <w:p w:rsidR="00DE29F8" w:rsidRPr="00DE29F8" w:rsidRDefault="00DE29F8" w:rsidP="00415BEC">
            <w:pPr>
              <w:pStyle w:val="AERnumberedlistthirdstyle"/>
              <w:numPr>
                <w:ilvl w:val="0"/>
                <w:numId w:val="33"/>
              </w:numPr>
            </w:pPr>
            <w:r w:rsidRPr="00DE29F8">
              <w:t>is subject to a higher or lower claim limit or a higher or lower deductible than would have otherwise applied under the insolvent insurer’s policy; or</w:t>
            </w:r>
          </w:p>
          <w:p w:rsidR="00DE29F8" w:rsidRPr="00DE29F8" w:rsidRDefault="00DE29F8" w:rsidP="00303532">
            <w:pPr>
              <w:pStyle w:val="AERnumberedlistthirdstyle"/>
            </w:pPr>
            <w:r w:rsidRPr="000E0852">
              <w:t>incurs additional costs associated with self-funding an insurance claim, which would otherwise have been covered by the insolvent insurer.</w:t>
            </w:r>
          </w:p>
          <w:p w:rsidR="00DE29F8" w:rsidRPr="00DE29F8" w:rsidRDefault="00DE29F8" w:rsidP="00DE29F8">
            <w:r>
              <w:t>Note for the avoidance of doubt, in making a determination on an Insurer Credit Risk Event pursuant to clause</w:t>
            </w:r>
            <w:r w:rsidR="00303532">
              <w:t xml:space="preserve"> 3.4(i) [of JGN’s Access Arrangement]</w:t>
            </w:r>
            <w:r w:rsidRPr="00DE29F8">
              <w:t xml:space="preserve"> , the AER will have regard to, amongst other things:</w:t>
            </w:r>
          </w:p>
          <w:p w:rsidR="00DE29F8" w:rsidRPr="00DE29F8" w:rsidRDefault="00DE29F8" w:rsidP="00415BEC">
            <w:pPr>
              <w:pStyle w:val="AERnumberedlistthirdstyle"/>
              <w:numPr>
                <w:ilvl w:val="0"/>
                <w:numId w:val="34"/>
              </w:numPr>
            </w:pPr>
            <w:r w:rsidRPr="00DE29F8">
              <w:t xml:space="preserve"> the Service Provider’s attempts to mitigate and prevent the event from occurring by reviewing and considering the insurer’s track record, size, credit rating and reputation, and</w:t>
            </w:r>
          </w:p>
          <w:p w:rsidR="0083427E" w:rsidRDefault="00DE29F8" w:rsidP="00303532">
            <w:pPr>
              <w:pStyle w:val="AERnumberedlistthirdstyle"/>
            </w:pPr>
            <w:r w:rsidRPr="000E0852">
              <w:t>in</w:t>
            </w:r>
            <w:r w:rsidRPr="00DE29F8">
              <w:t xml:space="preserve"> the event that a claim would have been made after the insurance provider became insolvent, whether the Service Provider had reasonable opportunity to insure the risk with a different provider.</w:t>
            </w:r>
          </w:p>
        </w:tc>
      </w:tr>
      <w:tr w:rsidR="00285930" w:rsidTr="00A7068C">
        <w:trPr>
          <w:trHeight w:val="3828"/>
        </w:trPr>
        <w:tc>
          <w:tcPr>
            <w:tcW w:w="2518" w:type="dxa"/>
          </w:tcPr>
          <w:p w:rsidR="00285930" w:rsidRDefault="00CF1216" w:rsidP="0083427E">
            <w:r>
              <w:t>Network User Failure E</w:t>
            </w:r>
            <w:r w:rsidR="00285930">
              <w:t>vent</w:t>
            </w:r>
          </w:p>
        </w:tc>
        <w:tc>
          <w:tcPr>
            <w:tcW w:w="6175" w:type="dxa"/>
          </w:tcPr>
          <w:p w:rsidR="00DE29F8" w:rsidRPr="00DE29F8" w:rsidRDefault="00DE29F8" w:rsidP="00DE29F8">
            <w:r w:rsidRPr="00DE29F8">
              <w:t>Network User Failure Event means an event where:</w:t>
            </w:r>
          </w:p>
          <w:p w:rsidR="00DE29F8" w:rsidRPr="00303532" w:rsidRDefault="00DE29F8" w:rsidP="00415BEC">
            <w:pPr>
              <w:pStyle w:val="ListBullet2"/>
              <w:numPr>
                <w:ilvl w:val="0"/>
                <w:numId w:val="35"/>
              </w:numPr>
            </w:pPr>
            <w:r w:rsidRPr="005D0DE5">
              <w:t>a Retailer of Last Resort (RoLR) Event as defined in section 122 of the  National Energy Retail Law has occurred, and</w:t>
            </w:r>
          </w:p>
          <w:p w:rsidR="00DE29F8" w:rsidRPr="00DE29F8" w:rsidRDefault="00DE29F8" w:rsidP="00303532">
            <w:pPr>
              <w:pStyle w:val="ListBullet2"/>
            </w:pPr>
            <w:r>
              <w:t>the Service Provider incurs costs in responding to the RoLR event in accordance with its obligations under the NERL, NERR, NGL or NGR (including Guidelines and procedures that are binding under those instruments), and</w:t>
            </w:r>
          </w:p>
          <w:p w:rsidR="00DE29F8" w:rsidRPr="00DE29F8" w:rsidRDefault="00DE29F8" w:rsidP="00303532">
            <w:pPr>
              <w:pStyle w:val="ListBullet2"/>
            </w:pPr>
            <w:r>
              <w:t>the costs are not recoverable by the Service Provider under other provisions of the NERL, NERR, NGL or NGR as in force at the time of the event, including but not limited to rule 531 of the NGR and other pass through events in this Access Arrangement.</w:t>
            </w:r>
          </w:p>
          <w:p w:rsidR="0023181E" w:rsidRPr="003703F7" w:rsidRDefault="00DE29F8" w:rsidP="00303532">
            <w:r>
              <w:t>Note for the avoidance of doubt, in making a determination on a Network User Failure Event pursuant to clause</w:t>
            </w:r>
            <w:r w:rsidR="00303532">
              <w:t xml:space="preserve"> 3.4(i) [of JGN’s Access Arrangement]</w:t>
            </w:r>
            <w:r w:rsidRPr="00DE29F8">
              <w:t xml:space="preserve"> , the AER will have regard to, amongst other things, the extent to which the Service Provider has taken steps to minimise the costs associated with its responsibilities in a RoLR Event, both prior to, and after, the RoLR Event was triggered</w:t>
            </w:r>
            <w:r w:rsidR="00724237">
              <w:t>.</w:t>
            </w:r>
          </w:p>
        </w:tc>
      </w:tr>
    </w:tbl>
    <w:p w:rsidR="00DE563D" w:rsidRPr="00AF1F9E" w:rsidRDefault="00FB5826" w:rsidP="00DE0C78">
      <w:pPr>
        <w:pStyle w:val="Heading2"/>
      </w:pPr>
      <w:bookmarkStart w:id="14" w:name="_Toc403144137"/>
      <w:bookmarkStart w:id="15" w:name="_Toc420510022"/>
      <w:r>
        <w:t>JGN's</w:t>
      </w:r>
      <w:r w:rsidR="00AF1F9E">
        <w:t xml:space="preserve"> revised</w:t>
      </w:r>
      <w:r w:rsidR="00DE563D" w:rsidRPr="00AF1F9E">
        <w:t xml:space="preserve"> proposal</w:t>
      </w:r>
      <w:bookmarkEnd w:id="14"/>
      <w:bookmarkEnd w:id="15"/>
    </w:p>
    <w:p w:rsidR="0064445E" w:rsidRDefault="0064445E" w:rsidP="00DE0C78">
      <w:pPr>
        <w:pStyle w:val="Heading3"/>
        <w:keepNext/>
      </w:pPr>
      <w:bookmarkStart w:id="16" w:name="_Toc420510023"/>
      <w:r>
        <w:t>Reference tariff variation mechanism</w:t>
      </w:r>
      <w:bookmarkEnd w:id="16"/>
    </w:p>
    <w:p w:rsidR="0064445E" w:rsidRPr="0064445E" w:rsidRDefault="0064445E" w:rsidP="0064445E">
      <w:r>
        <w:t xml:space="preserve">JGN's revised </w:t>
      </w:r>
      <w:r w:rsidR="004B073B">
        <w:t xml:space="preserve">proposal </w:t>
      </w:r>
      <w:r>
        <w:t xml:space="preserve">accepted our draft decision on </w:t>
      </w:r>
      <w:r w:rsidR="00C43A99">
        <w:t xml:space="preserve">the </w:t>
      </w:r>
      <w:r>
        <w:t>reference tariff variation mechanism but suggested drafting changes for better clarity</w:t>
      </w:r>
      <w:r w:rsidRPr="0064445E">
        <w:t>.</w:t>
      </w:r>
      <w:r>
        <w:rPr>
          <w:rStyle w:val="FootnoteReference"/>
        </w:rPr>
        <w:footnoteReference w:id="2"/>
      </w:r>
    </w:p>
    <w:p w:rsidR="00DE563D" w:rsidRDefault="00CE43B1" w:rsidP="009A0ACD">
      <w:pPr>
        <w:pStyle w:val="Heading3"/>
        <w:keepNext/>
      </w:pPr>
      <w:bookmarkStart w:id="17" w:name="_Toc420510024"/>
      <w:r>
        <w:lastRenderedPageBreak/>
        <w:t xml:space="preserve">Cost pass through </w:t>
      </w:r>
      <w:r w:rsidR="00605FB4">
        <w:t>events</w:t>
      </w:r>
      <w:bookmarkEnd w:id="17"/>
    </w:p>
    <w:p w:rsidR="00245D8B" w:rsidRDefault="001B094B" w:rsidP="009A0ACD">
      <w:pPr>
        <w:keepNext/>
      </w:pPr>
      <w:r>
        <w:t>In its revised proposal JGN</w:t>
      </w:r>
      <w:r w:rsidR="00245D8B">
        <w:t>:</w:t>
      </w:r>
    </w:p>
    <w:p w:rsidR="00245D8B" w:rsidRDefault="00245D8B" w:rsidP="00245D8B">
      <w:pPr>
        <w:pStyle w:val="AERbulletlistfirststyle"/>
      </w:pPr>
      <w:r>
        <w:t xml:space="preserve">accepted </w:t>
      </w:r>
      <w:r w:rsidR="00DE0C78">
        <w:t>the revisions to</w:t>
      </w:r>
      <w:r>
        <w:t xml:space="preserve"> the service standard event and regulatory change event in the draft decision</w:t>
      </w:r>
      <w:r w:rsidR="001B094B">
        <w:t xml:space="preserve">, </w:t>
      </w:r>
      <w:r w:rsidR="00A76DD9">
        <w:t>subject to</w:t>
      </w:r>
      <w:r w:rsidR="001B094B">
        <w:t xml:space="preserve"> drafting </w:t>
      </w:r>
      <w:r w:rsidR="00532269">
        <w:t>amendments</w:t>
      </w:r>
    </w:p>
    <w:p w:rsidR="001B094B" w:rsidRDefault="001B094B" w:rsidP="00245D8B">
      <w:pPr>
        <w:pStyle w:val="AERbulletlistfirststyle"/>
      </w:pPr>
      <w:r>
        <w:t xml:space="preserve">accepted </w:t>
      </w:r>
      <w:r w:rsidR="00A76DD9">
        <w:t>our</w:t>
      </w:r>
      <w:r>
        <w:t xml:space="preserve"> </w:t>
      </w:r>
      <w:r w:rsidR="00CF1216">
        <w:t xml:space="preserve">draft decision to reject JGN's </w:t>
      </w:r>
      <w:r w:rsidR="00DE0C78">
        <w:t xml:space="preserve">proposed </w:t>
      </w:r>
      <w:r w:rsidR="00CF1216">
        <w:t>B</w:t>
      </w:r>
      <w:r>
        <w:t xml:space="preserve">usiness </w:t>
      </w:r>
      <w:r w:rsidR="00CF1216">
        <w:t>C</w:t>
      </w:r>
      <w:r w:rsidR="00532269">
        <w:t>ontinuity</w:t>
      </w:r>
      <w:r>
        <w:t xml:space="preserve"> </w:t>
      </w:r>
      <w:r w:rsidR="00CF1216">
        <w:t>E</w:t>
      </w:r>
      <w:r>
        <w:t>vent. In its place JGN proposed five</w:t>
      </w:r>
      <w:r w:rsidR="00D206EC">
        <w:t xml:space="preserve"> more </w:t>
      </w:r>
      <w:r>
        <w:t>specifically defined events:</w:t>
      </w:r>
    </w:p>
    <w:p w:rsidR="001B094B" w:rsidRPr="00532269" w:rsidRDefault="008B16ED" w:rsidP="009536E6">
      <w:pPr>
        <w:pStyle w:val="AERbulletlistsecondstyle"/>
      </w:pPr>
      <w:r>
        <w:t>I</w:t>
      </w:r>
      <w:r w:rsidR="00532269" w:rsidRPr="00532269">
        <w:t xml:space="preserve">nsurance </w:t>
      </w:r>
      <w:r>
        <w:t>C</w:t>
      </w:r>
      <w:r w:rsidR="00532269" w:rsidRPr="00532269">
        <w:t xml:space="preserve">ap </w:t>
      </w:r>
      <w:r>
        <w:t>E</w:t>
      </w:r>
      <w:r w:rsidR="00532269" w:rsidRPr="00532269">
        <w:t>vent</w:t>
      </w:r>
    </w:p>
    <w:p w:rsidR="00532269" w:rsidRPr="00532269" w:rsidRDefault="008B16ED" w:rsidP="009536E6">
      <w:pPr>
        <w:pStyle w:val="AERbulletlistsecondstyle"/>
      </w:pPr>
      <w:r>
        <w:t>N</w:t>
      </w:r>
      <w:r w:rsidR="00532269" w:rsidRPr="00532269">
        <w:t xml:space="preserve">atural </w:t>
      </w:r>
      <w:r>
        <w:t>D</w:t>
      </w:r>
      <w:r w:rsidR="00532269" w:rsidRPr="00532269">
        <w:t xml:space="preserve">isaster </w:t>
      </w:r>
      <w:r>
        <w:t>E</w:t>
      </w:r>
      <w:r w:rsidR="00532269" w:rsidRPr="00532269">
        <w:t>vent</w:t>
      </w:r>
    </w:p>
    <w:p w:rsidR="00532269" w:rsidRPr="00532269" w:rsidRDefault="008B16ED" w:rsidP="009536E6">
      <w:pPr>
        <w:pStyle w:val="AERbulletlistsecondstyle"/>
      </w:pPr>
      <w:r>
        <w:t>Terrorism E</w:t>
      </w:r>
      <w:r w:rsidR="00532269" w:rsidRPr="00532269">
        <w:t>vent</w:t>
      </w:r>
    </w:p>
    <w:p w:rsidR="00532269" w:rsidRPr="00532269" w:rsidRDefault="008B16ED" w:rsidP="009536E6">
      <w:pPr>
        <w:pStyle w:val="AERbulletlistsecondstyle"/>
      </w:pPr>
      <w:r>
        <w:t>Gas Supply Shortfall E</w:t>
      </w:r>
      <w:r w:rsidR="00532269" w:rsidRPr="00532269">
        <w:t>vent</w:t>
      </w:r>
      <w:r w:rsidR="00B86D5F">
        <w:t>, and</w:t>
      </w:r>
    </w:p>
    <w:p w:rsidR="00532269" w:rsidRPr="00532269" w:rsidRDefault="008B16ED" w:rsidP="009536E6">
      <w:pPr>
        <w:pStyle w:val="AERbulletlistsecondstyle"/>
      </w:pPr>
      <w:r>
        <w:t>Insurer Credit Risk E</w:t>
      </w:r>
      <w:r w:rsidR="00532269" w:rsidRPr="00532269">
        <w:t>vent.</w:t>
      </w:r>
    </w:p>
    <w:p w:rsidR="00532269" w:rsidRDefault="00B86D5F" w:rsidP="00245D8B">
      <w:pPr>
        <w:pStyle w:val="AERbulletlistfirststyle"/>
      </w:pPr>
      <w:r>
        <w:t>d</w:t>
      </w:r>
      <w:r w:rsidR="00532269">
        <w:t>id not accept our draft decision to reject</w:t>
      </w:r>
      <w:r w:rsidR="009536E6">
        <w:t xml:space="preserve"> </w:t>
      </w:r>
      <w:r w:rsidR="00DE0C78">
        <w:t>its proposed</w:t>
      </w:r>
      <w:r w:rsidR="009536E6">
        <w:t xml:space="preserve"> </w:t>
      </w:r>
      <w:r w:rsidR="008B16ED">
        <w:t>N</w:t>
      </w:r>
      <w:r w:rsidR="009536E6">
        <w:t xml:space="preserve">etwork </w:t>
      </w:r>
      <w:r w:rsidR="008B16ED">
        <w:t>U</w:t>
      </w:r>
      <w:r w:rsidR="009536E6">
        <w:t xml:space="preserve">ser </w:t>
      </w:r>
      <w:r w:rsidR="008B16ED">
        <w:t>F</w:t>
      </w:r>
      <w:r w:rsidR="009536E6">
        <w:t xml:space="preserve">ailure </w:t>
      </w:r>
      <w:r w:rsidR="008B16ED">
        <w:t>E</w:t>
      </w:r>
      <w:r w:rsidR="009536E6">
        <w:t>vent</w:t>
      </w:r>
    </w:p>
    <w:p w:rsidR="00B86D5F" w:rsidRDefault="00B86D5F" w:rsidP="00245D8B">
      <w:pPr>
        <w:pStyle w:val="AERbulletlistfirststyle"/>
      </w:pPr>
      <w:r>
        <w:t>d</w:t>
      </w:r>
      <w:r w:rsidR="00532269">
        <w:t xml:space="preserve">id not accept our draft decision to </w:t>
      </w:r>
      <w:r w:rsidR="00DE0C78">
        <w:t>apply</w:t>
      </w:r>
      <w:r w:rsidR="00532269">
        <w:t xml:space="preserve"> a materiality threshold of </w:t>
      </w:r>
      <w:r>
        <w:t>one</w:t>
      </w:r>
      <w:r w:rsidR="00532269">
        <w:t xml:space="preserve"> per cent revenue to all approved pass through events</w:t>
      </w:r>
      <w:r>
        <w:t>, and</w:t>
      </w:r>
    </w:p>
    <w:p w:rsidR="00245D8B" w:rsidRDefault="00B86D5F" w:rsidP="00245D8B">
      <w:pPr>
        <w:pStyle w:val="AERbulletlistfirststyle"/>
      </w:pPr>
      <w:r>
        <w:t>did not accept our rejection of JGN's proposed fixed principle in relation to cross period pass through events.</w:t>
      </w:r>
    </w:p>
    <w:p w:rsidR="00DE563D" w:rsidRPr="00AF1F9E" w:rsidRDefault="00DE563D" w:rsidP="00AF1F9E">
      <w:pPr>
        <w:pStyle w:val="Heading2"/>
      </w:pPr>
      <w:bookmarkStart w:id="18" w:name="_Toc403144138"/>
      <w:bookmarkStart w:id="19" w:name="_Toc420510025"/>
      <w:r w:rsidRPr="00AF1F9E">
        <w:t>AER’s assessment approach</w:t>
      </w:r>
      <w:bookmarkEnd w:id="18"/>
      <w:bookmarkEnd w:id="19"/>
    </w:p>
    <w:p w:rsidR="0064445E" w:rsidRPr="00CE43B1" w:rsidRDefault="0064445E" w:rsidP="0064445E">
      <w:r>
        <w:t>Our approach to assessing the reference tariff variation mechanism</w:t>
      </w:r>
      <w:r w:rsidR="00D206EC">
        <w:t xml:space="preserve"> and JGN's proposed pass through events </w:t>
      </w:r>
      <w:r>
        <w:t>was described in detail in our draft decision for JGN.</w:t>
      </w:r>
      <w:r w:rsidR="00D206EC" w:rsidRPr="00D206EC">
        <w:rPr>
          <w:rStyle w:val="FootnoteReference"/>
        </w:rPr>
        <w:t xml:space="preserve"> </w:t>
      </w:r>
      <w:r w:rsidR="00D206EC">
        <w:rPr>
          <w:rStyle w:val="FootnoteReference"/>
        </w:rPr>
        <w:footnoteReference w:id="3"/>
      </w:r>
      <w:r w:rsidR="00D206EC">
        <w:t xml:space="preserve"> </w:t>
      </w:r>
      <w:r>
        <w:t xml:space="preserve"> We maintained this approach for the final decision. </w:t>
      </w:r>
    </w:p>
    <w:p w:rsidR="00DE563D" w:rsidRDefault="00DE563D" w:rsidP="00AF1F9E">
      <w:pPr>
        <w:pStyle w:val="Heading2"/>
      </w:pPr>
      <w:bookmarkStart w:id="20" w:name="_Toc420066406"/>
      <w:bookmarkStart w:id="21" w:name="_Toc420066407"/>
      <w:bookmarkStart w:id="22" w:name="_Toc403144140"/>
      <w:bookmarkStart w:id="23" w:name="_Toc420510026"/>
      <w:bookmarkEnd w:id="20"/>
      <w:bookmarkEnd w:id="21"/>
      <w:r w:rsidRPr="00AF1F9E">
        <w:t xml:space="preserve">Reasons for </w:t>
      </w:r>
      <w:r w:rsidR="00AF1F9E">
        <w:t>final</w:t>
      </w:r>
      <w:r w:rsidRPr="00AF1F9E">
        <w:t xml:space="preserve"> decision</w:t>
      </w:r>
      <w:bookmarkEnd w:id="22"/>
      <w:bookmarkEnd w:id="23"/>
      <w:r w:rsidRPr="00AF1F9E">
        <w:t xml:space="preserve"> </w:t>
      </w:r>
    </w:p>
    <w:p w:rsidR="00B86D5F" w:rsidRDefault="00B86D5F" w:rsidP="00B86D5F">
      <w:pPr>
        <w:pStyle w:val="Heading3"/>
      </w:pPr>
      <w:bookmarkStart w:id="24" w:name="_Toc420510027"/>
      <w:r>
        <w:t>Reference tariff variation mechanism</w:t>
      </w:r>
      <w:bookmarkEnd w:id="24"/>
    </w:p>
    <w:p w:rsidR="00892517" w:rsidRDefault="009856A7" w:rsidP="00892517">
      <w:r>
        <w:t>We</w:t>
      </w:r>
      <w:r w:rsidR="00CB0D7D">
        <w:t xml:space="preserve"> accept </w:t>
      </w:r>
      <w:r w:rsidR="00A8604F">
        <w:t xml:space="preserve">most of </w:t>
      </w:r>
      <w:r w:rsidR="00CB0D7D">
        <w:t>JGN's proposed drafting changes</w:t>
      </w:r>
      <w:r w:rsidR="00955E73">
        <w:t xml:space="preserve"> and t</w:t>
      </w:r>
      <w:r w:rsidR="003E50D9">
        <w:t xml:space="preserve">he details are provided below. </w:t>
      </w:r>
      <w:r w:rsidR="00D206EC">
        <w:t>H</w:t>
      </w:r>
      <w:r w:rsidR="003E50D9">
        <w:t>owever</w:t>
      </w:r>
      <w:r w:rsidR="00D206EC">
        <w:t xml:space="preserve">, the </w:t>
      </w:r>
      <w:r w:rsidR="003E50D9">
        <w:t xml:space="preserve">initial reference </w:t>
      </w:r>
      <w:r w:rsidR="003E50D9" w:rsidRPr="00794320">
        <w:t xml:space="preserve">tariffs </w:t>
      </w:r>
      <w:r w:rsidR="00D206EC">
        <w:t xml:space="preserve">in JGN's revised proposal </w:t>
      </w:r>
      <w:r w:rsidR="003E50D9" w:rsidRPr="00794320">
        <w:t xml:space="preserve">must be </w:t>
      </w:r>
      <w:r w:rsidR="003B63EA">
        <w:t>amended to reflect</w:t>
      </w:r>
      <w:r w:rsidR="003E50D9" w:rsidRPr="00794320">
        <w:t xml:space="preserve"> </w:t>
      </w:r>
      <w:r w:rsidR="003E50D9">
        <w:t xml:space="preserve">our </w:t>
      </w:r>
      <w:r w:rsidR="00D206EC">
        <w:t xml:space="preserve">final </w:t>
      </w:r>
      <w:r w:rsidR="003E50D9" w:rsidRPr="00794320">
        <w:t>decision on total revenue and forecast demand</w:t>
      </w:r>
      <w:r w:rsidR="003B63EA">
        <w:t>.</w:t>
      </w:r>
    </w:p>
    <w:p w:rsidR="00577577" w:rsidRDefault="00577577">
      <w:pPr>
        <w:spacing w:line="240" w:lineRule="auto"/>
        <w:rPr>
          <w:b/>
          <w:bCs/>
          <w:color w:val="076A92" w:themeColor="text1"/>
          <w:sz w:val="24"/>
          <w:szCs w:val="18"/>
        </w:rPr>
      </w:pPr>
      <w:r>
        <w:br w:type="page"/>
      </w:r>
    </w:p>
    <w:p w:rsidR="00892517" w:rsidRDefault="008750B0" w:rsidP="008750B0">
      <w:pPr>
        <w:pStyle w:val="Caption"/>
      </w:pPr>
      <w:r>
        <w:lastRenderedPageBreak/>
        <w:t xml:space="preserve">Table </w:t>
      </w:r>
      <w:fldSimple w:instr=" STYLEREF 1 \s ">
        <w:r w:rsidR="00EF7A04">
          <w:rPr>
            <w:noProof/>
          </w:rPr>
          <w:t>11</w:t>
        </w:r>
      </w:fldSimple>
      <w:r w:rsidR="00D11D3A">
        <w:t>.</w:t>
      </w:r>
      <w:fldSimple w:instr=" SEQ Table \* ARABIC \s 1 ">
        <w:r w:rsidR="00EF7A04">
          <w:rPr>
            <w:noProof/>
          </w:rPr>
          <w:t>2</w:t>
        </w:r>
      </w:fldSimple>
      <w:r>
        <w:t>:</w:t>
      </w:r>
      <w:r>
        <w:tab/>
        <w:t>AER consideration on JGN's revised proposal reference tariff variation mechanism</w:t>
      </w:r>
    </w:p>
    <w:tbl>
      <w:tblPr>
        <w:tblStyle w:val="AERtable-text0"/>
        <w:tblW w:w="0" w:type="auto"/>
        <w:tblLook w:val="04A0" w:firstRow="1" w:lastRow="0" w:firstColumn="1" w:lastColumn="0" w:noHBand="0" w:noVBand="1"/>
      </w:tblPr>
      <w:tblGrid>
        <w:gridCol w:w="969"/>
        <w:gridCol w:w="2035"/>
        <w:gridCol w:w="2604"/>
        <w:gridCol w:w="3085"/>
      </w:tblGrid>
      <w:tr w:rsidR="00892517" w:rsidTr="00BD76FC">
        <w:trPr>
          <w:cnfStyle w:val="100000000000" w:firstRow="1" w:lastRow="0" w:firstColumn="0" w:lastColumn="0" w:oddVBand="0" w:evenVBand="0" w:oddHBand="0" w:evenHBand="0" w:firstRowFirstColumn="0" w:firstRowLastColumn="0" w:lastRowFirstColumn="0" w:lastRowLastColumn="0"/>
          <w:tblHeader/>
        </w:trPr>
        <w:tc>
          <w:tcPr>
            <w:tcW w:w="0" w:type="auto"/>
          </w:tcPr>
          <w:p w:rsidR="00892517" w:rsidRPr="00892517" w:rsidRDefault="00892517" w:rsidP="00892517">
            <w:r w:rsidRPr="00DD71C1">
              <w:t xml:space="preserve">Clause of AA </w:t>
            </w:r>
          </w:p>
        </w:tc>
        <w:tc>
          <w:tcPr>
            <w:tcW w:w="0" w:type="auto"/>
          </w:tcPr>
          <w:p w:rsidR="00892517" w:rsidRDefault="00892517" w:rsidP="00174F79">
            <w:pPr>
              <w:jc w:val="right"/>
            </w:pPr>
            <w:r w:rsidRPr="00892517">
              <w:t>AER</w:t>
            </w:r>
            <w:r>
              <w:t xml:space="preserve">'s intention </w:t>
            </w:r>
            <w:r w:rsidR="00174F79">
              <w:t>for</w:t>
            </w:r>
            <w:r w:rsidRPr="00892517">
              <w:t xml:space="preserve"> draft decision </w:t>
            </w:r>
          </w:p>
        </w:tc>
        <w:tc>
          <w:tcPr>
            <w:tcW w:w="0" w:type="auto"/>
          </w:tcPr>
          <w:p w:rsidR="00892517" w:rsidRPr="00892517" w:rsidRDefault="00892517" w:rsidP="00892517">
            <w:r w:rsidRPr="00DD71C1">
              <w:t>JGN</w:t>
            </w:r>
            <w:r w:rsidR="00174F79">
              <w:t>'s</w:t>
            </w:r>
            <w:r w:rsidRPr="00DD71C1">
              <w:t xml:space="preserve"> revised proposal </w:t>
            </w:r>
          </w:p>
          <w:p w:rsidR="00892517" w:rsidRDefault="00892517" w:rsidP="00892517"/>
        </w:tc>
        <w:tc>
          <w:tcPr>
            <w:tcW w:w="0" w:type="auto"/>
          </w:tcPr>
          <w:p w:rsidR="00892517" w:rsidRPr="00892517" w:rsidRDefault="00892517" w:rsidP="00892517">
            <w:r>
              <w:t>AER consideration</w:t>
            </w:r>
          </w:p>
        </w:tc>
      </w:tr>
      <w:tr w:rsidR="00892517" w:rsidTr="00D37A44">
        <w:tc>
          <w:tcPr>
            <w:tcW w:w="0" w:type="auto"/>
          </w:tcPr>
          <w:p w:rsidR="00892517" w:rsidRDefault="00892517" w:rsidP="00892517">
            <w:r w:rsidRPr="00892517">
              <w:t xml:space="preserve">3.1(b) </w:t>
            </w:r>
          </w:p>
        </w:tc>
        <w:tc>
          <w:tcPr>
            <w:tcW w:w="0" w:type="auto"/>
          </w:tcPr>
          <w:p w:rsidR="00892517" w:rsidRDefault="000B7E20" w:rsidP="00174F79">
            <w:r>
              <w:t>The intention for this</w:t>
            </w:r>
            <w:r w:rsidR="00892517">
              <w:t xml:space="preserve"> amendment was to give </w:t>
            </w:r>
            <w:r w:rsidR="00174F79">
              <w:t xml:space="preserve">us </w:t>
            </w:r>
            <w:r w:rsidR="00892517">
              <w:t>greater oversight over the tariff variation process.</w:t>
            </w:r>
          </w:p>
        </w:tc>
        <w:tc>
          <w:tcPr>
            <w:tcW w:w="0" w:type="auto"/>
          </w:tcPr>
          <w:p w:rsidR="00EA3B33" w:rsidRDefault="00892517" w:rsidP="00892517">
            <w:r w:rsidRPr="00892517">
              <w:t>AER amendment partly accepted</w:t>
            </w:r>
            <w:r w:rsidR="002C4D1C">
              <w:t>.</w:t>
            </w:r>
          </w:p>
          <w:p w:rsidR="00892517" w:rsidRDefault="00892517" w:rsidP="00D37A44">
            <w:r w:rsidRPr="00892517">
              <w:t>JGN has used the simpler wording from its initial proposal, but included additional wording to make it clearer that variations may only be made with AER approval.</w:t>
            </w:r>
            <w:r w:rsidR="00EA3B33">
              <w:rPr>
                <w:rStyle w:val="FootnoteReference"/>
              </w:rPr>
              <w:footnoteReference w:id="4"/>
            </w:r>
            <w:r w:rsidRPr="00892517">
              <w:t xml:space="preserve"> </w:t>
            </w:r>
          </w:p>
        </w:tc>
        <w:tc>
          <w:tcPr>
            <w:tcW w:w="0" w:type="auto"/>
          </w:tcPr>
          <w:p w:rsidR="00892517" w:rsidRDefault="00EA3B33" w:rsidP="00CE43B1">
            <w:r>
              <w:t>We accept JGN's revisions because it allows us greater oversight on the tariff variation process</w:t>
            </w:r>
            <w:r w:rsidR="00724237">
              <w:t>.</w:t>
            </w:r>
          </w:p>
        </w:tc>
      </w:tr>
      <w:tr w:rsidR="00892517" w:rsidTr="00D37A44">
        <w:trPr>
          <w:cnfStyle w:val="000000010000" w:firstRow="0" w:lastRow="0" w:firstColumn="0" w:lastColumn="0" w:oddVBand="0" w:evenVBand="0" w:oddHBand="0" w:evenHBand="1" w:firstRowFirstColumn="0" w:firstRowLastColumn="0" w:lastRowFirstColumn="0" w:lastRowLastColumn="0"/>
        </w:trPr>
        <w:tc>
          <w:tcPr>
            <w:tcW w:w="0" w:type="auto"/>
          </w:tcPr>
          <w:p w:rsidR="00EA3B33" w:rsidRDefault="00EA3B33" w:rsidP="00EA3B33"/>
          <w:p w:rsidR="00892517" w:rsidRDefault="00892517" w:rsidP="00EA3B33">
            <w:r w:rsidRPr="00892517">
              <w:t>Schedule 2</w:t>
            </w:r>
            <w:r>
              <w:br/>
            </w:r>
            <w:r w:rsidRPr="00892517">
              <w:t xml:space="preserve">item 4 </w:t>
            </w:r>
          </w:p>
        </w:tc>
        <w:tc>
          <w:tcPr>
            <w:tcW w:w="0" w:type="auto"/>
          </w:tcPr>
          <w:p w:rsidR="00892517" w:rsidRDefault="00EA3B33" w:rsidP="00174F79">
            <w:r>
              <w:t>The intention of this amendment was to update the initial reference tariff for the revenue requirement and X factors.</w:t>
            </w:r>
          </w:p>
        </w:tc>
        <w:tc>
          <w:tcPr>
            <w:tcW w:w="0" w:type="auto"/>
          </w:tcPr>
          <w:p w:rsidR="00892517" w:rsidRDefault="00EA3B33" w:rsidP="009F73D8">
            <w:r>
              <w:t>JGN has identified minor drafting issues with the draft decision</w:t>
            </w:r>
            <w:r w:rsidR="00174F79">
              <w:t xml:space="preserve"> (decimal places in tariff prices and tariff names)</w:t>
            </w:r>
            <w:r>
              <w:t xml:space="preserve">. </w:t>
            </w:r>
          </w:p>
        </w:tc>
        <w:tc>
          <w:tcPr>
            <w:tcW w:w="0" w:type="auto"/>
          </w:tcPr>
          <w:p w:rsidR="00892517" w:rsidRDefault="00EA3B33" w:rsidP="00CE43B1">
            <w:r>
              <w:t>We note JGN's suggested drafting changes.</w:t>
            </w:r>
            <w:r w:rsidR="002C4D1C">
              <w:t xml:space="preserve"> Initial reference tariffs will again be updated for the revenue requirement and X factors approved in this final decision.</w:t>
            </w:r>
          </w:p>
        </w:tc>
      </w:tr>
      <w:tr w:rsidR="00830701" w:rsidTr="00D37A44">
        <w:tc>
          <w:tcPr>
            <w:tcW w:w="0" w:type="auto"/>
          </w:tcPr>
          <w:p w:rsidR="00830701" w:rsidRPr="00830701" w:rsidRDefault="00830701" w:rsidP="00830701">
            <w:r w:rsidRPr="00892517">
              <w:t xml:space="preserve">3.6(a)(iii) </w:t>
            </w:r>
          </w:p>
        </w:tc>
        <w:tc>
          <w:tcPr>
            <w:tcW w:w="0" w:type="auto"/>
          </w:tcPr>
          <w:p w:rsidR="00830701" w:rsidRPr="00830701" w:rsidRDefault="00830701" w:rsidP="00A23724">
            <w:r>
              <w:t>The intention for th</w:t>
            </w:r>
            <w:r w:rsidRPr="00830701">
              <w:t xml:space="preserve">is amendment was to give </w:t>
            </w:r>
            <w:r w:rsidR="00A23724">
              <w:t xml:space="preserve">us </w:t>
            </w:r>
            <w:r w:rsidRPr="00830701">
              <w:t>greater oversight over the tariff variation process.</w:t>
            </w:r>
          </w:p>
        </w:tc>
        <w:tc>
          <w:tcPr>
            <w:tcW w:w="0" w:type="auto"/>
          </w:tcPr>
          <w:p w:rsidR="00830701" w:rsidRPr="00830701" w:rsidRDefault="00830701" w:rsidP="00830701">
            <w:r>
              <w:t>JGN did not agree with our drafting changes</w:t>
            </w:r>
            <w:r w:rsidRPr="00830701">
              <w:t xml:space="preserve"> but proposed drafting that is intended to have the same meaning as </w:t>
            </w:r>
            <w:r w:rsidR="00ED6549">
              <w:t>our</w:t>
            </w:r>
            <w:r w:rsidRPr="00830701">
              <w:t xml:space="preserve"> draft decision amendment. </w:t>
            </w:r>
          </w:p>
          <w:p w:rsidR="00830701" w:rsidRDefault="00830701" w:rsidP="00830701"/>
        </w:tc>
        <w:tc>
          <w:tcPr>
            <w:tcW w:w="0" w:type="auto"/>
          </w:tcPr>
          <w:p w:rsidR="00830701" w:rsidRPr="00830701" w:rsidRDefault="00830701" w:rsidP="00830701">
            <w:r>
              <w:t>We accept JGN's revisions because it is consistent with our intention to collect sufficient information from JGN prior to approving its haulage reference tariffs.</w:t>
            </w:r>
          </w:p>
        </w:tc>
      </w:tr>
      <w:tr w:rsidR="00E7799B" w:rsidTr="00D37A44">
        <w:trPr>
          <w:cnfStyle w:val="000000010000" w:firstRow="0" w:lastRow="0" w:firstColumn="0" w:lastColumn="0" w:oddVBand="0" w:evenVBand="0" w:oddHBand="0" w:evenHBand="1" w:firstRowFirstColumn="0" w:firstRowLastColumn="0" w:lastRowFirstColumn="0" w:lastRowLastColumn="0"/>
        </w:trPr>
        <w:tc>
          <w:tcPr>
            <w:tcW w:w="0" w:type="auto"/>
          </w:tcPr>
          <w:p w:rsidR="00E7799B" w:rsidRPr="00E7799B" w:rsidRDefault="00E7799B" w:rsidP="00E7799B">
            <w:r w:rsidRPr="00892517">
              <w:t xml:space="preserve">3.6(a)(iv) </w:t>
            </w:r>
            <w:r w:rsidR="005D4105">
              <w:t xml:space="preserve">and </w:t>
            </w:r>
            <w:r w:rsidR="005D4105" w:rsidRPr="00892517">
              <w:t>3.7(a)(iv)</w:t>
            </w:r>
          </w:p>
        </w:tc>
        <w:tc>
          <w:tcPr>
            <w:tcW w:w="0" w:type="auto"/>
          </w:tcPr>
          <w:p w:rsidR="00E7799B" w:rsidRPr="00E7799B" w:rsidRDefault="00E7799B" w:rsidP="00A23724">
            <w:r>
              <w:t>The intention for th</w:t>
            </w:r>
            <w:r w:rsidRPr="00E7799B">
              <w:t xml:space="preserve">is amendment was to give </w:t>
            </w:r>
            <w:r w:rsidR="00A23724">
              <w:t>us</w:t>
            </w:r>
            <w:r w:rsidRPr="00E7799B">
              <w:t xml:space="preserve"> greater oversight over the tariff variation process</w:t>
            </w:r>
            <w:r>
              <w:t xml:space="preserve"> by requesting auditor sign off historical gas quantity inputs. </w:t>
            </w:r>
          </w:p>
        </w:tc>
        <w:tc>
          <w:tcPr>
            <w:tcW w:w="0" w:type="auto"/>
          </w:tcPr>
          <w:p w:rsidR="00E7799B" w:rsidRPr="00E7799B" w:rsidRDefault="009F73D8" w:rsidP="00E7799B">
            <w:r>
              <w:t xml:space="preserve">JGN largely accepted the </w:t>
            </w:r>
            <w:r w:rsidR="00E7799B" w:rsidRPr="00E7799B">
              <w:t>AER</w:t>
            </w:r>
            <w:r>
              <w:t>'s</w:t>
            </w:r>
            <w:r w:rsidR="00E7799B" w:rsidRPr="00E7799B">
              <w:t xml:space="preserve"> amendments </w:t>
            </w:r>
            <w:r w:rsidR="00E7799B">
              <w:t xml:space="preserve">subject to minor </w:t>
            </w:r>
            <w:r w:rsidR="00716CAE">
              <w:t xml:space="preserve">drafting </w:t>
            </w:r>
            <w:r w:rsidR="00E7799B">
              <w:t>amendments.</w:t>
            </w:r>
            <w:r w:rsidR="00E7799B" w:rsidRPr="00E7799B">
              <w:t xml:space="preserve"> </w:t>
            </w:r>
          </w:p>
          <w:p w:rsidR="00E7799B" w:rsidRDefault="00E7799B" w:rsidP="00E7799B"/>
        </w:tc>
        <w:tc>
          <w:tcPr>
            <w:tcW w:w="0" w:type="auto"/>
          </w:tcPr>
          <w:p w:rsidR="00E7799B" w:rsidRDefault="00E7799B" w:rsidP="00E7799B">
            <w:r>
              <w:t xml:space="preserve">We accept JGN's revisions because it </w:t>
            </w:r>
            <w:r w:rsidR="009F73D8">
              <w:t xml:space="preserve">is </w:t>
            </w:r>
            <w:r>
              <w:t xml:space="preserve">consistent with our intention to allow us greater oversight </w:t>
            </w:r>
            <w:r w:rsidR="00A23724">
              <w:t>and certainty over</w:t>
            </w:r>
            <w:r>
              <w:t xml:space="preserve"> the tariff variation process</w:t>
            </w:r>
            <w:r w:rsidR="00724237">
              <w:t>.</w:t>
            </w:r>
          </w:p>
        </w:tc>
      </w:tr>
      <w:tr w:rsidR="005D4105" w:rsidTr="00D37A44">
        <w:tc>
          <w:tcPr>
            <w:tcW w:w="0" w:type="auto"/>
          </w:tcPr>
          <w:p w:rsidR="005D4105" w:rsidRPr="005D4105" w:rsidRDefault="005D4105" w:rsidP="005D4105">
            <w:r w:rsidRPr="00892517">
              <w:t xml:space="preserve">3.2(b) </w:t>
            </w:r>
          </w:p>
        </w:tc>
        <w:tc>
          <w:tcPr>
            <w:tcW w:w="0" w:type="auto"/>
          </w:tcPr>
          <w:p w:rsidR="005D4105" w:rsidRDefault="005D4105" w:rsidP="005D4105">
            <w:r>
              <w:t>This revision was intended to update the reference tariff variation mechanism formula.</w:t>
            </w:r>
          </w:p>
        </w:tc>
        <w:tc>
          <w:tcPr>
            <w:tcW w:w="0" w:type="auto"/>
          </w:tcPr>
          <w:p w:rsidR="005D4105" w:rsidRDefault="00FE149C" w:rsidP="005D4105">
            <w:r>
              <w:t>JGN partially accepted our draft decision:</w:t>
            </w:r>
          </w:p>
          <w:p w:rsidR="00FE149C" w:rsidRDefault="00FE149C" w:rsidP="00C55D2B">
            <w:pPr>
              <w:pStyle w:val="AERbulletlistfirststyle"/>
            </w:pPr>
            <w:r>
              <w:t>Amendment 11.4.1: ability to vary, add or remove tariffs. JGN considers that it should be allowed to vary tariffs under the access arrangement with the AER's approval rather than through NER clause 65.</w:t>
            </w:r>
          </w:p>
          <w:p w:rsidR="00FE149C" w:rsidRDefault="00FE149C" w:rsidP="00C55D2B">
            <w:pPr>
              <w:pStyle w:val="AERbulletlistfirststyle"/>
            </w:pPr>
            <w:r>
              <w:t xml:space="preserve">Accepted the </w:t>
            </w:r>
            <w:r w:rsidRPr="00FE149C">
              <w:t xml:space="preserve">AER’s draft decision </w:t>
            </w:r>
            <w:r>
              <w:t>on the r</w:t>
            </w:r>
            <w:r w:rsidRPr="00FE149C">
              <w:t>ebalancing side constraint formula</w:t>
            </w:r>
            <w:r>
              <w:t>.</w:t>
            </w:r>
          </w:p>
          <w:p w:rsidR="00FE149C" w:rsidRDefault="00FE149C" w:rsidP="00C55D2B">
            <w:pPr>
              <w:pStyle w:val="AERbulletlistfirststyle"/>
            </w:pPr>
            <w:r>
              <w:t>Rejected the AER's definition for CPI</w:t>
            </w:r>
          </w:p>
          <w:p w:rsidR="00FE149C" w:rsidRDefault="00FE149C" w:rsidP="00D37A44">
            <w:pPr>
              <w:pStyle w:val="AERbulletlistfirststyle"/>
            </w:pPr>
            <w:r>
              <w:t xml:space="preserve">Proposed changes to the </w:t>
            </w:r>
            <w:r>
              <w:lastRenderedPageBreak/>
              <w:t>AER's definition of the X factor.</w:t>
            </w:r>
            <w:r w:rsidRPr="00FE149C">
              <w:t xml:space="preserve"> </w:t>
            </w:r>
          </w:p>
        </w:tc>
        <w:tc>
          <w:tcPr>
            <w:tcW w:w="0" w:type="auto"/>
          </w:tcPr>
          <w:p w:rsidR="00FE149C" w:rsidRDefault="00FE149C" w:rsidP="00FE149C">
            <w:r>
              <w:lastRenderedPageBreak/>
              <w:t>We accept JGN</w:t>
            </w:r>
            <w:r w:rsidR="00A23724">
              <w:t>'s</w:t>
            </w:r>
            <w:r>
              <w:t xml:space="preserve"> proposal</w:t>
            </w:r>
            <w:r w:rsidR="009F73D8">
              <w:t xml:space="preserve"> to</w:t>
            </w:r>
            <w:r>
              <w:t xml:space="preserve"> vary tariffs under the access arrangement</w:t>
            </w:r>
            <w:r w:rsidRPr="00FE149C">
              <w:t xml:space="preserve"> with</w:t>
            </w:r>
            <w:r>
              <w:t xml:space="preserve"> our </w:t>
            </w:r>
            <w:r w:rsidRPr="00FE149C">
              <w:t>approval rather than through NER clause 65.</w:t>
            </w:r>
            <w:r w:rsidR="00C55D2B">
              <w:t xml:space="preserve"> We consider that JGN's access arrangement allow us sufficient oversight on the tariff variation process should JGN decide to vary, withdraw or vary, add or remove reference tariffs.</w:t>
            </w:r>
          </w:p>
          <w:p w:rsidR="00C55D2B" w:rsidRDefault="00C55D2B" w:rsidP="00C55D2B">
            <w:r>
              <w:t>We accept JGN's definition of CPI because the December quarter will be</w:t>
            </w:r>
            <w:r w:rsidR="009F73D8">
              <w:t xml:space="preserve"> the</w:t>
            </w:r>
            <w:r>
              <w:t xml:space="preserve"> </w:t>
            </w:r>
            <w:r w:rsidRPr="00C55D2B">
              <w:t>most up to date data</w:t>
            </w:r>
            <w:r>
              <w:t xml:space="preserve"> available.</w:t>
            </w:r>
          </w:p>
          <w:p w:rsidR="00C55D2B" w:rsidRPr="00C55D2B" w:rsidRDefault="00C55D2B" w:rsidP="00C55D2B">
            <w:r>
              <w:t>We accept JGN's proposed definition changes to the X factor noting that it will be based on our final decision and JGN's revenue model.</w:t>
            </w:r>
            <w:r w:rsidRPr="00C55D2B">
              <w:t xml:space="preserve"> </w:t>
            </w:r>
          </w:p>
          <w:p w:rsidR="00C55D2B" w:rsidRPr="00FE149C" w:rsidRDefault="00C55D2B" w:rsidP="00FE149C"/>
          <w:p w:rsidR="005D4105" w:rsidRDefault="005D4105" w:rsidP="005D4105"/>
        </w:tc>
      </w:tr>
      <w:tr w:rsidR="005D4105" w:rsidTr="00D37A44">
        <w:trPr>
          <w:cnfStyle w:val="000000010000" w:firstRow="0" w:lastRow="0" w:firstColumn="0" w:lastColumn="0" w:oddVBand="0" w:evenVBand="0" w:oddHBand="0" w:evenHBand="1" w:firstRowFirstColumn="0" w:firstRowLastColumn="0" w:lastRowFirstColumn="0" w:lastRowLastColumn="0"/>
        </w:trPr>
        <w:tc>
          <w:tcPr>
            <w:tcW w:w="0" w:type="auto"/>
          </w:tcPr>
          <w:p w:rsidR="005D4105" w:rsidRPr="005D4105" w:rsidRDefault="005D4105" w:rsidP="00B127B5">
            <w:r w:rsidRPr="00892517">
              <w:lastRenderedPageBreak/>
              <w:t>Schedule</w:t>
            </w:r>
            <w:r w:rsidR="00B127B5">
              <w:t xml:space="preserve"> </w:t>
            </w:r>
            <w:r w:rsidRPr="00892517">
              <w:t xml:space="preserve">3 </w:t>
            </w:r>
          </w:p>
        </w:tc>
        <w:tc>
          <w:tcPr>
            <w:tcW w:w="0" w:type="auto"/>
          </w:tcPr>
          <w:p w:rsidR="00D37A44" w:rsidRDefault="00D37A44" w:rsidP="00D37A44">
            <w:r>
              <w:t>This revision was intended to allow only carbon cost</w:t>
            </w:r>
            <w:r w:rsidR="00A23724">
              <w:t>s</w:t>
            </w:r>
            <w:r>
              <w:t xml:space="preserve"> that w</w:t>
            </w:r>
            <w:r w:rsidR="00A23724">
              <w:t>ere</w:t>
            </w:r>
            <w:r>
              <w:t xml:space="preserve"> approved by </w:t>
            </w:r>
            <w:r w:rsidR="009F73D8">
              <w:t xml:space="preserve">the AER </w:t>
            </w:r>
            <w:r>
              <w:t xml:space="preserve">to be recovered. </w:t>
            </w:r>
          </w:p>
          <w:p w:rsidR="00D37A44" w:rsidRPr="00D37A44" w:rsidRDefault="00D37A44" w:rsidP="00D37A44">
            <w:r>
              <w:t xml:space="preserve">Also included were amendments to the </w:t>
            </w:r>
            <w:r w:rsidRPr="00D37A44">
              <w:t xml:space="preserve">APt definition </w:t>
            </w:r>
            <w:r>
              <w:t>and revision</w:t>
            </w:r>
            <w:r w:rsidR="009F73D8">
              <w:t>s to</w:t>
            </w:r>
            <w:r>
              <w:t xml:space="preserve"> 11.4 as stated above.</w:t>
            </w:r>
          </w:p>
          <w:p w:rsidR="005D4105" w:rsidRDefault="00D37A44" w:rsidP="00D37A44">
            <w:r>
              <w:t xml:space="preserve"> </w:t>
            </w:r>
          </w:p>
        </w:tc>
        <w:tc>
          <w:tcPr>
            <w:tcW w:w="0" w:type="auto"/>
          </w:tcPr>
          <w:p w:rsidR="00D37A44" w:rsidRDefault="009F73D8" w:rsidP="00D37A44">
            <w:r>
              <w:t xml:space="preserve">JGN largely accepted the </w:t>
            </w:r>
            <w:r w:rsidR="00D37A44">
              <w:t>AER</w:t>
            </w:r>
            <w:r>
              <w:t>'s</w:t>
            </w:r>
            <w:r w:rsidR="00D37A44">
              <w:t xml:space="preserve"> amendment</w:t>
            </w:r>
            <w:r>
              <w:t>s</w:t>
            </w:r>
            <w:r w:rsidR="00D37A44">
              <w:t xml:space="preserve"> for carbon but suggested minor changes.</w:t>
            </w:r>
          </w:p>
          <w:p w:rsidR="00D37A44" w:rsidRPr="00D37A44" w:rsidRDefault="00D37A44" w:rsidP="00D37A44">
            <w:r>
              <w:t xml:space="preserve">AER amendment to the </w:t>
            </w:r>
            <w:r w:rsidRPr="00D37A44">
              <w:t>APt definition</w:t>
            </w:r>
            <w:r>
              <w:t xml:space="preserve"> was not accepted.</w:t>
            </w:r>
          </w:p>
          <w:p w:rsidR="005D4105" w:rsidRDefault="005D4105" w:rsidP="005D4105"/>
        </w:tc>
        <w:tc>
          <w:tcPr>
            <w:tcW w:w="0" w:type="auto"/>
          </w:tcPr>
          <w:p w:rsidR="005D4105" w:rsidRDefault="00D37A44" w:rsidP="005D4105">
            <w:r>
              <w:t>We accept JGN's proposed changes to carbon costs because it is consistent with our draft decision.</w:t>
            </w:r>
          </w:p>
          <w:p w:rsidR="00D37A44" w:rsidRDefault="00D37A44" w:rsidP="00D37A44">
            <w:r>
              <w:t xml:space="preserve">We accept JGN's definition of </w:t>
            </w:r>
            <w:r w:rsidRPr="00D37A44">
              <w:t xml:space="preserve">APt </w:t>
            </w:r>
            <w:r>
              <w:t xml:space="preserve">because it is more appropriate to use the </w:t>
            </w:r>
            <w:r w:rsidR="00A23724">
              <w:t xml:space="preserve">word </w:t>
            </w:r>
            <w:r>
              <w:t>"network" rather than "JGN" in this clause.</w:t>
            </w:r>
          </w:p>
        </w:tc>
      </w:tr>
    </w:tbl>
    <w:p w:rsidR="00CB0D7D" w:rsidRDefault="00D37A44" w:rsidP="000341D6">
      <w:pPr>
        <w:pStyle w:val="AERtablesource"/>
      </w:pPr>
      <w:r>
        <w:t xml:space="preserve">Source: </w:t>
      </w:r>
      <w:r w:rsidR="00ED6549">
        <w:tab/>
      </w:r>
      <w:r>
        <w:t xml:space="preserve">AER analysis and </w:t>
      </w:r>
      <w:r w:rsidRPr="00D37A44">
        <w:t>J</w:t>
      </w:r>
      <w:r>
        <w:t>GN's</w:t>
      </w:r>
      <w:r w:rsidR="000341D6">
        <w:t xml:space="preserve"> revised </w:t>
      </w:r>
      <w:r w:rsidR="000341D6" w:rsidRPr="009A0ACD">
        <w:rPr>
          <w:rStyle w:val="AERtextitalic"/>
        </w:rPr>
        <w:t>Response to the AER's draft decision and revised proposal:</w:t>
      </w:r>
      <w:r w:rsidRPr="009A0ACD">
        <w:rPr>
          <w:rStyle w:val="AERtextitalic"/>
        </w:rPr>
        <w:t xml:space="preserve"> </w:t>
      </w:r>
      <w:r w:rsidRPr="00D206EC">
        <w:rPr>
          <w:rStyle w:val="AERtextitalic"/>
        </w:rPr>
        <w:t>Appendix 1.04</w:t>
      </w:r>
      <w:r w:rsidR="00575034" w:rsidRPr="00D206EC">
        <w:rPr>
          <w:rStyle w:val="AERtextitalic"/>
        </w:rPr>
        <w:t>:</w:t>
      </w:r>
      <w:r w:rsidRPr="00D206EC">
        <w:rPr>
          <w:rStyle w:val="AERtextitalic"/>
        </w:rPr>
        <w:t xml:space="preserve"> Response to draft decision </w:t>
      </w:r>
      <w:r w:rsidRPr="009A0ACD">
        <w:rPr>
          <w:rStyle w:val="AERtextitalic"/>
        </w:rPr>
        <w:t>on JGN's revised AA</w:t>
      </w:r>
      <w:r w:rsidRPr="00D37A44">
        <w:t>, February 2015, p</w:t>
      </w:r>
      <w:r>
        <w:t>p</w:t>
      </w:r>
      <w:r w:rsidRPr="00D37A44">
        <w:t>. 4</w:t>
      </w:r>
      <w:r>
        <w:t>–10</w:t>
      </w:r>
      <w:r w:rsidRPr="00D37A44">
        <w:t>.</w:t>
      </w:r>
    </w:p>
    <w:p w:rsidR="00A8604F" w:rsidRDefault="00A8604F" w:rsidP="009A0ACD">
      <w:pPr>
        <w:pStyle w:val="HeadingBoldBlue"/>
      </w:pPr>
      <w:r>
        <w:t xml:space="preserve">Vanilla weighted average cost of capital </w:t>
      </w:r>
    </w:p>
    <w:p w:rsidR="00A8604F" w:rsidRDefault="00A8604F" w:rsidP="00A8604F">
      <w:pPr>
        <w:pStyle w:val="BodyText"/>
      </w:pPr>
      <w:r>
        <w:t>As part of its revised proposal, JGN sought minor adjustments to the definition of the real weighted average cost of capital (WACC) to apply to the automatic adjustment factor and the licence fee. This included ensuring that the definition made it clear that the WACC was a variable number, not a fixed value, on account of annual updates to the cost of capital as per the methodology set out in the AER's rate of return guideline.</w:t>
      </w:r>
    </w:p>
    <w:p w:rsidR="00A8604F" w:rsidRDefault="00A8604F" w:rsidP="00A8604F">
      <w:pPr>
        <w:pStyle w:val="BodyText"/>
      </w:pPr>
      <w:r>
        <w:t>For the most part we have taken up JGN's suggestions. However, for consistency with the rest of our final decision on the WACC definition, the relevant rate of return is the real vanilla weighted average cost of capital (</w:t>
      </w:r>
      <w:r w:rsidRPr="00497E5D">
        <w:rPr>
          <w:rStyle w:val="AERtextitalic"/>
        </w:rPr>
        <w:t>real vanilla WACCt</w:t>
      </w:r>
      <w:r>
        <w:t>) as set out in this final decision and updated annually within the revenue model used by the AER to set JGN revenues for each year of the access arrangement.</w:t>
      </w:r>
    </w:p>
    <w:p w:rsidR="00AF1F9E" w:rsidRDefault="00CE43B1" w:rsidP="00AF1F9E">
      <w:pPr>
        <w:pStyle w:val="Heading3"/>
      </w:pPr>
      <w:bookmarkStart w:id="25" w:name="_Toc420510028"/>
      <w:r>
        <w:t>Cost pass through reference tariff variation mechanism</w:t>
      </w:r>
      <w:bookmarkEnd w:id="25"/>
    </w:p>
    <w:p w:rsidR="009536E6" w:rsidRDefault="009536E6" w:rsidP="009536E6">
      <w:r>
        <w:t xml:space="preserve">We have used the </w:t>
      </w:r>
      <w:r w:rsidR="00261771">
        <w:t xml:space="preserve">same </w:t>
      </w:r>
      <w:r>
        <w:t xml:space="preserve">approach that we described in the draft decision for JGN to assess the pass through events in JGN's revised proposal. In particular, we have taken account of each consideration discussed in </w:t>
      </w:r>
      <w:r w:rsidR="00386E3D">
        <w:t xml:space="preserve">attachment 11, </w:t>
      </w:r>
      <w:r>
        <w:t xml:space="preserve">section 11.3.1 of the draft decision. </w:t>
      </w:r>
    </w:p>
    <w:p w:rsidR="00B86D5F" w:rsidRDefault="009536E6" w:rsidP="00CE43B1">
      <w:r>
        <w:t xml:space="preserve">Using </w:t>
      </w:r>
      <w:r w:rsidR="00605FB4">
        <w:t>that approach</w:t>
      </w:r>
      <w:r>
        <w:t>, we have considered the arguments in JGN's revised proposal</w:t>
      </w:r>
      <w:r w:rsidR="00B86D5F">
        <w:t>. W</w:t>
      </w:r>
      <w:r w:rsidR="009F73D8">
        <w:t>e</w:t>
      </w:r>
      <w:r w:rsidR="00B86D5F">
        <w:t xml:space="preserve"> </w:t>
      </w:r>
      <w:r w:rsidR="00605FB4">
        <w:t>did</w:t>
      </w:r>
      <w:r w:rsidR="00A93E58">
        <w:t xml:space="preserve"> </w:t>
      </w:r>
      <w:r w:rsidR="00B86D5F">
        <w:t>not receive</w:t>
      </w:r>
      <w:r w:rsidR="00665D3F">
        <w:t xml:space="preserve"> </w:t>
      </w:r>
      <w:r w:rsidR="002C4D1C">
        <w:t xml:space="preserve">any </w:t>
      </w:r>
      <w:r w:rsidR="00665D3F">
        <w:t>submissions</w:t>
      </w:r>
      <w:r w:rsidR="00261771">
        <w:t xml:space="preserve"> from stakeholders</w:t>
      </w:r>
      <w:r w:rsidR="00B86D5F">
        <w:t xml:space="preserve"> in relation </w:t>
      </w:r>
      <w:r w:rsidR="00A93E58">
        <w:t xml:space="preserve">to </w:t>
      </w:r>
      <w:r w:rsidR="00665D3F">
        <w:t>cost pass through events</w:t>
      </w:r>
      <w:r w:rsidR="00B86D5F">
        <w:t>.</w:t>
      </w:r>
    </w:p>
    <w:p w:rsidR="00B86D5F" w:rsidRDefault="00B86D5F" w:rsidP="00CE43B1">
      <w:r>
        <w:t>In th</w:t>
      </w:r>
      <w:r w:rsidR="00665D3F">
        <w:t>is</w:t>
      </w:r>
      <w:r>
        <w:t xml:space="preserve"> section we discuss</w:t>
      </w:r>
      <w:r w:rsidR="002C4D1C">
        <w:t xml:space="preserve"> the reasons for our final decision on</w:t>
      </w:r>
      <w:r>
        <w:t>:</w:t>
      </w:r>
    </w:p>
    <w:p w:rsidR="00B86D5F" w:rsidRDefault="00B86D5F" w:rsidP="00B86D5F">
      <w:pPr>
        <w:pStyle w:val="AERbulletlistfirststyle"/>
      </w:pPr>
      <w:r>
        <w:t>each of JGN's proposed pass through</w:t>
      </w:r>
      <w:r w:rsidR="00665D3F">
        <w:t xml:space="preserve"> events</w:t>
      </w:r>
    </w:p>
    <w:p w:rsidR="009536E6" w:rsidRDefault="002C4D1C" w:rsidP="00B86D5F">
      <w:pPr>
        <w:pStyle w:val="AERbulletlistfirststyle"/>
      </w:pPr>
      <w:r>
        <w:t xml:space="preserve">the application of </w:t>
      </w:r>
      <w:r w:rsidR="00B86D5F">
        <w:t xml:space="preserve">a materiality threshold to </w:t>
      </w:r>
      <w:r>
        <w:t xml:space="preserve">the approved </w:t>
      </w:r>
      <w:r w:rsidR="00B86D5F">
        <w:t>cost pass through events, and</w:t>
      </w:r>
    </w:p>
    <w:p w:rsidR="00B86D5F" w:rsidRDefault="002C4D1C" w:rsidP="00B86D5F">
      <w:pPr>
        <w:pStyle w:val="AERbulletlistfirststyle"/>
      </w:pPr>
      <w:r>
        <w:lastRenderedPageBreak/>
        <w:t>the application of</w:t>
      </w:r>
      <w:r w:rsidR="00B86D5F">
        <w:t xml:space="preserve"> a fixed principle in relation to cross period pass through</w:t>
      </w:r>
      <w:r w:rsidR="00AE6EB4">
        <w:t xml:space="preserve"> applications</w:t>
      </w:r>
      <w:r w:rsidR="00B86D5F">
        <w:t xml:space="preserve">. </w:t>
      </w:r>
    </w:p>
    <w:p w:rsidR="00386FF0" w:rsidRPr="00386FF0" w:rsidRDefault="00386FF0" w:rsidP="00386FF0">
      <w:r w:rsidRPr="00386FF0">
        <w:t xml:space="preserve">This is an area in which we have full discretion. This means that we </w:t>
      </w:r>
      <w:r w:rsidR="00261771">
        <w:t>have discretion to withhold our</w:t>
      </w:r>
      <w:r>
        <w:t xml:space="preserve"> approv</w:t>
      </w:r>
      <w:r w:rsidR="00261771">
        <w:t>al of any aspect of</w:t>
      </w:r>
      <w:r w:rsidRPr="00386FF0">
        <w:t xml:space="preserve"> </w:t>
      </w:r>
      <w:r>
        <w:t>JGN’s proposal</w:t>
      </w:r>
      <w:r w:rsidRPr="00386FF0">
        <w:t xml:space="preserve"> if, in our opinion, a</w:t>
      </w:r>
      <w:r>
        <w:t xml:space="preserve"> </w:t>
      </w:r>
      <w:r w:rsidRPr="00386FF0">
        <w:t>preferable alternative exists that complies with the requirements of the NGL and is consistent with the applicable criteria</w:t>
      </w:r>
      <w:r w:rsidR="00261771">
        <w:t xml:space="preserve"> prescribed by the NGL</w:t>
      </w:r>
      <w:r w:rsidRPr="00386FF0">
        <w:t>.</w:t>
      </w:r>
      <w:r>
        <w:rPr>
          <w:rStyle w:val="FootnoteReference"/>
        </w:rPr>
        <w:footnoteReference w:id="5"/>
      </w:r>
    </w:p>
    <w:p w:rsidR="00AA3EB6" w:rsidRDefault="0021708E" w:rsidP="00AA3EB6">
      <w:pPr>
        <w:pStyle w:val="HeadingBoldBlue"/>
      </w:pPr>
      <w:r>
        <w:t>Service S</w:t>
      </w:r>
      <w:r w:rsidR="00C9748A">
        <w:t xml:space="preserve">tandard </w:t>
      </w:r>
      <w:r w:rsidR="00A93E58">
        <w:t xml:space="preserve">Event </w:t>
      </w:r>
      <w:r w:rsidR="00C9748A">
        <w:t xml:space="preserve">and Regulatory Change </w:t>
      </w:r>
      <w:r w:rsidR="00A93E58">
        <w:t>E</w:t>
      </w:r>
      <w:r w:rsidR="00C9748A">
        <w:t>vent</w:t>
      </w:r>
    </w:p>
    <w:p w:rsidR="00C9748A" w:rsidRDefault="00665D3F" w:rsidP="00AA3EB6">
      <w:r>
        <w:t xml:space="preserve">In our draft decision we set out revisions to JGN’s proposed definitions of the </w:t>
      </w:r>
      <w:r w:rsidR="00A93E58">
        <w:t xml:space="preserve">Service Standard Event and Regulatory </w:t>
      </w:r>
      <w:r>
        <w:t>C</w:t>
      </w:r>
      <w:r w:rsidR="00A93E58">
        <w:t>hange Event</w:t>
      </w:r>
      <w:r>
        <w:t>. JGN has made some, but not all, of these revisions</w:t>
      </w:r>
      <w:r w:rsidR="00C9748A">
        <w:t xml:space="preserve">, </w:t>
      </w:r>
      <w:r>
        <w:t xml:space="preserve">and proposed additional </w:t>
      </w:r>
      <w:r w:rsidR="00C9748A">
        <w:t xml:space="preserve">drafting </w:t>
      </w:r>
      <w:r w:rsidR="00A93E58">
        <w:t>amendments</w:t>
      </w:r>
      <w:r w:rsidR="00C9748A">
        <w:t>. JGN</w:t>
      </w:r>
      <w:r w:rsidR="00A37650">
        <w:t>'s</w:t>
      </w:r>
      <w:r w:rsidR="00C9748A">
        <w:t xml:space="preserve"> </w:t>
      </w:r>
      <w:r>
        <w:t>revised proposal</w:t>
      </w:r>
      <w:r w:rsidR="008B16ED">
        <w:t>:</w:t>
      </w:r>
    </w:p>
    <w:p w:rsidR="00C9748A" w:rsidRDefault="00AE6EB4" w:rsidP="00415BEC">
      <w:pPr>
        <w:pStyle w:val="ListNumber"/>
        <w:numPr>
          <w:ilvl w:val="0"/>
          <w:numId w:val="29"/>
        </w:numPr>
      </w:pPr>
      <w:r>
        <w:t>kept</w:t>
      </w:r>
      <w:r w:rsidR="00C9748A">
        <w:t xml:space="preserve"> Cost Pass Through Events as a defined term in the 201</w:t>
      </w:r>
      <w:r w:rsidR="00AA3EB6">
        <w:t>5</w:t>
      </w:r>
      <w:r w:rsidR="00C9748A">
        <w:t>–20 Access Arrangement</w:t>
      </w:r>
      <w:r w:rsidR="00D11D3A">
        <w:rPr>
          <w:rStyle w:val="FootnoteReference"/>
        </w:rPr>
        <w:footnoteReference w:id="6"/>
      </w:r>
    </w:p>
    <w:p w:rsidR="00C9748A" w:rsidRDefault="00C9748A" w:rsidP="007C54CA">
      <w:pPr>
        <w:pStyle w:val="ListNumber"/>
      </w:pPr>
      <w:r>
        <w:t>use</w:t>
      </w:r>
      <w:r w:rsidR="00B1270C">
        <w:t>d</w:t>
      </w:r>
      <w:r>
        <w:t xml:space="preserve"> the words 'Service Provider' rather than JGN to maintain consistency with</w:t>
      </w:r>
      <w:r w:rsidR="008B16ED">
        <w:t xml:space="preserve"> other areas</w:t>
      </w:r>
      <w:r>
        <w:t xml:space="preserve"> in the 201</w:t>
      </w:r>
      <w:r w:rsidR="00E349A9">
        <w:t>5</w:t>
      </w:r>
      <w:r>
        <w:t>–20 Access Arrangement</w:t>
      </w:r>
      <w:r w:rsidR="00D11D3A">
        <w:rPr>
          <w:rStyle w:val="FootnoteReference"/>
        </w:rPr>
        <w:footnoteReference w:id="7"/>
      </w:r>
    </w:p>
    <w:p w:rsidR="00C9748A" w:rsidRDefault="00C9748A" w:rsidP="007C54CA">
      <w:pPr>
        <w:pStyle w:val="ListNumber"/>
      </w:pPr>
      <w:r>
        <w:t>ke</w:t>
      </w:r>
      <w:r w:rsidR="00B1270C">
        <w:t>pt</w:t>
      </w:r>
      <w:r>
        <w:t xml:space="preserve"> the word 'means' after the name of the event for consistency</w:t>
      </w:r>
      <w:r w:rsidR="00D11D3A">
        <w:rPr>
          <w:rStyle w:val="FootnoteReference"/>
        </w:rPr>
        <w:footnoteReference w:id="8"/>
      </w:r>
      <w:r w:rsidR="00D11D3A">
        <w:t xml:space="preserve"> </w:t>
      </w:r>
    </w:p>
    <w:p w:rsidR="00C9748A" w:rsidRDefault="00C9748A" w:rsidP="007C54CA">
      <w:pPr>
        <w:pStyle w:val="ListNumber"/>
      </w:pPr>
      <w:r>
        <w:t>replace</w:t>
      </w:r>
      <w:r w:rsidR="00B1270C">
        <w:t>d</w:t>
      </w:r>
      <w:r>
        <w:t xml:space="preserve"> 'the Reference Service' with 'a Reference Service', as JGN only has one reference service under the 201</w:t>
      </w:r>
      <w:r w:rsidR="00E349A9">
        <w:t>5</w:t>
      </w:r>
      <w:r>
        <w:t>–20 Access Arrangement</w:t>
      </w:r>
      <w:r w:rsidR="00D11D3A">
        <w:rPr>
          <w:rStyle w:val="FootnoteReference"/>
        </w:rPr>
        <w:footnoteReference w:id="9"/>
      </w:r>
    </w:p>
    <w:p w:rsidR="00AE6EB4" w:rsidRDefault="00AE6EB4" w:rsidP="00AE6EB4">
      <w:pPr>
        <w:pStyle w:val="ListNumber"/>
      </w:pPr>
      <w:r>
        <w:t>removed the word 'substantial' in the regulatory change event definition</w:t>
      </w:r>
      <w:r w:rsidR="00C05334">
        <w:t xml:space="preserve"> to </w:t>
      </w:r>
      <w:r>
        <w:t>avoid duplication with the materiality threshold</w:t>
      </w:r>
      <w:r w:rsidR="00C05334">
        <w:t>, which it considered essentially means the same thing.</w:t>
      </w:r>
      <w:r>
        <w:rPr>
          <w:rStyle w:val="FootnoteReference"/>
        </w:rPr>
        <w:footnoteReference w:id="10"/>
      </w:r>
    </w:p>
    <w:p w:rsidR="00C9748A" w:rsidRDefault="00C9748A" w:rsidP="00C9748A">
      <w:r>
        <w:t xml:space="preserve">We accept </w:t>
      </w:r>
      <w:r w:rsidR="00665D3F">
        <w:t xml:space="preserve">JGN’s </w:t>
      </w:r>
      <w:r w:rsidR="00E349A9">
        <w:t xml:space="preserve">proposed changes </w:t>
      </w:r>
      <w:r w:rsidR="00665D3F">
        <w:t xml:space="preserve">1 – </w:t>
      </w:r>
      <w:r w:rsidR="00AE6EB4">
        <w:t>4</w:t>
      </w:r>
      <w:r w:rsidR="00665D3F">
        <w:t xml:space="preserve"> above</w:t>
      </w:r>
      <w:r w:rsidR="001B0E74">
        <w:t>. These are minor drafting changes and will not affect the operation of the</w:t>
      </w:r>
      <w:r w:rsidR="00D206EC">
        <w:t xml:space="preserve"> event</w:t>
      </w:r>
      <w:r w:rsidR="001B0E74">
        <w:t xml:space="preserve"> definitions.</w:t>
      </w:r>
      <w:r>
        <w:t xml:space="preserve"> </w:t>
      </w:r>
    </w:p>
    <w:p w:rsidR="00AE6EB4" w:rsidRDefault="00AE6EB4" w:rsidP="00C9748A">
      <w:r>
        <w:t>We do not accept JGN’s removal of the word ‘substantial’ from the definit</w:t>
      </w:r>
      <w:r w:rsidR="009443EB">
        <w:t>ion of regulatory change event.</w:t>
      </w:r>
    </w:p>
    <w:p w:rsidR="009443EB" w:rsidRDefault="009443EB" w:rsidP="00C9748A">
      <w:r>
        <w:t>Our draft decision accepted the following definition of the regulatory change event:</w:t>
      </w:r>
    </w:p>
    <w:p w:rsidR="009443EB" w:rsidRDefault="009443EB" w:rsidP="009443EB">
      <w:pPr>
        <w:pStyle w:val="AERquoteindent1"/>
      </w:pPr>
      <w:r>
        <w:t xml:space="preserve">Regulatory Change Event means a change in a regulatory obligation or requirement that falls within no other category of Cost Pass Through Event and </w:t>
      </w:r>
      <w:r>
        <w:lastRenderedPageBreak/>
        <w:t>substantially affects the manner in which the Service Provider provides the Reference Service.</w:t>
      </w:r>
    </w:p>
    <w:p w:rsidR="00261771" w:rsidRDefault="009443EB" w:rsidP="00C9748A">
      <w:r>
        <w:t xml:space="preserve">‘Substantially’ in this definition refers to the effect the change in regulatory obligation </w:t>
      </w:r>
      <w:r w:rsidR="001B4404">
        <w:t>h</w:t>
      </w:r>
      <w:r>
        <w:t>as on the manner in which the Service Provider provides the reference service</w:t>
      </w:r>
      <w:r w:rsidR="001B4404">
        <w:t>.</w:t>
      </w:r>
      <w:r w:rsidR="00261771">
        <w:t xml:space="preserve"> That is, the event occurs when a change in regulatory obligation or requirement </w:t>
      </w:r>
      <w:r w:rsidR="00261771" w:rsidRPr="00415BEC">
        <w:rPr>
          <w:rStyle w:val="AERtextitalic"/>
        </w:rPr>
        <w:t>substantially affects the manner in which the Service Provider provides the reference service</w:t>
      </w:r>
      <w:r w:rsidR="00261771">
        <w:t xml:space="preserve">. Where that requirement is satisfied, </w:t>
      </w:r>
      <w:r w:rsidR="001B4404">
        <w:t xml:space="preserve">the materiality threshold that applies to pass through events </w:t>
      </w:r>
      <w:r w:rsidR="005F369A">
        <w:t>is used to determine whether the resultant change in costs is material</w:t>
      </w:r>
      <w:r>
        <w:t xml:space="preserve">. </w:t>
      </w:r>
    </w:p>
    <w:p w:rsidR="009443EB" w:rsidRDefault="00261771" w:rsidP="00C9748A">
      <w:r>
        <w:t>T</w:t>
      </w:r>
      <w:r w:rsidR="009443EB">
        <w:t>he language</w:t>
      </w:r>
      <w:r w:rsidR="001B4404">
        <w:t xml:space="preserve"> used in our draft decision</w:t>
      </w:r>
      <w:r w:rsidR="009443EB">
        <w:t xml:space="preserve"> is</w:t>
      </w:r>
      <w:r w:rsidR="001B4404">
        <w:t xml:space="preserve"> </w:t>
      </w:r>
      <w:r>
        <w:t xml:space="preserve">taken from the prescribed regulatory change event </w:t>
      </w:r>
      <w:r w:rsidR="009443EB">
        <w:t xml:space="preserve">in the National Electricity Rules (NER), which </w:t>
      </w:r>
      <w:r>
        <w:t>applies to</w:t>
      </w:r>
      <w:r w:rsidR="009443EB">
        <w:t xml:space="preserve"> all electricity network service providers:</w:t>
      </w:r>
      <w:r w:rsidR="009443EB">
        <w:rPr>
          <w:rStyle w:val="FootnoteReference"/>
        </w:rPr>
        <w:footnoteReference w:id="11"/>
      </w:r>
    </w:p>
    <w:p w:rsidR="001B4404" w:rsidRPr="001B4404" w:rsidRDefault="001B4404" w:rsidP="009443EB">
      <w:pPr>
        <w:pStyle w:val="AERquote"/>
        <w:rPr>
          <w:b/>
          <w:i/>
        </w:rPr>
      </w:pPr>
      <w:r w:rsidRPr="001B4404">
        <w:rPr>
          <w:b/>
          <w:i/>
        </w:rPr>
        <w:t>regulatory change event</w:t>
      </w:r>
    </w:p>
    <w:p w:rsidR="009443EB" w:rsidRDefault="009443EB" w:rsidP="009443EB">
      <w:pPr>
        <w:pStyle w:val="AERquote"/>
      </w:pPr>
      <w:r>
        <w:t xml:space="preserve">A change in a regulatory obligation or requirement that: </w:t>
      </w:r>
    </w:p>
    <w:p w:rsidR="009443EB" w:rsidRDefault="009443EB" w:rsidP="00415BEC">
      <w:pPr>
        <w:pStyle w:val="AERquote"/>
        <w:numPr>
          <w:ilvl w:val="0"/>
          <w:numId w:val="28"/>
        </w:numPr>
      </w:pPr>
      <w:r>
        <w:t xml:space="preserve">falls within no other category of pass through event; and </w:t>
      </w:r>
    </w:p>
    <w:p w:rsidR="009443EB" w:rsidRDefault="009443EB" w:rsidP="00415BEC">
      <w:pPr>
        <w:pStyle w:val="AERquote"/>
        <w:numPr>
          <w:ilvl w:val="0"/>
          <w:numId w:val="28"/>
        </w:numPr>
      </w:pPr>
      <w:r>
        <w:t xml:space="preserve">occurs during the course of a regulatory control period; and </w:t>
      </w:r>
    </w:p>
    <w:p w:rsidR="009443EB" w:rsidRDefault="009443EB" w:rsidP="00415BEC">
      <w:pPr>
        <w:pStyle w:val="AERquote"/>
        <w:numPr>
          <w:ilvl w:val="0"/>
          <w:numId w:val="28"/>
        </w:numPr>
      </w:pPr>
      <w:r w:rsidRPr="009443EB">
        <w:rPr>
          <w:rStyle w:val="Strong"/>
        </w:rPr>
        <w:t>substantially</w:t>
      </w:r>
      <w:r>
        <w:t xml:space="preserve"> affects the manner in which the Transmission Network Service Provider provides prescribed transmission services or the Distribution Network Service Provider provides direct control services (as the case requires); and </w:t>
      </w:r>
    </w:p>
    <w:p w:rsidR="009443EB" w:rsidRDefault="009443EB" w:rsidP="00415BEC">
      <w:pPr>
        <w:pStyle w:val="AERquote"/>
        <w:numPr>
          <w:ilvl w:val="0"/>
          <w:numId w:val="28"/>
        </w:numPr>
      </w:pPr>
      <w:r>
        <w:t>materially increases or materially decreases the costs of providing those services.</w:t>
      </w:r>
    </w:p>
    <w:p w:rsidR="00AF1FF3" w:rsidRDefault="00AF1FF3" w:rsidP="00AF1FF3">
      <w:r>
        <w:t>The NER definition serves to address the same risks</w:t>
      </w:r>
      <w:r w:rsidR="005F369A">
        <w:t xml:space="preserve"> to electricity network service providers</w:t>
      </w:r>
      <w:r>
        <w:t xml:space="preserve"> that JGN seeks to manage </w:t>
      </w:r>
      <w:r w:rsidR="005F369A">
        <w:t>by including a regulatory change event in its Access Arrangement.</w:t>
      </w:r>
      <w:r>
        <w:t xml:space="preserve"> </w:t>
      </w:r>
    </w:p>
    <w:p w:rsidR="00AF1FF3" w:rsidRDefault="00AF1FF3" w:rsidP="009443EB">
      <w:r>
        <w:t xml:space="preserve">The definition in our draft decision incorporated clauses (b) and (c) of the NER definition. It did not include clause (a) or (d), which we considered were </w:t>
      </w:r>
      <w:r w:rsidR="00D206EC">
        <w:t>addressed in other clauses of the proposed access arrangement</w:t>
      </w:r>
      <w:r>
        <w:t xml:space="preserve">. However, when the definition and the materiality threshold are read together (as they </w:t>
      </w:r>
      <w:r w:rsidR="00D206EC">
        <w:t xml:space="preserve">appear </w:t>
      </w:r>
      <w:r>
        <w:t xml:space="preserve">in clauses (c) and (d) of the NER definition), </w:t>
      </w:r>
      <w:r w:rsidR="00261771">
        <w:t xml:space="preserve">it is clear that </w:t>
      </w:r>
      <w:r>
        <w:t>the</w:t>
      </w:r>
      <w:r w:rsidR="00D206EC">
        <w:t>re is a</w:t>
      </w:r>
      <w:r>
        <w:t xml:space="preserve"> cumulative requirement for a substantial effect on the manner in which a service is provided </w:t>
      </w:r>
      <w:r w:rsidRPr="001B4404">
        <w:rPr>
          <w:rStyle w:val="Emphasis"/>
        </w:rPr>
        <w:t>and</w:t>
      </w:r>
      <w:r>
        <w:t xml:space="preserve"> a material cost impact.</w:t>
      </w:r>
    </w:p>
    <w:p w:rsidR="0028534D" w:rsidRDefault="00C05334" w:rsidP="0028534D">
      <w:r>
        <w:t xml:space="preserve">JGN argues that </w:t>
      </w:r>
      <w:r w:rsidR="00AF1FF3">
        <w:t>this cumulative requirement</w:t>
      </w:r>
      <w:r>
        <w:t xml:space="preserve"> creates </w:t>
      </w:r>
      <w:r w:rsidR="0028534D">
        <w:t>uncertainty and ambiguity</w:t>
      </w:r>
      <w:r w:rsidR="00AF1FF3">
        <w:t xml:space="preserve"> as to whether an application under this pass through event would be approved</w:t>
      </w:r>
      <w:r w:rsidR="0028534D">
        <w:t>.</w:t>
      </w:r>
      <w:r w:rsidR="00AF1FF3">
        <w:rPr>
          <w:rStyle w:val="FootnoteReference"/>
        </w:rPr>
        <w:footnoteReference w:id="12"/>
      </w:r>
      <w:r w:rsidR="0028534D">
        <w:t xml:space="preserve"> It suggests that, if retained, JGN would be left without certainty as to whether it would be permitted to pass through a material change in costs even where it could demonstrate that:</w:t>
      </w:r>
    </w:p>
    <w:p w:rsidR="00C05334" w:rsidRDefault="0028534D" w:rsidP="0028534D">
      <w:pPr>
        <w:pStyle w:val="AERbulletlistfirststyle"/>
      </w:pPr>
      <w:r>
        <w:lastRenderedPageBreak/>
        <w:t>the change was beyond its control</w:t>
      </w:r>
    </w:p>
    <w:p w:rsidR="0028534D" w:rsidRDefault="0028534D" w:rsidP="0028534D">
      <w:pPr>
        <w:pStyle w:val="AERbulletlistfirststyle"/>
      </w:pPr>
      <w:r>
        <w:t>there were no other available means of mitigation</w:t>
      </w:r>
    </w:p>
    <w:p w:rsidR="0028534D" w:rsidRDefault="0028534D" w:rsidP="0028534D">
      <w:pPr>
        <w:pStyle w:val="AERbulletlistfirststyle"/>
      </w:pPr>
      <w:r>
        <w:t>there was a financial impact on JGN’s business that well exceeded the financial threshold</w:t>
      </w:r>
    </w:p>
    <w:p w:rsidR="0028534D" w:rsidRDefault="0028534D" w:rsidP="0028534D">
      <w:pPr>
        <w:pStyle w:val="AERbulletlistfirststyle"/>
      </w:pPr>
      <w:r>
        <w:t>there was a clear and demonstrable impact on the provision of the reference service.</w:t>
      </w:r>
      <w:r w:rsidR="00AF1FF3">
        <w:rPr>
          <w:rStyle w:val="FootnoteReference"/>
        </w:rPr>
        <w:footnoteReference w:id="13"/>
      </w:r>
    </w:p>
    <w:p w:rsidR="009443EB" w:rsidRDefault="0028534D" w:rsidP="009443EB">
      <w:r>
        <w:t xml:space="preserve">We consider that in such circumstances a change would be considered </w:t>
      </w:r>
      <w:r w:rsidR="00261771">
        <w:t xml:space="preserve">to have a </w:t>
      </w:r>
      <w:r>
        <w:t>substantial</w:t>
      </w:r>
      <w:r w:rsidR="00261771">
        <w:t xml:space="preserve"> effect on the manner in which the reference service is provided</w:t>
      </w:r>
      <w:r>
        <w:t xml:space="preserve">. </w:t>
      </w:r>
      <w:r w:rsidR="004F5C9F">
        <w:t>We do not</w:t>
      </w:r>
      <w:r>
        <w:t>, therefore,</w:t>
      </w:r>
      <w:r w:rsidR="004F5C9F">
        <w:t xml:space="preserve"> see a basis for distinction between JGN and the electricity businesses that are subject to the NER definition.</w:t>
      </w:r>
      <w:r w:rsidR="001B4404">
        <w:t xml:space="preserve"> </w:t>
      </w:r>
    </w:p>
    <w:p w:rsidR="00AF1FF3" w:rsidRDefault="00AF1FF3" w:rsidP="009443EB">
      <w:r>
        <w:t xml:space="preserve">JGN also noted that previous </w:t>
      </w:r>
      <w:r w:rsidR="00CC0E76">
        <w:t xml:space="preserve">Access Arrangement </w:t>
      </w:r>
      <w:r>
        <w:t xml:space="preserve">decisions by the AER (made in </w:t>
      </w:r>
      <w:r w:rsidR="00CC0E76">
        <w:t>2011</w:t>
      </w:r>
      <w:r>
        <w:t xml:space="preserve"> and </w:t>
      </w:r>
      <w:r w:rsidR="00CC0E76">
        <w:t>2013</w:t>
      </w:r>
      <w:r>
        <w:t>) did not include a requirement that the impact of a regulatory change event be substantial. It argued that it should receive equivalent treatment.</w:t>
      </w:r>
      <w:r w:rsidR="00CC0E76">
        <w:rPr>
          <w:rStyle w:val="FootnoteReference"/>
        </w:rPr>
        <w:footnoteReference w:id="14"/>
      </w:r>
      <w:r>
        <w:t xml:space="preserve"> </w:t>
      </w:r>
      <w:r w:rsidR="00CC0E76">
        <w:t xml:space="preserve">This decision reflects our most recent consideration of the appropriate definition of the regulatory change event. </w:t>
      </w:r>
      <w:r>
        <w:t xml:space="preserve">As explained above, the definition in our draft decision will </w:t>
      </w:r>
      <w:r w:rsidR="00CC0E76">
        <w:t xml:space="preserve">also </w:t>
      </w:r>
      <w:r>
        <w:t xml:space="preserve">provide JGN with equivalent treatment to electricity network businesses under </w:t>
      </w:r>
      <w:r w:rsidR="00261771">
        <w:t xml:space="preserve">the prescribed regulatory change event in the </w:t>
      </w:r>
      <w:r>
        <w:t>NER</w:t>
      </w:r>
      <w:r w:rsidR="00261771">
        <w:t>.</w:t>
      </w:r>
      <w:r>
        <w:t xml:space="preserve"> </w:t>
      </w:r>
    </w:p>
    <w:p w:rsidR="001B4404" w:rsidRPr="009443EB" w:rsidRDefault="001B4404" w:rsidP="009443EB">
      <w:r>
        <w:t>In this final decision, we have therefore maintained our draft decision definition</w:t>
      </w:r>
      <w:r w:rsidR="00EF5CBF">
        <w:t xml:space="preserve"> of the regulatory change event</w:t>
      </w:r>
      <w:r w:rsidR="004F5C9F">
        <w:t>.</w:t>
      </w:r>
    </w:p>
    <w:p w:rsidR="00D11D3A" w:rsidRDefault="00D11D3A" w:rsidP="00C9748A">
      <w:r>
        <w:t xml:space="preserve">Our </w:t>
      </w:r>
      <w:r w:rsidR="00AE6EB4">
        <w:t>approved</w:t>
      </w:r>
      <w:r>
        <w:t xml:space="preserve"> definitions for the </w:t>
      </w:r>
      <w:r w:rsidR="00E349A9">
        <w:t>s</w:t>
      </w:r>
      <w:r>
        <w:t xml:space="preserve">ervice </w:t>
      </w:r>
      <w:r w:rsidR="00E349A9">
        <w:t>s</w:t>
      </w:r>
      <w:r>
        <w:t>tandar</w:t>
      </w:r>
      <w:r w:rsidR="00E349A9">
        <w:t>d and r</w:t>
      </w:r>
      <w:r w:rsidR="00822C37">
        <w:t xml:space="preserve">egulatory </w:t>
      </w:r>
      <w:r w:rsidR="00E349A9">
        <w:t>c</w:t>
      </w:r>
      <w:r w:rsidR="00822C37">
        <w:t>hange events are</w:t>
      </w:r>
      <w:r>
        <w:t xml:space="preserve"> in</w:t>
      </w:r>
      <w:r w:rsidR="00F37C8F">
        <w:t xml:space="preserve"> </w:t>
      </w:r>
      <w:r w:rsidR="00F37C8F">
        <w:fldChar w:fldCharType="begin"/>
      </w:r>
      <w:r w:rsidR="00F37C8F">
        <w:instrText xml:space="preserve"> REF _Ref415659240 \h </w:instrText>
      </w:r>
      <w:r w:rsidR="00F37C8F">
        <w:fldChar w:fldCharType="separate"/>
      </w:r>
      <w:r w:rsidR="00EF7A04">
        <w:t xml:space="preserve">Table </w:t>
      </w:r>
      <w:r w:rsidR="00EF7A04">
        <w:rPr>
          <w:noProof/>
        </w:rPr>
        <w:t>11</w:t>
      </w:r>
      <w:r w:rsidR="00EF7A04">
        <w:t>.</w:t>
      </w:r>
      <w:r w:rsidR="00EF7A04">
        <w:rPr>
          <w:noProof/>
        </w:rPr>
        <w:t>1</w:t>
      </w:r>
      <w:r w:rsidR="00F37C8F">
        <w:fldChar w:fldCharType="end"/>
      </w:r>
      <w:r w:rsidR="00F37C8F">
        <w:t>.</w:t>
      </w:r>
      <w:r>
        <w:t xml:space="preserve"> </w:t>
      </w:r>
    </w:p>
    <w:p w:rsidR="00455478" w:rsidRDefault="00455478" w:rsidP="004F5C9F">
      <w:pPr>
        <w:pStyle w:val="HeadingBoldBlue"/>
        <w:keepNext/>
      </w:pPr>
      <w:r>
        <w:t xml:space="preserve">Insurance </w:t>
      </w:r>
      <w:r w:rsidR="00847E6E">
        <w:t>C</w:t>
      </w:r>
      <w:r>
        <w:t xml:space="preserve">ap </w:t>
      </w:r>
      <w:r w:rsidR="00847E6E">
        <w:t>E</w:t>
      </w:r>
      <w:r>
        <w:t>vent</w:t>
      </w:r>
      <w:r w:rsidR="007F0116">
        <w:t xml:space="preserve"> </w:t>
      </w:r>
    </w:p>
    <w:p w:rsidR="00AA3EB6" w:rsidRDefault="00AA3EB6" w:rsidP="004F5C9F">
      <w:pPr>
        <w:keepNext/>
      </w:pPr>
      <w:r>
        <w:t xml:space="preserve">The insurance cap event allows </w:t>
      </w:r>
      <w:r w:rsidR="00B1270C">
        <w:t xml:space="preserve">JGN </w:t>
      </w:r>
      <w:r>
        <w:t xml:space="preserve">to make a pass through application if </w:t>
      </w:r>
      <w:r w:rsidR="00B1270C">
        <w:t>it</w:t>
      </w:r>
      <w:r>
        <w:t xml:space="preserve"> makes a claim under an insurance policy, and the actual </w:t>
      </w:r>
      <w:r w:rsidR="00F362E5">
        <w:t xml:space="preserve">costs to </w:t>
      </w:r>
      <w:r w:rsidR="00B1270C">
        <w:t>JGN</w:t>
      </w:r>
      <w:r w:rsidR="00F362E5">
        <w:t xml:space="preserve"> exceed</w:t>
      </w:r>
      <w:r>
        <w:t xml:space="preserve"> </w:t>
      </w:r>
      <w:r w:rsidR="00B1270C">
        <w:t xml:space="preserve">its </w:t>
      </w:r>
      <w:r>
        <w:t>policy limit.</w:t>
      </w:r>
    </w:p>
    <w:p w:rsidR="00024653" w:rsidRDefault="00E349A9" w:rsidP="00024653">
      <w:r>
        <w:t xml:space="preserve">JGN proposed this event </w:t>
      </w:r>
      <w:r w:rsidR="00B1270C">
        <w:t xml:space="preserve">for the first time </w:t>
      </w:r>
      <w:r>
        <w:t xml:space="preserve">in its revised </w:t>
      </w:r>
      <w:r w:rsidR="00024653">
        <w:t>proposal</w:t>
      </w:r>
      <w:r w:rsidR="00B1270C">
        <w:t xml:space="preserve">, in response to our draft decision to reject its proposed </w:t>
      </w:r>
      <w:r>
        <w:t>business c</w:t>
      </w:r>
      <w:r w:rsidR="00024653">
        <w:t xml:space="preserve">ontinuity </w:t>
      </w:r>
      <w:r>
        <w:t>e</w:t>
      </w:r>
      <w:r w:rsidR="00024653">
        <w:t>vent.</w:t>
      </w:r>
      <w:r w:rsidR="00024653">
        <w:rPr>
          <w:rStyle w:val="FootnoteReference"/>
        </w:rPr>
        <w:footnoteReference w:id="15"/>
      </w:r>
      <w:r w:rsidR="00024653">
        <w:t xml:space="preserve"> </w:t>
      </w:r>
    </w:p>
    <w:p w:rsidR="00024653" w:rsidRDefault="00024653" w:rsidP="00024653">
      <w:r>
        <w:t>In its revised proposal JGN state</w:t>
      </w:r>
      <w:r w:rsidR="008B16ED">
        <w:t>d</w:t>
      </w:r>
      <w:r w:rsidR="00944AD3">
        <w:t xml:space="preserve"> that</w:t>
      </w:r>
      <w:r>
        <w:t>:</w:t>
      </w:r>
    </w:p>
    <w:p w:rsidR="00024653" w:rsidRDefault="00944AD3" w:rsidP="00360708">
      <w:pPr>
        <w:pStyle w:val="AERbulletlistfirststyle"/>
      </w:pPr>
      <w:r>
        <w:t>it holds efficient levels of insurance cover commensurate with its assessment of business risk and undertakes periodic reviews of its insurances, and</w:t>
      </w:r>
    </w:p>
    <w:p w:rsidR="00944AD3" w:rsidRDefault="00944AD3" w:rsidP="00360708">
      <w:pPr>
        <w:pStyle w:val="AERbulletlistfirststyle"/>
      </w:pPr>
      <w:r>
        <w:t>an insurance cap event is necessary to properly manage its exposure to the risk of liabilities crystallising over and above its insurance levels.</w:t>
      </w:r>
      <w:r>
        <w:rPr>
          <w:rStyle w:val="FootnoteReference"/>
        </w:rPr>
        <w:footnoteReference w:id="16"/>
      </w:r>
    </w:p>
    <w:p w:rsidR="002E08E2" w:rsidRDefault="002A5E78" w:rsidP="002E08E2">
      <w:r>
        <w:lastRenderedPageBreak/>
        <w:t xml:space="preserve">Insurance is funded through JGN's </w:t>
      </w:r>
      <w:r w:rsidR="00B1270C">
        <w:t>approved forecast operating expenditure (opex), which allows</w:t>
      </w:r>
      <w:r>
        <w:t xml:space="preserve"> JGN </w:t>
      </w:r>
      <w:r w:rsidR="00B1270C">
        <w:t xml:space="preserve">to acquire and maintain </w:t>
      </w:r>
      <w:r>
        <w:t xml:space="preserve">an appropriate level of insurance coverage. </w:t>
      </w:r>
      <w:r w:rsidR="002E08E2">
        <w:t xml:space="preserve">We expect JGN to acquire </w:t>
      </w:r>
      <w:r w:rsidR="00B1270C">
        <w:t xml:space="preserve">prudent and </w:t>
      </w:r>
      <w:r w:rsidR="002E08E2">
        <w:t>efficient levels of insurance coverage commensurate with its business risk</w:t>
      </w:r>
      <w:r w:rsidR="00B1270C">
        <w:t>,</w:t>
      </w:r>
      <w:r w:rsidR="002E08E2">
        <w:t xml:space="preserve"> as reflected in its </w:t>
      </w:r>
      <w:r w:rsidR="00B1270C">
        <w:t xml:space="preserve">approved forecast </w:t>
      </w:r>
      <w:r w:rsidR="002E08E2">
        <w:t xml:space="preserve">opex.  </w:t>
      </w:r>
    </w:p>
    <w:p w:rsidR="00360708" w:rsidRDefault="002A5E78" w:rsidP="002A5E78">
      <w:r>
        <w:t>We accept that an insurance cap event would protect JGN from high cost impact events which would be uneconomical to insure against. We consider consumers benefit because they are not required to fund excessive premiums where insurance, if</w:t>
      </w:r>
      <w:r w:rsidR="00822C37">
        <w:t xml:space="preserve"> available, would be uneconomic</w:t>
      </w:r>
      <w:r>
        <w:t>. Consumer</w:t>
      </w:r>
      <w:r w:rsidR="0099056F">
        <w:t>s</w:t>
      </w:r>
      <w:r>
        <w:t xml:space="preserve"> then only bear the risk should an insurance cap event occur. </w:t>
      </w:r>
    </w:p>
    <w:p w:rsidR="002E08E2" w:rsidRDefault="002E08E2" w:rsidP="002A5E78">
      <w:r>
        <w:t xml:space="preserve">We </w:t>
      </w:r>
      <w:r w:rsidR="003D4E9F">
        <w:t xml:space="preserve">therefore </w:t>
      </w:r>
      <w:r>
        <w:t xml:space="preserve">consider the inclusion of an insurance cap event in JGN's 2015–20 Access Arrangement supports the NGO and RPP. However, we have </w:t>
      </w:r>
      <w:r w:rsidR="003D4E9F">
        <w:t xml:space="preserve">substituted our preferred definition for </w:t>
      </w:r>
      <w:r w:rsidR="005F369A">
        <w:t xml:space="preserve">that proposed by </w:t>
      </w:r>
      <w:r>
        <w:t xml:space="preserve">JGN. In particular, we have included in our definition the factors that we will consider when assessing an application for a pass through under this event. JGN's proposed definition did not include these factors. </w:t>
      </w:r>
    </w:p>
    <w:p w:rsidR="002A5E78" w:rsidRDefault="002A5E78" w:rsidP="002A5E78">
      <w:r w:rsidRPr="002A5E78">
        <w:t xml:space="preserve">We note that if a pass through event of this kind were to occur, in assessing </w:t>
      </w:r>
      <w:r w:rsidR="00F00F70">
        <w:t>JGN</w:t>
      </w:r>
      <w:r w:rsidRPr="002A5E78">
        <w:t>'s application to</w:t>
      </w:r>
      <w:r>
        <w:t xml:space="preserve"> pass through costs, we </w:t>
      </w:r>
      <w:r w:rsidR="005F369A">
        <w:t xml:space="preserve">would </w:t>
      </w:r>
      <w:r>
        <w:t>consider the efficiency of JGN's decisions and actions</w:t>
      </w:r>
      <w:r w:rsidR="005F369A">
        <w:t xml:space="preserve"> in relation to the risk of the event</w:t>
      </w:r>
      <w:r>
        <w:t>.</w:t>
      </w:r>
      <w:r w:rsidR="005F369A">
        <w:rPr>
          <w:rStyle w:val="FootnoteReference"/>
        </w:rPr>
        <w:footnoteReference w:id="17"/>
      </w:r>
      <w:r>
        <w:t xml:space="preserve"> We would consider</w:t>
      </w:r>
      <w:r w:rsidR="002E08E2">
        <w:t xml:space="preserve">, amongst other things, the level of insurance for the event and consider that in the context of the level an efficient and prudent service provider could obtain. </w:t>
      </w:r>
      <w:r w:rsidR="00F00F70">
        <w:t xml:space="preserve">This gives JGN an incentive to mitigate the risks associated with the event including through acquiring an appropriate level of insurance and implementing other practical risk minimisation strategies in its operations. </w:t>
      </w:r>
      <w:r>
        <w:t xml:space="preserve"> </w:t>
      </w:r>
    </w:p>
    <w:p w:rsidR="00F00F70" w:rsidRDefault="00F00F70" w:rsidP="00F00F70">
      <w:r>
        <w:t xml:space="preserve">We consider </w:t>
      </w:r>
      <w:r w:rsidR="002E08E2">
        <w:t>including such factors in the definition is</w:t>
      </w:r>
      <w:r>
        <w:t xml:space="preserve"> important as they provide transparency and increase regulatory certainty around how we will assess</w:t>
      </w:r>
      <w:r w:rsidR="005931B1">
        <w:t xml:space="preserve"> an application</w:t>
      </w:r>
      <w:r>
        <w:t xml:space="preserve"> for th</w:t>
      </w:r>
      <w:r w:rsidR="005931B1">
        <w:t>is</w:t>
      </w:r>
      <w:r>
        <w:t xml:space="preserve"> event. </w:t>
      </w:r>
    </w:p>
    <w:p w:rsidR="00F00F70" w:rsidRDefault="00F00F70" w:rsidP="00F00F70">
      <w:r>
        <w:t xml:space="preserve">Our revised definition for the </w:t>
      </w:r>
      <w:r w:rsidR="005931B1">
        <w:t xml:space="preserve">insurance cap </w:t>
      </w:r>
      <w:r>
        <w:t xml:space="preserve">event is in </w:t>
      </w:r>
      <w:r>
        <w:fldChar w:fldCharType="begin"/>
      </w:r>
      <w:r>
        <w:instrText xml:space="preserve"> REF _Ref415659240 \h </w:instrText>
      </w:r>
      <w:r>
        <w:fldChar w:fldCharType="separate"/>
      </w:r>
      <w:r w:rsidR="00EF7A04">
        <w:t xml:space="preserve">Table </w:t>
      </w:r>
      <w:r w:rsidR="00EF7A04">
        <w:rPr>
          <w:noProof/>
        </w:rPr>
        <w:t>11</w:t>
      </w:r>
      <w:r w:rsidR="00EF7A04">
        <w:t>.</w:t>
      </w:r>
      <w:r w:rsidR="00EF7A04">
        <w:rPr>
          <w:noProof/>
        </w:rPr>
        <w:t>1</w:t>
      </w:r>
      <w:r>
        <w:fldChar w:fldCharType="end"/>
      </w:r>
      <w:r>
        <w:t xml:space="preserve">. </w:t>
      </w:r>
    </w:p>
    <w:p w:rsidR="00245D8B" w:rsidRDefault="00245D8B" w:rsidP="00AF1F9E">
      <w:pPr>
        <w:pStyle w:val="HeadingBoldBlue"/>
      </w:pPr>
      <w:r>
        <w:t xml:space="preserve">Terrorism </w:t>
      </w:r>
      <w:r w:rsidR="00847E6E">
        <w:t>E</w:t>
      </w:r>
      <w:r>
        <w:t>vent</w:t>
      </w:r>
      <w:r w:rsidR="000F476C">
        <w:t xml:space="preserve"> </w:t>
      </w:r>
    </w:p>
    <w:p w:rsidR="00AA3EB6" w:rsidRDefault="00AA3EB6" w:rsidP="00AA3EB6">
      <w:r>
        <w:t xml:space="preserve">A terrorism pass through event would allow JGN to apply to pass through costs associated with acts of terrorism to </w:t>
      </w:r>
      <w:r w:rsidR="003D4E9F">
        <w:t>customers</w:t>
      </w:r>
      <w:r>
        <w:t xml:space="preserve">. </w:t>
      </w:r>
    </w:p>
    <w:p w:rsidR="00024653" w:rsidRDefault="003D4E9F" w:rsidP="00024653">
      <w:r>
        <w:t>JGN proposed this event for the first time in its revised proposal, in response to our draft decision to reject its proposed business continuity event</w:t>
      </w:r>
      <w:r w:rsidR="00024653">
        <w:t>.</w:t>
      </w:r>
      <w:r w:rsidR="00024653">
        <w:rPr>
          <w:rStyle w:val="FootnoteReference"/>
        </w:rPr>
        <w:footnoteReference w:id="18"/>
      </w:r>
      <w:r w:rsidR="00024653">
        <w:t xml:space="preserve"> </w:t>
      </w:r>
    </w:p>
    <w:p w:rsidR="00F37C8F" w:rsidRDefault="00F37C8F" w:rsidP="009536E6">
      <w:r>
        <w:t>In its revised proposal JGN states:</w:t>
      </w:r>
    </w:p>
    <w:p w:rsidR="00F37C8F" w:rsidRDefault="00F37C8F" w:rsidP="00F37C8F">
      <w:pPr>
        <w:pStyle w:val="AERbulletlistfirststyle"/>
      </w:pPr>
      <w:r>
        <w:lastRenderedPageBreak/>
        <w:t>it has a risk assessment framework to proactively mitigate the security risk to its network and non-network assets</w:t>
      </w:r>
      <w:r w:rsidR="005931B1">
        <w:t>,</w:t>
      </w:r>
      <w:r>
        <w:rPr>
          <w:rStyle w:val="FootnoteReference"/>
        </w:rPr>
        <w:footnoteReference w:id="19"/>
      </w:r>
      <w:r w:rsidR="005931B1">
        <w:t xml:space="preserve"> and</w:t>
      </w:r>
    </w:p>
    <w:p w:rsidR="00F37C8F" w:rsidRDefault="005931B1" w:rsidP="00F37C8F">
      <w:pPr>
        <w:pStyle w:val="AERbulletlistfirststyle"/>
      </w:pPr>
      <w:r>
        <w:t>t</w:t>
      </w:r>
      <w:r w:rsidR="00F37C8F">
        <w:t>hat full insurance coverage via external insurance is prohibitive</w:t>
      </w:r>
      <w:r>
        <w:t>.</w:t>
      </w:r>
      <w:r w:rsidR="00F37C8F">
        <w:rPr>
          <w:rStyle w:val="FootnoteReference"/>
        </w:rPr>
        <w:footnoteReference w:id="20"/>
      </w:r>
    </w:p>
    <w:p w:rsidR="002E08E2" w:rsidRDefault="00F37C8F" w:rsidP="002E08E2">
      <w:r>
        <w:t xml:space="preserve">We consider the inclusion of a </w:t>
      </w:r>
      <w:r w:rsidR="002E08E2">
        <w:t>Terrorism E</w:t>
      </w:r>
      <w:r>
        <w:t>vent in JGN's 201</w:t>
      </w:r>
      <w:r w:rsidR="005931B1">
        <w:t>5</w:t>
      </w:r>
      <w:r>
        <w:t xml:space="preserve">–20 Access Arrangement supports the NGO and RPP. However, we have substituted </w:t>
      </w:r>
      <w:r w:rsidR="003D4E9F">
        <w:t xml:space="preserve">our preferred definition of this event for </w:t>
      </w:r>
      <w:r w:rsidR="005F369A">
        <w:t xml:space="preserve">that proposed by </w:t>
      </w:r>
      <w:r>
        <w:t>JGN. I</w:t>
      </w:r>
      <w:r w:rsidR="0021708E">
        <w:t>n</w:t>
      </w:r>
      <w:r>
        <w:t xml:space="preserve"> particular, we have included in our definition the factors that we will consider when assessing an application for a pass through under this event. </w:t>
      </w:r>
      <w:r w:rsidR="002E08E2">
        <w:t xml:space="preserve">JGN's proposed definition did not include these factors. </w:t>
      </w:r>
    </w:p>
    <w:p w:rsidR="002E08E2" w:rsidRDefault="002E08E2" w:rsidP="002E08E2">
      <w:r w:rsidRPr="002A5E78">
        <w:t xml:space="preserve">We note that if a pass through event of this kind were to occur, in assessing </w:t>
      </w:r>
      <w:r>
        <w:t>JGN</w:t>
      </w:r>
      <w:r w:rsidRPr="002A5E78">
        <w:t>'s application to</w:t>
      </w:r>
      <w:r>
        <w:t xml:space="preserve"> pass through costs, we will consider the efficiency of JGN's decisions and actions</w:t>
      </w:r>
      <w:r w:rsidR="005F369A">
        <w:t xml:space="preserve"> in relation to the risk of the event.</w:t>
      </w:r>
      <w:r w:rsidR="005F369A">
        <w:rPr>
          <w:rStyle w:val="FootnoteReference"/>
        </w:rPr>
        <w:footnoteReference w:id="21"/>
      </w:r>
      <w:r>
        <w:t xml:space="preserve"> We would consider, amongst other things, whether JGN has insurance for the event, the level of insurance an efficient and prudent service provider would obtain in respect of the event and whether a declaration has been made by a relevant government authority that a terrorism event has occurred. This gives JGN an incentive to mitigate the risks associated with the event including through acquiring an appropriate level of insurance and implementing other practical risk minimisation strategies in its operations.</w:t>
      </w:r>
    </w:p>
    <w:p w:rsidR="0021708E" w:rsidRDefault="0021708E" w:rsidP="0021708E">
      <w:r>
        <w:t>We consider these factors are important as they provide transparency and increase regulatory certainty around how we will assess</w:t>
      </w:r>
      <w:r w:rsidR="005931B1">
        <w:t xml:space="preserve"> an application for this event</w:t>
      </w:r>
      <w:r>
        <w:t xml:space="preserve">. </w:t>
      </w:r>
    </w:p>
    <w:p w:rsidR="009536E6" w:rsidRDefault="0021708E" w:rsidP="009536E6">
      <w:r>
        <w:t>We note that t</w:t>
      </w:r>
      <w:r w:rsidR="009536E6">
        <w:t>here</w:t>
      </w:r>
      <w:r w:rsidR="002E08E2">
        <w:t xml:space="preserve"> may be some overlap between a T</w:t>
      </w:r>
      <w:r w:rsidR="009536E6">
        <w:t xml:space="preserve">errorism </w:t>
      </w:r>
      <w:r w:rsidR="002E08E2">
        <w:t>Event and an I</w:t>
      </w:r>
      <w:r w:rsidR="009536E6">
        <w:t>nsu</w:t>
      </w:r>
      <w:r w:rsidR="002E08E2">
        <w:t>rance Cap E</w:t>
      </w:r>
      <w:r w:rsidR="009536E6">
        <w:t>vent. However, we</w:t>
      </w:r>
      <w:r w:rsidR="00A746E0">
        <w:t xml:space="preserve"> accept the </w:t>
      </w:r>
      <w:r w:rsidR="00AD1D7C">
        <w:t xml:space="preserve">case for </w:t>
      </w:r>
      <w:r w:rsidR="00A746E0">
        <w:t>hav</w:t>
      </w:r>
      <w:r w:rsidR="00AD1D7C">
        <w:t>ing</w:t>
      </w:r>
      <w:r w:rsidR="00A746E0">
        <w:t xml:space="preserve"> both because JGN may incur costs </w:t>
      </w:r>
      <w:r w:rsidR="003D4E9F">
        <w:t xml:space="preserve">in a Terrorism Event </w:t>
      </w:r>
      <w:r w:rsidR="00A746E0">
        <w:t xml:space="preserve">that an insurance policy would not ordinarily cover. </w:t>
      </w:r>
    </w:p>
    <w:p w:rsidR="0021708E" w:rsidRDefault="0021708E" w:rsidP="0021708E">
      <w:r>
        <w:t xml:space="preserve">Our revised definition for the terrorism event is in </w:t>
      </w:r>
      <w:r>
        <w:fldChar w:fldCharType="begin"/>
      </w:r>
      <w:r>
        <w:instrText xml:space="preserve"> REF _Ref415659240 \h </w:instrText>
      </w:r>
      <w:r>
        <w:fldChar w:fldCharType="separate"/>
      </w:r>
      <w:r w:rsidR="00EF7A04">
        <w:t xml:space="preserve">Table </w:t>
      </w:r>
      <w:r w:rsidR="00EF7A04">
        <w:rPr>
          <w:noProof/>
        </w:rPr>
        <w:t>11</w:t>
      </w:r>
      <w:r w:rsidR="00EF7A04">
        <w:t>.</w:t>
      </w:r>
      <w:r w:rsidR="00EF7A04">
        <w:rPr>
          <w:noProof/>
        </w:rPr>
        <w:t>1</w:t>
      </w:r>
      <w:r>
        <w:fldChar w:fldCharType="end"/>
      </w:r>
      <w:r>
        <w:t xml:space="preserve">. </w:t>
      </w:r>
    </w:p>
    <w:p w:rsidR="00245D8B" w:rsidRDefault="00245D8B" w:rsidP="00AF1F9E">
      <w:pPr>
        <w:pStyle w:val="HeadingBoldBlue"/>
      </w:pPr>
      <w:r>
        <w:t xml:space="preserve">Natural </w:t>
      </w:r>
      <w:r w:rsidR="00847E6E">
        <w:t>D</w:t>
      </w:r>
      <w:r>
        <w:t xml:space="preserve">isaster </w:t>
      </w:r>
      <w:r w:rsidR="00847E6E">
        <w:t>E</w:t>
      </w:r>
      <w:r>
        <w:t>vent</w:t>
      </w:r>
      <w:r w:rsidR="00415BEC">
        <w:t xml:space="preserve"> </w:t>
      </w:r>
    </w:p>
    <w:p w:rsidR="00245D8B" w:rsidRDefault="0021708E" w:rsidP="0021708E">
      <w:r>
        <w:t>This pass through event would allow JGN to apply to pass through to consumer</w:t>
      </w:r>
      <w:r w:rsidR="00AD1D7C">
        <w:t>s</w:t>
      </w:r>
      <w:r>
        <w:t xml:space="preserve"> cost</w:t>
      </w:r>
      <w:r w:rsidR="00AD1D7C">
        <w:t>s</w:t>
      </w:r>
      <w:r>
        <w:t xml:space="preserve"> associated with JGN's actions in response to natural disasters. </w:t>
      </w:r>
    </w:p>
    <w:p w:rsidR="0021708E" w:rsidRDefault="003D4E9F" w:rsidP="0021708E">
      <w:r>
        <w:t>JGN proposed this event for the first time in its revised proposal, in response to our draft decision to reject its proposed business continuity event</w:t>
      </w:r>
      <w:r w:rsidR="0021708E">
        <w:t>.</w:t>
      </w:r>
      <w:r w:rsidR="0021708E">
        <w:rPr>
          <w:rStyle w:val="FootnoteReference"/>
        </w:rPr>
        <w:footnoteReference w:id="22"/>
      </w:r>
      <w:r w:rsidR="0021708E">
        <w:t xml:space="preserve"> </w:t>
      </w:r>
    </w:p>
    <w:p w:rsidR="0021708E" w:rsidRDefault="0021708E" w:rsidP="0021708E">
      <w:r>
        <w:t>In its revised proposal JGN state</w:t>
      </w:r>
      <w:r w:rsidR="002E08E2">
        <w:t>d</w:t>
      </w:r>
      <w:r>
        <w:t xml:space="preserve"> that:</w:t>
      </w:r>
    </w:p>
    <w:p w:rsidR="0021708E" w:rsidRDefault="00501994" w:rsidP="0021708E">
      <w:pPr>
        <w:pStyle w:val="AERbulletlistfirststyle"/>
      </w:pPr>
      <w:r>
        <w:lastRenderedPageBreak/>
        <w:t>t</w:t>
      </w:r>
      <w:r w:rsidR="0021708E">
        <w:t>his event captures a key category of uncertain, potentially high cost-impact events th</w:t>
      </w:r>
      <w:r w:rsidR="005931B1">
        <w:t>at are outside of JGN's control</w:t>
      </w:r>
    </w:p>
    <w:p w:rsidR="0021708E" w:rsidRDefault="00501994" w:rsidP="0021708E">
      <w:pPr>
        <w:pStyle w:val="AERbulletlistfirststyle"/>
      </w:pPr>
      <w:r>
        <w:t>n</w:t>
      </w:r>
      <w:r w:rsidR="0021708E">
        <w:t xml:space="preserve">atural disaster events typically result in JGN incurring substantial costs in undertaking emergency response, repair and rectification works </w:t>
      </w:r>
    </w:p>
    <w:p w:rsidR="00501994" w:rsidRDefault="00501994" w:rsidP="0021708E">
      <w:pPr>
        <w:pStyle w:val="AERbulletlistfirststyle"/>
      </w:pPr>
      <w:r>
        <w:t>its proposed opex allowance for emergency response provides cover only to the level</w:t>
      </w:r>
      <w:r w:rsidR="005931B1">
        <w:t xml:space="preserve"> of</w:t>
      </w:r>
      <w:r>
        <w:t xml:space="preserve"> emergency response expenditure incurred in the base year</w:t>
      </w:r>
    </w:p>
    <w:p w:rsidR="00501994" w:rsidRDefault="00501994" w:rsidP="0021708E">
      <w:pPr>
        <w:pStyle w:val="AERbulletlistfirststyle"/>
      </w:pPr>
      <w:r>
        <w:t>it takes steps to mitigate the cost impacts of natural disasters through its organisation resilience framework and associated plans and available insurance, and</w:t>
      </w:r>
    </w:p>
    <w:p w:rsidR="00501994" w:rsidRDefault="00501994" w:rsidP="0021708E">
      <w:pPr>
        <w:pStyle w:val="AERbulletlistfirststyle"/>
      </w:pPr>
      <w:r>
        <w:t>full insurance coverage is cost prohibitive.</w:t>
      </w:r>
      <w:r>
        <w:rPr>
          <w:rStyle w:val="FootnoteReference"/>
        </w:rPr>
        <w:footnoteReference w:id="23"/>
      </w:r>
      <w:r>
        <w:t xml:space="preserve"> </w:t>
      </w:r>
    </w:p>
    <w:p w:rsidR="00E45321" w:rsidRDefault="00501994" w:rsidP="00501994">
      <w:r>
        <w:t>We consider that inclusion of a natural disaster event is consistent with the NGO and RPP. However</w:t>
      </w:r>
      <w:r w:rsidR="00AD1D7C">
        <w:t>, w</w:t>
      </w:r>
      <w:r w:rsidR="00E45321">
        <w:t>e consider JGN's definition of a natural disaster event is not sufficiently clear.</w:t>
      </w:r>
      <w:r w:rsidR="00E45321">
        <w:rPr>
          <w:rStyle w:val="FootnoteReference"/>
        </w:rPr>
        <w:footnoteReference w:id="24"/>
      </w:r>
      <w:r w:rsidR="00E45321">
        <w:t xml:space="preserve"> We consider that a natural disaster event should be more clearly defined so that the event can be identified and assessed. </w:t>
      </w:r>
      <w:r w:rsidR="00AD1D7C">
        <w:t>We have therefore substituted our preferred definition of this event for that proposed by JGN.</w:t>
      </w:r>
    </w:p>
    <w:p w:rsidR="00501994" w:rsidRDefault="00501994" w:rsidP="007C54CA">
      <w:pPr>
        <w:keepNext/>
      </w:pPr>
      <w:r>
        <w:t>In particular, we have included in our definition:</w:t>
      </w:r>
    </w:p>
    <w:p w:rsidR="00E45321" w:rsidRDefault="00501994" w:rsidP="007C54CA">
      <w:pPr>
        <w:pStyle w:val="AERbulletlistfirststyle"/>
        <w:keepNext/>
      </w:pPr>
      <w:r>
        <w:t xml:space="preserve">the requirement that </w:t>
      </w:r>
      <w:r w:rsidRPr="00243359">
        <w:t xml:space="preserve">the fire, flood or other event was not a consequence of the acts or omissions of the </w:t>
      </w:r>
      <w:r>
        <w:t>S</w:t>
      </w:r>
      <w:r w:rsidRPr="00243359">
        <w:t xml:space="preserve">ervice </w:t>
      </w:r>
      <w:r>
        <w:t>P</w:t>
      </w:r>
      <w:r w:rsidRPr="00243359">
        <w:t>rovider</w:t>
      </w:r>
      <w:r>
        <w:t xml:space="preserve">. </w:t>
      </w:r>
      <w:r w:rsidR="008D1486">
        <w:t xml:space="preserve">JGN states that this is </w:t>
      </w:r>
      <w:r w:rsidR="005D2B71">
        <w:t>unnecessary</w:t>
      </w:r>
      <w:r w:rsidR="008D1486">
        <w:t>,</w:t>
      </w:r>
      <w:r w:rsidR="008D1486">
        <w:rPr>
          <w:rStyle w:val="FootnoteReference"/>
        </w:rPr>
        <w:footnoteReference w:id="25"/>
      </w:r>
      <w:r w:rsidR="008D1486">
        <w:t xml:space="preserve"> however we consider it provides upfront transparency</w:t>
      </w:r>
      <w:r w:rsidR="00AA3EB6">
        <w:t xml:space="preserve"> and reiterates its importance</w:t>
      </w:r>
      <w:r w:rsidR="00E45321">
        <w:t>, and</w:t>
      </w:r>
    </w:p>
    <w:p w:rsidR="00501994" w:rsidRDefault="008D1486" w:rsidP="00501994">
      <w:pPr>
        <w:pStyle w:val="AERbulletlistfirststyle"/>
      </w:pPr>
      <w:r>
        <w:t xml:space="preserve"> </w:t>
      </w:r>
      <w:r w:rsidR="00E45321">
        <w:t>we have included in our definition the factors that we will consider when assessing an application for a pass through under this event. We consider these factors are important as they provide transparency and increase regulatory certainty around how we will assess</w:t>
      </w:r>
      <w:r w:rsidR="005931B1">
        <w:t xml:space="preserve"> an</w:t>
      </w:r>
      <w:r w:rsidR="00E45321">
        <w:t xml:space="preserve"> application for th</w:t>
      </w:r>
      <w:r w:rsidR="005931B1">
        <w:t>is</w:t>
      </w:r>
      <w:r w:rsidR="00E45321">
        <w:t xml:space="preserve"> event.</w:t>
      </w:r>
    </w:p>
    <w:p w:rsidR="00983575" w:rsidRPr="00983575" w:rsidRDefault="00983575" w:rsidP="00983575">
      <w:r w:rsidRPr="00983575">
        <w:t xml:space="preserve">Our revised definition for the </w:t>
      </w:r>
      <w:r>
        <w:t xml:space="preserve">natural disaster </w:t>
      </w:r>
      <w:r w:rsidRPr="00983575">
        <w:t xml:space="preserve">event is in </w:t>
      </w:r>
      <w:r w:rsidRPr="00983575">
        <w:fldChar w:fldCharType="begin"/>
      </w:r>
      <w:r w:rsidRPr="00983575">
        <w:instrText xml:space="preserve"> REF _Ref415659240 \h </w:instrText>
      </w:r>
      <w:r w:rsidRPr="00983575">
        <w:fldChar w:fldCharType="separate"/>
      </w:r>
      <w:r w:rsidR="00EF7A04">
        <w:t xml:space="preserve">Table </w:t>
      </w:r>
      <w:r w:rsidR="00EF7A04">
        <w:rPr>
          <w:noProof/>
        </w:rPr>
        <w:t>11</w:t>
      </w:r>
      <w:r w:rsidR="00EF7A04">
        <w:t>.</w:t>
      </w:r>
      <w:r w:rsidR="00EF7A04">
        <w:rPr>
          <w:noProof/>
        </w:rPr>
        <w:t>1</w:t>
      </w:r>
      <w:r w:rsidRPr="00983575">
        <w:fldChar w:fldCharType="end"/>
      </w:r>
      <w:r w:rsidRPr="00983575">
        <w:t xml:space="preserve">. </w:t>
      </w:r>
    </w:p>
    <w:p w:rsidR="00A746E0" w:rsidRDefault="00A746E0" w:rsidP="00AF1F9E">
      <w:pPr>
        <w:pStyle w:val="HeadingBoldBlue"/>
      </w:pPr>
      <w:r>
        <w:t xml:space="preserve">Insurer </w:t>
      </w:r>
      <w:r w:rsidR="000E6B1B">
        <w:t>C</w:t>
      </w:r>
      <w:r>
        <w:t xml:space="preserve">redit </w:t>
      </w:r>
      <w:r w:rsidR="000E6B1B">
        <w:t>R</w:t>
      </w:r>
      <w:r>
        <w:t xml:space="preserve">isk </w:t>
      </w:r>
      <w:r w:rsidR="000E6B1B">
        <w:t>E</w:t>
      </w:r>
      <w:r>
        <w:t>vent</w:t>
      </w:r>
      <w:r w:rsidR="000F476C">
        <w:t xml:space="preserve"> </w:t>
      </w:r>
    </w:p>
    <w:p w:rsidR="00A746E0" w:rsidRDefault="00A746E0" w:rsidP="00A746E0">
      <w:r>
        <w:t>This event is intended to provide for circumstances in which an insurance claim is</w:t>
      </w:r>
      <w:r w:rsidR="00AA3EB6">
        <w:t>, or is likely to be,</w:t>
      </w:r>
      <w:r>
        <w:t xml:space="preserve"> successful but JGN is unable to recover outstanding insurance claims as a result of the insolvency of an insurance provider.</w:t>
      </w:r>
    </w:p>
    <w:p w:rsidR="00AA3EB6" w:rsidRDefault="003D4E9F" w:rsidP="00A746E0">
      <w:r>
        <w:lastRenderedPageBreak/>
        <w:t>JGN proposed this event for the first time in its revised proposal, in response to our draft decision to reject its proposed business continuity event</w:t>
      </w:r>
      <w:r w:rsidR="00AA3EB6">
        <w:t>.</w:t>
      </w:r>
      <w:r w:rsidR="00AA3EB6">
        <w:rPr>
          <w:rStyle w:val="FootnoteReference"/>
        </w:rPr>
        <w:footnoteReference w:id="26"/>
      </w:r>
    </w:p>
    <w:p w:rsidR="000E0852" w:rsidRDefault="000E0852" w:rsidP="00A746E0">
      <w:r>
        <w:t>In its revised proposal JGN state</w:t>
      </w:r>
      <w:r w:rsidR="003D4E9F">
        <w:t>d that</w:t>
      </w:r>
      <w:r>
        <w:t>:</w:t>
      </w:r>
    </w:p>
    <w:p w:rsidR="000E0852" w:rsidRDefault="003D4E9F" w:rsidP="000E0852">
      <w:pPr>
        <w:pStyle w:val="AERbulletlistfirststyle"/>
      </w:pPr>
      <w:r>
        <w:t>It takes</w:t>
      </w:r>
      <w:r w:rsidR="000E0852">
        <w:t xml:space="preserve"> a number of precautions to mitigate exposure to an insurer's credit risk event, including;</w:t>
      </w:r>
    </w:p>
    <w:p w:rsidR="000E0852" w:rsidRDefault="005931B1" w:rsidP="000E0852">
      <w:pPr>
        <w:pStyle w:val="AERbulletlistsecondstyle"/>
      </w:pPr>
      <w:r>
        <w:t>t</w:t>
      </w:r>
      <w:r w:rsidR="000E0852">
        <w:t xml:space="preserve">he appointment of a global insurance broker, ensuring all insurers are rated </w:t>
      </w:r>
      <w:r w:rsidR="00FC421E">
        <w:t>S</w:t>
      </w:r>
      <w:r w:rsidR="000E0852">
        <w:t xml:space="preserve">tandard and Poor's (or equivalent) A- or better, </w:t>
      </w:r>
    </w:p>
    <w:p w:rsidR="000E0852" w:rsidRDefault="005931B1" w:rsidP="000E0852">
      <w:pPr>
        <w:pStyle w:val="AERbulletlistsecondstyle"/>
      </w:pPr>
      <w:r>
        <w:t>the receipt of quarterly insurer s</w:t>
      </w:r>
      <w:r w:rsidR="000E0852">
        <w:t>ecurity rating reports, and</w:t>
      </w:r>
    </w:p>
    <w:p w:rsidR="000E0852" w:rsidRDefault="005931B1" w:rsidP="000E0852">
      <w:pPr>
        <w:pStyle w:val="AERbulletlistsecondstyle"/>
      </w:pPr>
      <w:r>
        <w:t>d</w:t>
      </w:r>
      <w:r w:rsidR="000E0852">
        <w:t>iversifying the insurance portfolio.</w:t>
      </w:r>
      <w:r w:rsidR="000E0852">
        <w:rPr>
          <w:rStyle w:val="FootnoteReference"/>
        </w:rPr>
        <w:footnoteReference w:id="27"/>
      </w:r>
    </w:p>
    <w:p w:rsidR="00DE563D" w:rsidRDefault="00534CFF" w:rsidP="00534CFF">
      <w:pPr>
        <w:pStyle w:val="AERbulletlistfirststyle"/>
      </w:pPr>
      <w:r>
        <w:t>Despite these efforts, an insurer may fail and leave JGN considerably exposed in circumstance beyond its ability to control.</w:t>
      </w:r>
      <w:r>
        <w:rPr>
          <w:rStyle w:val="FootnoteReference"/>
        </w:rPr>
        <w:footnoteReference w:id="28"/>
      </w:r>
    </w:p>
    <w:p w:rsidR="00534CFF" w:rsidRDefault="003D4E9F" w:rsidP="00534CFF">
      <w:pPr>
        <w:pStyle w:val="AERbulletlistfirststyle"/>
      </w:pPr>
      <w:r>
        <w:t>A</w:t>
      </w:r>
      <w:r w:rsidR="00534CFF">
        <w:t xml:space="preserve"> prudent service provider cannot always anticipate the failure of an insurance provider</w:t>
      </w:r>
      <w:r>
        <w:t>. JGN</w:t>
      </w:r>
      <w:r w:rsidR="00534CFF">
        <w:t xml:space="preserve"> cited the HIH Insurance collapse and AIG Insurance's difficulties during the global financial crisis as examples.</w:t>
      </w:r>
      <w:r w:rsidR="00534CFF">
        <w:rPr>
          <w:rStyle w:val="FootnoteReference"/>
        </w:rPr>
        <w:footnoteReference w:id="29"/>
      </w:r>
    </w:p>
    <w:p w:rsidR="00534CFF" w:rsidRDefault="00534CFF" w:rsidP="00534CFF">
      <w:r>
        <w:t>We have considered JGN's arguments and how the unanticipated collapse of an insurance provider would impact service providers. If a simila</w:t>
      </w:r>
      <w:r w:rsidR="00E45321">
        <w:t>r event to the HIH</w:t>
      </w:r>
      <w:r w:rsidR="005F369A">
        <w:t xml:space="preserve"> Insurance</w:t>
      </w:r>
      <w:r w:rsidR="00E45321">
        <w:t xml:space="preserve"> collapse was</w:t>
      </w:r>
      <w:r>
        <w:t xml:space="preserve"> to occur during the 2015–20 Access Arrangement period a service provider that had acted prudently and efficiently could </w:t>
      </w:r>
      <w:r w:rsidR="003D4E9F">
        <w:t xml:space="preserve">still </w:t>
      </w:r>
      <w:r>
        <w:t xml:space="preserve">incur material costs. The service provider may therefore still potentially suffer a significant loss as a consequence of an insurer becoming insolvent and thereby unable to satisfy all insurance claims. Service providers are also limited in the extent to which they can avoid such losses, short of taking out multiple insurance policies to cover the same risks. </w:t>
      </w:r>
    </w:p>
    <w:p w:rsidR="00534CFF" w:rsidRDefault="00534CFF" w:rsidP="00534CFF">
      <w:r>
        <w:t>We accept that the options av</w:t>
      </w:r>
      <w:r w:rsidR="00047148">
        <w:t>ailable to service providers to</w:t>
      </w:r>
      <w:r>
        <w:t xml:space="preserve"> manage these risks are limited, and given the rarity of such events, may in fact result in greater expenditure on insurance than is prudent or efficient. </w:t>
      </w:r>
    </w:p>
    <w:p w:rsidR="00047148" w:rsidRDefault="00534CFF" w:rsidP="00047148">
      <w:r>
        <w:t xml:space="preserve">We therefore accept that an </w:t>
      </w:r>
      <w:r w:rsidR="000E6B1B">
        <w:t>I</w:t>
      </w:r>
      <w:r>
        <w:t xml:space="preserve">nsurer's </w:t>
      </w:r>
      <w:r w:rsidR="000E6B1B">
        <w:t>C</w:t>
      </w:r>
      <w:r>
        <w:t xml:space="preserve">redit </w:t>
      </w:r>
      <w:r w:rsidR="000E6B1B">
        <w:t>R</w:t>
      </w:r>
      <w:r>
        <w:t xml:space="preserve">isk </w:t>
      </w:r>
      <w:r w:rsidR="000E6B1B">
        <w:t>E</w:t>
      </w:r>
      <w:r>
        <w:t xml:space="preserve">vent can be consistent with the NGO and the RPP, if appropriately defined. </w:t>
      </w:r>
      <w:r w:rsidR="00047148" w:rsidDel="00284245">
        <w:t>We consider a targeted definition of this event</w:t>
      </w:r>
      <w:r w:rsidR="00C25069">
        <w:t>—</w:t>
      </w:r>
      <w:r w:rsidR="003D4E9F">
        <w:t>which</w:t>
      </w:r>
      <w:r w:rsidR="00047148" w:rsidDel="00284245">
        <w:t xml:space="preserve"> </w:t>
      </w:r>
      <w:r w:rsidR="003D4E9F">
        <w:t xml:space="preserve">makes clear that in assessing a pass through application we will have regard to </w:t>
      </w:r>
      <w:r w:rsidR="00047148" w:rsidDel="00284245">
        <w:t xml:space="preserve">the importance of JGN reviewing and considering the viability of its selected </w:t>
      </w:r>
      <w:r w:rsidR="00047148" w:rsidDel="00284245">
        <w:lastRenderedPageBreak/>
        <w:t>insurer</w:t>
      </w:r>
      <w:r w:rsidR="00C25069">
        <w:t>—</w:t>
      </w:r>
      <w:r w:rsidR="00047148" w:rsidDel="00284245">
        <w:t xml:space="preserve">will maintain incentives on JGN to take prudent and </w:t>
      </w:r>
      <w:r w:rsidR="005F369A">
        <w:t>reasonable</w:t>
      </w:r>
      <w:r w:rsidR="005F369A" w:rsidDel="00284245">
        <w:t xml:space="preserve"> </w:t>
      </w:r>
      <w:r w:rsidR="00047148" w:rsidDel="00284245">
        <w:t>actions in relation to insurance.</w:t>
      </w:r>
    </w:p>
    <w:p w:rsidR="00047148" w:rsidRDefault="00534CFF" w:rsidP="00534CFF">
      <w:r>
        <w:t xml:space="preserve">In its </w:t>
      </w:r>
      <w:r w:rsidR="00C25069">
        <w:t xml:space="preserve">proposed </w:t>
      </w:r>
      <w:r>
        <w:t>definition for this event</w:t>
      </w:r>
      <w:r w:rsidR="00C25069">
        <w:t>,</w:t>
      </w:r>
      <w:r>
        <w:t xml:space="preserve"> JGN sought </w:t>
      </w:r>
      <w:r w:rsidR="00C25069">
        <w:t>to include provision for it to pass through</w:t>
      </w:r>
      <w:r>
        <w:t xml:space="preserve"> costs associated with changes to insurance premiums as a result of an insurer becoming insolvent.</w:t>
      </w:r>
      <w:r w:rsidR="000D305D">
        <w:rPr>
          <w:rStyle w:val="FootnoteReference"/>
        </w:rPr>
        <w:footnoteReference w:id="30"/>
      </w:r>
      <w:r w:rsidR="000D305D">
        <w:t xml:space="preserve"> However, we consider i</w:t>
      </w:r>
      <w:r>
        <w:t xml:space="preserve">nsurance premiums are a typical business expense, subject to ordinary market factors in the economy. </w:t>
      </w:r>
      <w:r w:rsidR="000D305D">
        <w:t>T</w:t>
      </w:r>
      <w:r>
        <w:t>his is a risk that businesses are best placed to manage, rather tha</w:t>
      </w:r>
      <w:r w:rsidR="00047148">
        <w:t>n</w:t>
      </w:r>
      <w:r>
        <w:t xml:space="preserve"> </w:t>
      </w:r>
      <w:r w:rsidR="00047148">
        <w:t>customers</w:t>
      </w:r>
      <w:r>
        <w:t xml:space="preserve">. </w:t>
      </w:r>
    </w:p>
    <w:p w:rsidR="00C25069" w:rsidRDefault="00534CFF" w:rsidP="00534CFF">
      <w:r>
        <w:t xml:space="preserve">We therefore do not accept JGN's </w:t>
      </w:r>
      <w:r w:rsidR="00C25069">
        <w:t xml:space="preserve">proposed </w:t>
      </w:r>
      <w:r>
        <w:t>definition of this event</w:t>
      </w:r>
      <w:r w:rsidR="00C25069">
        <w:t>,</w:t>
      </w:r>
      <w:r>
        <w:t xml:space="preserve"> and have substituted </w:t>
      </w:r>
      <w:r w:rsidR="00C25069">
        <w:t>our preferred definition</w:t>
      </w:r>
      <w:r>
        <w:t xml:space="preserve">. Our </w:t>
      </w:r>
      <w:r w:rsidR="00047148">
        <w:t>definition</w:t>
      </w:r>
      <w:r w:rsidR="00C25069">
        <w:t>:</w:t>
      </w:r>
    </w:p>
    <w:p w:rsidR="00047148" w:rsidRDefault="00534CFF" w:rsidP="007C54CA">
      <w:pPr>
        <w:pStyle w:val="AERbulletlistfirststyle"/>
      </w:pPr>
      <w:r>
        <w:t>limits the pass through</w:t>
      </w:r>
      <w:r w:rsidR="00284245">
        <w:t xml:space="preserve"> event</w:t>
      </w:r>
      <w:r w:rsidR="000D305D">
        <w:t xml:space="preserve"> </w:t>
      </w:r>
      <w:r>
        <w:t xml:space="preserve">to costs incurred </w:t>
      </w:r>
      <w:r w:rsidR="00047148">
        <w:t>by</w:t>
      </w:r>
      <w:r>
        <w:t xml:space="preserve"> JGN where </w:t>
      </w:r>
      <w:r w:rsidR="00047148">
        <w:t>an existing</w:t>
      </w:r>
      <w:r w:rsidR="00E45321">
        <w:t xml:space="preserve"> </w:t>
      </w:r>
      <w:r w:rsidR="00047148">
        <w:t>insurance claim</w:t>
      </w:r>
      <w:r>
        <w:t xml:space="preserve"> </w:t>
      </w:r>
      <w:r w:rsidR="00047148">
        <w:t xml:space="preserve">cannot be recovered due to the insurer becoming insolvent. </w:t>
      </w:r>
    </w:p>
    <w:p w:rsidR="00047148" w:rsidRDefault="00047148" w:rsidP="007C54CA">
      <w:pPr>
        <w:pStyle w:val="AERbulletlistfirststyle"/>
      </w:pPr>
      <w:r>
        <w:t xml:space="preserve">includes </w:t>
      </w:r>
      <w:r w:rsidR="00C25069">
        <w:t>provision for JGN to apply</w:t>
      </w:r>
      <w:r>
        <w:t xml:space="preserve"> to pass through unrecovered claim amounts if the insurer becomes insolvent and the need for a claim comes very shortly after the insurer becomes insolvent, such that JGN could not reasonably have found another insurer in time.</w:t>
      </w:r>
      <w:r w:rsidR="00284245" w:rsidRPr="00284245">
        <w:t xml:space="preserve"> </w:t>
      </w:r>
    </w:p>
    <w:p w:rsidR="00534CFF" w:rsidRDefault="00047148" w:rsidP="007C54CA">
      <w:pPr>
        <w:pStyle w:val="AERbulletlistfirststyle"/>
      </w:pPr>
      <w:r>
        <w:t>includes facto</w:t>
      </w:r>
      <w:r w:rsidR="000F476C">
        <w:t xml:space="preserve">rs that we will </w:t>
      </w:r>
      <w:r w:rsidR="00C25069">
        <w:t>have regard to</w:t>
      </w:r>
      <w:r>
        <w:t xml:space="preserve"> when assessing an </w:t>
      </w:r>
      <w:r w:rsidR="000D305D">
        <w:t>application for an Insurer's C</w:t>
      </w:r>
      <w:r>
        <w:t xml:space="preserve">redit </w:t>
      </w:r>
      <w:r w:rsidR="000D305D">
        <w:t>R</w:t>
      </w:r>
      <w:r>
        <w:t xml:space="preserve">isk </w:t>
      </w:r>
      <w:r w:rsidR="000D305D">
        <w:t>E</w:t>
      </w:r>
      <w:r>
        <w:t>vent to increase clarity and regulatory certainty.</w:t>
      </w:r>
    </w:p>
    <w:p w:rsidR="008B4BED" w:rsidRDefault="00C25069" w:rsidP="00534CFF">
      <w:r>
        <w:t xml:space="preserve">JGN’s proposed definition included provisions outlining its </w:t>
      </w:r>
      <w:r w:rsidR="00983575">
        <w:t xml:space="preserve">proposed materiality threshold for this event. </w:t>
      </w:r>
      <w:r w:rsidR="000F476C">
        <w:t>Our decision regarding the materiality threshold for cost pass through</w:t>
      </w:r>
      <w:r w:rsidR="00AA3EB6">
        <w:t xml:space="preserve"> events</w:t>
      </w:r>
      <w:r w:rsidR="000F476C">
        <w:t xml:space="preserve"> in JGN's 2015–20 Access Arrangement is </w:t>
      </w:r>
      <w:r w:rsidR="00983575">
        <w:t xml:space="preserve">the </w:t>
      </w:r>
      <w:r w:rsidR="000F476C">
        <w:t xml:space="preserve">discussed </w:t>
      </w:r>
      <w:r w:rsidR="00983575">
        <w:t xml:space="preserve">in section </w:t>
      </w:r>
      <w:r>
        <w:fldChar w:fldCharType="begin"/>
      </w:r>
      <w:r>
        <w:instrText xml:space="preserve"> REF _Ref417917781 \r \h </w:instrText>
      </w:r>
      <w:r>
        <w:fldChar w:fldCharType="separate"/>
      </w:r>
      <w:r w:rsidR="00EF7A04">
        <w:t>11.4.3</w:t>
      </w:r>
      <w:r>
        <w:fldChar w:fldCharType="end"/>
      </w:r>
      <w:r>
        <w:t xml:space="preserve"> </w:t>
      </w:r>
      <w:r w:rsidR="00A5213F">
        <w:t>below.</w:t>
      </w:r>
    </w:p>
    <w:p w:rsidR="00983575" w:rsidRDefault="00983575" w:rsidP="00983575">
      <w:r>
        <w:t xml:space="preserve">Our revised definition for the insurer credit risk event is in </w:t>
      </w:r>
      <w:r>
        <w:fldChar w:fldCharType="begin"/>
      </w:r>
      <w:r>
        <w:instrText xml:space="preserve"> REF _Ref415659240 \h </w:instrText>
      </w:r>
      <w:r>
        <w:fldChar w:fldCharType="separate"/>
      </w:r>
      <w:r w:rsidR="00EF7A04">
        <w:t xml:space="preserve">Table </w:t>
      </w:r>
      <w:r w:rsidR="00EF7A04">
        <w:rPr>
          <w:noProof/>
        </w:rPr>
        <w:t>11</w:t>
      </w:r>
      <w:r w:rsidR="00EF7A04">
        <w:t>.</w:t>
      </w:r>
      <w:r w:rsidR="00EF7A04">
        <w:rPr>
          <w:noProof/>
        </w:rPr>
        <w:t>1</w:t>
      </w:r>
      <w:r>
        <w:fldChar w:fldCharType="end"/>
      </w:r>
      <w:r>
        <w:t xml:space="preserve">. </w:t>
      </w:r>
    </w:p>
    <w:p w:rsidR="000F476C" w:rsidRPr="00AF1F9E" w:rsidRDefault="000F476C" w:rsidP="000F476C">
      <w:pPr>
        <w:pStyle w:val="HeadingBoldBlue"/>
      </w:pPr>
      <w:r>
        <w:t xml:space="preserve">Network </w:t>
      </w:r>
      <w:r w:rsidR="00284245">
        <w:t>U</w:t>
      </w:r>
      <w:r>
        <w:t xml:space="preserve">ser </w:t>
      </w:r>
      <w:r w:rsidR="00284245">
        <w:t>F</w:t>
      </w:r>
      <w:r>
        <w:t xml:space="preserve">ailure </w:t>
      </w:r>
      <w:r w:rsidR="00284245">
        <w:t>E</w:t>
      </w:r>
      <w:r>
        <w:t>vent</w:t>
      </w:r>
      <w:r w:rsidR="007F0116">
        <w:t xml:space="preserve"> </w:t>
      </w:r>
    </w:p>
    <w:p w:rsidR="000F476C" w:rsidRDefault="00156F5E" w:rsidP="00534CFF">
      <w:r>
        <w:t>In its ori</w:t>
      </w:r>
      <w:r w:rsidR="00AA3EB6">
        <w:t>ginal proposal, JGN proposed a network u</w:t>
      </w:r>
      <w:r>
        <w:t xml:space="preserve">ser failure event. </w:t>
      </w:r>
      <w:r w:rsidR="00AD1D7C">
        <w:t>It submitted that the</w:t>
      </w:r>
      <w:r>
        <w:t xml:space="preserve"> </w:t>
      </w:r>
      <w:r w:rsidR="00AD1D7C">
        <w:t xml:space="preserve">proposed </w:t>
      </w:r>
      <w:r>
        <w:t>event covers costs incurred by JGN in following required procedures</w:t>
      </w:r>
      <w:r w:rsidR="00AA3EB6">
        <w:t xml:space="preserve"> in a Retailer of Last R</w:t>
      </w:r>
      <w:r>
        <w:t>esort (</w:t>
      </w:r>
      <w:r w:rsidR="001C4820">
        <w:t>RoLR</w:t>
      </w:r>
      <w:r>
        <w:t xml:space="preserve">) event </w:t>
      </w:r>
      <w:r w:rsidR="00B66B9F">
        <w:t>under the National Energy Retail Law</w:t>
      </w:r>
      <w:r w:rsidR="00C25069">
        <w:t xml:space="preserve"> (NERL)</w:t>
      </w:r>
      <w:r w:rsidR="008123E0">
        <w:t>, which JGN considers are not adequately addressed in the NERL and NGR</w:t>
      </w:r>
      <w:r>
        <w:t>.</w:t>
      </w:r>
      <w:r w:rsidR="00C25069">
        <w:rPr>
          <w:rStyle w:val="FootnoteReference"/>
        </w:rPr>
        <w:footnoteReference w:id="31"/>
      </w:r>
      <w:r>
        <w:t xml:space="preserve"> </w:t>
      </w:r>
    </w:p>
    <w:p w:rsidR="00156F5E" w:rsidRDefault="00156F5E" w:rsidP="00534CFF">
      <w:r>
        <w:t>We rejected this cost pass through event in our draft decision</w:t>
      </w:r>
      <w:r w:rsidR="000D305D">
        <w:t xml:space="preserve"> </w:t>
      </w:r>
      <w:r>
        <w:t>as</w:t>
      </w:r>
      <w:r w:rsidR="00A055A3">
        <w:t xml:space="preserve"> we considered that</w:t>
      </w:r>
      <w:r w:rsidR="000D305D">
        <w:t>:</w:t>
      </w:r>
      <w:r w:rsidR="00546EF8">
        <w:rPr>
          <w:rStyle w:val="FootnoteReference"/>
        </w:rPr>
        <w:footnoteReference w:id="32"/>
      </w:r>
    </w:p>
    <w:p w:rsidR="00156F5E" w:rsidRDefault="00156F5E" w:rsidP="00156F5E">
      <w:pPr>
        <w:pStyle w:val="AERbulletlistfirststyle"/>
      </w:pPr>
      <w:r>
        <w:t>the primary costs incurred by JGN as a result of a retailer becoming insolvent or unable t</w:t>
      </w:r>
      <w:r w:rsidR="00D877A6">
        <w:t xml:space="preserve">o supply gas are </w:t>
      </w:r>
      <w:r w:rsidR="00AD1D7C">
        <w:t xml:space="preserve">already </w:t>
      </w:r>
      <w:r w:rsidR="00D877A6">
        <w:t>covered by section</w:t>
      </w:r>
      <w:r>
        <w:t xml:space="preserve"> 167 of the </w:t>
      </w:r>
      <w:r w:rsidR="00D877A6">
        <w:t>NERL</w:t>
      </w:r>
      <w:r w:rsidR="005931B1">
        <w:t xml:space="preserve"> and rule 531 of the NGR</w:t>
      </w:r>
      <w:r>
        <w:t xml:space="preserve"> </w:t>
      </w:r>
    </w:p>
    <w:p w:rsidR="00156F5E" w:rsidRDefault="00156F5E" w:rsidP="00156F5E">
      <w:pPr>
        <w:pStyle w:val="AERbulletlistfirststyle"/>
      </w:pPr>
      <w:r>
        <w:lastRenderedPageBreak/>
        <w:t xml:space="preserve">JGN is best placed to manage and mitigate the costs associated with a retailer becoming insolvent, including </w:t>
      </w:r>
      <w:r w:rsidR="00A055A3">
        <w:t>undertaking steps to</w:t>
      </w:r>
      <w:r>
        <w:t xml:space="preserve"> recover debts</w:t>
      </w:r>
      <w:r w:rsidR="005931B1">
        <w:t>, and</w:t>
      </w:r>
      <w:r>
        <w:t xml:space="preserve"> </w:t>
      </w:r>
    </w:p>
    <w:p w:rsidR="00A055A3" w:rsidRDefault="005931B1" w:rsidP="00156F5E">
      <w:pPr>
        <w:pStyle w:val="AERbulletlistfirststyle"/>
      </w:pPr>
      <w:r>
        <w:t>n</w:t>
      </w:r>
      <w:r w:rsidR="00A055A3">
        <w:t xml:space="preserve">ot approving this event will maintain JGN's incentives to take action to recover unpaid network charges and undertake appropriate debt recovery processes. </w:t>
      </w:r>
    </w:p>
    <w:p w:rsidR="00156F5E" w:rsidRDefault="00254FA3" w:rsidP="00534CFF">
      <w:r>
        <w:t>In its revised proposal</w:t>
      </w:r>
      <w:r w:rsidR="005931B1">
        <w:t xml:space="preserve"> JGN </w:t>
      </w:r>
      <w:r w:rsidR="00F00015">
        <w:t xml:space="preserve">did </w:t>
      </w:r>
      <w:r w:rsidR="005931B1">
        <w:t>not accept our position</w:t>
      </w:r>
      <w:r w:rsidR="008123E0">
        <w:t>.</w:t>
      </w:r>
      <w:r w:rsidR="005931B1">
        <w:rPr>
          <w:rStyle w:val="FootnoteReference"/>
        </w:rPr>
        <w:footnoteReference w:id="33"/>
      </w:r>
      <w:r w:rsidR="005931B1">
        <w:t xml:space="preserve"> </w:t>
      </w:r>
      <w:r w:rsidR="008123E0">
        <w:t>It</w:t>
      </w:r>
      <w:r w:rsidR="005931B1">
        <w:t xml:space="preserve"> </w:t>
      </w:r>
      <w:r>
        <w:t>stated that:</w:t>
      </w:r>
    </w:p>
    <w:p w:rsidR="00254FA3" w:rsidRDefault="00D033DA" w:rsidP="00254FA3">
      <w:pPr>
        <w:pStyle w:val="AERbulletlistfirststyle"/>
      </w:pPr>
      <w:r>
        <w:t>S</w:t>
      </w:r>
      <w:r w:rsidR="00D877A6">
        <w:t xml:space="preserve">ection 167 of the NERL and rule 531 of the NGR provide </w:t>
      </w:r>
      <w:r>
        <w:t xml:space="preserve">only </w:t>
      </w:r>
      <w:r w:rsidR="00D877A6">
        <w:t>partial relief to JGN in certain circumstances of retailer failure</w:t>
      </w:r>
      <w:r w:rsidR="00383A14">
        <w:t>.</w:t>
      </w:r>
      <w:r w:rsidR="00D877A6">
        <w:rPr>
          <w:rStyle w:val="FootnoteReference"/>
        </w:rPr>
        <w:footnoteReference w:id="34"/>
      </w:r>
    </w:p>
    <w:p w:rsidR="00D877A6" w:rsidRDefault="00383A14" w:rsidP="00254FA3">
      <w:pPr>
        <w:pStyle w:val="AERbulletlistfirststyle"/>
      </w:pPr>
      <w:r>
        <w:t>I</w:t>
      </w:r>
      <w:r w:rsidR="00D877A6">
        <w:t xml:space="preserve">n any </w:t>
      </w:r>
      <w:r w:rsidR="001C4820">
        <w:t>RoLR</w:t>
      </w:r>
      <w:r w:rsidR="00D877A6">
        <w:t xml:space="preserve"> event which then leads to </w:t>
      </w:r>
      <w:r w:rsidR="005931B1">
        <w:t xml:space="preserve">the </w:t>
      </w:r>
      <w:r w:rsidR="001C4820">
        <w:t>Australian Energy Market Operator (</w:t>
      </w:r>
      <w:r w:rsidR="00D877A6">
        <w:t>AEMO</w:t>
      </w:r>
      <w:r w:rsidR="001C4820">
        <w:t>)</w:t>
      </w:r>
      <w:r w:rsidR="00D877A6">
        <w:t xml:space="preserve"> applying the </w:t>
      </w:r>
      <w:r w:rsidR="001C4820">
        <w:t>RoLR</w:t>
      </w:r>
      <w:r w:rsidR="00D877A6">
        <w:t xml:space="preserve"> procedures, JGN will be required to perform its obligations under </w:t>
      </w:r>
      <w:r>
        <w:t>the NERL and the RoLR procedures</w:t>
      </w:r>
      <w:r w:rsidR="00D877A6">
        <w:t xml:space="preserve"> to facilitate the transfer of customers in retail market systems. These costs include:</w:t>
      </w:r>
    </w:p>
    <w:p w:rsidR="00D877A6" w:rsidRDefault="001C4820" w:rsidP="00D877A6">
      <w:pPr>
        <w:pStyle w:val="AERbulletlistsecondstyle"/>
      </w:pPr>
      <w:r>
        <w:t>p</w:t>
      </w:r>
      <w:r w:rsidR="00D877A6">
        <w:t>roviding AEMO with an estimate meter reading for every customer being transferred</w:t>
      </w:r>
      <w:r w:rsidR="00D877A6">
        <w:rPr>
          <w:rStyle w:val="FootnoteReference"/>
        </w:rPr>
        <w:footnoteReference w:id="35"/>
      </w:r>
    </w:p>
    <w:p w:rsidR="00D877A6" w:rsidRDefault="00D877A6" w:rsidP="00D877A6">
      <w:pPr>
        <w:pStyle w:val="AERbulletlistsecondstyle"/>
      </w:pPr>
      <w:r>
        <w:t>work</w:t>
      </w:r>
      <w:r w:rsidR="002419A5">
        <w:t>ing</w:t>
      </w:r>
      <w:r>
        <w:t xml:space="preserve"> with AEMO and the designated RoLR t</w:t>
      </w:r>
      <w:r w:rsidR="001C4820">
        <w:t>o</w:t>
      </w:r>
      <w:r>
        <w:t xml:space="preserve"> settle an outcome for each outstanding service order transaction that is "open" (e.g. customer churns, new connection requests, disconnection requests</w:t>
      </w:r>
      <w:r w:rsidR="001C4820">
        <w:t>)</w:t>
      </w:r>
      <w:r w:rsidR="001C4820">
        <w:rPr>
          <w:rStyle w:val="FootnoteReference"/>
        </w:rPr>
        <w:footnoteReference w:id="36"/>
      </w:r>
    </w:p>
    <w:p w:rsidR="001C4820" w:rsidRDefault="001C4820" w:rsidP="00D877A6">
      <w:pPr>
        <w:pStyle w:val="AERbulletlistsecondstyle"/>
      </w:pPr>
      <w:r>
        <w:t>work</w:t>
      </w:r>
      <w:r w:rsidR="002419A5">
        <w:t>ing</w:t>
      </w:r>
      <w:r>
        <w:t xml:space="preserve"> with AEMO and the designated RoLR to complete a reconciliation, where deemed necessary by AEMO no later than 65 days after the transfer.</w:t>
      </w:r>
      <w:r>
        <w:rPr>
          <w:rStyle w:val="FootnoteReference"/>
        </w:rPr>
        <w:footnoteReference w:id="37"/>
      </w:r>
    </w:p>
    <w:p w:rsidR="001C4820" w:rsidRDefault="00F00015" w:rsidP="008123E0">
      <w:pPr>
        <w:pStyle w:val="AERbulletlistfirststyle"/>
      </w:pPr>
      <w:r>
        <w:t xml:space="preserve">JGN </w:t>
      </w:r>
      <w:r w:rsidR="001C4820">
        <w:t>has very limited system automation for this process</w:t>
      </w:r>
      <w:r w:rsidR="002419A5">
        <w:t xml:space="preserve">, </w:t>
      </w:r>
      <w:r w:rsidR="001C4820">
        <w:t>given the low probability of a RoLR event occurring</w:t>
      </w:r>
      <w:r w:rsidR="008123E0">
        <w:t>,</w:t>
      </w:r>
      <w:r w:rsidR="001C4820">
        <w:rPr>
          <w:rStyle w:val="FootnoteReference"/>
        </w:rPr>
        <w:footnoteReference w:id="38"/>
      </w:r>
      <w:r w:rsidR="008123E0">
        <w:t xml:space="preserve"> and c</w:t>
      </w:r>
      <w:r w:rsidR="001C4820">
        <w:t xml:space="preserve">osts </w:t>
      </w:r>
      <w:r w:rsidR="002419A5">
        <w:t xml:space="preserve">in a RoLR event </w:t>
      </w:r>
      <w:r w:rsidR="001C4820">
        <w:t>would be dependent on the particular circumstances</w:t>
      </w:r>
      <w:r w:rsidR="00D033DA">
        <w:t>, including the number of customers to be transferred</w:t>
      </w:r>
      <w:r w:rsidR="002419A5">
        <w:t>.</w:t>
      </w:r>
      <w:r w:rsidR="001C4820">
        <w:rPr>
          <w:rStyle w:val="FootnoteReference"/>
        </w:rPr>
        <w:footnoteReference w:id="39"/>
      </w:r>
      <w:r w:rsidR="008123E0">
        <w:t xml:space="preserve"> JGN considers it has </w:t>
      </w:r>
      <w:r w:rsidR="001C4820">
        <w:t>acted efficiently to avoid the cost of a project to change its systems to automate RoLR customer transfer processes</w:t>
      </w:r>
      <w:r w:rsidR="002419A5">
        <w:t>,</w:t>
      </w:r>
      <w:r w:rsidR="001C4820">
        <w:t xml:space="preserve"> because the low probability of occurrence does not justify the significant cost.</w:t>
      </w:r>
      <w:r w:rsidR="001C4820">
        <w:rPr>
          <w:rStyle w:val="FootnoteReference"/>
        </w:rPr>
        <w:footnoteReference w:id="40"/>
      </w:r>
      <w:r w:rsidR="001C4820">
        <w:t xml:space="preserve"> </w:t>
      </w:r>
    </w:p>
    <w:p w:rsidR="006F7DAB" w:rsidRDefault="001C4820" w:rsidP="001C4820">
      <w:r>
        <w:lastRenderedPageBreak/>
        <w:t xml:space="preserve">With the benefit of this additional information we consider that including a Network </w:t>
      </w:r>
      <w:r w:rsidR="00F00015">
        <w:t>U</w:t>
      </w:r>
      <w:r>
        <w:t xml:space="preserve">ser </w:t>
      </w:r>
      <w:r w:rsidR="00F00015">
        <w:t>F</w:t>
      </w:r>
      <w:r>
        <w:t xml:space="preserve">ailure </w:t>
      </w:r>
      <w:r w:rsidR="00F00015">
        <w:t>E</w:t>
      </w:r>
      <w:r>
        <w:t xml:space="preserve">vent in JGN's 2015–20 Access Arrangement </w:t>
      </w:r>
      <w:r w:rsidR="007C54CA">
        <w:t xml:space="preserve">would, if appropriately defined, </w:t>
      </w:r>
      <w:r>
        <w:t>support the NGO and the RPP</w:t>
      </w:r>
      <w:r w:rsidR="006D4B45">
        <w:t xml:space="preserve">. </w:t>
      </w:r>
      <w:r w:rsidR="00C31CC8">
        <w:t>However, for the reasons set out below, we do not accept JGN's definition of this event and have substituted our preferred definition.</w:t>
      </w:r>
    </w:p>
    <w:p w:rsidR="001B0E74" w:rsidRDefault="001B0E74" w:rsidP="001B0E74">
      <w:r>
        <w:t xml:space="preserve">We consider a Network </w:t>
      </w:r>
      <w:r w:rsidR="00237F50">
        <w:t>U</w:t>
      </w:r>
      <w:r>
        <w:t xml:space="preserve">ser </w:t>
      </w:r>
      <w:r w:rsidR="00237F50">
        <w:t>F</w:t>
      </w:r>
      <w:r>
        <w:t xml:space="preserve">ailure </w:t>
      </w:r>
      <w:r w:rsidR="00237F50">
        <w:t>E</w:t>
      </w:r>
      <w:r>
        <w:t xml:space="preserve">vent could provide an efficient alternative to JGN investing an automated system solely for transferring customers in a RoLR event. Where such systems significantly exceed what JGN would otherwise require to process customer transfers in accordance with the </w:t>
      </w:r>
      <w:r w:rsidR="00AD1D7C">
        <w:t xml:space="preserve">NERL, NERR, </w:t>
      </w:r>
      <w:r>
        <w:t xml:space="preserve">NGR and retail market procedures, this expenditure may not be prudent or efficient, particularly given the low frequency of RoLR events. </w:t>
      </w:r>
      <w:r w:rsidR="00AD1D7C">
        <w:t>For avoidance of doubt, o</w:t>
      </w:r>
      <w:r>
        <w:t>ur preferred definition notes that when assessing an application under a Network User Failure E</w:t>
      </w:r>
      <w:r w:rsidRPr="003703F7">
        <w:t xml:space="preserve">vent </w:t>
      </w:r>
      <w:r w:rsidR="00AD1D7C">
        <w:t>we</w:t>
      </w:r>
      <w:r w:rsidRPr="003703F7">
        <w:t xml:space="preserve"> will have regard to, amongst other things</w:t>
      </w:r>
      <w:r>
        <w:t xml:space="preserve"> the extent to which </w:t>
      </w:r>
      <w:r w:rsidR="00AD1D7C">
        <w:t>the se</w:t>
      </w:r>
      <w:r>
        <w:t xml:space="preserve">rvice </w:t>
      </w:r>
      <w:r w:rsidR="00AD1D7C">
        <w:t>p</w:t>
      </w:r>
      <w:r>
        <w:t>rovider has taken steps to minimise the costs associated with its responsibilities in a RoLR event, both prior to, and after, the RoLR event was triggered.</w:t>
      </w:r>
    </w:p>
    <w:p w:rsidR="00C31CC8" w:rsidRDefault="00C31CC8" w:rsidP="009A0ACD">
      <w:pPr>
        <w:pStyle w:val="HeadingBoldItalic"/>
        <w:keepNext/>
      </w:pPr>
      <w:r>
        <w:t>Application where failed retailer is not insolvent</w:t>
      </w:r>
    </w:p>
    <w:p w:rsidR="00D033DA" w:rsidRDefault="00C31CC8" w:rsidP="009A0ACD">
      <w:pPr>
        <w:pStyle w:val="AERbulletlistfirststyle"/>
        <w:keepNext/>
        <w:numPr>
          <w:ilvl w:val="0"/>
          <w:numId w:val="0"/>
        </w:numPr>
      </w:pPr>
      <w:r>
        <w:t xml:space="preserve">Rule 531 of the NGR </w:t>
      </w:r>
      <w:r w:rsidR="008123E0">
        <w:t>allows JGN to pass</w:t>
      </w:r>
      <w:r>
        <w:t xml:space="preserve"> through costs associated with a RoLR event</w:t>
      </w:r>
      <w:r w:rsidR="008123E0">
        <w:t xml:space="preserve"> that is</w:t>
      </w:r>
      <w:r>
        <w:t xml:space="preserve"> triggered by retailer insolvency. However, </w:t>
      </w:r>
      <w:r w:rsidR="00D033DA">
        <w:t xml:space="preserve">JGN noted that </w:t>
      </w:r>
      <w:r>
        <w:t>a RoLR event may be triggered</w:t>
      </w:r>
      <w:r w:rsidR="00D033DA">
        <w:t xml:space="preserve"> under the NERL </w:t>
      </w:r>
      <w:r>
        <w:t xml:space="preserve">in circumstances where the retailer is not insolvent. </w:t>
      </w:r>
    </w:p>
    <w:p w:rsidR="002260A5" w:rsidRDefault="00D033DA" w:rsidP="00C31CC8">
      <w:pPr>
        <w:pStyle w:val="AERbulletlistfirststyle"/>
        <w:numPr>
          <w:ilvl w:val="0"/>
          <w:numId w:val="0"/>
        </w:numPr>
      </w:pPr>
      <w:r>
        <w:t xml:space="preserve">We consider the costs that JGN would incur in meeting its obligations under the NERL and the RoLR procedures in a RoLR event are likely to be the same regardless of the trigger for that event. </w:t>
      </w:r>
      <w:r w:rsidR="002260A5">
        <w:t>A</w:t>
      </w:r>
      <w:r w:rsidR="009A0ACD">
        <w:t>s</w:t>
      </w:r>
      <w:r w:rsidR="002260A5">
        <w:t xml:space="preserve"> discussed above, we consider that</w:t>
      </w:r>
      <w:r w:rsidR="002260A5" w:rsidRPr="002260A5">
        <w:t xml:space="preserve"> </w:t>
      </w:r>
      <w:r w:rsidR="002260A5">
        <w:t xml:space="preserve">a Network User Failure Event could provide an efficient alternative to JGN investing an automated system solely for transferring customers in a RoLR event. </w:t>
      </w:r>
    </w:p>
    <w:p w:rsidR="00C31CC8" w:rsidRDefault="00C31CC8" w:rsidP="00C31CC8">
      <w:pPr>
        <w:pStyle w:val="AERbulletlistfirststyle"/>
        <w:numPr>
          <w:ilvl w:val="0"/>
          <w:numId w:val="0"/>
        </w:numPr>
      </w:pPr>
      <w:r>
        <w:t xml:space="preserve">Consistent with JGN’s proposal, our </w:t>
      </w:r>
      <w:r w:rsidR="000A3541">
        <w:t xml:space="preserve">preferred </w:t>
      </w:r>
      <w:r>
        <w:t xml:space="preserve">definition </w:t>
      </w:r>
      <w:r w:rsidR="00D033DA">
        <w:t xml:space="preserve">therefore </w:t>
      </w:r>
      <w:r w:rsidR="008123E0">
        <w:t>allows recovery of</w:t>
      </w:r>
      <w:r w:rsidR="00D033DA">
        <w:t xml:space="preserve"> costs resulting from any RoLR event under </w:t>
      </w:r>
      <w:r>
        <w:t>section 122 of the NERL</w:t>
      </w:r>
      <w:r w:rsidR="000A3541">
        <w:t xml:space="preserve">, where those costs are not recoverable by the </w:t>
      </w:r>
      <w:r w:rsidR="002260A5">
        <w:t>s</w:t>
      </w:r>
      <w:r w:rsidR="000A3541">
        <w:t xml:space="preserve">ervice </w:t>
      </w:r>
      <w:r w:rsidR="002260A5">
        <w:t>p</w:t>
      </w:r>
      <w:r w:rsidR="000A3541">
        <w:t xml:space="preserve">rovider under other provisions of the NERL, NERR, NGL or NGR as in force at the time of the event, including but not limited to rule 531 of the NGR and other pass through events in </w:t>
      </w:r>
      <w:r w:rsidR="002260A5">
        <w:t>the a</w:t>
      </w:r>
      <w:r w:rsidR="000A3541">
        <w:t xml:space="preserve">ccess </w:t>
      </w:r>
      <w:r w:rsidR="002260A5">
        <w:t>a</w:t>
      </w:r>
      <w:r w:rsidR="000A3541">
        <w:t>rrangement.</w:t>
      </w:r>
    </w:p>
    <w:p w:rsidR="006D4B45" w:rsidRDefault="00FC3C03" w:rsidP="00FC3C03">
      <w:pPr>
        <w:pStyle w:val="HeadingBoldItalic"/>
      </w:pPr>
      <w:r>
        <w:t>Recovery of foregone revenue</w:t>
      </w:r>
    </w:p>
    <w:p w:rsidR="00386FF0" w:rsidRDefault="003107AD" w:rsidP="00FC3C03">
      <w:r>
        <w:t>JGN</w:t>
      </w:r>
      <w:r w:rsidR="002260A5">
        <w:t xml:space="preserve"> raised its</w:t>
      </w:r>
      <w:r>
        <w:t xml:space="preserve"> concern that rule 531 of the NGR</w:t>
      </w:r>
      <w:r w:rsidR="008123E0">
        <w:t xml:space="preserve"> </w:t>
      </w:r>
      <w:r>
        <w:t>does not explicitly allow for recovery of foregone reven</w:t>
      </w:r>
      <w:r w:rsidR="00732F94">
        <w:t xml:space="preserve">ue, and </w:t>
      </w:r>
      <w:r w:rsidR="008123E0">
        <w:t xml:space="preserve">by referring to costs </w:t>
      </w:r>
      <w:r w:rsidR="00732F94">
        <w:t>could be read as limited to JGN’s costs in administering a RoLR event.</w:t>
      </w:r>
    </w:p>
    <w:p w:rsidR="007F03B0" w:rsidRDefault="00732F94" w:rsidP="00FC3C03">
      <w:r>
        <w:t>We are also aware that this issue is currently under consideration by the AEMC, which is consulting on changes to the equivalent provisions in the NER proposed by the COAG Energy Council.</w:t>
      </w:r>
      <w:r>
        <w:rPr>
          <w:rStyle w:val="FootnoteReference"/>
        </w:rPr>
        <w:footnoteReference w:id="41"/>
      </w:r>
      <w:r>
        <w:t xml:space="preserve"> The rule change, proposed by the COAG Energy Council, </w:t>
      </w:r>
      <w:r>
        <w:lastRenderedPageBreak/>
        <w:t xml:space="preserve">relates to amendments the </w:t>
      </w:r>
      <w:r w:rsidR="002260A5">
        <w:t xml:space="preserve">Energy </w:t>
      </w:r>
      <w:r>
        <w:t>Council intended to make to the NER prior to commencement of the National Energy Customer Framework.</w:t>
      </w:r>
      <w:r>
        <w:rPr>
          <w:rStyle w:val="FootnoteReference"/>
        </w:rPr>
        <w:footnoteReference w:id="42"/>
      </w:r>
      <w:r>
        <w:t xml:space="preserve"> </w:t>
      </w:r>
    </w:p>
    <w:p w:rsidR="00B07442" w:rsidRDefault="00732F94" w:rsidP="00FC3C03">
      <w:r>
        <w:t xml:space="preserve">The AEMC’s consideration of this </w:t>
      </w:r>
      <w:r w:rsidR="0084567A">
        <w:t xml:space="preserve">rule change </w:t>
      </w:r>
      <w:r>
        <w:t xml:space="preserve">proposal </w:t>
      </w:r>
      <w:r w:rsidR="0084567A">
        <w:t>i</w:t>
      </w:r>
      <w:r w:rsidR="007F03B0">
        <w:t>s</w:t>
      </w:r>
      <w:r>
        <w:t xml:space="preserve"> ongoing at the time of this decision</w:t>
      </w:r>
      <w:r w:rsidR="007F03B0">
        <w:t xml:space="preserve">, and no decision has been made as to whether the </w:t>
      </w:r>
      <w:r w:rsidR="002260A5">
        <w:t xml:space="preserve">proposed </w:t>
      </w:r>
      <w:r w:rsidR="007F03B0">
        <w:t>changes to the NER will be made</w:t>
      </w:r>
      <w:r>
        <w:t>.</w:t>
      </w:r>
      <w:r w:rsidR="007F03B0">
        <w:t xml:space="preserve"> </w:t>
      </w:r>
      <w:r w:rsidR="00237F50">
        <w:t xml:space="preserve">It is not for us to pre-empt the outcomes of the AEMC’s consideration of the changes proposed to the NER. </w:t>
      </w:r>
      <w:r w:rsidR="00B07442">
        <w:t xml:space="preserve">In reaching its decision, the AEMC’s consultation paper suggests that it will look at a number of considerations that are similar to those we have regard to in assessing proposed pass through events. However, we must make our decision on the pass through events to be included in JGN’s 2015-20 Access Arrangement based on the information before us in this process. </w:t>
      </w:r>
    </w:p>
    <w:p w:rsidR="00A95DF6" w:rsidRDefault="00A95DF6" w:rsidP="00FC3C03">
      <w:r>
        <w:t xml:space="preserve">Key </w:t>
      </w:r>
      <w:r w:rsidR="00B07442">
        <w:t xml:space="preserve">to our consideration of this event </w:t>
      </w:r>
      <w:r>
        <w:t xml:space="preserve">are </w:t>
      </w:r>
      <w:r w:rsidR="00B07442">
        <w:t xml:space="preserve">the </w:t>
      </w:r>
      <w:r>
        <w:t xml:space="preserve">appropriate allocation of risk between JGN and its customers, and the incentives that would flow from a pass through event that allowed JGN to recover amounts unpaid by a failed retailer directly from its customers. </w:t>
      </w:r>
    </w:p>
    <w:p w:rsidR="00A95DF6" w:rsidRDefault="00A95DF6" w:rsidP="00FC3C03">
      <w:r>
        <w:t>We have considered the following options available to JGN to manage its exposure in a RoLR event, and to recover unpaid charges from the existing retailer:</w:t>
      </w:r>
    </w:p>
    <w:p w:rsidR="00A95DF6" w:rsidRDefault="00B07442" w:rsidP="00A95DF6">
      <w:pPr>
        <w:pStyle w:val="AERbulletlistfirststyle"/>
      </w:pPr>
      <w:r>
        <w:t xml:space="preserve">JGN can and should make use of </w:t>
      </w:r>
      <w:r w:rsidR="00A95DF6">
        <w:t xml:space="preserve">credit support arrangements under </w:t>
      </w:r>
      <w:r w:rsidR="00A95DF6" w:rsidRPr="00366491">
        <w:t xml:space="preserve">Part </w:t>
      </w:r>
      <w:r w:rsidR="00366491" w:rsidRPr="00366491">
        <w:t>21</w:t>
      </w:r>
      <w:r w:rsidR="00A95DF6" w:rsidRPr="00366491">
        <w:t xml:space="preserve"> of</w:t>
      </w:r>
      <w:r w:rsidR="00A95DF6">
        <w:t xml:space="preserve"> the NGR</w:t>
      </w:r>
      <w:r>
        <w:t xml:space="preserve"> to limit its exposure to credit risk.</w:t>
      </w:r>
    </w:p>
    <w:p w:rsidR="00B07442" w:rsidRDefault="00B07442" w:rsidP="00A95DF6">
      <w:pPr>
        <w:pStyle w:val="AERbulletlistfirststyle"/>
      </w:pPr>
      <w:r>
        <w:t>S</w:t>
      </w:r>
      <w:r w:rsidR="00A95DF6">
        <w:t xml:space="preserve">hould a retailer become insolvent, JGN can and should pursue </w:t>
      </w:r>
      <w:r>
        <w:t xml:space="preserve">recovery of debts through the insolvency process under the </w:t>
      </w:r>
      <w:r>
        <w:rPr>
          <w:i/>
        </w:rPr>
        <w:t>Corporations Act 2001 (Cth)</w:t>
      </w:r>
      <w:r>
        <w:t xml:space="preserve">. </w:t>
      </w:r>
    </w:p>
    <w:p w:rsidR="00A95DF6" w:rsidRDefault="00B07442" w:rsidP="00A95DF6">
      <w:pPr>
        <w:pStyle w:val="AERbulletlistfirststyle"/>
      </w:pPr>
      <w:r>
        <w:t>Where a RoLR event occurs and the failed retailer is not insolvent, JGN can and should pursue recovery of debts directly from that retailer.</w:t>
      </w:r>
      <w:r w:rsidR="00A95DF6">
        <w:t xml:space="preserve"> </w:t>
      </w:r>
    </w:p>
    <w:p w:rsidR="00B07442" w:rsidRDefault="00B07442" w:rsidP="00A95DF6">
      <w:pPr>
        <w:pStyle w:val="AERbulletlistfirststyle"/>
      </w:pPr>
      <w:r>
        <w:t>JGN has not demonstrated that any residual risk is uninsurable</w:t>
      </w:r>
      <w:r w:rsidR="00632624">
        <w:t>, such that it would be appropriate for consumers to insure JGN against this risk rather than JGN.</w:t>
      </w:r>
    </w:p>
    <w:p w:rsidR="00B07442" w:rsidRDefault="00B07442" w:rsidP="00FC3C03">
      <w:r>
        <w:t xml:space="preserve">A pass through event that </w:t>
      </w:r>
      <w:r w:rsidR="002260A5">
        <w:t xml:space="preserve">operates in addition to rule 531 of the NGR and </w:t>
      </w:r>
      <w:r>
        <w:t xml:space="preserve">allows the recovery of some or all revenue foregone in a RoLR event would weaken JGN’s incentives to pursue these options. </w:t>
      </w:r>
      <w:r w:rsidR="00237F50">
        <w:t>There are means to recover the amounts owed from the relevant retailer. We do not consider it appropriate for JGN to have consume</w:t>
      </w:r>
      <w:r w:rsidR="00CE1482">
        <w:t>rs fund the unrecovered amounts.</w:t>
      </w:r>
    </w:p>
    <w:p w:rsidR="00D033DA" w:rsidRDefault="00D033DA" w:rsidP="00FC3C03">
      <w:r>
        <w:t xml:space="preserve">We therefore </w:t>
      </w:r>
      <w:r w:rsidR="008123E0">
        <w:t xml:space="preserve">do not accept that </w:t>
      </w:r>
      <w:r>
        <w:t xml:space="preserve">foregone revenue </w:t>
      </w:r>
      <w:r w:rsidR="008123E0">
        <w:t xml:space="preserve">should be included in </w:t>
      </w:r>
      <w:r>
        <w:t>the costs that can be claimed under this pass through event.</w:t>
      </w:r>
      <w:r w:rsidR="000A3541">
        <w:t xml:space="preserve"> Our preferred definition refers to costs, and not the revenue impact JGN sustains or will sustain as a result of amounts unpaid as a result of the RoLR event.</w:t>
      </w:r>
    </w:p>
    <w:p w:rsidR="000A3541" w:rsidRDefault="000A3541" w:rsidP="009A0ACD">
      <w:pPr>
        <w:pStyle w:val="HeadingBoldItalic"/>
        <w:keepNext/>
      </w:pPr>
      <w:r>
        <w:lastRenderedPageBreak/>
        <w:t>Application to non-retailer users</w:t>
      </w:r>
    </w:p>
    <w:p w:rsidR="000A3541" w:rsidRDefault="000A3541" w:rsidP="009A0ACD">
      <w:pPr>
        <w:keepNext/>
      </w:pPr>
      <w:r>
        <w:t xml:space="preserve">The arguments JGN included in its revised proposal in support of this event relate to RoLR processes triggered by the AER under the NERL. </w:t>
      </w:r>
      <w:r w:rsidR="002260A5">
        <w:t xml:space="preserve">These are specific to energy retailers. </w:t>
      </w:r>
      <w:r>
        <w:t xml:space="preserve">However, </w:t>
      </w:r>
      <w:r w:rsidR="002260A5">
        <w:t xml:space="preserve">JGN’s </w:t>
      </w:r>
      <w:r>
        <w:t>proposed definition of the Network User Failure Event refers to any User, and does not reference the RoLR process.</w:t>
      </w:r>
    </w:p>
    <w:p w:rsidR="000A3541" w:rsidRDefault="000A3541" w:rsidP="000A3541">
      <w:r>
        <w:rPr>
          <w:rStyle w:val="AERbody"/>
        </w:rPr>
        <w:t>Absent a RoLR event under the NERL,</w:t>
      </w:r>
      <w:r w:rsidRPr="000A3541">
        <w:t xml:space="preserve"> </w:t>
      </w:r>
      <w:r>
        <w:t xml:space="preserve">JGN will not be required to perform its obligations under the NERL and the RoLR procedures to facilitate the transfer of customers in retail market systems. The costs of administering a RoLR event in accordance with those obligations </w:t>
      </w:r>
      <w:r w:rsidR="00237F50">
        <w:t>do</w:t>
      </w:r>
      <w:r>
        <w:t xml:space="preserve"> not arise. </w:t>
      </w:r>
    </w:p>
    <w:p w:rsidR="000A3541" w:rsidRDefault="000A3541" w:rsidP="000A3541">
      <w:r>
        <w:t>Our preferred definition is therefore specific to the occurrence of a RoLR event</w:t>
      </w:r>
      <w:r w:rsidRPr="000A3541">
        <w:t xml:space="preserve"> </w:t>
      </w:r>
      <w:r>
        <w:t xml:space="preserve">as defined in section 122 of the </w:t>
      </w:r>
      <w:r w:rsidRPr="000D3119">
        <w:t>National Energy Retail Law</w:t>
      </w:r>
      <w:r>
        <w:t>.</w:t>
      </w:r>
    </w:p>
    <w:p w:rsidR="00FC3C03" w:rsidRDefault="00FC3C03" w:rsidP="009A0ACD">
      <w:pPr>
        <w:pStyle w:val="HeadingBoldItalic"/>
        <w:keepNext/>
      </w:pPr>
      <w:r>
        <w:t>Exemption from materiality threshold</w:t>
      </w:r>
    </w:p>
    <w:p w:rsidR="00237F50" w:rsidRDefault="000B121D" w:rsidP="009A0ACD">
      <w:pPr>
        <w:keepNext/>
        <w:rPr>
          <w:rStyle w:val="AERbody"/>
        </w:rPr>
      </w:pPr>
      <w:r>
        <w:rPr>
          <w:rStyle w:val="AERbody"/>
        </w:rPr>
        <w:t xml:space="preserve">In its revised proposal JGN </w:t>
      </w:r>
      <w:r w:rsidR="008123E0">
        <w:rPr>
          <w:rStyle w:val="AERbody"/>
        </w:rPr>
        <w:t>propose</w:t>
      </w:r>
      <w:r w:rsidR="002260A5">
        <w:rPr>
          <w:rStyle w:val="AERbody"/>
        </w:rPr>
        <w:t>d</w:t>
      </w:r>
      <w:r>
        <w:rPr>
          <w:rStyle w:val="AERbody"/>
        </w:rPr>
        <w:t xml:space="preserve"> that this event should not be subject to a materiality threshold.</w:t>
      </w:r>
      <w:r>
        <w:rPr>
          <w:rStyle w:val="FootnoteReference"/>
        </w:rPr>
        <w:footnoteReference w:id="43"/>
      </w:r>
      <w:r>
        <w:rPr>
          <w:rStyle w:val="AERbody"/>
        </w:rPr>
        <w:t xml:space="preserve"> </w:t>
      </w:r>
      <w:r w:rsidR="008123E0">
        <w:rPr>
          <w:rStyle w:val="AERbody"/>
        </w:rPr>
        <w:t>In support of this proposal it cite</w:t>
      </w:r>
      <w:r w:rsidR="00C75E1A">
        <w:rPr>
          <w:rStyle w:val="AERbody"/>
        </w:rPr>
        <w:t>d</w:t>
      </w:r>
      <w:r w:rsidR="008123E0">
        <w:rPr>
          <w:rStyle w:val="AERbody"/>
        </w:rPr>
        <w:t xml:space="preserve"> the current drafting of rule 531 of the NGR, which </w:t>
      </w:r>
      <w:r w:rsidR="00366491">
        <w:rPr>
          <w:rStyle w:val="AERbody"/>
        </w:rPr>
        <w:t>it consider</w:t>
      </w:r>
      <w:r w:rsidR="00C75E1A">
        <w:rPr>
          <w:rStyle w:val="AERbody"/>
        </w:rPr>
        <w:t>ed</w:t>
      </w:r>
      <w:r w:rsidR="00366491">
        <w:rPr>
          <w:rStyle w:val="AERbody"/>
        </w:rPr>
        <w:t xml:space="preserve"> is not subject to a financial materiality threshold. </w:t>
      </w:r>
      <w:r w:rsidR="008123E0">
        <w:rPr>
          <w:rStyle w:val="AERbody"/>
        </w:rPr>
        <w:t>It also refer</w:t>
      </w:r>
      <w:r w:rsidR="00C75E1A">
        <w:rPr>
          <w:rStyle w:val="AERbody"/>
        </w:rPr>
        <w:t>red</w:t>
      </w:r>
      <w:r w:rsidR="008123E0">
        <w:rPr>
          <w:rStyle w:val="AERbody"/>
        </w:rPr>
        <w:t xml:space="preserve"> again to the COAG Energy Council’s proposed changes to the NER.</w:t>
      </w:r>
      <w:r w:rsidR="000B2B78" w:rsidRPr="000B2B78">
        <w:rPr>
          <w:rStyle w:val="AERbody"/>
        </w:rPr>
        <w:t xml:space="preserve"> </w:t>
      </w:r>
      <w:r w:rsidR="00237F50">
        <w:rPr>
          <w:rStyle w:val="AERbody"/>
        </w:rPr>
        <w:t xml:space="preserve">As noted above, the AEMC’s consideration of the proposed changes to the NER is ongoing, and does not currently extend to the NGR. Again, we </w:t>
      </w:r>
      <w:r w:rsidR="00237F50">
        <w:t>must make our decision on the pass through events to be included in JGN’s 2015-20 Access Arrangement based on the information before us in this process.</w:t>
      </w:r>
    </w:p>
    <w:p w:rsidR="002A776C" w:rsidRDefault="008A045D" w:rsidP="000B2B78">
      <w:pPr>
        <w:rPr>
          <w:rStyle w:val="AERbody"/>
        </w:rPr>
      </w:pPr>
      <w:r>
        <w:rPr>
          <w:rStyle w:val="AERbody"/>
        </w:rPr>
        <w:t>We do not consider either of these arguments demonstrate</w:t>
      </w:r>
      <w:r w:rsidR="00237F50">
        <w:rPr>
          <w:rStyle w:val="AERbody"/>
        </w:rPr>
        <w:t>s</w:t>
      </w:r>
      <w:r>
        <w:rPr>
          <w:rStyle w:val="AERbody"/>
        </w:rPr>
        <w:t xml:space="preserve"> that the materiality threshold applied to other pass through events should not be applied to the Network User Failure Event. It is correct to say that rule 531 of the NGR is silent on the application of a materiality threshold. We do not consider that this </w:t>
      </w:r>
      <w:r w:rsidR="00237F50">
        <w:rPr>
          <w:rStyle w:val="AERbody"/>
        </w:rPr>
        <w:t xml:space="preserve">prohibits us from applying one </w:t>
      </w:r>
      <w:r w:rsidR="00C75E1A">
        <w:rPr>
          <w:rStyle w:val="AERbody"/>
        </w:rPr>
        <w:t xml:space="preserve">to other pass through events </w:t>
      </w:r>
      <w:r w:rsidR="00237F50">
        <w:rPr>
          <w:rStyle w:val="AERbody"/>
        </w:rPr>
        <w:t>where we find it to be appropriate</w:t>
      </w:r>
      <w:r>
        <w:rPr>
          <w:rStyle w:val="AERbody"/>
        </w:rPr>
        <w:t>.</w:t>
      </w:r>
      <w:r w:rsidRPr="008A045D">
        <w:rPr>
          <w:rStyle w:val="AERbody"/>
        </w:rPr>
        <w:t xml:space="preserve"> </w:t>
      </w:r>
    </w:p>
    <w:p w:rsidR="008A045D" w:rsidRDefault="008A045D" w:rsidP="000B2B78">
      <w:pPr>
        <w:rPr>
          <w:rStyle w:val="AERbody"/>
        </w:rPr>
      </w:pPr>
      <w:r>
        <w:rPr>
          <w:rStyle w:val="AERbody"/>
        </w:rPr>
        <w:t xml:space="preserve">The cost pass through mechanism is intended to enable costs that have a material impact on the business to be passed through to consumers. A materiality threshold provides a benchmark against which the cost impact is measured, relative to the revenue allowed JGN under this final decision. </w:t>
      </w:r>
      <w:r w:rsidR="002A776C">
        <w:rPr>
          <w:rStyle w:val="AERbody"/>
        </w:rPr>
        <w:t xml:space="preserve">As discussed in section </w:t>
      </w:r>
      <w:r w:rsidR="002A776C">
        <w:rPr>
          <w:rStyle w:val="AERbody"/>
        </w:rPr>
        <w:fldChar w:fldCharType="begin"/>
      </w:r>
      <w:r w:rsidR="002A776C">
        <w:rPr>
          <w:rStyle w:val="AERbody"/>
        </w:rPr>
        <w:instrText xml:space="preserve"> REF _Ref417917781 \r \h </w:instrText>
      </w:r>
      <w:r w:rsidR="002A776C">
        <w:rPr>
          <w:rStyle w:val="AERbody"/>
        </w:rPr>
      </w:r>
      <w:r w:rsidR="002A776C">
        <w:rPr>
          <w:rStyle w:val="AERbody"/>
        </w:rPr>
        <w:fldChar w:fldCharType="separate"/>
      </w:r>
      <w:r w:rsidR="00EF7A04">
        <w:rPr>
          <w:rStyle w:val="AERbody"/>
        </w:rPr>
        <w:t>11.4.3</w:t>
      </w:r>
      <w:r w:rsidR="002A776C">
        <w:rPr>
          <w:rStyle w:val="AERbody"/>
        </w:rPr>
        <w:fldChar w:fldCharType="end"/>
      </w:r>
      <w:r w:rsidR="002A776C">
        <w:rPr>
          <w:rStyle w:val="AERbody"/>
        </w:rPr>
        <w:t>, o</w:t>
      </w:r>
      <w:r w:rsidR="002A776C">
        <w:t>ver a five year access arrangement period it is likely that ma</w:t>
      </w:r>
      <w:r w:rsidR="00CE1482">
        <w:t>n</w:t>
      </w:r>
      <w:r w:rsidR="002A776C">
        <w:t xml:space="preserve">y events will occur which add to or subtract from JGN’s costs. We consider costs less than the materiality threshold </w:t>
      </w:r>
      <w:r w:rsidR="002A776C">
        <w:rPr>
          <w:rStyle w:val="AERbody"/>
        </w:rPr>
        <w:t xml:space="preserve">reflect the </w:t>
      </w:r>
      <w:r w:rsidR="00237F50">
        <w:rPr>
          <w:rStyle w:val="AERbody"/>
        </w:rPr>
        <w:t xml:space="preserve">risks associated with </w:t>
      </w:r>
      <w:r w:rsidR="002A776C">
        <w:rPr>
          <w:rStyle w:val="AERbody"/>
        </w:rPr>
        <w:t>normal business operations, and should not be the subject of a pass through application.</w:t>
      </w:r>
    </w:p>
    <w:p w:rsidR="00885686" w:rsidRDefault="00983575" w:rsidP="00885686">
      <w:r>
        <w:t xml:space="preserve">Our revised definition for the network user failure event is in </w:t>
      </w:r>
      <w:r>
        <w:fldChar w:fldCharType="begin"/>
      </w:r>
      <w:r>
        <w:instrText xml:space="preserve"> REF _Ref415659240 \h </w:instrText>
      </w:r>
      <w:r>
        <w:fldChar w:fldCharType="separate"/>
      </w:r>
      <w:r w:rsidR="00EF7A04">
        <w:t xml:space="preserve">Table </w:t>
      </w:r>
      <w:r w:rsidR="00EF7A04">
        <w:rPr>
          <w:noProof/>
        </w:rPr>
        <w:t>11</w:t>
      </w:r>
      <w:r w:rsidR="00EF7A04">
        <w:t>.</w:t>
      </w:r>
      <w:r w:rsidR="00EF7A04">
        <w:rPr>
          <w:noProof/>
        </w:rPr>
        <w:t>1</w:t>
      </w:r>
      <w:r>
        <w:fldChar w:fldCharType="end"/>
      </w:r>
      <w:r>
        <w:t xml:space="preserve">. </w:t>
      </w:r>
      <w:r w:rsidR="00885686">
        <w:t>Our definition includes the factors that we will consider when assessing an application for a Network User Failure Event, to increase clarity and regulatory certainty.</w:t>
      </w:r>
    </w:p>
    <w:p w:rsidR="000F476C" w:rsidRDefault="00983575" w:rsidP="000F476C">
      <w:pPr>
        <w:pStyle w:val="HeadingBoldBlue"/>
      </w:pPr>
      <w:r>
        <w:lastRenderedPageBreak/>
        <w:t xml:space="preserve">Gas </w:t>
      </w:r>
      <w:r w:rsidR="003D7C94">
        <w:t>S</w:t>
      </w:r>
      <w:r>
        <w:t xml:space="preserve">upply </w:t>
      </w:r>
      <w:r w:rsidR="003D7C94">
        <w:t>S</w:t>
      </w:r>
      <w:r>
        <w:t>hortfall</w:t>
      </w:r>
      <w:r w:rsidR="003D7C94">
        <w:t xml:space="preserve"> Event</w:t>
      </w:r>
    </w:p>
    <w:p w:rsidR="00531EC0" w:rsidRDefault="00531EC0" w:rsidP="00531EC0">
      <w:r>
        <w:t>This pass through event would allow JGN to apply to pass through to consumers cost</w:t>
      </w:r>
      <w:r w:rsidR="00AA3EB6">
        <w:t>s</w:t>
      </w:r>
      <w:r>
        <w:t xml:space="preserve"> associated with JGN's actions in response to a</w:t>
      </w:r>
      <w:r w:rsidR="00417F4E">
        <w:t xml:space="preserve"> situation in which there is materially insufficient gas available for injection into the </w:t>
      </w:r>
      <w:r w:rsidR="00237F50">
        <w:t>n</w:t>
      </w:r>
      <w:r w:rsidR="00417F4E">
        <w:t>etwork.</w:t>
      </w:r>
      <w:r>
        <w:t xml:space="preserve"> </w:t>
      </w:r>
    </w:p>
    <w:p w:rsidR="00531EC0" w:rsidRDefault="00D72806" w:rsidP="00531EC0">
      <w:r>
        <w:t>JGN proposed this event for the first time in its revised proposal, in response to our draft decision to reject its proposed business continuity event</w:t>
      </w:r>
      <w:r w:rsidR="00531EC0">
        <w:t>.</w:t>
      </w:r>
      <w:r w:rsidR="00531EC0">
        <w:rPr>
          <w:rStyle w:val="FootnoteReference"/>
        </w:rPr>
        <w:footnoteReference w:id="44"/>
      </w:r>
      <w:r w:rsidR="00531EC0">
        <w:t xml:space="preserve"> </w:t>
      </w:r>
    </w:p>
    <w:p w:rsidR="000F476C" w:rsidRDefault="00531EC0" w:rsidP="00531EC0">
      <w:pPr>
        <w:rPr>
          <w:rStyle w:val="AERbody"/>
        </w:rPr>
      </w:pPr>
      <w:r>
        <w:rPr>
          <w:rStyle w:val="AERbody"/>
        </w:rPr>
        <w:t>In its revised proposal JGN state</w:t>
      </w:r>
      <w:r w:rsidR="00D72806">
        <w:rPr>
          <w:rStyle w:val="AERbody"/>
        </w:rPr>
        <w:t>d</w:t>
      </w:r>
      <w:r>
        <w:rPr>
          <w:rStyle w:val="AERbody"/>
        </w:rPr>
        <w:t xml:space="preserve"> that:</w:t>
      </w:r>
    </w:p>
    <w:p w:rsidR="00531EC0" w:rsidRDefault="00D72806" w:rsidP="00531EC0">
      <w:pPr>
        <w:pStyle w:val="AERbulletlistfirststyle"/>
        <w:rPr>
          <w:rStyle w:val="AERbody"/>
        </w:rPr>
      </w:pPr>
      <w:r>
        <w:rPr>
          <w:rStyle w:val="AERbody"/>
        </w:rPr>
        <w:t>T</w:t>
      </w:r>
      <w:r w:rsidR="00531EC0">
        <w:rPr>
          <w:rStyle w:val="AERbody"/>
        </w:rPr>
        <w:t>here are a number of factors that contribute to gas supply uncertainty. In particular, supply in the NSW gas market in the future will largely depend on whether production will be able to meet domestic and international demands.</w:t>
      </w:r>
      <w:r w:rsidR="00C714D6">
        <w:rPr>
          <w:rStyle w:val="FootnoteReference"/>
        </w:rPr>
        <w:footnoteReference w:id="45"/>
      </w:r>
      <w:r w:rsidR="00531EC0">
        <w:rPr>
          <w:rStyle w:val="AERbody"/>
        </w:rPr>
        <w:t xml:space="preserve">  </w:t>
      </w:r>
    </w:p>
    <w:p w:rsidR="00C714D6" w:rsidRDefault="00D72806" w:rsidP="00202056">
      <w:pPr>
        <w:pStyle w:val="AERbulletlistfirststyle"/>
        <w:rPr>
          <w:rStyle w:val="AERbody"/>
        </w:rPr>
      </w:pPr>
      <w:r>
        <w:rPr>
          <w:rStyle w:val="AERbody"/>
        </w:rPr>
        <w:t>I</w:t>
      </w:r>
      <w:r w:rsidR="00C714D6">
        <w:rPr>
          <w:rStyle w:val="AERbody"/>
        </w:rPr>
        <w:t xml:space="preserve">f there is a lack, or </w:t>
      </w:r>
      <w:r w:rsidR="00AE348B">
        <w:rPr>
          <w:rStyle w:val="AERbody"/>
        </w:rPr>
        <w:t>shortfall</w:t>
      </w:r>
      <w:r>
        <w:rPr>
          <w:rStyle w:val="AERbody"/>
        </w:rPr>
        <w:t>,</w:t>
      </w:r>
      <w:r w:rsidR="00C714D6">
        <w:rPr>
          <w:rStyle w:val="AERbody"/>
        </w:rPr>
        <w:t xml:space="preserve"> of gas to inject into JGN's network, JGN will need to take actions to manage the shortfall</w:t>
      </w:r>
      <w:r w:rsidR="00AA3EB6">
        <w:rPr>
          <w:rStyle w:val="AERbody"/>
        </w:rPr>
        <w:t>,</w:t>
      </w:r>
      <w:r w:rsidR="00C714D6">
        <w:rPr>
          <w:rStyle w:val="AERbody"/>
        </w:rPr>
        <w:t xml:space="preserve"> including:</w:t>
      </w:r>
    </w:p>
    <w:p w:rsidR="00C714D6" w:rsidRDefault="00983575" w:rsidP="00C714D6">
      <w:pPr>
        <w:pStyle w:val="AERbulletlistsecondstyle"/>
        <w:rPr>
          <w:rStyle w:val="AERbody"/>
        </w:rPr>
      </w:pPr>
      <w:r>
        <w:rPr>
          <w:rStyle w:val="AERbody"/>
        </w:rPr>
        <w:t>c</w:t>
      </w:r>
      <w:r w:rsidR="00C714D6">
        <w:rPr>
          <w:rStyle w:val="AERbody"/>
        </w:rPr>
        <w:t>onsultation with market participants to understand the situation</w:t>
      </w:r>
    </w:p>
    <w:p w:rsidR="00C714D6" w:rsidRDefault="00983575" w:rsidP="00C714D6">
      <w:pPr>
        <w:pStyle w:val="AERbulletlistsecondstyle"/>
        <w:rPr>
          <w:rStyle w:val="AERbody"/>
        </w:rPr>
      </w:pPr>
      <w:r>
        <w:rPr>
          <w:rStyle w:val="AERbody"/>
        </w:rPr>
        <w:t>p</w:t>
      </w:r>
      <w:r w:rsidR="00C714D6">
        <w:rPr>
          <w:rStyle w:val="AERbody"/>
        </w:rPr>
        <w:t>romote network users to take all possible commercial actions to avoid a supply imbalance</w:t>
      </w:r>
    </w:p>
    <w:p w:rsidR="00C714D6" w:rsidRDefault="00983575" w:rsidP="00C714D6">
      <w:pPr>
        <w:pStyle w:val="AERbulletlistsecondstyle"/>
        <w:rPr>
          <w:rStyle w:val="AERbody"/>
        </w:rPr>
      </w:pPr>
      <w:r>
        <w:rPr>
          <w:rStyle w:val="AERbody"/>
        </w:rPr>
        <w:t>i</w:t>
      </w:r>
      <w:r w:rsidR="00C714D6">
        <w:rPr>
          <w:rStyle w:val="AERbody"/>
        </w:rPr>
        <w:t>f necessary, take steps to reduce demand</w:t>
      </w:r>
    </w:p>
    <w:p w:rsidR="00C714D6" w:rsidRDefault="00983575" w:rsidP="00C714D6">
      <w:pPr>
        <w:pStyle w:val="AERbulletlistsecondstyle"/>
        <w:rPr>
          <w:rStyle w:val="AERbody"/>
        </w:rPr>
      </w:pPr>
      <w:r>
        <w:rPr>
          <w:rStyle w:val="AERbody"/>
        </w:rPr>
        <w:t>i</w:t>
      </w:r>
      <w:r w:rsidR="00C714D6">
        <w:rPr>
          <w:rStyle w:val="AERbody"/>
        </w:rPr>
        <w:t>f supply is lost, take steps t</w:t>
      </w:r>
      <w:r w:rsidR="00AA3EB6">
        <w:rPr>
          <w:rStyle w:val="AERbody"/>
        </w:rPr>
        <w:t>o introduce emergency operational</w:t>
      </w:r>
      <w:r w:rsidR="00C714D6">
        <w:rPr>
          <w:rStyle w:val="AERbody"/>
        </w:rPr>
        <w:t xml:space="preserve"> procedures to actively manage and</w:t>
      </w:r>
      <w:r>
        <w:rPr>
          <w:rStyle w:val="AERbody"/>
        </w:rPr>
        <w:t xml:space="preserve"> shut down parts of the network, and</w:t>
      </w:r>
    </w:p>
    <w:p w:rsidR="00C714D6" w:rsidRDefault="00983575" w:rsidP="00C714D6">
      <w:pPr>
        <w:pStyle w:val="AERbulletlistsecondstyle"/>
        <w:rPr>
          <w:rStyle w:val="AERbody"/>
        </w:rPr>
      </w:pPr>
      <w:r>
        <w:rPr>
          <w:rStyle w:val="AERbody"/>
        </w:rPr>
        <w:t>r</w:t>
      </w:r>
      <w:r w:rsidR="00C714D6">
        <w:rPr>
          <w:rStyle w:val="AERbody"/>
        </w:rPr>
        <w:t>e-introducing gas to the network. This is labour intensive and may take several days.</w:t>
      </w:r>
      <w:r w:rsidR="00C714D6">
        <w:rPr>
          <w:rStyle w:val="FootnoteReference"/>
        </w:rPr>
        <w:footnoteReference w:id="46"/>
      </w:r>
    </w:p>
    <w:p w:rsidR="00AE348B" w:rsidRDefault="00AE348B" w:rsidP="00AE348B">
      <w:pPr>
        <w:rPr>
          <w:rStyle w:val="AERbody"/>
        </w:rPr>
      </w:pPr>
      <w:r>
        <w:rPr>
          <w:rStyle w:val="AERbody"/>
        </w:rPr>
        <w:t>JGN also state</w:t>
      </w:r>
      <w:r w:rsidR="00D72806">
        <w:rPr>
          <w:rStyle w:val="AERbody"/>
        </w:rPr>
        <w:t>d</w:t>
      </w:r>
      <w:r>
        <w:rPr>
          <w:rStyle w:val="AERbody"/>
        </w:rPr>
        <w:t xml:space="preserve"> that it has virtually no ability to prevent or mitigate the </w:t>
      </w:r>
      <w:r w:rsidR="00983575">
        <w:rPr>
          <w:rStyle w:val="AERbody"/>
        </w:rPr>
        <w:t>impacts of a gas supply shortfall</w:t>
      </w:r>
      <w:r>
        <w:rPr>
          <w:rStyle w:val="AERbody"/>
        </w:rPr>
        <w:t>, and the potential consequences of a shortage could be material.</w:t>
      </w:r>
      <w:r>
        <w:rPr>
          <w:rStyle w:val="FootnoteReference"/>
        </w:rPr>
        <w:footnoteReference w:id="47"/>
      </w:r>
      <w:r>
        <w:rPr>
          <w:rStyle w:val="AERbody"/>
        </w:rPr>
        <w:t xml:space="preserve"> </w:t>
      </w:r>
    </w:p>
    <w:p w:rsidR="00AE348B" w:rsidRDefault="00D72806" w:rsidP="00AE348B">
      <w:pPr>
        <w:rPr>
          <w:rStyle w:val="AERbody"/>
        </w:rPr>
      </w:pPr>
      <w:r>
        <w:rPr>
          <w:rStyle w:val="AERbody"/>
        </w:rPr>
        <w:t>For the reasons below, w</w:t>
      </w:r>
      <w:r w:rsidR="00AE348B">
        <w:rPr>
          <w:rStyle w:val="AERbody"/>
        </w:rPr>
        <w:t xml:space="preserve">e reject this </w:t>
      </w:r>
      <w:r>
        <w:rPr>
          <w:rStyle w:val="AERbody"/>
        </w:rPr>
        <w:t xml:space="preserve">proposed </w:t>
      </w:r>
      <w:r w:rsidR="00AE348B">
        <w:rPr>
          <w:rStyle w:val="AERbody"/>
        </w:rPr>
        <w:t xml:space="preserve">pass through event. We do not </w:t>
      </w:r>
      <w:r>
        <w:rPr>
          <w:rStyle w:val="AERbody"/>
        </w:rPr>
        <w:t>consider</w:t>
      </w:r>
      <w:r w:rsidR="00AE348B">
        <w:rPr>
          <w:rStyle w:val="AERbody"/>
        </w:rPr>
        <w:t xml:space="preserve"> the costs associated with the occ</w:t>
      </w:r>
      <w:r w:rsidR="00983575">
        <w:rPr>
          <w:rStyle w:val="AERbody"/>
        </w:rPr>
        <w:t>urrence of a gas supply shortfall</w:t>
      </w:r>
      <w:r w:rsidR="00AE348B">
        <w:rPr>
          <w:rStyle w:val="AERbody"/>
        </w:rPr>
        <w:t xml:space="preserve"> should be passed through directly to consumers for the following reasons:</w:t>
      </w:r>
    </w:p>
    <w:p w:rsidR="00E77976" w:rsidRDefault="00E77976" w:rsidP="00E77976">
      <w:pPr>
        <w:pStyle w:val="AERbulletlistfirststyle"/>
        <w:rPr>
          <w:rStyle w:val="AERbody"/>
        </w:rPr>
      </w:pPr>
      <w:r>
        <w:t xml:space="preserve">Accepting a pass through event for gas shortfalls would weaken JGN's incentives to properly mitigate the risk, and minimise the costs, of a gas shortfall. JGN has stated in its revised proposal that there are several potential risk mitigation strategies that it can undertake to help prevent a gas supply shortfall and minimise </w:t>
      </w:r>
      <w:r>
        <w:lastRenderedPageBreak/>
        <w:t>its costs in the event of one.</w:t>
      </w:r>
      <w:r>
        <w:rPr>
          <w:rStyle w:val="FootnoteReference"/>
        </w:rPr>
        <w:footnoteReference w:id="48"/>
      </w:r>
      <w:r>
        <w:t xml:space="preserve"> JGN is best placed to manage this risk and should not be permitted to pass the risk directly onto consumers. As stated in its revised proposal, JGN also has contractual relationships with upstream parties. These contracts, if effectively drafted and enforced, should be useful to minimise JGN's costs in the event of a gas supply shortfall.</w:t>
      </w:r>
      <w:r>
        <w:rPr>
          <w:rStyle w:val="FootnoteReference"/>
        </w:rPr>
        <w:footnoteReference w:id="49"/>
      </w:r>
      <w:r>
        <w:t xml:space="preserve"> </w:t>
      </w:r>
    </w:p>
    <w:p w:rsidR="006966DC" w:rsidRDefault="00D72806" w:rsidP="00A5213F">
      <w:pPr>
        <w:pStyle w:val="AERbulletlistfirststyle"/>
      </w:pPr>
      <w:r>
        <w:rPr>
          <w:rStyle w:val="AERbody"/>
        </w:rPr>
        <w:t>A</w:t>
      </w:r>
      <w:r w:rsidR="00A5213F">
        <w:rPr>
          <w:rStyle w:val="AERbody"/>
        </w:rPr>
        <w:t>dequate gas supply is</w:t>
      </w:r>
      <w:r w:rsidR="00DF15A1">
        <w:rPr>
          <w:rStyle w:val="AERbody"/>
        </w:rPr>
        <w:t xml:space="preserve"> fundamental to JGN's business</w:t>
      </w:r>
      <w:r w:rsidR="00A5213F">
        <w:rPr>
          <w:rStyle w:val="AERbody"/>
        </w:rPr>
        <w:t xml:space="preserve">. </w:t>
      </w:r>
      <w:r w:rsidR="00F362E5">
        <w:rPr>
          <w:rStyle w:val="AERbody"/>
        </w:rPr>
        <w:t>Properly managing the risk of low supply</w:t>
      </w:r>
      <w:r w:rsidR="000C68AA">
        <w:rPr>
          <w:rStyle w:val="AERbody"/>
        </w:rPr>
        <w:t xml:space="preserve"> is vital for JGN to be an effective gas distributor. </w:t>
      </w:r>
      <w:r w:rsidR="006966DC">
        <w:rPr>
          <w:rStyle w:val="AERbody"/>
        </w:rPr>
        <w:t>Therefore, w</w:t>
      </w:r>
      <w:r w:rsidR="00A5213F">
        <w:rPr>
          <w:rStyle w:val="AERbody"/>
        </w:rPr>
        <w:t xml:space="preserve">e consider managing this risk is a </w:t>
      </w:r>
      <w:r w:rsidR="00A5213F">
        <w:t>typical business expense for JGN</w:t>
      </w:r>
      <w:r w:rsidR="006966DC">
        <w:t>, and should not be passed through to consumers</w:t>
      </w:r>
      <w:r w:rsidR="00A5213F">
        <w:t xml:space="preserve">. </w:t>
      </w:r>
    </w:p>
    <w:p w:rsidR="000F476C" w:rsidRDefault="000F476C" w:rsidP="000B2B78">
      <w:pPr>
        <w:pStyle w:val="Heading3"/>
      </w:pPr>
      <w:bookmarkStart w:id="26" w:name="_Ref417917781"/>
      <w:bookmarkStart w:id="27" w:name="_Toc420510029"/>
      <w:r>
        <w:t>Materiality threshold for cost pass through events</w:t>
      </w:r>
      <w:bookmarkEnd w:id="26"/>
      <w:bookmarkEnd w:id="27"/>
    </w:p>
    <w:p w:rsidR="00535B9B" w:rsidRDefault="00C75E1A" w:rsidP="000F6659">
      <w:r>
        <w:t>O</w:t>
      </w:r>
      <w:r w:rsidR="00237F50">
        <w:t>ur draft decision</w:t>
      </w:r>
      <w:r w:rsidR="00535B9B">
        <w:t xml:space="preserve"> </w:t>
      </w:r>
      <w:r>
        <w:t xml:space="preserve">was to </w:t>
      </w:r>
      <w:r w:rsidR="00496AD1">
        <w:t>apply</w:t>
      </w:r>
      <w:r w:rsidR="00535B9B">
        <w:t xml:space="preserve"> a materia</w:t>
      </w:r>
      <w:r w:rsidR="00417F4E">
        <w:t xml:space="preserve">lity threshold </w:t>
      </w:r>
      <w:r w:rsidR="00496AD1">
        <w:t xml:space="preserve">to the approved pass through events </w:t>
      </w:r>
      <w:r w:rsidR="00417F4E">
        <w:t>for the 2015–20 Access A</w:t>
      </w:r>
      <w:r w:rsidR="00535B9B">
        <w:t>rrangement</w:t>
      </w:r>
      <w:r>
        <w:t>. Under this threshold</w:t>
      </w:r>
      <w:r w:rsidR="00496AD1">
        <w:t>,</w:t>
      </w:r>
      <w:r w:rsidR="00535B9B">
        <w:t xml:space="preserve"> </w:t>
      </w:r>
      <w:r w:rsidR="00417F4E">
        <w:t xml:space="preserve">costs </w:t>
      </w:r>
      <w:r w:rsidR="00496AD1">
        <w:t>claimed in</w:t>
      </w:r>
      <w:r w:rsidR="00417F4E">
        <w:t xml:space="preserve"> </w:t>
      </w:r>
      <w:r w:rsidR="00496AD1">
        <w:t xml:space="preserve">relation to </w:t>
      </w:r>
      <w:r w:rsidR="00417F4E">
        <w:t xml:space="preserve">a pass through event in any given year </w:t>
      </w:r>
      <w:r w:rsidR="00496AD1">
        <w:t xml:space="preserve">must be </w:t>
      </w:r>
      <w:r w:rsidR="00417F4E">
        <w:t xml:space="preserve">at least one per cent of the smoothed </w:t>
      </w:r>
      <w:r w:rsidR="00237F50">
        <w:t xml:space="preserve">annual </w:t>
      </w:r>
      <w:r w:rsidR="00417F4E">
        <w:t xml:space="preserve">revenue requirement </w:t>
      </w:r>
      <w:r w:rsidR="00237F50">
        <w:t xml:space="preserve">for that year </w:t>
      </w:r>
      <w:r w:rsidR="00417F4E">
        <w:t>specified in the final decision.</w:t>
      </w:r>
      <w:r w:rsidR="00404C38">
        <w:rPr>
          <w:rStyle w:val="FootnoteReference"/>
        </w:rPr>
        <w:footnoteReference w:id="50"/>
      </w:r>
      <w:r w:rsidR="00417F4E">
        <w:t xml:space="preserve"> </w:t>
      </w:r>
      <w:r w:rsidR="00AA2187">
        <w:rPr>
          <w:rStyle w:val="AERbody"/>
        </w:rPr>
        <w:t>This is consistent with the definition of “materially” that applies to pass through applications for electricity network service providers under the NER.</w:t>
      </w:r>
      <w:r w:rsidR="00AA2187">
        <w:rPr>
          <w:rStyle w:val="FootnoteReference"/>
        </w:rPr>
        <w:footnoteReference w:id="51"/>
      </w:r>
      <w:r w:rsidR="00AA2187">
        <w:rPr>
          <w:rStyle w:val="AERbody"/>
        </w:rPr>
        <w:t xml:space="preserve"> </w:t>
      </w:r>
      <w:r w:rsidR="00535B9B">
        <w:t>This materiality threshold is to apply to all the defined</w:t>
      </w:r>
      <w:r w:rsidR="00AA3EB6">
        <w:t xml:space="preserve"> Cost</w:t>
      </w:r>
      <w:r w:rsidR="00535B9B">
        <w:t xml:space="preserve"> Pass Through Events for JGN's 2015–20 Access Arrangement.  </w:t>
      </w:r>
    </w:p>
    <w:p w:rsidR="00535B9B" w:rsidRDefault="00535B9B" w:rsidP="000F6659">
      <w:r>
        <w:t xml:space="preserve">JGN </w:t>
      </w:r>
      <w:r w:rsidR="00C75E1A">
        <w:t xml:space="preserve">did not accept this position </w:t>
      </w:r>
      <w:r>
        <w:t xml:space="preserve">in its revised proposal. </w:t>
      </w:r>
    </w:p>
    <w:p w:rsidR="000F6659" w:rsidRDefault="00535B9B" w:rsidP="000F6659">
      <w:r>
        <w:t xml:space="preserve">In its revised proposal JGN </w:t>
      </w:r>
      <w:r w:rsidR="00237F50">
        <w:t>maintained its</w:t>
      </w:r>
      <w:r w:rsidR="00496AD1">
        <w:t xml:space="preserve"> </w:t>
      </w:r>
      <w:r>
        <w:t>propose</w:t>
      </w:r>
      <w:r w:rsidR="00496AD1">
        <w:t>d</w:t>
      </w:r>
      <w:r w:rsidR="00C75E1A">
        <w:t xml:space="preserve">, alternative </w:t>
      </w:r>
      <w:r>
        <w:t>materiality threshold where</w:t>
      </w:r>
      <w:r w:rsidR="00496AD1">
        <w:t>by</w:t>
      </w:r>
      <w:r>
        <w:t xml:space="preserve"> costs </w:t>
      </w:r>
      <w:r w:rsidR="000F6659">
        <w:t>relat</w:t>
      </w:r>
      <w:r>
        <w:t xml:space="preserve">ed to an approved event </w:t>
      </w:r>
      <w:r w:rsidR="00496AD1">
        <w:t xml:space="preserve">could be </w:t>
      </w:r>
      <w:r w:rsidR="000F6659">
        <w:t>either:</w:t>
      </w:r>
    </w:p>
    <w:p w:rsidR="000F6659" w:rsidRDefault="00BA7F9B" w:rsidP="000F6659">
      <w:pPr>
        <w:pStyle w:val="AERbulletlistfirststyle"/>
      </w:pPr>
      <w:r>
        <w:t>in total over the 2015–20 Access Arrangement period</w:t>
      </w:r>
      <w:r w:rsidR="000F6659">
        <w:t xml:space="preserve"> equal to or greater than 0.5 per cent of revenue specified in the Access Arrangement Information</w:t>
      </w:r>
      <w:r w:rsidR="00535B9B">
        <w:t>,</w:t>
      </w:r>
      <w:r w:rsidR="000F6659">
        <w:t xml:space="preserve"> or </w:t>
      </w:r>
    </w:p>
    <w:p w:rsidR="000F6659" w:rsidRDefault="000F6659" w:rsidP="000F6659">
      <w:pPr>
        <w:pStyle w:val="AERbulletlistfirststyle"/>
      </w:pPr>
      <w:r>
        <w:t xml:space="preserve">in at least one of the financial years of the Access Arrangement period equal to or greater than one per cent of the revenue specified in the Access Arrangement Information. </w:t>
      </w:r>
    </w:p>
    <w:p w:rsidR="00A57838" w:rsidRDefault="00F900D1" w:rsidP="00404C38">
      <w:pPr>
        <w:rPr>
          <w:rStyle w:val="AERbody"/>
        </w:rPr>
      </w:pPr>
      <w:r>
        <w:t xml:space="preserve">In our final decision we maintain </w:t>
      </w:r>
      <w:r w:rsidR="00202056">
        <w:t xml:space="preserve">the </w:t>
      </w:r>
      <w:r>
        <w:t xml:space="preserve">position expressed in </w:t>
      </w:r>
      <w:r w:rsidR="00202056">
        <w:t xml:space="preserve">our </w:t>
      </w:r>
      <w:r>
        <w:t xml:space="preserve">draft </w:t>
      </w:r>
      <w:r w:rsidR="00A57838">
        <w:t>decision</w:t>
      </w:r>
      <w:r w:rsidR="00404C38">
        <w:t xml:space="preserve">. </w:t>
      </w:r>
      <w:r w:rsidR="00496AD1">
        <w:t xml:space="preserve">JGN's proposal effectively </w:t>
      </w:r>
      <w:r w:rsidR="00BA4F2F">
        <w:t>sets</w:t>
      </w:r>
      <w:r w:rsidR="00496AD1">
        <w:t xml:space="preserve"> a threshold </w:t>
      </w:r>
      <w:r w:rsidR="00BA4F2F">
        <w:t xml:space="preserve">of </w:t>
      </w:r>
      <w:r w:rsidR="00496AD1">
        <w:t xml:space="preserve">less than one per cent of revenue for each year. </w:t>
      </w:r>
      <w:r w:rsidR="00BA4F2F">
        <w:t>Over a five year access arrangement period it is likely that ma</w:t>
      </w:r>
      <w:r w:rsidR="00CE1482">
        <w:t>n</w:t>
      </w:r>
      <w:r w:rsidR="00BA4F2F">
        <w:t xml:space="preserve">y events will occur which add to or subtract from JGN’s costs. </w:t>
      </w:r>
      <w:r w:rsidR="00496AD1">
        <w:t xml:space="preserve">We consider </w:t>
      </w:r>
      <w:r w:rsidR="00237F50">
        <w:t xml:space="preserve">changes in </w:t>
      </w:r>
      <w:r w:rsidR="00496AD1">
        <w:t>c</w:t>
      </w:r>
      <w:r w:rsidR="00A57838">
        <w:t>osts</w:t>
      </w:r>
      <w:r w:rsidR="00237F50">
        <w:t xml:space="preserve"> of</w:t>
      </w:r>
      <w:r w:rsidR="00A57838">
        <w:t xml:space="preserve"> less than one per cent of revenue </w:t>
      </w:r>
      <w:r w:rsidR="00496AD1">
        <w:rPr>
          <w:rStyle w:val="AERbody"/>
        </w:rPr>
        <w:t>reflect</w:t>
      </w:r>
      <w:r w:rsidR="00A57838">
        <w:rPr>
          <w:rStyle w:val="AERbody"/>
        </w:rPr>
        <w:t xml:space="preserve"> the cost of normal business operations, and should not be the subject of a pass through application.</w:t>
      </w:r>
    </w:p>
    <w:p w:rsidR="00BA7F9B" w:rsidRDefault="00BA7F9B" w:rsidP="000B2B78">
      <w:pPr>
        <w:pStyle w:val="Heading3"/>
      </w:pPr>
      <w:bookmarkStart w:id="28" w:name="_Toc420066412"/>
      <w:bookmarkStart w:id="29" w:name="_Toc420510030"/>
      <w:bookmarkEnd w:id="28"/>
      <w:r>
        <w:lastRenderedPageBreak/>
        <w:t>Fixed principle in relation to cost pass through events from an immediately prior access arrangement period</w:t>
      </w:r>
      <w:bookmarkEnd w:id="29"/>
      <w:r>
        <w:t xml:space="preserve"> </w:t>
      </w:r>
    </w:p>
    <w:p w:rsidR="000729C2" w:rsidRDefault="00732C26" w:rsidP="00BA7F9B">
      <w:pPr>
        <w:rPr>
          <w:rStyle w:val="AERbody"/>
        </w:rPr>
      </w:pPr>
      <w:r>
        <w:rPr>
          <w:rStyle w:val="AERbody"/>
        </w:rPr>
        <w:t xml:space="preserve">We approve </w:t>
      </w:r>
      <w:r w:rsidR="000729C2">
        <w:rPr>
          <w:rStyle w:val="AERbody"/>
        </w:rPr>
        <w:t xml:space="preserve">the inclusion of a fixed principle in relation to cross period cost pass throughs in JGN's 2015–20 Access Arrangement. </w:t>
      </w:r>
      <w:r w:rsidR="00404C38">
        <w:rPr>
          <w:rStyle w:val="AERbody"/>
        </w:rPr>
        <w:t xml:space="preserve">The principle will be fixed for the 2015–20 access arrangement only. </w:t>
      </w:r>
    </w:p>
    <w:p w:rsidR="00BA7F9B" w:rsidRDefault="00BA7F9B" w:rsidP="00BA7F9B">
      <w:pPr>
        <w:rPr>
          <w:rStyle w:val="AERbody"/>
        </w:rPr>
      </w:pPr>
      <w:r>
        <w:rPr>
          <w:rStyle w:val="AERbody"/>
        </w:rPr>
        <w:t xml:space="preserve">In our draft decision </w:t>
      </w:r>
      <w:r w:rsidR="009F5D2B">
        <w:rPr>
          <w:rStyle w:val="AERbody"/>
        </w:rPr>
        <w:t xml:space="preserve">we </w:t>
      </w:r>
      <w:r>
        <w:rPr>
          <w:rStyle w:val="AERbody"/>
        </w:rPr>
        <w:t xml:space="preserve">rejected JGN's proposed fixed principle in relation </w:t>
      </w:r>
      <w:r w:rsidR="00CE1482">
        <w:rPr>
          <w:rStyle w:val="AERbody"/>
        </w:rPr>
        <w:t xml:space="preserve">to </w:t>
      </w:r>
      <w:r>
        <w:rPr>
          <w:rStyle w:val="AERbody"/>
        </w:rPr>
        <w:t>cost pass throughs</w:t>
      </w:r>
      <w:r w:rsidR="009F5D2B">
        <w:rPr>
          <w:rStyle w:val="AERbody"/>
        </w:rPr>
        <w:t xml:space="preserve"> as we were not satisfied that JGN had made </w:t>
      </w:r>
      <w:r w:rsidR="00237F50">
        <w:rPr>
          <w:rStyle w:val="AERbody"/>
        </w:rPr>
        <w:t xml:space="preserve">sufficient </w:t>
      </w:r>
      <w:r w:rsidR="009F5D2B">
        <w:rPr>
          <w:rStyle w:val="AERbody"/>
        </w:rPr>
        <w:t>arguments for the necessity of a fixed principle.</w:t>
      </w:r>
      <w:r w:rsidR="009F5D2B">
        <w:rPr>
          <w:rStyle w:val="FootnoteReference"/>
        </w:rPr>
        <w:footnoteReference w:id="52"/>
      </w:r>
      <w:r w:rsidR="009F5D2B">
        <w:rPr>
          <w:rStyle w:val="AERbody"/>
        </w:rPr>
        <w:t xml:space="preserve"> </w:t>
      </w:r>
    </w:p>
    <w:p w:rsidR="009F5D2B" w:rsidRDefault="009F5D2B" w:rsidP="00BA7F9B">
      <w:pPr>
        <w:rPr>
          <w:rStyle w:val="AERbody"/>
        </w:rPr>
      </w:pPr>
      <w:r>
        <w:rPr>
          <w:rStyle w:val="AERbody"/>
        </w:rPr>
        <w:t>In its revised proposal JGN rejected our draft decision, and provided more information on its primary areas of concern.</w:t>
      </w:r>
      <w:r>
        <w:rPr>
          <w:rStyle w:val="FootnoteReference"/>
        </w:rPr>
        <w:footnoteReference w:id="53"/>
      </w:r>
      <w:r>
        <w:rPr>
          <w:rStyle w:val="AERbody"/>
        </w:rPr>
        <w:t xml:space="preserve"> JGN state</w:t>
      </w:r>
      <w:r w:rsidR="00497983">
        <w:rPr>
          <w:rStyle w:val="AERbody"/>
        </w:rPr>
        <w:t>d</w:t>
      </w:r>
      <w:r>
        <w:rPr>
          <w:rStyle w:val="AERbody"/>
        </w:rPr>
        <w:t xml:space="preserve"> that a fixed principle is required </w:t>
      </w:r>
      <w:r w:rsidR="000729C2">
        <w:rPr>
          <w:rStyle w:val="AERbody"/>
        </w:rPr>
        <w:t>to potentially allow the financial impact of an approved cost pass through event that occurs late in one access arrangement period to be addressed in the reference tariffs that apply in the next access arrangement period.</w:t>
      </w:r>
      <w:r w:rsidR="00404C38">
        <w:rPr>
          <w:rStyle w:val="FootnoteReference"/>
        </w:rPr>
        <w:footnoteReference w:id="54"/>
      </w:r>
      <w:r w:rsidR="000729C2">
        <w:rPr>
          <w:rStyle w:val="AERbody"/>
        </w:rPr>
        <w:t xml:space="preserve"> </w:t>
      </w:r>
    </w:p>
    <w:p w:rsidR="00E315F8" w:rsidRDefault="00732C26" w:rsidP="00BA7F9B">
      <w:pPr>
        <w:rPr>
          <w:rStyle w:val="AERbody"/>
        </w:rPr>
      </w:pPr>
      <w:r>
        <w:rPr>
          <w:rStyle w:val="AERbody"/>
        </w:rPr>
        <w:t>During the last year of an access arrangement period there will be three months, between 31 March</w:t>
      </w:r>
      <w:r w:rsidR="00AA2187">
        <w:rPr>
          <w:rStyle w:val="AERbody"/>
        </w:rPr>
        <w:t xml:space="preserve"> 2020</w:t>
      </w:r>
      <w:r>
        <w:rPr>
          <w:rStyle w:val="AERbody"/>
        </w:rPr>
        <w:t xml:space="preserve"> (when JGN submits its last tariff variation notice for the access arrangement period) and 30 June</w:t>
      </w:r>
      <w:r w:rsidR="00AA2187">
        <w:rPr>
          <w:rStyle w:val="AERbody"/>
        </w:rPr>
        <w:t xml:space="preserve"> 2020</w:t>
      </w:r>
      <w:r>
        <w:rPr>
          <w:rStyle w:val="AERbody"/>
        </w:rPr>
        <w:t xml:space="preserve"> (the last day of that access arrangement period)</w:t>
      </w:r>
      <w:r w:rsidR="00497983">
        <w:rPr>
          <w:rStyle w:val="AERbody"/>
        </w:rPr>
        <w:t>. Within that period,</w:t>
      </w:r>
      <w:r>
        <w:rPr>
          <w:rStyle w:val="AERbody"/>
        </w:rPr>
        <w:t xml:space="preserve"> JGN may not be able to apply to pass through the costs of </w:t>
      </w:r>
      <w:r w:rsidR="00497983">
        <w:rPr>
          <w:rStyle w:val="AERbody"/>
        </w:rPr>
        <w:t xml:space="preserve">an approved pass through </w:t>
      </w:r>
      <w:r>
        <w:rPr>
          <w:rStyle w:val="AERbody"/>
        </w:rPr>
        <w:t>event to consumers</w:t>
      </w:r>
      <w:r w:rsidR="00497983">
        <w:rPr>
          <w:rStyle w:val="AERbody"/>
        </w:rPr>
        <w:t xml:space="preserve">, </w:t>
      </w:r>
      <w:r>
        <w:rPr>
          <w:rStyle w:val="AERbody"/>
        </w:rPr>
        <w:t xml:space="preserve">as there is not a tariff mechanism to enable such costs to be collected in a subsequent access arrangement period. In effect, therefore, because of the way the tariff mechanisms work, the cost pass through events we approve for an access arrangement period </w:t>
      </w:r>
      <w:r w:rsidR="00497983">
        <w:rPr>
          <w:rStyle w:val="AERbody"/>
        </w:rPr>
        <w:t>would not be</w:t>
      </w:r>
      <w:r>
        <w:rPr>
          <w:rStyle w:val="AERbody"/>
        </w:rPr>
        <w:t xml:space="preserve"> in </w:t>
      </w:r>
      <w:r w:rsidR="000D63BC">
        <w:rPr>
          <w:rStyle w:val="AERbody"/>
        </w:rPr>
        <w:t xml:space="preserve">effect </w:t>
      </w:r>
      <w:r>
        <w:rPr>
          <w:rStyle w:val="AERbody"/>
        </w:rPr>
        <w:t xml:space="preserve">for the full five years, but </w:t>
      </w:r>
      <w:r w:rsidR="00497983">
        <w:rPr>
          <w:rStyle w:val="AERbody"/>
        </w:rPr>
        <w:t xml:space="preserve">only for </w:t>
      </w:r>
      <w:r>
        <w:rPr>
          <w:rStyle w:val="AERbody"/>
        </w:rPr>
        <w:t xml:space="preserve">four years and nine months. </w:t>
      </w:r>
    </w:p>
    <w:p w:rsidR="00E315F8" w:rsidRDefault="00E315F8" w:rsidP="00BA7F9B">
      <w:pPr>
        <w:rPr>
          <w:rStyle w:val="AERbody"/>
        </w:rPr>
      </w:pPr>
      <w:r>
        <w:rPr>
          <w:rStyle w:val="AERbody"/>
        </w:rPr>
        <w:t xml:space="preserve">In </w:t>
      </w:r>
      <w:r w:rsidR="00D06792">
        <w:rPr>
          <w:rStyle w:val="AERbody"/>
        </w:rPr>
        <w:t xml:space="preserve">the NER, </w:t>
      </w:r>
      <w:r>
        <w:rPr>
          <w:rStyle w:val="AERbody"/>
        </w:rPr>
        <w:t xml:space="preserve">this gap </w:t>
      </w:r>
      <w:r w:rsidR="00497983">
        <w:rPr>
          <w:rStyle w:val="AERbody"/>
        </w:rPr>
        <w:t>was</w:t>
      </w:r>
      <w:r>
        <w:rPr>
          <w:rStyle w:val="AERbody"/>
        </w:rPr>
        <w:t xml:space="preserve"> rectified in a rule change in August 2012.</w:t>
      </w:r>
      <w:r w:rsidR="001B0E74">
        <w:rPr>
          <w:rStyle w:val="FootnoteReference"/>
        </w:rPr>
        <w:footnoteReference w:id="55"/>
      </w:r>
      <w:r>
        <w:rPr>
          <w:rStyle w:val="AERbody"/>
        </w:rPr>
        <w:t xml:space="preserve"> The rule change </w:t>
      </w:r>
      <w:r w:rsidR="00D06792">
        <w:rPr>
          <w:rStyle w:val="AERbody"/>
        </w:rPr>
        <w:t>gave electricity distributors</w:t>
      </w:r>
      <w:r>
        <w:rPr>
          <w:rStyle w:val="AERbody"/>
        </w:rPr>
        <w:t xml:space="preserve"> the opportunity to recover the costs associated with </w:t>
      </w:r>
      <w:r w:rsidR="00D06792">
        <w:rPr>
          <w:rStyle w:val="AERbody"/>
        </w:rPr>
        <w:t xml:space="preserve">approved </w:t>
      </w:r>
      <w:r>
        <w:rPr>
          <w:rStyle w:val="AERbody"/>
        </w:rPr>
        <w:t xml:space="preserve">pass through events in </w:t>
      </w:r>
      <w:r w:rsidR="00D06792">
        <w:rPr>
          <w:rStyle w:val="AERbody"/>
        </w:rPr>
        <w:t>the</w:t>
      </w:r>
      <w:r>
        <w:rPr>
          <w:rStyle w:val="AERbody"/>
        </w:rPr>
        <w:t xml:space="preserve"> subsequent regulatory control period. There was no equivalent change </w:t>
      </w:r>
      <w:r w:rsidR="00D06792">
        <w:rPr>
          <w:rStyle w:val="AERbody"/>
        </w:rPr>
        <w:t xml:space="preserve">made to </w:t>
      </w:r>
      <w:r>
        <w:rPr>
          <w:rStyle w:val="AERbody"/>
        </w:rPr>
        <w:t xml:space="preserve">the NGR. </w:t>
      </w:r>
    </w:p>
    <w:p w:rsidR="00E315F8" w:rsidRDefault="00E315F8" w:rsidP="00BA7F9B">
      <w:pPr>
        <w:rPr>
          <w:rStyle w:val="AERbody"/>
        </w:rPr>
      </w:pPr>
      <w:r>
        <w:rPr>
          <w:rStyle w:val="AERbody"/>
        </w:rPr>
        <w:t>To rectify this issue for JGN's 2015-20 access arrangement we consider a fixed principle is necessary and appropriate</w:t>
      </w:r>
      <w:r w:rsidR="000D63BC">
        <w:rPr>
          <w:rStyle w:val="AERbody"/>
        </w:rPr>
        <w:t xml:space="preserve"> as it</w:t>
      </w:r>
      <w:r>
        <w:rPr>
          <w:rStyle w:val="AERbody"/>
        </w:rPr>
        <w:t>:</w:t>
      </w:r>
    </w:p>
    <w:p w:rsidR="00E315F8" w:rsidRDefault="000D63BC" w:rsidP="00E315F8">
      <w:pPr>
        <w:pStyle w:val="AERbulletlistfirststyle"/>
        <w:rPr>
          <w:rStyle w:val="AERbody"/>
        </w:rPr>
      </w:pPr>
      <w:r>
        <w:rPr>
          <w:rStyle w:val="AERbody"/>
        </w:rPr>
        <w:t>a</w:t>
      </w:r>
      <w:r w:rsidR="00E315F8">
        <w:rPr>
          <w:rStyle w:val="AERbody"/>
        </w:rPr>
        <w:t xml:space="preserve">llows JGN the opportunity to recover its efficient costs should a pass through event occur late in the </w:t>
      </w:r>
      <w:r w:rsidR="00A1597C">
        <w:rPr>
          <w:rStyle w:val="AERbody"/>
        </w:rPr>
        <w:t>2015–20 access arrangement period</w:t>
      </w:r>
    </w:p>
    <w:p w:rsidR="00E315F8" w:rsidRDefault="000D63BC" w:rsidP="00E315F8">
      <w:pPr>
        <w:pStyle w:val="AERbulletlistfirststyle"/>
        <w:rPr>
          <w:rStyle w:val="AERbody"/>
        </w:rPr>
      </w:pPr>
      <w:r>
        <w:rPr>
          <w:rStyle w:val="AERbody"/>
        </w:rPr>
        <w:lastRenderedPageBreak/>
        <w:t>p</w:t>
      </w:r>
      <w:r w:rsidR="00E315F8">
        <w:rPr>
          <w:rStyle w:val="AERbody"/>
        </w:rPr>
        <w:t>rovides for consistency between the electricity and gas regulatory regimes, where the same risks and regulatory functions to govern that risk (cost pass throughs) exist.</w:t>
      </w:r>
    </w:p>
    <w:p w:rsidR="00732C26" w:rsidRDefault="00D4037B" w:rsidP="00BA7F9B">
      <w:pPr>
        <w:rPr>
          <w:rStyle w:val="AERbody"/>
        </w:rPr>
      </w:pPr>
      <w:r>
        <w:rPr>
          <w:rStyle w:val="AERbody"/>
        </w:rPr>
        <w:t xml:space="preserve">We approve this fixed </w:t>
      </w:r>
      <w:r w:rsidR="00D06792">
        <w:rPr>
          <w:rStyle w:val="AERbody"/>
        </w:rPr>
        <w:t xml:space="preserve">principle </w:t>
      </w:r>
      <w:r>
        <w:rPr>
          <w:rStyle w:val="AERbody"/>
        </w:rPr>
        <w:t>for the 2015–20 Access Arrangement. JGN</w:t>
      </w:r>
      <w:r w:rsidR="00D06792">
        <w:rPr>
          <w:rStyle w:val="AERbody"/>
        </w:rPr>
        <w:t xml:space="preserve"> proposed that this fixed principle also apply for the </w:t>
      </w:r>
      <w:r>
        <w:rPr>
          <w:rStyle w:val="AERbody"/>
        </w:rPr>
        <w:t>2020–25 Access Arrangement.</w:t>
      </w:r>
      <w:r>
        <w:rPr>
          <w:rStyle w:val="FootnoteReference"/>
        </w:rPr>
        <w:footnoteReference w:id="56"/>
      </w:r>
      <w:r w:rsidR="00AA2187">
        <w:rPr>
          <w:rStyle w:val="AERbody"/>
        </w:rPr>
        <w:t xml:space="preserve"> </w:t>
      </w:r>
      <w:r w:rsidR="00D06792">
        <w:rPr>
          <w:rStyle w:val="AERbody"/>
        </w:rPr>
        <w:t>W</w:t>
      </w:r>
      <w:r>
        <w:rPr>
          <w:rStyle w:val="AERbody"/>
        </w:rPr>
        <w:t>e have not accepted this proposal</w:t>
      </w:r>
      <w:r w:rsidR="00D06792">
        <w:rPr>
          <w:rStyle w:val="AERbody"/>
        </w:rPr>
        <w:t xml:space="preserve">. The application of this fixed principle in subsequent </w:t>
      </w:r>
      <w:r w:rsidR="00237F50">
        <w:rPr>
          <w:rStyle w:val="AERbody"/>
        </w:rPr>
        <w:t xml:space="preserve">access arrangement </w:t>
      </w:r>
      <w:r w:rsidR="00D06792">
        <w:rPr>
          <w:rStyle w:val="AERbody"/>
        </w:rPr>
        <w:t xml:space="preserve">periods is </w:t>
      </w:r>
      <w:r w:rsidR="00237F50">
        <w:rPr>
          <w:rStyle w:val="AERbody"/>
        </w:rPr>
        <w:t xml:space="preserve">more </w:t>
      </w:r>
      <w:r w:rsidR="00D06792">
        <w:rPr>
          <w:rStyle w:val="AERbody"/>
        </w:rPr>
        <w:t>appropriately considered as part of our consultation on JGN’s proposals for those periods</w:t>
      </w:r>
      <w:r>
        <w:rPr>
          <w:rStyle w:val="AERbody"/>
        </w:rPr>
        <w:t xml:space="preserve">. </w:t>
      </w:r>
      <w:r w:rsidR="00D06792">
        <w:rPr>
          <w:rStyle w:val="AERbody"/>
        </w:rPr>
        <w:t>G</w:t>
      </w:r>
      <w:r>
        <w:rPr>
          <w:rStyle w:val="AERbody"/>
        </w:rPr>
        <w:t>iven the recent changes to the NER</w:t>
      </w:r>
      <w:r w:rsidR="00D06792">
        <w:rPr>
          <w:rStyle w:val="AERbody"/>
        </w:rPr>
        <w:t>, this will allow consideration of this fixed principle to be</w:t>
      </w:r>
      <w:r>
        <w:rPr>
          <w:rStyle w:val="AERbody"/>
        </w:rPr>
        <w:t xml:space="preserve"> </w:t>
      </w:r>
      <w:r w:rsidR="00D06792">
        <w:rPr>
          <w:rStyle w:val="AERbody"/>
        </w:rPr>
        <w:t xml:space="preserve">revisited with the benefit of </w:t>
      </w:r>
      <w:r>
        <w:rPr>
          <w:rStyle w:val="AERbody"/>
        </w:rPr>
        <w:t xml:space="preserve">lessons learnt </w:t>
      </w:r>
      <w:r w:rsidR="00D06792">
        <w:rPr>
          <w:rStyle w:val="AERbody"/>
        </w:rPr>
        <w:t>in the 2015-20 Access Arrangement period and the experience of electricity distributors under the amendments to the NER</w:t>
      </w:r>
      <w:r>
        <w:rPr>
          <w:rStyle w:val="AERbody"/>
        </w:rPr>
        <w:t xml:space="preserve">.  </w:t>
      </w:r>
    </w:p>
    <w:p w:rsidR="00F4261B" w:rsidRPr="001F406C" w:rsidRDefault="00F4261B" w:rsidP="004D7A3C">
      <w:pPr>
        <w:pStyle w:val="BodyText"/>
      </w:pPr>
      <w:bookmarkStart w:id="30" w:name="_Toc387957329"/>
      <w:bookmarkStart w:id="31" w:name="_Toc387957465"/>
      <w:bookmarkStart w:id="32" w:name="_Toc387957330"/>
      <w:bookmarkStart w:id="33" w:name="_Toc387957466"/>
      <w:bookmarkStart w:id="34" w:name="_Toc387957337"/>
      <w:bookmarkStart w:id="35" w:name="_Toc387957473"/>
      <w:bookmarkStart w:id="36" w:name="_Toc387957355"/>
      <w:bookmarkStart w:id="37" w:name="_Toc387957491"/>
      <w:bookmarkStart w:id="38" w:name="_Toc387957373"/>
      <w:bookmarkStart w:id="39" w:name="_Toc387957509"/>
      <w:bookmarkStart w:id="40" w:name="_Toc387957374"/>
      <w:bookmarkStart w:id="41" w:name="_Toc387957510"/>
      <w:bookmarkStart w:id="42" w:name="_Toc387957375"/>
      <w:bookmarkStart w:id="43" w:name="_Toc387957511"/>
      <w:bookmarkStart w:id="44" w:name="_Toc387957380"/>
      <w:bookmarkStart w:id="45" w:name="_Toc387957516"/>
      <w:bookmarkStart w:id="46" w:name="_Toc387957396"/>
      <w:bookmarkStart w:id="47" w:name="_Toc387957532"/>
      <w:bookmarkStart w:id="48" w:name="_Toc387957397"/>
      <w:bookmarkStart w:id="49" w:name="_Toc387957533"/>
      <w:bookmarkStart w:id="50" w:name="_Toc387957398"/>
      <w:bookmarkStart w:id="51" w:name="_Toc387957534"/>
      <w:bookmarkStart w:id="52" w:name="_Toc387957412"/>
      <w:bookmarkStart w:id="53" w:name="_Toc387957548"/>
      <w:bookmarkStart w:id="54" w:name="_Toc387957419"/>
      <w:bookmarkStart w:id="55" w:name="_Toc38795755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ectPr w:rsidR="00F4261B" w:rsidRPr="001F406C"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69" w:rsidRPr="00290C63" w:rsidRDefault="00AD0769" w:rsidP="00290C63">
      <w:r>
        <w:separator/>
      </w:r>
    </w:p>
    <w:p w:rsidR="00AD0769" w:rsidRDefault="00AD0769"/>
  </w:endnote>
  <w:endnote w:type="continuationSeparator" w:id="0">
    <w:p w:rsidR="00AD0769" w:rsidRPr="00290C63" w:rsidRDefault="00AD0769" w:rsidP="00290C63">
      <w:r>
        <w:continuationSeparator/>
      </w:r>
    </w:p>
    <w:p w:rsidR="00AD0769" w:rsidRDefault="00AD0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769" w:rsidRPr="00290C63" w:rsidRDefault="00AD076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D0769" w:rsidRDefault="00AD0769"/>
  <w:p w:rsidR="00AD0769" w:rsidRDefault="00AD0769"/>
  <w:p w:rsidR="00AD0769" w:rsidRDefault="00AD0769"/>
  <w:p w:rsidR="00AD0769" w:rsidRDefault="00AD0769"/>
  <w:p w:rsidR="00AD0769" w:rsidRDefault="00AD0769"/>
  <w:p w:rsidR="00AD0769" w:rsidRDefault="00AD0769"/>
  <w:p w:rsidR="00AD0769" w:rsidRDefault="00AD07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AD0769" w:rsidRDefault="00AD0769">
        <w:pPr>
          <w:pStyle w:val="Footer"/>
        </w:pPr>
        <w:r>
          <w:fldChar w:fldCharType="begin"/>
        </w:r>
        <w:r>
          <w:instrText xml:space="preserve"> PAGE   \* MERGEFORMAT </w:instrText>
        </w:r>
        <w:r>
          <w:fldChar w:fldCharType="separate"/>
        </w:r>
        <w:r w:rsidR="00EF7A04">
          <w:rPr>
            <w:noProof/>
          </w:rPr>
          <w:t>11-6</w:t>
        </w:r>
        <w:r>
          <w:rPr>
            <w:noProof/>
          </w:rPr>
          <w:fldChar w:fldCharType="end"/>
        </w:r>
        <w:r>
          <w:rPr>
            <w:noProof/>
          </w:rPr>
          <w:t xml:space="preserve">      </w:t>
        </w:r>
        <w:r>
          <w:t xml:space="preserve">         Attachment 11 </w:t>
        </w:r>
        <w:r>
          <w:rPr>
            <w:rFonts w:cs="Gautami"/>
            <w:noProof/>
          </w:rPr>
          <w:t>–</w:t>
        </w:r>
        <w:r>
          <w:t xml:space="preserve"> Reference tariff variation mechanism </w:t>
        </w:r>
        <w:r>
          <w:rPr>
            <w:rFonts w:cs="Gautami"/>
            <w:noProof/>
          </w:rPr>
          <w:t xml:space="preserve">| </w:t>
        </w:r>
        <w:r>
          <w:t>Final decision: Jemena Gas Networks</w:t>
        </w:r>
        <w:r>
          <w:rPr>
            <w:rFonts w:cs="Gautami"/>
            <w:noProof/>
          </w:rPr>
          <w:t xml:space="preserve"> 2015–20</w:t>
        </w:r>
      </w:p>
    </w:sdtContent>
  </w:sdt>
  <w:p w:rsidR="00AD0769" w:rsidRDefault="00AD0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769" w:rsidRPr="00290C63" w:rsidRDefault="00AD076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D0769" w:rsidRDefault="00AD0769">
    <w:pPr>
      <w:pStyle w:val="Footer"/>
    </w:pPr>
  </w:p>
  <w:p w:rsidR="00AD0769" w:rsidRDefault="00AD0769"/>
  <w:p w:rsidR="00AD0769" w:rsidRDefault="00AD0769"/>
  <w:p w:rsidR="00AD0769" w:rsidRDefault="00AD0769"/>
  <w:p w:rsidR="00AD0769" w:rsidRDefault="00AD0769"/>
  <w:p w:rsidR="00AD0769" w:rsidRDefault="00AD0769"/>
  <w:p w:rsidR="00AD0769" w:rsidRDefault="00AD0769"/>
  <w:p w:rsidR="00AD0769" w:rsidRDefault="00AD07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69" w:rsidRPr="00290C63" w:rsidRDefault="00AD0769" w:rsidP="00290C63">
      <w:r>
        <w:separator/>
      </w:r>
    </w:p>
    <w:p w:rsidR="00AD0769" w:rsidRDefault="00AD0769"/>
  </w:footnote>
  <w:footnote w:type="continuationSeparator" w:id="0">
    <w:p w:rsidR="00AD0769" w:rsidRPr="00290C63" w:rsidRDefault="00AD0769" w:rsidP="00290C63">
      <w:r>
        <w:continuationSeparator/>
      </w:r>
    </w:p>
    <w:p w:rsidR="00AD0769" w:rsidRDefault="00AD0769"/>
  </w:footnote>
  <w:footnote w:id="1">
    <w:p w:rsidR="00AD0769" w:rsidRDefault="00AD0769">
      <w:pPr>
        <w:pStyle w:val="FootnoteText"/>
      </w:pPr>
      <w:r>
        <w:rPr>
          <w:rStyle w:val="FootnoteReference"/>
        </w:rPr>
        <w:footnoteRef/>
      </w:r>
      <w:r>
        <w:t xml:space="preserve"> </w:t>
      </w:r>
      <w:r>
        <w:tab/>
      </w:r>
      <w:r w:rsidRPr="00815801">
        <w:t>NGR, r. 64(1) &amp; (4).</w:t>
      </w:r>
    </w:p>
  </w:footnote>
  <w:footnote w:id="2">
    <w:p w:rsidR="00AD0769" w:rsidRDefault="00AD0769" w:rsidP="0064445E">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119.</w:t>
      </w:r>
    </w:p>
  </w:footnote>
  <w:footnote w:id="3">
    <w:p w:rsidR="00AD0769" w:rsidRDefault="00AD0769" w:rsidP="00D206EC">
      <w:pPr>
        <w:pStyle w:val="FootnoteText"/>
      </w:pPr>
      <w:r>
        <w:rPr>
          <w:rStyle w:val="FootnoteReference"/>
        </w:rPr>
        <w:footnoteRef/>
      </w:r>
      <w:r>
        <w:t xml:space="preserve"> </w:t>
      </w:r>
      <w:r>
        <w:tab/>
        <w:t xml:space="preserve">AER, </w:t>
      </w:r>
      <w:r w:rsidRPr="00DD71C1">
        <w:rPr>
          <w:rStyle w:val="AERtextitalic"/>
        </w:rPr>
        <w:t xml:space="preserve">Draft decision Jemena Gas Networks Access </w:t>
      </w:r>
      <w:r>
        <w:rPr>
          <w:rStyle w:val="AERtextitalic"/>
        </w:rPr>
        <w:t>A</w:t>
      </w:r>
      <w:r w:rsidRPr="00DD71C1">
        <w:rPr>
          <w:rStyle w:val="AERtextitalic"/>
        </w:rPr>
        <w:t>rrangement 2015-2020, Attachment 11 - Reference tariff variation mechanism</w:t>
      </w:r>
      <w:r>
        <w:t>, November 2014, section 11.3.1.</w:t>
      </w:r>
    </w:p>
  </w:footnote>
  <w:footnote w:id="4">
    <w:p w:rsidR="00AD0769" w:rsidRDefault="00AD0769">
      <w:pPr>
        <w:pStyle w:val="FootnoteText"/>
      </w:pPr>
      <w:r>
        <w:rPr>
          <w:rStyle w:val="FootnoteReference"/>
        </w:rPr>
        <w:footnoteRef/>
      </w:r>
      <w:r>
        <w:t xml:space="preserve"> </w:t>
      </w:r>
      <w:r>
        <w:tab/>
      </w:r>
      <w:r w:rsidRPr="00EA3B33">
        <w:t xml:space="preserve">Jemena Gas Networks, </w:t>
      </w:r>
      <w:r w:rsidRPr="00386E3D">
        <w:rPr>
          <w:rStyle w:val="AERtextitalic"/>
        </w:rPr>
        <w:t>Access Arrangement 2015–20, Appendix 10.4 - Response to draft decision on JGN's revised AA</w:t>
      </w:r>
      <w:r w:rsidRPr="00EA3B33">
        <w:t xml:space="preserve">, February 2015, p. </w:t>
      </w:r>
      <w:r>
        <w:t>4</w:t>
      </w:r>
      <w:r w:rsidRPr="00EA3B33">
        <w:t>.</w:t>
      </w:r>
    </w:p>
  </w:footnote>
  <w:footnote w:id="5">
    <w:p w:rsidR="00AD0769" w:rsidRDefault="00AD0769" w:rsidP="00386FF0">
      <w:pPr>
        <w:pStyle w:val="FootnoteText"/>
      </w:pPr>
      <w:r>
        <w:rPr>
          <w:rStyle w:val="FootnoteReference"/>
        </w:rPr>
        <w:footnoteRef/>
      </w:r>
      <w:r>
        <w:t xml:space="preserve"> </w:t>
      </w:r>
      <w:r>
        <w:tab/>
        <w:t>NGR, r. 40(3).</w:t>
      </w:r>
    </w:p>
  </w:footnote>
  <w:footnote w:id="6">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127.</w:t>
      </w:r>
    </w:p>
  </w:footnote>
  <w:footnote w:id="7">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128.</w:t>
      </w:r>
    </w:p>
  </w:footnote>
  <w:footnote w:id="8">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128.</w:t>
      </w:r>
    </w:p>
  </w:footnote>
  <w:footnote w:id="9">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128.</w:t>
      </w:r>
    </w:p>
  </w:footnote>
  <w:footnote w:id="10">
    <w:p w:rsidR="00AD0769" w:rsidRDefault="00AD0769" w:rsidP="00AE6EB4">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127.</w:t>
      </w:r>
    </w:p>
  </w:footnote>
  <w:footnote w:id="11">
    <w:p w:rsidR="00AD0769" w:rsidRDefault="00AD0769">
      <w:pPr>
        <w:pStyle w:val="FootnoteText"/>
      </w:pPr>
      <w:r>
        <w:rPr>
          <w:rStyle w:val="FootnoteReference"/>
        </w:rPr>
        <w:footnoteRef/>
      </w:r>
      <w:r>
        <w:t xml:space="preserve"> </w:t>
      </w:r>
      <w:r>
        <w:tab/>
        <w:t>NER, Chapter 10 – Glossary.</w:t>
      </w:r>
    </w:p>
  </w:footnote>
  <w:footnote w:id="12">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127 (para. 610).</w:t>
      </w:r>
    </w:p>
  </w:footnote>
  <w:footnote w:id="13">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127 (para. 611).</w:t>
      </w:r>
    </w:p>
  </w:footnote>
  <w:footnote w:id="14">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127 (para. 612).</w:t>
      </w:r>
    </w:p>
  </w:footnote>
  <w:footnote w:id="15">
    <w:p w:rsidR="00AD0769" w:rsidRDefault="00AD0769" w:rsidP="00024653">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129.</w:t>
      </w:r>
    </w:p>
  </w:footnote>
  <w:footnote w:id="16">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130.</w:t>
      </w:r>
    </w:p>
  </w:footnote>
  <w:footnote w:id="17">
    <w:p w:rsidR="00AD0769" w:rsidRDefault="00AD0769">
      <w:pPr>
        <w:pStyle w:val="FootnoteText"/>
      </w:pPr>
      <w:r>
        <w:rPr>
          <w:rStyle w:val="FootnoteReference"/>
        </w:rPr>
        <w:footnoteRef/>
      </w:r>
      <w:r>
        <w:t xml:space="preserve"> </w:t>
      </w:r>
      <w:r>
        <w:tab/>
        <w:t xml:space="preserve">Jemena Gas Networks, </w:t>
      </w:r>
      <w:r w:rsidRPr="00415BEC">
        <w:rPr>
          <w:rStyle w:val="AERtextitalic"/>
        </w:rPr>
        <w:t>Access Arrangement: JGN's NSW Gas distribution networks, 1 July 2015 - 30 June 2020</w:t>
      </w:r>
      <w:r>
        <w:t>, cl. 3.4(j)(iii).</w:t>
      </w:r>
    </w:p>
  </w:footnote>
  <w:footnote w:id="18">
    <w:p w:rsidR="00AD0769" w:rsidRDefault="00AD0769" w:rsidP="00024653">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129.</w:t>
      </w:r>
    </w:p>
  </w:footnote>
  <w:footnote w:id="19">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134.</w:t>
      </w:r>
    </w:p>
  </w:footnote>
  <w:footnote w:id="20">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133.</w:t>
      </w:r>
    </w:p>
  </w:footnote>
  <w:footnote w:id="21">
    <w:p w:rsidR="00AD0769" w:rsidRDefault="00AD0769" w:rsidP="005F369A">
      <w:pPr>
        <w:pStyle w:val="FootnoteText"/>
      </w:pPr>
      <w:r>
        <w:rPr>
          <w:rStyle w:val="FootnoteReference"/>
        </w:rPr>
        <w:footnoteRef/>
      </w:r>
      <w:r>
        <w:t xml:space="preserve"> </w:t>
      </w:r>
      <w:r>
        <w:tab/>
        <w:t>JGN, Access Arrangement: JGN's NSW Gas distribution networks, 1 July 2015 - 30 June 2020, cl. 3.4(j)(iii).</w:t>
      </w:r>
    </w:p>
  </w:footnote>
  <w:footnote w:id="22">
    <w:p w:rsidR="00AD0769" w:rsidRDefault="00AD0769" w:rsidP="0021708E">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129.</w:t>
      </w:r>
    </w:p>
  </w:footnote>
  <w:footnote w:id="23">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132.</w:t>
      </w:r>
    </w:p>
  </w:footnote>
  <w:footnote w:id="24">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129.</w:t>
      </w:r>
    </w:p>
  </w:footnote>
  <w:footnote w:id="25">
    <w:p w:rsidR="00AD0769" w:rsidRDefault="00AD0769" w:rsidP="008D1486">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132.</w:t>
      </w:r>
    </w:p>
  </w:footnote>
  <w:footnote w:id="26">
    <w:p w:rsidR="00AD0769" w:rsidRDefault="00AD0769" w:rsidP="00AA3EB6">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129.</w:t>
      </w:r>
    </w:p>
  </w:footnote>
  <w:footnote w:id="27">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138-139.</w:t>
      </w:r>
    </w:p>
  </w:footnote>
  <w:footnote w:id="28">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139.</w:t>
      </w:r>
    </w:p>
  </w:footnote>
  <w:footnote w:id="29">
    <w:p w:rsidR="00AD0769" w:rsidRDefault="00AD0769" w:rsidP="00534CFF">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139.</w:t>
      </w:r>
    </w:p>
    <w:p w:rsidR="00AD0769" w:rsidRDefault="00AD0769">
      <w:pPr>
        <w:pStyle w:val="FootnoteText"/>
      </w:pPr>
    </w:p>
  </w:footnote>
  <w:footnote w:id="30">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138.</w:t>
      </w:r>
    </w:p>
  </w:footnote>
  <w:footnote w:id="31">
    <w:p w:rsidR="00AD0769" w:rsidRDefault="00AD0769">
      <w:pPr>
        <w:pStyle w:val="FootnoteText"/>
      </w:pPr>
      <w:r>
        <w:rPr>
          <w:rStyle w:val="FootnoteReference"/>
        </w:rPr>
        <w:footnoteRef/>
      </w:r>
      <w:r>
        <w:t xml:space="preserve"> </w:t>
      </w:r>
      <w:r>
        <w:tab/>
        <w:t>NERL, Part 6, s. 122.</w:t>
      </w:r>
    </w:p>
  </w:footnote>
  <w:footnote w:id="32">
    <w:p w:rsidR="00AD0769" w:rsidRDefault="00AD0769" w:rsidP="00546EF8">
      <w:pPr>
        <w:pStyle w:val="FootnoteText"/>
      </w:pPr>
      <w:r>
        <w:rPr>
          <w:rStyle w:val="FootnoteReference"/>
        </w:rPr>
        <w:footnoteRef/>
      </w:r>
      <w:r>
        <w:t xml:space="preserve"> </w:t>
      </w:r>
      <w:r>
        <w:tab/>
        <w:t xml:space="preserve">AER, </w:t>
      </w:r>
      <w:r w:rsidRPr="00DD71C1">
        <w:rPr>
          <w:rStyle w:val="AERtextitalic"/>
        </w:rPr>
        <w:t xml:space="preserve">Draft decision Jemena Gas Networks Access </w:t>
      </w:r>
      <w:r>
        <w:rPr>
          <w:rStyle w:val="AERtextitalic"/>
        </w:rPr>
        <w:t>A</w:t>
      </w:r>
      <w:r w:rsidRPr="00DD71C1">
        <w:rPr>
          <w:rStyle w:val="AERtextitalic"/>
        </w:rPr>
        <w:t>rrangement 2015-2020, Attachment 11 - Reference tariff variation mechanism</w:t>
      </w:r>
      <w:r>
        <w:t>, November 2014, pp. 11–21.</w:t>
      </w:r>
    </w:p>
  </w:footnote>
  <w:footnote w:id="33">
    <w:p w:rsidR="00AD0769" w:rsidRDefault="00AD0769" w:rsidP="005931B1">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140.</w:t>
      </w:r>
    </w:p>
  </w:footnote>
  <w:footnote w:id="34">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140.</w:t>
      </w:r>
    </w:p>
  </w:footnote>
  <w:footnote w:id="35">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141.</w:t>
      </w:r>
    </w:p>
  </w:footnote>
  <w:footnote w:id="36">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142.</w:t>
      </w:r>
    </w:p>
  </w:footnote>
  <w:footnote w:id="37">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142.</w:t>
      </w:r>
    </w:p>
  </w:footnote>
  <w:footnote w:id="38">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142.</w:t>
      </w:r>
    </w:p>
  </w:footnote>
  <w:footnote w:id="39">
    <w:p w:rsidR="00AD0769" w:rsidRDefault="00AD0769" w:rsidP="001C4820">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142.</w:t>
      </w:r>
    </w:p>
  </w:footnote>
  <w:footnote w:id="40">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143.</w:t>
      </w:r>
    </w:p>
  </w:footnote>
  <w:footnote w:id="41">
    <w:p w:rsidR="00AD0769" w:rsidRDefault="00AD0769" w:rsidP="00732F94">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xml:space="preserve">, February 2015, p. 140. See also the rule change proposal, Retailer insolvency costs - pass through provisions, on the AEMC website </w:t>
      </w:r>
      <w:hyperlink r:id="rId1" w:history="1">
        <w:r w:rsidRPr="00AD3920">
          <w:rPr>
            <w:rStyle w:val="Hyperlink"/>
            <w:sz w:val="16"/>
          </w:rPr>
          <w:t>http://www.aemc.gov.au/Rule-Changes/Retailer-insolvency-costs-pass-through-provisions</w:t>
        </w:r>
      </w:hyperlink>
      <w:r>
        <w:t>.</w:t>
      </w:r>
    </w:p>
  </w:footnote>
  <w:footnote w:id="42">
    <w:p w:rsidR="00AD0769" w:rsidRDefault="00AD0769">
      <w:pPr>
        <w:pStyle w:val="FootnoteText"/>
      </w:pPr>
      <w:r>
        <w:rPr>
          <w:rStyle w:val="FootnoteReference"/>
        </w:rPr>
        <w:footnoteRef/>
      </w:r>
      <w:r>
        <w:t xml:space="preserve"> </w:t>
      </w:r>
      <w:r>
        <w:tab/>
        <w:t>The National Energy Customer Framework (NECF) comprised the National Energy Retail Law, Regulations and Rules, and supporting amendments to the National Gas Law and Rules. These included the RoLR regime, the pass through event in rule 531 of the NGR and the retail support framework in Part X of the NGR.</w:t>
      </w:r>
    </w:p>
  </w:footnote>
  <w:footnote w:id="43">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141.</w:t>
      </w:r>
    </w:p>
  </w:footnote>
  <w:footnote w:id="44">
    <w:p w:rsidR="00AD0769" w:rsidRDefault="00AD0769" w:rsidP="00531EC0">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129.</w:t>
      </w:r>
    </w:p>
  </w:footnote>
  <w:footnote w:id="45">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pp. 134 &amp; 135.</w:t>
      </w:r>
    </w:p>
  </w:footnote>
  <w:footnote w:id="46">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pp. 136 &amp; 137.</w:t>
      </w:r>
    </w:p>
  </w:footnote>
  <w:footnote w:id="47">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135.</w:t>
      </w:r>
    </w:p>
  </w:footnote>
  <w:footnote w:id="48">
    <w:p w:rsidR="00AD0769" w:rsidRDefault="00AD0769" w:rsidP="00E77976">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pp. 137 &amp; 138.</w:t>
      </w:r>
    </w:p>
  </w:footnote>
  <w:footnote w:id="49">
    <w:p w:rsidR="00AD0769" w:rsidRDefault="00AD0769" w:rsidP="00E77976">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138.</w:t>
      </w:r>
    </w:p>
  </w:footnote>
  <w:footnote w:id="50">
    <w:p w:rsidR="00AD0769" w:rsidRDefault="00AD0769">
      <w:pPr>
        <w:pStyle w:val="FootnoteText"/>
      </w:pPr>
      <w:r>
        <w:rPr>
          <w:rStyle w:val="FootnoteReference"/>
        </w:rPr>
        <w:footnoteRef/>
      </w:r>
      <w:r>
        <w:t xml:space="preserve"> </w:t>
      </w:r>
      <w:r>
        <w:tab/>
        <w:t>We are specifying a materiality threshold as provided for in r. 97(3)(e) of the NGR.</w:t>
      </w:r>
    </w:p>
  </w:footnote>
  <w:footnote w:id="51">
    <w:p w:rsidR="00AD0769" w:rsidRDefault="00AD0769" w:rsidP="00AA2187">
      <w:pPr>
        <w:pStyle w:val="FootnoteText"/>
      </w:pPr>
      <w:r>
        <w:rPr>
          <w:rStyle w:val="FootnoteReference"/>
        </w:rPr>
        <w:footnoteRef/>
      </w:r>
      <w:r>
        <w:t xml:space="preserve"> </w:t>
      </w:r>
      <w:r>
        <w:tab/>
        <w:t>NER, Chapter 10 – Glossary.</w:t>
      </w:r>
    </w:p>
  </w:footnote>
  <w:footnote w:id="52">
    <w:p w:rsidR="00AD0769" w:rsidRDefault="00AD0769">
      <w:pPr>
        <w:pStyle w:val="FootnoteText"/>
      </w:pPr>
      <w:r>
        <w:rPr>
          <w:rStyle w:val="FootnoteReference"/>
        </w:rPr>
        <w:footnoteRef/>
      </w:r>
      <w:r>
        <w:t xml:space="preserve"> </w:t>
      </w:r>
      <w:r>
        <w:tab/>
        <w:t xml:space="preserve">AER, </w:t>
      </w:r>
      <w:r w:rsidRPr="00DD71C1">
        <w:rPr>
          <w:rStyle w:val="AERtextitalic"/>
        </w:rPr>
        <w:t xml:space="preserve">Draft decision Jemena Gas Networks Access </w:t>
      </w:r>
      <w:r>
        <w:rPr>
          <w:rStyle w:val="AERtextitalic"/>
        </w:rPr>
        <w:t>A</w:t>
      </w:r>
      <w:r w:rsidRPr="00DD71C1">
        <w:rPr>
          <w:rStyle w:val="AERtextitalic"/>
        </w:rPr>
        <w:t>rrangement 2015-2020, Attachment 11 - Reference tariff variation mechanism</w:t>
      </w:r>
      <w:r>
        <w:t>, November 2014, pp. 11–22.</w:t>
      </w:r>
    </w:p>
  </w:footnote>
  <w:footnote w:id="53">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117.</w:t>
      </w:r>
    </w:p>
  </w:footnote>
  <w:footnote w:id="54">
    <w:p w:rsidR="00AD0769" w:rsidRDefault="00AD0769">
      <w:pPr>
        <w:pStyle w:val="FootnoteText"/>
      </w:pPr>
      <w:r>
        <w:rPr>
          <w:rStyle w:val="FootnoteReference"/>
        </w:rPr>
        <w:footnoteRef/>
      </w:r>
      <w:r>
        <w:t xml:space="preserve"> </w:t>
      </w:r>
      <w:r>
        <w:tab/>
        <w:t xml:space="preserve">Jemena Gas Networks, </w:t>
      </w:r>
      <w:r w:rsidRPr="0064445E">
        <w:rPr>
          <w:rStyle w:val="AERtextitalic"/>
        </w:rPr>
        <w:t>Access Arrangement 2015–20, Response to the AER's draft decision &amp; revised proposal</w:t>
      </w:r>
      <w:r>
        <w:t>, February 2015, p. 117.</w:t>
      </w:r>
    </w:p>
  </w:footnote>
  <w:footnote w:id="55">
    <w:p w:rsidR="00AD0769" w:rsidRDefault="00AD0769" w:rsidP="00603CB6">
      <w:pPr>
        <w:pStyle w:val="FootnoteText"/>
      </w:pPr>
      <w:r>
        <w:rPr>
          <w:rStyle w:val="FootnoteReference"/>
        </w:rPr>
        <w:footnoteRef/>
      </w:r>
      <w:r>
        <w:t xml:space="preserve"> </w:t>
      </w:r>
      <w:r>
        <w:tab/>
        <w:t xml:space="preserve">Australian Energy Market Commission, </w:t>
      </w:r>
      <w:r w:rsidRPr="00603CB6">
        <w:rPr>
          <w:rStyle w:val="AERtextitalic"/>
        </w:rPr>
        <w:t>Rule Determination, National Electricity Amendment (Cost pass through amendments for Network Service Providers) Rule 2012</w:t>
      </w:r>
      <w:r>
        <w:t>, 2 August 2012.</w:t>
      </w:r>
    </w:p>
  </w:footnote>
  <w:footnote w:id="56">
    <w:p w:rsidR="00AD0769" w:rsidRDefault="00AD0769">
      <w:pPr>
        <w:pStyle w:val="FootnoteText"/>
      </w:pPr>
      <w:r>
        <w:rPr>
          <w:rStyle w:val="FootnoteReference"/>
        </w:rPr>
        <w:footnoteRef/>
      </w:r>
      <w:r>
        <w:t xml:space="preserve"> </w:t>
      </w:r>
      <w:r>
        <w:tab/>
        <w:t xml:space="preserve">Rule 99 of the NGR provides that a principle may be fixed for a period extending over two or more access arrangement periods.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C14E57B0"/>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4D324D5"/>
    <w:multiLevelType w:val="multilevel"/>
    <w:tmpl w:val="80C20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318C447A"/>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F202679"/>
    <w:multiLevelType w:val="hybridMultilevel"/>
    <w:tmpl w:val="7174CEA6"/>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1380" w:hanging="360"/>
      </w:p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8"/>
  </w:num>
  <w:num w:numId="14">
    <w:abstractNumId w:val="10"/>
  </w:num>
  <w:num w:numId="15">
    <w:abstractNumId w:val="13"/>
  </w:num>
  <w:num w:numId="16">
    <w:abstractNumId w:val="19"/>
  </w:num>
  <w:num w:numId="17">
    <w:abstractNumId w:val="9"/>
  </w:num>
  <w:num w:numId="18">
    <w:abstractNumId w:val="15"/>
  </w:num>
  <w:num w:numId="19">
    <w:abstractNumId w:val="20"/>
  </w:num>
  <w:num w:numId="20">
    <w:abstractNumId w:val="27"/>
  </w:num>
  <w:num w:numId="21">
    <w:abstractNumId w:val="23"/>
  </w:num>
  <w:num w:numId="22">
    <w:abstractNumId w:val="21"/>
  </w:num>
  <w:num w:numId="23">
    <w:abstractNumId w:val="16"/>
  </w:num>
  <w:num w:numId="24">
    <w:abstractNumId w:val="22"/>
  </w:num>
  <w:num w:numId="25">
    <w:abstractNumId w:val="24"/>
  </w:num>
  <w:num w:numId="26">
    <w:abstractNumId w:val="17"/>
  </w:num>
  <w:num w:numId="27">
    <w:abstractNumId w:val="14"/>
  </w:num>
  <w:num w:numId="28">
    <w:abstractNumId w:val="25"/>
  </w:num>
  <w:num w:numId="29">
    <w:abstractNumId w:val="8"/>
    <w:lvlOverride w:ilvl="0">
      <w:startOverride w:val="1"/>
    </w:lvlOverride>
  </w:num>
  <w:num w:numId="30">
    <w:abstractNumId w:val="7"/>
    <w:lvlOverride w:ilvl="0">
      <w:startOverride w:val="1"/>
    </w:lvlOverride>
  </w:num>
  <w:num w:numId="31">
    <w:abstractNumId w:val="27"/>
    <w:lvlOverride w:ilvl="0">
      <w:startOverride w:val="1"/>
    </w:lvlOverride>
  </w:num>
  <w:num w:numId="32">
    <w:abstractNumId w:val="7"/>
    <w:lvlOverride w:ilvl="0">
      <w:startOverride w:val="1"/>
    </w:lvlOverride>
  </w:num>
  <w:num w:numId="33">
    <w:abstractNumId w:val="27"/>
    <w:lvlOverride w:ilvl="0">
      <w:startOverride w:val="1"/>
    </w:lvlOverride>
  </w:num>
  <w:num w:numId="34">
    <w:abstractNumId w:val="27"/>
    <w:lvlOverride w:ilvl="0">
      <w:startOverride w:val="1"/>
    </w:lvlOverride>
  </w:num>
  <w:num w:numId="35">
    <w:abstractNumId w:val="7"/>
    <w:lvlOverride w:ilvl="0">
      <w:startOverride w:val="1"/>
    </w:lvlOverride>
  </w:num>
  <w:num w:numId="36">
    <w:abstractNumId w:val="27"/>
    <w:lvlOverride w:ilvl="0">
      <w:startOverride w:val="1"/>
    </w:lvlOverride>
  </w:num>
  <w:num w:numId="37">
    <w:abstractNumId w:val="7"/>
    <w:lvlOverride w:ilvl="0">
      <w:startOverride w:val="1"/>
    </w:lvlOverride>
  </w:num>
  <w:num w:numId="38">
    <w:abstractNumId w:val="27"/>
    <w:lvlOverride w:ilvl="0">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eMEnJI+3J8p2YaN6Z/J/fFbF8KfhvrlTeToOb5K/eo=" w:saltValue="2gvwkrKBPfBns/ffWyRxBw==" w:algorithmName="SHA-256"/>
  <w:defaultTabStop w:val="340"/>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11 - Reference tariff variation mechanism - June 2015.docx"/>
  </w:docVars>
  <w:rsids>
    <w:rsidRoot w:val="00961A4A"/>
    <w:rsid w:val="00021202"/>
    <w:rsid w:val="00024653"/>
    <w:rsid w:val="0002517F"/>
    <w:rsid w:val="000309B6"/>
    <w:rsid w:val="000341D6"/>
    <w:rsid w:val="0003578C"/>
    <w:rsid w:val="00042EED"/>
    <w:rsid w:val="00047148"/>
    <w:rsid w:val="00052652"/>
    <w:rsid w:val="000550CD"/>
    <w:rsid w:val="00062744"/>
    <w:rsid w:val="00063247"/>
    <w:rsid w:val="00070F9F"/>
    <w:rsid w:val="0007137B"/>
    <w:rsid w:val="000729C2"/>
    <w:rsid w:val="000753BB"/>
    <w:rsid w:val="00084270"/>
    <w:rsid w:val="00085663"/>
    <w:rsid w:val="00085EBF"/>
    <w:rsid w:val="00095C25"/>
    <w:rsid w:val="000A097C"/>
    <w:rsid w:val="000A3020"/>
    <w:rsid w:val="000A3541"/>
    <w:rsid w:val="000A6C7B"/>
    <w:rsid w:val="000B121D"/>
    <w:rsid w:val="000B2B78"/>
    <w:rsid w:val="000B7E20"/>
    <w:rsid w:val="000C211A"/>
    <w:rsid w:val="000C4D64"/>
    <w:rsid w:val="000C68AA"/>
    <w:rsid w:val="000D122C"/>
    <w:rsid w:val="000D305D"/>
    <w:rsid w:val="000D3119"/>
    <w:rsid w:val="000D63BC"/>
    <w:rsid w:val="000E0852"/>
    <w:rsid w:val="000E1819"/>
    <w:rsid w:val="000E444B"/>
    <w:rsid w:val="000E4821"/>
    <w:rsid w:val="000E6B1B"/>
    <w:rsid w:val="000E6C72"/>
    <w:rsid w:val="000F476C"/>
    <w:rsid w:val="000F6659"/>
    <w:rsid w:val="00111D39"/>
    <w:rsid w:val="00116EB2"/>
    <w:rsid w:val="00124609"/>
    <w:rsid w:val="00126A4C"/>
    <w:rsid w:val="0014573B"/>
    <w:rsid w:val="00156F5E"/>
    <w:rsid w:val="001573E4"/>
    <w:rsid w:val="00160756"/>
    <w:rsid w:val="0017232E"/>
    <w:rsid w:val="00174102"/>
    <w:rsid w:val="00174F79"/>
    <w:rsid w:val="00180157"/>
    <w:rsid w:val="00185CB9"/>
    <w:rsid w:val="00186F77"/>
    <w:rsid w:val="001926A4"/>
    <w:rsid w:val="00192AD5"/>
    <w:rsid w:val="00196B9A"/>
    <w:rsid w:val="001A4D02"/>
    <w:rsid w:val="001B094B"/>
    <w:rsid w:val="001B0E74"/>
    <w:rsid w:val="001B4404"/>
    <w:rsid w:val="001B45A0"/>
    <w:rsid w:val="001C4820"/>
    <w:rsid w:val="001D055E"/>
    <w:rsid w:val="001D67CA"/>
    <w:rsid w:val="001F406C"/>
    <w:rsid w:val="001F492E"/>
    <w:rsid w:val="001F6DA3"/>
    <w:rsid w:val="002010BC"/>
    <w:rsid w:val="00202056"/>
    <w:rsid w:val="00202E03"/>
    <w:rsid w:val="0020492C"/>
    <w:rsid w:val="0021708E"/>
    <w:rsid w:val="00224DB9"/>
    <w:rsid w:val="002260A5"/>
    <w:rsid w:val="0023181E"/>
    <w:rsid w:val="00233775"/>
    <w:rsid w:val="00237F50"/>
    <w:rsid w:val="002419A5"/>
    <w:rsid w:val="00244367"/>
    <w:rsid w:val="00245D8B"/>
    <w:rsid w:val="00251745"/>
    <w:rsid w:val="002540DE"/>
    <w:rsid w:val="00254FA3"/>
    <w:rsid w:val="00261771"/>
    <w:rsid w:val="00263AC0"/>
    <w:rsid w:val="00264264"/>
    <w:rsid w:val="0026772D"/>
    <w:rsid w:val="0027373D"/>
    <w:rsid w:val="00280781"/>
    <w:rsid w:val="0028094E"/>
    <w:rsid w:val="00282CD4"/>
    <w:rsid w:val="00284245"/>
    <w:rsid w:val="0028534D"/>
    <w:rsid w:val="00285930"/>
    <w:rsid w:val="00286874"/>
    <w:rsid w:val="00290C63"/>
    <w:rsid w:val="00296B65"/>
    <w:rsid w:val="00297C19"/>
    <w:rsid w:val="002A5E78"/>
    <w:rsid w:val="002A776C"/>
    <w:rsid w:val="002A7DEF"/>
    <w:rsid w:val="002C4D1C"/>
    <w:rsid w:val="002E05C4"/>
    <w:rsid w:val="002E08E2"/>
    <w:rsid w:val="002E7B22"/>
    <w:rsid w:val="002F7986"/>
    <w:rsid w:val="00301B40"/>
    <w:rsid w:val="003029EE"/>
    <w:rsid w:val="00303532"/>
    <w:rsid w:val="00305CC8"/>
    <w:rsid w:val="00307F6D"/>
    <w:rsid w:val="003107AD"/>
    <w:rsid w:val="00316E5F"/>
    <w:rsid w:val="003177A2"/>
    <w:rsid w:val="003271B5"/>
    <w:rsid w:val="00327A1E"/>
    <w:rsid w:val="00331264"/>
    <w:rsid w:val="00334C8D"/>
    <w:rsid w:val="00343A18"/>
    <w:rsid w:val="00345E4F"/>
    <w:rsid w:val="003518B3"/>
    <w:rsid w:val="00360708"/>
    <w:rsid w:val="00366491"/>
    <w:rsid w:val="00383A14"/>
    <w:rsid w:val="003846F1"/>
    <w:rsid w:val="00386E3D"/>
    <w:rsid w:val="00386FF0"/>
    <w:rsid w:val="003934A7"/>
    <w:rsid w:val="003B484F"/>
    <w:rsid w:val="003B63EA"/>
    <w:rsid w:val="003C1131"/>
    <w:rsid w:val="003D4E9F"/>
    <w:rsid w:val="003D7C94"/>
    <w:rsid w:val="003E50D9"/>
    <w:rsid w:val="003F174D"/>
    <w:rsid w:val="003F4C9B"/>
    <w:rsid w:val="00404C38"/>
    <w:rsid w:val="00415BEC"/>
    <w:rsid w:val="00417F4E"/>
    <w:rsid w:val="00455478"/>
    <w:rsid w:val="0045777E"/>
    <w:rsid w:val="00480B4B"/>
    <w:rsid w:val="00485DC4"/>
    <w:rsid w:val="0049051F"/>
    <w:rsid w:val="00496AD1"/>
    <w:rsid w:val="00497983"/>
    <w:rsid w:val="00497E5D"/>
    <w:rsid w:val="004A357D"/>
    <w:rsid w:val="004A43D1"/>
    <w:rsid w:val="004B073B"/>
    <w:rsid w:val="004B26F3"/>
    <w:rsid w:val="004B4412"/>
    <w:rsid w:val="004C348C"/>
    <w:rsid w:val="004D55BA"/>
    <w:rsid w:val="004D7A3C"/>
    <w:rsid w:val="004E22EC"/>
    <w:rsid w:val="004F0A1B"/>
    <w:rsid w:val="004F5C9F"/>
    <w:rsid w:val="004F66C0"/>
    <w:rsid w:val="00501994"/>
    <w:rsid w:val="00510FED"/>
    <w:rsid w:val="00521AE5"/>
    <w:rsid w:val="005275E3"/>
    <w:rsid w:val="00530128"/>
    <w:rsid w:val="00531EC0"/>
    <w:rsid w:val="00532269"/>
    <w:rsid w:val="00532467"/>
    <w:rsid w:val="00534CFF"/>
    <w:rsid w:val="00535B9B"/>
    <w:rsid w:val="005466F8"/>
    <w:rsid w:val="00546EF8"/>
    <w:rsid w:val="00550DE6"/>
    <w:rsid w:val="00564A4D"/>
    <w:rsid w:val="00567BA5"/>
    <w:rsid w:val="00571B35"/>
    <w:rsid w:val="00571D57"/>
    <w:rsid w:val="00575034"/>
    <w:rsid w:val="00577577"/>
    <w:rsid w:val="00577A09"/>
    <w:rsid w:val="005829C2"/>
    <w:rsid w:val="00584D8F"/>
    <w:rsid w:val="005931B1"/>
    <w:rsid w:val="005A404D"/>
    <w:rsid w:val="005B1E3C"/>
    <w:rsid w:val="005C26CC"/>
    <w:rsid w:val="005C4524"/>
    <w:rsid w:val="005D0DE5"/>
    <w:rsid w:val="005D2B71"/>
    <w:rsid w:val="005D4105"/>
    <w:rsid w:val="005D7BA2"/>
    <w:rsid w:val="005E36C2"/>
    <w:rsid w:val="005F369A"/>
    <w:rsid w:val="005F538F"/>
    <w:rsid w:val="00603CB6"/>
    <w:rsid w:val="00605FB4"/>
    <w:rsid w:val="0061182D"/>
    <w:rsid w:val="00615C6B"/>
    <w:rsid w:val="00621DCE"/>
    <w:rsid w:val="006271FA"/>
    <w:rsid w:val="00632624"/>
    <w:rsid w:val="00632D6D"/>
    <w:rsid w:val="00633656"/>
    <w:rsid w:val="00642C3E"/>
    <w:rsid w:val="0064445E"/>
    <w:rsid w:val="00652FFF"/>
    <w:rsid w:val="00660CDA"/>
    <w:rsid w:val="0066104A"/>
    <w:rsid w:val="00663DAD"/>
    <w:rsid w:val="00665D3F"/>
    <w:rsid w:val="00670AF6"/>
    <w:rsid w:val="00675E20"/>
    <w:rsid w:val="00676679"/>
    <w:rsid w:val="006832AB"/>
    <w:rsid w:val="00683C89"/>
    <w:rsid w:val="006966DC"/>
    <w:rsid w:val="00697621"/>
    <w:rsid w:val="006A2E6A"/>
    <w:rsid w:val="006B2395"/>
    <w:rsid w:val="006B4CF9"/>
    <w:rsid w:val="006B7AC8"/>
    <w:rsid w:val="006D1305"/>
    <w:rsid w:val="006D4B45"/>
    <w:rsid w:val="006D550F"/>
    <w:rsid w:val="006D6DA4"/>
    <w:rsid w:val="006F7DAB"/>
    <w:rsid w:val="00701CAB"/>
    <w:rsid w:val="00707563"/>
    <w:rsid w:val="00716CAE"/>
    <w:rsid w:val="0072348C"/>
    <w:rsid w:val="00724237"/>
    <w:rsid w:val="00724A37"/>
    <w:rsid w:val="007303C3"/>
    <w:rsid w:val="00732C26"/>
    <w:rsid w:val="00732F94"/>
    <w:rsid w:val="0074128F"/>
    <w:rsid w:val="007429BE"/>
    <w:rsid w:val="00743223"/>
    <w:rsid w:val="0074420A"/>
    <w:rsid w:val="00746E01"/>
    <w:rsid w:val="00757BDF"/>
    <w:rsid w:val="00763E5D"/>
    <w:rsid w:val="00767740"/>
    <w:rsid w:val="00777EE6"/>
    <w:rsid w:val="00782EEA"/>
    <w:rsid w:val="007A5AAE"/>
    <w:rsid w:val="007B2C72"/>
    <w:rsid w:val="007B49E1"/>
    <w:rsid w:val="007B5D1E"/>
    <w:rsid w:val="007C1C53"/>
    <w:rsid w:val="007C54CA"/>
    <w:rsid w:val="007C74BB"/>
    <w:rsid w:val="007E4904"/>
    <w:rsid w:val="007E4CB5"/>
    <w:rsid w:val="007E7DC2"/>
    <w:rsid w:val="007F0116"/>
    <w:rsid w:val="007F03B0"/>
    <w:rsid w:val="007F066B"/>
    <w:rsid w:val="008033C4"/>
    <w:rsid w:val="00806C88"/>
    <w:rsid w:val="0081034E"/>
    <w:rsid w:val="008123E0"/>
    <w:rsid w:val="00815801"/>
    <w:rsid w:val="00822C37"/>
    <w:rsid w:val="008255B8"/>
    <w:rsid w:val="0082643B"/>
    <w:rsid w:val="00830701"/>
    <w:rsid w:val="0083427E"/>
    <w:rsid w:val="008344F6"/>
    <w:rsid w:val="0083510F"/>
    <w:rsid w:val="0084567A"/>
    <w:rsid w:val="00847E6E"/>
    <w:rsid w:val="00851209"/>
    <w:rsid w:val="008750B0"/>
    <w:rsid w:val="008837AC"/>
    <w:rsid w:val="00885686"/>
    <w:rsid w:val="00892517"/>
    <w:rsid w:val="008948C4"/>
    <w:rsid w:val="008A045D"/>
    <w:rsid w:val="008A2907"/>
    <w:rsid w:val="008A4308"/>
    <w:rsid w:val="008A587D"/>
    <w:rsid w:val="008B16ED"/>
    <w:rsid w:val="008B35CD"/>
    <w:rsid w:val="008B4BED"/>
    <w:rsid w:val="008B5FCC"/>
    <w:rsid w:val="008C4DE9"/>
    <w:rsid w:val="008C5486"/>
    <w:rsid w:val="008D1486"/>
    <w:rsid w:val="008D1661"/>
    <w:rsid w:val="008E27C2"/>
    <w:rsid w:val="008E7031"/>
    <w:rsid w:val="008E77DE"/>
    <w:rsid w:val="008F07A3"/>
    <w:rsid w:val="00900E1B"/>
    <w:rsid w:val="00914D49"/>
    <w:rsid w:val="009233EE"/>
    <w:rsid w:val="009368CA"/>
    <w:rsid w:val="009443EB"/>
    <w:rsid w:val="00944AD3"/>
    <w:rsid w:val="009460AA"/>
    <w:rsid w:val="00951978"/>
    <w:rsid w:val="009536E6"/>
    <w:rsid w:val="00953819"/>
    <w:rsid w:val="00955E73"/>
    <w:rsid w:val="009608A9"/>
    <w:rsid w:val="00961A4A"/>
    <w:rsid w:val="00965F07"/>
    <w:rsid w:val="009661DE"/>
    <w:rsid w:val="00970BAE"/>
    <w:rsid w:val="00983575"/>
    <w:rsid w:val="00983C25"/>
    <w:rsid w:val="009856A7"/>
    <w:rsid w:val="009856B7"/>
    <w:rsid w:val="00985C86"/>
    <w:rsid w:val="0099056F"/>
    <w:rsid w:val="009A0ACD"/>
    <w:rsid w:val="009A5FC3"/>
    <w:rsid w:val="009B74B0"/>
    <w:rsid w:val="009C42FC"/>
    <w:rsid w:val="009D6B46"/>
    <w:rsid w:val="009F4940"/>
    <w:rsid w:val="009F4B1F"/>
    <w:rsid w:val="009F5BA1"/>
    <w:rsid w:val="009F5D2B"/>
    <w:rsid w:val="009F73D8"/>
    <w:rsid w:val="00A02A88"/>
    <w:rsid w:val="00A055A3"/>
    <w:rsid w:val="00A0562E"/>
    <w:rsid w:val="00A0726D"/>
    <w:rsid w:val="00A1597C"/>
    <w:rsid w:val="00A23724"/>
    <w:rsid w:val="00A32FBB"/>
    <w:rsid w:val="00A37650"/>
    <w:rsid w:val="00A428EE"/>
    <w:rsid w:val="00A4478A"/>
    <w:rsid w:val="00A44852"/>
    <w:rsid w:val="00A5213F"/>
    <w:rsid w:val="00A567FD"/>
    <w:rsid w:val="00A57838"/>
    <w:rsid w:val="00A57D04"/>
    <w:rsid w:val="00A60A26"/>
    <w:rsid w:val="00A61598"/>
    <w:rsid w:val="00A7068C"/>
    <w:rsid w:val="00A746E0"/>
    <w:rsid w:val="00A76DD9"/>
    <w:rsid w:val="00A84A99"/>
    <w:rsid w:val="00A84F46"/>
    <w:rsid w:val="00A8604F"/>
    <w:rsid w:val="00A871F4"/>
    <w:rsid w:val="00A93E58"/>
    <w:rsid w:val="00A95DF6"/>
    <w:rsid w:val="00AA2187"/>
    <w:rsid w:val="00AA3EB6"/>
    <w:rsid w:val="00AC1B2C"/>
    <w:rsid w:val="00AC3264"/>
    <w:rsid w:val="00AD0769"/>
    <w:rsid w:val="00AD1D7C"/>
    <w:rsid w:val="00AE1BF1"/>
    <w:rsid w:val="00AE348B"/>
    <w:rsid w:val="00AE6489"/>
    <w:rsid w:val="00AE6EB4"/>
    <w:rsid w:val="00AF0DD2"/>
    <w:rsid w:val="00AF1F9E"/>
    <w:rsid w:val="00AF1FF3"/>
    <w:rsid w:val="00B07442"/>
    <w:rsid w:val="00B1270C"/>
    <w:rsid w:val="00B127B5"/>
    <w:rsid w:val="00B13048"/>
    <w:rsid w:val="00B1716D"/>
    <w:rsid w:val="00B17A1D"/>
    <w:rsid w:val="00B207A0"/>
    <w:rsid w:val="00B24781"/>
    <w:rsid w:val="00B44128"/>
    <w:rsid w:val="00B514DD"/>
    <w:rsid w:val="00B52AF0"/>
    <w:rsid w:val="00B561BD"/>
    <w:rsid w:val="00B56274"/>
    <w:rsid w:val="00B56E03"/>
    <w:rsid w:val="00B66B9F"/>
    <w:rsid w:val="00B755A3"/>
    <w:rsid w:val="00B8080B"/>
    <w:rsid w:val="00B86D5F"/>
    <w:rsid w:val="00B87BA5"/>
    <w:rsid w:val="00B87C39"/>
    <w:rsid w:val="00BA0F3C"/>
    <w:rsid w:val="00BA1AB7"/>
    <w:rsid w:val="00BA4665"/>
    <w:rsid w:val="00BA4F2F"/>
    <w:rsid w:val="00BA7F9B"/>
    <w:rsid w:val="00BB2FB2"/>
    <w:rsid w:val="00BB3304"/>
    <w:rsid w:val="00BC721E"/>
    <w:rsid w:val="00BD1E72"/>
    <w:rsid w:val="00BD3446"/>
    <w:rsid w:val="00BD76FC"/>
    <w:rsid w:val="00BE1F1B"/>
    <w:rsid w:val="00BE47B5"/>
    <w:rsid w:val="00BE485E"/>
    <w:rsid w:val="00BF0259"/>
    <w:rsid w:val="00C05334"/>
    <w:rsid w:val="00C117AC"/>
    <w:rsid w:val="00C16C90"/>
    <w:rsid w:val="00C22EE5"/>
    <w:rsid w:val="00C23895"/>
    <w:rsid w:val="00C25069"/>
    <w:rsid w:val="00C25FA6"/>
    <w:rsid w:val="00C31CC8"/>
    <w:rsid w:val="00C43A99"/>
    <w:rsid w:val="00C538A9"/>
    <w:rsid w:val="00C53B5A"/>
    <w:rsid w:val="00C54F5A"/>
    <w:rsid w:val="00C55D2B"/>
    <w:rsid w:val="00C569B4"/>
    <w:rsid w:val="00C67A92"/>
    <w:rsid w:val="00C714D6"/>
    <w:rsid w:val="00C75E1A"/>
    <w:rsid w:val="00C84DB9"/>
    <w:rsid w:val="00C86679"/>
    <w:rsid w:val="00C9748A"/>
    <w:rsid w:val="00CA489E"/>
    <w:rsid w:val="00CB0279"/>
    <w:rsid w:val="00CB0D7D"/>
    <w:rsid w:val="00CB666B"/>
    <w:rsid w:val="00CC0E76"/>
    <w:rsid w:val="00CC7F1D"/>
    <w:rsid w:val="00CE1482"/>
    <w:rsid w:val="00CE1FA9"/>
    <w:rsid w:val="00CE43B1"/>
    <w:rsid w:val="00CE52A0"/>
    <w:rsid w:val="00CF0F0A"/>
    <w:rsid w:val="00CF1216"/>
    <w:rsid w:val="00CF12FE"/>
    <w:rsid w:val="00CF161D"/>
    <w:rsid w:val="00CF4611"/>
    <w:rsid w:val="00D006AE"/>
    <w:rsid w:val="00D01CF0"/>
    <w:rsid w:val="00D033DA"/>
    <w:rsid w:val="00D0442A"/>
    <w:rsid w:val="00D0577F"/>
    <w:rsid w:val="00D06792"/>
    <w:rsid w:val="00D11D3A"/>
    <w:rsid w:val="00D12C21"/>
    <w:rsid w:val="00D206EC"/>
    <w:rsid w:val="00D374D0"/>
    <w:rsid w:val="00D37A44"/>
    <w:rsid w:val="00D4037B"/>
    <w:rsid w:val="00D6108F"/>
    <w:rsid w:val="00D61388"/>
    <w:rsid w:val="00D61A54"/>
    <w:rsid w:val="00D64DEA"/>
    <w:rsid w:val="00D7168E"/>
    <w:rsid w:val="00D71E57"/>
    <w:rsid w:val="00D72806"/>
    <w:rsid w:val="00D75476"/>
    <w:rsid w:val="00D75659"/>
    <w:rsid w:val="00D80893"/>
    <w:rsid w:val="00D84854"/>
    <w:rsid w:val="00D877A6"/>
    <w:rsid w:val="00D92CF1"/>
    <w:rsid w:val="00D92D38"/>
    <w:rsid w:val="00D950F5"/>
    <w:rsid w:val="00DA4752"/>
    <w:rsid w:val="00DA61F3"/>
    <w:rsid w:val="00DB0F93"/>
    <w:rsid w:val="00DB1A67"/>
    <w:rsid w:val="00DB5074"/>
    <w:rsid w:val="00DC7981"/>
    <w:rsid w:val="00DD5364"/>
    <w:rsid w:val="00DD71C1"/>
    <w:rsid w:val="00DE0C78"/>
    <w:rsid w:val="00DE1093"/>
    <w:rsid w:val="00DE12E5"/>
    <w:rsid w:val="00DE29F8"/>
    <w:rsid w:val="00DE4EFA"/>
    <w:rsid w:val="00DE5520"/>
    <w:rsid w:val="00DE563D"/>
    <w:rsid w:val="00DF15A1"/>
    <w:rsid w:val="00E04818"/>
    <w:rsid w:val="00E06442"/>
    <w:rsid w:val="00E20F75"/>
    <w:rsid w:val="00E23993"/>
    <w:rsid w:val="00E23CC0"/>
    <w:rsid w:val="00E25B8C"/>
    <w:rsid w:val="00E30342"/>
    <w:rsid w:val="00E315F8"/>
    <w:rsid w:val="00E349A9"/>
    <w:rsid w:val="00E45321"/>
    <w:rsid w:val="00E65C85"/>
    <w:rsid w:val="00E66199"/>
    <w:rsid w:val="00E665A7"/>
    <w:rsid w:val="00E71E5A"/>
    <w:rsid w:val="00E755EC"/>
    <w:rsid w:val="00E7624D"/>
    <w:rsid w:val="00E77976"/>
    <w:rsid w:val="00E7799B"/>
    <w:rsid w:val="00EA3B33"/>
    <w:rsid w:val="00EA3D42"/>
    <w:rsid w:val="00EA6B1B"/>
    <w:rsid w:val="00ED6549"/>
    <w:rsid w:val="00ED7323"/>
    <w:rsid w:val="00ED7C1F"/>
    <w:rsid w:val="00EE28F3"/>
    <w:rsid w:val="00EF2343"/>
    <w:rsid w:val="00EF5110"/>
    <w:rsid w:val="00EF5CBF"/>
    <w:rsid w:val="00EF7A04"/>
    <w:rsid w:val="00F00015"/>
    <w:rsid w:val="00F00F70"/>
    <w:rsid w:val="00F10411"/>
    <w:rsid w:val="00F136E8"/>
    <w:rsid w:val="00F15882"/>
    <w:rsid w:val="00F171E0"/>
    <w:rsid w:val="00F20BD3"/>
    <w:rsid w:val="00F26316"/>
    <w:rsid w:val="00F362E5"/>
    <w:rsid w:val="00F373A5"/>
    <w:rsid w:val="00F37C8F"/>
    <w:rsid w:val="00F40EC9"/>
    <w:rsid w:val="00F4261B"/>
    <w:rsid w:val="00F474F4"/>
    <w:rsid w:val="00F47559"/>
    <w:rsid w:val="00F52754"/>
    <w:rsid w:val="00F52C70"/>
    <w:rsid w:val="00F61274"/>
    <w:rsid w:val="00F61EDB"/>
    <w:rsid w:val="00F64C7B"/>
    <w:rsid w:val="00F676DD"/>
    <w:rsid w:val="00F75A26"/>
    <w:rsid w:val="00F76706"/>
    <w:rsid w:val="00F83FAD"/>
    <w:rsid w:val="00F900D1"/>
    <w:rsid w:val="00F911CC"/>
    <w:rsid w:val="00F952A0"/>
    <w:rsid w:val="00FA3C7F"/>
    <w:rsid w:val="00FA7F3E"/>
    <w:rsid w:val="00FB5821"/>
    <w:rsid w:val="00FB5826"/>
    <w:rsid w:val="00FB74E2"/>
    <w:rsid w:val="00FC10C4"/>
    <w:rsid w:val="00FC3C03"/>
    <w:rsid w:val="00FC421E"/>
    <w:rsid w:val="00FD5614"/>
    <w:rsid w:val="00FE0BE1"/>
    <w:rsid w:val="00FE149C"/>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Body Text Indent 2"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unhideWhenUsed/>
    <w:rsid w:val="00280781"/>
    <w:pPr>
      <w:spacing w:after="120"/>
    </w:pPr>
  </w:style>
  <w:style w:type="character" w:customStyle="1" w:styleId="BodyTextChar">
    <w:name w:val="Body Text Char"/>
    <w:basedOn w:val="DefaultParagraphFont"/>
    <w:link w:val="BodyText"/>
    <w:uiPriority w:val="99"/>
    <w:rsid w:val="00280781"/>
    <w:rPr>
      <w:rFonts w:ascii="Arial" w:hAnsi="Arial"/>
    </w:rPr>
  </w:style>
  <w:style w:type="paragraph" w:customStyle="1" w:styleId="Default">
    <w:name w:val="Default"/>
    <w:rsid w:val="009443EB"/>
    <w:pPr>
      <w:autoSpaceDE w:val="0"/>
      <w:autoSpaceDN w:val="0"/>
      <w:adjustRightInd w:val="0"/>
      <w:spacing w:before="0"/>
    </w:pPr>
    <w:rPr>
      <w:rFonts w:ascii="Times New Roman" w:hAnsi="Times New Roman" w:cs="Times New Roman"/>
      <w:color w:val="000000"/>
      <w:sz w:val="24"/>
      <w:szCs w:val="24"/>
    </w:rPr>
  </w:style>
  <w:style w:type="paragraph" w:styleId="BodyTextIndent2">
    <w:name w:val="Body Text Indent 2"/>
    <w:basedOn w:val="Normal"/>
    <w:link w:val="BodyTextIndent2Char"/>
    <w:semiHidden/>
    <w:rsid w:val="00DE29F8"/>
    <w:pPr>
      <w:spacing w:before="0" w:after="120" w:line="480" w:lineRule="auto"/>
      <w:ind w:left="283"/>
    </w:pPr>
    <w:rPr>
      <w:rFonts w:eastAsia="Times New Roman" w:cs="Times New Roman"/>
      <w:color w:val="000000"/>
      <w:sz w:val="20"/>
      <w:szCs w:val="20"/>
    </w:rPr>
  </w:style>
  <w:style w:type="character" w:customStyle="1" w:styleId="BodyTextIndent2Char">
    <w:name w:val="Body Text Indent 2 Char"/>
    <w:basedOn w:val="DefaultParagraphFont"/>
    <w:link w:val="BodyTextIndent2"/>
    <w:semiHidden/>
    <w:rsid w:val="00DE29F8"/>
    <w:rPr>
      <w:rFonts w:ascii="Arial" w:eastAsia="Times New Roman" w:hAnsi="Arial"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Body Text Indent 2"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unhideWhenUsed/>
    <w:rsid w:val="00280781"/>
    <w:pPr>
      <w:spacing w:after="120"/>
    </w:pPr>
  </w:style>
  <w:style w:type="character" w:customStyle="1" w:styleId="BodyTextChar">
    <w:name w:val="Body Text Char"/>
    <w:basedOn w:val="DefaultParagraphFont"/>
    <w:link w:val="BodyText"/>
    <w:uiPriority w:val="99"/>
    <w:rsid w:val="00280781"/>
    <w:rPr>
      <w:rFonts w:ascii="Arial" w:hAnsi="Arial"/>
    </w:rPr>
  </w:style>
  <w:style w:type="paragraph" w:customStyle="1" w:styleId="Default">
    <w:name w:val="Default"/>
    <w:rsid w:val="009443EB"/>
    <w:pPr>
      <w:autoSpaceDE w:val="0"/>
      <w:autoSpaceDN w:val="0"/>
      <w:adjustRightInd w:val="0"/>
      <w:spacing w:before="0"/>
    </w:pPr>
    <w:rPr>
      <w:rFonts w:ascii="Times New Roman" w:hAnsi="Times New Roman" w:cs="Times New Roman"/>
      <w:color w:val="000000"/>
      <w:sz w:val="24"/>
      <w:szCs w:val="24"/>
    </w:rPr>
  </w:style>
  <w:style w:type="paragraph" w:styleId="BodyTextIndent2">
    <w:name w:val="Body Text Indent 2"/>
    <w:basedOn w:val="Normal"/>
    <w:link w:val="BodyTextIndent2Char"/>
    <w:semiHidden/>
    <w:rsid w:val="00DE29F8"/>
    <w:pPr>
      <w:spacing w:before="0" w:after="120" w:line="480" w:lineRule="auto"/>
      <w:ind w:left="283"/>
    </w:pPr>
    <w:rPr>
      <w:rFonts w:eastAsia="Times New Roman" w:cs="Times New Roman"/>
      <w:color w:val="000000"/>
      <w:sz w:val="20"/>
      <w:szCs w:val="20"/>
    </w:rPr>
  </w:style>
  <w:style w:type="character" w:customStyle="1" w:styleId="BodyTextIndent2Char">
    <w:name w:val="Body Text Indent 2 Char"/>
    <w:basedOn w:val="DefaultParagraphFont"/>
    <w:link w:val="BodyTextIndent2"/>
    <w:semiHidden/>
    <w:rsid w:val="00DE29F8"/>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2048479912">
      <w:bodyDiv w:val="1"/>
      <w:marLeft w:val="0"/>
      <w:marRight w:val="0"/>
      <w:marTop w:val="0"/>
      <w:marBottom w:val="0"/>
      <w:divBdr>
        <w:top w:val="none" w:sz="0" w:space="0" w:color="auto"/>
        <w:left w:val="none" w:sz="0" w:space="0" w:color="auto"/>
        <w:bottom w:val="none" w:sz="0" w:space="0" w:color="auto"/>
        <w:right w:val="none" w:sz="0" w:space="0" w:color="auto"/>
      </w:divBdr>
    </w:div>
    <w:div w:id="21260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Rule-Changes/Retailer-insolvency-costs-pass-through-provision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F2FBAB96</Template>
  <TotalTime>0</TotalTime>
  <Pages>28</Pages>
  <Words>8112</Words>
  <Characters>46242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2015-06-01T00:52:00Z</dcterms:created>
  <dcterms:modified xsi:type="dcterms:W3CDTF">2015-06-01T00:52:00Z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