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9C0307" w:rsidRDefault="009C0307" w:rsidP="009C0307">
          <w:pPr>
            <w:pStyle w:val="ReportSubtitle"/>
          </w:pPr>
        </w:p>
        <w:p w:rsidR="009C0307" w:rsidRDefault="009C0307" w:rsidP="009C0307">
          <w:pPr>
            <w:pStyle w:val="ReportSubtitle"/>
          </w:pPr>
          <w:r>
            <w:t>FINAL DECISION</w:t>
          </w:r>
        </w:p>
        <w:p w:rsidR="009C0307" w:rsidRDefault="009C0307" w:rsidP="009C0307">
          <w:pPr>
            <w:pStyle w:val="ReportSubtitle"/>
          </w:pPr>
          <w:r>
            <w:t>Jemena</w:t>
          </w:r>
          <w:bookmarkStart w:id="0" w:name="_GoBack"/>
          <w:bookmarkEnd w:id="0"/>
          <w:r>
            <w:t xml:space="preserve"> Gas Networks (NSW) Ltd</w:t>
          </w:r>
        </w:p>
        <w:p w:rsidR="009C0307" w:rsidRDefault="009C0307" w:rsidP="009C0307">
          <w:pPr>
            <w:pStyle w:val="ReportSubtitle"/>
          </w:pPr>
          <w:r>
            <w:t>Access Arrangement 2015-20</w:t>
          </w:r>
        </w:p>
        <w:p w:rsidR="008F07A3" w:rsidRPr="000A6C7B" w:rsidRDefault="008F07A3" w:rsidP="009C0307">
          <w:pPr>
            <w:pStyle w:val="ReportSubtitle"/>
            <w:tabs>
              <w:tab w:val="left" w:pos="1122"/>
              <w:tab w:val="center" w:pos="4238"/>
            </w:tabs>
            <w:jc w:val="left"/>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B776F2"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5741A1">
        <w:t>51741</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E6180D" w:rsidRDefault="00E6180D" w:rsidP="003D3D89">
      <w:pPr>
        <w:pStyle w:val="UnnumberedHeading"/>
      </w:pPr>
      <w:bookmarkStart w:id="5" w:name="_Toc408493480"/>
      <w:bookmarkStart w:id="6" w:name="_Toc420330931"/>
      <w:bookmarkEnd w:id="1"/>
      <w:bookmarkEnd w:id="2"/>
      <w:bookmarkEnd w:id="3"/>
      <w:bookmarkEnd w:id="4"/>
      <w:r w:rsidRPr="003D3D89">
        <w:lastRenderedPageBreak/>
        <w:t>Note</w:t>
      </w:r>
      <w:bookmarkEnd w:id="5"/>
      <w:bookmarkEnd w:id="6"/>
    </w:p>
    <w:p w:rsidR="00E6180D" w:rsidRPr="001460E2" w:rsidRDefault="00E6180D" w:rsidP="00E6180D">
      <w:r w:rsidRPr="001460E2">
        <w:t>This attachment forms part of the AER's final decision on Jemena Gas Networks' 2015–20 access arrangement. It should be read with other parts of the final decision.</w:t>
      </w:r>
    </w:p>
    <w:p w:rsidR="00E6180D" w:rsidRPr="001460E2" w:rsidRDefault="00E6180D" w:rsidP="00E6180D">
      <w:r w:rsidRPr="001460E2">
        <w:t>The final decision includes the following documents:</w:t>
      </w:r>
    </w:p>
    <w:p w:rsidR="00E6180D" w:rsidRPr="001460E2" w:rsidRDefault="00E6180D" w:rsidP="00E6180D">
      <w:r w:rsidRPr="001460E2">
        <w:t>Overview</w:t>
      </w:r>
    </w:p>
    <w:p w:rsidR="00E6180D" w:rsidRPr="001460E2" w:rsidRDefault="00E6180D" w:rsidP="00E6180D">
      <w:r w:rsidRPr="001460E2">
        <w:t>Attachment 1 – services covered by the access arrangement</w:t>
      </w:r>
    </w:p>
    <w:p w:rsidR="00E6180D" w:rsidRPr="001460E2" w:rsidRDefault="00E6180D" w:rsidP="00E6180D">
      <w:r w:rsidRPr="001460E2">
        <w:t>Attachment 2 – capital base</w:t>
      </w:r>
    </w:p>
    <w:p w:rsidR="00E6180D" w:rsidRPr="001460E2" w:rsidRDefault="00E6180D" w:rsidP="00E6180D">
      <w:r w:rsidRPr="001460E2">
        <w:t>Attachment 3 – rate of return</w:t>
      </w:r>
    </w:p>
    <w:p w:rsidR="00E6180D" w:rsidRPr="001460E2" w:rsidRDefault="00E6180D" w:rsidP="00E6180D">
      <w:r w:rsidRPr="001460E2">
        <w:t>Attachment 4 – value of imputation credits</w:t>
      </w:r>
    </w:p>
    <w:p w:rsidR="00E6180D" w:rsidRPr="001460E2" w:rsidRDefault="00E6180D" w:rsidP="00E6180D">
      <w:r w:rsidRPr="001460E2">
        <w:t>Attachment 5 – regulatory depreciation</w:t>
      </w:r>
    </w:p>
    <w:p w:rsidR="00E6180D" w:rsidRPr="001460E2" w:rsidRDefault="00E6180D" w:rsidP="00E6180D">
      <w:r w:rsidRPr="001460E2">
        <w:t xml:space="preserve">Attachment 6 – capital expenditure </w:t>
      </w:r>
    </w:p>
    <w:p w:rsidR="00E6180D" w:rsidRPr="001460E2" w:rsidRDefault="00E6180D" w:rsidP="00E6180D">
      <w:r w:rsidRPr="001460E2">
        <w:t>Attachment 7 – operating expenditure</w:t>
      </w:r>
    </w:p>
    <w:p w:rsidR="00E6180D" w:rsidRPr="001460E2" w:rsidRDefault="00E6180D" w:rsidP="00E6180D">
      <w:r w:rsidRPr="001460E2">
        <w:t>Attachment 8 – corporate income tax</w:t>
      </w:r>
    </w:p>
    <w:p w:rsidR="00E6180D" w:rsidRPr="001460E2" w:rsidRDefault="00E6180D" w:rsidP="00E6180D">
      <w:r w:rsidRPr="001460E2">
        <w:t>Attachment 9 – efficiency carryover mechanism</w:t>
      </w:r>
    </w:p>
    <w:p w:rsidR="00E6180D" w:rsidRPr="001460E2" w:rsidRDefault="00E6180D" w:rsidP="00E6180D">
      <w:r w:rsidRPr="001460E2">
        <w:t>Attachment 10 – reference tariff setting</w:t>
      </w:r>
    </w:p>
    <w:p w:rsidR="00E6180D" w:rsidRPr="001460E2" w:rsidRDefault="00E6180D" w:rsidP="00E6180D">
      <w:r w:rsidRPr="001460E2">
        <w:t>Attachment 11 – reference tariff variation mechanism</w:t>
      </w:r>
    </w:p>
    <w:p w:rsidR="00E6180D" w:rsidRPr="001460E2" w:rsidRDefault="00E6180D" w:rsidP="00E6180D">
      <w:r w:rsidRPr="001460E2">
        <w:t>Attachment 12 – non-tariff components</w:t>
      </w:r>
    </w:p>
    <w:p w:rsidR="00E6180D" w:rsidRPr="001460E2" w:rsidRDefault="00E6180D" w:rsidP="00E6180D">
      <w:r w:rsidRPr="001460E2">
        <w:t xml:space="preserve">Attachment 13 – demand </w:t>
      </w:r>
    </w:p>
    <w:p w:rsidR="00BB1615" w:rsidRPr="008F07A3" w:rsidRDefault="00BB1615" w:rsidP="00BB1615">
      <w:pPr>
        <w:sectPr w:rsidR="00BB1615"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7" w:name="_Toc403144133"/>
      <w:bookmarkStart w:id="8" w:name="_Toc420330932"/>
      <w:r>
        <w:lastRenderedPageBreak/>
        <w:t>Contents</w:t>
      </w:r>
      <w:bookmarkEnd w:id="7"/>
      <w:bookmarkEnd w:id="8"/>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33BA4"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20330931" w:history="1">
            <w:r w:rsidR="00533BA4" w:rsidRPr="00EC534B">
              <w:rPr>
                <w:rStyle w:val="Hyperlink"/>
              </w:rPr>
              <w:t>Note</w:t>
            </w:r>
            <w:r w:rsidR="00533BA4">
              <w:rPr>
                <w:webHidden/>
              </w:rPr>
              <w:tab/>
            </w:r>
            <w:r w:rsidR="00533BA4">
              <w:rPr>
                <w:webHidden/>
              </w:rPr>
              <w:fldChar w:fldCharType="begin"/>
            </w:r>
            <w:r w:rsidR="00533BA4">
              <w:rPr>
                <w:webHidden/>
              </w:rPr>
              <w:instrText xml:space="preserve"> PAGEREF _Toc420330931 \h </w:instrText>
            </w:r>
            <w:r w:rsidR="00533BA4">
              <w:rPr>
                <w:webHidden/>
              </w:rPr>
            </w:r>
            <w:r w:rsidR="00533BA4">
              <w:rPr>
                <w:webHidden/>
              </w:rPr>
              <w:fldChar w:fldCharType="separate"/>
            </w:r>
            <w:r w:rsidR="008B5404">
              <w:rPr>
                <w:webHidden/>
              </w:rPr>
              <w:t>4-2</w:t>
            </w:r>
            <w:r w:rsidR="00533BA4">
              <w:rPr>
                <w:webHidden/>
              </w:rPr>
              <w:fldChar w:fldCharType="end"/>
            </w:r>
          </w:hyperlink>
        </w:p>
        <w:p w:rsidR="00533BA4" w:rsidRDefault="008B5404">
          <w:pPr>
            <w:pStyle w:val="TOC1"/>
            <w:rPr>
              <w:rFonts w:asciiTheme="minorHAnsi" w:eastAsiaTheme="minorEastAsia" w:hAnsiTheme="minorHAnsi"/>
              <w:b w:val="0"/>
              <w:color w:val="auto"/>
              <w:sz w:val="22"/>
              <w:lang w:val="en-AU" w:eastAsia="en-AU"/>
            </w:rPr>
          </w:pPr>
          <w:hyperlink w:anchor="_Toc420330932" w:history="1">
            <w:r w:rsidR="00533BA4" w:rsidRPr="00EC534B">
              <w:rPr>
                <w:rStyle w:val="Hyperlink"/>
              </w:rPr>
              <w:t>Contents</w:t>
            </w:r>
            <w:r w:rsidR="00533BA4">
              <w:rPr>
                <w:webHidden/>
              </w:rPr>
              <w:tab/>
            </w:r>
            <w:r w:rsidR="00533BA4">
              <w:rPr>
                <w:webHidden/>
              </w:rPr>
              <w:fldChar w:fldCharType="begin"/>
            </w:r>
            <w:r w:rsidR="00533BA4">
              <w:rPr>
                <w:webHidden/>
              </w:rPr>
              <w:instrText xml:space="preserve"> PAGEREF _Toc420330932 \h </w:instrText>
            </w:r>
            <w:r w:rsidR="00533BA4">
              <w:rPr>
                <w:webHidden/>
              </w:rPr>
            </w:r>
            <w:r w:rsidR="00533BA4">
              <w:rPr>
                <w:webHidden/>
              </w:rPr>
              <w:fldChar w:fldCharType="separate"/>
            </w:r>
            <w:r>
              <w:rPr>
                <w:webHidden/>
              </w:rPr>
              <w:t>4-3</w:t>
            </w:r>
            <w:r w:rsidR="00533BA4">
              <w:rPr>
                <w:webHidden/>
              </w:rPr>
              <w:fldChar w:fldCharType="end"/>
            </w:r>
          </w:hyperlink>
        </w:p>
        <w:p w:rsidR="00533BA4" w:rsidRDefault="008B5404">
          <w:pPr>
            <w:pStyle w:val="TOC1"/>
            <w:rPr>
              <w:rFonts w:asciiTheme="minorHAnsi" w:eastAsiaTheme="minorEastAsia" w:hAnsiTheme="minorHAnsi"/>
              <w:b w:val="0"/>
              <w:color w:val="auto"/>
              <w:sz w:val="22"/>
              <w:lang w:val="en-AU" w:eastAsia="en-AU"/>
            </w:rPr>
          </w:pPr>
          <w:hyperlink w:anchor="_Toc420330933" w:history="1">
            <w:r w:rsidR="00533BA4" w:rsidRPr="00EC534B">
              <w:rPr>
                <w:rStyle w:val="Hyperlink"/>
              </w:rPr>
              <w:t>Shortened forms</w:t>
            </w:r>
            <w:r w:rsidR="00533BA4">
              <w:rPr>
                <w:webHidden/>
              </w:rPr>
              <w:tab/>
            </w:r>
            <w:r w:rsidR="00533BA4">
              <w:rPr>
                <w:webHidden/>
              </w:rPr>
              <w:fldChar w:fldCharType="begin"/>
            </w:r>
            <w:r w:rsidR="00533BA4">
              <w:rPr>
                <w:webHidden/>
              </w:rPr>
              <w:instrText xml:space="preserve"> PAGEREF _Toc420330933 \h </w:instrText>
            </w:r>
            <w:r w:rsidR="00533BA4">
              <w:rPr>
                <w:webHidden/>
              </w:rPr>
            </w:r>
            <w:r w:rsidR="00533BA4">
              <w:rPr>
                <w:webHidden/>
              </w:rPr>
              <w:fldChar w:fldCharType="separate"/>
            </w:r>
            <w:r>
              <w:rPr>
                <w:webHidden/>
              </w:rPr>
              <w:t>4-5</w:t>
            </w:r>
            <w:r w:rsidR="00533BA4">
              <w:rPr>
                <w:webHidden/>
              </w:rPr>
              <w:fldChar w:fldCharType="end"/>
            </w:r>
          </w:hyperlink>
        </w:p>
        <w:p w:rsidR="00533BA4" w:rsidRDefault="008B5404">
          <w:pPr>
            <w:pStyle w:val="TOC1"/>
            <w:rPr>
              <w:rFonts w:asciiTheme="minorHAnsi" w:eastAsiaTheme="minorEastAsia" w:hAnsiTheme="minorHAnsi"/>
              <w:b w:val="0"/>
              <w:color w:val="auto"/>
              <w:sz w:val="22"/>
              <w:lang w:val="en-AU" w:eastAsia="en-AU"/>
            </w:rPr>
          </w:pPr>
          <w:hyperlink w:anchor="_Toc420330934" w:history="1">
            <w:r w:rsidR="00533BA4" w:rsidRPr="00EC534B">
              <w:rPr>
                <w:rStyle w:val="Hyperlink"/>
              </w:rPr>
              <w:t>4</w:t>
            </w:r>
            <w:r w:rsidR="00533BA4">
              <w:rPr>
                <w:rFonts w:asciiTheme="minorHAnsi" w:eastAsiaTheme="minorEastAsia" w:hAnsiTheme="minorHAnsi"/>
                <w:b w:val="0"/>
                <w:color w:val="auto"/>
                <w:sz w:val="22"/>
                <w:lang w:val="en-AU" w:eastAsia="en-AU"/>
              </w:rPr>
              <w:tab/>
            </w:r>
            <w:r w:rsidR="00533BA4" w:rsidRPr="00EC534B">
              <w:rPr>
                <w:rStyle w:val="Hyperlink"/>
              </w:rPr>
              <w:t>Value of imputation credits</w:t>
            </w:r>
            <w:r w:rsidR="00533BA4">
              <w:rPr>
                <w:webHidden/>
              </w:rPr>
              <w:tab/>
            </w:r>
            <w:r w:rsidR="00533BA4">
              <w:rPr>
                <w:webHidden/>
              </w:rPr>
              <w:fldChar w:fldCharType="begin"/>
            </w:r>
            <w:r w:rsidR="00533BA4">
              <w:rPr>
                <w:webHidden/>
              </w:rPr>
              <w:instrText xml:space="preserve"> PAGEREF _Toc420330934 \h </w:instrText>
            </w:r>
            <w:r w:rsidR="00533BA4">
              <w:rPr>
                <w:webHidden/>
              </w:rPr>
            </w:r>
            <w:r w:rsidR="00533BA4">
              <w:rPr>
                <w:webHidden/>
              </w:rPr>
              <w:fldChar w:fldCharType="separate"/>
            </w:r>
            <w:r>
              <w:rPr>
                <w:webHidden/>
              </w:rPr>
              <w:t>4-6</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35" w:history="1">
            <w:r w:rsidR="00533BA4" w:rsidRPr="00EC534B">
              <w:rPr>
                <w:rStyle w:val="Hyperlink"/>
              </w:rPr>
              <w:t>4.1</w:t>
            </w:r>
            <w:r w:rsidR="00533BA4">
              <w:rPr>
                <w:rFonts w:asciiTheme="minorHAnsi" w:eastAsiaTheme="minorEastAsia" w:hAnsiTheme="minorHAnsi"/>
                <w:b w:val="0"/>
                <w:color w:val="auto"/>
                <w:sz w:val="22"/>
                <w:lang w:eastAsia="en-AU"/>
              </w:rPr>
              <w:tab/>
            </w:r>
            <w:r w:rsidR="00533BA4" w:rsidRPr="00EC534B">
              <w:rPr>
                <w:rStyle w:val="Hyperlink"/>
              </w:rPr>
              <w:t>Final decision</w:t>
            </w:r>
            <w:r w:rsidR="00533BA4">
              <w:rPr>
                <w:webHidden/>
              </w:rPr>
              <w:tab/>
            </w:r>
            <w:r w:rsidR="00533BA4">
              <w:rPr>
                <w:webHidden/>
              </w:rPr>
              <w:fldChar w:fldCharType="begin"/>
            </w:r>
            <w:r w:rsidR="00533BA4">
              <w:rPr>
                <w:webHidden/>
              </w:rPr>
              <w:instrText xml:space="preserve"> PAGEREF _Toc420330935 \h </w:instrText>
            </w:r>
            <w:r w:rsidR="00533BA4">
              <w:rPr>
                <w:webHidden/>
              </w:rPr>
            </w:r>
            <w:r w:rsidR="00533BA4">
              <w:rPr>
                <w:webHidden/>
              </w:rPr>
              <w:fldChar w:fldCharType="separate"/>
            </w:r>
            <w:r>
              <w:rPr>
                <w:webHidden/>
              </w:rPr>
              <w:t>4-6</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36" w:history="1">
            <w:r w:rsidR="00533BA4" w:rsidRPr="00EC534B">
              <w:rPr>
                <w:rStyle w:val="Hyperlink"/>
              </w:rPr>
              <w:t>4.2</w:t>
            </w:r>
            <w:r w:rsidR="00533BA4">
              <w:rPr>
                <w:rFonts w:asciiTheme="minorHAnsi" w:eastAsiaTheme="minorEastAsia" w:hAnsiTheme="minorHAnsi"/>
                <w:b w:val="0"/>
                <w:color w:val="auto"/>
                <w:sz w:val="22"/>
                <w:lang w:eastAsia="en-AU"/>
              </w:rPr>
              <w:tab/>
            </w:r>
            <w:r w:rsidR="00533BA4" w:rsidRPr="00EC534B">
              <w:rPr>
                <w:rStyle w:val="Hyperlink"/>
              </w:rPr>
              <w:t>JGN’s revised proposal</w:t>
            </w:r>
            <w:r w:rsidR="00533BA4">
              <w:rPr>
                <w:webHidden/>
              </w:rPr>
              <w:tab/>
            </w:r>
            <w:r w:rsidR="00533BA4">
              <w:rPr>
                <w:webHidden/>
              </w:rPr>
              <w:fldChar w:fldCharType="begin"/>
            </w:r>
            <w:r w:rsidR="00533BA4">
              <w:rPr>
                <w:webHidden/>
              </w:rPr>
              <w:instrText xml:space="preserve"> PAGEREF _Toc420330936 \h </w:instrText>
            </w:r>
            <w:r w:rsidR="00533BA4">
              <w:rPr>
                <w:webHidden/>
              </w:rPr>
            </w:r>
            <w:r w:rsidR="00533BA4">
              <w:rPr>
                <w:webHidden/>
              </w:rPr>
              <w:fldChar w:fldCharType="separate"/>
            </w:r>
            <w:r>
              <w:rPr>
                <w:webHidden/>
              </w:rPr>
              <w:t>4-7</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37" w:history="1">
            <w:r w:rsidR="00533BA4" w:rsidRPr="00EC534B">
              <w:rPr>
                <w:rStyle w:val="Hyperlink"/>
              </w:rPr>
              <w:t>4.3</w:t>
            </w:r>
            <w:r w:rsidR="00533BA4">
              <w:rPr>
                <w:rFonts w:asciiTheme="minorHAnsi" w:eastAsiaTheme="minorEastAsia" w:hAnsiTheme="minorHAnsi"/>
                <w:b w:val="0"/>
                <w:color w:val="auto"/>
                <w:sz w:val="22"/>
                <w:lang w:eastAsia="en-AU"/>
              </w:rPr>
              <w:tab/>
            </w:r>
            <w:r w:rsidR="00533BA4" w:rsidRPr="00EC534B">
              <w:rPr>
                <w:rStyle w:val="Hyperlink"/>
              </w:rPr>
              <w:t>AER’s assessment approach</w:t>
            </w:r>
            <w:r w:rsidR="00533BA4">
              <w:rPr>
                <w:webHidden/>
              </w:rPr>
              <w:tab/>
            </w:r>
            <w:r w:rsidR="00533BA4">
              <w:rPr>
                <w:webHidden/>
              </w:rPr>
              <w:fldChar w:fldCharType="begin"/>
            </w:r>
            <w:r w:rsidR="00533BA4">
              <w:rPr>
                <w:webHidden/>
              </w:rPr>
              <w:instrText xml:space="preserve"> PAGEREF _Toc420330937 \h </w:instrText>
            </w:r>
            <w:r w:rsidR="00533BA4">
              <w:rPr>
                <w:webHidden/>
              </w:rPr>
            </w:r>
            <w:r w:rsidR="00533BA4">
              <w:rPr>
                <w:webHidden/>
              </w:rPr>
              <w:fldChar w:fldCharType="separate"/>
            </w:r>
            <w:r>
              <w:rPr>
                <w:webHidden/>
              </w:rPr>
              <w:t>4-8</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38" w:history="1">
            <w:r w:rsidR="00533BA4" w:rsidRPr="00EC534B">
              <w:rPr>
                <w:rStyle w:val="Hyperlink"/>
              </w:rPr>
              <w:t>4.4</w:t>
            </w:r>
            <w:r w:rsidR="00533BA4">
              <w:rPr>
                <w:rFonts w:asciiTheme="minorHAnsi" w:eastAsiaTheme="minorEastAsia" w:hAnsiTheme="minorHAnsi"/>
                <w:b w:val="0"/>
                <w:color w:val="auto"/>
                <w:sz w:val="22"/>
                <w:lang w:eastAsia="en-AU"/>
              </w:rPr>
              <w:tab/>
            </w:r>
            <w:r w:rsidR="00533BA4" w:rsidRPr="00EC534B">
              <w:rPr>
                <w:rStyle w:val="Hyperlink"/>
              </w:rPr>
              <w:t>Reasons for final decision</w:t>
            </w:r>
            <w:r w:rsidR="00533BA4">
              <w:rPr>
                <w:webHidden/>
              </w:rPr>
              <w:tab/>
            </w:r>
            <w:r w:rsidR="00533BA4">
              <w:rPr>
                <w:webHidden/>
              </w:rPr>
              <w:fldChar w:fldCharType="begin"/>
            </w:r>
            <w:r w:rsidR="00533BA4">
              <w:rPr>
                <w:webHidden/>
              </w:rPr>
              <w:instrText xml:space="preserve"> PAGEREF _Toc420330938 \h </w:instrText>
            </w:r>
            <w:r w:rsidR="00533BA4">
              <w:rPr>
                <w:webHidden/>
              </w:rPr>
            </w:r>
            <w:r w:rsidR="00533BA4">
              <w:rPr>
                <w:webHidden/>
              </w:rPr>
              <w:fldChar w:fldCharType="separate"/>
            </w:r>
            <w:r>
              <w:rPr>
                <w:webHidden/>
              </w:rPr>
              <w:t>4-15</w:t>
            </w:r>
            <w:r w:rsidR="00533BA4">
              <w:rPr>
                <w:webHidden/>
              </w:rPr>
              <w:fldChar w:fldCharType="end"/>
            </w:r>
          </w:hyperlink>
        </w:p>
        <w:p w:rsidR="00533BA4" w:rsidRDefault="008B5404">
          <w:pPr>
            <w:pStyle w:val="TOC1"/>
            <w:rPr>
              <w:rFonts w:asciiTheme="minorHAnsi" w:eastAsiaTheme="minorEastAsia" w:hAnsiTheme="minorHAnsi"/>
              <w:b w:val="0"/>
              <w:color w:val="auto"/>
              <w:sz w:val="22"/>
              <w:lang w:val="en-AU" w:eastAsia="en-AU"/>
            </w:rPr>
          </w:pPr>
          <w:hyperlink w:anchor="_Toc420330939" w:history="1">
            <w:r w:rsidR="00533BA4" w:rsidRPr="00EC534B">
              <w:rPr>
                <w:rStyle w:val="Hyperlink"/>
              </w:rPr>
              <w:t>A</w:t>
            </w:r>
            <w:r w:rsidR="00533BA4">
              <w:rPr>
                <w:rFonts w:asciiTheme="minorHAnsi" w:eastAsiaTheme="minorEastAsia" w:hAnsiTheme="minorHAnsi"/>
                <w:b w:val="0"/>
                <w:color w:val="auto"/>
                <w:sz w:val="22"/>
                <w:lang w:val="en-AU" w:eastAsia="en-AU"/>
              </w:rPr>
              <w:tab/>
            </w:r>
            <w:r w:rsidR="00533BA4" w:rsidRPr="00EC534B">
              <w:rPr>
                <w:rStyle w:val="Hyperlink"/>
              </w:rPr>
              <w:t>Value of imputation credits: Detailed analysis</w:t>
            </w:r>
            <w:r w:rsidR="00533BA4">
              <w:rPr>
                <w:webHidden/>
              </w:rPr>
              <w:tab/>
            </w:r>
            <w:r w:rsidR="00533BA4">
              <w:rPr>
                <w:webHidden/>
              </w:rPr>
              <w:fldChar w:fldCharType="begin"/>
            </w:r>
            <w:r w:rsidR="00533BA4">
              <w:rPr>
                <w:webHidden/>
              </w:rPr>
              <w:instrText xml:space="preserve"> PAGEREF _Toc420330939 \h </w:instrText>
            </w:r>
            <w:r w:rsidR="00533BA4">
              <w:rPr>
                <w:webHidden/>
              </w:rPr>
            </w:r>
            <w:r w:rsidR="00533BA4">
              <w:rPr>
                <w:webHidden/>
              </w:rPr>
              <w:fldChar w:fldCharType="separate"/>
            </w:r>
            <w:r>
              <w:rPr>
                <w:webHidden/>
              </w:rPr>
              <w:t>4-30</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0" w:history="1">
            <w:r w:rsidR="00533BA4" w:rsidRPr="00EC534B">
              <w:rPr>
                <w:rStyle w:val="Hyperlink"/>
              </w:rPr>
              <w:t>A.1</w:t>
            </w:r>
            <w:r w:rsidR="00533BA4">
              <w:rPr>
                <w:rFonts w:asciiTheme="minorHAnsi" w:eastAsiaTheme="minorEastAsia" w:hAnsiTheme="minorHAnsi"/>
                <w:b w:val="0"/>
                <w:color w:val="auto"/>
                <w:sz w:val="22"/>
                <w:lang w:eastAsia="en-AU"/>
              </w:rPr>
              <w:tab/>
            </w:r>
            <w:r w:rsidR="00533BA4" w:rsidRPr="00EC534B">
              <w:rPr>
                <w:rStyle w:val="Hyperlink"/>
              </w:rPr>
              <w:t>Expert views on the value of imputation credits</w:t>
            </w:r>
            <w:r w:rsidR="00533BA4">
              <w:rPr>
                <w:webHidden/>
              </w:rPr>
              <w:tab/>
            </w:r>
            <w:r w:rsidR="00533BA4">
              <w:rPr>
                <w:webHidden/>
              </w:rPr>
              <w:fldChar w:fldCharType="begin"/>
            </w:r>
            <w:r w:rsidR="00533BA4">
              <w:rPr>
                <w:webHidden/>
              </w:rPr>
              <w:instrText xml:space="preserve"> PAGEREF _Toc420330940 \h </w:instrText>
            </w:r>
            <w:r w:rsidR="00533BA4">
              <w:rPr>
                <w:webHidden/>
              </w:rPr>
            </w:r>
            <w:r w:rsidR="00533BA4">
              <w:rPr>
                <w:webHidden/>
              </w:rPr>
              <w:fldChar w:fldCharType="separate"/>
            </w:r>
            <w:r>
              <w:rPr>
                <w:webHidden/>
              </w:rPr>
              <w:t>4-30</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1" w:history="1">
            <w:r w:rsidR="00533BA4" w:rsidRPr="00EC534B">
              <w:rPr>
                <w:rStyle w:val="Hyperlink"/>
              </w:rPr>
              <w:t>A.2</w:t>
            </w:r>
            <w:r w:rsidR="00533BA4">
              <w:rPr>
                <w:rFonts w:asciiTheme="minorHAnsi" w:eastAsiaTheme="minorEastAsia" w:hAnsiTheme="minorHAnsi"/>
                <w:b w:val="0"/>
                <w:color w:val="auto"/>
                <w:sz w:val="22"/>
                <w:lang w:eastAsia="en-AU"/>
              </w:rPr>
              <w:tab/>
            </w:r>
            <w:r w:rsidR="00533BA4" w:rsidRPr="00EC534B">
              <w:rPr>
                <w:rStyle w:val="Hyperlink"/>
              </w:rPr>
              <w:t>The value of imputation credits used by other regulators</w:t>
            </w:r>
            <w:r w:rsidR="00533BA4">
              <w:rPr>
                <w:webHidden/>
              </w:rPr>
              <w:tab/>
            </w:r>
            <w:r w:rsidR="00533BA4">
              <w:rPr>
                <w:webHidden/>
              </w:rPr>
              <w:fldChar w:fldCharType="begin"/>
            </w:r>
            <w:r w:rsidR="00533BA4">
              <w:rPr>
                <w:webHidden/>
              </w:rPr>
              <w:instrText xml:space="preserve"> PAGEREF _Toc420330941 \h </w:instrText>
            </w:r>
            <w:r w:rsidR="00533BA4">
              <w:rPr>
                <w:webHidden/>
              </w:rPr>
            </w:r>
            <w:r w:rsidR="00533BA4">
              <w:rPr>
                <w:webHidden/>
              </w:rPr>
              <w:fldChar w:fldCharType="separate"/>
            </w:r>
            <w:r>
              <w:rPr>
                <w:webHidden/>
              </w:rPr>
              <w:t>4-32</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2" w:history="1">
            <w:r w:rsidR="00533BA4" w:rsidRPr="00EC534B">
              <w:rPr>
                <w:rStyle w:val="Hyperlink"/>
              </w:rPr>
              <w:t>A.3</w:t>
            </w:r>
            <w:r w:rsidR="00533BA4">
              <w:rPr>
                <w:rFonts w:asciiTheme="minorHAnsi" w:eastAsiaTheme="minorEastAsia" w:hAnsiTheme="minorHAnsi"/>
                <w:b w:val="0"/>
                <w:color w:val="auto"/>
                <w:sz w:val="22"/>
                <w:lang w:eastAsia="en-AU"/>
              </w:rPr>
              <w:tab/>
            </w:r>
            <w:r w:rsidR="00533BA4" w:rsidRPr="00EC534B">
              <w:rPr>
                <w:rStyle w:val="Hyperlink"/>
              </w:rPr>
              <w:t>Previous Australian Competition Tribunal considerations</w:t>
            </w:r>
            <w:r w:rsidR="00533BA4">
              <w:rPr>
                <w:webHidden/>
              </w:rPr>
              <w:tab/>
            </w:r>
            <w:r w:rsidR="00533BA4">
              <w:rPr>
                <w:webHidden/>
              </w:rPr>
              <w:fldChar w:fldCharType="begin"/>
            </w:r>
            <w:r w:rsidR="00533BA4">
              <w:rPr>
                <w:webHidden/>
              </w:rPr>
              <w:instrText xml:space="preserve"> PAGEREF _Toc420330942 \h </w:instrText>
            </w:r>
            <w:r w:rsidR="00533BA4">
              <w:rPr>
                <w:webHidden/>
              </w:rPr>
            </w:r>
            <w:r w:rsidR="00533BA4">
              <w:rPr>
                <w:webHidden/>
              </w:rPr>
              <w:fldChar w:fldCharType="separate"/>
            </w:r>
            <w:r>
              <w:rPr>
                <w:webHidden/>
              </w:rPr>
              <w:t>4-33</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3" w:history="1">
            <w:r w:rsidR="00533BA4" w:rsidRPr="00EC534B">
              <w:rPr>
                <w:rStyle w:val="Hyperlink"/>
              </w:rPr>
              <w:t>A.4</w:t>
            </w:r>
            <w:r w:rsidR="00533BA4">
              <w:rPr>
                <w:rFonts w:asciiTheme="minorHAnsi" w:eastAsiaTheme="minorEastAsia" w:hAnsiTheme="minorHAnsi"/>
                <w:b w:val="0"/>
                <w:color w:val="auto"/>
                <w:sz w:val="22"/>
                <w:lang w:eastAsia="en-AU"/>
              </w:rPr>
              <w:tab/>
            </w:r>
            <w:r w:rsidR="00533BA4" w:rsidRPr="00EC534B">
              <w:rPr>
                <w:rStyle w:val="Hyperlink"/>
              </w:rPr>
              <w:t>Key concerns of the service providers</w:t>
            </w:r>
            <w:r w:rsidR="00533BA4">
              <w:rPr>
                <w:webHidden/>
              </w:rPr>
              <w:tab/>
            </w:r>
            <w:r w:rsidR="00533BA4">
              <w:rPr>
                <w:webHidden/>
              </w:rPr>
              <w:fldChar w:fldCharType="begin"/>
            </w:r>
            <w:r w:rsidR="00533BA4">
              <w:rPr>
                <w:webHidden/>
              </w:rPr>
              <w:instrText xml:space="preserve"> PAGEREF _Toc420330943 \h </w:instrText>
            </w:r>
            <w:r w:rsidR="00533BA4">
              <w:rPr>
                <w:webHidden/>
              </w:rPr>
            </w:r>
            <w:r w:rsidR="00533BA4">
              <w:rPr>
                <w:webHidden/>
              </w:rPr>
              <w:fldChar w:fldCharType="separate"/>
            </w:r>
            <w:r>
              <w:rPr>
                <w:webHidden/>
              </w:rPr>
              <w:t>4-39</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4" w:history="1">
            <w:r w:rsidR="00533BA4" w:rsidRPr="00EC534B">
              <w:rPr>
                <w:rStyle w:val="Hyperlink"/>
              </w:rPr>
              <w:t>A.5</w:t>
            </w:r>
            <w:r w:rsidR="00533BA4">
              <w:rPr>
                <w:rFonts w:asciiTheme="minorHAnsi" w:eastAsiaTheme="minorEastAsia" w:hAnsiTheme="minorHAnsi"/>
                <w:b w:val="0"/>
                <w:color w:val="auto"/>
                <w:sz w:val="22"/>
                <w:lang w:eastAsia="en-AU"/>
              </w:rPr>
              <w:tab/>
            </w:r>
            <w:r w:rsidR="00533BA4" w:rsidRPr="00EC534B">
              <w:rPr>
                <w:rStyle w:val="Hyperlink"/>
              </w:rPr>
              <w:t>The role of the value of imputation credits in the regulatory framework</w:t>
            </w:r>
            <w:r w:rsidR="00533BA4">
              <w:rPr>
                <w:webHidden/>
              </w:rPr>
              <w:tab/>
            </w:r>
            <w:r w:rsidR="00533BA4">
              <w:rPr>
                <w:webHidden/>
              </w:rPr>
              <w:fldChar w:fldCharType="begin"/>
            </w:r>
            <w:r w:rsidR="00533BA4">
              <w:rPr>
                <w:webHidden/>
              </w:rPr>
              <w:instrText xml:space="preserve"> PAGEREF _Toc420330944 \h </w:instrText>
            </w:r>
            <w:r w:rsidR="00533BA4">
              <w:rPr>
                <w:webHidden/>
              </w:rPr>
            </w:r>
            <w:r w:rsidR="00533BA4">
              <w:rPr>
                <w:webHidden/>
              </w:rPr>
              <w:fldChar w:fldCharType="separate"/>
            </w:r>
            <w:r>
              <w:rPr>
                <w:webHidden/>
              </w:rPr>
              <w:t>4-40</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5" w:history="1">
            <w:r w:rsidR="00533BA4" w:rsidRPr="00EC534B">
              <w:rPr>
                <w:rStyle w:val="Hyperlink"/>
              </w:rPr>
              <w:t>A.6</w:t>
            </w:r>
            <w:r w:rsidR="00533BA4">
              <w:rPr>
                <w:rFonts w:asciiTheme="minorHAnsi" w:eastAsiaTheme="minorEastAsia" w:hAnsiTheme="minorHAnsi"/>
                <w:b w:val="0"/>
                <w:color w:val="auto"/>
                <w:sz w:val="22"/>
                <w:lang w:eastAsia="en-AU"/>
              </w:rPr>
              <w:tab/>
            </w:r>
            <w:r w:rsidR="00533BA4" w:rsidRPr="00EC534B">
              <w:rPr>
                <w:rStyle w:val="Hyperlink"/>
              </w:rPr>
              <w:t>The conceptual framework for the value of imputation credits</w:t>
            </w:r>
            <w:r w:rsidR="00533BA4">
              <w:rPr>
                <w:webHidden/>
              </w:rPr>
              <w:tab/>
            </w:r>
            <w:r w:rsidR="00533BA4">
              <w:rPr>
                <w:webHidden/>
              </w:rPr>
              <w:fldChar w:fldCharType="begin"/>
            </w:r>
            <w:r w:rsidR="00533BA4">
              <w:rPr>
                <w:webHidden/>
              </w:rPr>
              <w:instrText xml:space="preserve"> PAGEREF _Toc420330945 \h </w:instrText>
            </w:r>
            <w:r w:rsidR="00533BA4">
              <w:rPr>
                <w:webHidden/>
              </w:rPr>
            </w:r>
            <w:r w:rsidR="00533BA4">
              <w:rPr>
                <w:webHidden/>
              </w:rPr>
              <w:fldChar w:fldCharType="separate"/>
            </w:r>
            <w:r>
              <w:rPr>
                <w:webHidden/>
              </w:rPr>
              <w:t>4-42</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6" w:history="1">
            <w:r w:rsidR="00533BA4" w:rsidRPr="00EC534B">
              <w:rPr>
                <w:rStyle w:val="Hyperlink"/>
              </w:rPr>
              <w:t>A.7</w:t>
            </w:r>
            <w:r w:rsidR="00533BA4">
              <w:rPr>
                <w:rFonts w:asciiTheme="minorHAnsi" w:eastAsiaTheme="minorEastAsia" w:hAnsiTheme="minorHAnsi"/>
                <w:b w:val="0"/>
                <w:color w:val="auto"/>
                <w:sz w:val="22"/>
                <w:lang w:eastAsia="en-AU"/>
              </w:rPr>
              <w:tab/>
            </w:r>
            <w:r w:rsidR="00533BA4" w:rsidRPr="00EC534B">
              <w:rPr>
                <w:rStyle w:val="Hyperlink"/>
              </w:rPr>
              <w:t>SFG's comments on the conceptual framework</w:t>
            </w:r>
            <w:r w:rsidR="00533BA4">
              <w:rPr>
                <w:webHidden/>
              </w:rPr>
              <w:tab/>
            </w:r>
            <w:r w:rsidR="00533BA4">
              <w:rPr>
                <w:webHidden/>
              </w:rPr>
              <w:fldChar w:fldCharType="begin"/>
            </w:r>
            <w:r w:rsidR="00533BA4">
              <w:rPr>
                <w:webHidden/>
              </w:rPr>
              <w:instrText xml:space="preserve"> PAGEREF _Toc420330946 \h </w:instrText>
            </w:r>
            <w:r w:rsidR="00533BA4">
              <w:rPr>
                <w:webHidden/>
              </w:rPr>
            </w:r>
            <w:r w:rsidR="00533BA4">
              <w:rPr>
                <w:webHidden/>
              </w:rPr>
              <w:fldChar w:fldCharType="separate"/>
            </w:r>
            <w:r>
              <w:rPr>
                <w:webHidden/>
              </w:rPr>
              <w:t>4-45</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7" w:history="1">
            <w:r w:rsidR="00533BA4" w:rsidRPr="00EC534B">
              <w:rPr>
                <w:rStyle w:val="Hyperlink"/>
              </w:rPr>
              <w:t>A.8</w:t>
            </w:r>
            <w:r w:rsidR="00533BA4">
              <w:rPr>
                <w:rFonts w:asciiTheme="minorHAnsi" w:eastAsiaTheme="minorEastAsia" w:hAnsiTheme="minorHAnsi"/>
                <w:b w:val="0"/>
                <w:color w:val="auto"/>
                <w:sz w:val="22"/>
                <w:lang w:eastAsia="en-AU"/>
              </w:rPr>
              <w:tab/>
            </w:r>
            <w:r w:rsidR="00533BA4" w:rsidRPr="00EC534B">
              <w:rPr>
                <w:rStyle w:val="Hyperlink"/>
              </w:rPr>
              <w:t>Further issues relating to the utilisation rate</w:t>
            </w:r>
            <w:r w:rsidR="00533BA4">
              <w:rPr>
                <w:webHidden/>
              </w:rPr>
              <w:tab/>
            </w:r>
            <w:r w:rsidR="00533BA4">
              <w:rPr>
                <w:webHidden/>
              </w:rPr>
              <w:fldChar w:fldCharType="begin"/>
            </w:r>
            <w:r w:rsidR="00533BA4">
              <w:rPr>
                <w:webHidden/>
              </w:rPr>
              <w:instrText xml:space="preserve"> PAGEREF _Toc420330947 \h </w:instrText>
            </w:r>
            <w:r w:rsidR="00533BA4">
              <w:rPr>
                <w:webHidden/>
              </w:rPr>
            </w:r>
            <w:r w:rsidR="00533BA4">
              <w:rPr>
                <w:webHidden/>
              </w:rPr>
              <w:fldChar w:fldCharType="separate"/>
            </w:r>
            <w:r>
              <w:rPr>
                <w:webHidden/>
              </w:rPr>
              <w:t>4-51</w:t>
            </w:r>
            <w:r w:rsidR="00533BA4">
              <w:rPr>
                <w:webHidden/>
              </w:rPr>
              <w:fldChar w:fldCharType="end"/>
            </w:r>
          </w:hyperlink>
        </w:p>
        <w:p w:rsidR="00533BA4" w:rsidRDefault="008B5404">
          <w:pPr>
            <w:pStyle w:val="TOC2"/>
            <w:rPr>
              <w:rFonts w:asciiTheme="minorHAnsi" w:eastAsiaTheme="minorEastAsia" w:hAnsiTheme="minorHAnsi"/>
              <w:b w:val="0"/>
              <w:color w:val="auto"/>
              <w:sz w:val="22"/>
              <w:lang w:eastAsia="en-AU"/>
            </w:rPr>
          </w:pPr>
          <w:hyperlink w:anchor="_Toc420330948" w:history="1">
            <w:r w:rsidR="00533BA4" w:rsidRPr="00EC534B">
              <w:rPr>
                <w:rStyle w:val="Hyperlink"/>
              </w:rPr>
              <w:t>A.9</w:t>
            </w:r>
            <w:r w:rsidR="00533BA4">
              <w:rPr>
                <w:rFonts w:asciiTheme="minorHAnsi" w:eastAsiaTheme="minorEastAsia" w:hAnsiTheme="minorHAnsi"/>
                <w:b w:val="0"/>
                <w:color w:val="auto"/>
                <w:sz w:val="22"/>
                <w:lang w:eastAsia="en-AU"/>
              </w:rPr>
              <w:tab/>
            </w:r>
            <w:r w:rsidR="00533BA4" w:rsidRPr="00EC534B">
              <w:rPr>
                <w:rStyle w:val="Hyperlink"/>
              </w:rPr>
              <w:t>Estimation approach considerations</w:t>
            </w:r>
            <w:r w:rsidR="00533BA4">
              <w:rPr>
                <w:webHidden/>
              </w:rPr>
              <w:tab/>
            </w:r>
            <w:r w:rsidR="00533BA4">
              <w:rPr>
                <w:webHidden/>
              </w:rPr>
              <w:fldChar w:fldCharType="begin"/>
            </w:r>
            <w:r w:rsidR="00533BA4">
              <w:rPr>
                <w:webHidden/>
              </w:rPr>
              <w:instrText xml:space="preserve"> PAGEREF _Toc420330948 \h </w:instrText>
            </w:r>
            <w:r w:rsidR="00533BA4">
              <w:rPr>
                <w:webHidden/>
              </w:rPr>
            </w:r>
            <w:r w:rsidR="00533BA4">
              <w:rPr>
                <w:webHidden/>
              </w:rPr>
              <w:fldChar w:fldCharType="separate"/>
            </w:r>
            <w:r>
              <w:rPr>
                <w:webHidden/>
              </w:rPr>
              <w:t>4-63</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49" w:history="1">
            <w:r w:rsidR="00533BA4" w:rsidRPr="00EC534B">
              <w:rPr>
                <w:rStyle w:val="Hyperlink"/>
              </w:rPr>
              <w:t>A.10</w:t>
            </w:r>
            <w:r w:rsidR="00533BA4">
              <w:rPr>
                <w:rFonts w:asciiTheme="minorHAnsi" w:eastAsiaTheme="minorEastAsia" w:hAnsiTheme="minorHAnsi"/>
                <w:b w:val="0"/>
                <w:color w:val="auto"/>
                <w:sz w:val="22"/>
                <w:lang w:eastAsia="en-AU"/>
              </w:rPr>
              <w:tab/>
            </w:r>
            <w:r w:rsidR="00533BA4" w:rsidRPr="00EC534B">
              <w:rPr>
                <w:rStyle w:val="Hyperlink"/>
              </w:rPr>
              <w:t>Estimating the distribution rate</w:t>
            </w:r>
            <w:r w:rsidR="00533BA4">
              <w:rPr>
                <w:webHidden/>
              </w:rPr>
              <w:tab/>
            </w:r>
            <w:r w:rsidR="00533BA4">
              <w:rPr>
                <w:webHidden/>
              </w:rPr>
              <w:fldChar w:fldCharType="begin"/>
            </w:r>
            <w:r w:rsidR="00533BA4">
              <w:rPr>
                <w:webHidden/>
              </w:rPr>
              <w:instrText xml:space="preserve"> PAGEREF _Toc420330949 \h </w:instrText>
            </w:r>
            <w:r w:rsidR="00533BA4">
              <w:rPr>
                <w:webHidden/>
              </w:rPr>
            </w:r>
            <w:r w:rsidR="00533BA4">
              <w:rPr>
                <w:webHidden/>
              </w:rPr>
              <w:fldChar w:fldCharType="separate"/>
            </w:r>
            <w:r>
              <w:rPr>
                <w:webHidden/>
              </w:rPr>
              <w:t>4-65</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50" w:history="1">
            <w:r w:rsidR="00533BA4" w:rsidRPr="00EC534B">
              <w:rPr>
                <w:rStyle w:val="Hyperlink"/>
              </w:rPr>
              <w:t>A.11</w:t>
            </w:r>
            <w:r w:rsidR="00533BA4">
              <w:rPr>
                <w:rFonts w:asciiTheme="minorHAnsi" w:eastAsiaTheme="minorEastAsia" w:hAnsiTheme="minorHAnsi"/>
                <w:b w:val="0"/>
                <w:color w:val="auto"/>
                <w:sz w:val="22"/>
                <w:lang w:eastAsia="en-AU"/>
              </w:rPr>
              <w:tab/>
            </w:r>
            <w:r w:rsidR="00533BA4" w:rsidRPr="00EC534B">
              <w:rPr>
                <w:rStyle w:val="Hyperlink"/>
              </w:rPr>
              <w:t>Application of rate of return criteria to evidence on the utilisation rate</w:t>
            </w:r>
            <w:r w:rsidR="00533BA4">
              <w:rPr>
                <w:webHidden/>
              </w:rPr>
              <w:tab/>
            </w:r>
            <w:r w:rsidR="00533BA4">
              <w:rPr>
                <w:webHidden/>
              </w:rPr>
              <w:fldChar w:fldCharType="begin"/>
            </w:r>
            <w:r w:rsidR="00533BA4">
              <w:rPr>
                <w:webHidden/>
              </w:rPr>
              <w:instrText xml:space="preserve"> PAGEREF _Toc420330950 \h </w:instrText>
            </w:r>
            <w:r w:rsidR="00533BA4">
              <w:rPr>
                <w:webHidden/>
              </w:rPr>
            </w:r>
            <w:r w:rsidR="00533BA4">
              <w:rPr>
                <w:webHidden/>
              </w:rPr>
              <w:fldChar w:fldCharType="separate"/>
            </w:r>
            <w:r>
              <w:rPr>
                <w:webHidden/>
              </w:rPr>
              <w:t>4-70</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51" w:history="1">
            <w:r w:rsidR="00533BA4" w:rsidRPr="00EC534B">
              <w:rPr>
                <w:rStyle w:val="Hyperlink"/>
              </w:rPr>
              <w:t>A.12</w:t>
            </w:r>
            <w:r w:rsidR="00533BA4">
              <w:rPr>
                <w:rFonts w:asciiTheme="minorHAnsi" w:eastAsiaTheme="minorEastAsia" w:hAnsiTheme="minorHAnsi"/>
                <w:b w:val="0"/>
                <w:color w:val="auto"/>
                <w:sz w:val="22"/>
                <w:lang w:eastAsia="en-AU"/>
              </w:rPr>
              <w:tab/>
            </w:r>
            <w:r w:rsidR="00533BA4" w:rsidRPr="00EC534B">
              <w:rPr>
                <w:rStyle w:val="Hyperlink"/>
              </w:rPr>
              <w:t>The equity ownership approach</w:t>
            </w:r>
            <w:r w:rsidR="00533BA4">
              <w:rPr>
                <w:webHidden/>
              </w:rPr>
              <w:tab/>
            </w:r>
            <w:r w:rsidR="00533BA4">
              <w:rPr>
                <w:webHidden/>
              </w:rPr>
              <w:fldChar w:fldCharType="begin"/>
            </w:r>
            <w:r w:rsidR="00533BA4">
              <w:rPr>
                <w:webHidden/>
              </w:rPr>
              <w:instrText xml:space="preserve"> PAGEREF _Toc420330951 \h </w:instrText>
            </w:r>
            <w:r w:rsidR="00533BA4">
              <w:rPr>
                <w:webHidden/>
              </w:rPr>
            </w:r>
            <w:r w:rsidR="00533BA4">
              <w:rPr>
                <w:webHidden/>
              </w:rPr>
              <w:fldChar w:fldCharType="separate"/>
            </w:r>
            <w:r>
              <w:rPr>
                <w:webHidden/>
              </w:rPr>
              <w:t>4-73</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52" w:history="1">
            <w:r w:rsidR="00533BA4" w:rsidRPr="00EC534B">
              <w:rPr>
                <w:rStyle w:val="Hyperlink"/>
              </w:rPr>
              <w:t>A.13</w:t>
            </w:r>
            <w:r w:rsidR="00533BA4">
              <w:rPr>
                <w:rFonts w:asciiTheme="minorHAnsi" w:eastAsiaTheme="minorEastAsia" w:hAnsiTheme="minorHAnsi"/>
                <w:b w:val="0"/>
                <w:color w:val="auto"/>
                <w:sz w:val="22"/>
                <w:lang w:eastAsia="en-AU"/>
              </w:rPr>
              <w:tab/>
            </w:r>
            <w:r w:rsidR="00533BA4" w:rsidRPr="00EC534B">
              <w:rPr>
                <w:rStyle w:val="Hyperlink"/>
              </w:rPr>
              <w:t>Tax statistics</w:t>
            </w:r>
            <w:r w:rsidR="00533BA4">
              <w:rPr>
                <w:webHidden/>
              </w:rPr>
              <w:tab/>
            </w:r>
            <w:r w:rsidR="00533BA4">
              <w:rPr>
                <w:webHidden/>
              </w:rPr>
              <w:fldChar w:fldCharType="begin"/>
            </w:r>
            <w:r w:rsidR="00533BA4">
              <w:rPr>
                <w:webHidden/>
              </w:rPr>
              <w:instrText xml:space="preserve"> PAGEREF _Toc420330952 \h </w:instrText>
            </w:r>
            <w:r w:rsidR="00533BA4">
              <w:rPr>
                <w:webHidden/>
              </w:rPr>
            </w:r>
            <w:r w:rsidR="00533BA4">
              <w:rPr>
                <w:webHidden/>
              </w:rPr>
              <w:fldChar w:fldCharType="separate"/>
            </w:r>
            <w:r>
              <w:rPr>
                <w:webHidden/>
              </w:rPr>
              <w:t>4-76</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53" w:history="1">
            <w:r w:rsidR="00533BA4" w:rsidRPr="00EC534B">
              <w:rPr>
                <w:rStyle w:val="Hyperlink"/>
              </w:rPr>
              <w:t>A.14</w:t>
            </w:r>
            <w:r w:rsidR="00533BA4">
              <w:rPr>
                <w:rFonts w:asciiTheme="minorHAnsi" w:eastAsiaTheme="minorEastAsia" w:hAnsiTheme="minorHAnsi"/>
                <w:b w:val="0"/>
                <w:color w:val="auto"/>
                <w:sz w:val="22"/>
                <w:lang w:eastAsia="en-AU"/>
              </w:rPr>
              <w:tab/>
            </w:r>
            <w:r w:rsidR="00533BA4" w:rsidRPr="00EC534B">
              <w:rPr>
                <w:rStyle w:val="Hyperlink"/>
              </w:rPr>
              <w:t>Implied market value studies</w:t>
            </w:r>
            <w:r w:rsidR="00533BA4">
              <w:rPr>
                <w:webHidden/>
              </w:rPr>
              <w:tab/>
            </w:r>
            <w:r w:rsidR="00533BA4">
              <w:rPr>
                <w:webHidden/>
              </w:rPr>
              <w:fldChar w:fldCharType="begin"/>
            </w:r>
            <w:r w:rsidR="00533BA4">
              <w:rPr>
                <w:webHidden/>
              </w:rPr>
              <w:instrText xml:space="preserve"> PAGEREF _Toc420330953 \h </w:instrText>
            </w:r>
            <w:r w:rsidR="00533BA4">
              <w:rPr>
                <w:webHidden/>
              </w:rPr>
            </w:r>
            <w:r w:rsidR="00533BA4">
              <w:rPr>
                <w:webHidden/>
              </w:rPr>
              <w:fldChar w:fldCharType="separate"/>
            </w:r>
            <w:r>
              <w:rPr>
                <w:webHidden/>
              </w:rPr>
              <w:t>4-78</w:t>
            </w:r>
            <w:r w:rsidR="00533BA4">
              <w:rPr>
                <w:webHidden/>
              </w:rPr>
              <w:fldChar w:fldCharType="end"/>
            </w:r>
          </w:hyperlink>
        </w:p>
        <w:p w:rsidR="00533BA4" w:rsidRDefault="008B5404">
          <w:pPr>
            <w:pStyle w:val="TOC2"/>
            <w:tabs>
              <w:tab w:val="left" w:pos="1276"/>
            </w:tabs>
            <w:rPr>
              <w:rFonts w:asciiTheme="minorHAnsi" w:eastAsiaTheme="minorEastAsia" w:hAnsiTheme="minorHAnsi"/>
              <w:b w:val="0"/>
              <w:color w:val="auto"/>
              <w:sz w:val="22"/>
              <w:lang w:eastAsia="en-AU"/>
            </w:rPr>
          </w:pPr>
          <w:hyperlink w:anchor="_Toc420330954" w:history="1">
            <w:r w:rsidR="00533BA4" w:rsidRPr="00EC534B">
              <w:rPr>
                <w:rStyle w:val="Hyperlink"/>
              </w:rPr>
              <w:t>A.15</w:t>
            </w:r>
            <w:r w:rsidR="00533BA4">
              <w:rPr>
                <w:rFonts w:asciiTheme="minorHAnsi" w:eastAsiaTheme="minorEastAsia" w:hAnsiTheme="minorHAnsi"/>
                <w:b w:val="0"/>
                <w:color w:val="auto"/>
                <w:sz w:val="22"/>
                <w:lang w:eastAsia="en-AU"/>
              </w:rPr>
              <w:tab/>
            </w:r>
            <w:r w:rsidR="00533BA4" w:rsidRPr="00EC534B">
              <w:rPr>
                <w:rStyle w:val="Hyperlink"/>
              </w:rPr>
              <w:t>Revised consideration of the conceptual goalposts approach</w:t>
            </w:r>
            <w:r w:rsidR="00533BA4">
              <w:rPr>
                <w:webHidden/>
              </w:rPr>
              <w:tab/>
            </w:r>
            <w:r w:rsidR="00533BA4">
              <w:rPr>
                <w:webHidden/>
              </w:rPr>
              <w:fldChar w:fldCharType="begin"/>
            </w:r>
            <w:r w:rsidR="00533BA4">
              <w:rPr>
                <w:webHidden/>
              </w:rPr>
              <w:instrText xml:space="preserve"> PAGEREF _Toc420330954 \h </w:instrText>
            </w:r>
            <w:r w:rsidR="00533BA4">
              <w:rPr>
                <w:webHidden/>
              </w:rPr>
            </w:r>
            <w:r w:rsidR="00533BA4">
              <w:rPr>
                <w:webHidden/>
              </w:rPr>
              <w:fldChar w:fldCharType="separate"/>
            </w:r>
            <w:r>
              <w:rPr>
                <w:webHidden/>
              </w:rPr>
              <w:t>4-94</w:t>
            </w:r>
            <w:r w:rsidR="00533BA4">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3D3D89" w:rsidRDefault="003D3D89" w:rsidP="003D3D89">
      <w:pPr>
        <w:pStyle w:val="UnnumberedHeading"/>
      </w:pPr>
      <w:bookmarkStart w:id="9" w:name="_Toc404700925"/>
      <w:bookmarkStart w:id="10" w:name="_Toc408493482"/>
      <w:bookmarkStart w:id="11" w:name="_Toc420330933"/>
      <w:r w:rsidRPr="003D3D89">
        <w:lastRenderedPageBreak/>
        <w:t>Shortened</w:t>
      </w:r>
      <w:r>
        <w:t xml:space="preserve"> forms</w:t>
      </w:r>
      <w:bookmarkEnd w:id="9"/>
      <w:bookmarkEnd w:id="10"/>
      <w:bookmarkEnd w:id="11"/>
    </w:p>
    <w:p w:rsidR="003D3D89" w:rsidRPr="00271F7C" w:rsidRDefault="003D3D89" w:rsidP="003D3D89">
      <w:pPr>
        <w:numPr>
          <w:ilvl w:val="0"/>
          <w:numId w:val="25"/>
        </w:numPr>
      </w:pPr>
    </w:p>
    <w:tbl>
      <w:tblPr>
        <w:tblStyle w:val="AERtable-numbers"/>
        <w:tblW w:w="0" w:type="auto"/>
        <w:tblLook w:val="04A0" w:firstRow="1" w:lastRow="0" w:firstColumn="1" w:lastColumn="0" w:noHBand="0" w:noVBand="1"/>
      </w:tblPr>
      <w:tblGrid>
        <w:gridCol w:w="3652"/>
        <w:gridCol w:w="5041"/>
      </w:tblGrid>
      <w:tr w:rsidR="003D3D89" w:rsidTr="00332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Shortened form</w:t>
            </w:r>
          </w:p>
        </w:tc>
        <w:tc>
          <w:tcPr>
            <w:tcW w:w="5041" w:type="dxa"/>
          </w:tcPr>
          <w:p w:rsidR="003D3D89" w:rsidRDefault="003D3D89" w:rsidP="003D3D89">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AER</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capex</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CAPM</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CCP</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Code</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CPI</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DRP</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ERP</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JGN</w:t>
            </w:r>
          </w:p>
        </w:tc>
        <w:tc>
          <w:tcPr>
            <w:tcW w:w="5041" w:type="dxa"/>
          </w:tcPr>
          <w:p w:rsidR="003D3D89" w:rsidRDefault="003D3D89" w:rsidP="00B776F2">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B776F2">
              <w:t>C</w:t>
            </w:r>
            <w:r>
              <w:t>N 003 004 322)</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MRP</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NGL</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NGO</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NGR</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opex</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PPI</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PTRM</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RAB</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RBA</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RFM</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RIN</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RPP</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3D3D89" w:rsidTr="0033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SLCAPM</w:t>
            </w:r>
          </w:p>
        </w:tc>
        <w:tc>
          <w:tcPr>
            <w:tcW w:w="5041" w:type="dxa"/>
          </w:tcPr>
          <w:p w:rsidR="003D3D89" w:rsidRDefault="003D3D89" w:rsidP="003D3D89">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D3D89" w:rsidTr="00332C7E">
        <w:tc>
          <w:tcPr>
            <w:cnfStyle w:val="001000000000" w:firstRow="0" w:lastRow="0" w:firstColumn="1" w:lastColumn="0" w:oddVBand="0" w:evenVBand="0" w:oddHBand="0" w:evenHBand="0" w:firstRowFirstColumn="0" w:firstRowLastColumn="0" w:lastRowFirstColumn="0" w:lastRowLastColumn="0"/>
            <w:tcW w:w="3652" w:type="dxa"/>
          </w:tcPr>
          <w:p w:rsidR="003D3D89" w:rsidRDefault="003D3D89" w:rsidP="003D3D89">
            <w:pPr>
              <w:numPr>
                <w:ilvl w:val="0"/>
                <w:numId w:val="25"/>
              </w:numPr>
            </w:pPr>
            <w:r>
              <w:t>WACC</w:t>
            </w:r>
          </w:p>
        </w:tc>
        <w:tc>
          <w:tcPr>
            <w:tcW w:w="5041" w:type="dxa"/>
          </w:tcPr>
          <w:p w:rsidR="003D3D89" w:rsidRDefault="003D3D89" w:rsidP="003D3D89">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2" w:name="_Toc420330934"/>
      <w:r>
        <w:lastRenderedPageBreak/>
        <w:t>Value of imputation credits</w:t>
      </w:r>
      <w:bookmarkEnd w:id="12"/>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841282">
        <w:t>JGN</w:t>
      </w:r>
      <w:r>
        <w:t xml:space="preserve">'s proposed value of imputation credits and the key reasons for its proposal. In appendix A, we include further supporting detail on our position on the value of imputation credits and also respond to </w:t>
      </w:r>
      <w:r w:rsidR="00841282">
        <w:t>JGN</w:t>
      </w:r>
      <w:r>
        <w:t xml:space="preserve">'s proposal in more detail. </w:t>
      </w:r>
    </w:p>
    <w:p w:rsidR="00DE563D" w:rsidRPr="001754EE" w:rsidRDefault="00415F31" w:rsidP="001754EE">
      <w:pPr>
        <w:pStyle w:val="Heading2"/>
      </w:pPr>
      <w:bookmarkStart w:id="13" w:name="_Toc403144136"/>
      <w:bookmarkStart w:id="14" w:name="_Toc420330935"/>
      <w:r w:rsidRPr="001754EE">
        <w:t>Final</w:t>
      </w:r>
      <w:r w:rsidR="00DE563D" w:rsidRPr="001754EE">
        <w:t xml:space="preserve"> decision</w:t>
      </w:r>
      <w:bookmarkEnd w:id="13"/>
      <w:bookmarkEnd w:id="14"/>
    </w:p>
    <w:p w:rsidR="00B776F2" w:rsidRPr="00B776F2" w:rsidRDefault="00AA4E4D" w:rsidP="00B776F2">
      <w:pPr>
        <w:numPr>
          <w:ilvl w:val="0"/>
          <w:numId w:val="25"/>
        </w:numPr>
      </w:pPr>
      <w:bookmarkStart w:id="15" w:name="_Toc403144137"/>
      <w:r>
        <w:t>We do not acce</w:t>
      </w:r>
      <w:r w:rsidR="00841282">
        <w:t>pt JGN</w:t>
      </w:r>
      <w:r>
        <w:t>'s proposed value of imputation credits of 0.25. Instead, we adopt a value of imputation credits of 0.4.</w:t>
      </w:r>
      <w:r w:rsidR="00B776F2">
        <w:t xml:space="preserve"> </w:t>
      </w:r>
      <w:r w:rsidR="00B776F2" w:rsidRPr="00B776F2">
        <w:t xml:space="preserve">We have made all revisions necessary to give effect to this final decision in the </w:t>
      </w:r>
      <w:r w:rsidR="00B776F2" w:rsidRPr="00B776F2">
        <w:rPr>
          <w:rStyle w:val="AERtextitalic"/>
        </w:rPr>
        <w:t>Approved Access Arrangement, JGN’s NSW distribution networks 1 July 2015 – 30 June 2020</w:t>
      </w:r>
      <w:r w:rsidR="00B776F2" w:rsidRPr="00B776F2">
        <w:t xml:space="preserve"> (</w:t>
      </w:r>
      <w:r w:rsidR="00B776F2">
        <w:t>June</w:t>
      </w:r>
      <w:r w:rsidR="00B776F2" w:rsidRPr="00B776F2">
        <w:t xml:space="preserve"> 2015).</w:t>
      </w:r>
      <w:r w:rsidR="00B776F2" w:rsidRPr="00B776F2">
        <w:rPr>
          <w:rStyle w:val="FootnoteReference"/>
        </w:rPr>
        <w:footnoteReference w:id="4"/>
      </w:r>
    </w:p>
    <w:p w:rsidR="002C233C" w:rsidRDefault="002C233C" w:rsidP="002C233C"/>
    <w:p w:rsidR="006F0FAC" w:rsidRDefault="006F0FAC" w:rsidP="006F0FAC">
      <w:pPr>
        <w:numPr>
          <w:ilvl w:val="0"/>
          <w:numId w:val="25"/>
        </w:numPr>
      </w:pPr>
      <w:r>
        <w:lastRenderedPageBreak/>
        <w:t>Estimating the value of imputation credits is a complex and imprecise task. There is no consensus among experts on the appropriate value or estimation techniques to use.</w:t>
      </w:r>
      <w:r>
        <w:rPr>
          <w:rStyle w:val="FootnoteReference"/>
        </w:rPr>
        <w:footnoteReference w:id="5"/>
      </w:r>
      <w:r>
        <w:t xml:space="preserve"> 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Pr>
          <w:rStyle w:val="FootnoteReference"/>
        </w:rPr>
        <w:footnoteReference w:id="6"/>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7"/>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841282" w:rsidP="001754EE">
      <w:pPr>
        <w:pStyle w:val="Heading2"/>
      </w:pPr>
      <w:bookmarkStart w:id="16" w:name="_Ref414621796"/>
      <w:bookmarkStart w:id="17" w:name="_Toc420330936"/>
      <w:r>
        <w:t>JGN</w:t>
      </w:r>
      <w:r w:rsidR="00415F31" w:rsidRPr="001754EE">
        <w:t>’s revised</w:t>
      </w:r>
      <w:r w:rsidR="00DE563D" w:rsidRPr="001754EE">
        <w:t xml:space="preserve"> proposal</w:t>
      </w:r>
      <w:bookmarkEnd w:id="15"/>
      <w:bookmarkEnd w:id="16"/>
      <w:bookmarkEnd w:id="17"/>
    </w:p>
    <w:p w:rsidR="006F0FAC" w:rsidRDefault="006F0FAC" w:rsidP="001029F3">
      <w:pPr>
        <w:numPr>
          <w:ilvl w:val="0"/>
          <w:numId w:val="25"/>
        </w:numPr>
      </w:pPr>
      <w:r>
        <w:t xml:space="preserve">In its revised proposal, </w:t>
      </w:r>
      <w:r w:rsidR="00841282">
        <w:t>JGN</w:t>
      </w:r>
      <w:r>
        <w:t xml:space="preserve"> did not </w:t>
      </w:r>
      <w:r w:rsidR="003B0C3D">
        <w:t>adopt</w:t>
      </w:r>
      <w:r>
        <w:t xml:space="preserve"> our draft decision and maintained the position in its initial proposal.</w:t>
      </w:r>
      <w:r w:rsidR="00C903FF">
        <w:rPr>
          <w:rStyle w:val="FootnoteReference"/>
        </w:rPr>
        <w:footnoteReference w:id="8"/>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9"/>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841282">
        <w:t>JGN</w:t>
      </w:r>
      <w:r w:rsidR="00DE0079">
        <w:t>'s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w:t>
      </w:r>
      <w:r w:rsidR="00841282">
        <w:t>JGN</w:t>
      </w:r>
      <w:r>
        <w:t xml:space="preserve"> considered that the only source of relevant evidence were studies that seek to infer from market prices the value to investors of distributed imputation credits ('implied market value </w:t>
      </w:r>
      <w:r>
        <w:lastRenderedPageBreak/>
        <w:t xml:space="preserve">studies'). Further, </w:t>
      </w:r>
      <w:r w:rsidR="00841282">
        <w:t>JGN</w:t>
      </w:r>
      <w:r>
        <w:t xml:space="preserve"> proposed that the best estimate of the utilisation rate from implied market value studies was 0.35</w:t>
      </w:r>
      <w:r w:rsidR="000A539A">
        <w:t>.</w:t>
      </w:r>
      <w:r w:rsidR="000A539A">
        <w:rPr>
          <w:rStyle w:val="FootnoteReference"/>
        </w:rPr>
        <w:footnoteReference w:id="10"/>
      </w:r>
    </w:p>
    <w:p w:rsidR="002C233C" w:rsidRDefault="00841282" w:rsidP="006F0FAC">
      <w:r>
        <w:t>JGN</w:t>
      </w:r>
      <w:r w:rsidR="006F0FAC">
        <w:t xml:space="preserve">'s proposed value of imputation credits of 0.25 and supporting reasons were consistent with the proposals we received from a number of other service providers. </w:t>
      </w:r>
      <w:r w:rsidR="00332C7E" w:rsidRPr="00332C7E">
        <w:t>The service providers that made consistent proposals on the value of imputation credits were ActewAGL, Ausgrid, Directlink, Endeavour Energy, Essential Energy, JGN and TransGrid.</w:t>
      </w:r>
      <w:r w:rsidR="00332C7E">
        <w:t xml:space="preserve"> </w:t>
      </w:r>
      <w:r w:rsidR="00240132">
        <w:t xml:space="preserve">These service providers maintained in their revised proposals their position in their initial proposals. </w:t>
      </w:r>
      <w:r w:rsidR="006F0FAC">
        <w:t xml:space="preserve">Further, these service </w:t>
      </w:r>
      <w:r w:rsidR="00240132">
        <w:t>providers jointly commissioned two</w:t>
      </w:r>
      <w:r w:rsidR="006F0FAC">
        <w:t xml:space="preserve"> report</w:t>
      </w:r>
      <w:r w:rsidR="00240132">
        <w:t>s from SFG</w:t>
      </w:r>
      <w:r w:rsidR="00D11729">
        <w:t xml:space="preserve"> Consulting (SFG)</w:t>
      </w:r>
      <w:r w:rsidR="00240132">
        <w:t xml:space="preserve"> and relied on the</w:t>
      </w:r>
      <w:r w:rsidR="006F0FAC">
        <w:t>s</w:t>
      </w:r>
      <w:r w:rsidR="00240132">
        <w:t>e</w:t>
      </w:r>
      <w:r w:rsidR="006F0FAC">
        <w:t xml:space="preserve"> report</w:t>
      </w:r>
      <w:r w:rsidR="00240132">
        <w:t>s</w:t>
      </w:r>
      <w:r w:rsidR="006F0FAC">
        <w:t xml:space="preserve"> in their </w:t>
      </w:r>
      <w:r w:rsidR="00240132">
        <w:t xml:space="preserve">initial and revised </w:t>
      </w:r>
      <w:r w:rsidR="006F0FAC">
        <w:t xml:space="preserve">proposals. </w:t>
      </w:r>
      <w:r w:rsidR="00332C7E">
        <w:t>Our final decisions for those service providers other than JGN were published in April 2015. O</w:t>
      </w:r>
      <w:r w:rsidR="006F0FAC">
        <w:t xml:space="preserve">ur analysis of </w:t>
      </w:r>
      <w:r>
        <w:t xml:space="preserve">JGN's </w:t>
      </w:r>
      <w:r w:rsidR="00240132">
        <w:t xml:space="preserve">revised </w:t>
      </w:r>
      <w:r w:rsidR="006F0FAC">
        <w:t xml:space="preserve">proposal is </w:t>
      </w:r>
      <w:r w:rsidR="00332C7E">
        <w:t>broadly</w:t>
      </w:r>
      <w:r w:rsidR="006F0FAC">
        <w:t xml:space="preserve"> consistent with our analysis of the </w:t>
      </w:r>
      <w:r w:rsidR="00240132">
        <w:t xml:space="preserve">revised </w:t>
      </w:r>
      <w:r w:rsidR="006F0FAC">
        <w:t>proposals from those other service providers.</w:t>
      </w:r>
      <w:r w:rsidR="00332C7E">
        <w:t xml:space="preserve"> The only material difference between this final decision for JGN and our final decisions for those other service providers is that we have in thi</w:t>
      </w:r>
      <w:r w:rsidR="00C54835">
        <w:t>s final decision had regard to two</w:t>
      </w:r>
      <w:r w:rsidR="00332C7E">
        <w:t xml:space="preserve"> new </w:t>
      </w:r>
      <w:r w:rsidR="00C54835">
        <w:t xml:space="preserve">expert </w:t>
      </w:r>
      <w:r w:rsidR="00332C7E">
        <w:t>report</w:t>
      </w:r>
      <w:r w:rsidR="00C54835">
        <w:t>s</w:t>
      </w:r>
      <w:r w:rsidR="00332C7E">
        <w:t>.</w:t>
      </w:r>
      <w:r w:rsidR="00A62899">
        <w:rPr>
          <w:rStyle w:val="FootnoteReference"/>
        </w:rPr>
        <w:footnoteReference w:id="11"/>
      </w:r>
      <w:r w:rsidR="00207E2C">
        <w:t xml:space="preserve"> </w:t>
      </w:r>
      <w:r w:rsidR="00C42DAA">
        <w:t>T</w:t>
      </w:r>
      <w:r w:rsidR="00207E2C">
        <w:t xml:space="preserve">hroughout this attachment and appendix A, </w:t>
      </w:r>
      <w:r w:rsidR="00C42DAA">
        <w:t xml:space="preserve">we refer to </w:t>
      </w:r>
      <w:r w:rsidR="00C42DAA" w:rsidRPr="00332C7E">
        <w:t>ActewAGL, Ausgrid, Directlink, Endeavour Energy, Essential Energy, JGN and TransGrid</w:t>
      </w:r>
      <w:r w:rsidR="00C42DAA">
        <w:t xml:space="preserve"> collectively as </w:t>
      </w:r>
      <w:r w:rsidR="002805E2">
        <w:t>'</w:t>
      </w:r>
      <w:r w:rsidR="00C42DAA">
        <w:t xml:space="preserve">the service providers'. </w:t>
      </w:r>
    </w:p>
    <w:p w:rsidR="00DE563D" w:rsidRDefault="00DE563D" w:rsidP="001754EE">
      <w:pPr>
        <w:pStyle w:val="Heading2"/>
      </w:pPr>
      <w:bookmarkStart w:id="18" w:name="_Toc403144138"/>
      <w:bookmarkStart w:id="19" w:name="_Toc420330937"/>
      <w:r w:rsidRPr="001754EE">
        <w:t>AER’s</w:t>
      </w:r>
      <w:r>
        <w:t xml:space="preserve"> assessment approach</w:t>
      </w:r>
      <w:bookmarkEnd w:id="18"/>
      <w:bookmarkEnd w:id="19"/>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20" w:name="_Ref400272912"/>
      <w:bookmarkStart w:id="21" w:name="_Ref416802130"/>
      <w:bookmarkStart w:id="22" w:name="_Ref416802459"/>
      <w:r w:rsidRPr="00EA24D2">
        <w:t>Requirements</w:t>
      </w:r>
      <w:r w:rsidRPr="00A90D90">
        <w:t xml:space="preserve"> of the </w:t>
      </w:r>
      <w:bookmarkEnd w:id="20"/>
      <w:r w:rsidR="005D59BA">
        <w:t>NEL/NGL and NER/NGR</w:t>
      </w:r>
      <w:bookmarkEnd w:id="21"/>
      <w:bookmarkEnd w:id="22"/>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3"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3"/>
      <w:r w:rsidRPr="00EA5C1A">
        <w:t>) must be estimated in accordance with the following formula:</w:t>
      </w:r>
      <w:r>
        <w:rPr>
          <w:rStyle w:val="FootnoteReference"/>
        </w:rPr>
        <w:footnoteReference w:id="12"/>
      </w:r>
    </w:p>
    <w:p w:rsidR="00A90D90" w:rsidRPr="00EA5C1A" w:rsidRDefault="008B5404"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8B5404"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8B5404"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3"/>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4"/>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5"/>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6"/>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7"/>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8"/>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9"/>
      </w:r>
      <w:r w:rsidR="007A5DF9">
        <w:t xml:space="preserve"> The Officer framework </w:t>
      </w:r>
      <w:r w:rsidR="007A5DF9">
        <w:lastRenderedPageBreak/>
        <w:t xml:space="preserve">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20"/>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8B5404">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1"/>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2"/>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3"/>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4"/>
      </w:r>
      <w:r w:rsidR="00A90D90">
        <w:t xml:space="preserve"> The </w:t>
      </w:r>
      <w:r w:rsidR="00566FF4">
        <w:t>RPP</w:t>
      </w:r>
      <w:r w:rsidR="00A90D90">
        <w:t xml:space="preserve"> provide, amongst other things, that</w:t>
      </w:r>
      <w:r w:rsidR="00112FED">
        <w:t>:</w:t>
      </w:r>
      <w:r w:rsidR="00112FED">
        <w:rPr>
          <w:rStyle w:val="FootnoteReference"/>
        </w:rPr>
        <w:footnoteReference w:id="25"/>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lastRenderedPageBreak/>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A90D90" w:rsidP="00A90D90">
      <w:pPr>
        <w:pStyle w:val="Heading3"/>
      </w:pPr>
      <w:bookmarkStart w:id="24" w:name="_Ref401234016"/>
      <w:r>
        <w:t xml:space="preserve">Rate of return </w:t>
      </w:r>
      <w:r w:rsidR="00EA6FAD">
        <w:t>G</w:t>
      </w:r>
      <w:r>
        <w:t>uideline</w:t>
      </w:r>
      <w:bookmarkEnd w:id="24"/>
    </w:p>
    <w:p w:rsidR="00A90D90" w:rsidRDefault="00A90D90" w:rsidP="00A90D90">
      <w:pPr>
        <w:numPr>
          <w:ilvl w:val="0"/>
          <w:numId w:val="25"/>
        </w:numPr>
      </w:pPr>
      <w:r>
        <w:t>In December 2013, we published the Guideline which is available on our website.</w:t>
      </w:r>
      <w:r>
        <w:rPr>
          <w:rStyle w:val="FootnoteReference"/>
        </w:rPr>
        <w:footnoteReference w:id="26"/>
      </w:r>
      <w:r>
        <w:t xml:space="preserve"> Within it we </w:t>
      </w:r>
      <w:r w:rsidRPr="007968DE">
        <w:t>specif</w:t>
      </w:r>
      <w:r>
        <w:t>ied</w:t>
      </w:r>
      <w:r w:rsidRPr="007968DE">
        <w:t>:</w:t>
      </w:r>
      <w:r w:rsidRPr="000709A4">
        <w:rPr>
          <w:rStyle w:val="FootnoteReference"/>
        </w:rPr>
        <w:footnoteReference w:id="27"/>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8"/>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9"/>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30"/>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8B5404">
        <w:t>4.2</w:t>
      </w:r>
      <w:r w:rsidR="008E3B4F">
        <w:fldChar w:fldCharType="end"/>
      </w:r>
      <w:r>
        <w:t xml:space="preserve"> where </w:t>
      </w:r>
      <w:r w:rsidR="008E3B4F">
        <w:t xml:space="preserve">revised </w:t>
      </w:r>
      <w:r>
        <w:t xml:space="preserve">proposals have departed from the </w:t>
      </w:r>
      <w:r>
        <w:lastRenderedPageBreak/>
        <w:t xml:space="preserve">Guideline. We identify in section </w:t>
      </w:r>
      <w:r w:rsidR="008E3B4F">
        <w:fldChar w:fldCharType="begin"/>
      </w:r>
      <w:r w:rsidR="008E3B4F">
        <w:instrText xml:space="preserve"> REF _Ref414621836 \r \h </w:instrText>
      </w:r>
      <w:r w:rsidR="008E3B4F">
        <w:fldChar w:fldCharType="separate"/>
      </w:r>
      <w:r w:rsidR="008B5404">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5" w:name="_Ref404065332"/>
      <w:r>
        <w:t>Definition of benchmark efficient</w:t>
      </w:r>
      <w:r w:rsidRPr="00A90D90">
        <w:t xml:space="preserve"> entity</w:t>
      </w:r>
      <w:bookmarkEnd w:id="25"/>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8B5404">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1"/>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6" w:name="_Ref415070818"/>
      <w:r>
        <w:lastRenderedPageBreak/>
        <w:t>Interrelationships</w:t>
      </w:r>
      <w:bookmarkEnd w:id="26"/>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into account the interrelationship with the corporate tax allowance when determining the value of imputation credits. The CCP submitted evidence that our benchmark tax allowance was substantially higher than the corporate tax actually paid by service providers.</w:t>
      </w:r>
      <w:r>
        <w:rPr>
          <w:rStyle w:val="FootnoteReference"/>
        </w:rPr>
        <w:footnoteReference w:id="32"/>
      </w:r>
      <w:r w:rsidR="00A736D1">
        <w:t xml:space="preserve"> The CCP then concluded:</w:t>
      </w:r>
      <w:r w:rsidR="00A736D1">
        <w:rPr>
          <w:rStyle w:val="FootnoteReference"/>
        </w:rPr>
        <w:footnoteReference w:id="33"/>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4"/>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5"/>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 xml:space="preserve">Associate </w:t>
      </w:r>
      <w:r>
        <w:lastRenderedPageBreak/>
        <w:t>Professor John Handley of the University of Melbourne.</w:t>
      </w:r>
      <w:r>
        <w:rPr>
          <w:rStyle w:val="FootnoteReference"/>
        </w:rPr>
        <w:footnoteReference w:id="36"/>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7"/>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8"/>
      </w:r>
    </w:p>
    <w:p w:rsidR="00A90D90" w:rsidRPr="00A90D90" w:rsidRDefault="00A90D90" w:rsidP="00A90D90">
      <w:pPr>
        <w:pStyle w:val="AERbulletlistfirststyle"/>
      </w:pPr>
      <w:r>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9"/>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40"/>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1"/>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7" w:name="_Ref415048973"/>
      <w:r w:rsidRPr="00784B2C">
        <w:t xml:space="preserve">Approach to </w:t>
      </w:r>
      <w:r w:rsidRPr="00A90D90">
        <w:t>determining the value of imputation credits</w:t>
      </w:r>
      <w:bookmarkEnd w:id="27"/>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2"/>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8B5404">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3"/>
      </w:r>
    </w:p>
    <w:p w:rsidR="00A90D90" w:rsidRPr="00A90D90" w:rsidRDefault="00A90D90" w:rsidP="00A90D90">
      <w:pPr>
        <w:pStyle w:val="AERbulletlistfirststyle"/>
      </w:pPr>
      <w:r>
        <w:t>r</w:t>
      </w:r>
      <w:r w:rsidRPr="00A90D90">
        <w:t xml:space="preserve">elevant academic literature—the framework developed in a 1994 paper by Officer is widely recognised as providing the basis for the value of imputation credits in the building </w:t>
      </w:r>
      <w:r w:rsidRPr="00A90D90">
        <w:lastRenderedPageBreak/>
        <w:t>block framework.</w:t>
      </w:r>
      <w:r w:rsidRPr="00A90D90">
        <w:rPr>
          <w:rStyle w:val="FootnoteReference"/>
        </w:rPr>
        <w:footnoteReference w:id="44"/>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5"/>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F1D81" w:rsidP="00A90D90">
      <w:pPr>
        <w:pStyle w:val="AERbulletlistfirststyle"/>
      </w:pPr>
      <w:r>
        <w:t>a</w:t>
      </w:r>
      <w:r w:rsidR="00A90D90">
        <w:t xml:space="preserve"> wide range of relevant </w:t>
      </w:r>
      <w:r w:rsidR="00A90D90"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6"/>
      </w:r>
      <w:r w:rsidRPr="00A90D90">
        <w:t xml:space="preserve"> In determining the value of imputation credits, we rely on the results from both approaches.</w:t>
      </w:r>
    </w:p>
    <w:p w:rsidR="00A90D90" w:rsidRPr="00A90D90" w:rsidRDefault="00AF1D81" w:rsidP="00A90D90">
      <w:pPr>
        <w:pStyle w:val="AERbulletlistfirststyle"/>
      </w:pPr>
      <w:r>
        <w:t>t</w:t>
      </w:r>
      <w:r w:rsidR="00A90D90">
        <w:t>he views of experts</w:t>
      </w:r>
      <w:r w:rsidR="00A90D90"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8" w:name="_Toc403144140"/>
      <w:bookmarkStart w:id="29" w:name="_Ref414621693"/>
      <w:bookmarkStart w:id="30" w:name="_Ref414621836"/>
      <w:bookmarkStart w:id="31" w:name="_Ref414907434"/>
      <w:bookmarkStart w:id="32" w:name="_Ref415068229"/>
      <w:bookmarkStart w:id="33" w:name="_Ref419298166"/>
      <w:bookmarkStart w:id="34" w:name="_Toc420330938"/>
      <w:r w:rsidRPr="001754EE">
        <w:t>Reasons</w:t>
      </w:r>
      <w:r>
        <w:t xml:space="preserve"> for </w:t>
      </w:r>
      <w:r w:rsidR="002016E7">
        <w:t>final</w:t>
      </w:r>
      <w:r>
        <w:t xml:space="preserve"> decision</w:t>
      </w:r>
      <w:bookmarkEnd w:id="28"/>
      <w:bookmarkEnd w:id="29"/>
      <w:bookmarkEnd w:id="30"/>
      <w:bookmarkEnd w:id="31"/>
      <w:bookmarkEnd w:id="32"/>
      <w:bookmarkEnd w:id="33"/>
      <w:bookmarkEnd w:id="34"/>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AF1D81" w:rsidP="00730504">
      <w:pPr>
        <w:pStyle w:val="AERbulletlistfirststyle"/>
      </w:pPr>
      <w:r>
        <w:lastRenderedPageBreak/>
        <w:t>i</w:t>
      </w:r>
      <w:r w:rsidR="00730504">
        <w:t>t is within the range of values indicated by the evidence, and the relevance of the evidence is supported by the expert opinion of Handley, Lally</w:t>
      </w:r>
      <w:r w:rsidR="007632C9">
        <w:t>,</w:t>
      </w:r>
      <w:r w:rsidR="00730504">
        <w:t xml:space="preserve"> and McKenzie and Partington</w:t>
      </w:r>
      <w:r w:rsidR="00730504" w:rsidRPr="00730504">
        <w:t>.</w:t>
      </w:r>
    </w:p>
    <w:p w:rsidR="00730504" w:rsidRPr="00730504" w:rsidRDefault="00AF1D81" w:rsidP="00730504">
      <w:pPr>
        <w:pStyle w:val="AERbulletlistfirststyle"/>
      </w:pPr>
      <w:r>
        <w:t>i</w:t>
      </w:r>
      <w:r w:rsidR="00730504">
        <w:t>t primarily reflects an estimate of the utilisation rate fro</w:t>
      </w:r>
      <w:r w:rsidR="00730504" w:rsidRPr="00730504">
        <w:t>m the equity ownership approach. Handley considered this the most important approach to estimating the utilisation rate, relative to the alternatives of tax statistics and implied market value studies.</w:t>
      </w:r>
      <w:r w:rsidR="00730504" w:rsidRPr="00730504">
        <w:rPr>
          <w:rStyle w:val="FootnoteReference"/>
        </w:rPr>
        <w:footnoteReference w:id="47"/>
      </w:r>
      <w:r w:rsidR="00730504" w:rsidRPr="00730504">
        <w:t xml:space="preserve"> The equity ownership approach was Lally's second preference after his recommendation for a utilisation rate of 1.</w:t>
      </w:r>
      <w:r w:rsidR="00730504" w:rsidRPr="00730504">
        <w:rPr>
          <w:rStyle w:val="FootnoteReference"/>
        </w:rPr>
        <w:footnoteReference w:id="48"/>
      </w:r>
    </w:p>
    <w:p w:rsidR="00730504" w:rsidRPr="00730504" w:rsidRDefault="00AF1D81" w:rsidP="00730504">
      <w:pPr>
        <w:pStyle w:val="AERbulletlistfirststyle"/>
      </w:pPr>
      <w:r>
        <w:t>i</w:t>
      </w:r>
      <w:r w:rsidR="00730504">
        <w:t xml:space="preserve">t is within the 'preferred' range for the value of imputation credits </w:t>
      </w:r>
      <w:r w:rsidR="00730504" w:rsidRPr="00730504">
        <w:t xml:space="preserve">(0.4 to 0.5) in Handley's </w:t>
      </w:r>
      <w:r w:rsidR="00730504">
        <w:t>September 2014</w:t>
      </w:r>
      <w:r w:rsidR="00730504" w:rsidRPr="00730504">
        <w:t xml:space="preserve"> advice.</w:t>
      </w:r>
      <w:r w:rsidR="00730504" w:rsidRPr="00730504">
        <w:rPr>
          <w:rStyle w:val="FootnoteReference"/>
        </w:rPr>
        <w:footnoteReference w:id="49"/>
      </w:r>
    </w:p>
    <w:p w:rsidR="00730504" w:rsidRPr="00730504" w:rsidRDefault="00AF1D81" w:rsidP="00730504">
      <w:pPr>
        <w:pStyle w:val="AERbulletlistfirststyle"/>
      </w:pPr>
      <w:r>
        <w:t>b</w:t>
      </w:r>
      <w:r w:rsidR="00730504">
        <w:t>ased on the evidence before us at this time, a</w:t>
      </w:r>
      <w:r w:rsidR="00730504"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00730504" w:rsidRPr="00730504">
        <w:rPr>
          <w:rStyle w:val="FootnoteReference"/>
        </w:rPr>
        <w:footnoteReference w:id="50"/>
      </w:r>
      <w:r w:rsidR="00730504" w:rsidRPr="00730504">
        <w:t xml:space="preserve"> The imprecision of determining the value of imputation credits was emphasised by Handley.</w:t>
      </w:r>
      <w:r w:rsidR="00730504" w:rsidRPr="00730504">
        <w:rPr>
          <w:rStyle w:val="FootnoteReference"/>
        </w:rPr>
        <w:footnoteReference w:id="51"/>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AF1D81" w:rsidP="00730504">
      <w:pPr>
        <w:pStyle w:val="AERbulletlistfirststyle"/>
      </w:pPr>
      <w:r>
        <w:t>w</w:t>
      </w:r>
      <w:r w:rsidR="00730504">
        <w:t>e may</w:t>
      </w:r>
      <w:r w:rsidR="00730504" w:rsidRPr="00730504">
        <w:t xml:space="preserve"> have regard to evidence from all equity and/or </w:t>
      </w:r>
      <w:r w:rsidR="001C274C">
        <w:t xml:space="preserve">only </w:t>
      </w:r>
      <w:r w:rsidR="00730504" w:rsidRPr="00730504">
        <w:t xml:space="preserve">listed equity. Some experts advocate use of evidence on only listed companies and their investors because </w:t>
      </w:r>
      <w:r w:rsidR="0055021B">
        <w:t>they consider it</w:t>
      </w:r>
      <w:r w:rsidR="00730504" w:rsidRPr="00730504">
        <w:t xml:space="preserve"> to be more reflective of the benchmark efficient entity and its investors, or because</w:t>
      </w:r>
      <w:r w:rsidR="0055021B">
        <w:t xml:space="preserve"> they consider</w:t>
      </w:r>
      <w:r w:rsidR="00730504" w:rsidRPr="00730504">
        <w:t xml:space="preserve"> this is consistent with the use of evidence from only listed companies when estimating the market risk premium. However, there is no consensus on this point. We discuss the issue further in section </w:t>
      </w:r>
      <w:r w:rsidR="00730504" w:rsidRPr="00730504">
        <w:fldChar w:fldCharType="begin"/>
      </w:r>
      <w:r w:rsidR="00730504" w:rsidRPr="00730504">
        <w:instrText xml:space="preserve"> REF _Ref401048631 \r \h </w:instrText>
      </w:r>
      <w:r w:rsidR="00730504" w:rsidRPr="00730504">
        <w:fldChar w:fldCharType="separate"/>
      </w:r>
      <w:r w:rsidR="008B5404">
        <w:t>A.9.1</w:t>
      </w:r>
      <w:r w:rsidR="00730504" w:rsidRPr="00730504">
        <w:fldChar w:fldCharType="end"/>
      </w:r>
      <w:r w:rsidR="00730504" w:rsidRPr="00730504">
        <w:t xml:space="preserve"> of appendix A. We did not consider this issue in the Guideline.</w:t>
      </w:r>
    </w:p>
    <w:p w:rsidR="00730504" w:rsidRPr="00730504" w:rsidRDefault="00AF1D81" w:rsidP="00730504">
      <w:pPr>
        <w:pStyle w:val="AERbulletlistfirststyle"/>
      </w:pPr>
      <w:r>
        <w:lastRenderedPageBreak/>
        <w:t>i</w:t>
      </w:r>
      <w:r w:rsidR="00730504">
        <w:t>t would be i</w:t>
      </w:r>
      <w:r w:rsidR="00730504" w:rsidRPr="00730504">
        <w:t xml:space="preserve">nappropriate to pair an estimate of the utilisation rate from </w:t>
      </w:r>
      <w:r w:rsidR="001C274C">
        <w:t xml:space="preserve">only </w:t>
      </w:r>
      <w:r w:rsidR="00730504"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00730504" w:rsidRPr="00730504">
        <w:fldChar w:fldCharType="begin"/>
      </w:r>
      <w:r w:rsidR="00730504" w:rsidRPr="00730504">
        <w:instrText xml:space="preserve"> REF _Ref403481194 \r \h </w:instrText>
      </w:r>
      <w:r w:rsidR="00730504" w:rsidRPr="00730504">
        <w:fldChar w:fldCharType="separate"/>
      </w:r>
      <w:r w:rsidR="008B5404">
        <w:t>A.9.2</w:t>
      </w:r>
      <w:r w:rsidR="00730504" w:rsidRPr="00730504">
        <w:fldChar w:fldCharType="end"/>
      </w:r>
      <w:r w:rsidR="00730504"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8B5404">
        <w:t xml:space="preserve">Table </w:t>
      </w:r>
      <w:r w:rsidR="008B5404">
        <w:rPr>
          <w:noProof/>
        </w:rPr>
        <w:t>4</w:t>
      </w:r>
      <w:r w:rsidR="008B5404">
        <w:noBreakHyphen/>
      </w:r>
      <w:r w:rsidR="008B5404">
        <w:rPr>
          <w:noProof/>
        </w:rPr>
        <w:t>1</w:t>
      </w:r>
      <w:r>
        <w:fldChar w:fldCharType="end"/>
      </w:r>
      <w:r>
        <w:t xml:space="preserve"> and </w:t>
      </w:r>
      <w:r>
        <w:fldChar w:fldCharType="begin"/>
      </w:r>
      <w:r>
        <w:instrText xml:space="preserve"> REF  _Ref404072148 \* Lower \h </w:instrText>
      </w:r>
      <w:r>
        <w:fldChar w:fldCharType="separate"/>
      </w:r>
      <w:r w:rsidR="008B5404">
        <w:t xml:space="preserve">Table </w:t>
      </w:r>
      <w:r w:rsidR="008B5404">
        <w:rPr>
          <w:noProof/>
        </w:rPr>
        <w:t>4</w:t>
      </w:r>
      <w:r w:rsidR="008B5404">
        <w:noBreakHyphen/>
      </w:r>
      <w:r w:rsidR="008B5404">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2"/>
      </w:r>
      <w:r w:rsidRPr="00EB588E">
        <w:t xml:space="preserve"> These individual sources of evidence allow us to present estimates to two decimal places. However, we consider it reasonable to determine a value of imputation credits to only one decimal place when determining a single value from across this evidence.</w:t>
      </w:r>
      <w:r w:rsidR="00F21A67">
        <w:t xml:space="preserve"> We also note that some of the estimates in </w:t>
      </w:r>
      <w:r w:rsidR="00F21A67">
        <w:fldChar w:fldCharType="begin"/>
      </w:r>
      <w:r w:rsidR="00F21A67">
        <w:instrText xml:space="preserve"> REF  _Ref400900366 \* Lower \h </w:instrText>
      </w:r>
      <w:r w:rsidR="00F21A67">
        <w:fldChar w:fldCharType="separate"/>
      </w:r>
      <w:r w:rsidR="008B5404">
        <w:t xml:space="preserve">Table </w:t>
      </w:r>
      <w:r w:rsidR="008B5404">
        <w:rPr>
          <w:noProof/>
        </w:rPr>
        <w:t>4</w:t>
      </w:r>
      <w:r w:rsidR="008B5404">
        <w:noBreakHyphen/>
      </w:r>
      <w:r w:rsidR="008B5404">
        <w:rPr>
          <w:noProof/>
        </w:rPr>
        <w:t>1</w:t>
      </w:r>
      <w:r w:rsidR="00F21A67">
        <w:fldChar w:fldCharType="end"/>
      </w:r>
      <w:r w:rsidR="00F21A67">
        <w:t xml:space="preserve"> and </w:t>
      </w:r>
      <w:r w:rsidR="00F21A67">
        <w:fldChar w:fldCharType="begin"/>
      </w:r>
      <w:r w:rsidR="00F21A67">
        <w:instrText xml:space="preserve"> REF  _Ref404072148 \* Lower \h </w:instrText>
      </w:r>
      <w:r w:rsidR="00F21A67">
        <w:fldChar w:fldCharType="separate"/>
      </w:r>
      <w:r w:rsidR="008B5404">
        <w:t xml:space="preserve">Table </w:t>
      </w:r>
      <w:r w:rsidR="008B5404">
        <w:rPr>
          <w:noProof/>
        </w:rPr>
        <w:t>4</w:t>
      </w:r>
      <w:r w:rsidR="008B5404">
        <w:noBreakHyphen/>
      </w:r>
      <w:r w:rsidR="008B5404">
        <w:rPr>
          <w:noProof/>
        </w:rPr>
        <w:t>2</w:t>
      </w:r>
      <w:r w:rsidR="00F21A67">
        <w:fldChar w:fldCharType="end"/>
      </w:r>
      <w:r w:rsidR="00F21A67">
        <w:t xml:space="preserve"> differ to those in the corresponding tables in our April</w:t>
      </w:r>
      <w:r w:rsidR="00970FCF">
        <w:t xml:space="preserve"> 2015</w:t>
      </w:r>
      <w:r w:rsidR="00F21A67">
        <w:t xml:space="preserve"> final decisions.</w:t>
      </w:r>
      <w:r w:rsidR="00F7541E">
        <w:rPr>
          <w:rStyle w:val="FootnoteReference"/>
        </w:rPr>
        <w:footnoteReference w:id="53"/>
      </w:r>
      <w:r w:rsidR="00F21A67">
        <w:t xml:space="preserve"> This is because </w:t>
      </w:r>
      <w:r w:rsidR="00C1112D">
        <w:t>we have had regard to</w:t>
      </w:r>
      <w:r w:rsidR="00F21A67">
        <w:t xml:space="preserve"> an updated analysis of tax statistics by NERA, which was submitted to us as part of JGN's decision process.</w:t>
      </w:r>
      <w:r w:rsidR="004060BE">
        <w:rPr>
          <w:rStyle w:val="FootnoteReference"/>
        </w:rPr>
        <w:footnoteReference w:id="54"/>
      </w:r>
      <w:r w:rsidR="00C04B23">
        <w:t xml:space="preserve"> </w:t>
      </w:r>
      <w:r w:rsidR="00C1112D">
        <w:t>We have also had regard to analysis in a new report from Handley.</w:t>
      </w:r>
      <w:r w:rsidR="00210B31">
        <w:rPr>
          <w:rStyle w:val="FootnoteReference"/>
        </w:rPr>
        <w:footnoteReference w:id="55"/>
      </w:r>
      <w:r w:rsidR="00C1112D">
        <w:t xml:space="preserve"> </w:t>
      </w:r>
      <w:r w:rsidR="00C04B23">
        <w:t>However, as set out below, these updated estimates did not change our view that 0.4 is the best estimate of the value of imputation credits.</w:t>
      </w:r>
    </w:p>
    <w:p w:rsidR="00730504" w:rsidRDefault="00730504" w:rsidP="00730504">
      <w:pPr>
        <w:pStyle w:val="Caption"/>
      </w:pPr>
      <w:bookmarkStart w:id="35" w:name="_Ref400900366"/>
      <w:bookmarkStart w:id="36" w:name="_Ref400900335"/>
      <w:r>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1</w:t>
      </w:r>
      <w:r w:rsidR="008B5404">
        <w:rPr>
          <w:noProof/>
        </w:rPr>
        <w:fldChar w:fldCharType="end"/>
      </w:r>
      <w:bookmarkEnd w:id="35"/>
      <w:r>
        <w:tab/>
        <w:t>Estimates of the value of imputation credits—evidence from all equity</w:t>
      </w:r>
      <w:bookmarkEnd w:id="36"/>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w:t>
            </w:r>
            <w:r w:rsidR="00DD48C9">
              <w:t>5</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r w:rsidR="00DD48C9">
              <w:t>1</w:t>
            </w:r>
          </w:p>
        </w:tc>
      </w:tr>
    </w:tbl>
    <w:p w:rsidR="00730504" w:rsidRPr="001B2B55" w:rsidRDefault="00730504" w:rsidP="00730504">
      <w:pPr>
        <w:pStyle w:val="AERtablesource"/>
      </w:pPr>
      <w:r>
        <w:t>Source:</w:t>
      </w:r>
      <w:r>
        <w:tab/>
        <w:t>AER analysis.</w:t>
      </w:r>
      <w:bookmarkStart w:id="37" w:name="_Ref400900373"/>
    </w:p>
    <w:p w:rsidR="00730504" w:rsidRDefault="00730504" w:rsidP="00730504">
      <w:pPr>
        <w:pStyle w:val="Caption"/>
      </w:pPr>
      <w:bookmarkStart w:id="38" w:name="_Ref404072148"/>
      <w:r>
        <w:lastRenderedPageBreak/>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2</w:t>
      </w:r>
      <w:r w:rsidR="008B5404">
        <w:rPr>
          <w:noProof/>
        </w:rPr>
        <w:fldChar w:fldCharType="end"/>
      </w:r>
      <w:bookmarkEnd w:id="37"/>
      <w:bookmarkEnd w:id="38"/>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w:t>
            </w:r>
            <w:r w:rsidR="00DD48C9">
              <w:t>7</w:t>
            </w:r>
            <w:r w:rsidR="009563DA">
              <w:t>7</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w:t>
            </w:r>
            <w:r w:rsidR="00B5371C">
              <w:t>29</w:t>
            </w:r>
            <w:r w:rsidR="00730504">
              <w:t xml:space="preserve"> to 0.4</w:t>
            </w:r>
            <w:r w:rsidR="00B5371C">
              <w:t>2</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w:t>
            </w:r>
            <w:r w:rsidR="00DD48C9">
              <w:t>7</w:t>
            </w:r>
            <w:r w:rsidR="009563DA">
              <w:t>7</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w:t>
            </w:r>
            <w:r w:rsidR="00DD48C9">
              <w:t>7</w:t>
            </w:r>
            <w:r w:rsidR="00E92E9F">
              <w:t>7</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w:t>
            </w:r>
            <w:r w:rsidR="00DD48C9">
              <w:rPr>
                <w:rStyle w:val="AERtextitalic"/>
              </w:rPr>
              <w:t>7</w:t>
            </w:r>
            <w:r w:rsidRPr="00884B75">
              <w:rPr>
                <w:rStyle w:val="AERtextitalic"/>
              </w:rPr>
              <w:t xml:space="preserve"> (0.3</w:t>
            </w:r>
            <w:r w:rsidR="00DD48C9">
              <w:rPr>
                <w:rStyle w:val="AERtextitalic"/>
              </w:rPr>
              <w:t>1</w:t>
            </w:r>
            <w:r w:rsidRPr="00884B75">
              <w:rPr>
                <w:rStyle w:val="AERtextitalic"/>
              </w:rPr>
              <w:t>)</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8B5404">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6"/>
      </w:r>
      <w:r>
        <w:t xml:space="preserve"> From within this range, we choose a value of 0.4. This is because:</w:t>
      </w:r>
    </w:p>
    <w:p w:rsidR="00730504" w:rsidRPr="00730504" w:rsidRDefault="00AF1D81" w:rsidP="00730504">
      <w:pPr>
        <w:pStyle w:val="AERbulletlistfirststyle"/>
      </w:pPr>
      <w:r>
        <w:t>t</w:t>
      </w:r>
      <w:r w:rsidR="00730504">
        <w:t>he equity ownership approach, on which we have placed the most relian</w:t>
      </w:r>
      <w:r w:rsidR="00C20C67">
        <w:t xml:space="preserve">ce, suggests a value </w:t>
      </w:r>
      <w:r w:rsidR="00361EF1">
        <w:t>between 0.4</w:t>
      </w:r>
      <w:r w:rsidR="005E0668">
        <w:t>0</w:t>
      </w:r>
      <w:r w:rsidR="00730504">
        <w:t xml:space="preserve"> and 0.</w:t>
      </w:r>
      <w:r w:rsidR="00C20C67">
        <w:t>4</w:t>
      </w:r>
      <w:r w:rsidR="00361EF1">
        <w:t>7</w:t>
      </w:r>
      <w:r w:rsidR="00730504">
        <w:t xml:space="preserve"> when applied to al</w:t>
      </w:r>
      <w:r w:rsidR="00C20C67">
        <w:t>l equity and between 0.</w:t>
      </w:r>
      <w:r w:rsidR="00E92E9F">
        <w:t>29</w:t>
      </w:r>
      <w:r w:rsidR="00361EF1">
        <w:t xml:space="preserve"> and 0.4</w:t>
      </w:r>
      <w:r w:rsidR="00E92E9F">
        <w:t>2</w:t>
      </w:r>
      <w:r w:rsidR="00730504">
        <w:t xml:space="preserve"> when applied to </w:t>
      </w:r>
      <w:r w:rsidR="001C274C">
        <w:t>only listed equity</w:t>
      </w:r>
      <w:r w:rsidR="00730504">
        <w:t>. Therefore, t</w:t>
      </w:r>
      <w:r w:rsidR="00730504" w:rsidRPr="00730504">
        <w:t xml:space="preserve">he </w:t>
      </w:r>
      <w:r w:rsidR="00960EBC">
        <w:t>overlap</w:t>
      </w:r>
      <w:r w:rsidR="00730504" w:rsidRPr="00730504">
        <w:t xml:space="preserve"> of </w:t>
      </w:r>
      <w:r w:rsidR="00960EBC">
        <w:t xml:space="preserve">the </w:t>
      </w:r>
      <w:r w:rsidR="00730504" w:rsidRPr="00730504">
        <w:t>evidence from the equity ownership a</w:t>
      </w:r>
      <w:r w:rsidR="00361EF1">
        <w:t>pproach suggests a value between 0.4</w:t>
      </w:r>
      <w:r w:rsidR="005E0668">
        <w:t>0</w:t>
      </w:r>
      <w:r w:rsidR="00361EF1">
        <w:t xml:space="preserve"> and 0.4</w:t>
      </w:r>
      <w:r w:rsidR="00E92E9F">
        <w:t>2</w:t>
      </w:r>
      <w:r w:rsidR="00730504" w:rsidRPr="00730504">
        <w:t>.</w:t>
      </w:r>
    </w:p>
    <w:p w:rsidR="00730504" w:rsidRDefault="00AF1D81" w:rsidP="00730504">
      <w:pPr>
        <w:pStyle w:val="AERbulletlistfirststyle"/>
      </w:pPr>
      <w:r>
        <w:t>t</w:t>
      </w:r>
      <w:r w:rsidR="00730504">
        <w:t>he evidence from tax statistics</w:t>
      </w:r>
      <w:r w:rsidR="00361EF1">
        <w:t xml:space="preserve"> suggest</w:t>
      </w:r>
      <w:r w:rsidR="00A015CD">
        <w:t>s</w:t>
      </w:r>
      <w:r w:rsidR="00730504" w:rsidRPr="00730504">
        <w:t xml:space="preserve"> the value could be lower than 0.4. Therefore</w:t>
      </w:r>
      <w:r w:rsidR="0031438A">
        <w:t>, with regard to this evidenc</w:t>
      </w:r>
      <w:r w:rsidR="00297C4E">
        <w:t>e and the less reliance we place on it,</w:t>
      </w:r>
      <w:r w:rsidR="00730504" w:rsidRPr="00730504">
        <w:t xml:space="preserve"> we choose a value at the lower e</w:t>
      </w:r>
      <w:r w:rsidR="00960EBC">
        <w:t>nd of the range suggested by the overlap</w:t>
      </w:r>
      <w:r w:rsidR="00730504" w:rsidRPr="00730504">
        <w:t xml:space="preserve"> of evidence from the equity ownership approach (that is, 0.4).</w:t>
      </w:r>
    </w:p>
    <w:p w:rsidR="00884B75" w:rsidRPr="00730504" w:rsidRDefault="00AF1D81" w:rsidP="005C7BE1">
      <w:pPr>
        <w:pStyle w:val="AERbulletlistfirststyle"/>
      </w:pPr>
      <w:r>
        <w:t>t</w:t>
      </w:r>
      <w:r w:rsidR="005C7BE1" w:rsidRPr="005C7BE1">
        <w:t>he evidence from SFG's dividend drop off study also suggests that the value could be lower than 0.4. However, we place even less reliance on this evidence. We therefore consider that choosing a value at the lower end of the range suggested by the overlap of 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7"/>
      </w:r>
      <w:r w:rsidRPr="00730504">
        <w:t xml:space="preserve"> McKenzie and Partington's report for the </w:t>
      </w:r>
      <w:r w:rsidRPr="00730504">
        <w:lastRenderedPageBreak/>
        <w:t>Queensland Resources Council suggested that it is reasonable to have regard to other classes of evidence.</w:t>
      </w:r>
      <w:r w:rsidRPr="00730504">
        <w:rPr>
          <w:rStyle w:val="FootnoteReference"/>
        </w:rPr>
        <w:footnoteReference w:id="58"/>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9"/>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60"/>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w:t>
      </w:r>
      <w:r w:rsidR="00716D12">
        <w:t>7</w:t>
      </w:r>
      <w:r w:rsidR="00E92E9F">
        <w:t>7</w:t>
      </w:r>
      <w:r w:rsidRPr="00730504">
        <w:t>).</w:t>
      </w:r>
    </w:p>
    <w:p w:rsidR="00730504" w:rsidRDefault="00730504" w:rsidP="00730504">
      <w:pPr>
        <w:numPr>
          <w:ilvl w:val="0"/>
          <w:numId w:val="25"/>
        </w:numPr>
      </w:pPr>
      <w:r>
        <w:t>Therefore, even if the service providers' proposed utilisation rate is used, it yields a value of imputation credits of (0.4 x 0.</w:t>
      </w:r>
      <w:r w:rsidR="00DD48C9">
        <w:t>7</w:t>
      </w:r>
      <w:r w:rsidR="00E92E9F">
        <w:t>7</w:t>
      </w:r>
      <w:r>
        <w:t>) 0.3</w:t>
      </w:r>
      <w:r w:rsidR="00DD48C9">
        <w:t>1</w:t>
      </w:r>
      <w:r>
        <w:t xml:space="preserve"> rather than 0.25. However, with regard to </w:t>
      </w:r>
      <w:r w:rsidR="008A6898">
        <w:t xml:space="preserve">the </w:t>
      </w:r>
      <w:r>
        <w:t xml:space="preserve">discussion above, our </w:t>
      </w:r>
      <w:r w:rsidR="00C9626B">
        <w:t>estimated</w:t>
      </w:r>
      <w:r>
        <w:t xml:space="preserve"> value of imputation credits is higher than 0.3</w:t>
      </w:r>
      <w:r w:rsidR="00DD48C9">
        <w:t>1</w:t>
      </w:r>
      <w:r>
        <w:t>.</w:t>
      </w:r>
    </w:p>
    <w:p w:rsidR="002C233C" w:rsidRDefault="00730504" w:rsidP="00730504">
      <w:r>
        <w:t>In sections</w:t>
      </w:r>
      <w:r w:rsidR="008D1665">
        <w:t xml:space="preserve"> </w:t>
      </w:r>
      <w:r w:rsidR="008D1665">
        <w:fldChar w:fldCharType="begin"/>
      </w:r>
      <w:r w:rsidR="008D1665">
        <w:instrText xml:space="preserve"> REF _Ref403482746 \r \h </w:instrText>
      </w:r>
      <w:r w:rsidR="008D1665">
        <w:fldChar w:fldCharType="separate"/>
      </w:r>
      <w:r w:rsidR="008B5404">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8B5404">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8B5404">
        <w:t xml:space="preserve">Table </w:t>
      </w:r>
      <w:r w:rsidR="008B5404">
        <w:rPr>
          <w:noProof/>
        </w:rPr>
        <w:t>4</w:t>
      </w:r>
      <w:r w:rsidR="008B5404">
        <w:noBreakHyphen/>
      </w:r>
      <w:r w:rsidR="008B5404">
        <w:rPr>
          <w:noProof/>
        </w:rPr>
        <w:t>1</w:t>
      </w:r>
      <w:r>
        <w:fldChar w:fldCharType="end"/>
      </w:r>
      <w:r>
        <w:t xml:space="preserve"> and </w:t>
      </w:r>
      <w:r>
        <w:fldChar w:fldCharType="begin"/>
      </w:r>
      <w:r>
        <w:instrText xml:space="preserve"> REF  _Ref404072148 \* Lower \h </w:instrText>
      </w:r>
      <w:r>
        <w:fldChar w:fldCharType="separate"/>
      </w:r>
      <w:r w:rsidR="008B5404">
        <w:t xml:space="preserve">Table </w:t>
      </w:r>
      <w:r w:rsidR="008B5404">
        <w:rPr>
          <w:noProof/>
        </w:rPr>
        <w:t>4</w:t>
      </w:r>
      <w:r w:rsidR="008B5404">
        <w:noBreakHyphen/>
      </w:r>
      <w:r w:rsidR="008B5404">
        <w:rPr>
          <w:noProof/>
        </w:rPr>
        <w:t>2</w:t>
      </w:r>
      <w:r>
        <w:fldChar w:fldCharType="end"/>
      </w:r>
      <w:r>
        <w:t>, and we present our assessment of the underlying evidence.</w:t>
      </w:r>
    </w:p>
    <w:p w:rsidR="00570EA2" w:rsidRDefault="008D1665" w:rsidP="00215D70">
      <w:pPr>
        <w:pStyle w:val="HeadingBoldItalic"/>
      </w:pPr>
      <w:r>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8B5404">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61"/>
      </w:r>
      <w:r w:rsidR="00997F72">
        <w:t xml:space="preserve"> We address this in section </w:t>
      </w:r>
      <w:r w:rsidR="00997F72">
        <w:fldChar w:fldCharType="begin"/>
      </w:r>
      <w:r w:rsidR="00997F72">
        <w:instrText xml:space="preserve"> REF _Ref415070818 \r \h </w:instrText>
      </w:r>
      <w:r w:rsidR="00997F72">
        <w:fldChar w:fldCharType="separate"/>
      </w:r>
      <w:r w:rsidR="008B5404">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w:t>
      </w:r>
      <w:r w:rsidR="00CE55B5">
        <w:lastRenderedPageBreak/>
        <w:t>version of</w:t>
      </w:r>
      <w:r>
        <w:t xml:space="preserve"> SFG's dividend drop off study should not be viewed as permanently determinative.</w:t>
      </w:r>
      <w:r w:rsidRPr="005401BC">
        <w:rPr>
          <w:rStyle w:val="FootnoteReference"/>
        </w:rPr>
        <w:footnoteReference w:id="62"/>
      </w:r>
      <w:r w:rsidRPr="005401BC">
        <w:t xml:space="preserve"> We agree with these comments in light of the Tribunal's finding that:</w:t>
      </w:r>
      <w:r w:rsidRPr="005401BC">
        <w:rPr>
          <w:rStyle w:val="FootnoteReference"/>
        </w:rPr>
        <w:footnoteReference w:id="63"/>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4"/>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001B6BD3">
        <w:t xml:space="preserve"> (EMRF)</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5"/>
      </w:r>
      <w:r>
        <w:t xml:space="preserve"> </w:t>
      </w:r>
      <w:r w:rsidR="001B6BD3">
        <w:t>The EMRF also submitted that we should consider actual industry practices when determining the value of imputation credits</w:t>
      </w:r>
      <w:r w:rsidR="00BC4484">
        <w:rPr>
          <w:rFonts w:cs="Arial"/>
        </w:rPr>
        <w:t>—</w:t>
      </w:r>
      <w:r w:rsidR="00BC4484">
        <w:t>for example, the EMRF submitted that none of APA Group, Envestra Limited (pre sale) or JGN's parent company had balances in their franking accounts</w:t>
      </w:r>
      <w:r w:rsidR="001B6BD3">
        <w:t>.</w:t>
      </w:r>
      <w:r w:rsidR="001B6BD3">
        <w:rPr>
          <w:rStyle w:val="FootnoteReference"/>
        </w:rPr>
        <w:footnoteReference w:id="66"/>
      </w:r>
      <w:r w:rsidR="001B6BD3">
        <w:t xml:space="preserve"> </w:t>
      </w:r>
      <w:r>
        <w:t>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7"/>
      </w:r>
    </w:p>
    <w:p w:rsidR="0034249A" w:rsidRDefault="0034249A" w:rsidP="005B539D">
      <w:pPr>
        <w:pStyle w:val="AERbulletlistfirststyle"/>
      </w:pPr>
      <w:r>
        <w:t>The South Australian Council of Social Service (SACOSS) submitted, based on advice received from the South Australian Centre for Economic Studies, that evidence was emerging for a value of imputation credits lower than the 0.5 in the Guideline.</w:t>
      </w:r>
      <w:r w:rsidR="00B36753">
        <w:rPr>
          <w:rStyle w:val="FootnoteReference"/>
        </w:rPr>
        <w:footnoteReference w:id="68"/>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w:t>
      </w:r>
      <w:r w:rsidR="003504FC">
        <w:lastRenderedPageBreak/>
        <w:t>regarding the value of imputation credits.</w:t>
      </w:r>
      <w:r w:rsidR="003504FC">
        <w:rPr>
          <w:rStyle w:val="FootnoteReference"/>
        </w:rPr>
        <w:footnoteReference w:id="69"/>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70"/>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71"/>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9" w:name="_Ref403482746"/>
      <w:r>
        <w:t xml:space="preserve">The </w:t>
      </w:r>
      <w:r w:rsidRPr="00FD5BE7">
        <w:t>distribution</w:t>
      </w:r>
      <w:r>
        <w:t xml:space="preserve"> rate</w:t>
      </w:r>
      <w:bookmarkEnd w:id="39"/>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72"/>
      </w:r>
      <w:r w:rsidR="009B2ABF">
        <w:t xml:space="preserve"> We use a</w:t>
      </w:r>
      <w:r w:rsidR="00E424CC">
        <w:t>n</w:t>
      </w:r>
      <w:r w:rsidR="009B2ABF">
        <w:t xml:space="preserve"> estimate of </w:t>
      </w:r>
      <w:r w:rsidR="00E424CC">
        <w:t>0.</w:t>
      </w:r>
      <w:r w:rsidR="00716D12">
        <w:t>7</w:t>
      </w:r>
      <w:r w:rsidR="00E92E9F">
        <w:t>7</w:t>
      </w:r>
      <w:r w:rsidR="00E424CC">
        <w:t xml:space="preserve">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73"/>
      </w:r>
      <w:r>
        <w:t xml:space="preserve"> Using this approach, NERA estimated a distribution rate across all equity of 0.7 for the period 1987 to 2011.</w:t>
      </w:r>
      <w:r>
        <w:rPr>
          <w:rStyle w:val="FootnoteReference"/>
        </w:rPr>
        <w:footnoteReference w:id="74"/>
      </w:r>
      <w:r>
        <w:t xml:space="preserve"> Hathaway found a similar estimate for the period 2004 to 2011.</w:t>
      </w:r>
      <w:r>
        <w:rPr>
          <w:rStyle w:val="FootnoteReference"/>
        </w:rPr>
        <w:footnoteReference w:id="75"/>
      </w:r>
      <w:r>
        <w:t xml:space="preserve"> </w:t>
      </w:r>
      <w:r w:rsidR="00D15210">
        <w:t xml:space="preserve">We relied on these estimates in the Guideline and the draft decision. </w:t>
      </w:r>
      <w:r w:rsidR="00FB7FCD">
        <w:t>We consider that u</w:t>
      </w:r>
      <w:r w:rsidR="00D15210">
        <w:t xml:space="preserve">pdated analysis of the ATO data to the 2012 tax year by NERA and Handley </w:t>
      </w:r>
      <w:r w:rsidR="00090E98">
        <w:t>indicate</w:t>
      </w:r>
      <w:r w:rsidR="00FB7FCD">
        <w:t>s</w:t>
      </w:r>
      <w:r w:rsidR="00D15210">
        <w:t xml:space="preserve"> that 0.7 </w:t>
      </w:r>
      <w:r w:rsidR="00090E98">
        <w:t>remains</w:t>
      </w:r>
      <w:r w:rsidR="00D15210">
        <w:t xml:space="preserve"> a reasonable estimate of the distribution rate over all equity.</w:t>
      </w:r>
      <w:r w:rsidR="00D15210">
        <w:rPr>
          <w:rStyle w:val="FootnoteReference"/>
        </w:rPr>
        <w:footnoteReference w:id="76"/>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7"/>
      </w:r>
      <w:r w:rsidR="000F0BB8">
        <w:t xml:space="preserve"> and</w:t>
      </w:r>
    </w:p>
    <w:p w:rsidR="000F0BB8" w:rsidRPr="009B2ABF" w:rsidRDefault="000F0BB8" w:rsidP="000F0BB8">
      <w:pPr>
        <w:pStyle w:val="AERbulletlistfirststyle"/>
      </w:pPr>
      <w:r>
        <w:t>is simple and intuitive.</w:t>
      </w:r>
    </w:p>
    <w:p w:rsidR="00090E98"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8"/>
      </w:r>
      <w:r>
        <w:t xml:space="preserve"> </w:t>
      </w:r>
      <w:r w:rsidR="00090E98">
        <w:t>We found a similar estimate</w:t>
      </w:r>
      <w:r w:rsidR="00CE7F4B">
        <w:t xml:space="preserve"> for the period 2004 to 2011.</w:t>
      </w:r>
      <w:r w:rsidR="00AE0135">
        <w:rPr>
          <w:rStyle w:val="FootnoteReference"/>
        </w:rPr>
        <w:footnoteReference w:id="79"/>
      </w:r>
      <w:r w:rsidR="00CE7F4B">
        <w:t xml:space="preserve"> </w:t>
      </w:r>
      <w:r w:rsidR="00D15210">
        <w:t xml:space="preserve">We relied on these estimates in the draft decision. </w:t>
      </w:r>
      <w:r w:rsidR="00AF1D81">
        <w:t>U</w:t>
      </w:r>
      <w:r w:rsidR="00090E98">
        <w:t>pdated analysis of the ATO data to the 2012 tax year by NERA and Handley indicate</w:t>
      </w:r>
      <w:r w:rsidR="009D05E8">
        <w:t>s</w:t>
      </w:r>
      <w:r w:rsidR="00090E98">
        <w:t xml:space="preserve"> that the distribution rate over only listed equity has fallen slightly.</w:t>
      </w:r>
      <w:r w:rsidR="00090E98">
        <w:rPr>
          <w:rStyle w:val="FootnoteReference"/>
        </w:rPr>
        <w:footnoteReference w:id="80"/>
      </w:r>
      <w:r w:rsidR="00090E98">
        <w:t xml:space="preserve"> With regard to this updated analysis, in this final decision we use an estimate of the distribution rate over only listed equity of 0.77. </w:t>
      </w:r>
    </w:p>
    <w:p w:rsidR="009B2ABF" w:rsidRDefault="009B2ABF" w:rsidP="009B2ABF">
      <w:pPr>
        <w:numPr>
          <w:ilvl w:val="0"/>
          <w:numId w:val="25"/>
        </w:numPr>
      </w:pP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8B5404">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based on evidence from </w:t>
      </w:r>
      <w:r w:rsidR="001C274C">
        <w:t>only listed equity</w:t>
      </w:r>
      <w:r w:rsidRPr="00CE7F4B">
        <w:t>.</w:t>
      </w:r>
      <w:r>
        <w:rPr>
          <w:rStyle w:val="FootnoteReference"/>
        </w:rPr>
        <w:footnoteReference w:id="81"/>
      </w:r>
      <w:r w:rsidRPr="00CE7F4B">
        <w:t xml:space="preserve"> We disagr</w:t>
      </w:r>
      <w:r>
        <w:t xml:space="preserve">ee and set out our reasons in section </w:t>
      </w:r>
      <w:r>
        <w:fldChar w:fldCharType="begin"/>
      </w:r>
      <w:r>
        <w:instrText xml:space="preserve"> REF _Ref414289334 \r \h </w:instrText>
      </w:r>
      <w:r>
        <w:fldChar w:fldCharType="separate"/>
      </w:r>
      <w:r w:rsidR="008B5404">
        <w:t>A.10.1</w:t>
      </w:r>
      <w:r>
        <w:fldChar w:fldCharType="end"/>
      </w:r>
      <w:r>
        <w:t xml:space="preserve"> of appendix A</w:t>
      </w:r>
      <w:r w:rsidRPr="00CE7F4B">
        <w:t>.</w:t>
      </w:r>
    </w:p>
    <w:p w:rsidR="00FE182A" w:rsidRDefault="00FE182A" w:rsidP="001754EE">
      <w:pPr>
        <w:pStyle w:val="Heading3"/>
      </w:pPr>
      <w:bookmarkStart w:id="40" w:name="_Ref414289593"/>
      <w:r>
        <w:t>The utilisation rate</w:t>
      </w:r>
      <w:bookmarkEnd w:id="40"/>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w:t>
      </w:r>
      <w:r>
        <w:lastRenderedPageBreak/>
        <w:t xml:space="preserve">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82"/>
      </w:r>
      <w:r>
        <w:t xml:space="preserve">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8B5404">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8B5404">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8B5404">
        <w:t xml:space="preserve">Table </w:t>
      </w:r>
      <w:r w:rsidR="008B5404">
        <w:rPr>
          <w:noProof/>
        </w:rPr>
        <w:t>4</w:t>
      </w:r>
      <w:r w:rsidR="008B5404">
        <w:noBreakHyphen/>
      </w:r>
      <w:r w:rsidR="008B5404">
        <w:rPr>
          <w:noProof/>
        </w:rPr>
        <w:t>1</w:t>
      </w:r>
      <w:r>
        <w:fldChar w:fldCharType="end"/>
      </w:r>
      <w:r>
        <w:t xml:space="preserve"> and </w:t>
      </w:r>
      <w:r>
        <w:fldChar w:fldCharType="begin"/>
      </w:r>
      <w:r>
        <w:instrText xml:space="preserve"> REF  _Ref404072148 \* Lower \h </w:instrText>
      </w:r>
      <w:r>
        <w:fldChar w:fldCharType="separate"/>
      </w:r>
      <w:r w:rsidR="008B5404">
        <w:t xml:space="preserve">Table </w:t>
      </w:r>
      <w:r w:rsidR="008B5404">
        <w:rPr>
          <w:noProof/>
        </w:rPr>
        <w:t>4</w:t>
      </w:r>
      <w:r w:rsidR="008B5404">
        <w:noBreakHyphen/>
      </w:r>
      <w:r w:rsidR="008B5404">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83"/>
      </w:r>
      <w:r>
        <w:t xml:space="preserve"> We discuss each approach in the sections below.</w:t>
      </w:r>
      <w:r>
        <w:rPr>
          <w:rStyle w:val="FootnoteReference"/>
        </w:rPr>
        <w:footnoteReference w:id="84"/>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8B5404">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85"/>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lastRenderedPageBreak/>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8B5404">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8B5404">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86"/>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8B5404">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7"/>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w:t>
      </w:r>
      <w:r>
        <w:lastRenderedPageBreak/>
        <w:t xml:space="preserve">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Pr>
          <w:rStyle w:val="FootnoteReference"/>
        </w:rPr>
        <w:footnoteReference w:id="88"/>
      </w:r>
      <w:r>
        <w:t xml:space="preserve"> Lally considered that the tax statistics approach lacks precision, and he did not prefer it to the equity ownership approach.</w:t>
      </w:r>
      <w:r>
        <w:rPr>
          <w:rStyle w:val="FootnoteReference"/>
        </w:rPr>
        <w:footnoteReference w:id="89"/>
      </w:r>
      <w:r>
        <w:t xml:space="preserve">  However, Lally still preferred tax statistics to implied market value studies which he considered to be even more problematic.</w:t>
      </w:r>
      <w:r w:rsidR="002C640C">
        <w:rPr>
          <w:rStyle w:val="FootnoteReference"/>
        </w:rPr>
        <w:footnoteReference w:id="90"/>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91"/>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92"/>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93"/>
      </w:r>
      <w:r w:rsidR="00846525">
        <w:t xml:space="preserve"> </w:t>
      </w:r>
    </w:p>
    <w:p w:rsidR="008D1665" w:rsidRDefault="008D1665" w:rsidP="008D1665">
      <w:pPr>
        <w:numPr>
          <w:ilvl w:val="0"/>
          <w:numId w:val="25"/>
        </w:numPr>
      </w:pPr>
      <w:r>
        <w:t xml:space="preserve">With regard to Hathaway's analysis, </w:t>
      </w:r>
      <w:r w:rsidR="00310914">
        <w:t xml:space="preserve">in the draft decision </w:t>
      </w:r>
      <w:r>
        <w:t>we consider</w:t>
      </w:r>
      <w:r w:rsidR="00310914">
        <w:t>ed</w:t>
      </w:r>
      <w:r>
        <w:t xml:space="preserve"> that tax statistics support</w:t>
      </w:r>
      <w:r w:rsidR="00310914">
        <w:t>ed</w:t>
      </w:r>
      <w:r>
        <w:t xml:space="preserve"> an estimate of the utilisation rate between 0.4 and 0.6.</w:t>
      </w:r>
      <w:r>
        <w:rPr>
          <w:rStyle w:val="FootnoteReference"/>
        </w:rPr>
        <w:footnoteReference w:id="94"/>
      </w:r>
      <w:r>
        <w:t xml:space="preserve"> However, </w:t>
      </w:r>
      <w:r w:rsidR="00310914">
        <w:t xml:space="preserve">we also recognised in the draft decision that </w:t>
      </w:r>
      <w:r>
        <w:t>our estimate of the distribution rate</w:t>
      </w:r>
      <w:r w:rsidR="00310914">
        <w:t xml:space="preserve"> (0.7)</w:t>
      </w:r>
      <w:r>
        <w:t xml:space="preserve"> implie</w:t>
      </w:r>
      <w:r w:rsidR="00310914">
        <w:t>d</w:t>
      </w:r>
      <w:r>
        <w:t xml:space="preserve"> that we should adopt a utilisation rate of around 0.43 from within this range for consistency. This </w:t>
      </w:r>
      <w:r>
        <w:lastRenderedPageBreak/>
        <w:t xml:space="preserve">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t>d</w:t>
      </w:r>
      <w:r w:rsidRPr="008D1665">
        <w:t>erived from post-2004 data, consistent with Hathaway's findings that the ATO statistics are subject to a number of issues prior to 2004,</w:t>
      </w:r>
      <w:r w:rsidRPr="008D1665">
        <w:rPr>
          <w:rStyle w:val="FootnoteReference"/>
        </w:rPr>
        <w:footnoteReference w:id="95"/>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384981" w:rsidRDefault="00384981" w:rsidP="008D1665">
      <w:pPr>
        <w:numPr>
          <w:ilvl w:val="0"/>
          <w:numId w:val="25"/>
        </w:numPr>
      </w:pPr>
      <w:r>
        <w:t xml:space="preserve">In this final decision we </w:t>
      </w:r>
      <w:r w:rsidR="00340B37">
        <w:t>have regard to</w:t>
      </w:r>
      <w:r>
        <w:t xml:space="preserve"> NERA's updated analysis of the ATO data to the 2012 tax year.</w:t>
      </w:r>
      <w:r>
        <w:rPr>
          <w:rStyle w:val="FootnoteReference"/>
        </w:rPr>
        <w:footnoteReference w:id="96"/>
      </w:r>
      <w:r>
        <w:t xml:space="preserve"> This analysis supports a distribution rate of 0.7 and a utilisation rate of 0.45.</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8B5404">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97"/>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8B5404">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8B5404">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w:t>
      </w:r>
      <w:r w:rsidR="008D1665">
        <w:lastRenderedPageBreak/>
        <w:t>rate than the equity ownership approach and tax statistics.</w:t>
      </w:r>
      <w:r w:rsidR="008D1665">
        <w:rPr>
          <w:rStyle w:val="FootnoteReference"/>
        </w:rPr>
        <w:footnoteReference w:id="98"/>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9"/>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8B5404">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8B5404">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100"/>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101"/>
      </w:r>
    </w:p>
    <w:p w:rsidR="008D1665" w:rsidRPr="008D1665" w:rsidRDefault="008D1665" w:rsidP="008D1665">
      <w:pPr>
        <w:pStyle w:val="AERbulletlistfirststyle"/>
      </w:pPr>
      <w:r>
        <w:t xml:space="preserve">Lally </w:t>
      </w:r>
      <w:r w:rsidRPr="008D1665">
        <w:t xml:space="preserve">concurred with the view that implied market value studies 'warrant low weight', but suggested that some studies are more useful than others based on their </w:t>
      </w:r>
      <w:r w:rsidRPr="008D1665">
        <w:lastRenderedPageBreak/>
        <w:t>characteristics.</w:t>
      </w:r>
      <w:r w:rsidRPr="008D1665">
        <w:rPr>
          <w:rStyle w:val="FootnoteReference"/>
        </w:rPr>
        <w:footnoteReference w:id="102"/>
      </w:r>
      <w:r w:rsidR="00725A26">
        <w:t xml:space="preserve"> Lally also raised a number of issues in relation to SFG</w:t>
      </w:r>
      <w:r w:rsidR="00EB4959">
        <w:t>'s</w:t>
      </w:r>
      <w:r w:rsidR="00725A26">
        <w:t xml:space="preserve"> dividend drop off study.</w:t>
      </w:r>
      <w:r w:rsidR="00725A26">
        <w:rPr>
          <w:rStyle w:val="FootnoteReference"/>
        </w:rPr>
        <w:footnoteReference w:id="103"/>
      </w:r>
    </w:p>
    <w:p w:rsidR="008D1665" w:rsidRPr="008D1665" w:rsidRDefault="008D1665" w:rsidP="008D1665">
      <w:pPr>
        <w:pStyle w:val="AERbulletlistfirststyle"/>
      </w:pPr>
      <w:r>
        <w:t>McKenzie and Partington consider</w:t>
      </w:r>
      <w:r w:rsidRPr="008D1665">
        <w:t>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8D1665">
        <w:rPr>
          <w:rStyle w:val="FootnoteReference"/>
        </w:rPr>
        <w:footnoteReference w:id="104"/>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105"/>
      </w:r>
      <w:r>
        <w:t xml:space="preserve"> To remove the effect, they advised that the estimate of the utilisation rate from a given study can be divided by investors' estimated valuation of dividends from the same study.</w:t>
      </w:r>
      <w:r>
        <w:rPr>
          <w:rStyle w:val="FootnoteReference"/>
        </w:rPr>
        <w:footnoteReference w:id="106"/>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lastRenderedPageBreak/>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107"/>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8"/>
      </w:r>
      <w:r w:rsidR="00313C79">
        <w:t xml:space="preserve"> </w:t>
      </w:r>
    </w:p>
    <w:p w:rsidR="002030C9" w:rsidRDefault="002030C9" w:rsidP="008D1665">
      <w:pPr>
        <w:numPr>
          <w:ilvl w:val="0"/>
          <w:numId w:val="25"/>
        </w:numPr>
      </w:pPr>
      <w:r>
        <w:t>Ultimate</w:t>
      </w:r>
      <w:r w:rsidR="00367EDE">
        <w:t xml:space="preserve">ly, as discussed in section </w:t>
      </w:r>
      <w:r w:rsidR="003663DE">
        <w:fldChar w:fldCharType="begin"/>
      </w:r>
      <w:r w:rsidR="003663DE">
        <w:instrText xml:space="preserve"> REF _Ref414907434 \r \h </w:instrText>
      </w:r>
      <w:r w:rsidR="003663DE">
        <w:fldChar w:fldCharType="separate"/>
      </w:r>
      <w:r w:rsidR="008B5404">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9"/>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8B5404">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8B5404">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8B5404">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8B5404">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B6E4A" w:rsidP="006E1716">
      <w:pPr>
        <w:pStyle w:val="AERbulletlistfirststyle"/>
      </w:pPr>
      <w:r>
        <w:t>t</w:t>
      </w:r>
      <w:r w:rsidR="006E1716">
        <w:t>he use of implied market value studies to estimate the value of imputation credits is consistent with the approach to estimating other rate of return parameters</w:t>
      </w:r>
    </w:p>
    <w:p w:rsidR="006E1716" w:rsidRDefault="006B6E4A" w:rsidP="006E1716">
      <w:pPr>
        <w:pStyle w:val="AERbulletlistfirststyle"/>
      </w:pPr>
      <w:r>
        <w:t>a</w:t>
      </w:r>
      <w:r w:rsidR="00C20980">
        <w:t>n adjustment can be made to the results of SFG's dividend drop off study to account for the differences between our and the service providers' interpretation</w:t>
      </w:r>
      <w:r w:rsidR="00E76C30">
        <w:t>s</w:t>
      </w:r>
      <w:r w:rsidR="00C20980">
        <w:t xml:space="preserve"> of the utilisation rate</w:t>
      </w:r>
      <w:r>
        <w:t>, and</w:t>
      </w:r>
    </w:p>
    <w:p w:rsidR="00C20980" w:rsidRDefault="006B6E4A" w:rsidP="006E1716">
      <w:pPr>
        <w:pStyle w:val="AERbulletlistfirststyle"/>
      </w:pPr>
      <w:r>
        <w:t>s</w:t>
      </w:r>
      <w:r w:rsidR="00C20980">
        <w:t xml:space="preserve">everal of the limitations </w:t>
      </w:r>
      <w:r w:rsidR="00E76C30">
        <w:t>that</w:t>
      </w:r>
      <w:r w:rsidR="00C20980">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8B5404">
        <w:t>A.14</w:t>
      </w:r>
      <w:r w:rsidR="00C31B22">
        <w:fldChar w:fldCharType="end"/>
      </w:r>
      <w:r>
        <w:t xml:space="preserve"> of appendix A.</w:t>
      </w:r>
    </w:p>
    <w:p w:rsidR="00091B15" w:rsidRDefault="00B168A4" w:rsidP="00091B15">
      <w:pPr>
        <w:pStyle w:val="Heading7"/>
      </w:pPr>
      <w:bookmarkStart w:id="41" w:name="_Toc420330939"/>
      <w:r>
        <w:lastRenderedPageBreak/>
        <w:t>Value of imputation credits: Detailed analysis</w:t>
      </w:r>
      <w:bookmarkEnd w:id="41"/>
    </w:p>
    <w:p w:rsidR="00076A67" w:rsidRPr="00076A67" w:rsidRDefault="00076A67" w:rsidP="00076A67">
      <w:r w:rsidRPr="00076A67">
        <w:t xml:space="preserve">In attachment 4, we set out our </w:t>
      </w:r>
      <w:r w:rsidR="00491828">
        <w:t>decision</w:t>
      </w:r>
      <w:r w:rsidRPr="00076A67">
        <w:t xml:space="preserve"> on the value of imputation credits—which is to adopt a value of 0.4—and our key reasons for that </w:t>
      </w:r>
      <w:r w:rsidR="00491828">
        <w:t>view</w:t>
      </w:r>
      <w:r w:rsidRPr="00076A67">
        <w:t xml:space="preserve">. We also indicated the position submitted to us by </w:t>
      </w:r>
      <w:r w:rsidR="009D11C4">
        <w:t xml:space="preserve">the </w:t>
      </w:r>
      <w:r w:rsidRPr="00076A67">
        <w:t>service providers</w:t>
      </w:r>
      <w:r w:rsidR="009D11C4">
        <w:t xml:space="preserve"> </w:t>
      </w:r>
      <w:r w:rsidR="009D11C4" w:rsidRPr="00076A67">
        <w:t>(ActewAGL, Ausgrid, Directlink, Endeavour Energy, Essential Energy, JGN and TransGrid)</w:t>
      </w:r>
      <w:r w:rsidRPr="00076A67">
        <w:t xml:space="preserve">, and briefly set out our consideration of that position. In this appendix, we set out further supporting material for our </w:t>
      </w:r>
      <w:r w:rsidR="00491828">
        <w:t>decision</w:t>
      </w:r>
      <w:r w:rsidRPr="00076A67">
        <w:t xml:space="preserve"> on the value of imputation credits. We also respond in more detail to the position submitted to us by </w:t>
      </w:r>
      <w:r w:rsidR="009D11C4">
        <w:t xml:space="preserve">the </w:t>
      </w:r>
      <w:r w:rsidRPr="00076A67">
        <w:t>service providers.</w:t>
      </w:r>
    </w:p>
    <w:p w:rsidR="00B168A4" w:rsidRPr="00B168A4" w:rsidRDefault="00076A67" w:rsidP="00076A67">
      <w:r w:rsidRPr="00076A67">
        <w:t xml:space="preserve">All </w:t>
      </w:r>
      <w:r w:rsidR="009D11C4">
        <w:t xml:space="preserve">of the </w:t>
      </w:r>
      <w:r w:rsidRPr="00076A67">
        <w:t xml:space="preserve">service providers proposed a value of imputation credits of 0.25. The reasons submitted by </w:t>
      </w:r>
      <w:r w:rsidR="009D11C4">
        <w:t>the</w:t>
      </w:r>
      <w:r w:rsidR="009D11C4" w:rsidRPr="00076A67">
        <w:t xml:space="preserve"> </w:t>
      </w:r>
      <w:r w:rsidRPr="00076A67">
        <w:t xml:space="preserve">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w:t>
      </w:r>
      <w:r w:rsidR="00EC3176">
        <w:t>broadly</w:t>
      </w:r>
      <w:r w:rsidRPr="00076A67">
        <w:t xml:space="preserve"> consistent with our analysis of the proposals from </w:t>
      </w:r>
      <w:r w:rsidR="00EC3176">
        <w:t>the</w:t>
      </w:r>
      <w:r w:rsidR="00EC3176" w:rsidRPr="00076A67">
        <w:t xml:space="preserve"> </w:t>
      </w:r>
      <w:r w:rsidRPr="00076A67">
        <w:t>other service providers.</w:t>
      </w:r>
      <w:r w:rsidR="00EC3176">
        <w:t xml:space="preserve"> The only material difference between this appendix and the appendi</w:t>
      </w:r>
      <w:r w:rsidR="008F2991">
        <w:t>ces</w:t>
      </w:r>
      <w:r w:rsidR="00EC3176">
        <w:t xml:space="preserve"> for those other service providers is that we have in this appendix had regard to new expert reports from NERA and Handley.</w:t>
      </w:r>
      <w:r w:rsidR="00EC3176">
        <w:rPr>
          <w:rStyle w:val="FootnoteReference"/>
        </w:rPr>
        <w:footnoteReference w:id="110"/>
      </w:r>
    </w:p>
    <w:p w:rsidR="00091B15" w:rsidRDefault="000222ED" w:rsidP="00091B15">
      <w:pPr>
        <w:pStyle w:val="Heading8"/>
      </w:pPr>
      <w:bookmarkStart w:id="42" w:name="_Ref414621676"/>
      <w:bookmarkStart w:id="43" w:name="_Toc420330940"/>
      <w:r>
        <w:t>Expert views on the value of imputation credits</w:t>
      </w:r>
      <w:bookmarkEnd w:id="42"/>
      <w:bookmarkEnd w:id="43"/>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8B5404" w:rsidRPr="009421A7">
        <w:t xml:space="preserve">Table </w:t>
      </w:r>
      <w:r w:rsidR="008B5404">
        <w:rPr>
          <w:noProof/>
        </w:rPr>
        <w:t>4</w:t>
      </w:r>
      <w:r w:rsidR="008B5404">
        <w:noBreakHyphen/>
      </w:r>
      <w:r w:rsidR="008B5404">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4" w:name="_Ref400609043"/>
      <w:r w:rsidRPr="009421A7">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3</w:t>
      </w:r>
      <w:r w:rsidR="008B5404">
        <w:rPr>
          <w:noProof/>
        </w:rPr>
        <w:fldChar w:fldCharType="end"/>
      </w:r>
      <w:bookmarkEnd w:id="44"/>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11"/>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12"/>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EA6FAD">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13"/>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14"/>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15"/>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16"/>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8B5404">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5" w:name="_Ref414621875"/>
      <w:bookmarkStart w:id="46" w:name="_Toc420330941"/>
      <w:r>
        <w:t>The value of imputation credits used by other regulators</w:t>
      </w:r>
      <w:bookmarkEnd w:id="45"/>
      <w:bookmarkEnd w:id="46"/>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8B5404">
        <w:t xml:space="preserve">Table </w:t>
      </w:r>
      <w:r w:rsidR="008B5404">
        <w:rPr>
          <w:noProof/>
        </w:rPr>
        <w:t>4</w:t>
      </w:r>
      <w:r w:rsidR="008B5404">
        <w:noBreakHyphen/>
      </w:r>
      <w:r w:rsidR="008B5404">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7" w:name="_Ref401082422"/>
      <w:r>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4</w:t>
      </w:r>
      <w:r w:rsidR="008B5404">
        <w:rPr>
          <w:noProof/>
        </w:rPr>
        <w:fldChar w:fldCharType="end"/>
      </w:r>
      <w:bookmarkEnd w:id="47"/>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17"/>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18"/>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9"/>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20"/>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21"/>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22"/>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8" w:name="_Toc420330942"/>
      <w:r w:rsidRPr="008B661B">
        <w:t>Previous Australian Competition Tribunal considerations</w:t>
      </w:r>
      <w:bookmarkEnd w:id="48"/>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23"/>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8B5404" w:rsidRPr="000E711B">
        <w:t>Table</w:t>
      </w:r>
      <w:r w:rsidR="008B5404" w:rsidRPr="000E711B">
        <w:rPr>
          <w:noProof/>
        </w:rPr>
        <w:t xml:space="preserve"> </w:t>
      </w:r>
      <w:r w:rsidR="008B5404">
        <w:rPr>
          <w:noProof/>
        </w:rPr>
        <w:t>4</w:t>
      </w:r>
      <w:r w:rsidR="008B5404">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9" w:name="_Ref400609646"/>
      <w:bookmarkStart w:id="50" w:name="_Ref401260171"/>
      <w:r w:rsidRPr="000E711B">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5</w:t>
      </w:r>
      <w:r w:rsidR="008B5404">
        <w:rPr>
          <w:noProof/>
        </w:rPr>
        <w:fldChar w:fldCharType="end"/>
      </w:r>
      <w:bookmarkEnd w:id="49"/>
      <w:r w:rsidRPr="000E711B">
        <w:tab/>
        <w:t>Australian Competition Tribunal's observations on imputation credits</w:t>
      </w:r>
      <w:bookmarkEnd w:id="50"/>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1F1D40">
            <w:pPr>
              <w:jc w:val="lef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1F1D40">
            <w:pPr>
              <w:jc w:val="left"/>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24"/>
            </w:r>
          </w:p>
        </w:tc>
        <w:tc>
          <w:tcPr>
            <w:tcW w:w="1945" w:type="pct"/>
          </w:tcPr>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1F1D40">
              <w:instrText xml:space="preserve"> \* MERGEFORMAT </w:instrText>
            </w:r>
            <w:r w:rsidR="00A15048">
              <w:fldChar w:fldCharType="separate"/>
            </w:r>
            <w:r w:rsidR="008B5404">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8B5404">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1F1D40">
            <w:pPr>
              <w:jc w:val="left"/>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25"/>
            </w:r>
          </w:p>
        </w:tc>
        <w:tc>
          <w:tcPr>
            <w:tcW w:w="1945" w:type="pct"/>
          </w:tcPr>
          <w:p w:rsidR="008B661B" w:rsidRPr="000E711B" w:rsidRDefault="008B661B" w:rsidP="001F1D40">
            <w:pPr>
              <w:jc w:val="left"/>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8B5404">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8B5404">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w:t>
            </w:r>
            <w:r w:rsidR="00604706">
              <w:t>7</w:t>
            </w:r>
            <w:r w:rsidR="00E92E9F">
              <w:t>7</w:t>
            </w:r>
            <w:r>
              <w:t>.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1F1D40">
            <w:pPr>
              <w:jc w:val="lef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26"/>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27"/>
            </w:r>
          </w:p>
        </w:tc>
        <w:tc>
          <w:tcPr>
            <w:tcW w:w="1945" w:type="pct"/>
          </w:tcPr>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8B5404">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8B5404">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1F1D40">
            <w:pPr>
              <w:jc w:val="lef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1F1D40">
            <w:pPr>
              <w:jc w:val="lef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28"/>
            </w:r>
          </w:p>
        </w:tc>
        <w:tc>
          <w:tcPr>
            <w:tcW w:w="1945" w:type="pct"/>
          </w:tcPr>
          <w:p w:rsidR="008B661B" w:rsidRPr="000E711B" w:rsidRDefault="008B661B" w:rsidP="001F1D40">
            <w:pPr>
              <w:jc w:val="left"/>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8B5404">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8B5404">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9"/>
            </w:r>
          </w:p>
        </w:tc>
        <w:tc>
          <w:tcPr>
            <w:tcW w:w="1945" w:type="pct"/>
          </w:tcPr>
          <w:p w:rsidR="008B661B" w:rsidRPr="000E711B" w:rsidRDefault="008B661B" w:rsidP="001F1D40">
            <w:pPr>
              <w:jc w:val="lef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30"/>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31"/>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32"/>
      </w:r>
    </w:p>
    <w:p w:rsidR="00ED6A81" w:rsidRDefault="0046390C" w:rsidP="00615CE6">
      <w:pPr>
        <w:pStyle w:val="Heading8"/>
      </w:pPr>
      <w:bookmarkStart w:id="51" w:name="_Ref415070393"/>
      <w:bookmarkStart w:id="52" w:name="_Toc420330943"/>
      <w:bookmarkStart w:id="53" w:name="_Ref400961862"/>
      <w:r>
        <w:t>Key concerns of</w:t>
      </w:r>
      <w:r w:rsidR="002630C5">
        <w:t xml:space="preserve"> the service providers</w:t>
      </w:r>
      <w:bookmarkEnd w:id="51"/>
      <w:bookmarkEnd w:id="52"/>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33"/>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8B5404">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8B5404">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8B5404">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8B5404">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8B5404">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8B5404">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8B5404">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8B5404">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8B5404">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8B5404">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8B5404">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8B5404">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8B5404">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8B5404">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8B5404">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8B5404">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8B5404">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8B5404">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4" w:name="_Ref415144114"/>
      <w:bookmarkStart w:id="55" w:name="_Toc420330944"/>
      <w:r>
        <w:t xml:space="preserve">The role </w:t>
      </w:r>
      <w:r w:rsidRPr="00615CE6">
        <w:t>of</w:t>
      </w:r>
      <w:r>
        <w:t xml:space="preserve"> the value of imputation credits in the regulatory framework</w:t>
      </w:r>
      <w:bookmarkEnd w:id="53"/>
      <w:bookmarkEnd w:id="54"/>
      <w:bookmarkEnd w:id="55"/>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34"/>
      </w:r>
      <w:r w:rsidRPr="009D12C3">
        <w:t xml:space="preserve">  The function of this building block revenue estimate is to determine the revenue that a service provider requires to:</w:t>
      </w:r>
    </w:p>
    <w:p w:rsidR="00615CE6" w:rsidRPr="00615CE6" w:rsidRDefault="0084249F" w:rsidP="00615CE6">
      <w:pPr>
        <w:pStyle w:val="AERbulletlistfirststyle"/>
      </w:pPr>
      <w:r>
        <w:t>f</w:t>
      </w:r>
      <w:r w:rsidR="00615CE6" w:rsidRPr="009D12C3">
        <w:t>und its operating expenses.</w:t>
      </w:r>
    </w:p>
    <w:p w:rsidR="00615CE6" w:rsidRPr="00615CE6" w:rsidRDefault="0084249F" w:rsidP="00615CE6">
      <w:pPr>
        <w:pStyle w:val="AERbulletlistfirststyle"/>
      </w:pPr>
      <w:r>
        <w:t>a</w:t>
      </w:r>
      <w:r w:rsidR="00615CE6" w:rsidRPr="009D12C3">
        <w:t>chieve adequate returns to raise debt and equity in order to finance its capital investments. This is made up</w:t>
      </w:r>
      <w:r w:rsidR="00615CE6" w:rsidRPr="00615CE6">
        <w:t xml:space="preserve"> of a rate of return on capital to compensate investors for the risks of investment. It also includes a return of capital (depreciation), which gradually </w:t>
      </w:r>
      <w:r w:rsidR="00615CE6" w:rsidRPr="00615CE6">
        <w:lastRenderedPageBreak/>
        <w:t>returns the initial principal of the investment, and subsequent investments, back to investors.</w:t>
      </w:r>
    </w:p>
    <w:p w:rsidR="00615CE6" w:rsidRPr="00615CE6" w:rsidRDefault="0084249F" w:rsidP="00615CE6">
      <w:pPr>
        <w:pStyle w:val="AERbulletlistfirststyle"/>
      </w:pPr>
      <w:r>
        <w:t>p</w:t>
      </w:r>
      <w:r w:rsidR="00615CE6" w:rsidRPr="009D12C3">
        <w:t>ay its tax liability.</w:t>
      </w:r>
    </w:p>
    <w:p w:rsidR="00615CE6" w:rsidRPr="00615CE6" w:rsidRDefault="0084249F" w:rsidP="00615CE6">
      <w:pPr>
        <w:pStyle w:val="AERbulletlistfirststyle"/>
      </w:pPr>
      <w:r>
        <w:t>r</w:t>
      </w:r>
      <w:r w:rsidR="00615CE6" w:rsidRPr="009D12C3">
        <w:t xml:space="preserve">eflect any </w:t>
      </w:r>
      <w:r w:rsidR="00615CE6"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35"/>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8B5404">
        <w:t>A.6</w:t>
      </w:r>
      <w:r>
        <w:fldChar w:fldCharType="end"/>
      </w:r>
      <w:r>
        <w:t xml:space="preserve">, </w:t>
      </w:r>
      <w:r>
        <w:fldChar w:fldCharType="begin"/>
      </w:r>
      <w:r>
        <w:instrText xml:space="preserve"> REF _Ref414028398 \r \h </w:instrText>
      </w:r>
      <w:r>
        <w:fldChar w:fldCharType="separate"/>
      </w:r>
      <w:r w:rsidR="008B5404">
        <w:t>A.7.3</w:t>
      </w:r>
      <w:r>
        <w:fldChar w:fldCharType="end"/>
      </w:r>
      <w:r>
        <w:t xml:space="preserve"> and </w:t>
      </w:r>
      <w:r>
        <w:fldChar w:fldCharType="begin"/>
      </w:r>
      <w:r>
        <w:instrText xml:space="preserve"> REF _Ref401748758 \r \h </w:instrText>
      </w:r>
      <w:r>
        <w:fldChar w:fldCharType="separate"/>
      </w:r>
      <w:r w:rsidR="008B5404">
        <w:t>A.8.1</w:t>
      </w:r>
      <w:r>
        <w:fldChar w:fldCharType="end"/>
      </w:r>
      <w:r>
        <w:t>.</w:t>
      </w:r>
    </w:p>
    <w:p w:rsidR="00615CE6" w:rsidRDefault="00615CE6" w:rsidP="00615CE6">
      <w:pPr>
        <w:pStyle w:val="Heading9"/>
      </w:pPr>
      <w:bookmarkStart w:id="56" w:name="_Ref400962032"/>
      <w:r>
        <w:t xml:space="preserve">The tax </w:t>
      </w:r>
      <w:r w:rsidRPr="00615CE6">
        <w:t>building</w:t>
      </w:r>
      <w:r>
        <w:t xml:space="preserve"> block</w:t>
      </w:r>
      <w:bookmarkEnd w:id="56"/>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36"/>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8B5404"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8B5404"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37"/>
      </w:r>
    </w:p>
    <w:p w:rsidR="00A3557D" w:rsidRDefault="00A3557D" w:rsidP="00A3557D">
      <w:pPr>
        <w:pStyle w:val="Heading8"/>
      </w:pPr>
      <w:bookmarkStart w:id="57" w:name="_Ref400965182"/>
      <w:bookmarkStart w:id="58" w:name="_Toc420330945"/>
      <w:r w:rsidRPr="00A3557D">
        <w:t>The</w:t>
      </w:r>
      <w:r>
        <w:t xml:space="preserve"> conceptual framework for the value of imputation credits</w:t>
      </w:r>
      <w:bookmarkEnd w:id="57"/>
      <w:bookmarkEnd w:id="58"/>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8B5404">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38"/>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9"/>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40"/>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41"/>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42"/>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43"/>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44"/>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45"/>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46"/>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8B5404">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8B5404">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8B5404">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47"/>
      </w:r>
      <w:r>
        <w:t xml:space="preserve"> We discuss Handley's advice on this matter further in section </w:t>
      </w:r>
      <w:r>
        <w:fldChar w:fldCharType="begin"/>
      </w:r>
      <w:r>
        <w:instrText xml:space="preserve"> REF _Ref401748758 \r \h </w:instrText>
      </w:r>
      <w:r>
        <w:fldChar w:fldCharType="separate"/>
      </w:r>
      <w:r w:rsidR="008B5404">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48"/>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9" w:name="_Ref414282622"/>
      <w:bookmarkStart w:id="60" w:name="_Toc420330946"/>
      <w:r w:rsidRPr="00977EFF">
        <w:t>SFG's</w:t>
      </w:r>
      <w:r>
        <w:t xml:space="preserve"> comments on the conceptual framework</w:t>
      </w:r>
      <w:bookmarkEnd w:id="59"/>
      <w:bookmarkEnd w:id="60"/>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61"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9"/>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8B5404">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50"/>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51"/>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8B5404">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61"/>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52"/>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53"/>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54"/>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62" w:name="_Ref414028398"/>
      <w:r>
        <w:t>SFG's comments on Offi</w:t>
      </w:r>
      <w:r w:rsidR="00F650D2">
        <w:t>cer (1994)</w:t>
      </w:r>
      <w:bookmarkEnd w:id="62"/>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55"/>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56"/>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57"/>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58"/>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9"/>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60"/>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61"/>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8B5404"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62"/>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8B5404">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63"/>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64"/>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65"/>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66"/>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67"/>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68"/>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9"/>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3" w:name="_Ref414623120"/>
      <w:bookmarkStart w:id="64" w:name="_Toc420330947"/>
      <w:r>
        <w:t>Further issues relating to the utilisation rate</w:t>
      </w:r>
      <w:bookmarkEnd w:id="63"/>
      <w:bookmarkEnd w:id="64"/>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8B5404">
        <w:t>A.6</w:t>
      </w:r>
      <w:r>
        <w:fldChar w:fldCharType="end"/>
      </w:r>
      <w:r>
        <w:t xml:space="preserve">, and in section </w:t>
      </w:r>
      <w:r w:rsidR="0003311D">
        <w:fldChar w:fldCharType="begin"/>
      </w:r>
      <w:r w:rsidR="0003311D">
        <w:instrText xml:space="preserve"> REF _Ref414289593 \r \h </w:instrText>
      </w:r>
      <w:r w:rsidR="0003311D">
        <w:fldChar w:fldCharType="separate"/>
      </w:r>
      <w:r w:rsidR="008B5404">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8B5404">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 xml:space="preserve">explain how our position is consistent with the basis of the building block framework </w:t>
      </w:r>
    </w:p>
    <w:p w:rsidR="001A0AD5" w:rsidRDefault="00600543" w:rsidP="00600543">
      <w:pPr>
        <w:pStyle w:val="AERbulletlistfirststyle"/>
      </w:pPr>
      <w:r>
        <w:t>contrast our position with that of the service providers, including with reference to factors they considered should be reflected in the utilisation rate</w:t>
      </w:r>
      <w:r w:rsidR="001A0AD5">
        <w:t>, and</w:t>
      </w:r>
    </w:p>
    <w:p w:rsidR="00600543" w:rsidRPr="00600543" w:rsidRDefault="001A0AD5" w:rsidP="00600543">
      <w:pPr>
        <w:pStyle w:val="AERbulletlistfirststyle"/>
      </w:pPr>
      <w:r>
        <w:t>respond to NERA's view.</w:t>
      </w:r>
    </w:p>
    <w:p w:rsidR="00600543" w:rsidRDefault="00600543" w:rsidP="00600543">
      <w:pPr>
        <w:pStyle w:val="Heading9"/>
      </w:pPr>
      <w:bookmarkStart w:id="65" w:name="_Ref401748758"/>
      <w:r w:rsidRPr="00600543">
        <w:t>Consistency</w:t>
      </w:r>
      <w:r>
        <w:t xml:space="preserve"> with the building block framework</w:t>
      </w:r>
      <w:bookmarkEnd w:id="65"/>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70"/>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71"/>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72"/>
      </w:r>
      <w:r w:rsidR="007017ED">
        <w:t xml:space="preserve"> Specifically, the service providers </w:t>
      </w:r>
      <w:r w:rsidR="004A726F">
        <w:t>submitted</w:t>
      </w:r>
      <w:r w:rsidR="007017ED">
        <w:t>:</w:t>
      </w:r>
      <w:r w:rsidR="007017ED">
        <w:rPr>
          <w:rStyle w:val="FootnoteReference"/>
        </w:rPr>
        <w:footnoteReference w:id="173"/>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74"/>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8B5404">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6" w:name="_Ref414099389"/>
      <w:r>
        <w:t>Factors affecting investors' valuation of imputation credits</w:t>
      </w:r>
      <w:bookmarkEnd w:id="66"/>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75"/>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76"/>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77"/>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78"/>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9"/>
      </w:r>
      <w:r w:rsidR="00106C16">
        <w:t xml:space="preserve"> Handley maintained this view in his April 2015 report.</w:t>
      </w:r>
      <w:r w:rsidR="00106C16">
        <w:rPr>
          <w:rStyle w:val="FootnoteReference"/>
        </w:rPr>
        <w:footnoteReference w:id="180"/>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81"/>
      </w:r>
      <w:r>
        <w:t xml:space="preserve"> We know that the amount of imputation credits attached to a dollar of fully franked dividends is $0.43 ($1 x 0.3/(1–0.3)).</w:t>
      </w:r>
      <w:r w:rsidR="00D712D1">
        <w:rPr>
          <w:rStyle w:val="FootnoteReference"/>
        </w:rPr>
        <w:footnoteReference w:id="182"/>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8B5404">
        <w:t xml:space="preserve">Table </w:t>
      </w:r>
      <w:r w:rsidR="008B5404">
        <w:rPr>
          <w:noProof/>
        </w:rPr>
        <w:t>4</w:t>
      </w:r>
      <w:r w:rsidR="008B5404">
        <w:noBreakHyphen/>
      </w:r>
      <w:r w:rsidR="008B5404">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83"/>
      </w:r>
      <w:r>
        <w:t xml:space="preserve"> This suggests that the 45-day holding rule is not having a material effect.</w:t>
      </w:r>
    </w:p>
    <w:p w:rsidR="00D52BA6" w:rsidRDefault="00D52BA6" w:rsidP="00D52BA6">
      <w:pPr>
        <w:pStyle w:val="Caption"/>
      </w:pPr>
      <w:bookmarkStart w:id="67" w:name="_Ref401848641"/>
      <w:r>
        <w:lastRenderedPageBreak/>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6</w:t>
      </w:r>
      <w:r w:rsidR="008B5404">
        <w:rPr>
          <w:noProof/>
        </w:rPr>
        <w:fldChar w:fldCharType="end"/>
      </w:r>
      <w:bookmarkEnd w:id="67"/>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84"/>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B5404">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85"/>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68" w:name="_Ref400540858"/>
      <w:r>
        <w:t>Transactions costs</w:t>
      </w:r>
      <w:bookmarkEnd w:id="68"/>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86"/>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87"/>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88"/>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9"/>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90"/>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91"/>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92"/>
      </w:r>
      <w:r>
        <w:t xml:space="preserve"> SFG's </w:t>
      </w:r>
      <w:r w:rsidR="00603831">
        <w:t>report</w:t>
      </w:r>
      <w:r>
        <w:t xml:space="preserve"> to the service providers on this topic referred to the 'cost of losing diversification'.</w:t>
      </w:r>
      <w:r>
        <w:rPr>
          <w:rStyle w:val="FootnoteReference"/>
        </w:rPr>
        <w:footnoteReference w:id="193"/>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8B5404">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94"/>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8B5404">
        <w:t xml:space="preserve">Figure </w:t>
      </w:r>
      <w:r w:rsidR="008B5404">
        <w:rPr>
          <w:noProof/>
        </w:rPr>
        <w:t>4</w:t>
      </w:r>
      <w:r w:rsidR="008B5404">
        <w:noBreakHyphen/>
      </w:r>
      <w:r w:rsidR="008B5404">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B5404">
        <w:t xml:space="preserve">Figure </w:t>
      </w:r>
      <w:r w:rsidR="008B5404">
        <w:rPr>
          <w:noProof/>
        </w:rPr>
        <w:t>4</w:t>
      </w:r>
      <w:r w:rsidR="008B5404">
        <w:noBreakHyphen/>
      </w:r>
      <w:r w:rsidR="008B5404">
        <w:rPr>
          <w:noProof/>
        </w:rPr>
        <w:t>2</w:t>
      </w:r>
      <w:r w:rsidR="00FB6971">
        <w:fldChar w:fldCharType="end"/>
      </w:r>
      <w:r w:rsidR="00545E09">
        <w:t xml:space="preserve">. </w:t>
      </w:r>
    </w:p>
    <w:p w:rsidR="00545B75" w:rsidRDefault="00A7103E" w:rsidP="00A7103E">
      <w:pPr>
        <w:pStyle w:val="Caption"/>
      </w:pPr>
      <w:bookmarkStart w:id="69" w:name="_Ref415078600"/>
      <w:r>
        <w:t xml:space="preserve">Figure </w:t>
      </w:r>
      <w:r w:rsidR="008B5404">
        <w:fldChar w:fldCharType="begin"/>
      </w:r>
      <w:r w:rsidR="008B5404">
        <w:instrText xml:space="preserve"> STYLEREF </w:instrText>
      </w:r>
      <w:r w:rsidR="008B5404">
        <w:instrText xml:space="preserve">1 \s </w:instrText>
      </w:r>
      <w:r w:rsidR="008B5404">
        <w:fldChar w:fldCharType="separate"/>
      </w:r>
      <w:r w:rsidR="008B5404">
        <w:rPr>
          <w:noProof/>
        </w:rPr>
        <w:t>4</w:t>
      </w:r>
      <w:r w:rsidR="008B5404">
        <w:rPr>
          <w:noProof/>
        </w:rPr>
        <w:fldChar w:fldCharType="end"/>
      </w:r>
      <w:r>
        <w:noBreakHyphen/>
      </w:r>
      <w:r w:rsidR="008B5404">
        <w:fldChar w:fldCharType="begin"/>
      </w:r>
      <w:r w:rsidR="008B5404">
        <w:instrText xml:space="preserve"> SEQ Figure \* ARABIC \s 1 </w:instrText>
      </w:r>
      <w:r w:rsidR="008B5404">
        <w:fldChar w:fldCharType="separate"/>
      </w:r>
      <w:r w:rsidR="008B5404">
        <w:rPr>
          <w:noProof/>
        </w:rPr>
        <w:t>1</w:t>
      </w:r>
      <w:r w:rsidR="008B5404">
        <w:rPr>
          <w:noProof/>
        </w:rPr>
        <w:fldChar w:fldCharType="end"/>
      </w:r>
      <w:bookmarkEnd w:id="69"/>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7001DE23" wp14:editId="12B3D57C">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70" w:name="_Ref415078618"/>
      <w:r>
        <w:lastRenderedPageBreak/>
        <w:t xml:space="preserve">Figure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noBreakHyphen/>
      </w:r>
      <w:r w:rsidR="008B5404">
        <w:fldChar w:fldCharType="begin"/>
      </w:r>
      <w:r w:rsidR="008B5404">
        <w:instrText xml:space="preserve"> SEQ Figure \* ARABIC \s 1 </w:instrText>
      </w:r>
      <w:r w:rsidR="008B5404">
        <w:fldChar w:fldCharType="separate"/>
      </w:r>
      <w:r w:rsidR="008B5404">
        <w:rPr>
          <w:noProof/>
        </w:rPr>
        <w:t>2</w:t>
      </w:r>
      <w:r w:rsidR="008B5404">
        <w:rPr>
          <w:noProof/>
        </w:rPr>
        <w:fldChar w:fldCharType="end"/>
      </w:r>
      <w:bookmarkEnd w:id="70"/>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1811B7C3" wp14:editId="7AC372C7">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8B5404">
        <w:t xml:space="preserve">Figure </w:t>
      </w:r>
      <w:r w:rsidR="008B5404">
        <w:rPr>
          <w:noProof/>
        </w:rPr>
        <w:t>4</w:t>
      </w:r>
      <w:r w:rsidR="008B5404">
        <w:noBreakHyphen/>
      </w:r>
      <w:r w:rsidR="008B5404">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B5404">
        <w:t xml:space="preserve">Figure </w:t>
      </w:r>
      <w:r w:rsidR="008B5404">
        <w:rPr>
          <w:noProof/>
        </w:rPr>
        <w:t>4</w:t>
      </w:r>
      <w:r w:rsidR="008B5404">
        <w:noBreakHyphen/>
      </w:r>
      <w:r w:rsidR="008B5404">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8B5404">
        <w:t xml:space="preserve">Figure </w:t>
      </w:r>
      <w:r w:rsidR="008B5404">
        <w:rPr>
          <w:noProof/>
        </w:rPr>
        <w:t>4</w:t>
      </w:r>
      <w:r w:rsidR="008B5404">
        <w:noBreakHyphen/>
      </w:r>
      <w:r w:rsidR="008B5404">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8B5404">
        <w:t xml:space="preserve">Figure </w:t>
      </w:r>
      <w:r w:rsidR="008B5404">
        <w:rPr>
          <w:noProof/>
        </w:rPr>
        <w:t>4</w:t>
      </w:r>
      <w:r w:rsidR="008B5404">
        <w:noBreakHyphen/>
      </w:r>
      <w:r w:rsidR="008B5404">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95"/>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8B5404">
        <w:t xml:space="preserve">Figure </w:t>
      </w:r>
      <w:r w:rsidR="008B5404">
        <w:rPr>
          <w:noProof/>
        </w:rPr>
        <w:t>4</w:t>
      </w:r>
      <w:r w:rsidR="008B5404">
        <w:noBreakHyphen/>
      </w:r>
      <w:r w:rsidR="008B5404">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8B5404">
        <w:t xml:space="preserve">Figure </w:t>
      </w:r>
      <w:r w:rsidR="008B5404">
        <w:rPr>
          <w:noProof/>
        </w:rPr>
        <w:t>4</w:t>
      </w:r>
      <w:r w:rsidR="008B5404">
        <w:noBreakHyphen/>
      </w:r>
      <w:r w:rsidR="008B5404">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8B5404">
        <w:t xml:space="preserve">Figure </w:t>
      </w:r>
      <w:r w:rsidR="008B5404">
        <w:rPr>
          <w:noProof/>
        </w:rPr>
        <w:t>4</w:t>
      </w:r>
      <w:r w:rsidR="008B5404">
        <w:noBreakHyphen/>
      </w:r>
      <w:r w:rsidR="008B5404">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8B5404">
        <w:t xml:space="preserve">Figure </w:t>
      </w:r>
      <w:r w:rsidR="008B5404">
        <w:rPr>
          <w:noProof/>
        </w:rPr>
        <w:t>4</w:t>
      </w:r>
      <w:r w:rsidR="008B5404">
        <w:noBreakHyphen/>
      </w:r>
      <w:r w:rsidR="008B5404">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8B5404">
        <w:t xml:space="preserve">Figure </w:t>
      </w:r>
      <w:r w:rsidR="008B5404">
        <w:rPr>
          <w:noProof/>
        </w:rPr>
        <w:t>4</w:t>
      </w:r>
      <w:r w:rsidR="008B5404">
        <w:noBreakHyphen/>
      </w:r>
      <w:r w:rsidR="008B5404">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96"/>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B5404">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97"/>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1A0AD5" w:rsidRDefault="001A0AD5" w:rsidP="00647E2E">
      <w:pPr>
        <w:pStyle w:val="Heading9"/>
      </w:pPr>
      <w:r>
        <w:t>NERA's comments on the utilisation rate</w:t>
      </w:r>
    </w:p>
    <w:p w:rsidR="001A0AD5" w:rsidRDefault="001A0AD5" w:rsidP="00647E2E">
      <w:r>
        <w:t>NERA submitted that theta is the value that a representative investor places on a dollar of distributed imputation credits.</w:t>
      </w:r>
      <w:r w:rsidR="00F6529E">
        <w:rPr>
          <w:rStyle w:val="FootnoteReference"/>
        </w:rPr>
        <w:footnoteReference w:id="198"/>
      </w:r>
      <w:r w:rsidR="00F6529E">
        <w:t xml:space="preserve"> NERA also </w:t>
      </w:r>
      <w:r w:rsidR="00693FAB">
        <w:t>presented</w:t>
      </w:r>
      <w:r w:rsidR="005E32FB">
        <w:t xml:space="preserve"> a simple derivation</w:t>
      </w:r>
      <w:r w:rsidR="00473E0B">
        <w:t xml:space="preserve"> of the</w:t>
      </w:r>
      <w:r w:rsidR="002671BD">
        <w:t>ta</w:t>
      </w:r>
      <w:r w:rsidR="00490C29">
        <w:t xml:space="preserve">. </w:t>
      </w:r>
      <w:r w:rsidR="002671BD">
        <w:t>The</w:t>
      </w:r>
      <w:r w:rsidR="00693FAB">
        <w:t xml:space="preserve"> simple model </w:t>
      </w:r>
      <w:r w:rsidR="002671BD">
        <w:t xml:space="preserve">employed by NERA </w:t>
      </w:r>
      <w:r w:rsidR="004F5973">
        <w:t>consisted of, among other things:</w:t>
      </w:r>
      <w:r w:rsidR="00693FAB">
        <w:t xml:space="preserve"> </w:t>
      </w:r>
      <w:r w:rsidR="004F5973">
        <w:t>a set of domestic and foreign investors; a domestic asset that distributes imputation credits; and a foreign asset that does not distribute imputation credits.</w:t>
      </w:r>
      <w:r w:rsidR="00693FAB">
        <w:t xml:space="preserve"> </w:t>
      </w:r>
      <w:r w:rsidR="004F5973">
        <w:t>NERA</w:t>
      </w:r>
      <w:r w:rsidR="00693FAB">
        <w:t xml:space="preserve"> </w:t>
      </w:r>
      <w:r w:rsidR="00473E0B">
        <w:t>showed</w:t>
      </w:r>
      <w:r w:rsidR="004F5973">
        <w:t xml:space="preserve"> that in this model</w:t>
      </w:r>
      <w:r w:rsidR="00473E0B">
        <w:t>:</w:t>
      </w:r>
    </w:p>
    <w:p w:rsidR="00473E0B" w:rsidRPr="00473E0B" w:rsidRDefault="00473E0B" w:rsidP="00647E2E">
      <m:oMathPara>
        <m:oMath>
          <m:r>
            <w:rPr>
              <w:rFonts w:ascii="Cambria Math" w:hAnsi="Cambria Math"/>
            </w:rPr>
            <m:t>θ=</m:t>
          </m:r>
          <m:f>
            <m:fPr>
              <m:ctrlPr>
                <w:rPr>
                  <w:rFonts w:ascii="Cambria Math" w:hAnsi="Cambria Math"/>
                  <w:i/>
                </w:rPr>
              </m:ctrlPr>
            </m:fPr>
            <m:num>
              <m:r>
                <w:rPr>
                  <w:rFonts w:ascii="Cambria Math" w:hAnsi="Cambria Math"/>
                </w:rPr>
                <m:t>D</m:t>
              </m:r>
            </m:num>
            <m:den>
              <m:r>
                <w:rPr>
                  <w:rFonts w:ascii="Cambria Math" w:hAnsi="Cambria Math"/>
                </w:rPr>
                <m:t>D+F</m:t>
              </m:r>
            </m:den>
          </m:f>
        </m:oMath>
      </m:oMathPara>
    </w:p>
    <w:p w:rsidR="00473E0B" w:rsidRDefault="00473E0B" w:rsidP="00647E2E">
      <w:r>
        <w:t xml:space="preserve">where </w:t>
      </w:r>
      <m:oMath>
        <m:r>
          <w:rPr>
            <w:rFonts w:ascii="Cambria Math" w:hAnsi="Cambria Math"/>
          </w:rPr>
          <m:t>D</m:t>
        </m:r>
      </m:oMath>
      <w:r>
        <w:t xml:space="preserve"> is the wealth of domestic investors and </w:t>
      </w:r>
      <m:oMath>
        <m:r>
          <w:rPr>
            <w:rFonts w:ascii="Cambria Math" w:hAnsi="Cambria Math"/>
          </w:rPr>
          <m:t>F</m:t>
        </m:r>
      </m:oMath>
      <w:r>
        <w:t xml:space="preserve"> is the wealth of foreign investors.</w:t>
      </w:r>
      <w:r>
        <w:rPr>
          <w:rStyle w:val="FootnoteReference"/>
        </w:rPr>
        <w:footnoteReference w:id="199"/>
      </w:r>
      <w:r>
        <w:t xml:space="preserve"> NERA also showed that </w:t>
      </w:r>
      <w:r w:rsidR="0011590A">
        <w:t>the redemption rate of imputation credits</w:t>
      </w:r>
      <w:r w:rsidR="00B71ABF">
        <w:t xml:space="preserve"> does not equal theta in this model, and</w:t>
      </w:r>
      <w:r w:rsidR="0011590A">
        <w:t xml:space="preserve"> is </w:t>
      </w:r>
      <w:r w:rsidR="00B71ABF">
        <w:t xml:space="preserve">instead </w:t>
      </w:r>
      <w:r w:rsidR="0011590A">
        <w:t xml:space="preserve">given by the ratio of domestic holdings of </w:t>
      </w:r>
      <w:r w:rsidR="004F5973">
        <w:t>the domestic asset to the sum of domestic and foreign holdings of the asset. NERA concluded:</w:t>
      </w:r>
      <w:r w:rsidR="007C7663">
        <w:rPr>
          <w:rStyle w:val="FootnoteReference"/>
        </w:rPr>
        <w:footnoteReference w:id="200"/>
      </w:r>
    </w:p>
    <w:p w:rsidR="007C7663" w:rsidRDefault="007C7663" w:rsidP="00647E2E">
      <w:pPr>
        <w:pStyle w:val="AERquote"/>
      </w:pPr>
      <w:r>
        <w:t xml:space="preserve">In a small open economy </w:t>
      </w:r>
      <w:r>
        <w:rPr>
          <w:rFonts w:cs="Arial"/>
        </w:rPr>
        <w:t>–</w:t>
      </w:r>
      <w:r>
        <w:t xml:space="preserve"> like Australia </w:t>
      </w:r>
      <w:r w:rsidRPr="007C7663">
        <w:t>–</w:t>
      </w:r>
      <w:r>
        <w:t xml:space="preserve"> the proportion of credits created that are redeemed is likely to exceed by a substantial margin the value of a dollar of tax credits created to a representative shareholder.</w:t>
      </w:r>
    </w:p>
    <w:p w:rsidR="00D720A3" w:rsidRDefault="00B8664E" w:rsidP="00647E2E">
      <w:r>
        <w:t xml:space="preserve">That is, </w:t>
      </w:r>
      <w:r w:rsidR="00C05785">
        <w:t>if</w:t>
      </w:r>
      <w:r>
        <w:t xml:space="preserve"> domestic investors make up </w:t>
      </w:r>
      <w:r w:rsidR="006F4EB9">
        <w:t xml:space="preserve">only </w:t>
      </w:r>
      <w:r>
        <w:t>a small proportion of all investors, then</w:t>
      </w:r>
      <w:r w:rsidR="007C7663">
        <w:t xml:space="preserve"> </w:t>
      </w:r>
      <w:r>
        <w:t xml:space="preserve">theta will be small. </w:t>
      </w:r>
      <w:r w:rsidR="00C05785">
        <w:t xml:space="preserve">However, this conclusion </w:t>
      </w:r>
      <w:r w:rsidR="007D78F2">
        <w:t>appears to rely</w:t>
      </w:r>
      <w:r w:rsidR="00C05785">
        <w:t xml:space="preserve"> on determining theta </w:t>
      </w:r>
      <w:r w:rsidR="007D78F2">
        <w:t>in</w:t>
      </w:r>
      <w:r w:rsidR="00C05785">
        <w:t xml:space="preserve"> an international </w:t>
      </w:r>
      <w:r w:rsidR="004F40A2">
        <w:t>CAPM</w:t>
      </w:r>
      <w:r w:rsidR="00B71ABF">
        <w:t xml:space="preserve"> context</w:t>
      </w:r>
      <w:r w:rsidR="00D92251">
        <w:rPr>
          <w:rFonts w:cs="Arial"/>
        </w:rPr>
        <w:t>—</w:t>
      </w:r>
      <w:r w:rsidR="003B771F">
        <w:t>domestic and foreign investors can invest in both domestic and foreign assets</w:t>
      </w:r>
      <w:r w:rsidR="00C05785">
        <w:t>. By contrast, we determine the value of imputation credits (and other rate of return parameters)</w:t>
      </w:r>
      <w:r w:rsidR="004F40A2">
        <w:t xml:space="preserve"> using a domestic CAPM</w:t>
      </w:r>
      <w:r w:rsidR="007D78F2">
        <w:t xml:space="preserve">. In the domestic CAPM context, domestic investors </w:t>
      </w:r>
      <w:r w:rsidR="007D78F2">
        <w:lastRenderedPageBreak/>
        <w:t xml:space="preserve">that are eligible to redeem credits make up a </w:t>
      </w:r>
      <w:r w:rsidR="00D0138E">
        <w:t>significant</w:t>
      </w:r>
      <w:r w:rsidR="007D78F2">
        <w:t xml:space="preserve"> proportion of all investors that invest in domestic assets.</w:t>
      </w:r>
      <w:r w:rsidR="00B71ABF">
        <w:t xml:space="preserve"> F</w:t>
      </w:r>
      <w:r w:rsidR="000950EE">
        <w:t>urther, the scope for a material 'wedge' to arise between the redemption rate and theta in the domestic CAPM context is not clear</w:t>
      </w:r>
      <w:r w:rsidR="00D0138E">
        <w:t xml:space="preserve"> </w:t>
      </w:r>
      <w:r w:rsidR="00B135C0">
        <w:t>from</w:t>
      </w:r>
      <w:r w:rsidR="00D0138E">
        <w:t xml:space="preserve"> NERA's analysis </w:t>
      </w:r>
      <w:r w:rsidR="00B135C0">
        <w:t xml:space="preserve">because it only </w:t>
      </w:r>
      <w:r w:rsidR="00D0138E">
        <w:t>considers the international CAPM context</w:t>
      </w:r>
      <w:r w:rsidR="000950EE">
        <w:t>.</w:t>
      </w:r>
    </w:p>
    <w:p w:rsidR="00D720A3" w:rsidRDefault="00D720A3" w:rsidP="00647E2E">
      <w:r>
        <w:t>Our view is supported by Handley's review of NERA's submission. Handley concluded:</w:t>
      </w:r>
      <w:r w:rsidR="002435BC">
        <w:rPr>
          <w:rStyle w:val="FootnoteReference"/>
        </w:rPr>
        <w:footnoteReference w:id="201"/>
      </w:r>
    </w:p>
    <w:p w:rsidR="00D720A3" w:rsidRDefault="00D720A3" w:rsidP="00647E2E">
      <w:pPr>
        <w:pStyle w:val="AERquote"/>
      </w:pPr>
      <w:r w:rsidRPr="00D720A3">
        <w:t>The problem with the NERA model is that it is</w:t>
      </w:r>
      <w:r>
        <w:t xml:space="preserve"> an international asset pricing </w:t>
      </w:r>
      <w:r w:rsidRPr="00D720A3">
        <w:t>model – along the lines of the Black (1974) International CAPM – whereas the</w:t>
      </w:r>
      <w:r>
        <w:t xml:space="preserve"> </w:t>
      </w:r>
      <w:r w:rsidRPr="00D720A3">
        <w:t>current framework is based within a domestic market setting. This means that</w:t>
      </w:r>
      <w:r>
        <w:t xml:space="preserve"> </w:t>
      </w:r>
      <w:r w:rsidRPr="00D720A3">
        <w:t>domestic investors have only a small market weighting by definition. Clearly,</w:t>
      </w:r>
      <w:r>
        <w:t xml:space="preserve"> </w:t>
      </w:r>
      <w:r w:rsidRPr="00D720A3">
        <w:t>the value of imputation credits in an international asset pricing model will be</w:t>
      </w:r>
      <w:r>
        <w:t xml:space="preserve"> </w:t>
      </w:r>
      <w:r w:rsidRPr="00D720A3">
        <w:t>substantially different from the value of imputation credits in a domestic asset</w:t>
      </w:r>
      <w:r>
        <w:t xml:space="preserve"> </w:t>
      </w:r>
      <w:r w:rsidRPr="00D720A3">
        <w:t>pricing model.</w:t>
      </w:r>
    </w:p>
    <w:p w:rsidR="00D720A3" w:rsidRDefault="00D720A3" w:rsidP="00647E2E">
      <w:pPr>
        <w:pStyle w:val="AERquote"/>
      </w:pPr>
      <w:r>
        <w:t>…</w:t>
      </w:r>
    </w:p>
    <w:p w:rsidR="00B71ABF" w:rsidRPr="001A0AD5" w:rsidRDefault="00D720A3" w:rsidP="00647E2E">
      <w:pPr>
        <w:pStyle w:val="AERquote"/>
      </w:pPr>
      <w:r w:rsidRPr="00D720A3">
        <w:t>In my opinion, NERA’s analysis does not es</w:t>
      </w:r>
      <w:r>
        <w:t xml:space="preserve">tablish the presence of a wedge </w:t>
      </w:r>
      <w:r w:rsidRPr="00D720A3">
        <w:t>between theta and the redemption rate and so does not invalidate the use of tax</w:t>
      </w:r>
      <w:r>
        <w:t xml:space="preserve"> </w:t>
      </w:r>
      <w:r w:rsidRPr="00D720A3">
        <w:t>statistics to estimate theta.</w:t>
      </w:r>
      <w:r w:rsidR="00B71ABF">
        <w:t xml:space="preserve"> </w:t>
      </w:r>
    </w:p>
    <w:p w:rsidR="00063611" w:rsidRDefault="00063611" w:rsidP="00B71ABF">
      <w:pPr>
        <w:pStyle w:val="Heading8"/>
      </w:pPr>
      <w:bookmarkStart w:id="71" w:name="_Ref415068711"/>
      <w:bookmarkStart w:id="72" w:name="_Toc420330948"/>
      <w:r w:rsidRPr="00063611">
        <w:t>Estimation</w:t>
      </w:r>
      <w:r>
        <w:t xml:space="preserve"> approach considerations</w:t>
      </w:r>
      <w:bookmarkEnd w:id="71"/>
      <w:bookmarkEnd w:id="72"/>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3" w:name="_Ref401048631"/>
      <w:r>
        <w:t xml:space="preserve">Evidence from all equity or </w:t>
      </w:r>
      <w:r w:rsidR="001C274C">
        <w:t>only listed equity</w:t>
      </w:r>
      <w:bookmarkEnd w:id="73"/>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202"/>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 xml:space="preserve">equity for an unlisted company (and some regulated </w:t>
      </w:r>
      <w:r w:rsidRPr="00D40BD7">
        <w:lastRenderedPageBreak/>
        <w:t>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t>However, Handley suggested that evidence from listed equ</w:t>
      </w:r>
      <w:r w:rsidR="00133DB9">
        <w:t>ity is more relevant</w:t>
      </w:r>
      <w:r>
        <w:t>:</w:t>
      </w:r>
      <w:r w:rsidR="00B67C84">
        <w:rPr>
          <w:rStyle w:val="FootnoteReference"/>
        </w:rPr>
        <w:footnoteReference w:id="203"/>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204"/>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205"/>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206"/>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207"/>
      </w:r>
      <w:r w:rsidR="005D4939">
        <w:t xml:space="preserve"> The service providers do not acknowledge the inconsistency (outlined in the draft </w:t>
      </w:r>
      <w:r w:rsidR="005D4939">
        <w:lastRenderedPageBreak/>
        <w:t xml:space="preserve">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8B5404">
        <w:t>A.8.2</w:t>
      </w:r>
      <w:r w:rsidR="00FB4F6C">
        <w:fldChar w:fldCharType="end"/>
      </w:r>
      <w:r w:rsidR="00FB4F6C">
        <w:t>).</w:t>
      </w:r>
    </w:p>
    <w:p w:rsidR="00063611" w:rsidRDefault="00063611" w:rsidP="00063611">
      <w:pPr>
        <w:pStyle w:val="Heading9"/>
      </w:pPr>
      <w:bookmarkStart w:id="74" w:name="_Ref403481194"/>
      <w:r>
        <w:t xml:space="preserve">Relationship between the distribution rate and </w:t>
      </w:r>
      <w:r w:rsidRPr="00063611">
        <w:t>the</w:t>
      </w:r>
      <w:r>
        <w:t xml:space="preserve"> utilisation rate</w:t>
      </w:r>
      <w:bookmarkEnd w:id="74"/>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5" w:name="_Ref401133206"/>
      <w:bookmarkStart w:id="76" w:name="_Toc420330949"/>
      <w:r w:rsidRPr="00EF5E4A">
        <w:t>Estimating</w:t>
      </w:r>
      <w:r>
        <w:t xml:space="preserve"> the </w:t>
      </w:r>
      <w:r w:rsidRPr="00BC3784">
        <w:t>distribution</w:t>
      </w:r>
      <w:r>
        <w:t xml:space="preserve"> rate</w:t>
      </w:r>
      <w:bookmarkEnd w:id="75"/>
      <w:bookmarkEnd w:id="76"/>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8B5404">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208"/>
      </w:r>
      <w:r>
        <w:t xml:space="preserve"> Hathaway found a similar estimate for the period 2004 to 2011.</w:t>
      </w:r>
      <w:r>
        <w:rPr>
          <w:rStyle w:val="FootnoteReference"/>
        </w:rPr>
        <w:footnoteReference w:id="209"/>
      </w:r>
      <w:r>
        <w:t xml:space="preserve"> Also using this approach, Handley estimated a distribution rate across </w:t>
      </w:r>
      <w:r w:rsidR="001C274C">
        <w:t>only listed equity</w:t>
      </w:r>
      <w:r>
        <w:t xml:space="preserve"> of 0.8 for the period 1987 to 2011.</w:t>
      </w:r>
      <w:r>
        <w:rPr>
          <w:rStyle w:val="FootnoteReference"/>
        </w:rPr>
        <w:footnoteReference w:id="210"/>
      </w:r>
      <w:r w:rsidR="00F06C60">
        <w:t xml:space="preserve"> Our own analysis indicate</w:t>
      </w:r>
      <w:r w:rsidR="00D65619">
        <w:t>d</w:t>
      </w:r>
      <w:r w:rsidR="00F06C60">
        <w:t xml:space="preserve">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w:t>
      </w:r>
      <w:r w:rsidR="00AE0135" w:rsidRPr="00AE0135">
        <w:lastRenderedPageBreak/>
        <w:t>billion</w:t>
      </w:r>
      <w:r w:rsidR="00990F02">
        <w:t xml:space="preserve"> (suggesting that $205.4 billion, or 80 per cent, of imputation credits generated were distributed)</w:t>
      </w:r>
      <w:r w:rsidR="00AE0135" w:rsidRPr="00AE0135">
        <w:t>.</w:t>
      </w:r>
    </w:p>
    <w:p w:rsidR="00D65619" w:rsidRDefault="00D65619" w:rsidP="00AE0135">
      <w:pPr>
        <w:numPr>
          <w:ilvl w:val="0"/>
          <w:numId w:val="25"/>
        </w:numPr>
      </w:pPr>
      <w:r>
        <w:t>We relied on an estimate of the distribution rate over all equity of 0.7 in the Guideline and draft decision. We also relied on an estimate of the distribution rate over only listed equity of 0.8 in the draft decision. We have reviewed these estimates in light of an updated analysis of the ATO data to the 2012 tax year by NERA, which was submitted to us as part of JGN's decision process.</w:t>
      </w:r>
      <w:r>
        <w:rPr>
          <w:rStyle w:val="FootnoteReference"/>
        </w:rPr>
        <w:footnoteReference w:id="211"/>
      </w:r>
      <w:r>
        <w:t xml:space="preserve"> </w:t>
      </w:r>
      <w:r w:rsidR="00FB7FCD">
        <w:t xml:space="preserve">Handley </w:t>
      </w:r>
      <w:r w:rsidR="0084249F">
        <w:t xml:space="preserve">also </w:t>
      </w:r>
      <w:r w:rsidR="00FB7FCD">
        <w:t>reviewed NERA's analysis, and provided his own</w:t>
      </w:r>
      <w:r w:rsidR="0084249F">
        <w:t xml:space="preserve"> report</w:t>
      </w:r>
      <w:r w:rsidR="00FB7FCD">
        <w:t>.</w:t>
      </w:r>
      <w:r w:rsidR="00FB7FCD">
        <w:rPr>
          <w:rStyle w:val="FootnoteReference"/>
        </w:rPr>
        <w:footnoteReference w:id="212"/>
      </w:r>
      <w:r w:rsidR="00FB7FCD">
        <w:t xml:space="preserve"> We consider that these reports indicate that 0.7 remains a reasonable estimate of the distribution rate over all equity. For instance, both NERA and Handley </w:t>
      </w:r>
      <w:r w:rsidR="007938F1">
        <w:t>found</w:t>
      </w:r>
      <w:r w:rsidR="00FB7FCD">
        <w:t xml:space="preserve"> an estimate of 0.7 for the period 2004 to 2012.</w:t>
      </w:r>
      <w:r w:rsidR="007938F1">
        <w:rPr>
          <w:rStyle w:val="FootnoteReference"/>
        </w:rPr>
        <w:footnoteReference w:id="213"/>
      </w:r>
      <w:r>
        <w:t xml:space="preserve"> </w:t>
      </w:r>
      <w:r w:rsidR="007938F1">
        <w:t>However, both NERA and Handley found that the distribution rate over only listed equity has fallen slightly from 0.8. Specifically, Handley found an estimate of 0.77 over the period 2004 to 2012. We therefore use this estimate in this final decision.</w:t>
      </w:r>
    </w:p>
    <w:p w:rsidR="00BC3784" w:rsidRPr="00AA0E3C" w:rsidRDefault="00BC3784" w:rsidP="00BC3784">
      <w:pPr>
        <w:numPr>
          <w:ilvl w:val="0"/>
          <w:numId w:val="25"/>
        </w:numPr>
      </w:pPr>
      <w:r>
        <w:t xml:space="preserve">In </w:t>
      </w:r>
      <w:r w:rsidR="007938F1">
        <w:t xml:space="preserve">the remainder of </w:t>
      </w:r>
      <w:r>
        <w:t xml:space="preserve">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7" w:name="_Ref414289334"/>
      <w:bookmarkStart w:id="78" w:name="_Ref401156644"/>
      <w:r w:rsidRPr="00071CD2">
        <w:t>Service</w:t>
      </w:r>
      <w:r>
        <w:t xml:space="preserve"> providers' and SFG's comments on the distribution rate</w:t>
      </w:r>
      <w:bookmarkEnd w:id="77"/>
    </w:p>
    <w:p w:rsidR="001B0396" w:rsidRDefault="001B0396" w:rsidP="001B0396">
      <w:r>
        <w:t xml:space="preserve">The service providers and SFG submitted that it would be inappropriate to apply a distribution rate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214"/>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lastRenderedPageBreak/>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8B5404">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215"/>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16"/>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foreign-sourced income.</w:t>
      </w:r>
      <w:r w:rsidR="00AD67D9">
        <w:rPr>
          <w:rStyle w:val="FootnoteReference"/>
        </w:rPr>
        <w:footnoteReference w:id="217"/>
      </w:r>
      <w:r w:rsidR="0081214E">
        <w:t xml:space="preserve"> </w:t>
      </w:r>
      <w:r w:rsidR="00B56451">
        <w:t xml:space="preserve">SFG concluded that </w:t>
      </w:r>
      <w:r w:rsidR="00C959B8">
        <w:t xml:space="preserve">the </w:t>
      </w:r>
      <w:r w:rsidR="00B56451">
        <w:t>'best estimate' of the distribution rate</w:t>
      </w:r>
      <w:r w:rsidR="00B7259E">
        <w:t xml:space="preserve"> from analysis which considered only listed equity was not materially different from 0.7.</w:t>
      </w:r>
      <w:r w:rsidR="00B7259E">
        <w:rPr>
          <w:rStyle w:val="FootnoteReference"/>
        </w:rPr>
        <w:footnoteReference w:id="218"/>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19"/>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20"/>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C959B8"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w:t>
      </w:r>
      <w:r w:rsidR="00C959B8">
        <w:t xml:space="preserve"> NERA agreed:</w:t>
      </w:r>
      <w:r w:rsidR="00C959B8">
        <w:rPr>
          <w:rStyle w:val="FootnoteReference"/>
        </w:rPr>
        <w:footnoteReference w:id="221"/>
      </w:r>
    </w:p>
    <w:p w:rsidR="00C959B8" w:rsidRDefault="00C959B8" w:rsidP="00C26A14">
      <w:pPr>
        <w:pStyle w:val="AERquote"/>
      </w:pPr>
      <w:r>
        <w:t>As theta should not vary from firm to firm, however, there should be no link between how one estimates theta and how one estimates the distribution rate.</w:t>
      </w:r>
    </w:p>
    <w:p w:rsidR="00B46702" w:rsidRDefault="00FE445D" w:rsidP="00B46702">
      <w:r>
        <w:t xml:space="preserve">However, SFG's </w:t>
      </w:r>
      <w:r w:rsidR="00C959B8">
        <w:t xml:space="preserve">and NERA's </w:t>
      </w:r>
      <w:r>
        <w:t xml:space="preserve">view </w:t>
      </w:r>
      <w:r w:rsidR="00B46702">
        <w:t xml:space="preserve">must be reconciled with the fact that different investors </w:t>
      </w:r>
      <w:r w:rsidR="00C73E51">
        <w:t xml:space="preserve">can </w:t>
      </w:r>
      <w:r w:rsidR="00B46702">
        <w:t xml:space="preserve">value imputation credits differently. For instance, foreign investors do not value credits </w:t>
      </w:r>
      <w:r w:rsidR="00B46702">
        <w:lastRenderedPageBreak/>
        <w:t xml:space="preserve">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22"/>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8B5404">
        <w:t xml:space="preserve">Figure </w:t>
      </w:r>
      <w:r w:rsidR="008B5404">
        <w:rPr>
          <w:noProof/>
        </w:rPr>
        <w:t>4</w:t>
      </w:r>
      <w:r w:rsidR="008B5404">
        <w:noBreakHyphen/>
      </w:r>
      <w:r w:rsidR="008B5404">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8B5404">
        <w:t xml:space="preserve">Figure </w:t>
      </w:r>
      <w:r w:rsidR="008B5404">
        <w:rPr>
          <w:noProof/>
        </w:rPr>
        <w:t>4</w:t>
      </w:r>
      <w:r w:rsidR="008B5404">
        <w:noBreakHyphen/>
      </w:r>
      <w:r w:rsidR="008B5404">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703B9F"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he service providers and SFG give us no cause to change this view.</w:t>
      </w:r>
      <w:r w:rsidR="00703B9F">
        <w:t xml:space="preserve"> Handley also supported our view:</w:t>
      </w:r>
      <w:r w:rsidR="00173633">
        <w:rPr>
          <w:rStyle w:val="FootnoteReference"/>
        </w:rPr>
        <w:footnoteReference w:id="223"/>
      </w:r>
    </w:p>
    <w:p w:rsidR="00703B9F" w:rsidRDefault="00703B9F" w:rsidP="00C26A14">
      <w:pPr>
        <w:pStyle w:val="AERquote"/>
      </w:pPr>
      <w:r w:rsidRPr="00703B9F">
        <w:t>It is correct to say that theta is not firm-specific and the distribution rate is firm</w:t>
      </w:r>
      <w:r>
        <w:t>-</w:t>
      </w:r>
      <w:r w:rsidRPr="00703B9F">
        <w:t>specific.</w:t>
      </w:r>
      <w:r>
        <w:t xml:space="preserve"> </w:t>
      </w:r>
      <w:r w:rsidRPr="00703B9F">
        <w:t>But I do not agree with the suggestion that there need be no link</w:t>
      </w:r>
      <w:r>
        <w:t xml:space="preserve"> </w:t>
      </w:r>
      <w:r w:rsidRPr="00703B9F">
        <w:t>between how one estimates theta and how one estimates the distribution rate.</w:t>
      </w:r>
    </w:p>
    <w:p w:rsidR="00703B9F" w:rsidRPr="00703B9F" w:rsidRDefault="00703B9F" w:rsidP="00C26A14">
      <w:pPr>
        <w:pStyle w:val="AERquote"/>
      </w:pPr>
      <w:r w:rsidRPr="00703B9F">
        <w:t>We are interested in estimating the value of imputa</w:t>
      </w:r>
      <w:r>
        <w:t xml:space="preserve">tion credits to the market as a </w:t>
      </w:r>
      <w:r w:rsidRPr="00703B9F">
        <w:t>whole. In setting prices, investors in the market will take into account the</w:t>
      </w:r>
      <w:r>
        <w:t xml:space="preserve"> </w:t>
      </w:r>
      <w:r w:rsidRPr="00703B9F">
        <w:t>quantity of credits expected to be distributed by all firms in the market. Since</w:t>
      </w:r>
      <w:r>
        <w:t xml:space="preserve"> </w:t>
      </w:r>
      <w:r w:rsidRPr="00703B9F">
        <w:t>gamma is effectively defined as a price (theta) times a quantity (distribution rate)</w:t>
      </w:r>
      <w:r>
        <w:t xml:space="preserve"> </w:t>
      </w:r>
      <w:r w:rsidRPr="00703B9F">
        <w:t>then in my opinion, it is obvious that both components should be based on</w:t>
      </w:r>
      <w:r>
        <w:t xml:space="preserve"> </w:t>
      </w:r>
      <w:r w:rsidRPr="00703B9F">
        <w:t>consistent data sets which relate to the same market.</w:t>
      </w:r>
    </w:p>
    <w:p w:rsidR="00316050" w:rsidRDefault="00DF756A" w:rsidP="00B46702">
      <w:r>
        <w:t>Further, we are not conv</w:t>
      </w:r>
      <w:r w:rsidR="006A5C87">
        <w:t xml:space="preserve">inced that we should use </w:t>
      </w:r>
      <w:r w:rsidR="002207E5">
        <w:t xml:space="preserve">only </w:t>
      </w:r>
      <w:r w:rsidR="006A5C87">
        <w:t xml:space="preserve">a </w:t>
      </w:r>
      <w:r>
        <w:t>subset of public companies when we seek to apply a distribution rate that is internall</w:t>
      </w:r>
      <w:r w:rsidR="002207E5">
        <w:t>y consistent with a value for theta estimated over investors in</w:t>
      </w:r>
      <w:r>
        <w:t xml:space="preserve"> </w:t>
      </w:r>
      <w:r w:rsidR="001C274C">
        <w:t>only listed equity</w:t>
      </w:r>
      <w:r>
        <w:t>.</w:t>
      </w:r>
      <w:r w:rsidR="00C73E51">
        <w:t xml:space="preserve"> </w:t>
      </w:r>
    </w:p>
    <w:p w:rsidR="00BC3784" w:rsidRDefault="00BC3784" w:rsidP="00BC3784">
      <w:pPr>
        <w:pStyle w:val="Heading9"/>
      </w:pPr>
      <w:bookmarkStart w:id="79" w:name="_Ref415126827"/>
      <w:r>
        <w:t>The cumulative payout ratio approach</w:t>
      </w:r>
      <w:bookmarkEnd w:id="78"/>
      <w:bookmarkEnd w:id="79"/>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w:t>
      </w:r>
      <w:r w:rsidRPr="00FD7776">
        <w:lastRenderedPageBreak/>
        <w:t xml:space="preserve">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24"/>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25"/>
      </w:r>
      <w:r w:rsidR="00AC6F43">
        <w:t xml:space="preserve"> However, neither advocated</w:t>
      </w:r>
      <w:r w:rsidRPr="00BC3784">
        <w:t xml:space="preserve"> the use of this estimate. NERA considered:</w:t>
      </w:r>
      <w:r w:rsidRPr="00BC3784">
        <w:rPr>
          <w:rStyle w:val="FootnoteReference"/>
        </w:rPr>
        <w:footnoteReference w:id="226"/>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27"/>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28"/>
      </w:r>
      <w:r w:rsidRPr="00296C23">
        <w:t xml:space="preserve"> We consider that this broadly reinforces </w:t>
      </w:r>
      <w:r w:rsidR="00AC6F43">
        <w:t>the</w:t>
      </w:r>
      <w:r w:rsidRPr="00296C23">
        <w:t xml:space="preserve"> </w:t>
      </w:r>
      <w:r w:rsidR="00604706">
        <w:t xml:space="preserve">higher </w:t>
      </w:r>
      <w:r w:rsidRPr="00296C23">
        <w:t xml:space="preserve">cumulative payout ratio estimate across </w:t>
      </w:r>
      <w:r w:rsidR="001C274C">
        <w:t>only listed equity</w:t>
      </w:r>
      <w:r w:rsidRPr="00296C23">
        <w:t>.</w:t>
      </w:r>
    </w:p>
    <w:p w:rsidR="00C531B4" w:rsidRDefault="00C531B4" w:rsidP="00C531B4">
      <w:pPr>
        <w:pStyle w:val="Heading9"/>
      </w:pPr>
      <w:r>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w:t>
      </w:r>
      <w:r w:rsidR="0038032B">
        <w:lastRenderedPageBreak/>
        <w:t>October 2014</w:t>
      </w:r>
      <w:r>
        <w:t>.</w:t>
      </w:r>
      <w:r>
        <w:rPr>
          <w:rStyle w:val="FootnoteReference"/>
        </w:rPr>
        <w:footnoteReference w:id="229"/>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30"/>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80" w:name="_Ref403481535"/>
      <w:bookmarkStart w:id="81" w:name="_Toc420330950"/>
      <w:r>
        <w:t>Application of rate of return criteria to evidence on the utilisation rate</w:t>
      </w:r>
      <w:bookmarkEnd w:id="80"/>
      <w:bookmarkEnd w:id="81"/>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8B5404">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 xml:space="preserve">the </w:t>
      </w:r>
      <w:r w:rsidRPr="0073373B">
        <w:lastRenderedPageBreak/>
        <w:t>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8B5404">
        <w:t xml:space="preserve">Table </w:t>
      </w:r>
      <w:r w:rsidR="008B5404">
        <w:rPr>
          <w:noProof/>
        </w:rPr>
        <w:t>4</w:t>
      </w:r>
      <w:r w:rsidR="008B5404" w:rsidRPr="00277D14">
        <w:noBreakHyphen/>
      </w:r>
      <w:r w:rsidR="008B5404">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82" w:name="_Ref415046112"/>
      <w:r>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Pr="00277D14">
        <w:noBreakHyphen/>
      </w:r>
      <w:r w:rsidR="008B5404">
        <w:fldChar w:fldCharType="begin"/>
      </w:r>
      <w:r w:rsidR="008B5404">
        <w:instrText xml:space="preserve"> SEQ Table \* ARABIC \s 1 </w:instrText>
      </w:r>
      <w:r w:rsidR="008B5404">
        <w:fldChar w:fldCharType="separate"/>
      </w:r>
      <w:r w:rsidR="008B5404">
        <w:rPr>
          <w:noProof/>
        </w:rPr>
        <w:t>7</w:t>
      </w:r>
      <w:r w:rsidR="008B5404">
        <w:rPr>
          <w:noProof/>
        </w:rPr>
        <w:fldChar w:fldCharType="end"/>
      </w:r>
      <w:bookmarkEnd w:id="82"/>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3" w:name="_Ref403481615"/>
    </w:p>
    <w:p w:rsidR="0016005F" w:rsidRDefault="0016005F" w:rsidP="0016005F">
      <w:pPr>
        <w:pStyle w:val="Heading8"/>
      </w:pPr>
      <w:bookmarkStart w:id="84" w:name="_Ref415049811"/>
      <w:bookmarkStart w:id="85" w:name="_Toc420330951"/>
      <w:r>
        <w:lastRenderedPageBreak/>
        <w:t xml:space="preserve">The equity ownership </w:t>
      </w:r>
      <w:r w:rsidRPr="0016005F">
        <w:t>approach</w:t>
      </w:r>
      <w:bookmarkEnd w:id="83"/>
      <w:bookmarkEnd w:id="84"/>
      <w:bookmarkEnd w:id="85"/>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31"/>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8B5404">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8B5404">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8B5404">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32"/>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33"/>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34"/>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8B5404">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35"/>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36"/>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37"/>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38"/>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39"/>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40"/>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41"/>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8B5404">
        <w:t xml:space="preserve">Figure </w:t>
      </w:r>
      <w:r w:rsidR="008B5404">
        <w:rPr>
          <w:noProof/>
        </w:rPr>
        <w:t>4</w:t>
      </w:r>
      <w:r w:rsidR="008B5404">
        <w:noBreakHyphen/>
      </w:r>
      <w:r w:rsidR="008B5404">
        <w:rPr>
          <w:noProof/>
        </w:rPr>
        <w:t>3</w:t>
      </w:r>
      <w:r w:rsidR="00E468B0">
        <w:fldChar w:fldCharType="end"/>
      </w:r>
      <w:r>
        <w:t>.</w:t>
      </w:r>
    </w:p>
    <w:p w:rsidR="00E468B0" w:rsidRDefault="003B16C3" w:rsidP="00E468B0">
      <w:pPr>
        <w:pStyle w:val="Caption"/>
      </w:pPr>
      <w:bookmarkStart w:id="86" w:name="_Ref414273399"/>
      <w:r>
        <w:t xml:space="preserve">Figure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A7103E">
        <w:noBreakHyphen/>
      </w:r>
      <w:r w:rsidR="008B5404">
        <w:fldChar w:fldCharType="begin"/>
      </w:r>
      <w:r w:rsidR="008B5404">
        <w:instrText xml:space="preserve"> SEQ Figure \* ARABIC \s 1 </w:instrText>
      </w:r>
      <w:r w:rsidR="008B5404">
        <w:fldChar w:fldCharType="separate"/>
      </w:r>
      <w:r w:rsidR="008B5404">
        <w:rPr>
          <w:noProof/>
        </w:rPr>
        <w:t>3</w:t>
      </w:r>
      <w:r w:rsidR="008B5404">
        <w:rPr>
          <w:noProof/>
        </w:rPr>
        <w:fldChar w:fldCharType="end"/>
      </w:r>
      <w:bookmarkEnd w:id="86"/>
      <w:r>
        <w:tab/>
        <w:t>Refined domestic ownership share of Australian equity</w:t>
      </w:r>
    </w:p>
    <w:p w:rsidR="00E468B0" w:rsidRDefault="00E117A1" w:rsidP="00E468B0">
      <w:r w:rsidRPr="00E117A1">
        <w:rPr>
          <w:noProof/>
          <w:lang w:eastAsia="en-AU"/>
        </w:rPr>
        <w:drawing>
          <wp:inline distT="0" distB="0" distL="0" distR="0" wp14:anchorId="37172C50" wp14:editId="0F0BC1D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8B5404">
        <w:t xml:space="preserve">Figure </w:t>
      </w:r>
      <w:r w:rsidR="008B5404">
        <w:rPr>
          <w:noProof/>
        </w:rPr>
        <w:t>4</w:t>
      </w:r>
      <w:r w:rsidR="008B5404">
        <w:noBreakHyphen/>
      </w:r>
      <w:r w:rsidR="008B5404">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7" w:name="_Ref402179420"/>
      <w:bookmarkStart w:id="88" w:name="_Toc420330952"/>
      <w:r>
        <w:t xml:space="preserve">Tax </w:t>
      </w:r>
      <w:r w:rsidRPr="00D60D4D">
        <w:t>statistics</w:t>
      </w:r>
      <w:bookmarkEnd w:id="87"/>
      <w:bookmarkEnd w:id="88"/>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42"/>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8B5404">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8B5404">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43"/>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44"/>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t>
      </w:r>
      <w:r w:rsidR="00D236C4">
        <w:t xml:space="preserve">in the draft decision </w:t>
      </w:r>
      <w:r>
        <w:t xml:space="preserve">we </w:t>
      </w:r>
      <w:r w:rsidR="00D236C4">
        <w:t xml:space="preserve">did </w:t>
      </w:r>
      <w:r w:rsidR="00797099">
        <w:t>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D236C4" w:rsidRPr="00D236C4" w:rsidRDefault="00D236C4" w:rsidP="00C26A14">
      <w:r w:rsidRPr="00D236C4">
        <w:t xml:space="preserve">In this final decision we </w:t>
      </w:r>
      <w:r w:rsidR="00D27991">
        <w:t>have regard to</w:t>
      </w:r>
      <w:r w:rsidRPr="00D236C4">
        <w:t xml:space="preserve"> NERA's updated analysis of the ATO data to the 2012 tax year.</w:t>
      </w:r>
      <w:r w:rsidRPr="00D236C4">
        <w:rPr>
          <w:rStyle w:val="FootnoteReference"/>
        </w:rPr>
        <w:footnoteReference w:id="245"/>
      </w:r>
      <w:r w:rsidRPr="00D236C4">
        <w:t xml:space="preserve"> This analysis supports a distribution rate of 0.7 and a utilisation rate of 0.45.</w:t>
      </w:r>
    </w:p>
    <w:p w:rsidR="00967FFA" w:rsidRDefault="002048E1" w:rsidP="00B93D6C">
      <w:r>
        <w:t xml:space="preserve">As discussed in section </w:t>
      </w:r>
      <w:r>
        <w:fldChar w:fldCharType="begin"/>
      </w:r>
      <w:r>
        <w:instrText xml:space="preserve"> REF _Ref401133206 \r \h </w:instrText>
      </w:r>
      <w:r>
        <w:fldChar w:fldCharType="separate"/>
      </w:r>
      <w:r w:rsidR="008B5404">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9" w:name="_Ref401080753"/>
      <w:bookmarkStart w:id="90" w:name="_Toc420330953"/>
      <w:r w:rsidRPr="00292ECF">
        <w:lastRenderedPageBreak/>
        <w:t>Implied</w:t>
      </w:r>
      <w:r>
        <w:t xml:space="preserve"> market value studies</w:t>
      </w:r>
      <w:bookmarkEnd w:id="89"/>
      <w:bookmarkEnd w:id="90"/>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8B5404">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8B5404">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8B5404">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8B5404">
        <w:t>A.14.6</w:t>
      </w:r>
      <w:r w:rsidR="00B40843">
        <w:fldChar w:fldCharType="end"/>
      </w:r>
      <w:r>
        <w:t>.</w:t>
      </w:r>
    </w:p>
    <w:p w:rsidR="00292ECF" w:rsidRPr="00222643" w:rsidRDefault="00292ECF" w:rsidP="00292ECF">
      <w:pPr>
        <w:pStyle w:val="Heading9"/>
      </w:pPr>
      <w:bookmarkStart w:id="91" w:name="_Ref402791521"/>
      <w:r w:rsidRPr="00222643">
        <w:t xml:space="preserve">Types of implied </w:t>
      </w:r>
      <w:r w:rsidRPr="00292ECF">
        <w:t>market</w:t>
      </w:r>
      <w:r w:rsidRPr="00222643">
        <w:t xml:space="preserve"> value studies</w:t>
      </w:r>
      <w:bookmarkEnd w:id="91"/>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8B5404">
        <w:t xml:space="preserve">Table </w:t>
      </w:r>
      <w:r w:rsidR="008B5404">
        <w:rPr>
          <w:noProof/>
        </w:rPr>
        <w:t>4</w:t>
      </w:r>
      <w:r w:rsidR="008B5404">
        <w:noBreakHyphen/>
      </w:r>
      <w:r w:rsidR="008B5404">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8B5404">
        <w:t xml:space="preserve">Table </w:t>
      </w:r>
      <w:r w:rsidR="008B5404">
        <w:rPr>
          <w:noProof/>
        </w:rPr>
        <w:t>4</w:t>
      </w:r>
      <w:r w:rsidR="008B5404">
        <w:noBreakHyphen/>
      </w:r>
      <w:r w:rsidR="008B5404">
        <w:rPr>
          <w:noProof/>
        </w:rPr>
        <w:t>10</w:t>
      </w:r>
      <w:r>
        <w:fldChar w:fldCharType="end"/>
      </w:r>
      <w:r>
        <w:t>.</w:t>
      </w:r>
    </w:p>
    <w:p w:rsidR="00292ECF" w:rsidRDefault="00292ECF" w:rsidP="00292ECF">
      <w:pPr>
        <w:pStyle w:val="Caption"/>
      </w:pPr>
      <w:bookmarkStart w:id="92" w:name="_Ref401075742"/>
      <w:r>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8</w:t>
      </w:r>
      <w:r w:rsidR="008B5404">
        <w:rPr>
          <w:noProof/>
        </w:rPr>
        <w:fldChar w:fldCharType="end"/>
      </w:r>
      <w:bookmarkEnd w:id="92"/>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46"/>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4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48"/>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49"/>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50"/>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5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52"/>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53"/>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54"/>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8B5404">
        <w:t xml:space="preserve">Table </w:t>
      </w:r>
      <w:r w:rsidR="008B5404">
        <w:rPr>
          <w:noProof/>
        </w:rPr>
        <w:t>4</w:t>
      </w:r>
      <w:r w:rsidR="008B5404">
        <w:noBreakHyphen/>
      </w:r>
      <w:r w:rsidR="008B5404">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8B5404">
        <w:t xml:space="preserve">Table </w:t>
      </w:r>
      <w:r w:rsidR="008B5404">
        <w:rPr>
          <w:noProof/>
        </w:rPr>
        <w:t>4</w:t>
      </w:r>
      <w:r w:rsidR="008B5404">
        <w:noBreakHyphen/>
      </w:r>
      <w:r w:rsidR="008B5404">
        <w:rPr>
          <w:noProof/>
        </w:rPr>
        <w:t>11</w:t>
      </w:r>
      <w:r>
        <w:fldChar w:fldCharType="end"/>
      </w:r>
      <w:r>
        <w:t>.</w:t>
      </w:r>
    </w:p>
    <w:p w:rsidR="00292ECF" w:rsidRDefault="00292ECF" w:rsidP="00292ECF">
      <w:pPr>
        <w:pStyle w:val="Caption"/>
      </w:pPr>
      <w:bookmarkStart w:id="93" w:name="_Ref401075839"/>
      <w:r>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9</w:t>
      </w:r>
      <w:r w:rsidR="008B5404">
        <w:rPr>
          <w:noProof/>
        </w:rPr>
        <w:fldChar w:fldCharType="end"/>
      </w:r>
      <w:bookmarkEnd w:id="93"/>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55"/>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56"/>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57"/>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58"/>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59"/>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60"/>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61"/>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62"/>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63"/>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64"/>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4" w:name="_Ref403482459"/>
      <w:r w:rsidRPr="00222643">
        <w:t xml:space="preserve">Estimates from </w:t>
      </w:r>
      <w:r w:rsidRPr="00D15D53">
        <w:t>implied</w:t>
      </w:r>
      <w:r w:rsidRPr="00222643">
        <w:t xml:space="preserve"> market value studies</w:t>
      </w:r>
      <w:bookmarkEnd w:id="94"/>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8B5404">
        <w:t xml:space="preserve">Table </w:t>
      </w:r>
      <w:r w:rsidR="008B5404">
        <w:rPr>
          <w:noProof/>
        </w:rPr>
        <w:t>4</w:t>
      </w:r>
      <w:r w:rsidR="008B5404">
        <w:noBreakHyphen/>
      </w:r>
      <w:r w:rsidR="008B5404">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8B5404">
        <w:t xml:space="preserve">Table </w:t>
      </w:r>
      <w:r w:rsidR="008B5404">
        <w:rPr>
          <w:noProof/>
        </w:rPr>
        <w:t>4</w:t>
      </w:r>
      <w:r w:rsidR="008B5404">
        <w:noBreakHyphen/>
      </w:r>
      <w:r w:rsidR="008B5404">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5" w:name="_Ref401075676"/>
      <w:r>
        <w:lastRenderedPageBreak/>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10</w:t>
      </w:r>
      <w:r w:rsidR="008B5404">
        <w:rPr>
          <w:noProof/>
        </w:rPr>
        <w:fldChar w:fldCharType="end"/>
      </w:r>
      <w:bookmarkEnd w:id="95"/>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65"/>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6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6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6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69"/>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70"/>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71"/>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72"/>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73"/>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6" w:name="_Ref401076250"/>
      <w:r>
        <w:lastRenderedPageBreak/>
        <w:t xml:space="preserve">Table </w:t>
      </w:r>
      <w:r w:rsidR="008B5404">
        <w:fldChar w:fldCharType="begin"/>
      </w:r>
      <w:r w:rsidR="008B5404">
        <w:instrText xml:space="preserve"> STYLEREF 1 \s </w:instrText>
      </w:r>
      <w:r w:rsidR="008B5404">
        <w:fldChar w:fldCharType="separate"/>
      </w:r>
      <w:r w:rsidR="008B5404">
        <w:rPr>
          <w:noProof/>
        </w:rPr>
        <w:t>4</w:t>
      </w:r>
      <w:r w:rsidR="008B5404">
        <w:rPr>
          <w:noProof/>
        </w:rPr>
        <w:fldChar w:fldCharType="end"/>
      </w:r>
      <w:r w:rsidR="00257FBE">
        <w:noBreakHyphen/>
      </w:r>
      <w:r w:rsidR="008B5404">
        <w:fldChar w:fldCharType="begin"/>
      </w:r>
      <w:r w:rsidR="008B5404">
        <w:instrText xml:space="preserve"> SEQ Table \* ARABIC \s 1 </w:instrText>
      </w:r>
      <w:r w:rsidR="008B5404">
        <w:fldChar w:fldCharType="separate"/>
      </w:r>
      <w:r w:rsidR="008B5404">
        <w:rPr>
          <w:noProof/>
        </w:rPr>
        <w:t>11</w:t>
      </w:r>
      <w:r w:rsidR="008B5404">
        <w:rPr>
          <w:noProof/>
        </w:rPr>
        <w:fldChar w:fldCharType="end"/>
      </w:r>
      <w:bookmarkEnd w:id="96"/>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74"/>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75"/>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76"/>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7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78"/>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7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80"/>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81"/>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82"/>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83"/>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84"/>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85"/>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86"/>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87"/>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88"/>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89"/>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7" w:name="_Ref415065117"/>
      <w:r w:rsidRPr="00F93616">
        <w:t>Adjustment of estimates from implied market value studies</w:t>
      </w:r>
      <w:bookmarkEnd w:id="97"/>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90"/>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8B5404">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91"/>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92"/>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8" w:name="_Ref414624721"/>
      <w:r w:rsidRPr="00F93616">
        <w:lastRenderedPageBreak/>
        <w:t>Limitations of SFG</w:t>
      </w:r>
      <w:r>
        <w:t>'s</w:t>
      </w:r>
      <w:r w:rsidRPr="00F93616">
        <w:t xml:space="preserve"> dividend drop off study</w:t>
      </w:r>
      <w:bookmarkEnd w:id="98"/>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93"/>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94"/>
      </w:r>
      <w:r w:rsidRPr="00270CE0">
        <w:t xml:space="preserve"> The service providers themselves also acknowledge</w:t>
      </w:r>
      <w:r>
        <w:t>d</w:t>
      </w:r>
      <w:r w:rsidRPr="00270CE0">
        <w:t xml:space="preserve"> this elsew</w:t>
      </w:r>
      <w:r>
        <w:t>here in their revised proposals:</w:t>
      </w:r>
      <w:r>
        <w:rPr>
          <w:rStyle w:val="FootnoteReference"/>
        </w:rPr>
        <w:footnoteReference w:id="295"/>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96"/>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w:t>
      </w:r>
      <w:r w:rsidR="00EA6FAD">
        <w:t>se to our draft rate of return G</w:t>
      </w:r>
      <w:r w:rsidRPr="00EB61EA">
        <w:t>uide</w:t>
      </w:r>
      <w:r w:rsidR="00EA6FAD">
        <w:t>line. Lally reviewed our draft G</w:t>
      </w:r>
      <w:r w:rsidRPr="00EB61EA">
        <w:t>uideline and the ENA response. His conclusion was:</w:t>
      </w:r>
      <w:r>
        <w:rPr>
          <w:rStyle w:val="FootnoteReference"/>
        </w:rPr>
        <w:footnoteReference w:id="297"/>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98"/>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99"/>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300"/>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301"/>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302"/>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303"/>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8B5404">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9" w:name="_Ref402180002"/>
      <w:bookmarkStart w:id="100" w:name="_Ref414619467"/>
      <w:r>
        <w:t xml:space="preserve">The views of </w:t>
      </w:r>
      <w:r w:rsidRPr="00FD5BE7">
        <w:t>academics</w:t>
      </w:r>
      <w:r>
        <w:t xml:space="preserve"> and other regulators</w:t>
      </w:r>
      <w:bookmarkEnd w:id="99"/>
      <w:r w:rsidR="00F93616">
        <w:t xml:space="preserve"> on dividend drop off studies</w:t>
      </w:r>
      <w:bookmarkEnd w:id="100"/>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304"/>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305"/>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306"/>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307"/>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308"/>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309"/>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310"/>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311"/>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EA6FAD">
        <w:t>G</w:t>
      </w:r>
      <w:r>
        <w:t>uideline in November 2014 preferred the use of dividend drop off studies, stated:</w:t>
      </w:r>
      <w:r>
        <w:rPr>
          <w:rStyle w:val="FootnoteReference"/>
        </w:rPr>
        <w:footnoteReference w:id="312"/>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101" w:name="_Ref403481482"/>
      <w:bookmarkStart w:id="102" w:name="_Toc420330954"/>
      <w:r>
        <w:t xml:space="preserve">Revised consideration </w:t>
      </w:r>
      <w:r w:rsidRPr="00CD23CD">
        <w:t>of</w:t>
      </w:r>
      <w:r>
        <w:t xml:space="preserve"> the conceptual goalposts approach</w:t>
      </w:r>
      <w:bookmarkEnd w:id="101"/>
      <w:bookmarkEnd w:id="102"/>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313"/>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314"/>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315"/>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316"/>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317"/>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318"/>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19"/>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20"/>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21"/>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22"/>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23"/>
      </w:r>
    </w:p>
    <w:p w:rsidR="00FA6E29" w:rsidRPr="00FA6E29" w:rsidRDefault="00CD23CD" w:rsidP="00FA6E29">
      <w:r>
        <w:t>SFG also raised concerns with the approach, and a number of these have been responded to by Lally.</w:t>
      </w:r>
      <w:r>
        <w:rPr>
          <w:rStyle w:val="FootnoteReference"/>
        </w:rPr>
        <w:footnoteReference w:id="324"/>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7E" w:rsidRPr="00290C63" w:rsidRDefault="00332C7E" w:rsidP="00290C63">
      <w:r>
        <w:separator/>
      </w:r>
    </w:p>
    <w:p w:rsidR="00332C7E" w:rsidRDefault="00332C7E"/>
  </w:endnote>
  <w:endnote w:type="continuationSeparator" w:id="0">
    <w:p w:rsidR="00332C7E" w:rsidRPr="00290C63" w:rsidRDefault="00332C7E" w:rsidP="00290C63">
      <w:r>
        <w:continuationSeparator/>
      </w:r>
    </w:p>
    <w:p w:rsidR="00332C7E" w:rsidRDefault="00332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7E" w:rsidRPr="00290C63" w:rsidRDefault="00332C7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32C7E" w:rsidRDefault="00332C7E"/>
  <w:p w:rsidR="00332C7E" w:rsidRDefault="00332C7E"/>
  <w:p w:rsidR="00332C7E" w:rsidRDefault="00332C7E"/>
  <w:p w:rsidR="00332C7E" w:rsidRDefault="00332C7E"/>
  <w:p w:rsidR="00332C7E" w:rsidRDefault="00332C7E"/>
  <w:p w:rsidR="00332C7E" w:rsidRDefault="00332C7E"/>
  <w:p w:rsidR="00332C7E" w:rsidRDefault="00332C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32C7E" w:rsidRPr="009B6F84" w:rsidRDefault="00332C7E">
        <w:pPr>
          <w:pStyle w:val="Footer"/>
          <w:rPr>
            <w:sz w:val="20"/>
          </w:rPr>
        </w:pPr>
        <w:r>
          <w:fldChar w:fldCharType="begin"/>
        </w:r>
        <w:r>
          <w:instrText xml:space="preserve"> PAGE   \* MERGEFORMAT </w:instrText>
        </w:r>
        <w:r>
          <w:fldChar w:fldCharType="separate"/>
        </w:r>
        <w:r w:rsidR="008B5404">
          <w:rPr>
            <w:noProof/>
          </w:rPr>
          <w:t>4-2</w:t>
        </w:r>
        <w:r>
          <w:rPr>
            <w:noProof/>
          </w:rPr>
          <w:fldChar w:fldCharType="end"/>
        </w:r>
        <w:r>
          <w:rPr>
            <w:noProof/>
          </w:rPr>
          <w:t xml:space="preserve">          </w:t>
        </w:r>
        <w:r>
          <w:t xml:space="preserve">4 </w:t>
        </w:r>
        <w:r w:rsidRPr="00951318">
          <w:t>–</w:t>
        </w:r>
        <w:r>
          <w:t xml:space="preserve"> Value of imputation credits</w:t>
        </w:r>
        <w:r w:rsidRPr="00951318">
          <w:t xml:space="preserve"> | </w:t>
        </w:r>
        <w:r>
          <w:t>Final decision: Jemena Gas Networks</w:t>
        </w:r>
        <w:r w:rsidRPr="00951318">
          <w:t xml:space="preserve"> 2015–20</w:t>
        </w:r>
      </w:p>
    </w:sdtContent>
  </w:sdt>
  <w:p w:rsidR="00332C7E" w:rsidRDefault="00332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7E" w:rsidRPr="00290C63" w:rsidRDefault="00332C7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32C7E" w:rsidRDefault="00332C7E">
    <w:pPr>
      <w:pStyle w:val="Footer"/>
    </w:pPr>
  </w:p>
  <w:p w:rsidR="00332C7E" w:rsidRDefault="00332C7E"/>
  <w:p w:rsidR="00332C7E" w:rsidRDefault="00332C7E"/>
  <w:p w:rsidR="00332C7E" w:rsidRDefault="00332C7E"/>
  <w:p w:rsidR="00332C7E" w:rsidRDefault="00332C7E"/>
  <w:p w:rsidR="00332C7E" w:rsidRDefault="00332C7E"/>
  <w:p w:rsidR="00332C7E" w:rsidRDefault="00332C7E"/>
  <w:p w:rsidR="00332C7E" w:rsidRDefault="00332C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55972"/>
      <w:docPartObj>
        <w:docPartGallery w:val="Page Numbers (Bottom of Page)"/>
        <w:docPartUnique/>
      </w:docPartObj>
    </w:sdtPr>
    <w:sdtEndPr/>
    <w:sdtContent>
      <w:p w:rsidR="00332C7E" w:rsidRPr="00824CC8" w:rsidRDefault="00332C7E"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7E" w:rsidRPr="00824CC8" w:rsidRDefault="00332C7E"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w:t>
    </w:r>
    <w:r>
      <w:rPr>
        <w:rStyle w:val="AERbody"/>
      </w:rPr>
      <w:t>JGN</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B5404">
      <w:rPr>
        <w:rStyle w:val="AERbody"/>
        <w:noProof/>
      </w:rPr>
      <w:t>4-80</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7E" w:rsidRPr="00290C63" w:rsidRDefault="00332C7E" w:rsidP="00290C63">
      <w:r>
        <w:separator/>
      </w:r>
    </w:p>
    <w:p w:rsidR="00332C7E" w:rsidRDefault="00332C7E"/>
  </w:footnote>
  <w:footnote w:type="continuationSeparator" w:id="0">
    <w:p w:rsidR="00332C7E" w:rsidRPr="00290C63" w:rsidRDefault="00332C7E" w:rsidP="00290C63">
      <w:r>
        <w:continuationSeparator/>
      </w:r>
    </w:p>
    <w:p w:rsidR="00332C7E" w:rsidRDefault="00332C7E"/>
  </w:footnote>
  <w:footnote w:id="1">
    <w:p w:rsidR="00332C7E" w:rsidRDefault="00332C7E"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332C7E" w:rsidRDefault="00332C7E">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332C7E" w:rsidRDefault="00332C7E" w:rsidP="00E356F9">
      <w:pPr>
        <w:pStyle w:val="FootnoteText"/>
      </w:pPr>
      <w:r>
        <w:rPr>
          <w:rStyle w:val="FootnoteReference"/>
        </w:rPr>
        <w:footnoteRef/>
      </w:r>
      <w:r>
        <w:t xml:space="preserve"> </w:t>
      </w:r>
      <w:r>
        <w:tab/>
        <w:t>NER, cll. 6.4.3(a)(4), 6.4.3(b)(4), 6.5.3, 6A.5.4(a)(4), 6A.5.4(b)(4) and 6A.6.4; NGR, r</w:t>
      </w:r>
      <w:r w:rsidR="0030777D">
        <w:t>r.</w:t>
      </w:r>
      <w:r>
        <w:t>. 76(c) and 87A.</w:t>
      </w:r>
    </w:p>
  </w:footnote>
  <w:footnote w:id="4">
    <w:p w:rsidR="00B776F2" w:rsidRDefault="00B776F2" w:rsidP="00B776F2">
      <w:pPr>
        <w:pStyle w:val="FootnoteText"/>
      </w:pPr>
      <w:r>
        <w:rPr>
          <w:rStyle w:val="FootnoteReference"/>
        </w:rPr>
        <w:footnoteRef/>
      </w:r>
      <w:r>
        <w:t xml:space="preserve"> </w:t>
      </w:r>
      <w:r>
        <w:tab/>
        <w:t>NGR, rr. 64(1) &amp; (5)</w:t>
      </w:r>
      <w:r w:rsidR="005947EE">
        <w:t>.</w:t>
      </w:r>
    </w:p>
  </w:footnote>
  <w:footnote w:id="5">
    <w:p w:rsidR="00332C7E" w:rsidRDefault="00332C7E"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8B5404">
        <w:t>A.1</w:t>
      </w:r>
      <w:r>
        <w:fldChar w:fldCharType="end"/>
      </w:r>
      <w:r>
        <w:t xml:space="preserve"> of appendix A.</w:t>
      </w:r>
    </w:p>
  </w:footnote>
  <w:footnote w:id="6">
    <w:p w:rsidR="00332C7E" w:rsidRDefault="00332C7E"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7">
    <w:p w:rsidR="00332C7E" w:rsidRDefault="00332C7E"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rsidR="008B5404">
        <w:t>4.4</w:t>
      </w:r>
      <w:r>
        <w:fldChar w:fldCharType="end"/>
      </w:r>
      <w:r>
        <w:t>.</w:t>
      </w:r>
    </w:p>
  </w:footnote>
  <w:footnote w:id="8">
    <w:p w:rsidR="00332C7E" w:rsidRDefault="00332C7E">
      <w:pPr>
        <w:pStyle w:val="FootnoteText"/>
      </w:pPr>
      <w:r>
        <w:rPr>
          <w:rStyle w:val="FootnoteReference"/>
        </w:rPr>
        <w:footnoteRef/>
      </w:r>
      <w:r>
        <w:t xml:space="preserve"> </w:t>
      </w:r>
      <w:r>
        <w:tab/>
        <w:t xml:space="preserve">JGN, </w:t>
      </w:r>
      <w:r w:rsidRPr="000E181F">
        <w:rPr>
          <w:rStyle w:val="AERtextitalic"/>
        </w:rPr>
        <w:t>Gamma - response to the draft decision</w:t>
      </w:r>
      <w:r w:rsidR="00AE4657">
        <w:t>, February 2015.</w:t>
      </w:r>
    </w:p>
  </w:footnote>
  <w:footnote w:id="9">
    <w:p w:rsidR="00332C7E" w:rsidRDefault="00332C7E" w:rsidP="006F0FAC">
      <w:pPr>
        <w:pStyle w:val="FootnoteText"/>
      </w:pPr>
      <w:r>
        <w:rPr>
          <w:rStyle w:val="FootnoteReference"/>
        </w:rPr>
        <w:footnoteRef/>
      </w:r>
      <w:r>
        <w:t xml:space="preserve"> </w:t>
      </w:r>
      <w:r>
        <w:tab/>
        <w:t xml:space="preserve">JGN actually referred to the utilisation rate as the Greek letter 'theta'. The labelling and interpretations of the utilisation rate are discussed in sections </w:t>
      </w:r>
      <w:r>
        <w:fldChar w:fldCharType="begin"/>
      </w:r>
      <w:r>
        <w:instrText xml:space="preserve"> REF _Ref400965182 \r \h </w:instrText>
      </w:r>
      <w:r>
        <w:fldChar w:fldCharType="separate"/>
      </w:r>
      <w:r w:rsidR="008B5404">
        <w:t>A.6</w:t>
      </w:r>
      <w:r>
        <w:fldChar w:fldCharType="end"/>
      </w:r>
      <w:r>
        <w:t xml:space="preserve"> and </w:t>
      </w:r>
      <w:r>
        <w:fldChar w:fldCharType="begin"/>
      </w:r>
      <w:r>
        <w:instrText xml:space="preserve"> REF _Ref414282622 \r \h </w:instrText>
      </w:r>
      <w:r>
        <w:fldChar w:fldCharType="separate"/>
      </w:r>
      <w:r w:rsidR="008B5404">
        <w:t>A.7</w:t>
      </w:r>
      <w:r>
        <w:fldChar w:fldCharType="end"/>
      </w:r>
      <w:r>
        <w:t xml:space="preserve"> of appendix A. </w:t>
      </w:r>
    </w:p>
  </w:footnote>
  <w:footnote w:id="10">
    <w:p w:rsidR="00332C7E" w:rsidRDefault="00332C7E" w:rsidP="000A539A">
      <w:pPr>
        <w:pStyle w:val="FootnoteText"/>
      </w:pPr>
      <w:r>
        <w:rPr>
          <w:rStyle w:val="FootnoteReference"/>
        </w:rPr>
        <w:footnoteRef/>
      </w:r>
      <w:r>
        <w:t xml:space="preserve"> </w:t>
      </w:r>
      <w:r>
        <w:tab/>
        <w:t xml:space="preserve">JGN, </w:t>
      </w:r>
      <w:r w:rsidRPr="000E181F">
        <w:rPr>
          <w:rStyle w:val="AERtextitalic"/>
        </w:rPr>
        <w:t>Gamma - response to the draft decision</w:t>
      </w:r>
      <w:r>
        <w:t xml:space="preserve">, February 2015, p. 21. We discuss the different types of implied market value study in section </w:t>
      </w:r>
      <w:r>
        <w:fldChar w:fldCharType="begin"/>
      </w:r>
      <w:r>
        <w:instrText xml:space="preserve"> REF _Ref402791521 \r \h </w:instrText>
      </w:r>
      <w:r>
        <w:fldChar w:fldCharType="separate"/>
      </w:r>
      <w:r w:rsidR="008B5404">
        <w:t>A.14.1</w:t>
      </w:r>
      <w:r>
        <w:fldChar w:fldCharType="end"/>
      </w:r>
      <w:r>
        <w:t xml:space="preserve"> of appendix A.</w:t>
      </w:r>
    </w:p>
  </w:footnote>
  <w:footnote w:id="11">
    <w:p w:rsidR="00A62899" w:rsidRDefault="00A62899">
      <w:pPr>
        <w:pStyle w:val="FootnoteText"/>
      </w:pPr>
      <w:r>
        <w:rPr>
          <w:rStyle w:val="FootnoteReference"/>
        </w:rPr>
        <w:footnoteRef/>
      </w:r>
      <w:r>
        <w:t xml:space="preserve"> </w:t>
      </w:r>
      <w:r>
        <w:tab/>
        <w:t xml:space="preserve">See section </w:t>
      </w:r>
      <w:r>
        <w:fldChar w:fldCharType="begin"/>
      </w:r>
      <w:r>
        <w:instrText xml:space="preserve"> REF _Ref419298166 \r \h </w:instrText>
      </w:r>
      <w:r>
        <w:fldChar w:fldCharType="separate"/>
      </w:r>
      <w:r w:rsidR="008B5404">
        <w:t>4.4</w:t>
      </w:r>
      <w:r>
        <w:fldChar w:fldCharType="end"/>
      </w:r>
      <w:r>
        <w:t xml:space="preserve"> for more detail.</w:t>
      </w:r>
    </w:p>
  </w:footnote>
  <w:footnote w:id="12">
    <w:p w:rsidR="00332C7E" w:rsidRDefault="00332C7E" w:rsidP="00A90D90">
      <w:pPr>
        <w:pStyle w:val="FootnoteText"/>
      </w:pPr>
      <w:r>
        <w:rPr>
          <w:rStyle w:val="FootnoteReference"/>
        </w:rPr>
        <w:footnoteRef/>
      </w:r>
      <w:r>
        <w:t xml:space="preserve"> </w:t>
      </w:r>
      <w:r>
        <w:tab/>
        <w:t>NER, cll. 6.5.3 and 6A.6.4; NGR, r. 87A.</w:t>
      </w:r>
    </w:p>
  </w:footnote>
  <w:footnote w:id="13">
    <w:p w:rsidR="00332C7E" w:rsidRDefault="00332C7E" w:rsidP="00A90D90">
      <w:pPr>
        <w:pStyle w:val="FootnoteText"/>
      </w:pPr>
      <w:r>
        <w:rPr>
          <w:rStyle w:val="FootnoteReference"/>
        </w:rPr>
        <w:footnoteRef/>
      </w:r>
      <w:r>
        <w:t xml:space="preserve"> </w:t>
      </w:r>
      <w:r>
        <w:tab/>
        <w:t>NER, cll. 6.5.2(d)(2) and 6A.6.2(d)(2); NGR, r. 87(4)(b).</w:t>
      </w:r>
    </w:p>
  </w:footnote>
  <w:footnote w:id="14">
    <w:p w:rsidR="00332C7E" w:rsidRDefault="00332C7E"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5">
    <w:p w:rsidR="00332C7E" w:rsidRDefault="00332C7E"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6">
    <w:p w:rsidR="00332C7E" w:rsidRDefault="00332C7E"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7">
    <w:p w:rsidR="00332C7E" w:rsidRDefault="00332C7E"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8">
    <w:p w:rsidR="00332C7E" w:rsidRDefault="00332C7E">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9">
    <w:p w:rsidR="00332C7E" w:rsidRDefault="00332C7E" w:rsidP="008C1870">
      <w:pPr>
        <w:pStyle w:val="FootnoteText"/>
      </w:pPr>
      <w:r>
        <w:rPr>
          <w:rStyle w:val="FootnoteReference"/>
        </w:rPr>
        <w:footnoteRef/>
      </w:r>
      <w:r>
        <w:t xml:space="preserve"> </w:t>
      </w:r>
      <w:r>
        <w:tab/>
        <w:t>NER, cll. 6.5.2 and 6A.6.2;</w:t>
      </w:r>
      <w:r w:rsidRPr="0042735A">
        <w:t xml:space="preserve"> </w:t>
      </w:r>
      <w:r>
        <w:t>NGR, r. 87.</w:t>
      </w:r>
    </w:p>
  </w:footnote>
  <w:footnote w:id="20">
    <w:p w:rsidR="00332C7E" w:rsidRDefault="00332C7E">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1">
    <w:p w:rsidR="00332C7E" w:rsidRDefault="00332C7E"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2">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3">
    <w:p w:rsidR="00332C7E" w:rsidRDefault="00332C7E" w:rsidP="00A90D90">
      <w:pPr>
        <w:pStyle w:val="FootnoteText"/>
      </w:pPr>
      <w:r>
        <w:rPr>
          <w:rStyle w:val="FootnoteReference"/>
        </w:rPr>
        <w:footnoteRef/>
      </w:r>
      <w:r>
        <w:tab/>
        <w:t xml:space="preserve">NEL, s. 16(1)(a); NGL, s. 28(1)(a). </w:t>
      </w:r>
    </w:p>
  </w:footnote>
  <w:footnote w:id="24">
    <w:p w:rsidR="00332C7E" w:rsidRDefault="00332C7E" w:rsidP="00A90D90">
      <w:pPr>
        <w:pStyle w:val="FootnoteText"/>
      </w:pPr>
      <w:r>
        <w:rPr>
          <w:rStyle w:val="FootnoteReference"/>
        </w:rPr>
        <w:footnoteRef/>
      </w:r>
      <w:r>
        <w:t xml:space="preserve"> </w:t>
      </w:r>
      <w:r>
        <w:tab/>
        <w:t>NEL, s. 16(2)(a)(i); NGL, s. 28(2)(a)(i).</w:t>
      </w:r>
    </w:p>
  </w:footnote>
  <w:footnote w:id="25">
    <w:p w:rsidR="00332C7E" w:rsidRDefault="00332C7E" w:rsidP="00112FED">
      <w:pPr>
        <w:pStyle w:val="FootnoteText"/>
      </w:pPr>
      <w:r>
        <w:rPr>
          <w:rStyle w:val="FootnoteReference"/>
        </w:rPr>
        <w:footnoteRef/>
      </w:r>
      <w:r>
        <w:t xml:space="preserve"> </w:t>
      </w:r>
      <w:r>
        <w:tab/>
        <w:t>NEL, ss. 7A(2)–(7); NGL, ss. 24(2)–(7).</w:t>
      </w:r>
    </w:p>
  </w:footnote>
  <w:footnote w:id="26">
    <w:p w:rsidR="00332C7E" w:rsidRDefault="00332C7E"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7">
    <w:p w:rsidR="00332C7E" w:rsidRDefault="00332C7E" w:rsidP="00A90D90">
      <w:pPr>
        <w:pStyle w:val="FootnoteText"/>
      </w:pPr>
      <w:r>
        <w:rPr>
          <w:rStyle w:val="FootnoteReference"/>
        </w:rPr>
        <w:footnoteRef/>
      </w:r>
      <w:r>
        <w:t xml:space="preserve"> </w:t>
      </w:r>
      <w:r>
        <w:tab/>
        <w:t>NER, cll. 6.5.2(n</w:t>
      </w:r>
      <w:r w:rsidRPr="0090536E">
        <w:t xml:space="preserve">) and </w:t>
      </w:r>
      <w:r>
        <w:t>6A.6.2(n); NGR, r. 87(14).</w:t>
      </w:r>
    </w:p>
  </w:footnote>
  <w:footnote w:id="28">
    <w:p w:rsidR="00332C7E" w:rsidRDefault="00332C7E" w:rsidP="00A90D90">
      <w:pPr>
        <w:pStyle w:val="FootnoteText"/>
      </w:pPr>
      <w:r>
        <w:rPr>
          <w:rStyle w:val="FootnoteReference"/>
        </w:rPr>
        <w:footnoteRef/>
      </w:r>
      <w:r>
        <w:t xml:space="preserve"> </w:t>
      </w:r>
      <w:r>
        <w:tab/>
        <w:t xml:space="preserve">NER, cll. </w:t>
      </w:r>
      <w:r w:rsidRPr="001E5B06">
        <w:t>6.5.2(n)</w:t>
      </w:r>
      <w:r>
        <w:t>(2) and 6.A.6.2(n)(2); NGR, r. 87(14)(b).</w:t>
      </w:r>
    </w:p>
  </w:footnote>
  <w:footnote w:id="29">
    <w:p w:rsidR="00332C7E" w:rsidRDefault="00332C7E" w:rsidP="00A90D90">
      <w:pPr>
        <w:pStyle w:val="FootnoteText"/>
      </w:pPr>
      <w:r>
        <w:rPr>
          <w:rStyle w:val="FootnoteReference"/>
        </w:rPr>
        <w:footnoteRef/>
      </w:r>
      <w:r>
        <w:t xml:space="preserve"> </w:t>
      </w:r>
      <w:r>
        <w:tab/>
        <w:t>NER, cll. 6.2.8(c) and 6A.2.3(c); NGR, r. 87(18).</w:t>
      </w:r>
    </w:p>
  </w:footnote>
  <w:footnote w:id="30">
    <w:p w:rsidR="00332C7E" w:rsidRDefault="00332C7E"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1">
    <w:p w:rsidR="00332C7E" w:rsidRDefault="00332C7E" w:rsidP="00A90D9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2">
    <w:p w:rsidR="00332C7E" w:rsidRDefault="00332C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3">
    <w:p w:rsidR="00332C7E" w:rsidRDefault="00332C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4">
    <w:p w:rsidR="00332C7E" w:rsidRDefault="00332C7E" w:rsidP="009661BA">
      <w:pPr>
        <w:pStyle w:val="FootnoteText"/>
      </w:pPr>
      <w:r>
        <w:rPr>
          <w:rStyle w:val="FootnoteReference"/>
        </w:rPr>
        <w:footnoteRef/>
      </w:r>
      <w:r>
        <w:t xml:space="preserve"> </w:t>
      </w:r>
      <w:r>
        <w:tab/>
        <w:t>NER, cll. 6.5.2(d)(2) and 6A.6.2(d)(2); NGR, r. 87(4)(b).</w:t>
      </w:r>
    </w:p>
  </w:footnote>
  <w:footnote w:id="35">
    <w:p w:rsidR="00332C7E" w:rsidRDefault="00332C7E"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6">
    <w:p w:rsidR="00332C7E" w:rsidRDefault="00332C7E"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7">
    <w:p w:rsidR="00332C7E" w:rsidRDefault="00332C7E"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8">
    <w:p w:rsidR="00332C7E" w:rsidRDefault="00332C7E"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9">
    <w:p w:rsidR="00332C7E" w:rsidRDefault="00332C7E"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40">
    <w:p w:rsidR="00332C7E" w:rsidRDefault="00332C7E"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1">
    <w:p w:rsidR="00332C7E" w:rsidRDefault="00332C7E"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2">
    <w:p w:rsidR="00332C7E" w:rsidRDefault="00332C7E"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8B5404">
        <w:t>A.1</w:t>
      </w:r>
      <w:r>
        <w:fldChar w:fldCharType="end"/>
      </w:r>
      <w:r>
        <w:t xml:space="preserve"> and </w:t>
      </w:r>
      <w:r>
        <w:fldChar w:fldCharType="begin"/>
      </w:r>
      <w:r>
        <w:instrText xml:space="preserve"> REF _Ref414621875 \r \h </w:instrText>
      </w:r>
      <w:r>
        <w:fldChar w:fldCharType="separate"/>
      </w:r>
      <w:r w:rsidR="008B5404">
        <w:t>A.2</w:t>
      </w:r>
      <w:r>
        <w:fldChar w:fldCharType="end"/>
      </w:r>
      <w:r>
        <w:t xml:space="preserve"> of appendix A.</w:t>
      </w:r>
    </w:p>
  </w:footnote>
  <w:footnote w:id="43">
    <w:p w:rsidR="00332C7E" w:rsidRDefault="00332C7E"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8B5404">
        <w:t>A.5</w:t>
      </w:r>
      <w:r>
        <w:fldChar w:fldCharType="end"/>
      </w:r>
      <w:r>
        <w:t xml:space="preserve"> of appendix A.</w:t>
      </w:r>
    </w:p>
  </w:footnote>
  <w:footnote w:id="44">
    <w:p w:rsidR="00332C7E" w:rsidRDefault="00332C7E"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8B5404">
        <w:t>4.3.1</w:t>
      </w:r>
      <w:r>
        <w:fldChar w:fldCharType="end"/>
      </w:r>
      <w:r>
        <w:t xml:space="preserve"> and </w:t>
      </w:r>
      <w:r>
        <w:fldChar w:fldCharType="begin"/>
      </w:r>
      <w:r>
        <w:instrText xml:space="preserve"> REF _Ref400965182 \r \h </w:instrText>
      </w:r>
      <w:r>
        <w:fldChar w:fldCharType="separate"/>
      </w:r>
      <w:r w:rsidR="008B5404">
        <w:t>A.6</w:t>
      </w:r>
      <w:r>
        <w:fldChar w:fldCharType="end"/>
      </w:r>
      <w:r>
        <w:t xml:space="preserve"> of appendix A.</w:t>
      </w:r>
    </w:p>
  </w:footnote>
  <w:footnote w:id="45">
    <w:p w:rsidR="00332C7E" w:rsidRDefault="00332C7E"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8B5404">
        <w:t>A.6</w:t>
      </w:r>
      <w:r>
        <w:fldChar w:fldCharType="end"/>
      </w:r>
      <w:r>
        <w:t xml:space="preserve"> of appendix A.</w:t>
      </w:r>
    </w:p>
  </w:footnote>
  <w:footnote w:id="46">
    <w:p w:rsidR="00332C7E" w:rsidRDefault="00332C7E"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rsidR="008B5404">
        <w:t>A.9.1</w:t>
      </w:r>
      <w:r>
        <w:fldChar w:fldCharType="end"/>
      </w:r>
      <w:r>
        <w:t xml:space="preserve"> of appendix A for more discussion. </w:t>
      </w:r>
    </w:p>
  </w:footnote>
  <w:footnote w:id="47">
    <w:p w:rsidR="00332C7E" w:rsidRDefault="00332C7E"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8">
    <w:p w:rsidR="00332C7E" w:rsidRDefault="00332C7E"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9">
    <w:p w:rsidR="00332C7E" w:rsidRDefault="00332C7E"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50">
    <w:p w:rsidR="00332C7E" w:rsidRDefault="00332C7E"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8B5404">
        <w:t>A.1</w:t>
      </w:r>
      <w:r>
        <w:fldChar w:fldCharType="end"/>
      </w:r>
      <w:r>
        <w:t xml:space="preserve"> of appendix A.</w:t>
      </w:r>
    </w:p>
  </w:footnote>
  <w:footnote w:id="51">
    <w:p w:rsidR="00332C7E" w:rsidRDefault="00332C7E"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2">
    <w:p w:rsidR="00332C7E" w:rsidRDefault="00332C7E">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3">
    <w:p w:rsidR="00332C7E" w:rsidRDefault="00332C7E">
      <w:pPr>
        <w:pStyle w:val="FootnoteText"/>
      </w:pPr>
      <w:r>
        <w:rPr>
          <w:rStyle w:val="FootnoteReference"/>
        </w:rPr>
        <w:footnoteRef/>
      </w:r>
      <w:r>
        <w:t xml:space="preserve"> </w:t>
      </w:r>
      <w:r>
        <w:tab/>
        <w:t xml:space="preserve">Specifically, the final decisions for </w:t>
      </w:r>
      <w:r w:rsidRPr="00A62FE1">
        <w:t>ActewAGL</w:t>
      </w:r>
      <w:r>
        <w:t>, Ausg</w:t>
      </w:r>
      <w:r w:rsidRPr="00A62FE1">
        <w:t>rid, Directlink</w:t>
      </w:r>
      <w:r>
        <w:t>,</w:t>
      </w:r>
      <w:r w:rsidRPr="00A62FE1">
        <w:t xml:space="preserve"> Endeavour Ene</w:t>
      </w:r>
      <w:r>
        <w:t>rgy, Essential Energy and TransGrid</w:t>
      </w:r>
    </w:p>
  </w:footnote>
  <w:footnote w:id="54">
    <w:p w:rsidR="00332C7E" w:rsidRDefault="00332C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xml:space="preserve">, March 2015. </w:t>
      </w:r>
    </w:p>
  </w:footnote>
  <w:footnote w:id="55">
    <w:p w:rsidR="00210B31" w:rsidRDefault="00210B3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w:t>
      </w:r>
      <w:r w:rsidR="00147F8E">
        <w:t xml:space="preserve">20 </w:t>
      </w:r>
      <w:r>
        <w:t>May 2015.</w:t>
      </w:r>
    </w:p>
  </w:footnote>
  <w:footnote w:id="56">
    <w:p w:rsidR="00332C7E" w:rsidRDefault="00332C7E"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7">
    <w:p w:rsidR="00332C7E" w:rsidRDefault="00332C7E"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rsidR="008B5404">
        <w:t>4.4.2</w:t>
      </w:r>
      <w:r>
        <w:fldChar w:fldCharType="end"/>
      </w:r>
      <w:r>
        <w:t>.</w:t>
      </w:r>
    </w:p>
  </w:footnote>
  <w:footnote w:id="58">
    <w:p w:rsidR="00332C7E" w:rsidRDefault="00332C7E"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9">
    <w:p w:rsidR="00332C7E" w:rsidRDefault="00332C7E">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0">
    <w:p w:rsidR="00332C7E" w:rsidRDefault="00332C7E"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rsidR="008B5404">
        <w:t>4.4.2</w:t>
      </w:r>
      <w:r>
        <w:fldChar w:fldCharType="end"/>
      </w:r>
      <w:r>
        <w:t>.</w:t>
      </w:r>
    </w:p>
  </w:footnote>
  <w:footnote w:id="61">
    <w:p w:rsidR="00332C7E" w:rsidRDefault="00332C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2">
    <w:p w:rsidR="00332C7E" w:rsidRPr="001966E3" w:rsidRDefault="00332C7E"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63">
    <w:p w:rsidR="00332C7E" w:rsidRDefault="00332C7E"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4">
    <w:p w:rsidR="00332C7E" w:rsidRDefault="00332C7E">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5">
    <w:p w:rsidR="00332C7E" w:rsidRDefault="00332C7E"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6">
    <w:p w:rsidR="00332C7E" w:rsidRDefault="00332C7E" w:rsidP="001B6BD3">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67">
    <w:p w:rsidR="00332C7E" w:rsidRDefault="00332C7E">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8">
    <w:p w:rsidR="00332C7E" w:rsidRDefault="00332C7E"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9">
    <w:p w:rsidR="00332C7E" w:rsidRDefault="00332C7E"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70">
    <w:p w:rsidR="00332C7E" w:rsidRDefault="00332C7E"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71">
    <w:p w:rsidR="00332C7E" w:rsidRDefault="00332C7E"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72">
    <w:p w:rsidR="00332C7E" w:rsidRDefault="00332C7E"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73">
    <w:p w:rsidR="00332C7E" w:rsidRDefault="00332C7E"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8B5404">
        <w:t>A.10</w:t>
      </w:r>
      <w:r>
        <w:fldChar w:fldCharType="end"/>
      </w:r>
      <w:r w:rsidRPr="007F4E38">
        <w:t xml:space="preserve"> of </w:t>
      </w:r>
      <w:r>
        <w:t>appendix A.</w:t>
      </w:r>
    </w:p>
  </w:footnote>
  <w:footnote w:id="74">
    <w:p w:rsidR="00332C7E" w:rsidRDefault="00332C7E"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5">
    <w:p w:rsidR="00332C7E" w:rsidRDefault="00332C7E"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6">
    <w:p w:rsidR="00332C7E" w:rsidRDefault="00332C7E">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8B5404">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w:t>
      </w:r>
      <w:r w:rsidR="00147F8E">
        <w:t xml:space="preserve">20 </w:t>
      </w:r>
      <w:r>
        <w:t xml:space="preserve">May 2015. </w:t>
      </w:r>
    </w:p>
  </w:footnote>
  <w:footnote w:id="77">
    <w:p w:rsidR="00332C7E" w:rsidRDefault="00332C7E"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8">
    <w:p w:rsidR="00332C7E" w:rsidRDefault="00332C7E"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9">
    <w:p w:rsidR="00332C7E" w:rsidRDefault="00332C7E">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8B5404">
        <w:t>A.10</w:t>
      </w:r>
      <w:r>
        <w:fldChar w:fldCharType="end"/>
      </w:r>
      <w:r>
        <w:t xml:space="preserve"> for more detail.</w:t>
      </w:r>
    </w:p>
  </w:footnote>
  <w:footnote w:id="80">
    <w:p w:rsidR="00332C7E" w:rsidRDefault="00332C7E" w:rsidP="00090E98">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8B5404">
        <w:t>A.10</w:t>
      </w:r>
      <w:r>
        <w:fldChar w:fldCharType="end"/>
      </w:r>
      <w:r>
        <w:t xml:space="preserve"> of appendix A. </w:t>
      </w:r>
    </w:p>
  </w:footnote>
  <w:footnote w:id="81">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82">
    <w:p w:rsidR="00332C7E" w:rsidRDefault="00332C7E"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8B5404">
        <w:t>A.8.1</w:t>
      </w:r>
      <w:r>
        <w:fldChar w:fldCharType="end"/>
      </w:r>
      <w:r>
        <w:t xml:space="preserve"> of appendix A.</w:t>
      </w:r>
    </w:p>
  </w:footnote>
  <w:footnote w:id="83">
    <w:p w:rsidR="00332C7E" w:rsidRDefault="00332C7E"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84">
    <w:p w:rsidR="00332C7E" w:rsidRDefault="00332C7E"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8B5404">
        <w:t>A.11</w:t>
      </w:r>
      <w:r>
        <w:fldChar w:fldCharType="end"/>
      </w:r>
      <w:r>
        <w:t xml:space="preserve"> of appendix A.</w:t>
      </w:r>
    </w:p>
  </w:footnote>
  <w:footnote w:id="85">
    <w:p w:rsidR="00332C7E" w:rsidRDefault="00332C7E"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86">
    <w:p w:rsidR="00332C7E" w:rsidRDefault="00332C7E"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7">
    <w:p w:rsidR="00332C7E" w:rsidRDefault="00332C7E"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8">
    <w:p w:rsidR="00332C7E" w:rsidRDefault="00332C7E"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9">
    <w:p w:rsidR="00332C7E" w:rsidRDefault="00332C7E"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0">
    <w:p w:rsidR="00332C7E" w:rsidRDefault="00332C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1">
    <w:p w:rsidR="00332C7E" w:rsidRDefault="00332C7E"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92">
    <w:p w:rsidR="00332C7E" w:rsidRDefault="00332C7E"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93">
    <w:p w:rsidR="00332C7E" w:rsidRDefault="00332C7E"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8B5404">
        <w:t>A.9.1</w:t>
      </w:r>
      <w:r>
        <w:fldChar w:fldCharType="end"/>
      </w:r>
      <w:r>
        <w:t xml:space="preserve"> of appendix A.</w:t>
      </w:r>
    </w:p>
  </w:footnote>
  <w:footnote w:id="94">
    <w:p w:rsidR="00332C7E" w:rsidRDefault="00332C7E"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95">
    <w:p w:rsidR="00332C7E" w:rsidRDefault="00332C7E"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96">
    <w:p w:rsidR="00332C7E" w:rsidRDefault="00332C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9F549A">
        <w:t xml:space="preserve"> </w:t>
      </w:r>
    </w:p>
  </w:footnote>
  <w:footnote w:id="97">
    <w:p w:rsidR="00332C7E" w:rsidRDefault="00332C7E"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8">
    <w:p w:rsidR="00332C7E" w:rsidRDefault="00332C7E"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9">
    <w:p w:rsidR="00332C7E" w:rsidRDefault="00332C7E"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00">
    <w:p w:rsidR="00332C7E" w:rsidRDefault="00332C7E"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01">
    <w:p w:rsidR="00332C7E" w:rsidRDefault="00332C7E"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02">
    <w:p w:rsidR="00332C7E" w:rsidRDefault="00332C7E"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03">
    <w:p w:rsidR="00332C7E" w:rsidRDefault="00332C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04">
    <w:p w:rsidR="00332C7E" w:rsidRDefault="00332C7E"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05">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106">
    <w:p w:rsidR="00332C7E" w:rsidRDefault="00332C7E"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07">
    <w:p w:rsidR="00332C7E" w:rsidRDefault="00332C7E">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8">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9">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10">
    <w:p w:rsidR="00EC3176" w:rsidRDefault="00EC3176">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8B5404">
        <w:t>A.10</w:t>
      </w:r>
      <w:r>
        <w:fldChar w:fldCharType="end"/>
      </w:r>
      <w:r>
        <w:t xml:space="preserve"> for more detail.</w:t>
      </w:r>
    </w:p>
  </w:footnote>
  <w:footnote w:id="111">
    <w:p w:rsidR="00332C7E" w:rsidRDefault="00332C7E"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M.</w:t>
      </w:r>
      <w:r w:rsidR="00AE4657">
        <w:t xml:space="preserve"> </w:t>
      </w:r>
      <w:r>
        <w:t xml:space="preserve">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12">
    <w:p w:rsidR="00332C7E" w:rsidRDefault="00332C7E"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13">
    <w:p w:rsidR="00332C7E" w:rsidRDefault="00332C7E"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14">
    <w:p w:rsidR="00332C7E" w:rsidRPr="00EB47DF" w:rsidRDefault="00332C7E"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15">
    <w:p w:rsidR="00332C7E" w:rsidRDefault="00332C7E"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16">
    <w:p w:rsidR="00332C7E" w:rsidRDefault="00332C7E"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17">
    <w:p w:rsidR="00332C7E" w:rsidRDefault="00332C7E"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18">
    <w:p w:rsidR="00332C7E" w:rsidRDefault="00332C7E"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9">
    <w:p w:rsidR="00332C7E" w:rsidRDefault="00332C7E"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20">
    <w:p w:rsidR="00332C7E" w:rsidRDefault="00332C7E"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21">
    <w:p w:rsidR="00332C7E" w:rsidRDefault="00332C7E"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22">
    <w:p w:rsidR="00332C7E" w:rsidRDefault="00332C7E"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23">
    <w:p w:rsidR="00332C7E" w:rsidRDefault="00332C7E"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24">
    <w:p w:rsidR="00332C7E" w:rsidRDefault="00332C7E"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25">
    <w:p w:rsidR="00332C7E" w:rsidRDefault="00332C7E"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26">
    <w:p w:rsidR="00332C7E" w:rsidRDefault="00332C7E"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27">
    <w:p w:rsidR="00332C7E" w:rsidRDefault="00332C7E"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28">
    <w:p w:rsidR="00332C7E" w:rsidRDefault="00332C7E"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9">
    <w:p w:rsidR="00332C7E" w:rsidRDefault="00332C7E"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30">
    <w:p w:rsidR="00332C7E" w:rsidRDefault="00332C7E"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31">
    <w:p w:rsidR="00332C7E" w:rsidRDefault="00332C7E"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32">
    <w:p w:rsidR="00332C7E" w:rsidRDefault="00332C7E"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33">
    <w:p w:rsidR="00332C7E" w:rsidRDefault="00332C7E">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34">
    <w:p w:rsidR="00332C7E" w:rsidRDefault="00332C7E"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35">
    <w:p w:rsidR="00332C7E" w:rsidRDefault="00332C7E"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36">
    <w:p w:rsidR="00332C7E" w:rsidRDefault="00332C7E" w:rsidP="00615CE6">
      <w:pPr>
        <w:pStyle w:val="FootnoteText"/>
      </w:pPr>
      <w:r>
        <w:rPr>
          <w:rStyle w:val="FootnoteReference"/>
        </w:rPr>
        <w:footnoteRef/>
      </w:r>
      <w:r>
        <w:t xml:space="preserve"> </w:t>
      </w:r>
      <w:r>
        <w:tab/>
        <w:t>NER, cll. 6.5.2 and 6A.6.2;</w:t>
      </w:r>
      <w:r w:rsidRPr="0042735A">
        <w:t xml:space="preserve"> </w:t>
      </w:r>
      <w:r>
        <w:t>NGR, r. 87.</w:t>
      </w:r>
    </w:p>
  </w:footnote>
  <w:footnote w:id="137">
    <w:p w:rsidR="00332C7E" w:rsidRDefault="00332C7E">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38">
    <w:p w:rsidR="00332C7E" w:rsidRDefault="00332C7E"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9">
    <w:p w:rsidR="00332C7E" w:rsidRDefault="00332C7E"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40">
    <w:p w:rsidR="00332C7E" w:rsidRDefault="00332C7E"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41">
    <w:p w:rsidR="00332C7E" w:rsidRDefault="00332C7E" w:rsidP="00A3557D">
      <w:pPr>
        <w:pStyle w:val="FootnoteText"/>
      </w:pPr>
      <w:r>
        <w:rPr>
          <w:rStyle w:val="FootnoteReference"/>
        </w:rPr>
        <w:footnoteRef/>
      </w:r>
      <w:r>
        <w:t xml:space="preserve"> </w:t>
      </w:r>
      <w:r>
        <w:tab/>
        <w:t>NER, cll. 6.5.2 and 6A.6.2;</w:t>
      </w:r>
      <w:r w:rsidRPr="0042735A">
        <w:t xml:space="preserve"> </w:t>
      </w:r>
      <w:r>
        <w:t>NGR, r. 87.</w:t>
      </w:r>
    </w:p>
  </w:footnote>
  <w:footnote w:id="142">
    <w:p w:rsidR="00332C7E" w:rsidRDefault="00332C7E"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43">
    <w:p w:rsidR="00332C7E" w:rsidRDefault="00332C7E" w:rsidP="00A3557D">
      <w:pPr>
        <w:pStyle w:val="FootnoteText"/>
      </w:pPr>
      <w:r>
        <w:rPr>
          <w:rStyle w:val="FootnoteReference"/>
        </w:rPr>
        <w:footnoteRef/>
      </w:r>
      <w:r>
        <w:t xml:space="preserve"> </w:t>
      </w:r>
      <w:r>
        <w:tab/>
        <w:t>This is evident in companies having positive franking account balances in aggregate.</w:t>
      </w:r>
    </w:p>
  </w:footnote>
  <w:footnote w:id="144">
    <w:p w:rsidR="00332C7E" w:rsidRDefault="00332C7E"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45">
    <w:p w:rsidR="00332C7E" w:rsidRDefault="00332C7E"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46">
    <w:p w:rsidR="00332C7E" w:rsidRDefault="00332C7E"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47">
    <w:p w:rsidR="00332C7E" w:rsidRDefault="00332C7E"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8B5404">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48">
    <w:p w:rsidR="00332C7E" w:rsidRDefault="00332C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9">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50">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51">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52">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53">
    <w:p w:rsidR="00332C7E" w:rsidRDefault="00332C7E">
      <w:pPr>
        <w:pStyle w:val="FootnoteText"/>
      </w:pPr>
      <w:r>
        <w:rPr>
          <w:rStyle w:val="FootnoteReference"/>
        </w:rPr>
        <w:footnoteRef/>
      </w:r>
      <w:r>
        <w:t xml:space="preserve"> </w:t>
      </w:r>
      <w:r>
        <w:tab/>
        <w:t>See section A.6.1 of the draft decisions.</w:t>
      </w:r>
    </w:p>
  </w:footnote>
  <w:footnote w:id="154">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55">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56">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57">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58">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9">
    <w:p w:rsidR="00332C7E" w:rsidRDefault="00332C7E" w:rsidP="00C7355B">
      <w:pPr>
        <w:pStyle w:val="FootnoteText"/>
      </w:pPr>
      <w:r>
        <w:rPr>
          <w:rStyle w:val="FootnoteReference"/>
        </w:rPr>
        <w:footnoteRef/>
      </w:r>
      <w:r>
        <w:t xml:space="preserve"> </w:t>
      </w:r>
      <w:r>
        <w:tab/>
        <w:t>Recall that the utilisation rate equals gamma under Officer's perpetuity framework.</w:t>
      </w:r>
    </w:p>
  </w:footnote>
  <w:footnote w:id="160">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61">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62">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63">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64">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5">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66">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67">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68">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9">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70">
    <w:p w:rsidR="00332C7E" w:rsidRDefault="00332C7E"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71">
    <w:p w:rsidR="00332C7E" w:rsidRDefault="00332C7E"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72">
    <w:p w:rsidR="00332C7E" w:rsidRDefault="00332C7E">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73">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74">
    <w:p w:rsidR="00332C7E" w:rsidRDefault="00332C7E">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75">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76">
    <w:p w:rsidR="00332C7E" w:rsidRDefault="00332C7E"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77">
    <w:p w:rsidR="00332C7E" w:rsidRDefault="00332C7E"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78">
    <w:p w:rsidR="00332C7E" w:rsidRDefault="00332C7E"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9">
    <w:p w:rsidR="00332C7E" w:rsidRDefault="00332C7E"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80">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81">
    <w:p w:rsidR="00332C7E" w:rsidRDefault="00332C7E"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2">
    <w:p w:rsidR="00332C7E" w:rsidRDefault="00332C7E">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83">
    <w:p w:rsidR="00332C7E" w:rsidRDefault="00332C7E"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rsidR="008B5404">
        <w:t>4.4.2</w:t>
      </w:r>
      <w:r>
        <w:fldChar w:fldCharType="end"/>
      </w:r>
      <w:r>
        <w:t xml:space="preserve"> of attachment 4.  </w:t>
      </w:r>
    </w:p>
  </w:footnote>
  <w:footnote w:id="184">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85">
    <w:p w:rsidR="00332C7E" w:rsidRDefault="00332C7E"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6">
    <w:p w:rsidR="00332C7E" w:rsidRDefault="00332C7E"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87">
    <w:p w:rsidR="00332C7E" w:rsidRDefault="00332C7E"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8">
    <w:p w:rsidR="00332C7E" w:rsidRDefault="00332C7E"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9">
    <w:p w:rsidR="00332C7E" w:rsidRDefault="00332C7E"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90">
    <w:p w:rsidR="00332C7E" w:rsidRDefault="00332C7E"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91">
    <w:p w:rsidR="00332C7E" w:rsidRDefault="00332C7E"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92">
    <w:p w:rsidR="00332C7E" w:rsidRPr="006C07EA" w:rsidRDefault="00332C7E"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93">
    <w:p w:rsidR="00332C7E" w:rsidRDefault="00332C7E"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94">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95">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96">
    <w:p w:rsidR="00332C7E" w:rsidRDefault="00332C7E">
      <w:pPr>
        <w:pStyle w:val="FootnoteText"/>
      </w:pPr>
      <w:r>
        <w:rPr>
          <w:rStyle w:val="FootnoteReference"/>
        </w:rPr>
        <w:footnoteRef/>
      </w:r>
      <w:r>
        <w:t xml:space="preserve"> </w:t>
      </w:r>
      <w:r>
        <w:tab/>
        <w:t>The refined foreign ownership share of all equity between June 2001 and December 2012 was 0.39 on average.</w:t>
      </w:r>
    </w:p>
  </w:footnote>
  <w:footnote w:id="197">
    <w:p w:rsidR="00332C7E" w:rsidRDefault="00332C7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98">
    <w:p w:rsidR="00332C7E" w:rsidRDefault="00332C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199">
    <w:p w:rsidR="00332C7E" w:rsidRDefault="00332C7E">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200">
    <w:p w:rsidR="00332C7E" w:rsidRDefault="00332C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xml:space="preserve">, March 2015, p. ii. </w:t>
      </w:r>
    </w:p>
  </w:footnote>
  <w:footnote w:id="201">
    <w:p w:rsidR="00332C7E" w:rsidRDefault="00332C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w:t>
      </w:r>
      <w:r w:rsidR="00147F8E">
        <w:t xml:space="preserve">20 </w:t>
      </w:r>
      <w:r>
        <w:t>May 2015, pp. 6 and 7.</w:t>
      </w:r>
      <w:r w:rsidDel="0031248F">
        <w:t xml:space="preserve"> </w:t>
      </w:r>
    </w:p>
  </w:footnote>
  <w:footnote w:id="202">
    <w:p w:rsidR="00332C7E" w:rsidRDefault="00332C7E"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203">
    <w:p w:rsidR="00332C7E" w:rsidRDefault="00332C7E"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204">
    <w:p w:rsidR="00332C7E" w:rsidRDefault="00332C7E"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205">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6">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207">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208">
    <w:p w:rsidR="00332C7E" w:rsidRDefault="00332C7E"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09">
    <w:p w:rsidR="00332C7E" w:rsidRDefault="00332C7E"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10">
    <w:p w:rsidR="00332C7E" w:rsidRDefault="00332C7E"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211">
    <w:p w:rsidR="00332C7E" w:rsidRDefault="00332C7E" w:rsidP="00D65619">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212">
    <w:p w:rsidR="00332C7E" w:rsidRDefault="00332C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w:t>
      </w:r>
      <w:r w:rsidR="00147F8E">
        <w:t xml:space="preserve">20 </w:t>
      </w:r>
      <w:r>
        <w:t xml:space="preserve">May 2015. </w:t>
      </w:r>
    </w:p>
  </w:footnote>
  <w:footnote w:id="213">
    <w:p w:rsidR="00332C7E" w:rsidRDefault="00332C7E">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8B5404">
        <w:t>A.13</w:t>
      </w:r>
      <w:r>
        <w:fldChar w:fldCharType="end"/>
      </w:r>
      <w:r>
        <w:t xml:space="preserve">, we have regard to </w:t>
      </w:r>
      <w:r w:rsidRPr="007938F1">
        <w:t>Hathaway's finding that the ATO statistics are subject to a number of issues prior to 2004</w:t>
      </w:r>
      <w:r>
        <w:t>.</w:t>
      </w:r>
    </w:p>
  </w:footnote>
  <w:footnote w:id="214">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215">
    <w:p w:rsidR="00332C7E" w:rsidRDefault="00332C7E"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16">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17">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18">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19">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20">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21">
    <w:p w:rsidR="00332C7E" w:rsidRDefault="00332C7E">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222">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23">
    <w:p w:rsidR="00332C7E" w:rsidRDefault="00332C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w:t>
      </w:r>
      <w:r w:rsidR="00147F8E">
        <w:t xml:space="preserve">20 </w:t>
      </w:r>
      <w:r>
        <w:t>May 2015, pp. 7–8.</w:t>
      </w:r>
    </w:p>
  </w:footnote>
  <w:footnote w:id="224">
    <w:p w:rsidR="00332C7E" w:rsidRDefault="00332C7E"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25">
    <w:p w:rsidR="00332C7E" w:rsidRDefault="00332C7E"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26">
    <w:p w:rsidR="00332C7E" w:rsidRDefault="00332C7E"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27">
    <w:p w:rsidR="00332C7E" w:rsidRDefault="00332C7E"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28">
    <w:p w:rsidR="00332C7E" w:rsidRDefault="00332C7E"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29">
    <w:p w:rsidR="00332C7E" w:rsidRDefault="00332C7E"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30">
    <w:p w:rsidR="00332C7E" w:rsidRDefault="00332C7E">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31">
    <w:p w:rsidR="00332C7E" w:rsidRDefault="00332C7E"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32">
    <w:p w:rsidR="00332C7E" w:rsidRDefault="00332C7E"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33">
    <w:p w:rsidR="00332C7E" w:rsidRDefault="00332C7E"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34">
    <w:p w:rsidR="00332C7E" w:rsidRDefault="00332C7E"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35">
    <w:p w:rsidR="00332C7E" w:rsidRDefault="00332C7E">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36">
    <w:p w:rsidR="00332C7E" w:rsidRDefault="00332C7E">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37">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38">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39">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40">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41">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42">
    <w:p w:rsidR="00332C7E" w:rsidRDefault="00332C7E"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43">
    <w:p w:rsidR="00332C7E" w:rsidRDefault="00332C7E"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44">
    <w:p w:rsidR="00332C7E" w:rsidRDefault="00332C7E"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45">
    <w:p w:rsidR="00332C7E" w:rsidRDefault="00332C7E" w:rsidP="00D236C4">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246">
    <w:p w:rsidR="00332C7E" w:rsidRDefault="00332C7E"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332C7E" w:rsidRDefault="00332C7E"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48">
    <w:p w:rsidR="00332C7E" w:rsidRDefault="00332C7E"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49">
    <w:p w:rsidR="00332C7E" w:rsidRDefault="00332C7E"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50">
    <w:p w:rsidR="00332C7E" w:rsidRDefault="00332C7E"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51">
    <w:p w:rsidR="00332C7E" w:rsidRDefault="00332C7E"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52">
    <w:p w:rsidR="00332C7E" w:rsidRDefault="00332C7E"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53">
    <w:p w:rsidR="00332C7E" w:rsidRDefault="00332C7E"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54">
    <w:p w:rsidR="00332C7E" w:rsidRDefault="00332C7E"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55">
    <w:p w:rsidR="00332C7E" w:rsidRDefault="00332C7E"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332C7E" w:rsidRDefault="00332C7E"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57">
    <w:p w:rsidR="00332C7E" w:rsidRDefault="00332C7E"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58">
    <w:p w:rsidR="00332C7E" w:rsidRDefault="00332C7E"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332C7E" w:rsidRDefault="00332C7E"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60">
    <w:p w:rsidR="00332C7E" w:rsidRDefault="00332C7E"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61">
    <w:p w:rsidR="00332C7E" w:rsidRDefault="00332C7E"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62">
    <w:p w:rsidR="00332C7E" w:rsidRDefault="00332C7E"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332C7E" w:rsidRDefault="00332C7E"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64">
    <w:p w:rsidR="00332C7E" w:rsidRDefault="00332C7E"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65">
    <w:p w:rsidR="00332C7E" w:rsidRDefault="00332C7E"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66">
    <w:p w:rsidR="00332C7E" w:rsidRDefault="00332C7E"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67">
    <w:p w:rsidR="00332C7E" w:rsidRDefault="00332C7E"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68">
    <w:p w:rsidR="00332C7E" w:rsidRDefault="00332C7E"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69">
    <w:p w:rsidR="00332C7E" w:rsidRDefault="00332C7E"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70">
    <w:p w:rsidR="00332C7E" w:rsidRDefault="00332C7E"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71">
    <w:p w:rsidR="00332C7E" w:rsidRDefault="00332C7E"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72">
    <w:p w:rsidR="00332C7E" w:rsidRDefault="00332C7E"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73">
    <w:p w:rsidR="00332C7E" w:rsidRDefault="00332C7E"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74">
    <w:p w:rsidR="00332C7E" w:rsidRDefault="00332C7E"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75">
    <w:p w:rsidR="00332C7E" w:rsidRDefault="00332C7E"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76">
    <w:p w:rsidR="00332C7E" w:rsidRDefault="00332C7E"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77">
    <w:p w:rsidR="00332C7E" w:rsidRDefault="00332C7E"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78">
    <w:p w:rsidR="00332C7E" w:rsidRDefault="00332C7E"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79">
    <w:p w:rsidR="00332C7E" w:rsidRDefault="00332C7E"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80">
    <w:p w:rsidR="00332C7E" w:rsidRDefault="00332C7E"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81">
    <w:p w:rsidR="00332C7E" w:rsidRDefault="00332C7E"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82">
    <w:p w:rsidR="00332C7E" w:rsidRDefault="00332C7E"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83">
    <w:p w:rsidR="00332C7E" w:rsidRDefault="00332C7E"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84">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85">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86">
    <w:p w:rsidR="00332C7E" w:rsidRDefault="00332C7E"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87">
    <w:p w:rsidR="00332C7E" w:rsidRDefault="00332C7E"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88">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89">
    <w:p w:rsidR="00332C7E" w:rsidRDefault="00332C7E"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90">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91">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92">
    <w:p w:rsidR="00332C7E" w:rsidRDefault="00332C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93">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94">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95">
    <w:p w:rsidR="00332C7E" w:rsidRDefault="00332C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96">
    <w:p w:rsidR="00332C7E" w:rsidRDefault="00332C7E">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97">
    <w:p w:rsidR="00332C7E" w:rsidRDefault="00332C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98">
    <w:p w:rsidR="00332C7E" w:rsidRDefault="00332C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99">
    <w:p w:rsidR="00332C7E" w:rsidRDefault="00332C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300">
    <w:p w:rsidR="00332C7E" w:rsidRDefault="00332C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301">
    <w:p w:rsidR="00332C7E" w:rsidRDefault="00332C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302">
    <w:p w:rsidR="00332C7E" w:rsidRDefault="00332C7E">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303">
    <w:p w:rsidR="00332C7E" w:rsidRDefault="00332C7E">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304">
    <w:p w:rsidR="00332C7E" w:rsidRDefault="00332C7E"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305">
    <w:p w:rsidR="00332C7E" w:rsidRDefault="00332C7E"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306">
    <w:p w:rsidR="00332C7E" w:rsidRDefault="00332C7E"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307">
    <w:p w:rsidR="00332C7E" w:rsidRDefault="00332C7E"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308">
    <w:p w:rsidR="00332C7E" w:rsidRDefault="00332C7E"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309">
    <w:p w:rsidR="00332C7E" w:rsidRDefault="00332C7E"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310">
    <w:p w:rsidR="00332C7E" w:rsidRDefault="00332C7E">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311">
    <w:p w:rsidR="00332C7E" w:rsidRDefault="00332C7E"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312">
    <w:p w:rsidR="00332C7E" w:rsidRDefault="00332C7E"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313">
    <w:p w:rsidR="00332C7E" w:rsidRDefault="00332C7E"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314">
    <w:p w:rsidR="00332C7E" w:rsidRDefault="00332C7E"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315">
    <w:p w:rsidR="00332C7E" w:rsidRDefault="00332C7E"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316">
    <w:p w:rsidR="00332C7E" w:rsidRDefault="00332C7E"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317">
    <w:p w:rsidR="00332C7E" w:rsidRDefault="00332C7E"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318">
    <w:p w:rsidR="00332C7E" w:rsidRDefault="00332C7E"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19">
    <w:p w:rsidR="00332C7E" w:rsidRDefault="00332C7E"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20">
    <w:p w:rsidR="00332C7E" w:rsidRDefault="00332C7E"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21">
    <w:p w:rsidR="00332C7E" w:rsidRDefault="00332C7E"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22">
    <w:p w:rsidR="00332C7E" w:rsidRDefault="00332C7E"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23">
    <w:p w:rsidR="00332C7E" w:rsidRDefault="00332C7E"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24">
    <w:p w:rsidR="00332C7E" w:rsidRDefault="00332C7E"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9ksO6oGIpAA3Gprmc1sI3L5zHnChA4AHVHaGjkVoOg=" w:saltValue="JGYzgJttv1h/T+PV+7kpcQ==" w:algorithmName="SHA-256"/>
  <w:defaultTabStop w:val="34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4 - Value of imputation credits - June 2015.docx"/>
  </w:docVars>
  <w:rsids>
    <w:rsidRoot w:val="00961A4A"/>
    <w:rsid w:val="00000225"/>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8E"/>
    <w:rsid w:val="00035CF5"/>
    <w:rsid w:val="000364F9"/>
    <w:rsid w:val="000401B4"/>
    <w:rsid w:val="00040E5F"/>
    <w:rsid w:val="000420EA"/>
    <w:rsid w:val="00042A44"/>
    <w:rsid w:val="00045DD9"/>
    <w:rsid w:val="00050D76"/>
    <w:rsid w:val="00051598"/>
    <w:rsid w:val="000515FE"/>
    <w:rsid w:val="0005360D"/>
    <w:rsid w:val="0005367F"/>
    <w:rsid w:val="00053F84"/>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0E98"/>
    <w:rsid w:val="00091B15"/>
    <w:rsid w:val="000926C0"/>
    <w:rsid w:val="0009456D"/>
    <w:rsid w:val="00094AA1"/>
    <w:rsid w:val="000950A5"/>
    <w:rsid w:val="000950EE"/>
    <w:rsid w:val="000957E9"/>
    <w:rsid w:val="000968C4"/>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0F6CD8"/>
    <w:rsid w:val="001029F3"/>
    <w:rsid w:val="00103C71"/>
    <w:rsid w:val="00106C16"/>
    <w:rsid w:val="00112FED"/>
    <w:rsid w:val="0011590A"/>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47F8E"/>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706E"/>
    <w:rsid w:val="001674B1"/>
    <w:rsid w:val="0017232E"/>
    <w:rsid w:val="00172780"/>
    <w:rsid w:val="00173633"/>
    <w:rsid w:val="00173FB4"/>
    <w:rsid w:val="00174102"/>
    <w:rsid w:val="001754EE"/>
    <w:rsid w:val="00177488"/>
    <w:rsid w:val="001776CA"/>
    <w:rsid w:val="00180157"/>
    <w:rsid w:val="00180297"/>
    <w:rsid w:val="00181D6F"/>
    <w:rsid w:val="00182FCB"/>
    <w:rsid w:val="001853F1"/>
    <w:rsid w:val="00185CB9"/>
    <w:rsid w:val="00186F77"/>
    <w:rsid w:val="00191633"/>
    <w:rsid w:val="00191688"/>
    <w:rsid w:val="001926A4"/>
    <w:rsid w:val="00192A3E"/>
    <w:rsid w:val="00192AD5"/>
    <w:rsid w:val="00193E3A"/>
    <w:rsid w:val="001943F7"/>
    <w:rsid w:val="00194992"/>
    <w:rsid w:val="00194C1A"/>
    <w:rsid w:val="00195DBC"/>
    <w:rsid w:val="0019613E"/>
    <w:rsid w:val="001966E3"/>
    <w:rsid w:val="00196FC6"/>
    <w:rsid w:val="00197B69"/>
    <w:rsid w:val="00197FE3"/>
    <w:rsid w:val="001A0AD5"/>
    <w:rsid w:val="001A233B"/>
    <w:rsid w:val="001A29C8"/>
    <w:rsid w:val="001A2B61"/>
    <w:rsid w:val="001A3A0B"/>
    <w:rsid w:val="001A4F7C"/>
    <w:rsid w:val="001A7E18"/>
    <w:rsid w:val="001B0396"/>
    <w:rsid w:val="001B054B"/>
    <w:rsid w:val="001B1D7E"/>
    <w:rsid w:val="001B1D8E"/>
    <w:rsid w:val="001B45A0"/>
    <w:rsid w:val="001B5324"/>
    <w:rsid w:val="001B5415"/>
    <w:rsid w:val="001B6BD3"/>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1D40"/>
    <w:rsid w:val="001F2C5D"/>
    <w:rsid w:val="001F492E"/>
    <w:rsid w:val="001F5131"/>
    <w:rsid w:val="001F5AF0"/>
    <w:rsid w:val="001F6A3E"/>
    <w:rsid w:val="001F6DA3"/>
    <w:rsid w:val="0020052E"/>
    <w:rsid w:val="00200AC8"/>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07E2C"/>
    <w:rsid w:val="00210B31"/>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C11"/>
    <w:rsid w:val="00232176"/>
    <w:rsid w:val="00233775"/>
    <w:rsid w:val="002339AE"/>
    <w:rsid w:val="002344B4"/>
    <w:rsid w:val="002345E2"/>
    <w:rsid w:val="002356A3"/>
    <w:rsid w:val="002370AA"/>
    <w:rsid w:val="00237419"/>
    <w:rsid w:val="00240132"/>
    <w:rsid w:val="00240569"/>
    <w:rsid w:val="00240C12"/>
    <w:rsid w:val="00241B8E"/>
    <w:rsid w:val="00241DFB"/>
    <w:rsid w:val="002424BE"/>
    <w:rsid w:val="00242B75"/>
    <w:rsid w:val="00242C5C"/>
    <w:rsid w:val="0024321E"/>
    <w:rsid w:val="002435BC"/>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1BD"/>
    <w:rsid w:val="00267663"/>
    <w:rsid w:val="0026772D"/>
    <w:rsid w:val="00270474"/>
    <w:rsid w:val="0027049E"/>
    <w:rsid w:val="00270CE0"/>
    <w:rsid w:val="002711F2"/>
    <w:rsid w:val="00271E09"/>
    <w:rsid w:val="00271F25"/>
    <w:rsid w:val="0027315E"/>
    <w:rsid w:val="00277D14"/>
    <w:rsid w:val="00280044"/>
    <w:rsid w:val="002805E2"/>
    <w:rsid w:val="002829F1"/>
    <w:rsid w:val="0028481C"/>
    <w:rsid w:val="00286874"/>
    <w:rsid w:val="00286B3E"/>
    <w:rsid w:val="002877E9"/>
    <w:rsid w:val="0028796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46E3"/>
    <w:rsid w:val="002C640C"/>
    <w:rsid w:val="002C6AF7"/>
    <w:rsid w:val="002C75FE"/>
    <w:rsid w:val="002D23E3"/>
    <w:rsid w:val="002D3EB3"/>
    <w:rsid w:val="002D42E1"/>
    <w:rsid w:val="002D46D2"/>
    <w:rsid w:val="002D637F"/>
    <w:rsid w:val="002D72E8"/>
    <w:rsid w:val="002E1BBD"/>
    <w:rsid w:val="002E21E3"/>
    <w:rsid w:val="002E2AB9"/>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77D"/>
    <w:rsid w:val="00307F6D"/>
    <w:rsid w:val="00310914"/>
    <w:rsid w:val="00311850"/>
    <w:rsid w:val="00311927"/>
    <w:rsid w:val="00311C26"/>
    <w:rsid w:val="0031248F"/>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6BF7"/>
    <w:rsid w:val="003271B5"/>
    <w:rsid w:val="00327774"/>
    <w:rsid w:val="00327A1E"/>
    <w:rsid w:val="00331264"/>
    <w:rsid w:val="0033258C"/>
    <w:rsid w:val="00332A53"/>
    <w:rsid w:val="00332C7E"/>
    <w:rsid w:val="00332E89"/>
    <w:rsid w:val="0033341B"/>
    <w:rsid w:val="00334C8D"/>
    <w:rsid w:val="0033521E"/>
    <w:rsid w:val="00335E54"/>
    <w:rsid w:val="00340378"/>
    <w:rsid w:val="00340B37"/>
    <w:rsid w:val="0034249A"/>
    <w:rsid w:val="00342F27"/>
    <w:rsid w:val="0034337A"/>
    <w:rsid w:val="00343A18"/>
    <w:rsid w:val="003443F7"/>
    <w:rsid w:val="00344F8E"/>
    <w:rsid w:val="003504FC"/>
    <w:rsid w:val="003518B3"/>
    <w:rsid w:val="00352736"/>
    <w:rsid w:val="00352983"/>
    <w:rsid w:val="00352DBF"/>
    <w:rsid w:val="00355B65"/>
    <w:rsid w:val="00355B77"/>
    <w:rsid w:val="00355D42"/>
    <w:rsid w:val="00361EF1"/>
    <w:rsid w:val="00362F8C"/>
    <w:rsid w:val="00364352"/>
    <w:rsid w:val="00364692"/>
    <w:rsid w:val="003658B2"/>
    <w:rsid w:val="0036613F"/>
    <w:rsid w:val="00366244"/>
    <w:rsid w:val="003663DE"/>
    <w:rsid w:val="00367EDE"/>
    <w:rsid w:val="0037145F"/>
    <w:rsid w:val="00371865"/>
    <w:rsid w:val="00371C1E"/>
    <w:rsid w:val="00371DBB"/>
    <w:rsid w:val="00376B16"/>
    <w:rsid w:val="0038032B"/>
    <w:rsid w:val="00380B80"/>
    <w:rsid w:val="003817F2"/>
    <w:rsid w:val="00384402"/>
    <w:rsid w:val="003846F1"/>
    <w:rsid w:val="00384981"/>
    <w:rsid w:val="00386FCB"/>
    <w:rsid w:val="003873C7"/>
    <w:rsid w:val="00391221"/>
    <w:rsid w:val="003914B5"/>
    <w:rsid w:val="00392DDE"/>
    <w:rsid w:val="0039342E"/>
    <w:rsid w:val="003940CD"/>
    <w:rsid w:val="00394553"/>
    <w:rsid w:val="00394590"/>
    <w:rsid w:val="00394742"/>
    <w:rsid w:val="00396D7C"/>
    <w:rsid w:val="003972DD"/>
    <w:rsid w:val="00397527"/>
    <w:rsid w:val="003A079E"/>
    <w:rsid w:val="003A0A60"/>
    <w:rsid w:val="003A4060"/>
    <w:rsid w:val="003A41F1"/>
    <w:rsid w:val="003A4A61"/>
    <w:rsid w:val="003A55CA"/>
    <w:rsid w:val="003A55DC"/>
    <w:rsid w:val="003A5A7F"/>
    <w:rsid w:val="003A5CF8"/>
    <w:rsid w:val="003B0C3D"/>
    <w:rsid w:val="003B16C3"/>
    <w:rsid w:val="003B1A41"/>
    <w:rsid w:val="003B1F07"/>
    <w:rsid w:val="003B29E9"/>
    <w:rsid w:val="003B2FA1"/>
    <w:rsid w:val="003B3322"/>
    <w:rsid w:val="003B3BB6"/>
    <w:rsid w:val="003B4139"/>
    <w:rsid w:val="003B484F"/>
    <w:rsid w:val="003B66B5"/>
    <w:rsid w:val="003B6A25"/>
    <w:rsid w:val="003B771F"/>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3D89"/>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5040"/>
    <w:rsid w:val="0040548D"/>
    <w:rsid w:val="004056F3"/>
    <w:rsid w:val="004060BE"/>
    <w:rsid w:val="00406B74"/>
    <w:rsid w:val="00406E58"/>
    <w:rsid w:val="0041319C"/>
    <w:rsid w:val="00413AC3"/>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2D2"/>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3E0B"/>
    <w:rsid w:val="004749DC"/>
    <w:rsid w:val="00474BFD"/>
    <w:rsid w:val="004807E2"/>
    <w:rsid w:val="00480B4B"/>
    <w:rsid w:val="00480E3F"/>
    <w:rsid w:val="00481511"/>
    <w:rsid w:val="00481B86"/>
    <w:rsid w:val="00485DC4"/>
    <w:rsid w:val="00485FF7"/>
    <w:rsid w:val="00486A2F"/>
    <w:rsid w:val="00486FC1"/>
    <w:rsid w:val="00490637"/>
    <w:rsid w:val="00490C29"/>
    <w:rsid w:val="00491828"/>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B6FED"/>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0B5D"/>
    <w:rsid w:val="004E22EC"/>
    <w:rsid w:val="004E2511"/>
    <w:rsid w:val="004E3E86"/>
    <w:rsid w:val="004E4BF6"/>
    <w:rsid w:val="004E4F29"/>
    <w:rsid w:val="004E5A52"/>
    <w:rsid w:val="004F15DE"/>
    <w:rsid w:val="004F290A"/>
    <w:rsid w:val="004F40A2"/>
    <w:rsid w:val="004F46B8"/>
    <w:rsid w:val="004F5973"/>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33BA4"/>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6E0"/>
    <w:rsid w:val="00570EA2"/>
    <w:rsid w:val="00571B35"/>
    <w:rsid w:val="00571D57"/>
    <w:rsid w:val="005741A1"/>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47EE"/>
    <w:rsid w:val="005979D5"/>
    <w:rsid w:val="005A0758"/>
    <w:rsid w:val="005A0CCF"/>
    <w:rsid w:val="005A184F"/>
    <w:rsid w:val="005A404D"/>
    <w:rsid w:val="005A4352"/>
    <w:rsid w:val="005A4862"/>
    <w:rsid w:val="005A5371"/>
    <w:rsid w:val="005A7FDD"/>
    <w:rsid w:val="005B011C"/>
    <w:rsid w:val="005B1345"/>
    <w:rsid w:val="005B1D22"/>
    <w:rsid w:val="005B1E3C"/>
    <w:rsid w:val="005B2D94"/>
    <w:rsid w:val="005B339B"/>
    <w:rsid w:val="005B33F5"/>
    <w:rsid w:val="005B539D"/>
    <w:rsid w:val="005B61AD"/>
    <w:rsid w:val="005B6EE2"/>
    <w:rsid w:val="005B704A"/>
    <w:rsid w:val="005B7CF2"/>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1689"/>
    <w:rsid w:val="005E32FB"/>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706"/>
    <w:rsid w:val="00604A26"/>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3505"/>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47E2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3FA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6E4A"/>
    <w:rsid w:val="006B7702"/>
    <w:rsid w:val="006B7AC8"/>
    <w:rsid w:val="006B7D63"/>
    <w:rsid w:val="006C07EA"/>
    <w:rsid w:val="006C1736"/>
    <w:rsid w:val="006C1FFB"/>
    <w:rsid w:val="006C6748"/>
    <w:rsid w:val="006C6D18"/>
    <w:rsid w:val="006D1B7D"/>
    <w:rsid w:val="006D296A"/>
    <w:rsid w:val="006D29E1"/>
    <w:rsid w:val="006D550F"/>
    <w:rsid w:val="006D5D8E"/>
    <w:rsid w:val="006D712C"/>
    <w:rsid w:val="006E0DD4"/>
    <w:rsid w:val="006E1716"/>
    <w:rsid w:val="006E31DA"/>
    <w:rsid w:val="006E3A04"/>
    <w:rsid w:val="006E4661"/>
    <w:rsid w:val="006E587D"/>
    <w:rsid w:val="006F05EF"/>
    <w:rsid w:val="006F0FAC"/>
    <w:rsid w:val="006F2F17"/>
    <w:rsid w:val="006F3583"/>
    <w:rsid w:val="006F41AD"/>
    <w:rsid w:val="006F4EB9"/>
    <w:rsid w:val="006F670B"/>
    <w:rsid w:val="0070011E"/>
    <w:rsid w:val="00700D28"/>
    <w:rsid w:val="00700E74"/>
    <w:rsid w:val="007017ED"/>
    <w:rsid w:val="00701BF2"/>
    <w:rsid w:val="00701CAB"/>
    <w:rsid w:val="00703B9F"/>
    <w:rsid w:val="00706DA4"/>
    <w:rsid w:val="00707563"/>
    <w:rsid w:val="00712924"/>
    <w:rsid w:val="00713CA9"/>
    <w:rsid w:val="00713D13"/>
    <w:rsid w:val="00713EDC"/>
    <w:rsid w:val="00715F1D"/>
    <w:rsid w:val="00716D12"/>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38F1"/>
    <w:rsid w:val="007942D0"/>
    <w:rsid w:val="00796AA5"/>
    <w:rsid w:val="00797099"/>
    <w:rsid w:val="007A0FE7"/>
    <w:rsid w:val="007A16ED"/>
    <w:rsid w:val="007A2B49"/>
    <w:rsid w:val="007A37FD"/>
    <w:rsid w:val="007A49B2"/>
    <w:rsid w:val="007A4EF0"/>
    <w:rsid w:val="007A5DF9"/>
    <w:rsid w:val="007A66EF"/>
    <w:rsid w:val="007A6C22"/>
    <w:rsid w:val="007B186E"/>
    <w:rsid w:val="007B2C72"/>
    <w:rsid w:val="007B336F"/>
    <w:rsid w:val="007B50F3"/>
    <w:rsid w:val="007B51B6"/>
    <w:rsid w:val="007B6EFF"/>
    <w:rsid w:val="007B763B"/>
    <w:rsid w:val="007B7C96"/>
    <w:rsid w:val="007B7CC9"/>
    <w:rsid w:val="007C1387"/>
    <w:rsid w:val="007C1C53"/>
    <w:rsid w:val="007C38AD"/>
    <w:rsid w:val="007C4236"/>
    <w:rsid w:val="007C48BA"/>
    <w:rsid w:val="007C58C6"/>
    <w:rsid w:val="007C5918"/>
    <w:rsid w:val="007C6522"/>
    <w:rsid w:val="007C6807"/>
    <w:rsid w:val="007C6D31"/>
    <w:rsid w:val="007C74BB"/>
    <w:rsid w:val="007C7663"/>
    <w:rsid w:val="007C7DB6"/>
    <w:rsid w:val="007D19F6"/>
    <w:rsid w:val="007D3EF5"/>
    <w:rsid w:val="007D456E"/>
    <w:rsid w:val="007D78F2"/>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2463"/>
    <w:rsid w:val="00823705"/>
    <w:rsid w:val="00826B31"/>
    <w:rsid w:val="00826CF1"/>
    <w:rsid w:val="00827A8B"/>
    <w:rsid w:val="00827F1B"/>
    <w:rsid w:val="00832DB7"/>
    <w:rsid w:val="00833625"/>
    <w:rsid w:val="008344F6"/>
    <w:rsid w:val="0083510F"/>
    <w:rsid w:val="00836289"/>
    <w:rsid w:val="00841278"/>
    <w:rsid w:val="00841282"/>
    <w:rsid w:val="008418C9"/>
    <w:rsid w:val="00842206"/>
    <w:rsid w:val="0084249F"/>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B32"/>
    <w:rsid w:val="008B1CC6"/>
    <w:rsid w:val="008B35CD"/>
    <w:rsid w:val="008B5404"/>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1CD0"/>
    <w:rsid w:val="008E2948"/>
    <w:rsid w:val="008E3B4F"/>
    <w:rsid w:val="008E57A0"/>
    <w:rsid w:val="008E7031"/>
    <w:rsid w:val="008E74FF"/>
    <w:rsid w:val="008E77DE"/>
    <w:rsid w:val="008F07A3"/>
    <w:rsid w:val="008F2991"/>
    <w:rsid w:val="008F34DD"/>
    <w:rsid w:val="008F44A1"/>
    <w:rsid w:val="008F5248"/>
    <w:rsid w:val="008F5443"/>
    <w:rsid w:val="008F5CC1"/>
    <w:rsid w:val="008F6CCB"/>
    <w:rsid w:val="008F710E"/>
    <w:rsid w:val="009001B6"/>
    <w:rsid w:val="00900771"/>
    <w:rsid w:val="00900A09"/>
    <w:rsid w:val="00900E1B"/>
    <w:rsid w:val="0090116D"/>
    <w:rsid w:val="00902809"/>
    <w:rsid w:val="00902DB6"/>
    <w:rsid w:val="00905F96"/>
    <w:rsid w:val="00907570"/>
    <w:rsid w:val="0091090D"/>
    <w:rsid w:val="0091227E"/>
    <w:rsid w:val="009132FD"/>
    <w:rsid w:val="009138A1"/>
    <w:rsid w:val="00913C57"/>
    <w:rsid w:val="00915740"/>
    <w:rsid w:val="0091576E"/>
    <w:rsid w:val="00916CF5"/>
    <w:rsid w:val="00917F6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3F0"/>
    <w:rsid w:val="009456E9"/>
    <w:rsid w:val="009460AA"/>
    <w:rsid w:val="00946639"/>
    <w:rsid w:val="00951318"/>
    <w:rsid w:val="00951501"/>
    <w:rsid w:val="00951978"/>
    <w:rsid w:val="00952246"/>
    <w:rsid w:val="00954895"/>
    <w:rsid w:val="00955482"/>
    <w:rsid w:val="00955DFE"/>
    <w:rsid w:val="009563DA"/>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0FCF"/>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307"/>
    <w:rsid w:val="009C0F2A"/>
    <w:rsid w:val="009C12C9"/>
    <w:rsid w:val="009C1402"/>
    <w:rsid w:val="009C20EE"/>
    <w:rsid w:val="009C266A"/>
    <w:rsid w:val="009C2C65"/>
    <w:rsid w:val="009C48F7"/>
    <w:rsid w:val="009C4BAF"/>
    <w:rsid w:val="009C5A79"/>
    <w:rsid w:val="009C61F8"/>
    <w:rsid w:val="009D05E8"/>
    <w:rsid w:val="009D11C4"/>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549A"/>
    <w:rsid w:val="009F549C"/>
    <w:rsid w:val="009F5BA1"/>
    <w:rsid w:val="009F6D3F"/>
    <w:rsid w:val="00A00887"/>
    <w:rsid w:val="00A009E2"/>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50EC"/>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464"/>
    <w:rsid w:val="00A57BA6"/>
    <w:rsid w:val="00A57D04"/>
    <w:rsid w:val="00A60A26"/>
    <w:rsid w:val="00A61598"/>
    <w:rsid w:val="00A62899"/>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1539"/>
    <w:rsid w:val="00AA229B"/>
    <w:rsid w:val="00AA2B22"/>
    <w:rsid w:val="00AA493E"/>
    <w:rsid w:val="00AA4945"/>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4657"/>
    <w:rsid w:val="00AE5BF4"/>
    <w:rsid w:val="00AE6040"/>
    <w:rsid w:val="00AE7532"/>
    <w:rsid w:val="00AE7786"/>
    <w:rsid w:val="00AF040A"/>
    <w:rsid w:val="00AF0DD2"/>
    <w:rsid w:val="00AF1508"/>
    <w:rsid w:val="00AF1A4A"/>
    <w:rsid w:val="00AF1D81"/>
    <w:rsid w:val="00AF3A97"/>
    <w:rsid w:val="00AF6C11"/>
    <w:rsid w:val="00AF7182"/>
    <w:rsid w:val="00AF7793"/>
    <w:rsid w:val="00B01263"/>
    <w:rsid w:val="00B01373"/>
    <w:rsid w:val="00B03641"/>
    <w:rsid w:val="00B05B53"/>
    <w:rsid w:val="00B06845"/>
    <w:rsid w:val="00B07419"/>
    <w:rsid w:val="00B10699"/>
    <w:rsid w:val="00B13048"/>
    <w:rsid w:val="00B135C0"/>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371C"/>
    <w:rsid w:val="00B545D7"/>
    <w:rsid w:val="00B54D30"/>
    <w:rsid w:val="00B561BD"/>
    <w:rsid w:val="00B56451"/>
    <w:rsid w:val="00B56E03"/>
    <w:rsid w:val="00B56F09"/>
    <w:rsid w:val="00B57CC1"/>
    <w:rsid w:val="00B61A9F"/>
    <w:rsid w:val="00B65F1A"/>
    <w:rsid w:val="00B67C84"/>
    <w:rsid w:val="00B71AA2"/>
    <w:rsid w:val="00B71ABF"/>
    <w:rsid w:val="00B7259E"/>
    <w:rsid w:val="00B749E0"/>
    <w:rsid w:val="00B7668A"/>
    <w:rsid w:val="00B776F2"/>
    <w:rsid w:val="00B8080B"/>
    <w:rsid w:val="00B813DD"/>
    <w:rsid w:val="00B81EAE"/>
    <w:rsid w:val="00B82166"/>
    <w:rsid w:val="00B82223"/>
    <w:rsid w:val="00B838B5"/>
    <w:rsid w:val="00B84CBC"/>
    <w:rsid w:val="00B85A95"/>
    <w:rsid w:val="00B8664E"/>
    <w:rsid w:val="00B870C4"/>
    <w:rsid w:val="00B87BA5"/>
    <w:rsid w:val="00B87C39"/>
    <w:rsid w:val="00B93D6C"/>
    <w:rsid w:val="00B9562D"/>
    <w:rsid w:val="00B95699"/>
    <w:rsid w:val="00BA0C40"/>
    <w:rsid w:val="00BA153F"/>
    <w:rsid w:val="00BA3CD6"/>
    <w:rsid w:val="00BA4665"/>
    <w:rsid w:val="00BA6364"/>
    <w:rsid w:val="00BA7B2E"/>
    <w:rsid w:val="00BB0325"/>
    <w:rsid w:val="00BB1615"/>
    <w:rsid w:val="00BB2FB2"/>
    <w:rsid w:val="00BB3304"/>
    <w:rsid w:val="00BB3C6E"/>
    <w:rsid w:val="00BB4507"/>
    <w:rsid w:val="00BB533D"/>
    <w:rsid w:val="00BB5D41"/>
    <w:rsid w:val="00BC20A5"/>
    <w:rsid w:val="00BC2F08"/>
    <w:rsid w:val="00BC2F8D"/>
    <w:rsid w:val="00BC3784"/>
    <w:rsid w:val="00BC44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1AAA"/>
    <w:rsid w:val="00C0259E"/>
    <w:rsid w:val="00C02961"/>
    <w:rsid w:val="00C03880"/>
    <w:rsid w:val="00C038D8"/>
    <w:rsid w:val="00C04223"/>
    <w:rsid w:val="00C04B23"/>
    <w:rsid w:val="00C04CC4"/>
    <w:rsid w:val="00C054E0"/>
    <w:rsid w:val="00C05785"/>
    <w:rsid w:val="00C06B80"/>
    <w:rsid w:val="00C07166"/>
    <w:rsid w:val="00C10EC6"/>
    <w:rsid w:val="00C1112D"/>
    <w:rsid w:val="00C17027"/>
    <w:rsid w:val="00C17494"/>
    <w:rsid w:val="00C17711"/>
    <w:rsid w:val="00C20980"/>
    <w:rsid w:val="00C20C67"/>
    <w:rsid w:val="00C20D54"/>
    <w:rsid w:val="00C250BF"/>
    <w:rsid w:val="00C25FA6"/>
    <w:rsid w:val="00C2621C"/>
    <w:rsid w:val="00C2670E"/>
    <w:rsid w:val="00C26A14"/>
    <w:rsid w:val="00C27B59"/>
    <w:rsid w:val="00C309E4"/>
    <w:rsid w:val="00C31B22"/>
    <w:rsid w:val="00C32554"/>
    <w:rsid w:val="00C34462"/>
    <w:rsid w:val="00C35DCF"/>
    <w:rsid w:val="00C36177"/>
    <w:rsid w:val="00C42DAA"/>
    <w:rsid w:val="00C449C9"/>
    <w:rsid w:val="00C468CA"/>
    <w:rsid w:val="00C477A7"/>
    <w:rsid w:val="00C5107A"/>
    <w:rsid w:val="00C514E6"/>
    <w:rsid w:val="00C531B4"/>
    <w:rsid w:val="00C538A9"/>
    <w:rsid w:val="00C53B5A"/>
    <w:rsid w:val="00C54835"/>
    <w:rsid w:val="00C54F5A"/>
    <w:rsid w:val="00C569B4"/>
    <w:rsid w:val="00C56D48"/>
    <w:rsid w:val="00C579B7"/>
    <w:rsid w:val="00C66028"/>
    <w:rsid w:val="00C66D02"/>
    <w:rsid w:val="00C67A92"/>
    <w:rsid w:val="00C7082E"/>
    <w:rsid w:val="00C7355B"/>
    <w:rsid w:val="00C73E51"/>
    <w:rsid w:val="00C7425E"/>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1AAE"/>
    <w:rsid w:val="00C92457"/>
    <w:rsid w:val="00C925F8"/>
    <w:rsid w:val="00C93C4D"/>
    <w:rsid w:val="00C95042"/>
    <w:rsid w:val="00C954B5"/>
    <w:rsid w:val="00C959B8"/>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426"/>
    <w:rsid w:val="00CE484B"/>
    <w:rsid w:val="00CE4FA6"/>
    <w:rsid w:val="00CE52F5"/>
    <w:rsid w:val="00CE55B5"/>
    <w:rsid w:val="00CE6FC4"/>
    <w:rsid w:val="00CE7C3A"/>
    <w:rsid w:val="00CE7F4B"/>
    <w:rsid w:val="00CF0DEE"/>
    <w:rsid w:val="00CF1131"/>
    <w:rsid w:val="00CF4164"/>
    <w:rsid w:val="00CF54F7"/>
    <w:rsid w:val="00CF7C05"/>
    <w:rsid w:val="00CF7CCA"/>
    <w:rsid w:val="00D006AE"/>
    <w:rsid w:val="00D01050"/>
    <w:rsid w:val="00D0138E"/>
    <w:rsid w:val="00D01CF0"/>
    <w:rsid w:val="00D02FB0"/>
    <w:rsid w:val="00D03122"/>
    <w:rsid w:val="00D0442A"/>
    <w:rsid w:val="00D05C2A"/>
    <w:rsid w:val="00D07EBF"/>
    <w:rsid w:val="00D10A69"/>
    <w:rsid w:val="00D11729"/>
    <w:rsid w:val="00D1413F"/>
    <w:rsid w:val="00D15210"/>
    <w:rsid w:val="00D15D53"/>
    <w:rsid w:val="00D179C0"/>
    <w:rsid w:val="00D21843"/>
    <w:rsid w:val="00D23317"/>
    <w:rsid w:val="00D236C4"/>
    <w:rsid w:val="00D24944"/>
    <w:rsid w:val="00D25EE1"/>
    <w:rsid w:val="00D2799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40B"/>
    <w:rsid w:val="00D57DE0"/>
    <w:rsid w:val="00D60D4D"/>
    <w:rsid w:val="00D61249"/>
    <w:rsid w:val="00D61388"/>
    <w:rsid w:val="00D61A54"/>
    <w:rsid w:val="00D623A2"/>
    <w:rsid w:val="00D637C0"/>
    <w:rsid w:val="00D64DEA"/>
    <w:rsid w:val="00D65619"/>
    <w:rsid w:val="00D66291"/>
    <w:rsid w:val="00D66A91"/>
    <w:rsid w:val="00D67B35"/>
    <w:rsid w:val="00D67BE2"/>
    <w:rsid w:val="00D70B03"/>
    <w:rsid w:val="00D712D1"/>
    <w:rsid w:val="00D7168E"/>
    <w:rsid w:val="00D71DDD"/>
    <w:rsid w:val="00D71E57"/>
    <w:rsid w:val="00D720A3"/>
    <w:rsid w:val="00D72907"/>
    <w:rsid w:val="00D73907"/>
    <w:rsid w:val="00D75F7A"/>
    <w:rsid w:val="00D76FC4"/>
    <w:rsid w:val="00D80637"/>
    <w:rsid w:val="00D80893"/>
    <w:rsid w:val="00D81099"/>
    <w:rsid w:val="00D83801"/>
    <w:rsid w:val="00D843AD"/>
    <w:rsid w:val="00D84854"/>
    <w:rsid w:val="00D86C4C"/>
    <w:rsid w:val="00D91188"/>
    <w:rsid w:val="00D92251"/>
    <w:rsid w:val="00D924AB"/>
    <w:rsid w:val="00D92A6A"/>
    <w:rsid w:val="00D92BA6"/>
    <w:rsid w:val="00D92CF1"/>
    <w:rsid w:val="00D92D38"/>
    <w:rsid w:val="00D93A8B"/>
    <w:rsid w:val="00D94302"/>
    <w:rsid w:val="00D950F5"/>
    <w:rsid w:val="00D96C92"/>
    <w:rsid w:val="00DA124F"/>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8C9"/>
    <w:rsid w:val="00DD4B8D"/>
    <w:rsid w:val="00DD577F"/>
    <w:rsid w:val="00DD7B9A"/>
    <w:rsid w:val="00DE0079"/>
    <w:rsid w:val="00DE1093"/>
    <w:rsid w:val="00DE138E"/>
    <w:rsid w:val="00DE2894"/>
    <w:rsid w:val="00DE3057"/>
    <w:rsid w:val="00DE4B9F"/>
    <w:rsid w:val="00DE4EFA"/>
    <w:rsid w:val="00DE5520"/>
    <w:rsid w:val="00DE563D"/>
    <w:rsid w:val="00DF0574"/>
    <w:rsid w:val="00DF0B5D"/>
    <w:rsid w:val="00DF17E4"/>
    <w:rsid w:val="00DF3162"/>
    <w:rsid w:val="00DF35D9"/>
    <w:rsid w:val="00DF43F9"/>
    <w:rsid w:val="00DF50F3"/>
    <w:rsid w:val="00DF7286"/>
    <w:rsid w:val="00DF756A"/>
    <w:rsid w:val="00E00708"/>
    <w:rsid w:val="00E00716"/>
    <w:rsid w:val="00E03521"/>
    <w:rsid w:val="00E03834"/>
    <w:rsid w:val="00E03FB9"/>
    <w:rsid w:val="00E04818"/>
    <w:rsid w:val="00E049E5"/>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10AD"/>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180D"/>
    <w:rsid w:val="00E64F30"/>
    <w:rsid w:val="00E65C85"/>
    <w:rsid w:val="00E66041"/>
    <w:rsid w:val="00E66199"/>
    <w:rsid w:val="00E713FC"/>
    <w:rsid w:val="00E72935"/>
    <w:rsid w:val="00E73355"/>
    <w:rsid w:val="00E7346E"/>
    <w:rsid w:val="00E73D85"/>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2E9F"/>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6FAD"/>
    <w:rsid w:val="00EA7DA9"/>
    <w:rsid w:val="00EB09CB"/>
    <w:rsid w:val="00EB10C5"/>
    <w:rsid w:val="00EB1D7C"/>
    <w:rsid w:val="00EB21FE"/>
    <w:rsid w:val="00EB355F"/>
    <w:rsid w:val="00EB47DF"/>
    <w:rsid w:val="00EB4959"/>
    <w:rsid w:val="00EB61EA"/>
    <w:rsid w:val="00EC01BD"/>
    <w:rsid w:val="00EC04F1"/>
    <w:rsid w:val="00EC0AD1"/>
    <w:rsid w:val="00EC0B07"/>
    <w:rsid w:val="00EC2604"/>
    <w:rsid w:val="00EC3159"/>
    <w:rsid w:val="00EC3176"/>
    <w:rsid w:val="00EC3873"/>
    <w:rsid w:val="00EC4849"/>
    <w:rsid w:val="00EC5D62"/>
    <w:rsid w:val="00EC5EB8"/>
    <w:rsid w:val="00EC6F76"/>
    <w:rsid w:val="00EC7B42"/>
    <w:rsid w:val="00ED0EF0"/>
    <w:rsid w:val="00ED3B44"/>
    <w:rsid w:val="00ED498D"/>
    <w:rsid w:val="00ED54F2"/>
    <w:rsid w:val="00ED6A81"/>
    <w:rsid w:val="00ED7323"/>
    <w:rsid w:val="00EE0ABB"/>
    <w:rsid w:val="00EE2593"/>
    <w:rsid w:val="00EE263C"/>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148"/>
    <w:rsid w:val="00F07264"/>
    <w:rsid w:val="00F0737A"/>
    <w:rsid w:val="00F10411"/>
    <w:rsid w:val="00F10D01"/>
    <w:rsid w:val="00F11DE9"/>
    <w:rsid w:val="00F130EF"/>
    <w:rsid w:val="00F13198"/>
    <w:rsid w:val="00F15882"/>
    <w:rsid w:val="00F167FE"/>
    <w:rsid w:val="00F1706D"/>
    <w:rsid w:val="00F171E0"/>
    <w:rsid w:val="00F17734"/>
    <w:rsid w:val="00F17A22"/>
    <w:rsid w:val="00F17B34"/>
    <w:rsid w:val="00F20BD3"/>
    <w:rsid w:val="00F21A67"/>
    <w:rsid w:val="00F2235A"/>
    <w:rsid w:val="00F240E1"/>
    <w:rsid w:val="00F27BB2"/>
    <w:rsid w:val="00F27FC0"/>
    <w:rsid w:val="00F30705"/>
    <w:rsid w:val="00F30931"/>
    <w:rsid w:val="00F315A8"/>
    <w:rsid w:val="00F31D12"/>
    <w:rsid w:val="00F34737"/>
    <w:rsid w:val="00F34E74"/>
    <w:rsid w:val="00F36FE9"/>
    <w:rsid w:val="00F373A5"/>
    <w:rsid w:val="00F37AA0"/>
    <w:rsid w:val="00F40A85"/>
    <w:rsid w:val="00F42728"/>
    <w:rsid w:val="00F42924"/>
    <w:rsid w:val="00F430C2"/>
    <w:rsid w:val="00F470A2"/>
    <w:rsid w:val="00F47559"/>
    <w:rsid w:val="00F50D64"/>
    <w:rsid w:val="00F518EB"/>
    <w:rsid w:val="00F53895"/>
    <w:rsid w:val="00F54673"/>
    <w:rsid w:val="00F55728"/>
    <w:rsid w:val="00F559E5"/>
    <w:rsid w:val="00F56EED"/>
    <w:rsid w:val="00F60E41"/>
    <w:rsid w:val="00F622DF"/>
    <w:rsid w:val="00F6250E"/>
    <w:rsid w:val="00F64C7B"/>
    <w:rsid w:val="00F650D2"/>
    <w:rsid w:val="00F6529E"/>
    <w:rsid w:val="00F6552D"/>
    <w:rsid w:val="00F66519"/>
    <w:rsid w:val="00F674BC"/>
    <w:rsid w:val="00F676DD"/>
    <w:rsid w:val="00F707CD"/>
    <w:rsid w:val="00F70E61"/>
    <w:rsid w:val="00F72575"/>
    <w:rsid w:val="00F73160"/>
    <w:rsid w:val="00F73B34"/>
    <w:rsid w:val="00F7541E"/>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0FF5"/>
    <w:rsid w:val="00FB35A9"/>
    <w:rsid w:val="00FB4ADF"/>
    <w:rsid w:val="00FB4F6C"/>
    <w:rsid w:val="00FB5F32"/>
    <w:rsid w:val="00FB5F7C"/>
    <w:rsid w:val="00FB60FE"/>
    <w:rsid w:val="00FB634A"/>
    <w:rsid w:val="00FB6971"/>
    <w:rsid w:val="00FB6DB6"/>
    <w:rsid w:val="00FB6FD6"/>
    <w:rsid w:val="00FB70E8"/>
    <w:rsid w:val="00FB74E2"/>
    <w:rsid w:val="00FB7FCD"/>
    <w:rsid w:val="00FC04ED"/>
    <w:rsid w:val="00FC0662"/>
    <w:rsid w:val="00FD000C"/>
    <w:rsid w:val="00FD09CE"/>
    <w:rsid w:val="00FD2399"/>
    <w:rsid w:val="00FD2B42"/>
    <w:rsid w:val="00FD3811"/>
    <w:rsid w:val="00FD4722"/>
    <w:rsid w:val="00FD5614"/>
    <w:rsid w:val="00FD5BE7"/>
    <w:rsid w:val="00FD5E78"/>
    <w:rsid w:val="00FD5EB2"/>
    <w:rsid w:val="00FD6816"/>
    <w:rsid w:val="00FD6B8C"/>
    <w:rsid w:val="00FD6EFE"/>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8462C3E8</Template>
  <TotalTime>0</TotalTime>
  <Pages>99</Pages>
  <Words>32607</Words>
  <Characters>185862</Characters>
  <Application>Microsoft Office Word</Application>
  <DocSecurity>0</DocSecurity>
  <Lines>1548</Lines>
  <Paragraphs>436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2015-05-31T23:57:00Z</dcterms:created>
  <dcterms:modified xsi:type="dcterms:W3CDTF">2015-05-31T23:57:00Z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