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DA3568F" wp14:editId="2E3C9D5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A87B8A" w:rsidRDefault="00A87B8A" w:rsidP="00A87B8A">
          <w:pPr>
            <w:jc w:val="center"/>
            <w:rPr>
              <w:b/>
              <w:color w:val="FFFFFF" w:themeColor="background1"/>
            </w:rPr>
          </w:pP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8E27C2">
            <w:t>5</w:t>
          </w:r>
          <w:r>
            <w:t xml:space="preserve"> </w:t>
          </w:r>
          <w:r>
            <w:rPr>
              <w:rFonts w:cs="Arial"/>
            </w:rPr>
            <w:t>−</w:t>
          </w:r>
          <w:r>
            <w:t xml:space="preserve"> </w:t>
          </w:r>
          <w:r w:rsidR="008E27C2">
            <w:t>Regulatory depreciation</w:t>
          </w:r>
        </w:p>
        <w:p w:rsidR="000A6C7B" w:rsidRPr="00327A1E" w:rsidRDefault="00DB09F7" w:rsidP="00327A1E">
          <w:pPr>
            <w:pStyle w:val="ReportDate"/>
          </w:pPr>
          <w:r>
            <w:t xml:space="preserve">June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20756053"/>
      <w:r>
        <w:lastRenderedPageBreak/>
        <w:t>N</w:t>
      </w:r>
      <w:r w:rsidR="008F07A3">
        <w:t>ote</w:t>
      </w:r>
      <w:bookmarkEnd w:id="1"/>
      <w:bookmarkEnd w:id="2"/>
      <w:bookmarkEnd w:id="3"/>
      <w:bookmarkEnd w:id="4"/>
      <w:bookmarkEnd w:id="5"/>
    </w:p>
    <w:p w:rsidR="008F07A3" w:rsidRDefault="008F07A3" w:rsidP="008F07A3"/>
    <w:p w:rsidR="0047057C" w:rsidRPr="0047057C" w:rsidRDefault="0047057C" w:rsidP="0047057C">
      <w:r w:rsidRPr="0047057C">
        <w:t>This attachment forms part of the AER's final decision on Jemena Gas Networks' 2015–20 access arrangement. It should be read with other parts of the final decision.</w:t>
      </w:r>
    </w:p>
    <w:p w:rsidR="0047057C" w:rsidRPr="0047057C" w:rsidRDefault="0047057C" w:rsidP="0047057C">
      <w:r w:rsidRPr="0047057C">
        <w:t>The final decision includes the following documents:</w:t>
      </w:r>
    </w:p>
    <w:p w:rsidR="0047057C" w:rsidRPr="0047057C" w:rsidRDefault="0047057C" w:rsidP="0047057C">
      <w:r w:rsidRPr="0047057C">
        <w:t>Overview</w:t>
      </w:r>
    </w:p>
    <w:p w:rsidR="0047057C" w:rsidRPr="0047057C" w:rsidRDefault="0047057C" w:rsidP="0047057C">
      <w:r w:rsidRPr="0047057C">
        <w:t>Attachment 1 – services covered by the access arrangement</w:t>
      </w:r>
    </w:p>
    <w:p w:rsidR="0047057C" w:rsidRPr="0047057C" w:rsidRDefault="0047057C" w:rsidP="0047057C">
      <w:r w:rsidRPr="0047057C">
        <w:t>Attachment 2 – capital base</w:t>
      </w:r>
    </w:p>
    <w:p w:rsidR="0047057C" w:rsidRPr="0047057C" w:rsidRDefault="0047057C" w:rsidP="0047057C">
      <w:r w:rsidRPr="0047057C">
        <w:t>Attachment 3 – rate of return</w:t>
      </w:r>
    </w:p>
    <w:p w:rsidR="0047057C" w:rsidRPr="0047057C" w:rsidRDefault="0047057C" w:rsidP="0047057C">
      <w:r w:rsidRPr="0047057C">
        <w:t>Attachment 4 – value of imputation credits</w:t>
      </w:r>
    </w:p>
    <w:p w:rsidR="0047057C" w:rsidRPr="0047057C" w:rsidRDefault="0047057C" w:rsidP="0047057C">
      <w:r w:rsidRPr="0047057C">
        <w:t>Attachment 5 – regulatory depreciation</w:t>
      </w:r>
    </w:p>
    <w:p w:rsidR="0047057C" w:rsidRPr="0047057C" w:rsidRDefault="0047057C" w:rsidP="0047057C">
      <w:r w:rsidRPr="0047057C">
        <w:t xml:space="preserve">Attachment 6 – capital expenditure </w:t>
      </w:r>
    </w:p>
    <w:p w:rsidR="0047057C" w:rsidRPr="0047057C" w:rsidRDefault="0047057C" w:rsidP="0047057C">
      <w:r w:rsidRPr="0047057C">
        <w:t>Attachment 7 – operating expenditure</w:t>
      </w:r>
    </w:p>
    <w:p w:rsidR="0047057C" w:rsidRPr="0047057C" w:rsidRDefault="0047057C" w:rsidP="0047057C">
      <w:r w:rsidRPr="0047057C">
        <w:t>Attachment 8 – corporate income tax</w:t>
      </w:r>
    </w:p>
    <w:p w:rsidR="0047057C" w:rsidRPr="0047057C" w:rsidRDefault="0047057C" w:rsidP="0047057C">
      <w:r w:rsidRPr="0047057C">
        <w:t>Attachment 9 – efficiency carryover mechanism</w:t>
      </w:r>
    </w:p>
    <w:p w:rsidR="0047057C" w:rsidRPr="0047057C" w:rsidRDefault="0047057C" w:rsidP="0047057C">
      <w:r w:rsidRPr="0047057C">
        <w:t>Attachment 10 – reference tariff setting</w:t>
      </w:r>
    </w:p>
    <w:p w:rsidR="0047057C" w:rsidRPr="0047057C" w:rsidRDefault="0047057C" w:rsidP="0047057C">
      <w:r w:rsidRPr="0047057C">
        <w:t>Attachment 11 – reference tariff variation mechanism</w:t>
      </w:r>
    </w:p>
    <w:p w:rsidR="0047057C" w:rsidRPr="0047057C" w:rsidRDefault="0047057C" w:rsidP="0047057C">
      <w:r w:rsidRPr="0047057C">
        <w:t>Attachment 12 – non-tariff components</w:t>
      </w:r>
    </w:p>
    <w:p w:rsidR="0047057C" w:rsidRPr="0047057C" w:rsidRDefault="0047057C" w:rsidP="0047057C">
      <w:r w:rsidRPr="0047057C">
        <w:t xml:space="preserve">Attachment 13 – demand </w:t>
      </w:r>
    </w:p>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C95138">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2075605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85BA4"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20756053" w:history="1">
            <w:r w:rsidR="00B85BA4" w:rsidRPr="0038622B">
              <w:rPr>
                <w:rStyle w:val="Hyperlink"/>
              </w:rPr>
              <w:t>Note</w:t>
            </w:r>
            <w:r w:rsidR="00B85BA4">
              <w:rPr>
                <w:webHidden/>
              </w:rPr>
              <w:tab/>
            </w:r>
            <w:r w:rsidR="00B85BA4">
              <w:rPr>
                <w:webHidden/>
              </w:rPr>
              <w:fldChar w:fldCharType="begin"/>
            </w:r>
            <w:r w:rsidR="00B85BA4">
              <w:rPr>
                <w:webHidden/>
              </w:rPr>
              <w:instrText xml:space="preserve"> PAGEREF _Toc420756053 \h </w:instrText>
            </w:r>
            <w:r w:rsidR="00B85BA4">
              <w:rPr>
                <w:webHidden/>
              </w:rPr>
            </w:r>
            <w:r w:rsidR="00B85BA4">
              <w:rPr>
                <w:webHidden/>
              </w:rPr>
              <w:fldChar w:fldCharType="separate"/>
            </w:r>
            <w:r w:rsidR="00F158FE">
              <w:rPr>
                <w:webHidden/>
              </w:rPr>
              <w:t>5-2</w:t>
            </w:r>
            <w:r w:rsidR="00B85BA4">
              <w:rPr>
                <w:webHidden/>
              </w:rPr>
              <w:fldChar w:fldCharType="end"/>
            </w:r>
          </w:hyperlink>
        </w:p>
        <w:p w:rsidR="00B85BA4" w:rsidRDefault="00F158FE">
          <w:pPr>
            <w:pStyle w:val="TOC1"/>
            <w:rPr>
              <w:rFonts w:asciiTheme="minorHAnsi" w:eastAsiaTheme="minorEastAsia" w:hAnsiTheme="minorHAnsi"/>
              <w:b w:val="0"/>
              <w:color w:val="auto"/>
              <w:sz w:val="22"/>
              <w:lang w:val="en-AU" w:eastAsia="en-AU"/>
            </w:rPr>
          </w:pPr>
          <w:hyperlink w:anchor="_Toc420756054" w:history="1">
            <w:r w:rsidR="00B85BA4" w:rsidRPr="0038622B">
              <w:rPr>
                <w:rStyle w:val="Hyperlink"/>
              </w:rPr>
              <w:t>Contents</w:t>
            </w:r>
            <w:r w:rsidR="00B85BA4">
              <w:rPr>
                <w:webHidden/>
              </w:rPr>
              <w:tab/>
            </w:r>
            <w:r w:rsidR="00B85BA4">
              <w:rPr>
                <w:webHidden/>
              </w:rPr>
              <w:fldChar w:fldCharType="begin"/>
            </w:r>
            <w:r w:rsidR="00B85BA4">
              <w:rPr>
                <w:webHidden/>
              </w:rPr>
              <w:instrText xml:space="preserve"> PAGEREF _Toc420756054 \h </w:instrText>
            </w:r>
            <w:r w:rsidR="00B85BA4">
              <w:rPr>
                <w:webHidden/>
              </w:rPr>
            </w:r>
            <w:r w:rsidR="00B85BA4">
              <w:rPr>
                <w:webHidden/>
              </w:rPr>
              <w:fldChar w:fldCharType="separate"/>
            </w:r>
            <w:r>
              <w:rPr>
                <w:webHidden/>
              </w:rPr>
              <w:t>5-3</w:t>
            </w:r>
            <w:r w:rsidR="00B85BA4">
              <w:rPr>
                <w:webHidden/>
              </w:rPr>
              <w:fldChar w:fldCharType="end"/>
            </w:r>
          </w:hyperlink>
        </w:p>
        <w:p w:rsidR="00B85BA4" w:rsidRDefault="00F158FE">
          <w:pPr>
            <w:pStyle w:val="TOC1"/>
            <w:rPr>
              <w:rFonts w:asciiTheme="minorHAnsi" w:eastAsiaTheme="minorEastAsia" w:hAnsiTheme="minorHAnsi"/>
              <w:b w:val="0"/>
              <w:color w:val="auto"/>
              <w:sz w:val="22"/>
              <w:lang w:val="en-AU" w:eastAsia="en-AU"/>
            </w:rPr>
          </w:pPr>
          <w:hyperlink w:anchor="_Toc420756055" w:history="1">
            <w:r w:rsidR="00B85BA4" w:rsidRPr="0038622B">
              <w:rPr>
                <w:rStyle w:val="Hyperlink"/>
              </w:rPr>
              <w:t>Shortened forms</w:t>
            </w:r>
            <w:r w:rsidR="00B85BA4">
              <w:rPr>
                <w:webHidden/>
              </w:rPr>
              <w:tab/>
            </w:r>
            <w:r w:rsidR="00B85BA4">
              <w:rPr>
                <w:webHidden/>
              </w:rPr>
              <w:fldChar w:fldCharType="begin"/>
            </w:r>
            <w:r w:rsidR="00B85BA4">
              <w:rPr>
                <w:webHidden/>
              </w:rPr>
              <w:instrText xml:space="preserve"> PAGEREF _Toc420756055 \h </w:instrText>
            </w:r>
            <w:r w:rsidR="00B85BA4">
              <w:rPr>
                <w:webHidden/>
              </w:rPr>
            </w:r>
            <w:r w:rsidR="00B85BA4">
              <w:rPr>
                <w:webHidden/>
              </w:rPr>
              <w:fldChar w:fldCharType="separate"/>
            </w:r>
            <w:r>
              <w:rPr>
                <w:webHidden/>
              </w:rPr>
              <w:t>5-4</w:t>
            </w:r>
            <w:r w:rsidR="00B85BA4">
              <w:rPr>
                <w:webHidden/>
              </w:rPr>
              <w:fldChar w:fldCharType="end"/>
            </w:r>
          </w:hyperlink>
        </w:p>
        <w:p w:rsidR="00B85BA4" w:rsidRDefault="00F158FE">
          <w:pPr>
            <w:pStyle w:val="TOC1"/>
            <w:rPr>
              <w:rFonts w:asciiTheme="minorHAnsi" w:eastAsiaTheme="minorEastAsia" w:hAnsiTheme="minorHAnsi"/>
              <w:b w:val="0"/>
              <w:color w:val="auto"/>
              <w:sz w:val="22"/>
              <w:lang w:val="en-AU" w:eastAsia="en-AU"/>
            </w:rPr>
          </w:pPr>
          <w:hyperlink w:anchor="_Toc420756056" w:history="1">
            <w:r w:rsidR="00B85BA4" w:rsidRPr="0038622B">
              <w:rPr>
                <w:rStyle w:val="Hyperlink"/>
              </w:rPr>
              <w:t>5</w:t>
            </w:r>
            <w:r w:rsidR="00B85BA4">
              <w:rPr>
                <w:rFonts w:asciiTheme="minorHAnsi" w:eastAsiaTheme="minorEastAsia" w:hAnsiTheme="minorHAnsi"/>
                <w:b w:val="0"/>
                <w:color w:val="auto"/>
                <w:sz w:val="22"/>
                <w:lang w:val="en-AU" w:eastAsia="en-AU"/>
              </w:rPr>
              <w:tab/>
            </w:r>
            <w:r w:rsidR="00B85BA4" w:rsidRPr="0038622B">
              <w:rPr>
                <w:rStyle w:val="Hyperlink"/>
              </w:rPr>
              <w:t>Regulatory depreciation</w:t>
            </w:r>
            <w:r w:rsidR="00B85BA4">
              <w:rPr>
                <w:webHidden/>
              </w:rPr>
              <w:tab/>
            </w:r>
            <w:r w:rsidR="00B85BA4">
              <w:rPr>
                <w:webHidden/>
              </w:rPr>
              <w:fldChar w:fldCharType="begin"/>
            </w:r>
            <w:r w:rsidR="00B85BA4">
              <w:rPr>
                <w:webHidden/>
              </w:rPr>
              <w:instrText xml:space="preserve"> PAGEREF _Toc420756056 \h </w:instrText>
            </w:r>
            <w:r w:rsidR="00B85BA4">
              <w:rPr>
                <w:webHidden/>
              </w:rPr>
            </w:r>
            <w:r w:rsidR="00B85BA4">
              <w:rPr>
                <w:webHidden/>
              </w:rPr>
              <w:fldChar w:fldCharType="separate"/>
            </w:r>
            <w:r>
              <w:rPr>
                <w:webHidden/>
              </w:rPr>
              <w:t>5-5</w:t>
            </w:r>
            <w:r w:rsidR="00B85BA4">
              <w:rPr>
                <w:webHidden/>
              </w:rPr>
              <w:fldChar w:fldCharType="end"/>
            </w:r>
          </w:hyperlink>
        </w:p>
        <w:p w:rsidR="00B85BA4" w:rsidRDefault="00F158FE">
          <w:pPr>
            <w:pStyle w:val="TOC2"/>
            <w:rPr>
              <w:rFonts w:asciiTheme="minorHAnsi" w:eastAsiaTheme="minorEastAsia" w:hAnsiTheme="minorHAnsi"/>
              <w:b w:val="0"/>
              <w:color w:val="auto"/>
              <w:sz w:val="22"/>
              <w:lang w:eastAsia="en-AU"/>
            </w:rPr>
          </w:pPr>
          <w:hyperlink w:anchor="_Toc420756057" w:history="1">
            <w:r w:rsidR="00B85BA4" w:rsidRPr="0038622B">
              <w:rPr>
                <w:rStyle w:val="Hyperlink"/>
              </w:rPr>
              <w:t>5.1</w:t>
            </w:r>
            <w:r w:rsidR="00B85BA4">
              <w:rPr>
                <w:rFonts w:asciiTheme="minorHAnsi" w:eastAsiaTheme="minorEastAsia" w:hAnsiTheme="minorHAnsi"/>
                <w:b w:val="0"/>
                <w:color w:val="auto"/>
                <w:sz w:val="22"/>
                <w:lang w:eastAsia="en-AU"/>
              </w:rPr>
              <w:tab/>
            </w:r>
            <w:r w:rsidR="00B85BA4" w:rsidRPr="0038622B">
              <w:rPr>
                <w:rStyle w:val="Hyperlink"/>
              </w:rPr>
              <w:t>Final decision</w:t>
            </w:r>
            <w:r w:rsidR="00B85BA4">
              <w:rPr>
                <w:webHidden/>
              </w:rPr>
              <w:tab/>
            </w:r>
            <w:r w:rsidR="00B85BA4">
              <w:rPr>
                <w:webHidden/>
              </w:rPr>
              <w:fldChar w:fldCharType="begin"/>
            </w:r>
            <w:r w:rsidR="00B85BA4">
              <w:rPr>
                <w:webHidden/>
              </w:rPr>
              <w:instrText xml:space="preserve"> PAGEREF _Toc420756057 \h </w:instrText>
            </w:r>
            <w:r w:rsidR="00B85BA4">
              <w:rPr>
                <w:webHidden/>
              </w:rPr>
            </w:r>
            <w:r w:rsidR="00B85BA4">
              <w:rPr>
                <w:webHidden/>
              </w:rPr>
              <w:fldChar w:fldCharType="separate"/>
            </w:r>
            <w:r>
              <w:rPr>
                <w:webHidden/>
              </w:rPr>
              <w:t>5-5</w:t>
            </w:r>
            <w:r w:rsidR="00B85BA4">
              <w:rPr>
                <w:webHidden/>
              </w:rPr>
              <w:fldChar w:fldCharType="end"/>
            </w:r>
          </w:hyperlink>
        </w:p>
        <w:p w:rsidR="00B85BA4" w:rsidRDefault="00F158FE">
          <w:pPr>
            <w:pStyle w:val="TOC2"/>
            <w:rPr>
              <w:rFonts w:asciiTheme="minorHAnsi" w:eastAsiaTheme="minorEastAsia" w:hAnsiTheme="minorHAnsi"/>
              <w:b w:val="0"/>
              <w:color w:val="auto"/>
              <w:sz w:val="22"/>
              <w:lang w:eastAsia="en-AU"/>
            </w:rPr>
          </w:pPr>
          <w:hyperlink w:anchor="_Toc420756058" w:history="1">
            <w:r w:rsidR="00B85BA4" w:rsidRPr="0038622B">
              <w:rPr>
                <w:rStyle w:val="Hyperlink"/>
              </w:rPr>
              <w:t>5.2</w:t>
            </w:r>
            <w:r w:rsidR="00B85BA4">
              <w:rPr>
                <w:rFonts w:asciiTheme="minorHAnsi" w:eastAsiaTheme="minorEastAsia" w:hAnsiTheme="minorHAnsi"/>
                <w:b w:val="0"/>
                <w:color w:val="auto"/>
                <w:sz w:val="22"/>
                <w:lang w:eastAsia="en-AU"/>
              </w:rPr>
              <w:tab/>
            </w:r>
            <w:r w:rsidR="00B85BA4" w:rsidRPr="0038622B">
              <w:rPr>
                <w:rStyle w:val="Hyperlink"/>
              </w:rPr>
              <w:t>JGN's revised proposal</w:t>
            </w:r>
            <w:r w:rsidR="00B85BA4">
              <w:rPr>
                <w:webHidden/>
              </w:rPr>
              <w:tab/>
            </w:r>
            <w:r w:rsidR="00B85BA4">
              <w:rPr>
                <w:webHidden/>
              </w:rPr>
              <w:fldChar w:fldCharType="begin"/>
            </w:r>
            <w:r w:rsidR="00B85BA4">
              <w:rPr>
                <w:webHidden/>
              </w:rPr>
              <w:instrText xml:space="preserve"> PAGEREF _Toc420756058 \h </w:instrText>
            </w:r>
            <w:r w:rsidR="00B85BA4">
              <w:rPr>
                <w:webHidden/>
              </w:rPr>
            </w:r>
            <w:r w:rsidR="00B85BA4">
              <w:rPr>
                <w:webHidden/>
              </w:rPr>
              <w:fldChar w:fldCharType="separate"/>
            </w:r>
            <w:r>
              <w:rPr>
                <w:webHidden/>
              </w:rPr>
              <w:t>5-6</w:t>
            </w:r>
            <w:r w:rsidR="00B85BA4">
              <w:rPr>
                <w:webHidden/>
              </w:rPr>
              <w:fldChar w:fldCharType="end"/>
            </w:r>
          </w:hyperlink>
        </w:p>
        <w:p w:rsidR="00B85BA4" w:rsidRDefault="00F158FE">
          <w:pPr>
            <w:pStyle w:val="TOC2"/>
            <w:rPr>
              <w:rFonts w:asciiTheme="minorHAnsi" w:eastAsiaTheme="minorEastAsia" w:hAnsiTheme="minorHAnsi"/>
              <w:b w:val="0"/>
              <w:color w:val="auto"/>
              <w:sz w:val="22"/>
              <w:lang w:eastAsia="en-AU"/>
            </w:rPr>
          </w:pPr>
          <w:hyperlink w:anchor="_Toc420756059" w:history="1">
            <w:r w:rsidR="00B85BA4" w:rsidRPr="0038622B">
              <w:rPr>
                <w:rStyle w:val="Hyperlink"/>
              </w:rPr>
              <w:t>5.3</w:t>
            </w:r>
            <w:r w:rsidR="00B85BA4">
              <w:rPr>
                <w:rFonts w:asciiTheme="minorHAnsi" w:eastAsiaTheme="minorEastAsia" w:hAnsiTheme="minorHAnsi"/>
                <w:b w:val="0"/>
                <w:color w:val="auto"/>
                <w:sz w:val="22"/>
                <w:lang w:eastAsia="en-AU"/>
              </w:rPr>
              <w:tab/>
            </w:r>
            <w:r w:rsidR="00B85BA4" w:rsidRPr="0038622B">
              <w:rPr>
                <w:rStyle w:val="Hyperlink"/>
              </w:rPr>
              <w:t>AER’s assessment approach</w:t>
            </w:r>
            <w:r w:rsidR="00B85BA4">
              <w:rPr>
                <w:webHidden/>
              </w:rPr>
              <w:tab/>
            </w:r>
            <w:r w:rsidR="00B85BA4">
              <w:rPr>
                <w:webHidden/>
              </w:rPr>
              <w:fldChar w:fldCharType="begin"/>
            </w:r>
            <w:r w:rsidR="00B85BA4">
              <w:rPr>
                <w:webHidden/>
              </w:rPr>
              <w:instrText xml:space="preserve"> PAGEREF _Toc420756059 \h </w:instrText>
            </w:r>
            <w:r w:rsidR="00B85BA4">
              <w:rPr>
                <w:webHidden/>
              </w:rPr>
            </w:r>
            <w:r w:rsidR="00B85BA4">
              <w:rPr>
                <w:webHidden/>
              </w:rPr>
              <w:fldChar w:fldCharType="separate"/>
            </w:r>
            <w:r>
              <w:rPr>
                <w:webHidden/>
              </w:rPr>
              <w:t>5-9</w:t>
            </w:r>
            <w:r w:rsidR="00B85BA4">
              <w:rPr>
                <w:webHidden/>
              </w:rPr>
              <w:fldChar w:fldCharType="end"/>
            </w:r>
          </w:hyperlink>
        </w:p>
        <w:p w:rsidR="00B85BA4" w:rsidRDefault="00F158FE">
          <w:pPr>
            <w:pStyle w:val="TOC2"/>
            <w:rPr>
              <w:rFonts w:asciiTheme="minorHAnsi" w:eastAsiaTheme="minorEastAsia" w:hAnsiTheme="minorHAnsi"/>
              <w:b w:val="0"/>
              <w:color w:val="auto"/>
              <w:sz w:val="22"/>
              <w:lang w:eastAsia="en-AU"/>
            </w:rPr>
          </w:pPr>
          <w:hyperlink w:anchor="_Toc420756060" w:history="1">
            <w:r w:rsidR="00B85BA4" w:rsidRPr="0038622B">
              <w:rPr>
                <w:rStyle w:val="Hyperlink"/>
              </w:rPr>
              <w:t>5.4</w:t>
            </w:r>
            <w:r w:rsidR="00B85BA4">
              <w:rPr>
                <w:rFonts w:asciiTheme="minorHAnsi" w:eastAsiaTheme="minorEastAsia" w:hAnsiTheme="minorHAnsi"/>
                <w:b w:val="0"/>
                <w:color w:val="auto"/>
                <w:sz w:val="22"/>
                <w:lang w:eastAsia="en-AU"/>
              </w:rPr>
              <w:tab/>
            </w:r>
            <w:r w:rsidR="00B85BA4" w:rsidRPr="0038622B">
              <w:rPr>
                <w:rStyle w:val="Hyperlink"/>
              </w:rPr>
              <w:t>Reasons for final decision</w:t>
            </w:r>
            <w:r w:rsidR="00B85BA4">
              <w:rPr>
                <w:webHidden/>
              </w:rPr>
              <w:tab/>
            </w:r>
            <w:r w:rsidR="00B85BA4">
              <w:rPr>
                <w:webHidden/>
              </w:rPr>
              <w:fldChar w:fldCharType="begin"/>
            </w:r>
            <w:r w:rsidR="00B85BA4">
              <w:rPr>
                <w:webHidden/>
              </w:rPr>
              <w:instrText xml:space="preserve"> PAGEREF _Toc420756060 \h </w:instrText>
            </w:r>
            <w:r w:rsidR="00B85BA4">
              <w:rPr>
                <w:webHidden/>
              </w:rPr>
            </w:r>
            <w:r w:rsidR="00B85BA4">
              <w:rPr>
                <w:webHidden/>
              </w:rPr>
              <w:fldChar w:fldCharType="separate"/>
            </w:r>
            <w:r>
              <w:rPr>
                <w:webHidden/>
              </w:rPr>
              <w:t>5-9</w:t>
            </w:r>
            <w:r w:rsidR="00B85BA4">
              <w:rPr>
                <w:webHidden/>
              </w:rPr>
              <w:fldChar w:fldCharType="end"/>
            </w:r>
          </w:hyperlink>
        </w:p>
        <w:p w:rsidR="00B85BA4" w:rsidRDefault="00F158FE">
          <w:pPr>
            <w:pStyle w:val="TOC3"/>
            <w:rPr>
              <w:rFonts w:asciiTheme="minorHAnsi" w:eastAsiaTheme="minorEastAsia" w:hAnsiTheme="minorHAnsi"/>
              <w:lang w:eastAsia="en-AU"/>
            </w:rPr>
          </w:pPr>
          <w:hyperlink w:anchor="_Toc420756061" w:history="1">
            <w:r w:rsidR="00B85BA4" w:rsidRPr="0038622B">
              <w:rPr>
                <w:rStyle w:val="Hyperlink"/>
              </w:rPr>
              <w:t>5.4.1</w:t>
            </w:r>
            <w:r w:rsidR="00B85BA4">
              <w:rPr>
                <w:rFonts w:asciiTheme="minorHAnsi" w:eastAsiaTheme="minorEastAsia" w:hAnsiTheme="minorHAnsi"/>
                <w:lang w:eastAsia="en-AU"/>
              </w:rPr>
              <w:tab/>
            </w:r>
            <w:r w:rsidR="00B85BA4" w:rsidRPr="0038622B">
              <w:rPr>
                <w:rStyle w:val="Hyperlink"/>
              </w:rPr>
              <w:t>Standard asset lives</w:t>
            </w:r>
            <w:r w:rsidR="00B85BA4">
              <w:rPr>
                <w:webHidden/>
              </w:rPr>
              <w:tab/>
            </w:r>
            <w:r w:rsidR="00B85BA4">
              <w:rPr>
                <w:webHidden/>
              </w:rPr>
              <w:fldChar w:fldCharType="begin"/>
            </w:r>
            <w:r w:rsidR="00B85BA4">
              <w:rPr>
                <w:webHidden/>
              </w:rPr>
              <w:instrText xml:space="preserve"> PAGEREF _Toc420756061 \h </w:instrText>
            </w:r>
            <w:r w:rsidR="00B85BA4">
              <w:rPr>
                <w:webHidden/>
              </w:rPr>
            </w:r>
            <w:r w:rsidR="00B85BA4">
              <w:rPr>
                <w:webHidden/>
              </w:rPr>
              <w:fldChar w:fldCharType="separate"/>
            </w:r>
            <w:r>
              <w:rPr>
                <w:webHidden/>
              </w:rPr>
              <w:t>5-11</w:t>
            </w:r>
            <w:r w:rsidR="00B85BA4">
              <w:rPr>
                <w:webHidden/>
              </w:rPr>
              <w:fldChar w:fldCharType="end"/>
            </w:r>
          </w:hyperlink>
        </w:p>
        <w:p w:rsidR="00B85BA4" w:rsidRDefault="00F158FE">
          <w:pPr>
            <w:pStyle w:val="TOC3"/>
            <w:rPr>
              <w:rFonts w:asciiTheme="minorHAnsi" w:eastAsiaTheme="minorEastAsia" w:hAnsiTheme="minorHAnsi"/>
              <w:lang w:eastAsia="en-AU"/>
            </w:rPr>
          </w:pPr>
          <w:hyperlink w:anchor="_Toc420756062" w:history="1">
            <w:r w:rsidR="00B85BA4" w:rsidRPr="0038622B">
              <w:rPr>
                <w:rStyle w:val="Hyperlink"/>
              </w:rPr>
              <w:t>5.4.2</w:t>
            </w:r>
            <w:r w:rsidR="00B85BA4">
              <w:rPr>
                <w:rFonts w:asciiTheme="minorHAnsi" w:eastAsiaTheme="minorEastAsia" w:hAnsiTheme="minorHAnsi"/>
                <w:lang w:eastAsia="en-AU"/>
              </w:rPr>
              <w:tab/>
            </w:r>
            <w:r w:rsidR="00B85BA4" w:rsidRPr="0038622B">
              <w:rPr>
                <w:rStyle w:val="Hyperlink"/>
              </w:rPr>
              <w:t>Remaining asset lives</w:t>
            </w:r>
            <w:r w:rsidR="00B85BA4">
              <w:rPr>
                <w:webHidden/>
              </w:rPr>
              <w:tab/>
            </w:r>
            <w:r w:rsidR="00B85BA4">
              <w:rPr>
                <w:webHidden/>
              </w:rPr>
              <w:fldChar w:fldCharType="begin"/>
            </w:r>
            <w:r w:rsidR="00B85BA4">
              <w:rPr>
                <w:webHidden/>
              </w:rPr>
              <w:instrText xml:space="preserve"> PAGEREF _Toc420756062 \h </w:instrText>
            </w:r>
            <w:r w:rsidR="00B85BA4">
              <w:rPr>
                <w:webHidden/>
              </w:rPr>
            </w:r>
            <w:r w:rsidR="00B85BA4">
              <w:rPr>
                <w:webHidden/>
              </w:rPr>
              <w:fldChar w:fldCharType="separate"/>
            </w:r>
            <w:r>
              <w:rPr>
                <w:webHidden/>
              </w:rPr>
              <w:t>5-11</w:t>
            </w:r>
            <w:r w:rsidR="00B85BA4">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20756055"/>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B85BA4">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B85BA4">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Default="00DE563D" w:rsidP="00DE563D"/>
    <w:p w:rsidR="00DE563D" w:rsidRPr="00AF1F9E" w:rsidRDefault="008E27C2" w:rsidP="008E27C2">
      <w:pPr>
        <w:pStyle w:val="Heading1"/>
      </w:pPr>
      <w:bookmarkStart w:id="10" w:name="_Toc420756056"/>
      <w:r>
        <w:lastRenderedPageBreak/>
        <w:t>Regulatory depreciation</w:t>
      </w:r>
      <w:bookmarkEnd w:id="10"/>
    </w:p>
    <w:p w:rsidR="008F0CF0" w:rsidRPr="008F0CF0" w:rsidRDefault="008F0CF0" w:rsidP="008F0CF0">
      <w:pPr>
        <w:numPr>
          <w:ilvl w:val="0"/>
          <w:numId w:val="25"/>
        </w:numPr>
      </w:pPr>
      <w:r w:rsidRPr="008F0CF0">
        <w:t>When determining the total revenue for JGN, we must decide on the depreciation for the projected capital base (otherwise referred to as 'return of capital').</w:t>
      </w:r>
      <w:r w:rsidRPr="008F0CF0">
        <w:rPr>
          <w:rStyle w:val="FootnoteReference"/>
        </w:rPr>
        <w:footnoteReference w:id="1"/>
      </w:r>
      <w:r w:rsidRPr="008F0CF0">
        <w:t xml:space="preserve"> Regulatory depreciation is used to model the nominal asset values over the 2015–20 access arrangement period and the depreciation allowance in the total revenue requirement. Our </w:t>
      </w:r>
      <w:r>
        <w:t>final</w:t>
      </w:r>
      <w:r w:rsidRPr="008F0CF0">
        <w:t xml:space="preserve"> decision on JGN's annual regulatory depreciation allowance is outlined in this attachment.</w:t>
      </w:r>
      <w:r w:rsidRPr="008F0CF0">
        <w:rPr>
          <w:rStyle w:val="FootnoteReference"/>
        </w:rPr>
        <w:footnoteReference w:id="2"/>
      </w:r>
      <w:r w:rsidRPr="008F0CF0">
        <w:t xml:space="preserve"> Our consideration of specific matters that affect the estimate of regulatory depreciation over the 2015–20 access arrangement period is also outlined in this attachment. These include:</w:t>
      </w:r>
    </w:p>
    <w:p w:rsidR="008F0CF0" w:rsidRPr="008F0CF0" w:rsidRDefault="008F0CF0" w:rsidP="008F0CF0">
      <w:pPr>
        <w:pStyle w:val="AERbulletlistfirststyle"/>
      </w:pPr>
      <w:r w:rsidRPr="008F0CF0">
        <w:t>the standard asset lives for depreciating new assets associated with forecast capex</w:t>
      </w:r>
      <w:r w:rsidRPr="008F0CF0">
        <w:rPr>
          <w:rStyle w:val="FootnoteReference"/>
        </w:rPr>
        <w:footnoteReference w:id="3"/>
      </w:r>
    </w:p>
    <w:p w:rsidR="00DE563D" w:rsidRPr="00AF1F9E" w:rsidRDefault="008F0CF0" w:rsidP="00AF1F9E">
      <w:pPr>
        <w:pStyle w:val="AERbulletlistfirststyle"/>
      </w:pPr>
      <w:r w:rsidRPr="008F0CF0">
        <w:t>the remaining asset lives for depreciating existing assets in the opening capital base.</w:t>
      </w:r>
      <w:r w:rsidRPr="008F0CF0">
        <w:rPr>
          <w:rStyle w:val="FootnoteReference"/>
        </w:rPr>
        <w:footnoteReference w:id="4"/>
      </w:r>
    </w:p>
    <w:p w:rsidR="00DE563D" w:rsidRPr="00AF1F9E" w:rsidRDefault="00AF1F9E" w:rsidP="00AF1F9E">
      <w:pPr>
        <w:pStyle w:val="Heading2"/>
      </w:pPr>
      <w:bookmarkStart w:id="11" w:name="_Toc403144136"/>
      <w:bookmarkStart w:id="12" w:name="_Toc420756057"/>
      <w:r>
        <w:t>Final</w:t>
      </w:r>
      <w:r w:rsidR="00DE563D" w:rsidRPr="00AF1F9E">
        <w:t xml:space="preserve"> decision</w:t>
      </w:r>
      <w:bookmarkEnd w:id="11"/>
      <w:bookmarkEnd w:id="12"/>
    </w:p>
    <w:p w:rsidR="008F0CF0" w:rsidRPr="008F0CF0" w:rsidRDefault="008F0CF0" w:rsidP="00D13FCD">
      <w:pPr>
        <w:numPr>
          <w:ilvl w:val="0"/>
          <w:numId w:val="25"/>
        </w:numPr>
        <w:rPr>
          <w:rStyle w:val="AERbody"/>
        </w:rPr>
      </w:pPr>
      <w:r>
        <w:t>Con</w:t>
      </w:r>
      <w:r w:rsidR="00C52107">
        <w:t xml:space="preserve">sistent with our draft decision, </w:t>
      </w:r>
      <w:r>
        <w:t>w</w:t>
      </w:r>
      <w:r w:rsidRPr="008F0CF0">
        <w:t xml:space="preserve">e approve </w:t>
      </w:r>
      <w:r w:rsidR="00321213">
        <w:t xml:space="preserve">the </w:t>
      </w:r>
      <w:r w:rsidRPr="008F0CF0">
        <w:t>real straig</w:t>
      </w:r>
      <w:r w:rsidR="00321213">
        <w:t xml:space="preserve">ht-line method used by JGN to calculate its </w:t>
      </w:r>
      <w:r w:rsidRPr="008F0CF0">
        <w:t xml:space="preserve">regulatory depreciation allowance. </w:t>
      </w:r>
      <w:r w:rsidR="00D13FCD">
        <w:t>However, w</w:t>
      </w:r>
      <w:r w:rsidRPr="008F0CF0">
        <w:t xml:space="preserve">e do not approve the amount of the regulatory depreciation allowance </w:t>
      </w:r>
      <w:r w:rsidR="00D13FCD">
        <w:t>in</w:t>
      </w:r>
      <w:r w:rsidRPr="008F0CF0">
        <w:t xml:space="preserve"> JGN</w:t>
      </w:r>
      <w:r w:rsidR="00D13FCD">
        <w:t>'s revised proposal</w:t>
      </w:r>
      <w:r w:rsidRPr="008F0CF0">
        <w:t xml:space="preserve"> </w:t>
      </w:r>
      <w:r w:rsidR="00D13FCD">
        <w:t>for</w:t>
      </w:r>
      <w:r w:rsidRPr="008F0CF0">
        <w:t xml:space="preserve"> the 2015–20 access arrangement period. </w:t>
      </w:r>
      <w:r>
        <w:t>T</w:t>
      </w:r>
      <w:r w:rsidRPr="008F0CF0">
        <w:rPr>
          <w:rStyle w:val="AERbody"/>
        </w:rPr>
        <w:t xml:space="preserve">his is because of our determination on </w:t>
      </w:r>
      <w:r w:rsidR="00017E2D">
        <w:rPr>
          <w:rStyle w:val="AERbody"/>
        </w:rPr>
        <w:t xml:space="preserve">forecast capex (attachment 6), </w:t>
      </w:r>
      <w:r w:rsidR="00D13FCD">
        <w:rPr>
          <w:rStyle w:val="AERbody"/>
        </w:rPr>
        <w:t>an</w:t>
      </w:r>
      <w:r w:rsidRPr="008F0CF0">
        <w:rPr>
          <w:rStyle w:val="AERbody"/>
        </w:rPr>
        <w:t xml:space="preserve">other component of JGN's </w:t>
      </w:r>
      <w:r w:rsidR="00D13FCD">
        <w:rPr>
          <w:rStyle w:val="AERbody"/>
        </w:rPr>
        <w:t xml:space="preserve">revised </w:t>
      </w:r>
      <w:r w:rsidRPr="008F0CF0">
        <w:rPr>
          <w:rStyle w:val="AERbody"/>
        </w:rPr>
        <w:t>proposal</w:t>
      </w:r>
      <w:r w:rsidR="00017E2D">
        <w:rPr>
          <w:rStyle w:val="AERbody"/>
        </w:rPr>
        <w:t xml:space="preserve"> that </w:t>
      </w:r>
      <w:r w:rsidRPr="008F0CF0">
        <w:rPr>
          <w:rStyle w:val="AERbody"/>
        </w:rPr>
        <w:t>affect</w:t>
      </w:r>
      <w:r w:rsidR="00017E2D">
        <w:rPr>
          <w:rStyle w:val="AERbody"/>
        </w:rPr>
        <w:t>s</w:t>
      </w:r>
      <w:r w:rsidRPr="008F0CF0">
        <w:rPr>
          <w:rStyle w:val="AERbody"/>
        </w:rPr>
        <w:t xml:space="preserve"> the regulatory depreciation allowance. </w:t>
      </w:r>
    </w:p>
    <w:p w:rsidR="008F0CF0" w:rsidRDefault="008F0CF0" w:rsidP="00017E2D">
      <w:r w:rsidRPr="008F0CF0">
        <w:rPr>
          <w:rStyle w:val="AERbody"/>
        </w:rPr>
        <w:t xml:space="preserve">Our </w:t>
      </w:r>
      <w:r>
        <w:rPr>
          <w:rStyle w:val="AERbody"/>
        </w:rPr>
        <w:t>final</w:t>
      </w:r>
      <w:r w:rsidRPr="008F0CF0">
        <w:rPr>
          <w:rStyle w:val="AERbody"/>
        </w:rPr>
        <w:t xml:space="preserve"> decision on JGN's regulatory depreciation allowance </w:t>
      </w:r>
      <w:r w:rsidRPr="008D6BE8">
        <w:rPr>
          <w:rStyle w:val="AERbody"/>
        </w:rPr>
        <w:t>is $</w:t>
      </w:r>
      <w:r w:rsidR="00716468">
        <w:rPr>
          <w:rStyle w:val="AERbody"/>
        </w:rPr>
        <w:t>428.9 </w:t>
      </w:r>
      <w:r w:rsidRPr="008F0CF0">
        <w:rPr>
          <w:rStyle w:val="AERbody"/>
        </w:rPr>
        <w:t>million</w:t>
      </w:r>
      <w:r w:rsidRPr="008F0CF0">
        <w:t xml:space="preserve"> ($nominal) over the 2015–20 access arrangement period as set out in </w:t>
      </w:r>
      <w:r w:rsidRPr="008F0CF0">
        <w:fldChar w:fldCharType="begin"/>
      </w:r>
      <w:r w:rsidRPr="008F0CF0">
        <w:instrText xml:space="preserve"> REF  _Ref398282397 \* Lower \h </w:instrText>
      </w:r>
      <w:r w:rsidRPr="008F0CF0">
        <w:fldChar w:fldCharType="separate"/>
      </w:r>
      <w:r w:rsidR="00F158FE" w:rsidRPr="008F0CF0">
        <w:t xml:space="preserve">Table </w:t>
      </w:r>
      <w:r w:rsidR="00F158FE">
        <w:rPr>
          <w:noProof/>
        </w:rPr>
        <w:t>5</w:t>
      </w:r>
      <w:r w:rsidR="00F158FE" w:rsidRPr="008F0CF0">
        <w:noBreakHyphen/>
      </w:r>
      <w:r w:rsidR="00F158FE">
        <w:rPr>
          <w:noProof/>
        </w:rPr>
        <w:t>1</w:t>
      </w:r>
      <w:r w:rsidRPr="008F0CF0">
        <w:fldChar w:fldCharType="end"/>
      </w:r>
      <w:r w:rsidRPr="008F0CF0">
        <w:t>.</w:t>
      </w:r>
      <w:r w:rsidR="00A87B8A">
        <w:t xml:space="preserve"> We have made all revisions necessary to give effect to this final decision in the </w:t>
      </w:r>
      <w:r w:rsidR="00A87B8A">
        <w:rPr>
          <w:i/>
        </w:rPr>
        <w:t xml:space="preserve">Approved Access Arrangement, JGN’s NSW distribution networks 1 July 2015 – 30 June 2020 </w:t>
      </w:r>
      <w:r w:rsidR="00A87B8A">
        <w:t>(May 2015).</w:t>
      </w:r>
      <w:r w:rsidR="00A87B8A">
        <w:rPr>
          <w:rStyle w:val="FootnoteReference"/>
        </w:rPr>
        <w:footnoteReference w:id="5"/>
      </w:r>
    </w:p>
    <w:p w:rsidR="008F0CF0" w:rsidRPr="008F0CF0" w:rsidRDefault="008F0CF0" w:rsidP="00B85BA4">
      <w:pPr>
        <w:pStyle w:val="Caption"/>
      </w:pPr>
      <w:bookmarkStart w:id="13" w:name="_Ref398282397"/>
      <w:r w:rsidRPr="008F0CF0">
        <w:lastRenderedPageBreak/>
        <w:t xml:space="preserve">Table </w:t>
      </w:r>
      <w:r w:rsidR="00F158FE">
        <w:fldChar w:fldCharType="begin"/>
      </w:r>
      <w:r w:rsidR="00F158FE">
        <w:instrText xml:space="preserve"> STYLEREF 1 \s </w:instrText>
      </w:r>
      <w:r w:rsidR="00F158FE">
        <w:fldChar w:fldCharType="separate"/>
      </w:r>
      <w:r w:rsidR="00F158FE">
        <w:rPr>
          <w:noProof/>
        </w:rPr>
        <w:t>5</w:t>
      </w:r>
      <w:r w:rsidR="00F158FE">
        <w:rPr>
          <w:noProof/>
        </w:rPr>
        <w:fldChar w:fldCharType="end"/>
      </w:r>
      <w:r w:rsidRPr="008F0CF0">
        <w:noBreakHyphen/>
      </w:r>
      <w:r w:rsidR="00F158FE">
        <w:fldChar w:fldCharType="begin"/>
      </w:r>
      <w:r w:rsidR="00F158FE">
        <w:instrText xml:space="preserve"> SEQ Table \* ARABIC \s 1 </w:instrText>
      </w:r>
      <w:r w:rsidR="00F158FE">
        <w:fldChar w:fldCharType="separate"/>
      </w:r>
      <w:r w:rsidR="00F158FE">
        <w:rPr>
          <w:noProof/>
        </w:rPr>
        <w:t>1</w:t>
      </w:r>
      <w:r w:rsidR="00F158FE">
        <w:rPr>
          <w:noProof/>
        </w:rPr>
        <w:fldChar w:fldCharType="end"/>
      </w:r>
      <w:bookmarkEnd w:id="13"/>
      <w:r w:rsidRPr="008F0CF0">
        <w:tab/>
        <w:t xml:space="preserve">AER's </w:t>
      </w:r>
      <w:r>
        <w:t>final</w:t>
      </w:r>
      <w:r w:rsidRPr="008F0CF0">
        <w:t xml:space="preserve"> decision on JGN's regulatory depreciation allowance for the 2015–20 access arrangement period ($million, nominal)</w:t>
      </w:r>
    </w:p>
    <w:tbl>
      <w:tblPr>
        <w:tblStyle w:val="AERtable-numbers"/>
        <w:tblW w:w="8613" w:type="dxa"/>
        <w:tblLayout w:type="fixed"/>
        <w:tblLook w:val="04A0" w:firstRow="1" w:lastRow="0" w:firstColumn="1" w:lastColumn="0" w:noHBand="0" w:noVBand="1"/>
      </w:tblPr>
      <w:tblGrid>
        <w:gridCol w:w="2866"/>
        <w:gridCol w:w="957"/>
        <w:gridCol w:w="958"/>
        <w:gridCol w:w="958"/>
        <w:gridCol w:w="958"/>
        <w:gridCol w:w="958"/>
        <w:gridCol w:w="958"/>
      </w:tblGrid>
      <w:tr w:rsidR="008F0CF0" w:rsidRPr="0018218B" w:rsidTr="00A87B8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66" w:type="dxa"/>
            <w:noWrap/>
            <w:hideMark/>
          </w:tcPr>
          <w:p w:rsidR="008F0CF0" w:rsidRPr="008F0CF0" w:rsidRDefault="008F0CF0" w:rsidP="00B85BA4">
            <w:pPr>
              <w:keepNext/>
            </w:pPr>
          </w:p>
        </w:tc>
        <w:tc>
          <w:tcPr>
            <w:tcW w:w="957"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2015–16</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2016–17</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2017–18</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2018–19</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2019–20</w:t>
            </w:r>
          </w:p>
        </w:tc>
        <w:tc>
          <w:tcPr>
            <w:tcW w:w="958" w:type="dxa"/>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Total</w:t>
            </w:r>
          </w:p>
        </w:tc>
      </w:tr>
      <w:tr w:rsidR="00AA130D" w:rsidRPr="0018218B" w:rsidTr="00716468">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AA130D" w:rsidRPr="00AA130D" w:rsidRDefault="00AA130D" w:rsidP="00B85BA4">
            <w:pPr>
              <w:keepNext/>
            </w:pPr>
            <w:r w:rsidRPr="00AA130D">
              <w:t>Straight-line depreciation</w:t>
            </w:r>
          </w:p>
        </w:tc>
        <w:tc>
          <w:tcPr>
            <w:tcW w:w="957" w:type="dxa"/>
            <w:noWrap/>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pPr>
            <w:r w:rsidRPr="00AA130D">
              <w:t>145.4</w:t>
            </w:r>
          </w:p>
        </w:tc>
        <w:tc>
          <w:tcPr>
            <w:tcW w:w="958" w:type="dxa"/>
            <w:noWrap/>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pPr>
            <w:r w:rsidRPr="00AA130D">
              <w:t>161.5</w:t>
            </w:r>
          </w:p>
        </w:tc>
        <w:tc>
          <w:tcPr>
            <w:tcW w:w="958" w:type="dxa"/>
            <w:noWrap/>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pPr>
            <w:r w:rsidRPr="00AA130D">
              <w:t>178.2</w:t>
            </w:r>
          </w:p>
        </w:tc>
        <w:tc>
          <w:tcPr>
            <w:tcW w:w="958" w:type="dxa"/>
            <w:noWrap/>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pPr>
            <w:r w:rsidRPr="00AA130D">
              <w:t>191.8</w:t>
            </w:r>
          </w:p>
        </w:tc>
        <w:tc>
          <w:tcPr>
            <w:tcW w:w="958" w:type="dxa"/>
            <w:noWrap/>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pPr>
            <w:r w:rsidRPr="00AA130D">
              <w:t>179.0</w:t>
            </w:r>
          </w:p>
        </w:tc>
        <w:tc>
          <w:tcPr>
            <w:tcW w:w="958" w:type="dxa"/>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pPr>
            <w:r w:rsidRPr="00AA130D">
              <w:t>855.9</w:t>
            </w:r>
          </w:p>
        </w:tc>
      </w:tr>
      <w:tr w:rsidR="00AA130D" w:rsidRPr="0018218B" w:rsidTr="007164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AA130D" w:rsidRPr="00AA130D" w:rsidRDefault="00AA130D" w:rsidP="00B85BA4">
            <w:pPr>
              <w:keepNext/>
            </w:pPr>
            <w:r w:rsidRPr="00AA130D">
              <w:rPr>
                <w:rStyle w:val="AERtextitalic"/>
              </w:rPr>
              <w:t>Less:</w:t>
            </w:r>
            <w:r w:rsidRPr="00AA130D">
              <w:t xml:space="preserve"> indexation on opening capital base and capex at the first half of the regulatory year</w:t>
            </w:r>
          </w:p>
        </w:tc>
        <w:tc>
          <w:tcPr>
            <w:tcW w:w="957" w:type="dxa"/>
            <w:noWrap/>
          </w:tcPr>
          <w:p w:rsidR="00AA130D" w:rsidRPr="00AA130D" w:rsidRDefault="00AA130D" w:rsidP="00B85BA4">
            <w:pPr>
              <w:keepNext/>
              <w:cnfStyle w:val="000000010000" w:firstRow="0" w:lastRow="0" w:firstColumn="0" w:lastColumn="0" w:oddVBand="0" w:evenVBand="0" w:oddHBand="0" w:evenHBand="1" w:firstRowFirstColumn="0" w:firstRowLastColumn="0" w:lastRowFirstColumn="0" w:lastRowLastColumn="0"/>
            </w:pPr>
            <w:r w:rsidRPr="00AA130D">
              <w:t>78.8</w:t>
            </w:r>
          </w:p>
        </w:tc>
        <w:tc>
          <w:tcPr>
            <w:tcW w:w="958" w:type="dxa"/>
            <w:noWrap/>
          </w:tcPr>
          <w:p w:rsidR="00AA130D" w:rsidRPr="00AA130D" w:rsidRDefault="00AA130D" w:rsidP="00B85BA4">
            <w:pPr>
              <w:keepNext/>
              <w:cnfStyle w:val="000000010000" w:firstRow="0" w:lastRow="0" w:firstColumn="0" w:lastColumn="0" w:oddVBand="0" w:evenVBand="0" w:oddHBand="0" w:evenHBand="1" w:firstRowFirstColumn="0" w:firstRowLastColumn="0" w:lastRowFirstColumn="0" w:lastRowLastColumn="0"/>
            </w:pPr>
            <w:r w:rsidRPr="00AA130D">
              <w:t>82.5</w:t>
            </w:r>
          </w:p>
        </w:tc>
        <w:tc>
          <w:tcPr>
            <w:tcW w:w="958" w:type="dxa"/>
            <w:noWrap/>
          </w:tcPr>
          <w:p w:rsidR="00AA130D" w:rsidRPr="00AA130D" w:rsidRDefault="00AA130D" w:rsidP="00B85BA4">
            <w:pPr>
              <w:keepNext/>
              <w:cnfStyle w:val="000000010000" w:firstRow="0" w:lastRow="0" w:firstColumn="0" w:lastColumn="0" w:oddVBand="0" w:evenVBand="0" w:oddHBand="0" w:evenHBand="1" w:firstRowFirstColumn="0" w:firstRowLastColumn="0" w:lastRowFirstColumn="0" w:lastRowLastColumn="0"/>
            </w:pPr>
            <w:r w:rsidRPr="00AA130D">
              <w:t>85.9</w:t>
            </w:r>
          </w:p>
        </w:tc>
        <w:tc>
          <w:tcPr>
            <w:tcW w:w="958" w:type="dxa"/>
            <w:noWrap/>
          </w:tcPr>
          <w:p w:rsidR="00AA130D" w:rsidRPr="00AA130D" w:rsidRDefault="00AA130D" w:rsidP="00B85BA4">
            <w:pPr>
              <w:keepNext/>
              <w:cnfStyle w:val="000000010000" w:firstRow="0" w:lastRow="0" w:firstColumn="0" w:lastColumn="0" w:oddVBand="0" w:evenVBand="0" w:oddHBand="0" w:evenHBand="1" w:firstRowFirstColumn="0" w:firstRowLastColumn="0" w:lastRowFirstColumn="0" w:lastRowLastColumn="0"/>
            </w:pPr>
            <w:r w:rsidRPr="00AA130D">
              <w:t>88.9</w:t>
            </w:r>
          </w:p>
        </w:tc>
        <w:tc>
          <w:tcPr>
            <w:tcW w:w="958" w:type="dxa"/>
            <w:noWrap/>
          </w:tcPr>
          <w:p w:rsidR="00AA130D" w:rsidRPr="00AA130D" w:rsidRDefault="00AA130D" w:rsidP="00B85BA4">
            <w:pPr>
              <w:keepNext/>
              <w:cnfStyle w:val="000000010000" w:firstRow="0" w:lastRow="0" w:firstColumn="0" w:lastColumn="0" w:oddVBand="0" w:evenVBand="0" w:oddHBand="0" w:evenHBand="1" w:firstRowFirstColumn="0" w:firstRowLastColumn="0" w:lastRowFirstColumn="0" w:lastRowLastColumn="0"/>
            </w:pPr>
            <w:r w:rsidRPr="00AA130D">
              <w:t>91.0</w:t>
            </w:r>
          </w:p>
        </w:tc>
        <w:tc>
          <w:tcPr>
            <w:tcW w:w="958" w:type="dxa"/>
          </w:tcPr>
          <w:p w:rsidR="00AA130D" w:rsidRPr="00AA130D" w:rsidRDefault="00AA130D" w:rsidP="00B85BA4">
            <w:pPr>
              <w:keepNext/>
              <w:cnfStyle w:val="000000010000" w:firstRow="0" w:lastRow="0" w:firstColumn="0" w:lastColumn="0" w:oddVBand="0" w:evenVBand="0" w:oddHBand="0" w:evenHBand="1" w:firstRowFirstColumn="0" w:firstRowLastColumn="0" w:lastRowFirstColumn="0" w:lastRowLastColumn="0"/>
            </w:pPr>
            <w:r w:rsidRPr="00AA130D">
              <w:t>427.0</w:t>
            </w:r>
          </w:p>
        </w:tc>
      </w:tr>
      <w:tr w:rsidR="00AA130D" w:rsidRPr="00AA130D" w:rsidTr="00D47CE0">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AA130D" w:rsidRPr="00AA130D" w:rsidRDefault="00AA130D" w:rsidP="00B85BA4">
            <w:pPr>
              <w:keepNext/>
              <w:rPr>
                <w:rStyle w:val="Strong"/>
              </w:rPr>
            </w:pPr>
            <w:r w:rsidRPr="00AA130D">
              <w:rPr>
                <w:rStyle w:val="Strong"/>
              </w:rPr>
              <w:t>Regulatory depreciation</w:t>
            </w:r>
          </w:p>
        </w:tc>
        <w:tc>
          <w:tcPr>
            <w:tcW w:w="957" w:type="dxa"/>
            <w:noWrap/>
          </w:tcPr>
          <w:p w:rsidR="00AA130D" w:rsidRPr="00AA130D" w:rsidRDefault="00AA130D"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076436">
              <w:rPr>
                <w:rStyle w:val="Strong"/>
              </w:rPr>
              <w:t>66.6</w:t>
            </w:r>
          </w:p>
        </w:tc>
        <w:tc>
          <w:tcPr>
            <w:tcW w:w="958" w:type="dxa"/>
            <w:noWrap/>
          </w:tcPr>
          <w:p w:rsidR="00AA130D" w:rsidRPr="00076436" w:rsidRDefault="00AA130D"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076436">
              <w:rPr>
                <w:rStyle w:val="Strong"/>
              </w:rPr>
              <w:t>79.0</w:t>
            </w:r>
          </w:p>
        </w:tc>
        <w:tc>
          <w:tcPr>
            <w:tcW w:w="958" w:type="dxa"/>
            <w:noWrap/>
          </w:tcPr>
          <w:p w:rsidR="00AA130D" w:rsidRPr="00076436" w:rsidRDefault="00AA130D"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076436">
              <w:rPr>
                <w:rStyle w:val="Strong"/>
              </w:rPr>
              <w:t>92.2</w:t>
            </w:r>
          </w:p>
        </w:tc>
        <w:tc>
          <w:tcPr>
            <w:tcW w:w="958" w:type="dxa"/>
            <w:noWrap/>
          </w:tcPr>
          <w:p w:rsidR="00AA130D" w:rsidRPr="00076436" w:rsidRDefault="00AA130D"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076436">
              <w:rPr>
                <w:rStyle w:val="Strong"/>
              </w:rPr>
              <w:t>103.0</w:t>
            </w:r>
          </w:p>
        </w:tc>
        <w:tc>
          <w:tcPr>
            <w:tcW w:w="958" w:type="dxa"/>
            <w:noWrap/>
          </w:tcPr>
          <w:p w:rsidR="00AA130D" w:rsidRPr="00076436" w:rsidRDefault="00AA130D"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076436">
              <w:rPr>
                <w:rStyle w:val="Strong"/>
              </w:rPr>
              <w:t>88.1</w:t>
            </w:r>
          </w:p>
        </w:tc>
        <w:tc>
          <w:tcPr>
            <w:tcW w:w="958" w:type="dxa"/>
          </w:tcPr>
          <w:p w:rsidR="00AA130D" w:rsidRPr="00076436" w:rsidRDefault="00AA130D"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076436">
              <w:rPr>
                <w:rStyle w:val="Strong"/>
              </w:rPr>
              <w:t>428.9</w:t>
            </w:r>
          </w:p>
        </w:tc>
      </w:tr>
    </w:tbl>
    <w:p w:rsidR="00DE563D" w:rsidRPr="00AF1F9E" w:rsidRDefault="008F0CF0" w:rsidP="00B85BA4">
      <w:pPr>
        <w:pStyle w:val="AERtablesource"/>
        <w:keepNext/>
      </w:pPr>
      <w:r w:rsidRPr="008F0CF0">
        <w:t xml:space="preserve">Source: </w:t>
      </w:r>
      <w:r w:rsidRPr="008F0CF0">
        <w:tab/>
        <w:t>AER analysis</w:t>
      </w:r>
      <w:r w:rsidR="00D13FCD">
        <w:t>.</w:t>
      </w:r>
      <w:r w:rsidRPr="008F0CF0">
        <w:t xml:space="preserve"> </w:t>
      </w:r>
    </w:p>
    <w:p w:rsidR="00DE563D" w:rsidRPr="00AF1F9E" w:rsidRDefault="00FB5826" w:rsidP="00AF1F9E">
      <w:pPr>
        <w:pStyle w:val="Heading2"/>
      </w:pPr>
      <w:bookmarkStart w:id="14" w:name="_Toc403144137"/>
      <w:bookmarkStart w:id="15" w:name="_Toc420756058"/>
      <w:r>
        <w:t>JGN's</w:t>
      </w:r>
      <w:r w:rsidR="00AF1F9E">
        <w:t xml:space="preserve"> revised</w:t>
      </w:r>
      <w:r w:rsidR="00DE563D" w:rsidRPr="00AF1F9E">
        <w:t xml:space="preserve"> proposal</w:t>
      </w:r>
      <w:bookmarkEnd w:id="14"/>
      <w:bookmarkEnd w:id="15"/>
    </w:p>
    <w:p w:rsidR="00D13FCD" w:rsidRDefault="008F0CF0" w:rsidP="00F967C8">
      <w:pPr>
        <w:numPr>
          <w:ilvl w:val="0"/>
          <w:numId w:val="25"/>
        </w:numPr>
      </w:pPr>
      <w:r w:rsidRPr="008F0CF0">
        <w:t>JGN</w:t>
      </w:r>
      <w:r w:rsidR="00D13FCD">
        <w:t>'s revised proposal</w:t>
      </w:r>
      <w:r w:rsidRPr="008F0CF0">
        <w:t xml:space="preserve"> </w:t>
      </w:r>
      <w:r w:rsidR="006F3A54">
        <w:t>use</w:t>
      </w:r>
      <w:r w:rsidR="00321213">
        <w:t>d</w:t>
      </w:r>
      <w:r w:rsidR="00F967C8">
        <w:t xml:space="preserve"> </w:t>
      </w:r>
      <w:r w:rsidR="00D13FCD">
        <w:t xml:space="preserve">the </w:t>
      </w:r>
      <w:r w:rsidR="006F3A54">
        <w:t>r</w:t>
      </w:r>
      <w:r w:rsidR="00F967C8">
        <w:t>eal straight</w:t>
      </w:r>
      <w:r w:rsidR="00D13FCD">
        <w:t>-</w:t>
      </w:r>
      <w:r w:rsidR="00F967C8">
        <w:t>line approach</w:t>
      </w:r>
      <w:r w:rsidR="006F3A54">
        <w:t xml:space="preserve"> approved in the draft decision to </w:t>
      </w:r>
      <w:r w:rsidR="00321213">
        <w:t>calculate</w:t>
      </w:r>
      <w:r w:rsidR="006F3A54">
        <w:t xml:space="preserve"> </w:t>
      </w:r>
      <w:r w:rsidR="006F3A54" w:rsidRPr="008F0CF0">
        <w:t>the</w:t>
      </w:r>
      <w:r w:rsidR="006F3A54">
        <w:t xml:space="preserve"> amount of </w:t>
      </w:r>
      <w:r w:rsidR="006F3A54" w:rsidRPr="008F0CF0">
        <w:t>annual regulatory depreciation for each asset class</w:t>
      </w:r>
      <w:r w:rsidR="006F3A54">
        <w:t>. The input</w:t>
      </w:r>
      <w:r w:rsidR="00321213">
        <w:t>s</w:t>
      </w:r>
      <w:r w:rsidR="006F3A54">
        <w:t xml:space="preserve"> for th</w:t>
      </w:r>
      <w:r w:rsidR="00321213">
        <w:t>e</w:t>
      </w:r>
      <w:r w:rsidR="006F3A54">
        <w:t xml:space="preserve"> calculation</w:t>
      </w:r>
      <w:r w:rsidR="00321213">
        <w:t xml:space="preserve"> are</w:t>
      </w:r>
      <w:r w:rsidR="006F3A54">
        <w:t xml:space="preserve"> based on JGN's</w:t>
      </w:r>
      <w:r w:rsidR="00D13FCD">
        <w:t>:</w:t>
      </w:r>
      <w:r w:rsidR="006F3A54">
        <w:t xml:space="preserve"> </w:t>
      </w:r>
    </w:p>
    <w:p w:rsidR="00D13FCD" w:rsidRDefault="00D13FCD" w:rsidP="00631137">
      <w:pPr>
        <w:pStyle w:val="AERbulletlistfirststyle"/>
      </w:pPr>
      <w:r>
        <w:t>revised opening capital base as at 1 July 2015</w:t>
      </w:r>
      <w:r w:rsidR="006F3A54">
        <w:t xml:space="preserve"> </w:t>
      </w:r>
    </w:p>
    <w:p w:rsidR="00857320" w:rsidRDefault="00857320" w:rsidP="00631137">
      <w:pPr>
        <w:pStyle w:val="AERbulletlistfirststyle"/>
      </w:pPr>
      <w:r>
        <w:t>revised remaining asset lives for depreciating existing assets in the opening capital base, due to updates made for 2014–15 actual CPI, 2013–14 actual conforming capex and 2014–15 revised estimate of capex</w:t>
      </w:r>
    </w:p>
    <w:p w:rsidR="00857320" w:rsidRDefault="00857320" w:rsidP="00631137">
      <w:pPr>
        <w:pStyle w:val="AERbulletlistfirststyle"/>
      </w:pPr>
      <w:r>
        <w:t xml:space="preserve">revised </w:t>
      </w:r>
      <w:r w:rsidR="006F3A54">
        <w:t>capex forecasts</w:t>
      </w:r>
      <w:r>
        <w:t xml:space="preserve"> for the 2015–20 access arrangement period</w:t>
      </w:r>
    </w:p>
    <w:p w:rsidR="00F967C8" w:rsidRPr="008F0CF0" w:rsidRDefault="00857320" w:rsidP="00631137">
      <w:pPr>
        <w:pStyle w:val="AERbulletlistfirststyle"/>
      </w:pPr>
      <w:r>
        <w:t>standard asset lives, consistent with those approved in the draft decision, for depreciating new assets associated with forecast capex</w:t>
      </w:r>
      <w:r w:rsidR="00F967C8">
        <w:t>.</w:t>
      </w:r>
      <w:r w:rsidR="003C102A" w:rsidRPr="003C102A">
        <w:t xml:space="preserve"> JGN's revised proposal adopted </w:t>
      </w:r>
      <w:r w:rsidR="00437CC6">
        <w:t>our</w:t>
      </w:r>
      <w:r w:rsidR="003C102A" w:rsidRPr="003C102A">
        <w:t xml:space="preserve"> draft decision standard asset lives.</w:t>
      </w:r>
    </w:p>
    <w:p w:rsidR="00F158FE" w:rsidRDefault="008F0CF0" w:rsidP="00DB09F7">
      <w:pPr>
        <w:numPr>
          <w:ilvl w:val="0"/>
          <w:numId w:val="25"/>
        </w:numPr>
      </w:pPr>
      <w:r w:rsidRPr="008F0CF0">
        <w:t xml:space="preserve">JGN’s </w:t>
      </w:r>
      <w:r w:rsidR="00D13FCD">
        <w:t xml:space="preserve">revised </w:t>
      </w:r>
      <w:r w:rsidRPr="008F0CF0">
        <w:t xml:space="preserve">proposed depreciation for the 2015–20 access arrangement period is set out in </w:t>
      </w:r>
      <w:r w:rsidRPr="008F0CF0">
        <w:fldChar w:fldCharType="begin"/>
      </w:r>
      <w:r w:rsidRPr="008F0CF0">
        <w:instrText xml:space="preserve"> REF  _Ref398892142 \* Lower \h </w:instrText>
      </w:r>
      <w:r w:rsidRPr="008F0CF0">
        <w:fldChar w:fldCharType="separate"/>
      </w:r>
    </w:p>
    <w:p w:rsidR="00DB09F7" w:rsidRDefault="00F158FE" w:rsidP="00DB09F7">
      <w:pPr>
        <w:numPr>
          <w:ilvl w:val="0"/>
          <w:numId w:val="25"/>
        </w:numPr>
      </w:pPr>
      <w:r w:rsidRPr="008F0CF0">
        <w:t xml:space="preserve">Table </w:t>
      </w:r>
      <w:r>
        <w:rPr>
          <w:noProof/>
        </w:rPr>
        <w:t>5</w:t>
      </w:r>
      <w:r w:rsidRPr="008F0CF0">
        <w:noBreakHyphen/>
      </w:r>
      <w:r>
        <w:rPr>
          <w:noProof/>
        </w:rPr>
        <w:t>2</w:t>
      </w:r>
      <w:r w:rsidR="008F0CF0" w:rsidRPr="008F0CF0">
        <w:fldChar w:fldCharType="end"/>
      </w:r>
      <w:r w:rsidR="008F0CF0" w:rsidRPr="008F0CF0">
        <w:t>.</w:t>
      </w:r>
      <w:r w:rsidR="00E52A6F">
        <w:rPr>
          <w:rStyle w:val="FootnoteReference"/>
        </w:rPr>
        <w:footnoteReference w:id="6"/>
      </w:r>
      <w:bookmarkStart w:id="16" w:name="_Ref398892142"/>
    </w:p>
    <w:p w:rsidR="008F0CF0" w:rsidRPr="008F0CF0" w:rsidRDefault="008F0CF0" w:rsidP="00B85BA4">
      <w:pPr>
        <w:pStyle w:val="Caption"/>
      </w:pPr>
      <w:r w:rsidRPr="008F0CF0">
        <w:lastRenderedPageBreak/>
        <w:t xml:space="preserve">Table </w:t>
      </w:r>
      <w:r w:rsidR="00F158FE">
        <w:fldChar w:fldCharType="begin"/>
      </w:r>
      <w:r w:rsidR="00F158FE">
        <w:instrText xml:space="preserve"> STYLEREF 1 \s </w:instrText>
      </w:r>
      <w:r w:rsidR="00F158FE">
        <w:fldChar w:fldCharType="separate"/>
      </w:r>
      <w:r w:rsidR="00F158FE">
        <w:rPr>
          <w:noProof/>
        </w:rPr>
        <w:t>5</w:t>
      </w:r>
      <w:r w:rsidR="00F158FE">
        <w:rPr>
          <w:noProof/>
        </w:rPr>
        <w:fldChar w:fldCharType="end"/>
      </w:r>
      <w:r w:rsidRPr="008F0CF0">
        <w:noBreakHyphen/>
      </w:r>
      <w:r w:rsidR="00F158FE">
        <w:fldChar w:fldCharType="begin"/>
      </w:r>
      <w:r w:rsidR="00F158FE">
        <w:instrText xml:space="preserve"> SEQ Table \* ARABIC \s 1 </w:instrText>
      </w:r>
      <w:r w:rsidR="00F158FE">
        <w:fldChar w:fldCharType="separate"/>
      </w:r>
      <w:r w:rsidR="00F158FE">
        <w:rPr>
          <w:noProof/>
        </w:rPr>
        <w:t>2</w:t>
      </w:r>
      <w:r w:rsidR="00F158FE">
        <w:rPr>
          <w:noProof/>
        </w:rPr>
        <w:fldChar w:fldCharType="end"/>
      </w:r>
      <w:bookmarkEnd w:id="16"/>
      <w:r w:rsidRPr="008F0CF0">
        <w:tab/>
        <w:t xml:space="preserve">JGN's </w:t>
      </w:r>
      <w:r w:rsidR="00F967C8">
        <w:t xml:space="preserve">revised proposal </w:t>
      </w:r>
      <w:r w:rsidRPr="008F0CF0">
        <w:t xml:space="preserve">regulatory depreciation </w:t>
      </w:r>
      <w:r w:rsidR="008D6BE8">
        <w:t xml:space="preserve">allowance </w:t>
      </w:r>
      <w:r w:rsidRPr="008F0CF0">
        <w:t>for the 201</w:t>
      </w:r>
      <w:r w:rsidR="00A31CF5">
        <w:t>5</w:t>
      </w:r>
      <w:r w:rsidRPr="008F0CF0">
        <w:t>–</w:t>
      </w:r>
      <w:r w:rsidR="00A31CF5">
        <w:t>20</w:t>
      </w:r>
      <w:r w:rsidRPr="008F0CF0">
        <w:t xml:space="preserve"> access arrangement period ($million, nominal)</w:t>
      </w:r>
    </w:p>
    <w:tbl>
      <w:tblPr>
        <w:tblStyle w:val="AERtable-numbers"/>
        <w:tblW w:w="8613" w:type="dxa"/>
        <w:tblLayout w:type="fixed"/>
        <w:tblLook w:val="04A0" w:firstRow="1" w:lastRow="0" w:firstColumn="1" w:lastColumn="0" w:noHBand="0" w:noVBand="1"/>
      </w:tblPr>
      <w:tblGrid>
        <w:gridCol w:w="2866"/>
        <w:gridCol w:w="957"/>
        <w:gridCol w:w="958"/>
        <w:gridCol w:w="958"/>
        <w:gridCol w:w="958"/>
        <w:gridCol w:w="958"/>
        <w:gridCol w:w="958"/>
      </w:tblGrid>
      <w:tr w:rsidR="008F0CF0" w:rsidRPr="0018218B" w:rsidTr="00D47C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8F0CF0" w:rsidRPr="008F0CF0" w:rsidRDefault="008F0CF0" w:rsidP="00B85BA4">
            <w:pPr>
              <w:keepNext/>
            </w:pPr>
          </w:p>
        </w:tc>
        <w:tc>
          <w:tcPr>
            <w:tcW w:w="957"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2015–16</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2016–17</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2017–18</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2018–19</w:t>
            </w:r>
          </w:p>
        </w:tc>
        <w:tc>
          <w:tcPr>
            <w:tcW w:w="958" w:type="dxa"/>
            <w:noWrap/>
            <w:hideMark/>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2019–20</w:t>
            </w:r>
          </w:p>
        </w:tc>
        <w:tc>
          <w:tcPr>
            <w:tcW w:w="958" w:type="dxa"/>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Total</w:t>
            </w:r>
          </w:p>
        </w:tc>
      </w:tr>
      <w:tr w:rsidR="00855803" w:rsidRPr="0018218B" w:rsidTr="00017E2D">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855803" w:rsidRPr="00855803" w:rsidRDefault="00855803" w:rsidP="00B85BA4">
            <w:pPr>
              <w:keepNext/>
            </w:pPr>
            <w:r w:rsidRPr="00855803">
              <w:t>Straight-line depreciation</w:t>
            </w:r>
          </w:p>
        </w:tc>
        <w:tc>
          <w:tcPr>
            <w:tcW w:w="957" w:type="dxa"/>
            <w:noWrap/>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855803">
              <w:t>145.9</w:t>
            </w:r>
          </w:p>
        </w:tc>
        <w:tc>
          <w:tcPr>
            <w:tcW w:w="958" w:type="dxa"/>
            <w:noWrap/>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855803">
              <w:t>163.2</w:t>
            </w:r>
          </w:p>
        </w:tc>
        <w:tc>
          <w:tcPr>
            <w:tcW w:w="958" w:type="dxa"/>
            <w:noWrap/>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855803">
              <w:t>181.1</w:t>
            </w:r>
          </w:p>
        </w:tc>
        <w:tc>
          <w:tcPr>
            <w:tcW w:w="958" w:type="dxa"/>
            <w:noWrap/>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855803">
              <w:t>196.2</w:t>
            </w:r>
          </w:p>
        </w:tc>
        <w:tc>
          <w:tcPr>
            <w:tcW w:w="958" w:type="dxa"/>
            <w:noWrap/>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855803">
              <w:t>184.8</w:t>
            </w:r>
          </w:p>
        </w:tc>
        <w:tc>
          <w:tcPr>
            <w:tcW w:w="95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855803">
              <w:t>871.2</w:t>
            </w:r>
          </w:p>
        </w:tc>
      </w:tr>
      <w:tr w:rsidR="00855803" w:rsidRPr="0018218B" w:rsidTr="00D47C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855803" w:rsidRPr="00855803" w:rsidRDefault="00855803" w:rsidP="00B85BA4">
            <w:pPr>
              <w:keepNext/>
            </w:pPr>
            <w:r w:rsidRPr="00855803">
              <w:rPr>
                <w:rStyle w:val="AERtextitalic"/>
              </w:rPr>
              <w:t>Less:</w:t>
            </w:r>
            <w:r w:rsidRPr="00855803">
              <w:t xml:space="preserve"> indexation on opening capital base and capex at the first half of the regulatory year</w:t>
            </w:r>
          </w:p>
        </w:tc>
        <w:tc>
          <w:tcPr>
            <w:tcW w:w="957" w:type="dxa"/>
            <w:noWrap/>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855803">
              <w:t>79.0</w:t>
            </w:r>
          </w:p>
        </w:tc>
        <w:tc>
          <w:tcPr>
            <w:tcW w:w="958" w:type="dxa"/>
            <w:noWrap/>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855803">
              <w:t>83.5</w:t>
            </w:r>
          </w:p>
        </w:tc>
        <w:tc>
          <w:tcPr>
            <w:tcW w:w="958" w:type="dxa"/>
            <w:noWrap/>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855803">
              <w:t>87.8</w:t>
            </w:r>
          </w:p>
        </w:tc>
        <w:tc>
          <w:tcPr>
            <w:tcW w:w="958" w:type="dxa"/>
            <w:noWrap/>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855803">
              <w:t>91.7</w:t>
            </w:r>
          </w:p>
        </w:tc>
        <w:tc>
          <w:tcPr>
            <w:tcW w:w="958" w:type="dxa"/>
            <w:noWrap/>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855803">
              <w:t>94.7</w:t>
            </w:r>
          </w:p>
        </w:tc>
        <w:tc>
          <w:tcPr>
            <w:tcW w:w="95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855803">
              <w:t>436.7</w:t>
            </w:r>
          </w:p>
        </w:tc>
      </w:tr>
      <w:tr w:rsidR="00855803" w:rsidRPr="00F93EDE" w:rsidTr="00017E2D">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855803" w:rsidRPr="00855803" w:rsidRDefault="00855803" w:rsidP="00B85BA4">
            <w:pPr>
              <w:keepNext/>
              <w:rPr>
                <w:rStyle w:val="Strong"/>
              </w:rPr>
            </w:pPr>
            <w:r w:rsidRPr="00855803">
              <w:rPr>
                <w:rStyle w:val="Strong"/>
              </w:rPr>
              <w:t>Regulatory depreciation</w:t>
            </w:r>
          </w:p>
        </w:tc>
        <w:tc>
          <w:tcPr>
            <w:tcW w:w="957" w:type="dxa"/>
            <w:noWrap/>
          </w:tcPr>
          <w:p w:rsidR="00855803" w:rsidRPr="008D6BE8" w:rsidRDefault="00855803"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8D6BE8">
              <w:rPr>
                <w:rStyle w:val="Strong"/>
              </w:rPr>
              <w:t>66.9</w:t>
            </w:r>
          </w:p>
        </w:tc>
        <w:tc>
          <w:tcPr>
            <w:tcW w:w="958" w:type="dxa"/>
            <w:noWrap/>
          </w:tcPr>
          <w:p w:rsidR="00855803" w:rsidRPr="008D6BE8" w:rsidRDefault="00855803"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8D6BE8">
              <w:rPr>
                <w:rStyle w:val="Strong"/>
              </w:rPr>
              <w:t>79.6</w:t>
            </w:r>
          </w:p>
        </w:tc>
        <w:tc>
          <w:tcPr>
            <w:tcW w:w="958" w:type="dxa"/>
            <w:noWrap/>
          </w:tcPr>
          <w:p w:rsidR="00855803" w:rsidRPr="008D6BE8" w:rsidRDefault="00855803"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8D6BE8">
              <w:rPr>
                <w:rStyle w:val="Strong"/>
              </w:rPr>
              <w:t>93.3</w:t>
            </w:r>
          </w:p>
        </w:tc>
        <w:tc>
          <w:tcPr>
            <w:tcW w:w="958" w:type="dxa"/>
            <w:noWrap/>
          </w:tcPr>
          <w:p w:rsidR="00855803" w:rsidRPr="008D6BE8" w:rsidRDefault="00855803"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8D6BE8">
              <w:rPr>
                <w:rStyle w:val="Strong"/>
              </w:rPr>
              <w:t>104.5</w:t>
            </w:r>
          </w:p>
        </w:tc>
        <w:tc>
          <w:tcPr>
            <w:tcW w:w="958" w:type="dxa"/>
            <w:noWrap/>
          </w:tcPr>
          <w:p w:rsidR="00855803" w:rsidRPr="008D6BE8" w:rsidRDefault="00855803"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8D6BE8">
              <w:rPr>
                <w:rStyle w:val="Strong"/>
              </w:rPr>
              <w:t>90.1</w:t>
            </w:r>
          </w:p>
        </w:tc>
        <w:tc>
          <w:tcPr>
            <w:tcW w:w="958" w:type="dxa"/>
          </w:tcPr>
          <w:p w:rsidR="00855803" w:rsidRPr="008D6BE8" w:rsidRDefault="00855803" w:rsidP="00B85BA4">
            <w:pPr>
              <w:keepNext/>
              <w:cnfStyle w:val="000000000000" w:firstRow="0" w:lastRow="0" w:firstColumn="0" w:lastColumn="0" w:oddVBand="0" w:evenVBand="0" w:oddHBand="0" w:evenHBand="0" w:firstRowFirstColumn="0" w:firstRowLastColumn="0" w:lastRowFirstColumn="0" w:lastRowLastColumn="0"/>
              <w:rPr>
                <w:rStyle w:val="Strong"/>
              </w:rPr>
            </w:pPr>
            <w:r w:rsidRPr="008D6BE8">
              <w:rPr>
                <w:rStyle w:val="Strong"/>
              </w:rPr>
              <w:t>434.4</w:t>
            </w:r>
          </w:p>
        </w:tc>
      </w:tr>
    </w:tbl>
    <w:p w:rsidR="008F0CF0" w:rsidRDefault="008F0CF0" w:rsidP="00B85BA4">
      <w:pPr>
        <w:pStyle w:val="AERtablesource"/>
        <w:keepNext/>
      </w:pPr>
      <w:r w:rsidRPr="008F0CF0">
        <w:rPr>
          <w:rFonts w:eastAsia="Calibri"/>
        </w:rPr>
        <w:t xml:space="preserve">Source: </w:t>
      </w:r>
      <w:r w:rsidRPr="008F0CF0">
        <w:rPr>
          <w:rFonts w:eastAsia="Calibri"/>
        </w:rPr>
        <w:tab/>
      </w:r>
      <w:r w:rsidR="00E52A6F" w:rsidRPr="00E52A6F">
        <w:t xml:space="preserve">JGN, </w:t>
      </w:r>
      <w:r w:rsidR="00E52A6F" w:rsidRPr="008D6BE8">
        <w:rPr>
          <w:rStyle w:val="AERtextitalic"/>
        </w:rPr>
        <w:t>Submissions on draft decision, Attachment N - updated appendix 10.1 - JGN revenue forecast mode</w:t>
      </w:r>
      <w:r w:rsidR="005F5101">
        <w:rPr>
          <w:rStyle w:val="AERtextitalic"/>
        </w:rPr>
        <w:t>l</w:t>
      </w:r>
      <w:r w:rsidR="00E52A6F" w:rsidRPr="00E52A6F">
        <w:t>, 27 March 2015.</w:t>
      </w:r>
    </w:p>
    <w:p w:rsidR="00F158FE" w:rsidRDefault="0073119F" w:rsidP="008F0CF0">
      <w:pPr>
        <w:numPr>
          <w:ilvl w:val="0"/>
          <w:numId w:val="25"/>
        </w:numPr>
      </w:pPr>
      <w:r>
        <w:t xml:space="preserve">JGN's </w:t>
      </w:r>
      <w:r w:rsidR="0067256B" w:rsidRPr="008F0CF0">
        <w:t xml:space="preserve">asset lives </w:t>
      </w:r>
      <w:r w:rsidR="0067256B">
        <w:t xml:space="preserve">in its </w:t>
      </w:r>
      <w:r w:rsidR="00147261">
        <w:t xml:space="preserve">revised </w:t>
      </w:r>
      <w:r w:rsidR="008F0CF0" w:rsidRPr="008F0CF0">
        <w:t>propos</w:t>
      </w:r>
      <w:r w:rsidR="00147261">
        <w:t>al</w:t>
      </w:r>
      <w:r w:rsidR="008F0CF0" w:rsidRPr="008F0CF0">
        <w:t xml:space="preserve"> for its existing asset classes used for </w:t>
      </w:r>
      <w:r w:rsidR="0067256B">
        <w:t>the</w:t>
      </w:r>
      <w:r w:rsidR="0067256B" w:rsidRPr="008F0CF0">
        <w:t xml:space="preserve"> </w:t>
      </w:r>
      <w:r w:rsidR="008F0CF0" w:rsidRPr="008F0CF0">
        <w:t xml:space="preserve">depreciation calculations are set out </w:t>
      </w:r>
      <w:r w:rsidR="00572133" w:rsidRPr="008F0CF0">
        <w:t>in</w:t>
      </w:r>
      <w:r w:rsidR="00572133">
        <w:t xml:space="preserve"> </w:t>
      </w:r>
      <w:r w:rsidR="008D6BE8">
        <w:fldChar w:fldCharType="begin"/>
      </w:r>
      <w:r w:rsidR="008D6BE8">
        <w:instrText xml:space="preserve"> REF _Ref419389454 \h </w:instrText>
      </w:r>
      <w:r w:rsidR="008D6BE8">
        <w:fldChar w:fldCharType="separate"/>
      </w:r>
    </w:p>
    <w:p w:rsidR="00F158FE" w:rsidRDefault="00F158FE">
      <w:pPr>
        <w:spacing w:line="240" w:lineRule="auto"/>
      </w:pPr>
    </w:p>
    <w:p w:rsidR="00A87B8A" w:rsidRDefault="00F158FE" w:rsidP="008F0CF0">
      <w:pPr>
        <w:numPr>
          <w:ilvl w:val="0"/>
          <w:numId w:val="25"/>
        </w:numPr>
      </w:pPr>
      <w:r w:rsidRPr="008F0CF0">
        <w:t xml:space="preserve">Table </w:t>
      </w:r>
      <w:r>
        <w:rPr>
          <w:noProof/>
        </w:rPr>
        <w:t>5</w:t>
      </w:r>
      <w:r w:rsidRPr="008F0CF0">
        <w:noBreakHyphen/>
      </w:r>
      <w:r>
        <w:rPr>
          <w:noProof/>
        </w:rPr>
        <w:t>3</w:t>
      </w:r>
      <w:r w:rsidR="008D6BE8">
        <w:fldChar w:fldCharType="end"/>
      </w:r>
      <w:r w:rsidR="008F0CF0" w:rsidRPr="008F0CF0">
        <w:t>.</w:t>
      </w:r>
      <w:r w:rsidR="00855803">
        <w:rPr>
          <w:rStyle w:val="FootnoteReference"/>
        </w:rPr>
        <w:footnoteReference w:id="7"/>
      </w:r>
      <w:bookmarkStart w:id="17" w:name="_Ref398276644"/>
      <w:bookmarkStart w:id="18" w:name="_Ref419389454"/>
    </w:p>
    <w:p w:rsidR="00DB09F7" w:rsidRDefault="00DB09F7">
      <w:pPr>
        <w:spacing w:line="240" w:lineRule="auto"/>
      </w:pPr>
    </w:p>
    <w:p w:rsidR="008F0CF0" w:rsidRPr="008F0CF0" w:rsidRDefault="008F0CF0" w:rsidP="00B85BA4">
      <w:pPr>
        <w:pStyle w:val="Caption"/>
      </w:pPr>
      <w:bookmarkStart w:id="19" w:name="_Ref420582629"/>
      <w:r w:rsidRPr="008F0CF0">
        <w:lastRenderedPageBreak/>
        <w:t xml:space="preserve">Table </w:t>
      </w:r>
      <w:r w:rsidR="00F158FE">
        <w:fldChar w:fldCharType="begin"/>
      </w:r>
      <w:r w:rsidR="00F158FE">
        <w:instrText xml:space="preserve"> STYLEREF 1 \s </w:instrText>
      </w:r>
      <w:r w:rsidR="00F158FE">
        <w:fldChar w:fldCharType="separate"/>
      </w:r>
      <w:r w:rsidR="00F158FE">
        <w:rPr>
          <w:noProof/>
        </w:rPr>
        <w:t>5</w:t>
      </w:r>
      <w:r w:rsidR="00F158FE">
        <w:rPr>
          <w:noProof/>
        </w:rPr>
        <w:fldChar w:fldCharType="end"/>
      </w:r>
      <w:r w:rsidRPr="008F0CF0">
        <w:noBreakHyphen/>
      </w:r>
      <w:r w:rsidR="00F158FE">
        <w:fldChar w:fldCharType="begin"/>
      </w:r>
      <w:r w:rsidR="00F158FE">
        <w:instrText xml:space="preserve"> SEQ Table \* ARABIC \s 1 </w:instrText>
      </w:r>
      <w:r w:rsidR="00F158FE">
        <w:fldChar w:fldCharType="separate"/>
      </w:r>
      <w:r w:rsidR="00F158FE">
        <w:rPr>
          <w:noProof/>
        </w:rPr>
        <w:t>3</w:t>
      </w:r>
      <w:r w:rsidR="00F158FE">
        <w:rPr>
          <w:noProof/>
        </w:rPr>
        <w:fldChar w:fldCharType="end"/>
      </w:r>
      <w:bookmarkEnd w:id="17"/>
      <w:bookmarkEnd w:id="18"/>
      <w:bookmarkEnd w:id="19"/>
      <w:r w:rsidRPr="008F0CF0">
        <w:tab/>
        <w:t xml:space="preserve">JGN's </w:t>
      </w:r>
      <w:r w:rsidR="00257A68">
        <w:t xml:space="preserve">revised </w:t>
      </w:r>
      <w:r w:rsidRPr="008F0CF0">
        <w:t>propo</w:t>
      </w:r>
      <w:r w:rsidR="00257A68">
        <w:t>sal</w:t>
      </w:r>
      <w:r w:rsidRPr="008F0CF0">
        <w:t xml:space="preserve"> standard and remaining asset lives at 1 July 2015 (years)</w:t>
      </w:r>
    </w:p>
    <w:tbl>
      <w:tblPr>
        <w:tblStyle w:val="AERtable-numbers"/>
        <w:tblW w:w="8613" w:type="dxa"/>
        <w:tblLayout w:type="fixed"/>
        <w:tblLook w:val="04A0" w:firstRow="1" w:lastRow="0" w:firstColumn="1" w:lastColumn="0" w:noHBand="0" w:noVBand="1"/>
      </w:tblPr>
      <w:tblGrid>
        <w:gridCol w:w="4077"/>
        <w:gridCol w:w="2268"/>
        <w:gridCol w:w="2268"/>
      </w:tblGrid>
      <w:tr w:rsidR="008F0CF0" w:rsidRPr="0018218B" w:rsidTr="00D47C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noWrap/>
            <w:hideMark/>
          </w:tcPr>
          <w:p w:rsidR="008F0CF0" w:rsidRPr="008F0CF0" w:rsidRDefault="008F0CF0" w:rsidP="00B85BA4">
            <w:pPr>
              <w:keepNext/>
            </w:pPr>
          </w:p>
        </w:tc>
        <w:tc>
          <w:tcPr>
            <w:tcW w:w="2268" w:type="dxa"/>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 xml:space="preserve">Standard asset life </w:t>
            </w:r>
          </w:p>
        </w:tc>
        <w:tc>
          <w:tcPr>
            <w:tcW w:w="2268" w:type="dxa"/>
          </w:tcPr>
          <w:p w:rsidR="008F0CF0" w:rsidRPr="008F0CF0" w:rsidRDefault="008F0CF0" w:rsidP="00B85BA4">
            <w:pPr>
              <w:keepNext/>
              <w:cnfStyle w:val="100000000000" w:firstRow="1" w:lastRow="0" w:firstColumn="0" w:lastColumn="0" w:oddVBand="0" w:evenVBand="0" w:oddHBand="0" w:evenHBand="0" w:firstRowFirstColumn="0" w:firstRowLastColumn="0" w:lastRowFirstColumn="0" w:lastRowLastColumn="0"/>
            </w:pPr>
            <w:r w:rsidRPr="008F0CF0">
              <w:t>Remaining asset life</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Trunk Wilton-Sydney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80.0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38.1</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Trunk Sydney-Newcastle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80.0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46.2</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076436" w:rsidP="00B85BA4">
            <w:pPr>
              <w:keepNext/>
            </w:pPr>
            <w:r>
              <w:t xml:space="preserve">Trunk </w:t>
            </w:r>
            <w:r w:rsidR="00E52A6F" w:rsidRPr="00E52A6F">
              <w:t>Wilton-Wollongong</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80.0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37.9</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Contract meters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20.0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7.2</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Fixed </w:t>
            </w:r>
            <w:r w:rsidR="00076436">
              <w:t>p</w:t>
            </w:r>
            <w:r w:rsidRPr="00E52A6F">
              <w:t xml:space="preserve">lant - distribution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HP mains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80.0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58.5</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HP services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MP mains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50.0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26.2</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MP services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36.9</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Meter reading devices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20.0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20.0</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Country POTS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31.6</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Tariff meters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20.0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9.2</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Buildings</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48.0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48.0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Computers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5.0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5.0</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Software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5.0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4.0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Fixed plant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10.0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8.6</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Furniture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Land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n/a</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t>n/a</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Leasehold improvements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Low value assets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10.0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10.0</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Mobile plant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8.4</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Vehicles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6.0</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3.2</w:t>
            </w:r>
          </w:p>
        </w:tc>
      </w:tr>
      <w:tr w:rsidR="00E52A6F" w:rsidRPr="0018218B" w:rsidTr="00A31CF5">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Stock</w:t>
            </w:r>
            <w:r w:rsidRPr="00E52A6F">
              <w:rPr>
                <w:rStyle w:val="AERsuperscript"/>
              </w:rPr>
              <w:t>a</w:t>
            </w:r>
            <w:r w:rsidRPr="00E52A6F">
              <w:t xml:space="preserve"> </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w:t>
            </w:r>
          </w:p>
        </w:tc>
        <w:tc>
          <w:tcPr>
            <w:tcW w:w="2268" w:type="dxa"/>
          </w:tcPr>
          <w:p w:rsidR="00E52A6F" w:rsidRPr="00E52A6F" w:rsidRDefault="00E52A6F" w:rsidP="00B85BA4">
            <w:pPr>
              <w:keepNext/>
              <w:cnfStyle w:val="000000000000" w:firstRow="0" w:lastRow="0" w:firstColumn="0" w:lastColumn="0" w:oddVBand="0" w:evenVBand="0" w:oddHBand="0" w:evenHBand="0" w:firstRowFirstColumn="0" w:firstRowLastColumn="0" w:lastRowFirstColumn="0" w:lastRowLastColumn="0"/>
            </w:pPr>
            <w:r w:rsidRPr="00E52A6F">
              <w:t>1.0</w:t>
            </w:r>
          </w:p>
        </w:tc>
      </w:tr>
      <w:tr w:rsidR="00E52A6F" w:rsidRPr="0018218B" w:rsidTr="00A31C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E52A6F" w:rsidRPr="00E52A6F" w:rsidRDefault="00E52A6F" w:rsidP="00B85BA4">
            <w:pPr>
              <w:keepNext/>
            </w:pPr>
            <w:r w:rsidRPr="00E52A6F">
              <w:t xml:space="preserve">Equity raising costs </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53.7</w:t>
            </w:r>
            <w:r w:rsidRPr="00E52A6F">
              <w:rPr>
                <w:rStyle w:val="AERsuperscript"/>
              </w:rPr>
              <w:t>b</w:t>
            </w:r>
          </w:p>
        </w:tc>
        <w:tc>
          <w:tcPr>
            <w:tcW w:w="2268" w:type="dxa"/>
          </w:tcPr>
          <w:p w:rsidR="00E52A6F" w:rsidRPr="00E52A6F" w:rsidRDefault="00E52A6F" w:rsidP="00B85BA4">
            <w:pPr>
              <w:keepNext/>
              <w:cnfStyle w:val="000000010000" w:firstRow="0" w:lastRow="0" w:firstColumn="0" w:lastColumn="0" w:oddVBand="0" w:evenVBand="0" w:oddHBand="0" w:evenHBand="1" w:firstRowFirstColumn="0" w:firstRowLastColumn="0" w:lastRowFirstColumn="0" w:lastRowLastColumn="0"/>
            </w:pPr>
            <w:r w:rsidRPr="00E52A6F">
              <w:t>49.9</w:t>
            </w:r>
          </w:p>
        </w:tc>
      </w:tr>
    </w:tbl>
    <w:p w:rsidR="00321213" w:rsidRPr="008F0CF0" w:rsidRDefault="008F0CF0" w:rsidP="00B85BA4">
      <w:pPr>
        <w:pStyle w:val="AERtablesource"/>
        <w:keepNext/>
      </w:pPr>
      <w:r w:rsidRPr="008F0CF0">
        <w:rPr>
          <w:rFonts w:eastAsia="Calibri"/>
        </w:rPr>
        <w:t xml:space="preserve">Source: </w:t>
      </w:r>
      <w:r w:rsidRPr="008F0CF0">
        <w:rPr>
          <w:rFonts w:eastAsia="Calibri"/>
        </w:rPr>
        <w:tab/>
      </w:r>
      <w:r w:rsidR="00E52A6F" w:rsidRPr="00E52A6F">
        <w:t xml:space="preserve">JGN, </w:t>
      </w:r>
      <w:r w:rsidR="00E52A6F" w:rsidRPr="005F5101">
        <w:rPr>
          <w:rStyle w:val="AERtextitalic"/>
        </w:rPr>
        <w:t>Submissions on draft decision, Attachment N - updated appendix 10.</w:t>
      </w:r>
      <w:r w:rsidR="005F5101" w:rsidRPr="005F5101">
        <w:rPr>
          <w:rStyle w:val="AERtextitalic"/>
        </w:rPr>
        <w:t>1 - JGN revenue forecast model</w:t>
      </w:r>
      <w:r w:rsidR="00E52A6F" w:rsidRPr="00E52A6F">
        <w:t>, 27 March 2015.</w:t>
      </w:r>
    </w:p>
    <w:p w:rsidR="008F0CF0" w:rsidRPr="008F0CF0" w:rsidRDefault="008F0CF0" w:rsidP="00B85BA4">
      <w:pPr>
        <w:pStyle w:val="AERtablesource"/>
        <w:keepNext/>
      </w:pPr>
      <w:r w:rsidRPr="008F0CF0">
        <w:t>a</w:t>
      </w:r>
      <w:r w:rsidRPr="008F0CF0">
        <w:tab/>
        <w:t>The 'Stock' asset class is not separately listed in JGN's access arrangement information, but is present in JGN's models in order to handle legacy residual assets in this class. There is no forecast capex allocated to this asset class during the 2015–20 access arrangement period.</w:t>
      </w:r>
    </w:p>
    <w:p w:rsidR="008F0CF0" w:rsidRPr="008F0CF0" w:rsidRDefault="008F0CF0" w:rsidP="00B85BA4">
      <w:pPr>
        <w:pStyle w:val="AERtablesource"/>
        <w:keepNext/>
      </w:pPr>
      <w:r w:rsidRPr="008F0CF0">
        <w:t>b</w:t>
      </w:r>
      <w:r w:rsidRPr="008F0CF0">
        <w:tab/>
        <w:t xml:space="preserve">The standard asset life for the 'Equity raising costs' asset class reflects the weighted average standard asset life of the opening capital base at the time of the 2010 access arrangement decision. There is no forecast capex allocated to this asset class during the 2015–20 access arrangement. </w:t>
      </w:r>
    </w:p>
    <w:p w:rsidR="00DE563D" w:rsidRPr="00AF1F9E" w:rsidRDefault="00DE563D" w:rsidP="00AF1F9E">
      <w:pPr>
        <w:pStyle w:val="Heading2"/>
      </w:pPr>
      <w:bookmarkStart w:id="20" w:name="_Toc403144138"/>
      <w:bookmarkStart w:id="21" w:name="_Toc420756059"/>
      <w:r w:rsidRPr="00AF1F9E">
        <w:lastRenderedPageBreak/>
        <w:t>AER’s assessment approach</w:t>
      </w:r>
      <w:bookmarkEnd w:id="20"/>
      <w:bookmarkEnd w:id="21"/>
    </w:p>
    <w:p w:rsidR="00860601" w:rsidRPr="00860601" w:rsidRDefault="00860601" w:rsidP="00860601">
      <w:r w:rsidRPr="00860601">
        <w:t xml:space="preserve">We </w:t>
      </w:r>
      <w:r w:rsidR="005D258E">
        <w:t>have</w:t>
      </w:r>
      <w:r w:rsidRPr="00860601">
        <w:t xml:space="preserve"> </w:t>
      </w:r>
      <w:r w:rsidR="00BD093F">
        <w:t xml:space="preserve">not </w:t>
      </w:r>
      <w:r w:rsidRPr="00860601">
        <w:t>change</w:t>
      </w:r>
      <w:r w:rsidR="005D258E">
        <w:t>d</w:t>
      </w:r>
      <w:r w:rsidRPr="00860601">
        <w:t xml:space="preserve"> our assessment approach for the </w:t>
      </w:r>
      <w:r>
        <w:t xml:space="preserve">regulatory </w:t>
      </w:r>
      <w:r w:rsidR="00AE1BBC">
        <w:t>depreciation</w:t>
      </w:r>
      <w:r w:rsidRPr="00860601">
        <w:t xml:space="preserve"> from our draft decision. Section </w:t>
      </w:r>
      <w:r w:rsidR="00AE1BBC">
        <w:t>5</w:t>
      </w:r>
      <w:r w:rsidRPr="00860601">
        <w:t>.3 of our draft decision details that approach.</w:t>
      </w:r>
      <w:r w:rsidRPr="00860601">
        <w:rPr>
          <w:rStyle w:val="FootnoteReference"/>
        </w:rPr>
        <w:footnoteReference w:id="8"/>
      </w:r>
    </w:p>
    <w:p w:rsidR="00DE563D" w:rsidRDefault="00DE563D" w:rsidP="00AF1F9E">
      <w:pPr>
        <w:pStyle w:val="Heading2"/>
      </w:pPr>
      <w:bookmarkStart w:id="22" w:name="_Toc403144140"/>
      <w:bookmarkStart w:id="23" w:name="_Toc420756060"/>
      <w:r w:rsidRPr="00AF1F9E">
        <w:t xml:space="preserve">Reasons for </w:t>
      </w:r>
      <w:r w:rsidR="00AF1F9E">
        <w:t>final</w:t>
      </w:r>
      <w:r w:rsidRPr="00AF1F9E">
        <w:t xml:space="preserve"> decision</w:t>
      </w:r>
      <w:bookmarkEnd w:id="22"/>
      <w:bookmarkEnd w:id="23"/>
      <w:r w:rsidRPr="00AF1F9E">
        <w:t xml:space="preserve"> </w:t>
      </w:r>
    </w:p>
    <w:p w:rsidR="00AE1BBC" w:rsidRPr="00AE1BBC" w:rsidRDefault="00AE1BBC" w:rsidP="00A31CF5">
      <w:pPr>
        <w:rPr>
          <w:rStyle w:val="AERbody"/>
        </w:rPr>
      </w:pPr>
      <w:r w:rsidRPr="00AE1BBC">
        <w:rPr>
          <w:rStyle w:val="AERbody"/>
        </w:rPr>
        <w:t xml:space="preserve">We do not approve JGN's </w:t>
      </w:r>
      <w:r w:rsidR="000444DC">
        <w:rPr>
          <w:rStyle w:val="AERbody"/>
        </w:rPr>
        <w:t xml:space="preserve">revised </w:t>
      </w:r>
      <w:r w:rsidRPr="00AE1BBC">
        <w:rPr>
          <w:rStyle w:val="AERbody"/>
        </w:rPr>
        <w:t>propos</w:t>
      </w:r>
      <w:r w:rsidR="001350A6">
        <w:rPr>
          <w:rStyle w:val="AERbody"/>
        </w:rPr>
        <w:t>ed</w:t>
      </w:r>
      <w:r w:rsidRPr="00AE1BBC">
        <w:rPr>
          <w:rStyle w:val="AERbody"/>
        </w:rPr>
        <w:t xml:space="preserve"> regulatory depreciation allowance of </w:t>
      </w:r>
      <w:r w:rsidRPr="00A31CF5">
        <w:rPr>
          <w:rStyle w:val="AERbody"/>
        </w:rPr>
        <w:t>$</w:t>
      </w:r>
      <w:r w:rsidR="00E72EDD" w:rsidRPr="00A31CF5">
        <w:rPr>
          <w:rStyle w:val="AERbody"/>
        </w:rPr>
        <w:t>434.</w:t>
      </w:r>
      <w:r w:rsidR="00855803" w:rsidRPr="00A31CF5">
        <w:rPr>
          <w:rStyle w:val="AERbody"/>
        </w:rPr>
        <w:t>4</w:t>
      </w:r>
      <w:r w:rsidRPr="00AE1BBC">
        <w:rPr>
          <w:rStyle w:val="AERbody"/>
        </w:rPr>
        <w:t> million ($nominal) for the 2015–20 access arrangement period.</w:t>
      </w:r>
      <w:r w:rsidR="000444DC">
        <w:rPr>
          <w:rStyle w:val="AERbody"/>
        </w:rPr>
        <w:t xml:space="preserve"> </w:t>
      </w:r>
      <w:r w:rsidRPr="00AE1BBC">
        <w:rPr>
          <w:rStyle w:val="AERbody"/>
        </w:rPr>
        <w:t xml:space="preserve">Our </w:t>
      </w:r>
      <w:r w:rsidR="00257A68">
        <w:rPr>
          <w:rStyle w:val="AERbody"/>
        </w:rPr>
        <w:t>final</w:t>
      </w:r>
      <w:r w:rsidRPr="00AE1BBC">
        <w:rPr>
          <w:rStyle w:val="AERbody"/>
        </w:rPr>
        <w:t xml:space="preserve"> decision on JGN's regulatory depreciation </w:t>
      </w:r>
      <w:r w:rsidRPr="00A31CF5">
        <w:rPr>
          <w:rStyle w:val="AERbody"/>
        </w:rPr>
        <w:t>allowance is $</w:t>
      </w:r>
      <w:r w:rsidR="00716468">
        <w:rPr>
          <w:rStyle w:val="AERbody"/>
        </w:rPr>
        <w:t>428.9 </w:t>
      </w:r>
      <w:r w:rsidRPr="00A31CF5">
        <w:rPr>
          <w:rStyle w:val="AERbody"/>
        </w:rPr>
        <w:t>million ($nominal) over the 2015–20 access arrangement period, a reduction of $</w:t>
      </w:r>
      <w:r w:rsidR="00716468">
        <w:rPr>
          <w:rStyle w:val="AERbody"/>
        </w:rPr>
        <w:t>5.5 </w:t>
      </w:r>
      <w:r w:rsidRPr="00A31CF5">
        <w:rPr>
          <w:rStyle w:val="AERbody"/>
        </w:rPr>
        <w:t xml:space="preserve">million ($nominal) or </w:t>
      </w:r>
      <w:r w:rsidR="00716468">
        <w:rPr>
          <w:rStyle w:val="AERbody"/>
        </w:rPr>
        <w:t>1.3 </w:t>
      </w:r>
      <w:r w:rsidRPr="00A31CF5">
        <w:rPr>
          <w:rStyle w:val="AERbody"/>
        </w:rPr>
        <w:t xml:space="preserve">per cent compared to the </w:t>
      </w:r>
      <w:r w:rsidR="001350A6" w:rsidRPr="00A31CF5">
        <w:rPr>
          <w:rStyle w:val="AERbody"/>
        </w:rPr>
        <w:t xml:space="preserve">revised </w:t>
      </w:r>
      <w:r w:rsidRPr="00A31CF5">
        <w:rPr>
          <w:rStyle w:val="AERbody"/>
        </w:rPr>
        <w:t>propos</w:t>
      </w:r>
      <w:r w:rsidR="001350A6" w:rsidRPr="00A31CF5">
        <w:rPr>
          <w:rStyle w:val="AERbody"/>
        </w:rPr>
        <w:t>al</w:t>
      </w:r>
      <w:r w:rsidRPr="00A31CF5">
        <w:rPr>
          <w:rStyle w:val="AERbody"/>
        </w:rPr>
        <w:t>. This is due to</w:t>
      </w:r>
      <w:r w:rsidR="001350A6" w:rsidRPr="00A31CF5">
        <w:rPr>
          <w:rStyle w:val="AERbody"/>
        </w:rPr>
        <w:t xml:space="preserve"> our r</w:t>
      </w:r>
      <w:r w:rsidRPr="00A31CF5">
        <w:rPr>
          <w:rStyle w:val="AERbody"/>
        </w:rPr>
        <w:t xml:space="preserve">eduction of JGN's </w:t>
      </w:r>
      <w:r w:rsidR="001350A6" w:rsidRPr="00A31CF5">
        <w:rPr>
          <w:rStyle w:val="AERbody"/>
        </w:rPr>
        <w:t xml:space="preserve">revised proposed </w:t>
      </w:r>
      <w:r w:rsidRPr="00A31CF5">
        <w:rPr>
          <w:rStyle w:val="AERbody"/>
        </w:rPr>
        <w:t>forecast net capex by $</w:t>
      </w:r>
      <w:r w:rsidR="00716468">
        <w:rPr>
          <w:rStyle w:val="AERbody"/>
        </w:rPr>
        <w:t>16</w:t>
      </w:r>
      <w:r w:rsidR="00AA130D">
        <w:rPr>
          <w:rStyle w:val="AERbody"/>
        </w:rPr>
        <w:t>1.1</w:t>
      </w:r>
      <w:r w:rsidR="00716468">
        <w:rPr>
          <w:rStyle w:val="AERbody"/>
        </w:rPr>
        <w:t> </w:t>
      </w:r>
      <w:r w:rsidRPr="00A31CF5">
        <w:rPr>
          <w:rStyle w:val="AERbody"/>
        </w:rPr>
        <w:t>million ($</w:t>
      </w:r>
      <w:r w:rsidR="001350A6" w:rsidRPr="00A31CF5">
        <w:rPr>
          <w:rStyle w:val="AERbody"/>
        </w:rPr>
        <w:t>2014–</w:t>
      </w:r>
      <w:r w:rsidRPr="00A31CF5">
        <w:rPr>
          <w:rStyle w:val="AERbody"/>
        </w:rPr>
        <w:t xml:space="preserve">15) or </w:t>
      </w:r>
      <w:r w:rsidR="00716468">
        <w:rPr>
          <w:rStyle w:val="AERbody"/>
        </w:rPr>
        <w:t>14</w:t>
      </w:r>
      <w:r w:rsidR="00AA130D">
        <w:rPr>
          <w:rStyle w:val="AERbody"/>
        </w:rPr>
        <w:t>.4</w:t>
      </w:r>
      <w:r w:rsidR="00716468">
        <w:rPr>
          <w:rStyle w:val="AERbody"/>
        </w:rPr>
        <w:t> </w:t>
      </w:r>
      <w:r w:rsidRPr="00A31CF5">
        <w:rPr>
          <w:rStyle w:val="AERbody"/>
        </w:rPr>
        <w:t xml:space="preserve">per cent. Our detailed assessment of the </w:t>
      </w:r>
      <w:r w:rsidR="001350A6" w:rsidRPr="00A31CF5">
        <w:rPr>
          <w:rStyle w:val="AERbody"/>
        </w:rPr>
        <w:t xml:space="preserve">revised </w:t>
      </w:r>
      <w:r w:rsidRPr="00A31CF5">
        <w:rPr>
          <w:rStyle w:val="AERbody"/>
        </w:rPr>
        <w:t>proposed forecast capex allowance is set out in attachment</w:t>
      </w:r>
      <w:r w:rsidRPr="00AE1BBC">
        <w:rPr>
          <w:rStyle w:val="AERbody"/>
        </w:rPr>
        <w:t xml:space="preserve"> 6. </w:t>
      </w:r>
    </w:p>
    <w:p w:rsidR="00AE1BBC" w:rsidRPr="00AE1BBC" w:rsidRDefault="00C52107" w:rsidP="00624B0A">
      <w:pPr>
        <w:numPr>
          <w:ilvl w:val="0"/>
          <w:numId w:val="25"/>
        </w:numPr>
      </w:pPr>
      <w:r w:rsidRPr="001B16E4">
        <w:t>Consistent with our draft decision</w:t>
      </w:r>
      <w:r>
        <w:rPr>
          <w:rStyle w:val="AERbody"/>
        </w:rPr>
        <w:t>, w</w:t>
      </w:r>
      <w:r w:rsidR="00321213">
        <w:rPr>
          <w:rStyle w:val="AERbody"/>
        </w:rPr>
        <w:t>e</w:t>
      </w:r>
      <w:r w:rsidR="00F470BE">
        <w:rPr>
          <w:rStyle w:val="AERbody"/>
        </w:rPr>
        <w:t xml:space="preserve"> </w:t>
      </w:r>
      <w:r w:rsidR="00AE1BBC" w:rsidRPr="00AE1BBC">
        <w:rPr>
          <w:rStyle w:val="AERbody"/>
        </w:rPr>
        <w:t>a</w:t>
      </w:r>
      <w:r w:rsidR="00237827">
        <w:rPr>
          <w:rStyle w:val="AERbody"/>
        </w:rPr>
        <w:t>ccept</w:t>
      </w:r>
      <w:r w:rsidR="00AE1BBC" w:rsidRPr="00AE1BBC">
        <w:rPr>
          <w:rStyle w:val="AERbody"/>
        </w:rPr>
        <w:t xml:space="preserve"> JGN's </w:t>
      </w:r>
      <w:r w:rsidR="00F470BE">
        <w:rPr>
          <w:rStyle w:val="AERbody"/>
        </w:rPr>
        <w:t xml:space="preserve">revised </w:t>
      </w:r>
      <w:r w:rsidR="00AE1BBC" w:rsidRPr="00AE1BBC">
        <w:rPr>
          <w:rStyle w:val="AERbody"/>
        </w:rPr>
        <w:t>propos</w:t>
      </w:r>
      <w:r w:rsidR="003C102A">
        <w:rPr>
          <w:rStyle w:val="AERbody"/>
        </w:rPr>
        <w:t>ed</w:t>
      </w:r>
      <w:r w:rsidR="00AE1BBC" w:rsidRPr="00AE1BBC">
        <w:rPr>
          <w:rStyle w:val="AERbody"/>
        </w:rPr>
        <w:t xml:space="preserve"> standard asset lives for the 2015–20 access arrangement</w:t>
      </w:r>
      <w:r w:rsidR="00AE1BBC" w:rsidRPr="00AE1BBC">
        <w:t xml:space="preserve"> period.</w:t>
      </w:r>
      <w:r w:rsidR="00AE1BBC" w:rsidRPr="00AE1BBC">
        <w:rPr>
          <w:rStyle w:val="FootnoteReference"/>
        </w:rPr>
        <w:footnoteReference w:id="9"/>
      </w:r>
      <w:r w:rsidR="00AE1BBC" w:rsidRPr="00AE1BBC">
        <w:t xml:space="preserve"> </w:t>
      </w:r>
      <w:r w:rsidR="00F470BE">
        <w:t xml:space="preserve">We </w:t>
      </w:r>
      <w:r w:rsidR="00823AFE">
        <w:t xml:space="preserve">also </w:t>
      </w:r>
      <w:r w:rsidR="00AE1BBC" w:rsidRPr="00AE1BBC">
        <w:t>a</w:t>
      </w:r>
      <w:r w:rsidR="00237827">
        <w:t>ccept</w:t>
      </w:r>
      <w:r w:rsidR="00AE1BBC" w:rsidRPr="00AE1BBC">
        <w:t xml:space="preserve"> </w:t>
      </w:r>
      <w:r w:rsidR="00321213" w:rsidRPr="00AE1BBC">
        <w:rPr>
          <w:rStyle w:val="AERbody"/>
        </w:rPr>
        <w:t xml:space="preserve">JGN's </w:t>
      </w:r>
      <w:r w:rsidR="00321213">
        <w:rPr>
          <w:rStyle w:val="AERbody"/>
        </w:rPr>
        <w:t xml:space="preserve">revised </w:t>
      </w:r>
      <w:r w:rsidR="00321213" w:rsidRPr="00AE1BBC">
        <w:rPr>
          <w:rStyle w:val="AERbody"/>
        </w:rPr>
        <w:t>propos</w:t>
      </w:r>
      <w:r w:rsidR="003C102A">
        <w:rPr>
          <w:rStyle w:val="AERbody"/>
        </w:rPr>
        <w:t>ed</w:t>
      </w:r>
      <w:r w:rsidR="00AE1BBC" w:rsidRPr="00AE1BBC">
        <w:t xml:space="preserve"> remaining asset lives (as a</w:t>
      </w:r>
      <w:r w:rsidR="00321213">
        <w:t xml:space="preserve">t 1 July 2015) </w:t>
      </w:r>
      <w:r w:rsidR="000444DC">
        <w:t xml:space="preserve">because they are calculated based on </w:t>
      </w:r>
      <w:r w:rsidR="003C102A">
        <w:t>up</w:t>
      </w:r>
      <w:r w:rsidR="000444DC">
        <w:t>date</w:t>
      </w:r>
      <w:r w:rsidR="003C102A">
        <w:t>d</w:t>
      </w:r>
      <w:r w:rsidR="000444DC">
        <w:t xml:space="preserve"> inputs</w:t>
      </w:r>
      <w:r w:rsidR="00237827">
        <w:t xml:space="preserve"> as </w:t>
      </w:r>
      <w:r w:rsidR="00355421">
        <w:t xml:space="preserve">noted </w:t>
      </w:r>
      <w:r w:rsidR="00237827">
        <w:t>in our draft decision</w:t>
      </w:r>
      <w:r w:rsidR="00AE1BBC" w:rsidRPr="00AE1BBC">
        <w:t>.</w:t>
      </w:r>
      <w:r w:rsidR="00AE1BBC" w:rsidRPr="00AE1BBC">
        <w:rPr>
          <w:rStyle w:val="FootnoteReference"/>
        </w:rPr>
        <w:footnoteReference w:id="10"/>
      </w:r>
    </w:p>
    <w:p w:rsidR="00AE1BBC" w:rsidRDefault="00AE1BBC" w:rsidP="00AE1BBC">
      <w:pPr>
        <w:numPr>
          <w:ilvl w:val="0"/>
          <w:numId w:val="25"/>
        </w:numPr>
      </w:pPr>
      <w:r w:rsidRPr="00AE1BBC">
        <w:fldChar w:fldCharType="begin"/>
      </w:r>
      <w:r w:rsidRPr="00AE1BBC">
        <w:instrText xml:space="preserve"> REF _Ref398283146 \h </w:instrText>
      </w:r>
      <w:r w:rsidRPr="00AE1BBC">
        <w:fldChar w:fldCharType="separate"/>
      </w:r>
      <w:r w:rsidR="00F158FE" w:rsidRPr="00AE1BBC">
        <w:t xml:space="preserve">Table </w:t>
      </w:r>
      <w:r w:rsidR="00F158FE">
        <w:rPr>
          <w:noProof/>
        </w:rPr>
        <w:t>5</w:t>
      </w:r>
      <w:r w:rsidR="00F158FE" w:rsidRPr="00AE1BBC">
        <w:noBreakHyphen/>
      </w:r>
      <w:r w:rsidR="00F158FE">
        <w:rPr>
          <w:noProof/>
        </w:rPr>
        <w:t>4</w:t>
      </w:r>
      <w:r w:rsidRPr="00AE1BBC">
        <w:fldChar w:fldCharType="end"/>
      </w:r>
      <w:r w:rsidRPr="00AE1BBC">
        <w:t xml:space="preserve"> sets out our </w:t>
      </w:r>
      <w:r w:rsidR="0073119F">
        <w:t>final</w:t>
      </w:r>
      <w:r w:rsidRPr="00AE1BBC">
        <w:t xml:space="preserve"> decision on the standard and remaining asset lives </w:t>
      </w:r>
      <w:r w:rsidRPr="00AE1BBC">
        <w:rPr>
          <w:rStyle w:val="AERbody"/>
        </w:rPr>
        <w:t>as at 1</w:t>
      </w:r>
      <w:r w:rsidR="008E5031">
        <w:rPr>
          <w:rStyle w:val="AERbody"/>
        </w:rPr>
        <w:t> </w:t>
      </w:r>
      <w:r w:rsidRPr="00AE1BBC">
        <w:rPr>
          <w:rStyle w:val="AERbody"/>
        </w:rPr>
        <w:t>July 2015 for JGN</w:t>
      </w:r>
      <w:r w:rsidRPr="00AE1BBC">
        <w:t>.</w:t>
      </w:r>
    </w:p>
    <w:p w:rsidR="00DB09F7" w:rsidRDefault="00A27880">
      <w:pPr>
        <w:spacing w:line="240" w:lineRule="auto"/>
      </w:pPr>
      <w:r>
        <w:fldChar w:fldCharType="begin"/>
      </w:r>
      <w:r>
        <w:instrText xml:space="preserve">  </w:instrText>
      </w:r>
      <w:r>
        <w:fldChar w:fldCharType="end"/>
      </w:r>
    </w:p>
    <w:p w:rsidR="00AE1BBC" w:rsidRPr="00AE1BBC" w:rsidRDefault="00AE1BBC" w:rsidP="00B85BA4">
      <w:pPr>
        <w:pStyle w:val="Caption"/>
      </w:pPr>
      <w:bookmarkStart w:id="24" w:name="_Ref398283146"/>
      <w:r w:rsidRPr="00AE1BBC">
        <w:lastRenderedPageBreak/>
        <w:t xml:space="preserve">Table </w:t>
      </w:r>
      <w:r w:rsidR="00F158FE">
        <w:fldChar w:fldCharType="begin"/>
      </w:r>
      <w:r w:rsidR="00F158FE">
        <w:instrText xml:space="preserve"> STYLEREF 1 \s </w:instrText>
      </w:r>
      <w:r w:rsidR="00F158FE">
        <w:fldChar w:fldCharType="separate"/>
      </w:r>
      <w:r w:rsidR="00F158FE">
        <w:rPr>
          <w:noProof/>
        </w:rPr>
        <w:t>5</w:t>
      </w:r>
      <w:r w:rsidR="00F158FE">
        <w:rPr>
          <w:noProof/>
        </w:rPr>
        <w:fldChar w:fldCharType="end"/>
      </w:r>
      <w:r w:rsidRPr="00AE1BBC">
        <w:noBreakHyphen/>
      </w:r>
      <w:r w:rsidR="00F158FE">
        <w:fldChar w:fldCharType="begin"/>
      </w:r>
      <w:r w:rsidR="00F158FE">
        <w:instrText xml:space="preserve"> SEQ Table \* ARABIC \s 1 </w:instrText>
      </w:r>
      <w:r w:rsidR="00F158FE">
        <w:fldChar w:fldCharType="separate"/>
      </w:r>
      <w:r w:rsidR="00F158FE">
        <w:rPr>
          <w:noProof/>
        </w:rPr>
        <w:t>4</w:t>
      </w:r>
      <w:r w:rsidR="00F158FE">
        <w:rPr>
          <w:noProof/>
        </w:rPr>
        <w:fldChar w:fldCharType="end"/>
      </w:r>
      <w:bookmarkEnd w:id="24"/>
      <w:r w:rsidRPr="00AE1BBC">
        <w:tab/>
        <w:t xml:space="preserve">AER's </w:t>
      </w:r>
      <w:r w:rsidR="0073119F">
        <w:t>final</w:t>
      </w:r>
      <w:r w:rsidRPr="00AE1BBC">
        <w:t xml:space="preserve"> decision on JGN's standard and remaining asset lives at 1 July 2015 (years)</w:t>
      </w:r>
    </w:p>
    <w:tbl>
      <w:tblPr>
        <w:tblStyle w:val="AERtable-numbers"/>
        <w:tblW w:w="8755" w:type="dxa"/>
        <w:tblLayout w:type="fixed"/>
        <w:tblLook w:val="04A0" w:firstRow="1" w:lastRow="0" w:firstColumn="1" w:lastColumn="0" w:noHBand="0" w:noVBand="1"/>
      </w:tblPr>
      <w:tblGrid>
        <w:gridCol w:w="4100"/>
        <w:gridCol w:w="2327"/>
        <w:gridCol w:w="2328"/>
      </w:tblGrid>
      <w:tr w:rsidR="00AE1BBC" w:rsidRPr="0018218B" w:rsidTr="00D47C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AE1BBC" w:rsidRPr="00AE1BBC" w:rsidRDefault="00AE1BBC" w:rsidP="00B85BA4">
            <w:pPr>
              <w:keepNext/>
            </w:pPr>
          </w:p>
        </w:tc>
        <w:tc>
          <w:tcPr>
            <w:tcW w:w="2327" w:type="dxa"/>
          </w:tcPr>
          <w:p w:rsidR="00AE1BBC" w:rsidRPr="00AE1BBC" w:rsidRDefault="00AE1BBC" w:rsidP="00B85BA4">
            <w:pPr>
              <w:keepNext/>
              <w:cnfStyle w:val="100000000000" w:firstRow="1" w:lastRow="0" w:firstColumn="0" w:lastColumn="0" w:oddVBand="0" w:evenVBand="0" w:oddHBand="0" w:evenHBand="0" w:firstRowFirstColumn="0" w:firstRowLastColumn="0" w:lastRowFirstColumn="0" w:lastRowLastColumn="0"/>
            </w:pPr>
            <w:r w:rsidRPr="00AE1BBC">
              <w:t xml:space="preserve">Standard asset life </w:t>
            </w:r>
          </w:p>
        </w:tc>
        <w:tc>
          <w:tcPr>
            <w:tcW w:w="2328" w:type="dxa"/>
          </w:tcPr>
          <w:p w:rsidR="00AE1BBC" w:rsidRPr="00AE1BBC" w:rsidRDefault="00AE1BBC" w:rsidP="00B85BA4">
            <w:pPr>
              <w:keepNext/>
              <w:cnfStyle w:val="100000000000" w:firstRow="1" w:lastRow="0" w:firstColumn="0" w:lastColumn="0" w:oddVBand="0" w:evenVBand="0" w:oddHBand="0" w:evenHBand="0" w:firstRowFirstColumn="0" w:firstRowLastColumn="0" w:lastRowFirstColumn="0" w:lastRowLastColumn="0"/>
            </w:pPr>
            <w:r w:rsidRPr="00AE1BBC">
              <w:t>Remaining asset life</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Trunk Wilton-Sydney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80.0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38.1</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Trunk Sydney-Newcastle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80.0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46.2</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076436" w:rsidP="00B85BA4">
            <w:pPr>
              <w:keepNext/>
            </w:pPr>
            <w:r>
              <w:t xml:space="preserve">Trunk </w:t>
            </w:r>
            <w:r w:rsidR="00855803" w:rsidRPr="00D32699">
              <w:t>Wilton-Wollongong</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80.0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37.9</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Contract meters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20.0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7.2</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Fixed </w:t>
            </w:r>
            <w:r w:rsidR="00076436">
              <w:t>p</w:t>
            </w:r>
            <w:r w:rsidRPr="00D32699">
              <w:t xml:space="preserve">lant - distribution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50.0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HP mains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80.0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58.5</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HP services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50.0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50.0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MP mains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50.0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26.2</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MP services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50.0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36.9</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Meter reading devices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20.0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20.0</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Country POTS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50.0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31.6</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Tariff meters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20.0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9.2</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Building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48.0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48.0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Computers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5.0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5.0</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Software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5.0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4.0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Fixed plant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10.0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8.6</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Furniture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10.0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Land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n/a</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t>n/a</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Leasehold improvements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10.0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10.0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Low value assets </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10.0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10.0</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 xml:space="preserve">Mobile plant </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10.0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8.4</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Vehicles</w:t>
            </w:r>
          </w:p>
        </w:tc>
        <w:tc>
          <w:tcPr>
            <w:tcW w:w="2327" w:type="dxa"/>
          </w:tcPr>
          <w:p w:rsidR="00855803" w:rsidRPr="00D32699"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6.0</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3.2</w:t>
            </w:r>
          </w:p>
        </w:tc>
      </w:tr>
      <w:tr w:rsidR="00855803" w:rsidRPr="0018218B" w:rsidTr="008E5031">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855803" w:rsidRDefault="00855803" w:rsidP="00B85BA4">
            <w:pPr>
              <w:keepNext/>
            </w:pPr>
            <w:r w:rsidRPr="00D32699">
              <w:t>Stock</w:t>
            </w:r>
            <w:r w:rsidRPr="00855803">
              <w:rPr>
                <w:rStyle w:val="AERsuperscript"/>
              </w:rPr>
              <w:t>a</w:t>
            </w:r>
          </w:p>
        </w:tc>
        <w:tc>
          <w:tcPr>
            <w:tcW w:w="2327" w:type="dxa"/>
          </w:tcPr>
          <w:p w:rsidR="00855803" w:rsidRPr="00D32699" w:rsidRDefault="00855803" w:rsidP="00B85BA4">
            <w:pPr>
              <w:keepNext/>
              <w:cnfStyle w:val="000000000000" w:firstRow="0" w:lastRow="0" w:firstColumn="0" w:lastColumn="0" w:oddVBand="0" w:evenVBand="0" w:oddHBand="0" w:evenHBand="0" w:firstRowFirstColumn="0" w:firstRowLastColumn="0" w:lastRowFirstColumn="0" w:lastRowLastColumn="0"/>
            </w:pPr>
            <w:r w:rsidRPr="00D32699">
              <w:t>1.0</w:t>
            </w:r>
          </w:p>
        </w:tc>
        <w:tc>
          <w:tcPr>
            <w:tcW w:w="2328" w:type="dxa"/>
          </w:tcPr>
          <w:p w:rsidR="00855803" w:rsidRPr="00855803" w:rsidRDefault="00855803" w:rsidP="00B85BA4">
            <w:pPr>
              <w:keepNext/>
              <w:cnfStyle w:val="000000000000" w:firstRow="0" w:lastRow="0" w:firstColumn="0" w:lastColumn="0" w:oddVBand="0" w:evenVBand="0" w:oddHBand="0" w:evenHBand="0" w:firstRowFirstColumn="0" w:firstRowLastColumn="0" w:lastRowFirstColumn="0" w:lastRowLastColumn="0"/>
            </w:pPr>
            <w:r w:rsidRPr="00E52A6F">
              <w:t>1.0</w:t>
            </w:r>
          </w:p>
        </w:tc>
      </w:tr>
      <w:tr w:rsidR="00855803" w:rsidRPr="0018218B" w:rsidTr="008E50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855803" w:rsidRPr="00D32699" w:rsidRDefault="00855803" w:rsidP="00B85BA4">
            <w:pPr>
              <w:keepNext/>
            </w:pPr>
            <w:r w:rsidRPr="00D32699">
              <w:t>Equity raising costs</w:t>
            </w:r>
          </w:p>
        </w:tc>
        <w:tc>
          <w:tcPr>
            <w:tcW w:w="2327"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D32699">
              <w:t>53.7</w:t>
            </w:r>
            <w:r w:rsidRPr="00855803">
              <w:rPr>
                <w:rStyle w:val="AERsuperscript"/>
              </w:rPr>
              <w:t>b</w:t>
            </w:r>
          </w:p>
        </w:tc>
        <w:tc>
          <w:tcPr>
            <w:tcW w:w="2328" w:type="dxa"/>
          </w:tcPr>
          <w:p w:rsidR="00855803" w:rsidRPr="00855803" w:rsidRDefault="00855803" w:rsidP="00B85BA4">
            <w:pPr>
              <w:keepNext/>
              <w:cnfStyle w:val="000000010000" w:firstRow="0" w:lastRow="0" w:firstColumn="0" w:lastColumn="0" w:oddVBand="0" w:evenVBand="0" w:oddHBand="0" w:evenHBand="1" w:firstRowFirstColumn="0" w:firstRowLastColumn="0" w:lastRowFirstColumn="0" w:lastRowLastColumn="0"/>
            </w:pPr>
            <w:r w:rsidRPr="00E52A6F">
              <w:t>49.9</w:t>
            </w:r>
          </w:p>
        </w:tc>
      </w:tr>
    </w:tbl>
    <w:p w:rsidR="00AE1BBC" w:rsidRPr="00AE1BBC" w:rsidRDefault="00AE1BBC" w:rsidP="00B85BA4">
      <w:pPr>
        <w:pStyle w:val="AERtablesource"/>
        <w:keepNext/>
      </w:pPr>
      <w:r w:rsidRPr="00AE1BBC">
        <w:t>Source:</w:t>
      </w:r>
      <w:r w:rsidRPr="00AE1BBC">
        <w:tab/>
        <w:t xml:space="preserve">AER analysis. </w:t>
      </w:r>
    </w:p>
    <w:p w:rsidR="00AE1BBC" w:rsidRPr="00AE1BBC" w:rsidRDefault="00AE1BBC" w:rsidP="00B85BA4">
      <w:pPr>
        <w:pStyle w:val="AERtablesource"/>
        <w:keepNext/>
      </w:pPr>
      <w:r w:rsidRPr="00AE1BBC">
        <w:t xml:space="preserve">n/a: </w:t>
      </w:r>
      <w:r w:rsidRPr="00AE1BBC">
        <w:tab/>
        <w:t>not applicable (since land does not depreciate).</w:t>
      </w:r>
    </w:p>
    <w:p w:rsidR="00AE1BBC" w:rsidRPr="00AE1BBC" w:rsidRDefault="00AE1BBC" w:rsidP="00B85BA4">
      <w:pPr>
        <w:pStyle w:val="AERtablesource"/>
        <w:keepNext/>
      </w:pPr>
      <w:r w:rsidRPr="00AE1BBC">
        <w:t>a</w:t>
      </w:r>
      <w:r w:rsidR="006E1ABD">
        <w:t>)</w:t>
      </w:r>
      <w:r w:rsidRPr="00AE1BBC">
        <w:tab/>
        <w:t>The 'Stock' asset class is included in order to handle legacy residual assets in this class. There is no forecast capex allocated to this asset class during the 2015–20 access arrangement period.</w:t>
      </w:r>
    </w:p>
    <w:p w:rsidR="00AE1BBC" w:rsidRDefault="00AE1BBC" w:rsidP="00B85BA4">
      <w:pPr>
        <w:pStyle w:val="AERtablesource"/>
        <w:keepNext/>
      </w:pPr>
      <w:r w:rsidRPr="00AE1BBC">
        <w:t>b</w:t>
      </w:r>
      <w:r w:rsidR="006E1ABD">
        <w:t>)</w:t>
      </w:r>
      <w:r w:rsidRPr="00AE1BBC">
        <w:tab/>
        <w:t>There is no forecast capex allocated to the 'Equity raising costs' asset class during the 2015–20 access arrangement, so the standard asset life does not affect total revenue.</w:t>
      </w:r>
    </w:p>
    <w:p w:rsidR="00DB09F7" w:rsidRPr="00DB09F7" w:rsidRDefault="00DB09F7" w:rsidP="00DB09F7"/>
    <w:p w:rsidR="00AE1BBC" w:rsidRPr="00AE1BBC" w:rsidRDefault="00AE1BBC" w:rsidP="00AE1BBC">
      <w:pPr>
        <w:pStyle w:val="Heading3"/>
      </w:pPr>
      <w:bookmarkStart w:id="25" w:name="_Toc403391032"/>
      <w:bookmarkStart w:id="26" w:name="_Toc403391401"/>
      <w:bookmarkStart w:id="27" w:name="_Toc404353000"/>
      <w:bookmarkStart w:id="28" w:name="_Toc420756061"/>
      <w:r w:rsidRPr="00AE1BBC">
        <w:lastRenderedPageBreak/>
        <w:t>Standard asset lives</w:t>
      </w:r>
      <w:bookmarkEnd w:id="25"/>
      <w:bookmarkEnd w:id="26"/>
      <w:bookmarkEnd w:id="27"/>
      <w:bookmarkEnd w:id="28"/>
      <w:r w:rsidRPr="00AE1BBC">
        <w:t xml:space="preserve"> </w:t>
      </w:r>
    </w:p>
    <w:p w:rsidR="00AE1BBC" w:rsidRPr="00AE1BBC" w:rsidRDefault="00C52107" w:rsidP="00AE1BBC">
      <w:pPr>
        <w:numPr>
          <w:ilvl w:val="0"/>
          <w:numId w:val="25"/>
        </w:numPr>
      </w:pPr>
      <w:r w:rsidRPr="001B16E4">
        <w:t>Consistent with our draft decision</w:t>
      </w:r>
      <w:r>
        <w:t>, w</w:t>
      </w:r>
      <w:r w:rsidR="00AE1BBC" w:rsidRPr="00AE1BBC">
        <w:t xml:space="preserve">e accept JGN's </w:t>
      </w:r>
      <w:r w:rsidR="000444DC">
        <w:t>revised propos</w:t>
      </w:r>
      <w:r w:rsidR="003C102A">
        <w:t>ed</w:t>
      </w:r>
      <w:r w:rsidR="00AE1BBC" w:rsidRPr="00AE1BBC">
        <w:t xml:space="preserve"> standard asset lives for its existing asset classes, because they are:</w:t>
      </w:r>
    </w:p>
    <w:p w:rsidR="00AE1BBC" w:rsidRPr="00AE1BBC" w:rsidRDefault="00AE1BBC" w:rsidP="00AE1BBC">
      <w:pPr>
        <w:pStyle w:val="AERbulletlistfirststyle"/>
      </w:pPr>
      <w:r w:rsidRPr="00AE1BBC">
        <w:t>consistent with our approved standard asset lives for the 2010–15 regulatory control period</w:t>
      </w:r>
      <w:r w:rsidRPr="00AE1BBC">
        <w:rPr>
          <w:rStyle w:val="FootnoteReference"/>
        </w:rPr>
        <w:footnoteReference w:id="11"/>
      </w:r>
    </w:p>
    <w:p w:rsidR="00AE1BBC" w:rsidRPr="00AE1BBC" w:rsidRDefault="00AE1BBC" w:rsidP="00AE1BBC">
      <w:pPr>
        <w:pStyle w:val="AERbulletlistfirststyle"/>
      </w:pPr>
      <w:r w:rsidRPr="00AE1BBC">
        <w:t>comparable with the standard asset lives approved in our recent determinations for other gas distribution service providers.</w:t>
      </w:r>
      <w:r w:rsidRPr="00AE1BBC">
        <w:rPr>
          <w:rStyle w:val="FootnoteReference"/>
        </w:rPr>
        <w:footnoteReference w:id="12"/>
      </w:r>
    </w:p>
    <w:p w:rsidR="003C102A" w:rsidRDefault="003C102A" w:rsidP="003C102A">
      <w:pPr>
        <w:numPr>
          <w:ilvl w:val="0"/>
          <w:numId w:val="25"/>
        </w:numPr>
      </w:pPr>
      <w:r>
        <w:t xml:space="preserve">In the draft decision </w:t>
      </w:r>
      <w:r w:rsidRPr="00D639D1">
        <w:rPr>
          <w:rStyle w:val="AERbody"/>
        </w:rPr>
        <w:t>we a</w:t>
      </w:r>
      <w:r w:rsidR="009D0E4B">
        <w:rPr>
          <w:rStyle w:val="AERbody"/>
        </w:rPr>
        <w:t>ccept</w:t>
      </w:r>
      <w:r w:rsidR="0067256B">
        <w:rPr>
          <w:rStyle w:val="AERbody"/>
        </w:rPr>
        <w:t>ed</w:t>
      </w:r>
      <w:r w:rsidRPr="00D639D1">
        <w:rPr>
          <w:rStyle w:val="AERbody"/>
        </w:rPr>
        <w:t xml:space="preserve"> JGN's proposed standard asset lives assigned to each of its asset classes for the 2015–20 access arrangement</w:t>
      </w:r>
      <w:r w:rsidRPr="00620397">
        <w:t xml:space="preserve"> period</w:t>
      </w:r>
      <w:r>
        <w:t>, with the exception of the 'Vehicles' asset class. For the 'Vehicles' asset class, we did not a</w:t>
      </w:r>
      <w:r w:rsidR="009D0E4B">
        <w:t>ccept</w:t>
      </w:r>
      <w:r>
        <w:t xml:space="preserve"> JGN's proposed standard asset life of four years, and instead require</w:t>
      </w:r>
      <w:r w:rsidR="0067256B">
        <w:t>d</w:t>
      </w:r>
      <w:r>
        <w:t xml:space="preserve"> that this be set to six years.</w:t>
      </w:r>
      <w:r>
        <w:rPr>
          <w:rStyle w:val="FootnoteReference"/>
        </w:rPr>
        <w:footnoteReference w:id="13"/>
      </w:r>
    </w:p>
    <w:p w:rsidR="003C102A" w:rsidRDefault="00437CC6" w:rsidP="003C102A">
      <w:pPr>
        <w:numPr>
          <w:ilvl w:val="0"/>
          <w:numId w:val="25"/>
        </w:numPr>
      </w:pPr>
      <w:r w:rsidRPr="003C102A">
        <w:t xml:space="preserve">JGN's revised proposal adopted </w:t>
      </w:r>
      <w:r>
        <w:t>our</w:t>
      </w:r>
      <w:r w:rsidRPr="003C102A">
        <w:t xml:space="preserve"> draft decision </w:t>
      </w:r>
      <w:r>
        <w:t xml:space="preserve">approach to setting the </w:t>
      </w:r>
      <w:r w:rsidRPr="003C102A">
        <w:t>standard asset li</w:t>
      </w:r>
      <w:r>
        <w:t>fe for the 'Vehicles' asset class</w:t>
      </w:r>
      <w:r w:rsidRPr="003C102A">
        <w:t>.</w:t>
      </w:r>
      <w:r>
        <w:rPr>
          <w:rStyle w:val="FootnoteReference"/>
        </w:rPr>
        <w:footnoteReference w:id="14"/>
      </w:r>
    </w:p>
    <w:p w:rsidR="00AE1BBC" w:rsidRPr="00AE1BBC" w:rsidRDefault="0073119F" w:rsidP="00AE1BBC">
      <w:pPr>
        <w:numPr>
          <w:ilvl w:val="0"/>
          <w:numId w:val="25"/>
        </w:numPr>
      </w:pPr>
      <w:r>
        <w:t>W</w:t>
      </w:r>
      <w:r w:rsidR="00AE1BBC" w:rsidRPr="00AE1BBC">
        <w:t xml:space="preserve">e are satisfied the </w:t>
      </w:r>
      <w:r w:rsidR="003C102A">
        <w:t xml:space="preserve">revised </w:t>
      </w:r>
      <w:r w:rsidR="00AE1BBC" w:rsidRPr="00AE1BBC">
        <w:t xml:space="preserve">proposed standard asset lives reflect the requirements of rule 89(1) of the NGR. </w:t>
      </w:r>
      <w:r w:rsidR="00AE1BBC" w:rsidRPr="00AE1BBC">
        <w:fldChar w:fldCharType="begin"/>
      </w:r>
      <w:r w:rsidR="00AE1BBC" w:rsidRPr="00AE1BBC">
        <w:instrText xml:space="preserve"> REF _Ref398283146 \h </w:instrText>
      </w:r>
      <w:r w:rsidR="00AE1BBC" w:rsidRPr="00AE1BBC">
        <w:fldChar w:fldCharType="separate"/>
      </w:r>
      <w:r w:rsidR="00F158FE" w:rsidRPr="00AE1BBC">
        <w:t xml:space="preserve">Table </w:t>
      </w:r>
      <w:r w:rsidR="00F158FE">
        <w:rPr>
          <w:noProof/>
        </w:rPr>
        <w:t>5</w:t>
      </w:r>
      <w:r w:rsidR="00F158FE" w:rsidRPr="00AE1BBC">
        <w:noBreakHyphen/>
      </w:r>
      <w:r w:rsidR="00F158FE">
        <w:rPr>
          <w:noProof/>
        </w:rPr>
        <w:t>4</w:t>
      </w:r>
      <w:r w:rsidR="00AE1BBC" w:rsidRPr="00AE1BBC">
        <w:fldChar w:fldCharType="end"/>
      </w:r>
      <w:r w:rsidR="00AE1BBC" w:rsidRPr="00AE1BBC">
        <w:t xml:space="preserve"> sets out our </w:t>
      </w:r>
      <w:r w:rsidR="00257A68">
        <w:t>final</w:t>
      </w:r>
      <w:r w:rsidR="00AE1BBC" w:rsidRPr="00AE1BBC">
        <w:t xml:space="preserve"> decision on the standard asset lives</w:t>
      </w:r>
      <w:r w:rsidR="00AE1BBC" w:rsidRPr="00AE1BBC">
        <w:rPr>
          <w:rStyle w:val="AERbody"/>
        </w:rPr>
        <w:t xml:space="preserve"> for JGN</w:t>
      </w:r>
      <w:r w:rsidR="00AE1BBC" w:rsidRPr="00AE1BBC">
        <w:t>.</w:t>
      </w:r>
    </w:p>
    <w:p w:rsidR="00AE1BBC" w:rsidRPr="00AE1BBC" w:rsidRDefault="00AE1BBC" w:rsidP="00AE1BBC">
      <w:pPr>
        <w:pStyle w:val="Heading3"/>
      </w:pPr>
      <w:bookmarkStart w:id="29" w:name="_Toc403391033"/>
      <w:bookmarkStart w:id="30" w:name="_Toc403391402"/>
      <w:bookmarkStart w:id="31" w:name="_Toc404353001"/>
      <w:bookmarkStart w:id="32" w:name="_Toc420756062"/>
      <w:r w:rsidRPr="00AE1BBC">
        <w:t>Remaining asset lives</w:t>
      </w:r>
      <w:bookmarkEnd w:id="29"/>
      <w:bookmarkEnd w:id="30"/>
      <w:bookmarkEnd w:id="31"/>
      <w:bookmarkEnd w:id="32"/>
    </w:p>
    <w:p w:rsidR="00F470BE" w:rsidRDefault="00AE1BBC" w:rsidP="00AE1BBC">
      <w:pPr>
        <w:numPr>
          <w:ilvl w:val="0"/>
          <w:numId w:val="25"/>
        </w:numPr>
      </w:pPr>
      <w:r w:rsidRPr="00AE1BBC">
        <w:t>We a</w:t>
      </w:r>
      <w:r w:rsidR="009D0E4B">
        <w:t>ccept</w:t>
      </w:r>
      <w:r w:rsidRPr="00AE1BBC">
        <w:t xml:space="preserve"> </w:t>
      </w:r>
      <w:r w:rsidR="00F470BE" w:rsidRPr="00F470BE">
        <w:t xml:space="preserve">JGN’s </w:t>
      </w:r>
      <w:r w:rsidR="00F470BE">
        <w:t>revised propos</w:t>
      </w:r>
      <w:r w:rsidR="00437CC6">
        <w:t>ed</w:t>
      </w:r>
      <w:r w:rsidR="00F470BE">
        <w:t xml:space="preserve"> </w:t>
      </w:r>
      <w:r w:rsidRPr="00AE1BBC">
        <w:t>remaining asset lives</w:t>
      </w:r>
      <w:r w:rsidR="00F470BE">
        <w:t xml:space="preserve"> </w:t>
      </w:r>
      <w:r w:rsidR="00437CC6">
        <w:t>as at 1 July 2015, which reflect the updates made in the capital base roll forward as discussed in attachment</w:t>
      </w:r>
      <w:r w:rsidR="008E5031">
        <w:t> </w:t>
      </w:r>
      <w:r w:rsidR="00437CC6">
        <w:t>2</w:t>
      </w:r>
      <w:r w:rsidRPr="00AE1BBC">
        <w:t>.</w:t>
      </w:r>
      <w:r w:rsidR="00BE13DC">
        <w:rPr>
          <w:rStyle w:val="FootnoteReference"/>
        </w:rPr>
        <w:footnoteReference w:id="15"/>
      </w:r>
      <w:r w:rsidRPr="00AE1BBC">
        <w:t xml:space="preserve"> </w:t>
      </w:r>
    </w:p>
    <w:p w:rsidR="00437CC6" w:rsidRDefault="00437CC6" w:rsidP="00437CC6">
      <w:pPr>
        <w:pStyle w:val="ListParagraph"/>
        <w:numPr>
          <w:ilvl w:val="0"/>
          <w:numId w:val="25"/>
        </w:numPr>
      </w:pPr>
      <w:r w:rsidRPr="00437CC6">
        <w:t xml:space="preserve">In the draft decision, we noted that the remaining asset lives would be updated for the final decision because </w:t>
      </w:r>
      <w:r w:rsidR="00BE13DC">
        <w:t>JGN</w:t>
      </w:r>
      <w:r w:rsidRPr="00437CC6">
        <w:t xml:space="preserve">'s revised proposal would include revisions for 2013–14 actual </w:t>
      </w:r>
      <w:r w:rsidR="00BE13DC">
        <w:t xml:space="preserve">conforming </w:t>
      </w:r>
      <w:r w:rsidRPr="00437CC6">
        <w:t>capex</w:t>
      </w:r>
      <w:r w:rsidR="00823AFE" w:rsidRPr="00823AFE">
        <w:t xml:space="preserve"> </w:t>
      </w:r>
      <w:r w:rsidR="00823AFE">
        <w:t>and revised (reflecting newly available information) 2014–15 estimated capex</w:t>
      </w:r>
      <w:r w:rsidRPr="00437CC6">
        <w:t>. This is because the</w:t>
      </w:r>
      <w:r w:rsidR="00823AFE">
        <w:t xml:space="preserve">se </w:t>
      </w:r>
      <w:r w:rsidRPr="00437CC6">
        <w:t xml:space="preserve">capex values </w:t>
      </w:r>
      <w:r w:rsidR="00823AFE">
        <w:t xml:space="preserve">are used to calculate the closing capital base as at 30 June 2015, which affects the calculation of </w:t>
      </w:r>
      <w:r w:rsidR="00823AFE" w:rsidRPr="008914BF">
        <w:t xml:space="preserve">remaining </w:t>
      </w:r>
      <w:r w:rsidR="00823AFE">
        <w:t xml:space="preserve">asset </w:t>
      </w:r>
      <w:r w:rsidR="00823AFE" w:rsidRPr="008914BF">
        <w:t>lives</w:t>
      </w:r>
      <w:r w:rsidR="00823AFE">
        <w:t xml:space="preserve"> </w:t>
      </w:r>
      <w:r w:rsidR="00823AFE">
        <w:lastRenderedPageBreak/>
        <w:t>under JGN's approach</w:t>
      </w:r>
      <w:r w:rsidRPr="00437CC6">
        <w:t>. We a</w:t>
      </w:r>
      <w:r w:rsidR="00823AFE">
        <w:t>re satisfied that the updates for</w:t>
      </w:r>
      <w:r w:rsidRPr="00437CC6">
        <w:t xml:space="preserve"> the 2013–14 actual </w:t>
      </w:r>
      <w:r w:rsidR="00823AFE">
        <w:t xml:space="preserve">conforming </w:t>
      </w:r>
      <w:r w:rsidRPr="00437CC6">
        <w:t xml:space="preserve">capex </w:t>
      </w:r>
      <w:r w:rsidR="00823AFE">
        <w:t xml:space="preserve">and revised 2014–15 capex estimate </w:t>
      </w:r>
      <w:r w:rsidRPr="00437CC6">
        <w:t>have been reflected in the revised proposed remaining asset lives.</w:t>
      </w:r>
    </w:p>
    <w:p w:rsidR="00AE1BBC" w:rsidRPr="00AE1BBC" w:rsidRDefault="00437CC6" w:rsidP="00437CC6">
      <w:pPr>
        <w:numPr>
          <w:ilvl w:val="0"/>
          <w:numId w:val="25"/>
        </w:numPr>
      </w:pPr>
      <w:r>
        <w:t xml:space="preserve">Consistent with our draft decision, we note our concerns with </w:t>
      </w:r>
      <w:r w:rsidR="00823AFE">
        <w:t>JGN'</w:t>
      </w:r>
      <w:r>
        <w:t>s</w:t>
      </w:r>
      <w:r w:rsidRPr="005335F1">
        <w:t xml:space="preserve"> proposed approach</w:t>
      </w:r>
      <w:r>
        <w:rPr>
          <w:rStyle w:val="FootnoteReference"/>
        </w:rPr>
        <w:footnoteReference w:id="16"/>
      </w:r>
      <w:r w:rsidRPr="005335F1">
        <w:t xml:space="preserve"> </w:t>
      </w:r>
      <w:r>
        <w:t xml:space="preserve">to calculate the remaining asset lives which </w:t>
      </w:r>
      <w:r w:rsidRPr="005335F1">
        <w:t>differs from the AER's preferred weighted average remaining life approach.</w:t>
      </w:r>
      <w:r>
        <w:rPr>
          <w:rStyle w:val="FootnoteReference"/>
        </w:rPr>
        <w:footnoteReference w:id="17"/>
      </w:r>
      <w:r w:rsidRPr="005335F1">
        <w:t xml:space="preserve"> </w:t>
      </w:r>
      <w:r>
        <w:t xml:space="preserve">We consider </w:t>
      </w:r>
      <w:r w:rsidR="009D0E4B">
        <w:t>JGN's</w:t>
      </w:r>
      <w:r>
        <w:t xml:space="preserve"> proposed approach tends to </w:t>
      </w:r>
      <w:r w:rsidRPr="004A1E82">
        <w:t>systematically underestimate the remaining asset li</w:t>
      </w:r>
      <w:r w:rsidR="005D258E">
        <w:t>ves</w:t>
      </w:r>
      <w:r>
        <w:t>.</w:t>
      </w:r>
      <w:r w:rsidR="008C3C46">
        <w:rPr>
          <w:rStyle w:val="FootnoteReference"/>
        </w:rPr>
        <w:footnoteReference w:id="18"/>
      </w:r>
      <w:r>
        <w:t xml:space="preserve"> We note that </w:t>
      </w:r>
      <w:r w:rsidRPr="005335F1">
        <w:t xml:space="preserve">in </w:t>
      </w:r>
      <w:r w:rsidR="009D0E4B">
        <w:t>JGN</w:t>
      </w:r>
      <w:r w:rsidRPr="005335F1">
        <w:t xml:space="preserve">'s case the </w:t>
      </w:r>
      <w:r w:rsidR="000B13B9">
        <w:t>underestimation</w:t>
      </w:r>
      <w:r w:rsidRPr="005335F1">
        <w:t xml:space="preserve"> </w:t>
      </w:r>
      <w:r w:rsidR="000B13B9">
        <w:t xml:space="preserve">effect </w:t>
      </w:r>
      <w:r w:rsidRPr="005335F1">
        <w:t xml:space="preserve">of the proposed approach is </w:t>
      </w:r>
      <w:r>
        <w:t>immaterial</w:t>
      </w:r>
      <w:r w:rsidR="009D0E4B">
        <w:t>.</w:t>
      </w:r>
      <w:r w:rsidR="005D258E">
        <w:rPr>
          <w:rStyle w:val="FootnoteReference"/>
        </w:rPr>
        <w:footnoteReference w:id="19"/>
      </w:r>
      <w:r w:rsidR="009D0E4B">
        <w:t xml:space="preserve"> </w:t>
      </w:r>
      <w:r w:rsidR="00B50A94">
        <w:t xml:space="preserve">This is because there is less than 2 per cent difference between the AER's preferred approach (weighted average remaining life) and JGN's proposed approach when comparing total forecast building block revenue over the 2015–20 access arrangement period. </w:t>
      </w:r>
      <w:r w:rsidR="009A64BD">
        <w:t>However, g</w:t>
      </w:r>
      <w:r>
        <w:t xml:space="preserve">iven our concerns </w:t>
      </w:r>
      <w:r w:rsidR="000B13B9">
        <w:t xml:space="preserve">with </w:t>
      </w:r>
      <w:r w:rsidR="00B50A94">
        <w:t>JGN's</w:t>
      </w:r>
      <w:r w:rsidR="000B13B9">
        <w:t xml:space="preserve"> proposed approach, </w:t>
      </w:r>
      <w:r>
        <w:t xml:space="preserve">we will review this matter further if this approach is proposed again at the next </w:t>
      </w:r>
      <w:r w:rsidR="00823AFE">
        <w:t>access arrangement review</w:t>
      </w:r>
      <w:r>
        <w:t xml:space="preserve">. </w:t>
      </w:r>
      <w:r w:rsidR="00AE1BBC" w:rsidRPr="00AE1BBC">
        <w:fldChar w:fldCharType="begin"/>
      </w:r>
      <w:r w:rsidR="00AE1BBC" w:rsidRPr="00AE1BBC">
        <w:instrText xml:space="preserve"> REF _Ref398283146 \h </w:instrText>
      </w:r>
      <w:r w:rsidR="00AE1BBC" w:rsidRPr="00AE1BBC">
        <w:fldChar w:fldCharType="separate"/>
      </w:r>
      <w:r w:rsidR="00F158FE" w:rsidRPr="00AE1BBC">
        <w:t xml:space="preserve">Table </w:t>
      </w:r>
      <w:r w:rsidR="00F158FE">
        <w:rPr>
          <w:noProof/>
        </w:rPr>
        <w:t>5</w:t>
      </w:r>
      <w:r w:rsidR="00F158FE" w:rsidRPr="00AE1BBC">
        <w:noBreakHyphen/>
      </w:r>
      <w:r w:rsidR="00F158FE">
        <w:rPr>
          <w:noProof/>
        </w:rPr>
        <w:t>4</w:t>
      </w:r>
      <w:r w:rsidR="00AE1BBC" w:rsidRPr="00AE1BBC">
        <w:fldChar w:fldCharType="end"/>
      </w:r>
      <w:r w:rsidR="00AE1BBC" w:rsidRPr="00AE1BBC">
        <w:t xml:space="preserve"> sets out our </w:t>
      </w:r>
      <w:r w:rsidR="00257A68">
        <w:t xml:space="preserve">final </w:t>
      </w:r>
      <w:r w:rsidR="00AE1BBC" w:rsidRPr="00AE1BBC">
        <w:t xml:space="preserve">decision on the remaining asset lives </w:t>
      </w:r>
      <w:r w:rsidR="00AE1BBC" w:rsidRPr="00AE1BBC">
        <w:rPr>
          <w:rStyle w:val="AERbody"/>
        </w:rPr>
        <w:t>as at 1 July 2015 for JGN</w:t>
      </w:r>
      <w:r w:rsidR="00AE1BBC" w:rsidRPr="00AE1BBC">
        <w:t>.</w:t>
      </w:r>
    </w:p>
    <w:sectPr w:rsidR="00AE1BBC" w:rsidRPr="00AE1BBC"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36" w:rsidRPr="00290C63" w:rsidRDefault="00076436" w:rsidP="00290C63">
      <w:r>
        <w:separator/>
      </w:r>
    </w:p>
    <w:p w:rsidR="00076436" w:rsidRDefault="00076436"/>
  </w:endnote>
  <w:endnote w:type="continuationSeparator" w:id="0">
    <w:p w:rsidR="00076436" w:rsidRPr="00290C63" w:rsidRDefault="00076436" w:rsidP="00290C63">
      <w:r>
        <w:continuationSeparator/>
      </w:r>
    </w:p>
    <w:p w:rsidR="00076436" w:rsidRDefault="00076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36" w:rsidRPr="00290C63" w:rsidRDefault="0007643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76436" w:rsidRDefault="00076436"/>
  <w:p w:rsidR="00076436" w:rsidRDefault="00076436"/>
  <w:p w:rsidR="00076436" w:rsidRDefault="00076436"/>
  <w:p w:rsidR="00076436" w:rsidRDefault="00076436"/>
  <w:p w:rsidR="00076436" w:rsidRDefault="00076436"/>
  <w:p w:rsidR="00076436" w:rsidRDefault="00076436"/>
  <w:p w:rsidR="00076436" w:rsidRDefault="000764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076436" w:rsidRDefault="00076436">
        <w:pPr>
          <w:pStyle w:val="Footer"/>
        </w:pPr>
        <w:r>
          <w:fldChar w:fldCharType="begin"/>
        </w:r>
        <w:r>
          <w:instrText xml:space="preserve"> PAGE   \* MERGEFORMAT </w:instrText>
        </w:r>
        <w:r>
          <w:fldChar w:fldCharType="separate"/>
        </w:r>
        <w:r w:rsidR="00F158FE">
          <w:rPr>
            <w:noProof/>
          </w:rPr>
          <w:t>5-12</w:t>
        </w:r>
        <w:r>
          <w:rPr>
            <w:noProof/>
          </w:rPr>
          <w:fldChar w:fldCharType="end"/>
        </w:r>
        <w:r>
          <w:rPr>
            <w:noProof/>
          </w:rPr>
          <w:t xml:space="preserve">      </w:t>
        </w:r>
        <w:r>
          <w:t xml:space="preserve">         </w:t>
        </w:r>
        <w:r>
          <w:tab/>
          <w:t xml:space="preserve">                       5 </w:t>
        </w:r>
        <w:r>
          <w:rPr>
            <w:rFonts w:cs="Gautami"/>
            <w:noProof/>
          </w:rPr>
          <w:t>–</w:t>
        </w:r>
        <w:r>
          <w:t xml:space="preserve"> Regulatory depreciation</w:t>
        </w:r>
        <w:r>
          <w:rPr>
            <w:rFonts w:cs="Gautami"/>
            <w:noProof/>
          </w:rPr>
          <w:t xml:space="preserve"> | </w:t>
        </w:r>
        <w:r>
          <w:t>Final decision: Jemena Gas Networks</w:t>
        </w:r>
        <w:r>
          <w:rPr>
            <w:rFonts w:cs="Gautami"/>
            <w:noProof/>
          </w:rPr>
          <w:t xml:space="preserve"> 2015–20</w:t>
        </w:r>
      </w:p>
    </w:sdtContent>
  </w:sdt>
  <w:p w:rsidR="00076436" w:rsidRDefault="000764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36" w:rsidRPr="00290C63" w:rsidRDefault="0007643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76436" w:rsidRDefault="00076436">
    <w:pPr>
      <w:pStyle w:val="Footer"/>
    </w:pPr>
  </w:p>
  <w:p w:rsidR="00076436" w:rsidRDefault="00076436"/>
  <w:p w:rsidR="00076436" w:rsidRDefault="00076436"/>
  <w:p w:rsidR="00076436" w:rsidRDefault="00076436"/>
  <w:p w:rsidR="00076436" w:rsidRDefault="00076436"/>
  <w:p w:rsidR="00076436" w:rsidRDefault="00076436"/>
  <w:p w:rsidR="00076436" w:rsidRDefault="00076436"/>
  <w:p w:rsidR="00076436" w:rsidRDefault="00076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36" w:rsidRPr="00290C63" w:rsidRDefault="00076436" w:rsidP="00290C63">
      <w:r>
        <w:separator/>
      </w:r>
    </w:p>
    <w:p w:rsidR="00076436" w:rsidRDefault="00076436"/>
  </w:footnote>
  <w:footnote w:type="continuationSeparator" w:id="0">
    <w:p w:rsidR="00076436" w:rsidRPr="00290C63" w:rsidRDefault="00076436" w:rsidP="00290C63">
      <w:r>
        <w:continuationSeparator/>
      </w:r>
    </w:p>
    <w:p w:rsidR="00076436" w:rsidRDefault="00076436"/>
  </w:footnote>
  <w:footnote w:id="1">
    <w:p w:rsidR="00076436" w:rsidRDefault="00076436" w:rsidP="008F0CF0">
      <w:pPr>
        <w:pStyle w:val="FootnoteText"/>
      </w:pPr>
      <w:r>
        <w:rPr>
          <w:rStyle w:val="FootnoteReference"/>
        </w:rPr>
        <w:footnoteRef/>
      </w:r>
      <w:r>
        <w:t xml:space="preserve"> </w:t>
      </w:r>
      <w:r>
        <w:tab/>
        <w:t>NGR, r. 76(b).</w:t>
      </w:r>
    </w:p>
  </w:footnote>
  <w:footnote w:id="2">
    <w:p w:rsidR="00076436" w:rsidRDefault="00076436" w:rsidP="008F0CF0">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076436" w:rsidRDefault="00076436" w:rsidP="008F0CF0">
      <w:pPr>
        <w:pStyle w:val="FootnoteText"/>
      </w:pPr>
      <w:r>
        <w:rPr>
          <w:rStyle w:val="FootnoteReference"/>
        </w:rPr>
        <w:footnoteRef/>
      </w:r>
      <w:r>
        <w:t xml:space="preserve"> </w:t>
      </w:r>
      <w:r>
        <w:tab/>
        <w:t xml:space="preserve">The term 'standard asset life' is also referred to as </w:t>
      </w:r>
      <w:r w:rsidRPr="003B3083">
        <w:t xml:space="preserve">'standard </w:t>
      </w:r>
      <w:r>
        <w:t xml:space="preserve">economic </w:t>
      </w:r>
      <w:r w:rsidRPr="003B3083">
        <w:t>life'</w:t>
      </w:r>
      <w:r w:rsidR="00DB09F7">
        <w:t xml:space="preserve"> or </w:t>
      </w:r>
      <w:r>
        <w:t>'economic asset life'.</w:t>
      </w:r>
    </w:p>
  </w:footnote>
  <w:footnote w:id="4">
    <w:p w:rsidR="00076436" w:rsidRDefault="00076436" w:rsidP="008F0CF0">
      <w:pPr>
        <w:pStyle w:val="FootnoteText"/>
      </w:pPr>
      <w:r>
        <w:rPr>
          <w:rStyle w:val="FootnoteReference"/>
        </w:rPr>
        <w:footnoteRef/>
      </w:r>
      <w:r>
        <w:t xml:space="preserve"> </w:t>
      </w:r>
      <w:r>
        <w:tab/>
        <w:t xml:space="preserve">The term 'remaining asset life' is also referred to as 'remaining economic life' or 'remaining life'. </w:t>
      </w:r>
    </w:p>
  </w:footnote>
  <w:footnote w:id="5">
    <w:p w:rsidR="00076436" w:rsidRDefault="00076436">
      <w:pPr>
        <w:pStyle w:val="FootnoteText"/>
      </w:pPr>
      <w:r>
        <w:rPr>
          <w:rStyle w:val="FootnoteReference"/>
        </w:rPr>
        <w:footnoteRef/>
      </w:r>
      <w:r>
        <w:t xml:space="preserve"> </w:t>
      </w:r>
      <w:r>
        <w:tab/>
        <w:t>NGR, rr. 64(1) &amp; (5).</w:t>
      </w:r>
    </w:p>
  </w:footnote>
  <w:footnote w:id="6">
    <w:p w:rsidR="00076436" w:rsidRDefault="00076436">
      <w:pPr>
        <w:pStyle w:val="FootnoteText"/>
      </w:pPr>
      <w:r>
        <w:rPr>
          <w:rStyle w:val="FootnoteReference"/>
        </w:rPr>
        <w:footnoteRef/>
      </w:r>
      <w:r>
        <w:t xml:space="preserve"> </w:t>
      </w:r>
      <w:r>
        <w:tab/>
        <w:t xml:space="preserve">JGN updated its proposed regulatory depreciation </w:t>
      </w:r>
      <w:r w:rsidRPr="00E52A6F">
        <w:t xml:space="preserve">after the submission of its revised proposal. JGN, </w:t>
      </w:r>
      <w:r w:rsidRPr="005F5101">
        <w:rPr>
          <w:rStyle w:val="AERtextitalic"/>
        </w:rPr>
        <w:t>Submissions on draft decision, Attachment N -</w:t>
      </w:r>
      <w:r w:rsidRPr="00E52A6F">
        <w:rPr>
          <w:rStyle w:val="AERtextitalic"/>
        </w:rPr>
        <w:t xml:space="preserve"> updated appendix 10.</w:t>
      </w:r>
      <w:r>
        <w:rPr>
          <w:rStyle w:val="AERtextitalic"/>
        </w:rPr>
        <w:t>1 - JGN revenue forecast model</w:t>
      </w:r>
      <w:r w:rsidRPr="00E52A6F">
        <w:t>, 27 March 2015.</w:t>
      </w:r>
    </w:p>
  </w:footnote>
  <w:footnote w:id="7">
    <w:p w:rsidR="00076436" w:rsidRDefault="00076436">
      <w:pPr>
        <w:pStyle w:val="FootnoteText"/>
      </w:pPr>
      <w:r>
        <w:rPr>
          <w:rStyle w:val="FootnoteReference"/>
        </w:rPr>
        <w:footnoteRef/>
      </w:r>
      <w:r>
        <w:t xml:space="preserve"> </w:t>
      </w:r>
      <w:r>
        <w:tab/>
      </w:r>
      <w:r w:rsidRPr="00855803">
        <w:t xml:space="preserve">JGN updated its proposed </w:t>
      </w:r>
      <w:r>
        <w:t xml:space="preserve">remaining asset lives </w:t>
      </w:r>
      <w:r w:rsidRPr="00855803">
        <w:t xml:space="preserve">after the submission of its revised proposal. JGN, </w:t>
      </w:r>
      <w:r w:rsidRPr="005F5101">
        <w:rPr>
          <w:rStyle w:val="AERtextitalic"/>
        </w:rPr>
        <w:t>Submissions on draft decision, Attachment N - updated appendix 10.1 - JGN revenue foreca</w:t>
      </w:r>
      <w:r>
        <w:rPr>
          <w:rStyle w:val="AERtextitalic"/>
        </w:rPr>
        <w:t>st model</w:t>
      </w:r>
      <w:r w:rsidRPr="00855803">
        <w:t>, 27 March 2015.</w:t>
      </w:r>
    </w:p>
  </w:footnote>
  <w:footnote w:id="8">
    <w:p w:rsidR="00076436" w:rsidRDefault="00076436" w:rsidP="00860601">
      <w:pPr>
        <w:pStyle w:val="FootnoteText"/>
      </w:pPr>
      <w:r>
        <w:rPr>
          <w:rStyle w:val="FootnoteReference"/>
        </w:rPr>
        <w:footnoteRef/>
      </w:r>
      <w:r>
        <w:t xml:space="preserve"> </w:t>
      </w:r>
      <w:r>
        <w:tab/>
        <w:t xml:space="preserve">AER, </w:t>
      </w:r>
      <w:r w:rsidRPr="005C78F1">
        <w:rPr>
          <w:rStyle w:val="AERtextitalic"/>
        </w:rPr>
        <w:t>Draft decisio</w:t>
      </w:r>
      <w:r>
        <w:rPr>
          <w:rStyle w:val="AERtextitalic"/>
        </w:rPr>
        <w:t>n,</w:t>
      </w:r>
      <w:r w:rsidRPr="005C78F1">
        <w:rPr>
          <w:rStyle w:val="AERtextitalic"/>
        </w:rPr>
        <w:t xml:space="preserve"> attachment 2</w:t>
      </w:r>
      <w:r>
        <w:t>, November 2014, pp. 15–17.</w:t>
      </w:r>
    </w:p>
  </w:footnote>
  <w:footnote w:id="9">
    <w:p w:rsidR="00076436" w:rsidRDefault="00076436" w:rsidP="00AE1BBC">
      <w:pPr>
        <w:pStyle w:val="FootnoteText"/>
      </w:pPr>
      <w:r>
        <w:rPr>
          <w:rStyle w:val="FootnoteReference"/>
        </w:rPr>
        <w:footnoteRef/>
      </w:r>
      <w:r>
        <w:t xml:space="preserve"> </w:t>
      </w:r>
      <w:r>
        <w:tab/>
        <w:t xml:space="preserve">We have accepted JGN's proposed standard asset life for the 'Equity raising costs' asset class because there is no forecast capex allocated to this asset class and so it has no impact on total revenue. </w:t>
      </w:r>
    </w:p>
  </w:footnote>
  <w:footnote w:id="10">
    <w:p w:rsidR="00076436" w:rsidRDefault="00076436" w:rsidP="00AE1BBC">
      <w:pPr>
        <w:pStyle w:val="FootnoteText"/>
      </w:pPr>
      <w:r>
        <w:rPr>
          <w:rStyle w:val="FootnoteReference"/>
        </w:rPr>
        <w:footnoteRef/>
      </w:r>
      <w:r>
        <w:t xml:space="preserve"> </w:t>
      </w:r>
      <w:r>
        <w:tab/>
        <w:t>The updated inputs include 2014–15 actual CPI, 2013–14 actual conforming capex and 2014–15 revised capex estimate.</w:t>
      </w:r>
      <w:r>
        <w:tab/>
      </w:r>
    </w:p>
  </w:footnote>
  <w:footnote w:id="11">
    <w:p w:rsidR="00076436" w:rsidRDefault="00076436" w:rsidP="00AE1BBC">
      <w:pPr>
        <w:pStyle w:val="FootnoteText"/>
      </w:pPr>
      <w:r>
        <w:rPr>
          <w:rStyle w:val="FootnoteReference"/>
        </w:rPr>
        <w:footnoteRef/>
      </w:r>
      <w:r>
        <w:t xml:space="preserve"> </w:t>
      </w:r>
      <w:r>
        <w:tab/>
        <w:t>For the 'Equity raising costs' asset class, JGN's proposed standard asset life reflects the weighted average standard asset</w:t>
      </w:r>
      <w:r w:rsidRPr="003B3083">
        <w:t xml:space="preserve"> </w:t>
      </w:r>
      <w:r>
        <w:t xml:space="preserve">life of the opening capital base at the time of the 2010 access arrangement decision. Since there is no forecast capex allocated to this asset class, the standard asset life has no impact on total revenue and so </w:t>
      </w:r>
      <w:r w:rsidRPr="00CB6043">
        <w:t xml:space="preserve">we have </w:t>
      </w:r>
      <w:r>
        <w:t>accepted the JGN proposal</w:t>
      </w:r>
      <w:r w:rsidRPr="00CB6043">
        <w:t xml:space="preserve">. </w:t>
      </w:r>
      <w:r>
        <w:t xml:space="preserve">The forecast of equity raising costs is dependent on complex interactions between many other aspects of the decision, and JGN adopts the standard AER approach to modelling the requirement for equity raising costs (if any). </w:t>
      </w:r>
    </w:p>
  </w:footnote>
  <w:footnote w:id="12">
    <w:p w:rsidR="00076436" w:rsidRDefault="00076436" w:rsidP="00AE1BBC">
      <w:pPr>
        <w:pStyle w:val="FootnoteText"/>
      </w:pPr>
      <w:r>
        <w:rPr>
          <w:rStyle w:val="FootnoteReference"/>
        </w:rPr>
        <w:footnoteRef/>
      </w:r>
      <w:r>
        <w:t xml:space="preserve"> </w:t>
      </w:r>
      <w:r>
        <w:tab/>
        <w:t xml:space="preserve">AER, </w:t>
      </w:r>
      <w:r>
        <w:rPr>
          <w:rStyle w:val="AERtextitalic"/>
          <w:rFonts w:eastAsia="Calibri"/>
        </w:rPr>
        <w:t>Draft</w:t>
      </w:r>
      <w:r w:rsidRPr="00D014D9">
        <w:rPr>
          <w:rStyle w:val="AERtextitalic"/>
          <w:rFonts w:eastAsia="Calibri"/>
        </w:rPr>
        <w:t xml:space="preserve"> decision: Envestra (Victoria) access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158</w:t>
      </w:r>
      <w:r w:rsidRPr="00D014D9">
        <w:rPr>
          <w:rFonts w:eastAsia="Calibri"/>
        </w:rPr>
        <w:t xml:space="preserve">; AER, </w:t>
      </w:r>
      <w:r>
        <w:rPr>
          <w:rStyle w:val="AERtextitalic"/>
          <w:rFonts w:eastAsia="Calibri"/>
        </w:rPr>
        <w:t>Draft</w:t>
      </w:r>
      <w:r w:rsidRPr="00D014D9">
        <w:rPr>
          <w:rStyle w:val="AERtextitalic"/>
          <w:rFonts w:eastAsia="Calibri"/>
        </w:rPr>
        <w:t xml:space="preserve"> decision: AusNet (SP AusNet)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Multi</w:t>
      </w:r>
      <w:r>
        <w:rPr>
          <w:rStyle w:val="AERtextitalic"/>
          <w:rFonts w:eastAsia="Calibri"/>
        </w:rPr>
        <w:t>n</w:t>
      </w:r>
      <w:r w:rsidRPr="00D014D9">
        <w:rPr>
          <w:rStyle w:val="AERtextitalic"/>
          <w:rFonts w:eastAsia="Calibri"/>
        </w:rPr>
        <w:t>et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6</w:t>
      </w:r>
      <w:r w:rsidRPr="00D014D9">
        <w:rPr>
          <w:rFonts w:eastAsia="Calibri"/>
        </w:rPr>
        <w:t>.</w:t>
      </w:r>
    </w:p>
  </w:footnote>
  <w:footnote w:id="13">
    <w:p w:rsidR="00076436" w:rsidRDefault="00076436">
      <w:pPr>
        <w:pStyle w:val="FootnoteText"/>
      </w:pPr>
      <w:r>
        <w:rPr>
          <w:rStyle w:val="FootnoteReference"/>
        </w:rPr>
        <w:footnoteRef/>
      </w:r>
      <w:r>
        <w:t xml:space="preserve"> </w:t>
      </w:r>
      <w:r>
        <w:tab/>
        <w:t xml:space="preserve">AER, </w:t>
      </w:r>
      <w:r w:rsidRPr="00631137">
        <w:rPr>
          <w:rStyle w:val="AERtextitalic"/>
        </w:rPr>
        <w:t>Draft decision</w:t>
      </w:r>
      <w:r>
        <w:rPr>
          <w:rStyle w:val="AERtextitalic"/>
        </w:rPr>
        <w:t>, attachment 5,</w:t>
      </w:r>
      <w:r>
        <w:t xml:space="preserve"> November 2014, pp. 21–23. </w:t>
      </w:r>
    </w:p>
  </w:footnote>
  <w:footnote w:id="14">
    <w:p w:rsidR="00076436" w:rsidRDefault="00076436">
      <w:pPr>
        <w:pStyle w:val="FootnoteText"/>
      </w:pPr>
      <w:r>
        <w:rPr>
          <w:rStyle w:val="FootnoteReference"/>
        </w:rPr>
        <w:footnoteRef/>
      </w:r>
      <w:r>
        <w:t xml:space="preserve"> </w:t>
      </w:r>
      <w:r>
        <w:tab/>
        <w:t xml:space="preserve">JGN, </w:t>
      </w:r>
      <w:r w:rsidRPr="008E5031">
        <w:rPr>
          <w:rStyle w:val="AERtextitalic"/>
        </w:rPr>
        <w:t xml:space="preserve">Response to the </w:t>
      </w:r>
      <w:r>
        <w:rPr>
          <w:rStyle w:val="AERtextitalic"/>
        </w:rPr>
        <w:t xml:space="preserve">AER's </w:t>
      </w:r>
      <w:r w:rsidRPr="008E5031">
        <w:rPr>
          <w:rStyle w:val="AERtextitalic"/>
        </w:rPr>
        <w:t>draft decision</w:t>
      </w:r>
      <w:r>
        <w:rPr>
          <w:rStyle w:val="AERtextitalic"/>
        </w:rPr>
        <w:t xml:space="preserve"> and revised proposal</w:t>
      </w:r>
      <w:r>
        <w:t>, 27 February 2015, p. 94.</w:t>
      </w:r>
    </w:p>
  </w:footnote>
  <w:footnote w:id="15">
    <w:p w:rsidR="00076436" w:rsidRDefault="00076436">
      <w:pPr>
        <w:pStyle w:val="FootnoteText"/>
      </w:pPr>
      <w:r>
        <w:rPr>
          <w:rStyle w:val="FootnoteReference"/>
        </w:rPr>
        <w:footnoteRef/>
      </w:r>
      <w:r>
        <w:t xml:space="preserve"> </w:t>
      </w:r>
      <w:r>
        <w:tab/>
        <w:t>The updated inputs include 2014–15 actual CPI, 2013–14 actual conforming capex and 2014–15 revised capex estimate.</w:t>
      </w:r>
    </w:p>
  </w:footnote>
  <w:footnote w:id="16">
    <w:p w:rsidR="00076436" w:rsidRDefault="00076436" w:rsidP="00437CC6">
      <w:pPr>
        <w:pStyle w:val="FootnoteText"/>
      </w:pPr>
      <w:r>
        <w:rPr>
          <w:rStyle w:val="FootnoteReference"/>
        </w:rPr>
        <w:footnoteRef/>
      </w:r>
      <w:r>
        <w:t xml:space="preserve"> </w:t>
      </w:r>
      <w:r>
        <w:tab/>
        <w:t>JGN</w:t>
      </w:r>
      <w:r w:rsidRPr="005335F1">
        <w:t xml:space="preserve">'s approach uses </w:t>
      </w:r>
      <w:r>
        <w:t xml:space="preserve">depreciation from the final year of the 2010–15 access arrangement period </w:t>
      </w:r>
      <w:r w:rsidRPr="005335F1">
        <w:t>to determine the remaining asset lives</w:t>
      </w:r>
      <w:r>
        <w:t>. In brief, the remaining asset value at 1 July 2015 is divided by the forecast depreciation for 2014–15, with additional calculations to account for end-of-period capex adjustments.</w:t>
      </w:r>
    </w:p>
  </w:footnote>
  <w:footnote w:id="17">
    <w:p w:rsidR="00076436" w:rsidRDefault="00076436" w:rsidP="00437CC6">
      <w:pPr>
        <w:pStyle w:val="FootnoteText"/>
      </w:pPr>
      <w:r>
        <w:rPr>
          <w:rStyle w:val="FootnoteReference"/>
        </w:rPr>
        <w:footnoteRef/>
      </w:r>
      <w:r>
        <w:t xml:space="preserve"> </w:t>
      </w:r>
      <w:r>
        <w:tab/>
        <w:t xml:space="preserve">The AER's approach </w:t>
      </w:r>
      <w:r w:rsidRPr="001D2869">
        <w:t>rolls forward the remaining asset life for an asset class from the beginning of the 20</w:t>
      </w:r>
      <w:r>
        <w:t>10</w:t>
      </w:r>
      <w:r w:rsidRPr="001D2869">
        <w:t>–1</w:t>
      </w:r>
      <w:r>
        <w:t>5</w:t>
      </w:r>
      <w:r w:rsidRPr="001D2869">
        <w:t xml:space="preserve"> </w:t>
      </w:r>
      <w:r>
        <w:t>access arrangement</w:t>
      </w:r>
      <w:r w:rsidRPr="001D2869">
        <w:t xml:space="preserve"> period. </w:t>
      </w:r>
      <w:r>
        <w:t>We consider this approach b</w:t>
      </w:r>
      <w:r w:rsidRPr="001D2869">
        <w:t>etter reflects the mix of assets within that asset class, when they were acquired over that period (or if they were existing assets), and the remaining value of those assets (used as a weight) at the end of the period.</w:t>
      </w:r>
    </w:p>
  </w:footnote>
  <w:footnote w:id="18">
    <w:p w:rsidR="00076436" w:rsidRDefault="00076436">
      <w:pPr>
        <w:pStyle w:val="FootnoteText"/>
      </w:pPr>
      <w:r>
        <w:rPr>
          <w:rStyle w:val="FootnoteReference"/>
        </w:rPr>
        <w:footnoteRef/>
      </w:r>
      <w:r>
        <w:t xml:space="preserve"> </w:t>
      </w:r>
      <w:r w:rsidRPr="008C3C46">
        <w:tab/>
        <w:t>The detail</w:t>
      </w:r>
      <w:r>
        <w:t xml:space="preserve">s </w:t>
      </w:r>
      <w:r w:rsidRPr="008C3C46">
        <w:t xml:space="preserve">of our </w:t>
      </w:r>
      <w:r>
        <w:t>assessment</w:t>
      </w:r>
      <w:r w:rsidRPr="008C3C46">
        <w:t xml:space="preserve"> are set out in AER, </w:t>
      </w:r>
      <w:r w:rsidRPr="008C3C46">
        <w:rPr>
          <w:rStyle w:val="AERtextitalic"/>
        </w:rPr>
        <w:t xml:space="preserve">Draft decision, attachment 5, </w:t>
      </w:r>
      <w:r w:rsidRPr="008C3C46">
        <w:t>November 2014, pp. 23</w:t>
      </w:r>
      <w:r>
        <w:t>–</w:t>
      </w:r>
      <w:r w:rsidRPr="008C3C46">
        <w:t>28.</w:t>
      </w:r>
    </w:p>
  </w:footnote>
  <w:footnote w:id="19">
    <w:p w:rsidR="00076436" w:rsidRDefault="00076436">
      <w:pPr>
        <w:pStyle w:val="FootnoteText"/>
      </w:pPr>
      <w:r>
        <w:rPr>
          <w:rStyle w:val="FootnoteReference"/>
        </w:rPr>
        <w:footnoteRef/>
      </w:r>
      <w:r>
        <w:t xml:space="preserve"> </w:t>
      </w:r>
      <w:r>
        <w:tab/>
        <w:t>We did not accept a similar depreciation approach proposed by SA Power Network because the revenue difference is large. See</w:t>
      </w:r>
      <w:r w:rsidR="00DB09F7">
        <w:t xml:space="preserve"> </w:t>
      </w:r>
      <w:r>
        <w:t xml:space="preserve">AER, </w:t>
      </w:r>
      <w:r w:rsidRPr="00DB09F7">
        <w:rPr>
          <w:rStyle w:val="AERtextitalic"/>
        </w:rPr>
        <w:t>Preliminary decision on SA Power Networks determination 2015−16 to 2019−20, attachment 5,</w:t>
      </w:r>
      <w:r>
        <w:t xml:space="preserve"> April 2015, pp. 11–18.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5694E200"/>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AC6DD7"/>
    <w:multiLevelType w:val="multilevel"/>
    <w:tmpl w:val="950A1C52"/>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pfWSdyXly1v6Gzmz4Mx7T0Z2MRPLkDCCCvBVkXwzw8=" w:saltValue="PRALZzHSTAMs35y/eSalJw==" w:algorithmName="SHA-256"/>
  <w:defaultTabStop w:val="34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5 - Regulatory depreciation - June 2015.docx"/>
  </w:docVars>
  <w:rsids>
    <w:rsidRoot w:val="00961A4A"/>
    <w:rsid w:val="00017E2D"/>
    <w:rsid w:val="00021202"/>
    <w:rsid w:val="0002517F"/>
    <w:rsid w:val="0003578C"/>
    <w:rsid w:val="000444DC"/>
    <w:rsid w:val="00062744"/>
    <w:rsid w:val="00063247"/>
    <w:rsid w:val="00070F9F"/>
    <w:rsid w:val="0007137B"/>
    <w:rsid w:val="00076436"/>
    <w:rsid w:val="00085663"/>
    <w:rsid w:val="00085EBF"/>
    <w:rsid w:val="000A3020"/>
    <w:rsid w:val="000A6C7B"/>
    <w:rsid w:val="000B13B9"/>
    <w:rsid w:val="000D122C"/>
    <w:rsid w:val="000E1819"/>
    <w:rsid w:val="000E4821"/>
    <w:rsid w:val="000E6C72"/>
    <w:rsid w:val="00111D39"/>
    <w:rsid w:val="00116EB2"/>
    <w:rsid w:val="00124609"/>
    <w:rsid w:val="00126A4C"/>
    <w:rsid w:val="001350A6"/>
    <w:rsid w:val="0014573B"/>
    <w:rsid w:val="00147261"/>
    <w:rsid w:val="00154603"/>
    <w:rsid w:val="001573E4"/>
    <w:rsid w:val="00160756"/>
    <w:rsid w:val="0017232E"/>
    <w:rsid w:val="00174102"/>
    <w:rsid w:val="00180157"/>
    <w:rsid w:val="00185CB9"/>
    <w:rsid w:val="00186F77"/>
    <w:rsid w:val="001926A4"/>
    <w:rsid w:val="00192AD5"/>
    <w:rsid w:val="001B45A0"/>
    <w:rsid w:val="001D055E"/>
    <w:rsid w:val="001F492E"/>
    <w:rsid w:val="001F6DA3"/>
    <w:rsid w:val="002010BC"/>
    <w:rsid w:val="00202E03"/>
    <w:rsid w:val="0020492C"/>
    <w:rsid w:val="00221B42"/>
    <w:rsid w:val="00224DB9"/>
    <w:rsid w:val="00233775"/>
    <w:rsid w:val="00237827"/>
    <w:rsid w:val="00237AE5"/>
    <w:rsid w:val="00251745"/>
    <w:rsid w:val="00257A68"/>
    <w:rsid w:val="00263AC0"/>
    <w:rsid w:val="00264264"/>
    <w:rsid w:val="0026772D"/>
    <w:rsid w:val="0027373D"/>
    <w:rsid w:val="00286874"/>
    <w:rsid w:val="00290C63"/>
    <w:rsid w:val="00296B65"/>
    <w:rsid w:val="002A7DEF"/>
    <w:rsid w:val="002E7B22"/>
    <w:rsid w:val="002F7986"/>
    <w:rsid w:val="00301B40"/>
    <w:rsid w:val="003029EE"/>
    <w:rsid w:val="00305CC8"/>
    <w:rsid w:val="00307F6D"/>
    <w:rsid w:val="003177A2"/>
    <w:rsid w:val="00321213"/>
    <w:rsid w:val="003271B5"/>
    <w:rsid w:val="00327A1E"/>
    <w:rsid w:val="00331264"/>
    <w:rsid w:val="00334C8D"/>
    <w:rsid w:val="00343A18"/>
    <w:rsid w:val="003518B3"/>
    <w:rsid w:val="00355421"/>
    <w:rsid w:val="00355EF4"/>
    <w:rsid w:val="003846F1"/>
    <w:rsid w:val="003B484F"/>
    <w:rsid w:val="003C102A"/>
    <w:rsid w:val="003F174D"/>
    <w:rsid w:val="00423954"/>
    <w:rsid w:val="00437CC6"/>
    <w:rsid w:val="004448C2"/>
    <w:rsid w:val="004574DE"/>
    <w:rsid w:val="0045777E"/>
    <w:rsid w:val="0047057C"/>
    <w:rsid w:val="00480B4B"/>
    <w:rsid w:val="00485DC4"/>
    <w:rsid w:val="004A43D1"/>
    <w:rsid w:val="004B4412"/>
    <w:rsid w:val="004C348C"/>
    <w:rsid w:val="004D55BA"/>
    <w:rsid w:val="004E22EC"/>
    <w:rsid w:val="00520B7F"/>
    <w:rsid w:val="005275E3"/>
    <w:rsid w:val="00530128"/>
    <w:rsid w:val="00532467"/>
    <w:rsid w:val="00564A4D"/>
    <w:rsid w:val="00567BA5"/>
    <w:rsid w:val="00571B35"/>
    <w:rsid w:val="00571D57"/>
    <w:rsid w:val="00572133"/>
    <w:rsid w:val="00577A09"/>
    <w:rsid w:val="005829C2"/>
    <w:rsid w:val="00584D8F"/>
    <w:rsid w:val="005A404D"/>
    <w:rsid w:val="005A5F85"/>
    <w:rsid w:val="005B1E3C"/>
    <w:rsid w:val="005C26CC"/>
    <w:rsid w:val="005D258E"/>
    <w:rsid w:val="005D7BA2"/>
    <w:rsid w:val="005E36C2"/>
    <w:rsid w:val="005F5101"/>
    <w:rsid w:val="00615C6B"/>
    <w:rsid w:val="00621DCE"/>
    <w:rsid w:val="00624B0A"/>
    <w:rsid w:val="00631137"/>
    <w:rsid w:val="00632D6D"/>
    <w:rsid w:val="00642C3E"/>
    <w:rsid w:val="0066104A"/>
    <w:rsid w:val="00663DAD"/>
    <w:rsid w:val="00666758"/>
    <w:rsid w:val="0067256B"/>
    <w:rsid w:val="00675E20"/>
    <w:rsid w:val="00676679"/>
    <w:rsid w:val="00683C89"/>
    <w:rsid w:val="00693302"/>
    <w:rsid w:val="006B2395"/>
    <w:rsid w:val="006B4CF9"/>
    <w:rsid w:val="006B7AC8"/>
    <w:rsid w:val="006D5076"/>
    <w:rsid w:val="006D550F"/>
    <w:rsid w:val="006E1ABD"/>
    <w:rsid w:val="006F3A54"/>
    <w:rsid w:val="00701CAB"/>
    <w:rsid w:val="00707563"/>
    <w:rsid w:val="00716468"/>
    <w:rsid w:val="0072348C"/>
    <w:rsid w:val="00724A37"/>
    <w:rsid w:val="007303C3"/>
    <w:rsid w:val="0073119F"/>
    <w:rsid w:val="007429BE"/>
    <w:rsid w:val="00743223"/>
    <w:rsid w:val="00746E01"/>
    <w:rsid w:val="00757BDF"/>
    <w:rsid w:val="00763E5D"/>
    <w:rsid w:val="00767740"/>
    <w:rsid w:val="00777EE6"/>
    <w:rsid w:val="00782EEA"/>
    <w:rsid w:val="007B2C72"/>
    <w:rsid w:val="007B49E1"/>
    <w:rsid w:val="007C1C53"/>
    <w:rsid w:val="007C74BB"/>
    <w:rsid w:val="007E4904"/>
    <w:rsid w:val="007E4CB5"/>
    <w:rsid w:val="007F066B"/>
    <w:rsid w:val="008033C4"/>
    <w:rsid w:val="00806C88"/>
    <w:rsid w:val="0081034E"/>
    <w:rsid w:val="00823AFE"/>
    <w:rsid w:val="008344F6"/>
    <w:rsid w:val="0083510F"/>
    <w:rsid w:val="00851209"/>
    <w:rsid w:val="00855803"/>
    <w:rsid w:val="00857320"/>
    <w:rsid w:val="00860601"/>
    <w:rsid w:val="008837AC"/>
    <w:rsid w:val="008A587D"/>
    <w:rsid w:val="008B35CD"/>
    <w:rsid w:val="008B5FCC"/>
    <w:rsid w:val="008C3C46"/>
    <w:rsid w:val="008C5486"/>
    <w:rsid w:val="008D1661"/>
    <w:rsid w:val="008D6BE8"/>
    <w:rsid w:val="008E27C2"/>
    <w:rsid w:val="008E5031"/>
    <w:rsid w:val="008E7031"/>
    <w:rsid w:val="008E77DE"/>
    <w:rsid w:val="008F07A3"/>
    <w:rsid w:val="008F0CF0"/>
    <w:rsid w:val="00900E1B"/>
    <w:rsid w:val="009233EE"/>
    <w:rsid w:val="009460AA"/>
    <w:rsid w:val="0095147E"/>
    <w:rsid w:val="00951978"/>
    <w:rsid w:val="00961A4A"/>
    <w:rsid w:val="009661DE"/>
    <w:rsid w:val="00971ECF"/>
    <w:rsid w:val="00983C25"/>
    <w:rsid w:val="009856B7"/>
    <w:rsid w:val="00985C86"/>
    <w:rsid w:val="009A2A56"/>
    <w:rsid w:val="009A5FC3"/>
    <w:rsid w:val="009A64BD"/>
    <w:rsid w:val="009B74B0"/>
    <w:rsid w:val="009D0E4B"/>
    <w:rsid w:val="009D6B46"/>
    <w:rsid w:val="009F4940"/>
    <w:rsid w:val="009F5BA1"/>
    <w:rsid w:val="00A02A88"/>
    <w:rsid w:val="00A0562E"/>
    <w:rsid w:val="00A059C4"/>
    <w:rsid w:val="00A0726D"/>
    <w:rsid w:val="00A27880"/>
    <w:rsid w:val="00A31CF5"/>
    <w:rsid w:val="00A32FBB"/>
    <w:rsid w:val="00A428EE"/>
    <w:rsid w:val="00A4478A"/>
    <w:rsid w:val="00A44852"/>
    <w:rsid w:val="00A57D04"/>
    <w:rsid w:val="00A60A26"/>
    <w:rsid w:val="00A61598"/>
    <w:rsid w:val="00A646B9"/>
    <w:rsid w:val="00A84A99"/>
    <w:rsid w:val="00A84F46"/>
    <w:rsid w:val="00A871F4"/>
    <w:rsid w:val="00A87B8A"/>
    <w:rsid w:val="00AA130D"/>
    <w:rsid w:val="00AC1B2C"/>
    <w:rsid w:val="00AC3264"/>
    <w:rsid w:val="00AE1BBC"/>
    <w:rsid w:val="00AE1BF1"/>
    <w:rsid w:val="00AF0DD2"/>
    <w:rsid w:val="00AF1F9E"/>
    <w:rsid w:val="00B13048"/>
    <w:rsid w:val="00B1716D"/>
    <w:rsid w:val="00B17A1D"/>
    <w:rsid w:val="00B207A0"/>
    <w:rsid w:val="00B50A94"/>
    <w:rsid w:val="00B514DD"/>
    <w:rsid w:val="00B52AF0"/>
    <w:rsid w:val="00B561BD"/>
    <w:rsid w:val="00B56E03"/>
    <w:rsid w:val="00B57829"/>
    <w:rsid w:val="00B8080B"/>
    <w:rsid w:val="00B85BA4"/>
    <w:rsid w:val="00B87BA5"/>
    <w:rsid w:val="00B87C39"/>
    <w:rsid w:val="00BA4665"/>
    <w:rsid w:val="00BB2FB2"/>
    <w:rsid w:val="00BB3304"/>
    <w:rsid w:val="00BD093F"/>
    <w:rsid w:val="00BD3446"/>
    <w:rsid w:val="00BE13DC"/>
    <w:rsid w:val="00BE1F1B"/>
    <w:rsid w:val="00BE47B5"/>
    <w:rsid w:val="00C25FA6"/>
    <w:rsid w:val="00C52107"/>
    <w:rsid w:val="00C538A9"/>
    <w:rsid w:val="00C53B5A"/>
    <w:rsid w:val="00C54F5A"/>
    <w:rsid w:val="00C569B4"/>
    <w:rsid w:val="00C67A92"/>
    <w:rsid w:val="00C84DB9"/>
    <w:rsid w:val="00C86679"/>
    <w:rsid w:val="00C95138"/>
    <w:rsid w:val="00CA489E"/>
    <w:rsid w:val="00CB0279"/>
    <w:rsid w:val="00CB666B"/>
    <w:rsid w:val="00CC7F1D"/>
    <w:rsid w:val="00CE1FA9"/>
    <w:rsid w:val="00D006AE"/>
    <w:rsid w:val="00D01CF0"/>
    <w:rsid w:val="00D0442A"/>
    <w:rsid w:val="00D0577F"/>
    <w:rsid w:val="00D13FCD"/>
    <w:rsid w:val="00D32699"/>
    <w:rsid w:val="00D47CE0"/>
    <w:rsid w:val="00D61388"/>
    <w:rsid w:val="00D61A54"/>
    <w:rsid w:val="00D64DEA"/>
    <w:rsid w:val="00D7168E"/>
    <w:rsid w:val="00D71E57"/>
    <w:rsid w:val="00D80893"/>
    <w:rsid w:val="00D84854"/>
    <w:rsid w:val="00D92CF1"/>
    <w:rsid w:val="00D92D38"/>
    <w:rsid w:val="00D950F5"/>
    <w:rsid w:val="00DA4752"/>
    <w:rsid w:val="00DA61F3"/>
    <w:rsid w:val="00DB09F7"/>
    <w:rsid w:val="00DB0F93"/>
    <w:rsid w:val="00DB1A67"/>
    <w:rsid w:val="00DB5074"/>
    <w:rsid w:val="00DC7981"/>
    <w:rsid w:val="00DD5364"/>
    <w:rsid w:val="00DE1093"/>
    <w:rsid w:val="00DE4EFA"/>
    <w:rsid w:val="00DE5520"/>
    <w:rsid w:val="00DE563D"/>
    <w:rsid w:val="00E0405E"/>
    <w:rsid w:val="00E04818"/>
    <w:rsid w:val="00E06442"/>
    <w:rsid w:val="00E23993"/>
    <w:rsid w:val="00E25B8C"/>
    <w:rsid w:val="00E52A6F"/>
    <w:rsid w:val="00E65C85"/>
    <w:rsid w:val="00E66199"/>
    <w:rsid w:val="00E71E5A"/>
    <w:rsid w:val="00E72EDD"/>
    <w:rsid w:val="00E755EC"/>
    <w:rsid w:val="00E7624D"/>
    <w:rsid w:val="00EA3D42"/>
    <w:rsid w:val="00EA6B1B"/>
    <w:rsid w:val="00ED7323"/>
    <w:rsid w:val="00EE28F3"/>
    <w:rsid w:val="00EF5110"/>
    <w:rsid w:val="00F10411"/>
    <w:rsid w:val="00F15882"/>
    <w:rsid w:val="00F158FE"/>
    <w:rsid w:val="00F171E0"/>
    <w:rsid w:val="00F20BD3"/>
    <w:rsid w:val="00F373A5"/>
    <w:rsid w:val="00F40EC9"/>
    <w:rsid w:val="00F470BE"/>
    <w:rsid w:val="00F474F4"/>
    <w:rsid w:val="00F47559"/>
    <w:rsid w:val="00F64C7B"/>
    <w:rsid w:val="00F676DD"/>
    <w:rsid w:val="00F75A26"/>
    <w:rsid w:val="00F76706"/>
    <w:rsid w:val="00F83FAD"/>
    <w:rsid w:val="00F952A0"/>
    <w:rsid w:val="00F967C8"/>
    <w:rsid w:val="00FA3C7F"/>
    <w:rsid w:val="00FB5826"/>
    <w:rsid w:val="00FB74E2"/>
    <w:rsid w:val="00FC10C4"/>
    <w:rsid w:val="00FC5EAB"/>
    <w:rsid w:val="00FD5614"/>
    <w:rsid w:val="00FE0BE1"/>
    <w:rsid w:val="00FE1DE9"/>
    <w:rsid w:val="00FE2020"/>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97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54061077">
      <w:bodyDiv w:val="1"/>
      <w:marLeft w:val="0"/>
      <w:marRight w:val="0"/>
      <w:marTop w:val="0"/>
      <w:marBottom w:val="0"/>
      <w:divBdr>
        <w:top w:val="none" w:sz="0" w:space="0" w:color="auto"/>
        <w:left w:val="none" w:sz="0" w:space="0" w:color="auto"/>
        <w:bottom w:val="none" w:sz="0" w:space="0" w:color="auto"/>
        <w:right w:val="none" w:sz="0" w:space="0" w:color="auto"/>
      </w:divBdr>
    </w:div>
    <w:div w:id="21176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B0B15C33</Template>
  <TotalTime>0</TotalTime>
  <Pages>13</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2015-06-01T00:10:00Z</dcterms:created>
  <dcterms:modified xsi:type="dcterms:W3CDTF">2015-06-01T00:10:00Z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