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60F2475" wp14:editId="7DF67C90">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AF1F9E" w:rsidP="008F07A3">
          <w:pPr>
            <w:pStyle w:val="ReportSubtitle"/>
          </w:pPr>
          <w:r>
            <w:t>FINAL</w:t>
          </w:r>
          <w:r w:rsidR="00DA4752">
            <w:t xml:space="preserve"> DECISION</w:t>
          </w:r>
        </w:p>
        <w:p w:rsidR="00AF1F9E" w:rsidRDefault="00FB5826" w:rsidP="008F07A3">
          <w:pPr>
            <w:pStyle w:val="ReportSubtitle"/>
          </w:pPr>
          <w:r>
            <w:t>Jemena Gas Networks (NSW) Ltd</w:t>
          </w:r>
        </w:p>
        <w:p w:rsidR="00FB5826" w:rsidRDefault="00FB5826" w:rsidP="008F07A3">
          <w:pPr>
            <w:pStyle w:val="ReportSubtitle"/>
          </w:pPr>
          <w:r>
            <w:t>Access Arrangement 2015</w:t>
          </w:r>
          <w:r w:rsidR="000D1214">
            <w:t>–</w:t>
          </w:r>
          <w:r>
            <w:t>20</w:t>
          </w:r>
        </w:p>
        <w:p w:rsidR="000A6C7B" w:rsidRDefault="000A6C7B" w:rsidP="008F07A3">
          <w:pPr>
            <w:pStyle w:val="ReportSubtitle"/>
          </w:pPr>
        </w:p>
        <w:p w:rsidR="008F07A3" w:rsidRPr="000A6C7B" w:rsidRDefault="008F07A3" w:rsidP="008F07A3">
          <w:pPr>
            <w:pStyle w:val="ReportSubtitle"/>
          </w:pPr>
        </w:p>
        <w:p w:rsidR="000A6C7B" w:rsidRPr="000A6C7B" w:rsidRDefault="00DA4752" w:rsidP="008F07A3">
          <w:pPr>
            <w:pStyle w:val="ReportSubtitle"/>
          </w:pPr>
          <w:r>
            <w:t xml:space="preserve">Attachment </w:t>
          </w:r>
          <w:r w:rsidR="0082643B">
            <w:t>6</w:t>
          </w:r>
          <w:r>
            <w:t xml:space="preserve"> </w:t>
          </w:r>
          <w:r>
            <w:rPr>
              <w:rFonts w:cs="Arial"/>
            </w:rPr>
            <w:t>−</w:t>
          </w:r>
          <w:r>
            <w:t xml:space="preserve"> </w:t>
          </w:r>
          <w:r w:rsidR="0082643B">
            <w:t>Capital expenditure</w:t>
          </w:r>
        </w:p>
        <w:p w:rsidR="000A6C7B" w:rsidRPr="00327A1E" w:rsidRDefault="00A2268D" w:rsidP="00327A1E">
          <w:pPr>
            <w:pStyle w:val="ReportDate"/>
          </w:pPr>
          <w:r>
            <w:t xml:space="preserve">June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proofErr w:type="gramStart"/>
      <w:r>
        <w:t>,</w:t>
      </w:r>
      <w:proofErr w:type="gramEnd"/>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AF1F9E" w:rsidRDefault="000A6C7B" w:rsidP="008F07A3">
      <w:pPr>
        <w:pStyle w:val="Copyright"/>
        <w:rPr>
          <w:rStyle w:val="Hyperlink"/>
        </w:rPr>
      </w:pPr>
      <w:r>
        <w:t xml:space="preserve">Email: </w:t>
      </w:r>
      <w:hyperlink r:id="rId10" w:history="1">
        <w:r w:rsidRPr="00D64888">
          <w:rPr>
            <w:rStyle w:val="Hyperlink"/>
          </w:rPr>
          <w:t>AERInquiry@aer.gov.au</w:t>
        </w:r>
      </w:hyperlink>
    </w:p>
    <w:p w:rsidR="005D7BA2" w:rsidRDefault="00AF1F9E" w:rsidP="008F07A3">
      <w:pPr>
        <w:pStyle w:val="Copyright"/>
      </w:pPr>
      <w:r w:rsidRPr="00AF1F9E">
        <w:t>AER reference: 5</w:t>
      </w:r>
      <w:r w:rsidR="00FB5826">
        <w:t>1741</w:t>
      </w:r>
      <w:r w:rsidR="00951978" w:rsidRPr="00AF1F9E">
        <w:br/>
      </w:r>
    </w:p>
    <w:p w:rsidR="00CE1FA9" w:rsidRDefault="00CE1FA9">
      <w:pPr>
        <w:spacing w:line="240" w:lineRule="auto"/>
      </w:pPr>
      <w:r>
        <w:br w:type="page"/>
      </w:r>
    </w:p>
    <w:p w:rsidR="008F07A3" w:rsidRDefault="00DA61F3" w:rsidP="008F07A3">
      <w:pPr>
        <w:pStyle w:val="UnnumberedHeading"/>
        <w:numPr>
          <w:ilvl w:val="0"/>
          <w:numId w:val="24"/>
        </w:numPr>
      </w:pPr>
      <w:bookmarkStart w:id="1" w:name="_Toc404354899"/>
      <w:bookmarkStart w:id="2" w:name="_Toc404353070"/>
      <w:bookmarkStart w:id="3" w:name="_Toc404684201"/>
      <w:bookmarkStart w:id="4" w:name="_Toc404700923"/>
      <w:bookmarkStart w:id="5" w:name="_Toc420943856"/>
      <w:r>
        <w:lastRenderedPageBreak/>
        <w:t>N</w:t>
      </w:r>
      <w:r w:rsidR="008F07A3">
        <w:t>ote</w:t>
      </w:r>
      <w:bookmarkEnd w:id="1"/>
      <w:bookmarkEnd w:id="2"/>
      <w:bookmarkEnd w:id="3"/>
      <w:bookmarkEnd w:id="4"/>
      <w:bookmarkEnd w:id="5"/>
    </w:p>
    <w:p w:rsidR="006322CA" w:rsidRPr="006322CA" w:rsidRDefault="006322CA" w:rsidP="006322CA">
      <w:r w:rsidRPr="006322CA">
        <w:t>This attachment forms part of the AER's final decision on Jemena Gas Networks' 2015–20 access arrangement. It should be read with other parts of the final decision.</w:t>
      </w:r>
    </w:p>
    <w:p w:rsidR="006322CA" w:rsidRPr="006322CA" w:rsidRDefault="006322CA" w:rsidP="006322CA">
      <w:r w:rsidRPr="006322CA">
        <w:t>The final decision includes the following documents:</w:t>
      </w:r>
    </w:p>
    <w:p w:rsidR="006322CA" w:rsidRPr="006322CA" w:rsidRDefault="006322CA" w:rsidP="006322CA">
      <w:r w:rsidRPr="006322CA">
        <w:t>Overview</w:t>
      </w:r>
    </w:p>
    <w:p w:rsidR="006322CA" w:rsidRPr="006322CA" w:rsidRDefault="006322CA" w:rsidP="006322CA">
      <w:r w:rsidRPr="006322CA">
        <w:t>Attachment 1 – services covered by the access arrangement</w:t>
      </w:r>
    </w:p>
    <w:p w:rsidR="006322CA" w:rsidRPr="006322CA" w:rsidRDefault="006322CA" w:rsidP="006322CA">
      <w:r w:rsidRPr="006322CA">
        <w:t>Attachment 2 – capital base</w:t>
      </w:r>
    </w:p>
    <w:p w:rsidR="006322CA" w:rsidRPr="006322CA" w:rsidRDefault="006322CA" w:rsidP="006322CA">
      <w:r w:rsidRPr="006322CA">
        <w:t>Attachment 3 – rate of return</w:t>
      </w:r>
    </w:p>
    <w:p w:rsidR="006322CA" w:rsidRPr="006322CA" w:rsidRDefault="006322CA" w:rsidP="006322CA">
      <w:r w:rsidRPr="006322CA">
        <w:t>Attachment 4 – value of imputation credits</w:t>
      </w:r>
    </w:p>
    <w:p w:rsidR="006322CA" w:rsidRPr="006322CA" w:rsidRDefault="006322CA" w:rsidP="006322CA">
      <w:r w:rsidRPr="006322CA">
        <w:t>Attachment 5 – regulatory depreciation</w:t>
      </w:r>
    </w:p>
    <w:p w:rsidR="006322CA" w:rsidRPr="006322CA" w:rsidRDefault="006322CA" w:rsidP="006322CA">
      <w:r w:rsidRPr="006322CA">
        <w:t xml:space="preserve">Attachment 6 – capital expenditure </w:t>
      </w:r>
    </w:p>
    <w:p w:rsidR="006322CA" w:rsidRPr="006322CA" w:rsidRDefault="006322CA" w:rsidP="006322CA">
      <w:r w:rsidRPr="006322CA">
        <w:t>Attachment 7 – operating expenditure</w:t>
      </w:r>
    </w:p>
    <w:p w:rsidR="006322CA" w:rsidRPr="006322CA" w:rsidRDefault="006322CA" w:rsidP="006322CA">
      <w:r w:rsidRPr="006322CA">
        <w:t>Attachment 8 – corporate income tax</w:t>
      </w:r>
    </w:p>
    <w:p w:rsidR="006322CA" w:rsidRPr="006322CA" w:rsidRDefault="006322CA" w:rsidP="006322CA">
      <w:r w:rsidRPr="006322CA">
        <w:t>Attachment 9 – efficiency carryover mechanism</w:t>
      </w:r>
    </w:p>
    <w:p w:rsidR="006322CA" w:rsidRPr="006322CA" w:rsidRDefault="006322CA" w:rsidP="006322CA">
      <w:r w:rsidRPr="006322CA">
        <w:t>Attachment 10 – reference tariff setting</w:t>
      </w:r>
    </w:p>
    <w:p w:rsidR="006322CA" w:rsidRPr="006322CA" w:rsidRDefault="006322CA" w:rsidP="006322CA">
      <w:r w:rsidRPr="006322CA">
        <w:t>Attachment 11 – reference tariff variation mechanism</w:t>
      </w:r>
    </w:p>
    <w:p w:rsidR="006322CA" w:rsidRPr="006322CA" w:rsidRDefault="006322CA" w:rsidP="006322CA">
      <w:r w:rsidRPr="006322CA">
        <w:t>Attachment 12 – non-tariff components</w:t>
      </w:r>
    </w:p>
    <w:p w:rsidR="006322CA" w:rsidRPr="006322CA" w:rsidRDefault="006322CA" w:rsidP="006322CA">
      <w:r w:rsidRPr="006322CA">
        <w:t xml:space="preserve">Attachment 13 – demand </w:t>
      </w:r>
    </w:p>
    <w:p w:rsidR="008F07A3" w:rsidRDefault="008F07A3" w:rsidP="008F07A3"/>
    <w:p w:rsidR="00AF1F9E" w:rsidRPr="009134B1" w:rsidRDefault="00AF1F9E" w:rsidP="00AF1F9E">
      <w:pPr>
        <w:numPr>
          <w:ilvl w:val="0"/>
          <w:numId w:val="25"/>
        </w:numPr>
        <w:spacing w:before="0" w:after="240" w:line="288" w:lineRule="auto"/>
        <w:jc w:val="both"/>
      </w:pPr>
    </w:p>
    <w:p w:rsidR="00AF1F9E" w:rsidRPr="008F07A3" w:rsidRDefault="00AF1F9E" w:rsidP="008F07A3">
      <w:pPr>
        <w:sectPr w:rsidR="00AF1F9E" w:rsidRPr="008F07A3" w:rsidSect="00925F53">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20943857"/>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DB6221" w:rsidRDefault="00DD5364">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20943856" w:history="1">
            <w:r w:rsidR="00DB6221" w:rsidRPr="00B5188A">
              <w:rPr>
                <w:rStyle w:val="Hyperlink"/>
              </w:rPr>
              <w:t>Note</w:t>
            </w:r>
            <w:r w:rsidR="00DB6221">
              <w:rPr>
                <w:webHidden/>
              </w:rPr>
              <w:tab/>
            </w:r>
            <w:r w:rsidR="00DB6221">
              <w:rPr>
                <w:webHidden/>
              </w:rPr>
              <w:fldChar w:fldCharType="begin"/>
            </w:r>
            <w:r w:rsidR="00DB6221">
              <w:rPr>
                <w:webHidden/>
              </w:rPr>
              <w:instrText xml:space="preserve"> PAGEREF _Toc420943856 \h </w:instrText>
            </w:r>
            <w:r w:rsidR="00DB6221">
              <w:rPr>
                <w:webHidden/>
              </w:rPr>
            </w:r>
            <w:r w:rsidR="00DB6221">
              <w:rPr>
                <w:webHidden/>
              </w:rPr>
              <w:fldChar w:fldCharType="separate"/>
            </w:r>
            <w:r w:rsidR="00DB6221">
              <w:rPr>
                <w:webHidden/>
              </w:rPr>
              <w:t>6-2</w:t>
            </w:r>
            <w:r w:rsidR="00DB6221">
              <w:rPr>
                <w:webHidden/>
              </w:rPr>
              <w:fldChar w:fldCharType="end"/>
            </w:r>
          </w:hyperlink>
        </w:p>
        <w:p w:rsidR="00DB6221" w:rsidRDefault="00C62F3B">
          <w:pPr>
            <w:pStyle w:val="TOC1"/>
            <w:rPr>
              <w:rFonts w:asciiTheme="minorHAnsi" w:eastAsiaTheme="minorEastAsia" w:hAnsiTheme="minorHAnsi"/>
              <w:b w:val="0"/>
              <w:color w:val="auto"/>
              <w:sz w:val="22"/>
              <w:lang w:val="en-AU" w:eastAsia="en-AU"/>
            </w:rPr>
          </w:pPr>
          <w:hyperlink w:anchor="_Toc420943857" w:history="1">
            <w:r w:rsidR="00DB6221" w:rsidRPr="00B5188A">
              <w:rPr>
                <w:rStyle w:val="Hyperlink"/>
              </w:rPr>
              <w:t>Contents</w:t>
            </w:r>
            <w:r w:rsidR="00DB6221">
              <w:rPr>
                <w:webHidden/>
              </w:rPr>
              <w:tab/>
            </w:r>
            <w:r w:rsidR="00DB6221">
              <w:rPr>
                <w:webHidden/>
              </w:rPr>
              <w:fldChar w:fldCharType="begin"/>
            </w:r>
            <w:r w:rsidR="00DB6221">
              <w:rPr>
                <w:webHidden/>
              </w:rPr>
              <w:instrText xml:space="preserve"> PAGEREF _Toc420943857 \h </w:instrText>
            </w:r>
            <w:r w:rsidR="00DB6221">
              <w:rPr>
                <w:webHidden/>
              </w:rPr>
            </w:r>
            <w:r w:rsidR="00DB6221">
              <w:rPr>
                <w:webHidden/>
              </w:rPr>
              <w:fldChar w:fldCharType="separate"/>
            </w:r>
            <w:r w:rsidR="00DB6221">
              <w:rPr>
                <w:webHidden/>
              </w:rPr>
              <w:t>6-3</w:t>
            </w:r>
            <w:r w:rsidR="00DB6221">
              <w:rPr>
                <w:webHidden/>
              </w:rPr>
              <w:fldChar w:fldCharType="end"/>
            </w:r>
          </w:hyperlink>
        </w:p>
        <w:p w:rsidR="00DB6221" w:rsidRDefault="00C62F3B">
          <w:pPr>
            <w:pStyle w:val="TOC1"/>
            <w:rPr>
              <w:rFonts w:asciiTheme="minorHAnsi" w:eastAsiaTheme="minorEastAsia" w:hAnsiTheme="minorHAnsi"/>
              <w:b w:val="0"/>
              <w:color w:val="auto"/>
              <w:sz w:val="22"/>
              <w:lang w:val="en-AU" w:eastAsia="en-AU"/>
            </w:rPr>
          </w:pPr>
          <w:hyperlink w:anchor="_Toc420943858" w:history="1">
            <w:r w:rsidR="00DB6221" w:rsidRPr="00B5188A">
              <w:rPr>
                <w:rStyle w:val="Hyperlink"/>
              </w:rPr>
              <w:t>Shortened forms</w:t>
            </w:r>
            <w:r w:rsidR="00DB6221">
              <w:rPr>
                <w:webHidden/>
              </w:rPr>
              <w:tab/>
            </w:r>
            <w:r w:rsidR="00DB6221">
              <w:rPr>
                <w:webHidden/>
              </w:rPr>
              <w:fldChar w:fldCharType="begin"/>
            </w:r>
            <w:r w:rsidR="00DB6221">
              <w:rPr>
                <w:webHidden/>
              </w:rPr>
              <w:instrText xml:space="preserve"> PAGEREF _Toc420943858 \h </w:instrText>
            </w:r>
            <w:r w:rsidR="00DB6221">
              <w:rPr>
                <w:webHidden/>
              </w:rPr>
            </w:r>
            <w:r w:rsidR="00DB6221">
              <w:rPr>
                <w:webHidden/>
              </w:rPr>
              <w:fldChar w:fldCharType="separate"/>
            </w:r>
            <w:r w:rsidR="00DB6221">
              <w:rPr>
                <w:webHidden/>
              </w:rPr>
              <w:t>6-6</w:t>
            </w:r>
            <w:r w:rsidR="00DB6221">
              <w:rPr>
                <w:webHidden/>
              </w:rPr>
              <w:fldChar w:fldCharType="end"/>
            </w:r>
          </w:hyperlink>
        </w:p>
        <w:p w:rsidR="00DB6221" w:rsidRDefault="00C62F3B">
          <w:pPr>
            <w:pStyle w:val="TOC1"/>
            <w:rPr>
              <w:rFonts w:asciiTheme="minorHAnsi" w:eastAsiaTheme="minorEastAsia" w:hAnsiTheme="minorHAnsi"/>
              <w:b w:val="0"/>
              <w:color w:val="auto"/>
              <w:sz w:val="22"/>
              <w:lang w:val="en-AU" w:eastAsia="en-AU"/>
            </w:rPr>
          </w:pPr>
          <w:hyperlink w:anchor="_Toc420943859" w:history="1">
            <w:r w:rsidR="00DB6221" w:rsidRPr="00B5188A">
              <w:rPr>
                <w:rStyle w:val="Hyperlink"/>
              </w:rPr>
              <w:t>6</w:t>
            </w:r>
            <w:r w:rsidR="00DB6221">
              <w:rPr>
                <w:rFonts w:asciiTheme="minorHAnsi" w:eastAsiaTheme="minorEastAsia" w:hAnsiTheme="minorHAnsi"/>
                <w:b w:val="0"/>
                <w:color w:val="auto"/>
                <w:sz w:val="22"/>
                <w:lang w:val="en-AU" w:eastAsia="en-AU"/>
              </w:rPr>
              <w:tab/>
            </w:r>
            <w:r w:rsidR="00DB6221" w:rsidRPr="00B5188A">
              <w:rPr>
                <w:rStyle w:val="Hyperlink"/>
              </w:rPr>
              <w:t>Capital expenditure</w:t>
            </w:r>
            <w:r w:rsidR="00DB6221">
              <w:rPr>
                <w:webHidden/>
              </w:rPr>
              <w:tab/>
            </w:r>
            <w:r w:rsidR="00DB6221">
              <w:rPr>
                <w:webHidden/>
              </w:rPr>
              <w:fldChar w:fldCharType="begin"/>
            </w:r>
            <w:r w:rsidR="00DB6221">
              <w:rPr>
                <w:webHidden/>
              </w:rPr>
              <w:instrText xml:space="preserve"> PAGEREF _Toc420943859 \h </w:instrText>
            </w:r>
            <w:r w:rsidR="00DB6221">
              <w:rPr>
                <w:webHidden/>
              </w:rPr>
            </w:r>
            <w:r w:rsidR="00DB6221">
              <w:rPr>
                <w:webHidden/>
              </w:rPr>
              <w:fldChar w:fldCharType="separate"/>
            </w:r>
            <w:r w:rsidR="00DB6221">
              <w:rPr>
                <w:webHidden/>
              </w:rPr>
              <w:t>6-7</w:t>
            </w:r>
            <w:r w:rsidR="00DB6221">
              <w:rPr>
                <w:webHidden/>
              </w:rPr>
              <w:fldChar w:fldCharType="end"/>
            </w:r>
          </w:hyperlink>
        </w:p>
        <w:p w:rsidR="00DB6221" w:rsidRDefault="00C62F3B">
          <w:pPr>
            <w:pStyle w:val="TOC2"/>
            <w:rPr>
              <w:rFonts w:asciiTheme="minorHAnsi" w:eastAsiaTheme="minorEastAsia" w:hAnsiTheme="minorHAnsi"/>
              <w:b w:val="0"/>
              <w:color w:val="auto"/>
              <w:sz w:val="22"/>
              <w:lang w:eastAsia="en-AU"/>
            </w:rPr>
          </w:pPr>
          <w:hyperlink w:anchor="_Toc420943860" w:history="1">
            <w:r w:rsidR="00DB6221" w:rsidRPr="00B5188A">
              <w:rPr>
                <w:rStyle w:val="Hyperlink"/>
              </w:rPr>
              <w:t>6.1</w:t>
            </w:r>
            <w:r w:rsidR="00DB6221">
              <w:rPr>
                <w:rFonts w:asciiTheme="minorHAnsi" w:eastAsiaTheme="minorEastAsia" w:hAnsiTheme="minorHAnsi"/>
                <w:b w:val="0"/>
                <w:color w:val="auto"/>
                <w:sz w:val="22"/>
                <w:lang w:eastAsia="en-AU"/>
              </w:rPr>
              <w:tab/>
            </w:r>
            <w:r w:rsidR="00DB6221" w:rsidRPr="00B5188A">
              <w:rPr>
                <w:rStyle w:val="Hyperlink"/>
              </w:rPr>
              <w:t>Final decision</w:t>
            </w:r>
            <w:r w:rsidR="00DB6221">
              <w:rPr>
                <w:webHidden/>
              </w:rPr>
              <w:tab/>
            </w:r>
            <w:r w:rsidR="00DB6221">
              <w:rPr>
                <w:webHidden/>
              </w:rPr>
              <w:fldChar w:fldCharType="begin"/>
            </w:r>
            <w:r w:rsidR="00DB6221">
              <w:rPr>
                <w:webHidden/>
              </w:rPr>
              <w:instrText xml:space="preserve"> PAGEREF _Toc420943860 \h </w:instrText>
            </w:r>
            <w:r w:rsidR="00DB6221">
              <w:rPr>
                <w:webHidden/>
              </w:rPr>
            </w:r>
            <w:r w:rsidR="00DB6221">
              <w:rPr>
                <w:webHidden/>
              </w:rPr>
              <w:fldChar w:fldCharType="separate"/>
            </w:r>
            <w:r w:rsidR="00DB6221">
              <w:rPr>
                <w:webHidden/>
              </w:rPr>
              <w:t>6-7</w:t>
            </w:r>
            <w:r w:rsidR="00DB6221">
              <w:rPr>
                <w:webHidden/>
              </w:rPr>
              <w:fldChar w:fldCharType="end"/>
            </w:r>
          </w:hyperlink>
        </w:p>
        <w:p w:rsidR="00DB6221" w:rsidRDefault="00C62F3B">
          <w:pPr>
            <w:pStyle w:val="TOC3"/>
            <w:rPr>
              <w:rFonts w:asciiTheme="minorHAnsi" w:eastAsiaTheme="minorEastAsia" w:hAnsiTheme="minorHAnsi"/>
              <w:lang w:eastAsia="en-AU"/>
            </w:rPr>
          </w:pPr>
          <w:hyperlink w:anchor="_Toc420943861" w:history="1">
            <w:r w:rsidR="00DB6221" w:rsidRPr="00B5188A">
              <w:rPr>
                <w:rStyle w:val="Hyperlink"/>
              </w:rPr>
              <w:t>Conforming capex for 2009–14</w:t>
            </w:r>
            <w:r w:rsidR="00DB6221">
              <w:rPr>
                <w:webHidden/>
              </w:rPr>
              <w:tab/>
            </w:r>
            <w:r w:rsidR="00DB6221">
              <w:rPr>
                <w:webHidden/>
              </w:rPr>
              <w:fldChar w:fldCharType="begin"/>
            </w:r>
            <w:r w:rsidR="00DB6221">
              <w:rPr>
                <w:webHidden/>
              </w:rPr>
              <w:instrText xml:space="preserve"> PAGEREF _Toc420943861 \h </w:instrText>
            </w:r>
            <w:r w:rsidR="00DB6221">
              <w:rPr>
                <w:webHidden/>
              </w:rPr>
            </w:r>
            <w:r w:rsidR="00DB6221">
              <w:rPr>
                <w:webHidden/>
              </w:rPr>
              <w:fldChar w:fldCharType="separate"/>
            </w:r>
            <w:r w:rsidR="00DB6221">
              <w:rPr>
                <w:webHidden/>
              </w:rPr>
              <w:t>6-7</w:t>
            </w:r>
            <w:r w:rsidR="00DB6221">
              <w:rPr>
                <w:webHidden/>
              </w:rPr>
              <w:fldChar w:fldCharType="end"/>
            </w:r>
          </w:hyperlink>
        </w:p>
        <w:p w:rsidR="00DB6221" w:rsidRDefault="00C62F3B">
          <w:pPr>
            <w:pStyle w:val="TOC3"/>
            <w:rPr>
              <w:rFonts w:asciiTheme="minorHAnsi" w:eastAsiaTheme="minorEastAsia" w:hAnsiTheme="minorHAnsi"/>
              <w:lang w:eastAsia="en-AU"/>
            </w:rPr>
          </w:pPr>
          <w:hyperlink w:anchor="_Toc420943862" w:history="1">
            <w:r w:rsidR="00DB6221" w:rsidRPr="00B5188A">
              <w:rPr>
                <w:rStyle w:val="Hyperlink"/>
              </w:rPr>
              <w:t>Conforming capex for the 2015–20 access arrangement period</w:t>
            </w:r>
            <w:r w:rsidR="00DB6221">
              <w:rPr>
                <w:webHidden/>
              </w:rPr>
              <w:tab/>
            </w:r>
            <w:r w:rsidR="00DB6221">
              <w:rPr>
                <w:webHidden/>
              </w:rPr>
              <w:fldChar w:fldCharType="begin"/>
            </w:r>
            <w:r w:rsidR="00DB6221">
              <w:rPr>
                <w:webHidden/>
              </w:rPr>
              <w:instrText xml:space="preserve"> PAGEREF _Toc420943862 \h </w:instrText>
            </w:r>
            <w:r w:rsidR="00DB6221">
              <w:rPr>
                <w:webHidden/>
              </w:rPr>
            </w:r>
            <w:r w:rsidR="00DB6221">
              <w:rPr>
                <w:webHidden/>
              </w:rPr>
              <w:fldChar w:fldCharType="separate"/>
            </w:r>
            <w:r w:rsidR="00DB6221">
              <w:rPr>
                <w:webHidden/>
              </w:rPr>
              <w:t>6-8</w:t>
            </w:r>
            <w:r w:rsidR="00DB6221">
              <w:rPr>
                <w:webHidden/>
              </w:rPr>
              <w:fldChar w:fldCharType="end"/>
            </w:r>
          </w:hyperlink>
        </w:p>
        <w:p w:rsidR="00DB6221" w:rsidRDefault="00C62F3B">
          <w:pPr>
            <w:pStyle w:val="TOC2"/>
            <w:rPr>
              <w:rFonts w:asciiTheme="minorHAnsi" w:eastAsiaTheme="minorEastAsia" w:hAnsiTheme="minorHAnsi"/>
              <w:b w:val="0"/>
              <w:color w:val="auto"/>
              <w:sz w:val="22"/>
              <w:lang w:eastAsia="en-AU"/>
            </w:rPr>
          </w:pPr>
          <w:hyperlink w:anchor="_Toc420943863" w:history="1">
            <w:r w:rsidR="00DB6221" w:rsidRPr="00B5188A">
              <w:rPr>
                <w:rStyle w:val="Hyperlink"/>
              </w:rPr>
              <w:t>6.2</w:t>
            </w:r>
            <w:r w:rsidR="00DB6221">
              <w:rPr>
                <w:rFonts w:asciiTheme="minorHAnsi" w:eastAsiaTheme="minorEastAsia" w:hAnsiTheme="minorHAnsi"/>
                <w:b w:val="0"/>
                <w:color w:val="auto"/>
                <w:sz w:val="22"/>
                <w:lang w:eastAsia="en-AU"/>
              </w:rPr>
              <w:tab/>
            </w:r>
            <w:r w:rsidR="00DB6221" w:rsidRPr="00B5188A">
              <w:rPr>
                <w:rStyle w:val="Hyperlink"/>
              </w:rPr>
              <w:t>JGN's revised proposal</w:t>
            </w:r>
            <w:r w:rsidR="00DB6221">
              <w:rPr>
                <w:webHidden/>
              </w:rPr>
              <w:tab/>
            </w:r>
            <w:r w:rsidR="00DB6221">
              <w:rPr>
                <w:webHidden/>
              </w:rPr>
              <w:fldChar w:fldCharType="begin"/>
            </w:r>
            <w:r w:rsidR="00DB6221">
              <w:rPr>
                <w:webHidden/>
              </w:rPr>
              <w:instrText xml:space="preserve"> PAGEREF _Toc420943863 \h </w:instrText>
            </w:r>
            <w:r w:rsidR="00DB6221">
              <w:rPr>
                <w:webHidden/>
              </w:rPr>
            </w:r>
            <w:r w:rsidR="00DB6221">
              <w:rPr>
                <w:webHidden/>
              </w:rPr>
              <w:fldChar w:fldCharType="separate"/>
            </w:r>
            <w:r w:rsidR="00DB6221">
              <w:rPr>
                <w:webHidden/>
              </w:rPr>
              <w:t>6-12</w:t>
            </w:r>
            <w:r w:rsidR="00DB6221">
              <w:rPr>
                <w:webHidden/>
              </w:rPr>
              <w:fldChar w:fldCharType="end"/>
            </w:r>
          </w:hyperlink>
        </w:p>
        <w:p w:rsidR="00DB6221" w:rsidRDefault="00C62F3B">
          <w:pPr>
            <w:pStyle w:val="TOC3"/>
            <w:rPr>
              <w:rFonts w:asciiTheme="minorHAnsi" w:eastAsiaTheme="minorEastAsia" w:hAnsiTheme="minorHAnsi"/>
              <w:lang w:eastAsia="en-AU"/>
            </w:rPr>
          </w:pPr>
          <w:hyperlink w:anchor="_Toc420943864" w:history="1">
            <w:r w:rsidR="00DB6221" w:rsidRPr="00B5188A">
              <w:rPr>
                <w:rStyle w:val="Hyperlink"/>
              </w:rPr>
              <w:t>2009–14 period</w:t>
            </w:r>
            <w:r w:rsidR="00DB6221">
              <w:rPr>
                <w:webHidden/>
              </w:rPr>
              <w:tab/>
            </w:r>
            <w:r w:rsidR="00DB6221">
              <w:rPr>
                <w:webHidden/>
              </w:rPr>
              <w:fldChar w:fldCharType="begin"/>
            </w:r>
            <w:r w:rsidR="00DB6221">
              <w:rPr>
                <w:webHidden/>
              </w:rPr>
              <w:instrText xml:space="preserve"> PAGEREF _Toc420943864 \h </w:instrText>
            </w:r>
            <w:r w:rsidR="00DB6221">
              <w:rPr>
                <w:webHidden/>
              </w:rPr>
            </w:r>
            <w:r w:rsidR="00DB6221">
              <w:rPr>
                <w:webHidden/>
              </w:rPr>
              <w:fldChar w:fldCharType="separate"/>
            </w:r>
            <w:r w:rsidR="00DB6221">
              <w:rPr>
                <w:webHidden/>
              </w:rPr>
              <w:t>6-12</w:t>
            </w:r>
            <w:r w:rsidR="00DB6221">
              <w:rPr>
                <w:webHidden/>
              </w:rPr>
              <w:fldChar w:fldCharType="end"/>
            </w:r>
          </w:hyperlink>
        </w:p>
        <w:p w:rsidR="00DB6221" w:rsidRDefault="00C62F3B">
          <w:pPr>
            <w:pStyle w:val="TOC3"/>
            <w:rPr>
              <w:rFonts w:asciiTheme="minorHAnsi" w:eastAsiaTheme="minorEastAsia" w:hAnsiTheme="minorHAnsi"/>
              <w:lang w:eastAsia="en-AU"/>
            </w:rPr>
          </w:pPr>
          <w:hyperlink w:anchor="_Toc420943865" w:history="1">
            <w:r w:rsidR="00DB6221" w:rsidRPr="00B5188A">
              <w:rPr>
                <w:rStyle w:val="Hyperlink"/>
              </w:rPr>
              <w:t>2015–20 access arrangement period</w:t>
            </w:r>
            <w:r w:rsidR="00DB6221">
              <w:rPr>
                <w:webHidden/>
              </w:rPr>
              <w:tab/>
            </w:r>
            <w:r w:rsidR="00DB6221">
              <w:rPr>
                <w:webHidden/>
              </w:rPr>
              <w:fldChar w:fldCharType="begin"/>
            </w:r>
            <w:r w:rsidR="00DB6221">
              <w:rPr>
                <w:webHidden/>
              </w:rPr>
              <w:instrText xml:space="preserve"> PAGEREF _Toc420943865 \h </w:instrText>
            </w:r>
            <w:r w:rsidR="00DB6221">
              <w:rPr>
                <w:webHidden/>
              </w:rPr>
            </w:r>
            <w:r w:rsidR="00DB6221">
              <w:rPr>
                <w:webHidden/>
              </w:rPr>
              <w:fldChar w:fldCharType="separate"/>
            </w:r>
            <w:r w:rsidR="00DB6221">
              <w:rPr>
                <w:webHidden/>
              </w:rPr>
              <w:t>6-13</w:t>
            </w:r>
            <w:r w:rsidR="00DB6221">
              <w:rPr>
                <w:webHidden/>
              </w:rPr>
              <w:fldChar w:fldCharType="end"/>
            </w:r>
          </w:hyperlink>
        </w:p>
        <w:p w:rsidR="00DB6221" w:rsidRDefault="00C62F3B">
          <w:pPr>
            <w:pStyle w:val="TOC2"/>
            <w:rPr>
              <w:rFonts w:asciiTheme="minorHAnsi" w:eastAsiaTheme="minorEastAsia" w:hAnsiTheme="minorHAnsi"/>
              <w:b w:val="0"/>
              <w:color w:val="auto"/>
              <w:sz w:val="22"/>
              <w:lang w:eastAsia="en-AU"/>
            </w:rPr>
          </w:pPr>
          <w:hyperlink w:anchor="_Toc420943866" w:history="1">
            <w:r w:rsidR="00DB6221" w:rsidRPr="00B5188A">
              <w:rPr>
                <w:rStyle w:val="Hyperlink"/>
              </w:rPr>
              <w:t>6.3</w:t>
            </w:r>
            <w:r w:rsidR="00DB6221">
              <w:rPr>
                <w:rFonts w:asciiTheme="minorHAnsi" w:eastAsiaTheme="minorEastAsia" w:hAnsiTheme="minorHAnsi"/>
                <w:b w:val="0"/>
                <w:color w:val="auto"/>
                <w:sz w:val="22"/>
                <w:lang w:eastAsia="en-AU"/>
              </w:rPr>
              <w:tab/>
            </w:r>
            <w:r w:rsidR="00DB6221" w:rsidRPr="00B5188A">
              <w:rPr>
                <w:rStyle w:val="Hyperlink"/>
              </w:rPr>
              <w:t>AER’s assessment approach</w:t>
            </w:r>
            <w:r w:rsidR="00DB6221">
              <w:rPr>
                <w:webHidden/>
              </w:rPr>
              <w:tab/>
            </w:r>
            <w:r w:rsidR="00DB6221">
              <w:rPr>
                <w:webHidden/>
              </w:rPr>
              <w:fldChar w:fldCharType="begin"/>
            </w:r>
            <w:r w:rsidR="00DB6221">
              <w:rPr>
                <w:webHidden/>
              </w:rPr>
              <w:instrText xml:space="preserve"> PAGEREF _Toc420943866 \h </w:instrText>
            </w:r>
            <w:r w:rsidR="00DB6221">
              <w:rPr>
                <w:webHidden/>
              </w:rPr>
            </w:r>
            <w:r w:rsidR="00DB6221">
              <w:rPr>
                <w:webHidden/>
              </w:rPr>
              <w:fldChar w:fldCharType="separate"/>
            </w:r>
            <w:r w:rsidR="00DB6221">
              <w:rPr>
                <w:webHidden/>
              </w:rPr>
              <w:t>6-14</w:t>
            </w:r>
            <w:r w:rsidR="00DB6221">
              <w:rPr>
                <w:webHidden/>
              </w:rPr>
              <w:fldChar w:fldCharType="end"/>
            </w:r>
          </w:hyperlink>
        </w:p>
        <w:p w:rsidR="00DB6221" w:rsidRDefault="00C62F3B">
          <w:pPr>
            <w:pStyle w:val="TOC3"/>
            <w:rPr>
              <w:rFonts w:asciiTheme="minorHAnsi" w:eastAsiaTheme="minorEastAsia" w:hAnsiTheme="minorHAnsi"/>
              <w:lang w:eastAsia="en-AU"/>
            </w:rPr>
          </w:pPr>
          <w:hyperlink w:anchor="_Toc420943867" w:history="1">
            <w:r w:rsidR="00DB6221" w:rsidRPr="00B5188A">
              <w:rPr>
                <w:rStyle w:val="Hyperlink"/>
              </w:rPr>
              <w:t>6.3.1</w:t>
            </w:r>
            <w:r w:rsidR="00DB6221">
              <w:rPr>
                <w:rFonts w:asciiTheme="minorHAnsi" w:eastAsiaTheme="minorEastAsia" w:hAnsiTheme="minorHAnsi"/>
                <w:lang w:eastAsia="en-AU"/>
              </w:rPr>
              <w:tab/>
            </w:r>
            <w:r w:rsidR="00DB6221" w:rsidRPr="00B5188A">
              <w:rPr>
                <w:rStyle w:val="Hyperlink"/>
              </w:rPr>
              <w:t>NGR requirements for conforming capital expenditure</w:t>
            </w:r>
            <w:r w:rsidR="00DB6221">
              <w:rPr>
                <w:webHidden/>
              </w:rPr>
              <w:tab/>
            </w:r>
            <w:r w:rsidR="00DB6221">
              <w:rPr>
                <w:webHidden/>
              </w:rPr>
              <w:fldChar w:fldCharType="begin"/>
            </w:r>
            <w:r w:rsidR="00DB6221">
              <w:rPr>
                <w:webHidden/>
              </w:rPr>
              <w:instrText xml:space="preserve"> PAGEREF _Toc420943867 \h </w:instrText>
            </w:r>
            <w:r w:rsidR="00DB6221">
              <w:rPr>
                <w:webHidden/>
              </w:rPr>
            </w:r>
            <w:r w:rsidR="00DB6221">
              <w:rPr>
                <w:webHidden/>
              </w:rPr>
              <w:fldChar w:fldCharType="separate"/>
            </w:r>
            <w:r w:rsidR="00DB6221">
              <w:rPr>
                <w:webHidden/>
              </w:rPr>
              <w:t>6-14</w:t>
            </w:r>
            <w:r w:rsidR="00DB6221">
              <w:rPr>
                <w:webHidden/>
              </w:rPr>
              <w:fldChar w:fldCharType="end"/>
            </w:r>
          </w:hyperlink>
        </w:p>
        <w:p w:rsidR="00DB6221" w:rsidRDefault="00C62F3B">
          <w:pPr>
            <w:pStyle w:val="TOC3"/>
            <w:rPr>
              <w:rFonts w:asciiTheme="minorHAnsi" w:eastAsiaTheme="minorEastAsia" w:hAnsiTheme="minorHAnsi"/>
              <w:lang w:eastAsia="en-AU"/>
            </w:rPr>
          </w:pPr>
          <w:hyperlink w:anchor="_Toc420943868" w:history="1">
            <w:r w:rsidR="00DB6221" w:rsidRPr="00B5188A">
              <w:rPr>
                <w:rStyle w:val="Hyperlink"/>
              </w:rPr>
              <w:t>6.3.2</w:t>
            </w:r>
            <w:r w:rsidR="00DB6221">
              <w:rPr>
                <w:rFonts w:asciiTheme="minorHAnsi" w:eastAsiaTheme="minorEastAsia" w:hAnsiTheme="minorHAnsi"/>
                <w:lang w:eastAsia="en-AU"/>
              </w:rPr>
              <w:tab/>
            </w:r>
            <w:r w:rsidR="00DB6221" w:rsidRPr="00B5188A">
              <w:rPr>
                <w:rStyle w:val="Hyperlink"/>
              </w:rPr>
              <w:t>Assessment of conforming capital expenditure in the previous period</w:t>
            </w:r>
            <w:r w:rsidR="00DB6221">
              <w:rPr>
                <w:webHidden/>
              </w:rPr>
              <w:tab/>
            </w:r>
            <w:r w:rsidR="00DB6221">
              <w:rPr>
                <w:webHidden/>
              </w:rPr>
              <w:fldChar w:fldCharType="begin"/>
            </w:r>
            <w:r w:rsidR="00DB6221">
              <w:rPr>
                <w:webHidden/>
              </w:rPr>
              <w:instrText xml:space="preserve"> PAGEREF _Toc420943868 \h </w:instrText>
            </w:r>
            <w:r w:rsidR="00DB6221">
              <w:rPr>
                <w:webHidden/>
              </w:rPr>
            </w:r>
            <w:r w:rsidR="00DB6221">
              <w:rPr>
                <w:webHidden/>
              </w:rPr>
              <w:fldChar w:fldCharType="separate"/>
            </w:r>
            <w:r w:rsidR="00DB6221">
              <w:rPr>
                <w:webHidden/>
              </w:rPr>
              <w:t>6-15</w:t>
            </w:r>
            <w:r w:rsidR="00DB6221">
              <w:rPr>
                <w:webHidden/>
              </w:rPr>
              <w:fldChar w:fldCharType="end"/>
            </w:r>
          </w:hyperlink>
        </w:p>
        <w:p w:rsidR="00DB6221" w:rsidRDefault="00C62F3B">
          <w:pPr>
            <w:pStyle w:val="TOC3"/>
            <w:rPr>
              <w:rFonts w:asciiTheme="minorHAnsi" w:eastAsiaTheme="minorEastAsia" w:hAnsiTheme="minorHAnsi"/>
              <w:lang w:eastAsia="en-AU"/>
            </w:rPr>
          </w:pPr>
          <w:hyperlink w:anchor="_Toc420943869" w:history="1">
            <w:r w:rsidR="00DB6221" w:rsidRPr="00B5188A">
              <w:rPr>
                <w:rStyle w:val="Hyperlink"/>
              </w:rPr>
              <w:t>6.3.3</w:t>
            </w:r>
            <w:r w:rsidR="00DB6221">
              <w:rPr>
                <w:rFonts w:asciiTheme="minorHAnsi" w:eastAsiaTheme="minorEastAsia" w:hAnsiTheme="minorHAnsi"/>
                <w:lang w:eastAsia="en-AU"/>
              </w:rPr>
              <w:tab/>
            </w:r>
            <w:r w:rsidR="00DB6221" w:rsidRPr="00B5188A">
              <w:rPr>
                <w:rStyle w:val="Hyperlink"/>
              </w:rPr>
              <w:t>Assessing forecast capex for the 2015-2020 access arrangement period</w:t>
            </w:r>
            <w:r w:rsidR="00DB6221">
              <w:rPr>
                <w:webHidden/>
              </w:rPr>
              <w:tab/>
            </w:r>
            <w:r w:rsidR="00DB6221">
              <w:rPr>
                <w:webHidden/>
              </w:rPr>
              <w:fldChar w:fldCharType="begin"/>
            </w:r>
            <w:r w:rsidR="00DB6221">
              <w:rPr>
                <w:webHidden/>
              </w:rPr>
              <w:instrText xml:space="preserve"> PAGEREF _Toc420943869 \h </w:instrText>
            </w:r>
            <w:r w:rsidR="00DB6221">
              <w:rPr>
                <w:webHidden/>
              </w:rPr>
            </w:r>
            <w:r w:rsidR="00DB6221">
              <w:rPr>
                <w:webHidden/>
              </w:rPr>
              <w:fldChar w:fldCharType="separate"/>
            </w:r>
            <w:r w:rsidR="00DB6221">
              <w:rPr>
                <w:webHidden/>
              </w:rPr>
              <w:t>6-17</w:t>
            </w:r>
            <w:r w:rsidR="00DB6221">
              <w:rPr>
                <w:webHidden/>
              </w:rPr>
              <w:fldChar w:fldCharType="end"/>
            </w:r>
          </w:hyperlink>
        </w:p>
        <w:p w:rsidR="00DB6221" w:rsidRDefault="00C62F3B">
          <w:pPr>
            <w:pStyle w:val="TOC3"/>
            <w:rPr>
              <w:rFonts w:asciiTheme="minorHAnsi" w:eastAsiaTheme="minorEastAsia" w:hAnsiTheme="minorHAnsi"/>
              <w:lang w:eastAsia="en-AU"/>
            </w:rPr>
          </w:pPr>
          <w:hyperlink w:anchor="_Toc420943870" w:history="1">
            <w:r w:rsidR="00DB6221" w:rsidRPr="00B5188A">
              <w:rPr>
                <w:rStyle w:val="Hyperlink"/>
              </w:rPr>
              <w:t>6.3.4</w:t>
            </w:r>
            <w:r w:rsidR="00DB6221">
              <w:rPr>
                <w:rFonts w:asciiTheme="minorHAnsi" w:eastAsiaTheme="minorEastAsia" w:hAnsiTheme="minorHAnsi"/>
                <w:lang w:eastAsia="en-AU"/>
              </w:rPr>
              <w:tab/>
            </w:r>
            <w:r w:rsidR="00DB6221" w:rsidRPr="00B5188A">
              <w:rPr>
                <w:rStyle w:val="Hyperlink"/>
              </w:rPr>
              <w:t>Interrelationships</w:t>
            </w:r>
            <w:r w:rsidR="00DB6221">
              <w:rPr>
                <w:webHidden/>
              </w:rPr>
              <w:tab/>
            </w:r>
            <w:r w:rsidR="00DB6221">
              <w:rPr>
                <w:webHidden/>
              </w:rPr>
              <w:fldChar w:fldCharType="begin"/>
            </w:r>
            <w:r w:rsidR="00DB6221">
              <w:rPr>
                <w:webHidden/>
              </w:rPr>
              <w:instrText xml:space="preserve"> PAGEREF _Toc420943870 \h </w:instrText>
            </w:r>
            <w:r w:rsidR="00DB6221">
              <w:rPr>
                <w:webHidden/>
              </w:rPr>
            </w:r>
            <w:r w:rsidR="00DB6221">
              <w:rPr>
                <w:webHidden/>
              </w:rPr>
              <w:fldChar w:fldCharType="separate"/>
            </w:r>
            <w:r w:rsidR="00DB6221">
              <w:rPr>
                <w:webHidden/>
              </w:rPr>
              <w:t>6-20</w:t>
            </w:r>
            <w:r w:rsidR="00DB6221">
              <w:rPr>
                <w:webHidden/>
              </w:rPr>
              <w:fldChar w:fldCharType="end"/>
            </w:r>
          </w:hyperlink>
        </w:p>
        <w:p w:rsidR="00DB6221" w:rsidRDefault="00C62F3B">
          <w:pPr>
            <w:pStyle w:val="TOC2"/>
            <w:rPr>
              <w:rFonts w:asciiTheme="minorHAnsi" w:eastAsiaTheme="minorEastAsia" w:hAnsiTheme="minorHAnsi"/>
              <w:b w:val="0"/>
              <w:color w:val="auto"/>
              <w:sz w:val="22"/>
              <w:lang w:eastAsia="en-AU"/>
            </w:rPr>
          </w:pPr>
          <w:hyperlink w:anchor="_Toc420943871" w:history="1">
            <w:r w:rsidR="00DB6221" w:rsidRPr="00B5188A">
              <w:rPr>
                <w:rStyle w:val="Hyperlink"/>
              </w:rPr>
              <w:t>6.4</w:t>
            </w:r>
            <w:r w:rsidR="00DB6221">
              <w:rPr>
                <w:rFonts w:asciiTheme="minorHAnsi" w:eastAsiaTheme="minorEastAsia" w:hAnsiTheme="minorHAnsi"/>
                <w:b w:val="0"/>
                <w:color w:val="auto"/>
                <w:sz w:val="22"/>
                <w:lang w:eastAsia="en-AU"/>
              </w:rPr>
              <w:tab/>
            </w:r>
            <w:r w:rsidR="00DB6221" w:rsidRPr="00B5188A">
              <w:rPr>
                <w:rStyle w:val="Hyperlink"/>
              </w:rPr>
              <w:t>Reasons for final decision</w:t>
            </w:r>
            <w:r w:rsidR="00DB6221">
              <w:rPr>
                <w:webHidden/>
              </w:rPr>
              <w:tab/>
            </w:r>
            <w:r w:rsidR="00DB6221">
              <w:rPr>
                <w:webHidden/>
              </w:rPr>
              <w:fldChar w:fldCharType="begin"/>
            </w:r>
            <w:r w:rsidR="00DB6221">
              <w:rPr>
                <w:webHidden/>
              </w:rPr>
              <w:instrText xml:space="preserve"> PAGEREF _Toc420943871 \h </w:instrText>
            </w:r>
            <w:r w:rsidR="00DB6221">
              <w:rPr>
                <w:webHidden/>
              </w:rPr>
            </w:r>
            <w:r w:rsidR="00DB6221">
              <w:rPr>
                <w:webHidden/>
              </w:rPr>
              <w:fldChar w:fldCharType="separate"/>
            </w:r>
            <w:r w:rsidR="00DB6221">
              <w:rPr>
                <w:webHidden/>
              </w:rPr>
              <w:t>6-20</w:t>
            </w:r>
            <w:r w:rsidR="00DB6221">
              <w:rPr>
                <w:webHidden/>
              </w:rPr>
              <w:fldChar w:fldCharType="end"/>
            </w:r>
          </w:hyperlink>
        </w:p>
        <w:p w:rsidR="00DB6221" w:rsidRDefault="00C62F3B">
          <w:pPr>
            <w:pStyle w:val="TOC3"/>
            <w:rPr>
              <w:rFonts w:asciiTheme="minorHAnsi" w:eastAsiaTheme="minorEastAsia" w:hAnsiTheme="minorHAnsi"/>
              <w:lang w:eastAsia="en-AU"/>
            </w:rPr>
          </w:pPr>
          <w:hyperlink w:anchor="_Toc420943872" w:history="1">
            <w:r w:rsidR="00DB6221" w:rsidRPr="00B5188A">
              <w:rPr>
                <w:rStyle w:val="Hyperlink"/>
              </w:rPr>
              <w:t>6.4.1</w:t>
            </w:r>
            <w:r w:rsidR="00DB6221">
              <w:rPr>
                <w:rFonts w:asciiTheme="minorHAnsi" w:eastAsiaTheme="minorEastAsia" w:hAnsiTheme="minorHAnsi"/>
                <w:lang w:eastAsia="en-AU"/>
              </w:rPr>
              <w:tab/>
            </w:r>
            <w:r w:rsidR="00DB6221" w:rsidRPr="00B5188A">
              <w:rPr>
                <w:rStyle w:val="Hyperlink"/>
              </w:rPr>
              <w:t>Conforming capex for 2009–14</w:t>
            </w:r>
            <w:r w:rsidR="00DB6221">
              <w:rPr>
                <w:webHidden/>
              </w:rPr>
              <w:tab/>
            </w:r>
            <w:r w:rsidR="00DB6221">
              <w:rPr>
                <w:webHidden/>
              </w:rPr>
              <w:fldChar w:fldCharType="begin"/>
            </w:r>
            <w:r w:rsidR="00DB6221">
              <w:rPr>
                <w:webHidden/>
              </w:rPr>
              <w:instrText xml:space="preserve"> PAGEREF _Toc420943872 \h </w:instrText>
            </w:r>
            <w:r w:rsidR="00DB6221">
              <w:rPr>
                <w:webHidden/>
              </w:rPr>
            </w:r>
            <w:r w:rsidR="00DB6221">
              <w:rPr>
                <w:webHidden/>
              </w:rPr>
              <w:fldChar w:fldCharType="separate"/>
            </w:r>
            <w:r w:rsidR="00DB6221">
              <w:rPr>
                <w:webHidden/>
              </w:rPr>
              <w:t>6-20</w:t>
            </w:r>
            <w:r w:rsidR="00DB6221">
              <w:rPr>
                <w:webHidden/>
              </w:rPr>
              <w:fldChar w:fldCharType="end"/>
            </w:r>
          </w:hyperlink>
        </w:p>
        <w:p w:rsidR="00DB6221" w:rsidRDefault="00C62F3B">
          <w:pPr>
            <w:pStyle w:val="TOC3"/>
            <w:rPr>
              <w:rFonts w:asciiTheme="minorHAnsi" w:eastAsiaTheme="minorEastAsia" w:hAnsiTheme="minorHAnsi"/>
              <w:lang w:eastAsia="en-AU"/>
            </w:rPr>
          </w:pPr>
          <w:hyperlink w:anchor="_Toc420943873" w:history="1">
            <w:r w:rsidR="00DB6221" w:rsidRPr="00B5188A">
              <w:rPr>
                <w:rStyle w:val="Hyperlink"/>
              </w:rPr>
              <w:t>6.4.2</w:t>
            </w:r>
            <w:r w:rsidR="00DB6221">
              <w:rPr>
                <w:rFonts w:asciiTheme="minorHAnsi" w:eastAsiaTheme="minorEastAsia" w:hAnsiTheme="minorHAnsi"/>
                <w:lang w:eastAsia="en-AU"/>
              </w:rPr>
              <w:tab/>
            </w:r>
            <w:r w:rsidR="00DB6221" w:rsidRPr="00B5188A">
              <w:rPr>
                <w:rStyle w:val="Hyperlink"/>
              </w:rPr>
              <w:t>Conforming capex for the 2015–20 access arrangement period</w:t>
            </w:r>
            <w:r w:rsidR="00DB6221">
              <w:rPr>
                <w:webHidden/>
              </w:rPr>
              <w:tab/>
            </w:r>
            <w:r w:rsidR="00DB6221">
              <w:rPr>
                <w:webHidden/>
              </w:rPr>
              <w:fldChar w:fldCharType="begin"/>
            </w:r>
            <w:r w:rsidR="00DB6221">
              <w:rPr>
                <w:webHidden/>
              </w:rPr>
              <w:instrText xml:space="preserve"> PAGEREF _Toc420943873 \h </w:instrText>
            </w:r>
            <w:r w:rsidR="00DB6221">
              <w:rPr>
                <w:webHidden/>
              </w:rPr>
            </w:r>
            <w:r w:rsidR="00DB6221">
              <w:rPr>
                <w:webHidden/>
              </w:rPr>
              <w:fldChar w:fldCharType="separate"/>
            </w:r>
            <w:r w:rsidR="00DB6221">
              <w:rPr>
                <w:webHidden/>
              </w:rPr>
              <w:t>6-21</w:t>
            </w:r>
            <w:r w:rsidR="00DB6221">
              <w:rPr>
                <w:webHidden/>
              </w:rPr>
              <w:fldChar w:fldCharType="end"/>
            </w:r>
          </w:hyperlink>
        </w:p>
        <w:p w:rsidR="00DB6221" w:rsidRDefault="00C62F3B">
          <w:pPr>
            <w:pStyle w:val="TOC3"/>
            <w:rPr>
              <w:rFonts w:asciiTheme="minorHAnsi" w:eastAsiaTheme="minorEastAsia" w:hAnsiTheme="minorHAnsi"/>
              <w:lang w:eastAsia="en-AU"/>
            </w:rPr>
          </w:pPr>
          <w:hyperlink w:anchor="_Toc420943874" w:history="1">
            <w:r w:rsidR="00DB6221" w:rsidRPr="00B5188A">
              <w:rPr>
                <w:rStyle w:val="Hyperlink"/>
              </w:rPr>
              <w:t>6.4.3</w:t>
            </w:r>
            <w:r w:rsidR="00DB6221">
              <w:rPr>
                <w:rFonts w:asciiTheme="minorHAnsi" w:eastAsiaTheme="minorEastAsia" w:hAnsiTheme="minorHAnsi"/>
                <w:lang w:eastAsia="en-AU"/>
              </w:rPr>
              <w:tab/>
            </w:r>
            <w:r w:rsidR="00DB6221" w:rsidRPr="00B5188A">
              <w:rPr>
                <w:rStyle w:val="Hyperlink"/>
              </w:rPr>
              <w:t>Adjustments to labour and material escalation</w:t>
            </w:r>
            <w:r w:rsidR="00DB6221">
              <w:rPr>
                <w:webHidden/>
              </w:rPr>
              <w:tab/>
            </w:r>
            <w:r w:rsidR="00DB6221">
              <w:rPr>
                <w:webHidden/>
              </w:rPr>
              <w:fldChar w:fldCharType="begin"/>
            </w:r>
            <w:r w:rsidR="00DB6221">
              <w:rPr>
                <w:webHidden/>
              </w:rPr>
              <w:instrText xml:space="preserve"> PAGEREF _Toc420943874 \h </w:instrText>
            </w:r>
            <w:r w:rsidR="00DB6221">
              <w:rPr>
                <w:webHidden/>
              </w:rPr>
            </w:r>
            <w:r w:rsidR="00DB6221">
              <w:rPr>
                <w:webHidden/>
              </w:rPr>
              <w:fldChar w:fldCharType="separate"/>
            </w:r>
            <w:r w:rsidR="00DB6221">
              <w:rPr>
                <w:webHidden/>
              </w:rPr>
              <w:t>6-49</w:t>
            </w:r>
            <w:r w:rsidR="00DB6221">
              <w:rPr>
                <w:webHidden/>
              </w:rPr>
              <w:fldChar w:fldCharType="end"/>
            </w:r>
          </w:hyperlink>
        </w:p>
        <w:p w:rsidR="00DB6221" w:rsidRDefault="00C62F3B">
          <w:pPr>
            <w:pStyle w:val="TOC1"/>
            <w:rPr>
              <w:rFonts w:asciiTheme="minorHAnsi" w:eastAsiaTheme="minorEastAsia" w:hAnsiTheme="minorHAnsi"/>
              <w:b w:val="0"/>
              <w:color w:val="auto"/>
              <w:sz w:val="22"/>
              <w:lang w:val="en-AU" w:eastAsia="en-AU"/>
            </w:rPr>
          </w:pPr>
          <w:hyperlink w:anchor="_Toc420943875" w:history="1">
            <w:r w:rsidR="00DB6221" w:rsidRPr="00B5188A">
              <w:rPr>
                <w:rStyle w:val="Hyperlink"/>
              </w:rPr>
              <w:t>A</w:t>
            </w:r>
            <w:r w:rsidR="00DB6221">
              <w:rPr>
                <w:rFonts w:asciiTheme="minorHAnsi" w:eastAsiaTheme="minorEastAsia" w:hAnsiTheme="minorHAnsi"/>
                <w:b w:val="0"/>
                <w:color w:val="auto"/>
                <w:sz w:val="22"/>
                <w:lang w:val="en-AU" w:eastAsia="en-AU"/>
              </w:rPr>
              <w:tab/>
            </w:r>
            <w:r w:rsidR="00DB6221" w:rsidRPr="00B5188A">
              <w:rPr>
                <w:rStyle w:val="Hyperlink"/>
              </w:rPr>
              <w:t>Appendix: Real material cost escalation</w:t>
            </w:r>
            <w:r w:rsidR="00DB6221">
              <w:rPr>
                <w:webHidden/>
              </w:rPr>
              <w:tab/>
            </w:r>
            <w:r w:rsidR="00DB6221">
              <w:rPr>
                <w:webHidden/>
              </w:rPr>
              <w:fldChar w:fldCharType="begin"/>
            </w:r>
            <w:r w:rsidR="00DB6221">
              <w:rPr>
                <w:webHidden/>
              </w:rPr>
              <w:instrText xml:space="preserve"> PAGEREF _Toc420943875 \h </w:instrText>
            </w:r>
            <w:r w:rsidR="00DB6221">
              <w:rPr>
                <w:webHidden/>
              </w:rPr>
            </w:r>
            <w:r w:rsidR="00DB6221">
              <w:rPr>
                <w:webHidden/>
              </w:rPr>
              <w:fldChar w:fldCharType="separate"/>
            </w:r>
            <w:r w:rsidR="00DB6221">
              <w:rPr>
                <w:webHidden/>
              </w:rPr>
              <w:t>6-50</w:t>
            </w:r>
            <w:r w:rsidR="00DB6221">
              <w:rPr>
                <w:webHidden/>
              </w:rPr>
              <w:fldChar w:fldCharType="end"/>
            </w:r>
          </w:hyperlink>
        </w:p>
        <w:p w:rsidR="00DB6221" w:rsidRDefault="00C62F3B">
          <w:pPr>
            <w:pStyle w:val="TOC2"/>
            <w:rPr>
              <w:rFonts w:asciiTheme="minorHAnsi" w:eastAsiaTheme="minorEastAsia" w:hAnsiTheme="minorHAnsi"/>
              <w:b w:val="0"/>
              <w:color w:val="auto"/>
              <w:sz w:val="22"/>
              <w:lang w:eastAsia="en-AU"/>
            </w:rPr>
          </w:pPr>
          <w:hyperlink w:anchor="_Toc420943876" w:history="1">
            <w:r w:rsidR="00DB6221" w:rsidRPr="00B5188A">
              <w:rPr>
                <w:rStyle w:val="Hyperlink"/>
              </w:rPr>
              <w:t>A.1</w:t>
            </w:r>
            <w:r w:rsidR="00DB6221">
              <w:rPr>
                <w:rFonts w:asciiTheme="minorHAnsi" w:eastAsiaTheme="minorEastAsia" w:hAnsiTheme="minorHAnsi"/>
                <w:b w:val="0"/>
                <w:color w:val="auto"/>
                <w:sz w:val="22"/>
                <w:lang w:eastAsia="en-AU"/>
              </w:rPr>
              <w:tab/>
            </w:r>
            <w:r w:rsidR="00DB6221" w:rsidRPr="00B5188A">
              <w:rPr>
                <w:rStyle w:val="Hyperlink"/>
              </w:rPr>
              <w:t>Position</w:t>
            </w:r>
            <w:r w:rsidR="00DB6221">
              <w:rPr>
                <w:webHidden/>
              </w:rPr>
              <w:tab/>
            </w:r>
            <w:r w:rsidR="00DB6221">
              <w:rPr>
                <w:webHidden/>
              </w:rPr>
              <w:fldChar w:fldCharType="begin"/>
            </w:r>
            <w:r w:rsidR="00DB6221">
              <w:rPr>
                <w:webHidden/>
              </w:rPr>
              <w:instrText xml:space="preserve"> PAGEREF _Toc420943876 \h </w:instrText>
            </w:r>
            <w:r w:rsidR="00DB6221">
              <w:rPr>
                <w:webHidden/>
              </w:rPr>
            </w:r>
            <w:r w:rsidR="00DB6221">
              <w:rPr>
                <w:webHidden/>
              </w:rPr>
              <w:fldChar w:fldCharType="separate"/>
            </w:r>
            <w:r w:rsidR="00DB6221">
              <w:rPr>
                <w:webHidden/>
              </w:rPr>
              <w:t>6-50</w:t>
            </w:r>
            <w:r w:rsidR="00DB6221">
              <w:rPr>
                <w:webHidden/>
              </w:rPr>
              <w:fldChar w:fldCharType="end"/>
            </w:r>
          </w:hyperlink>
        </w:p>
        <w:p w:rsidR="00DB6221" w:rsidRDefault="00C62F3B">
          <w:pPr>
            <w:pStyle w:val="TOC2"/>
            <w:rPr>
              <w:rFonts w:asciiTheme="minorHAnsi" w:eastAsiaTheme="minorEastAsia" w:hAnsiTheme="minorHAnsi"/>
              <w:b w:val="0"/>
              <w:color w:val="auto"/>
              <w:sz w:val="22"/>
              <w:lang w:eastAsia="en-AU"/>
            </w:rPr>
          </w:pPr>
          <w:hyperlink w:anchor="_Toc420943877" w:history="1">
            <w:r w:rsidR="00DB6221" w:rsidRPr="00B5188A">
              <w:rPr>
                <w:rStyle w:val="Hyperlink"/>
              </w:rPr>
              <w:t>A.2</w:t>
            </w:r>
            <w:r w:rsidR="00DB6221">
              <w:rPr>
                <w:rFonts w:asciiTheme="minorHAnsi" w:eastAsiaTheme="minorEastAsia" w:hAnsiTheme="minorHAnsi"/>
                <w:b w:val="0"/>
                <w:color w:val="auto"/>
                <w:sz w:val="22"/>
                <w:lang w:eastAsia="en-AU"/>
              </w:rPr>
              <w:tab/>
            </w:r>
            <w:r w:rsidR="00DB6221" w:rsidRPr="00B5188A">
              <w:rPr>
                <w:rStyle w:val="Hyperlink"/>
              </w:rPr>
              <w:t>JGN’s revised proposal</w:t>
            </w:r>
            <w:r w:rsidR="00DB6221">
              <w:rPr>
                <w:webHidden/>
              </w:rPr>
              <w:tab/>
            </w:r>
            <w:r w:rsidR="00DB6221">
              <w:rPr>
                <w:webHidden/>
              </w:rPr>
              <w:fldChar w:fldCharType="begin"/>
            </w:r>
            <w:r w:rsidR="00DB6221">
              <w:rPr>
                <w:webHidden/>
              </w:rPr>
              <w:instrText xml:space="preserve"> PAGEREF _Toc420943877 \h </w:instrText>
            </w:r>
            <w:r w:rsidR="00DB6221">
              <w:rPr>
                <w:webHidden/>
              </w:rPr>
            </w:r>
            <w:r w:rsidR="00DB6221">
              <w:rPr>
                <w:webHidden/>
              </w:rPr>
              <w:fldChar w:fldCharType="separate"/>
            </w:r>
            <w:r w:rsidR="00DB6221">
              <w:rPr>
                <w:webHidden/>
              </w:rPr>
              <w:t>6-50</w:t>
            </w:r>
            <w:r w:rsidR="00DB6221">
              <w:rPr>
                <w:webHidden/>
              </w:rPr>
              <w:fldChar w:fldCharType="end"/>
            </w:r>
          </w:hyperlink>
        </w:p>
        <w:p w:rsidR="00DB6221" w:rsidRDefault="00C62F3B">
          <w:pPr>
            <w:pStyle w:val="TOC2"/>
            <w:rPr>
              <w:rFonts w:asciiTheme="minorHAnsi" w:eastAsiaTheme="minorEastAsia" w:hAnsiTheme="minorHAnsi"/>
              <w:b w:val="0"/>
              <w:color w:val="auto"/>
              <w:sz w:val="22"/>
              <w:lang w:eastAsia="en-AU"/>
            </w:rPr>
          </w:pPr>
          <w:hyperlink w:anchor="_Toc420943878" w:history="1">
            <w:r w:rsidR="00DB6221" w:rsidRPr="00B5188A">
              <w:rPr>
                <w:rStyle w:val="Hyperlink"/>
              </w:rPr>
              <w:t>A.3</w:t>
            </w:r>
            <w:r w:rsidR="00DB6221">
              <w:rPr>
                <w:rFonts w:asciiTheme="minorHAnsi" w:eastAsiaTheme="minorEastAsia" w:hAnsiTheme="minorHAnsi"/>
                <w:b w:val="0"/>
                <w:color w:val="auto"/>
                <w:sz w:val="22"/>
                <w:lang w:eastAsia="en-AU"/>
              </w:rPr>
              <w:tab/>
            </w:r>
            <w:r w:rsidR="00DB6221" w:rsidRPr="00B5188A">
              <w:rPr>
                <w:rStyle w:val="Hyperlink"/>
              </w:rPr>
              <w:t>Reasons</w:t>
            </w:r>
            <w:r w:rsidR="00DB6221">
              <w:rPr>
                <w:webHidden/>
              </w:rPr>
              <w:tab/>
            </w:r>
            <w:r w:rsidR="00DB6221">
              <w:rPr>
                <w:webHidden/>
              </w:rPr>
              <w:fldChar w:fldCharType="begin"/>
            </w:r>
            <w:r w:rsidR="00DB6221">
              <w:rPr>
                <w:webHidden/>
              </w:rPr>
              <w:instrText xml:space="preserve"> PAGEREF _Toc420943878 \h </w:instrText>
            </w:r>
            <w:r w:rsidR="00DB6221">
              <w:rPr>
                <w:webHidden/>
              </w:rPr>
            </w:r>
            <w:r w:rsidR="00DB6221">
              <w:rPr>
                <w:webHidden/>
              </w:rPr>
              <w:fldChar w:fldCharType="separate"/>
            </w:r>
            <w:r w:rsidR="00DB6221">
              <w:rPr>
                <w:webHidden/>
              </w:rPr>
              <w:t>6-52</w:t>
            </w:r>
            <w:r w:rsidR="00DB6221">
              <w:rPr>
                <w:webHidden/>
              </w:rPr>
              <w:fldChar w:fldCharType="end"/>
            </w:r>
          </w:hyperlink>
        </w:p>
        <w:p w:rsidR="00DB6221" w:rsidRDefault="00C62F3B">
          <w:pPr>
            <w:pStyle w:val="TOC2"/>
            <w:rPr>
              <w:rFonts w:asciiTheme="minorHAnsi" w:eastAsiaTheme="minorEastAsia" w:hAnsiTheme="minorHAnsi"/>
              <w:b w:val="0"/>
              <w:color w:val="auto"/>
              <w:sz w:val="22"/>
              <w:lang w:eastAsia="en-AU"/>
            </w:rPr>
          </w:pPr>
          <w:hyperlink w:anchor="_Toc420943879" w:history="1">
            <w:r w:rsidR="00DB6221" w:rsidRPr="00B5188A">
              <w:rPr>
                <w:rStyle w:val="Hyperlink"/>
              </w:rPr>
              <w:t>A.4</w:t>
            </w:r>
            <w:r w:rsidR="00DB6221">
              <w:rPr>
                <w:rFonts w:asciiTheme="minorHAnsi" w:eastAsiaTheme="minorEastAsia" w:hAnsiTheme="minorHAnsi"/>
                <w:b w:val="0"/>
                <w:color w:val="auto"/>
                <w:sz w:val="22"/>
                <w:lang w:eastAsia="en-AU"/>
              </w:rPr>
              <w:tab/>
            </w:r>
            <w:r w:rsidR="00DB6221" w:rsidRPr="00B5188A">
              <w:rPr>
                <w:rStyle w:val="Hyperlink"/>
              </w:rPr>
              <w:t>Labour escalators</w:t>
            </w:r>
            <w:r w:rsidR="00DB6221">
              <w:rPr>
                <w:webHidden/>
              </w:rPr>
              <w:tab/>
            </w:r>
            <w:r w:rsidR="00DB6221">
              <w:rPr>
                <w:webHidden/>
              </w:rPr>
              <w:fldChar w:fldCharType="begin"/>
            </w:r>
            <w:r w:rsidR="00DB6221">
              <w:rPr>
                <w:webHidden/>
              </w:rPr>
              <w:instrText xml:space="preserve"> PAGEREF _Toc420943879 \h </w:instrText>
            </w:r>
            <w:r w:rsidR="00DB6221">
              <w:rPr>
                <w:webHidden/>
              </w:rPr>
            </w:r>
            <w:r w:rsidR="00DB6221">
              <w:rPr>
                <w:webHidden/>
              </w:rPr>
              <w:fldChar w:fldCharType="separate"/>
            </w:r>
            <w:r w:rsidR="00DB6221">
              <w:rPr>
                <w:webHidden/>
              </w:rPr>
              <w:t>6-60</w:t>
            </w:r>
            <w:r w:rsidR="00DB6221">
              <w:rPr>
                <w:webHidden/>
              </w:rPr>
              <w:fldChar w:fldCharType="end"/>
            </w:r>
          </w:hyperlink>
        </w:p>
        <w:p w:rsidR="00DE563D" w:rsidRDefault="00DD5364" w:rsidP="00DD5364">
          <w:pPr>
            <w:pStyle w:val="TOC1"/>
          </w:pPr>
          <w:r>
            <w:rPr>
              <w:color w:val="auto"/>
              <w:sz w:val="22"/>
            </w:rP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20943858"/>
      <w:r>
        <w:lastRenderedPageBreak/>
        <w:t>Shortened forms</w:t>
      </w:r>
      <w:bookmarkEnd w:id="8"/>
      <w:bookmarkEnd w:id="9"/>
    </w:p>
    <w:p w:rsidR="00DE563D" w:rsidRPr="00271F7C" w:rsidRDefault="00DE563D" w:rsidP="00DE563D">
      <w:pPr>
        <w:numPr>
          <w:ilvl w:val="0"/>
          <w:numId w:val="25"/>
        </w:numPr>
      </w:pPr>
    </w:p>
    <w:tbl>
      <w:tblPr>
        <w:tblStyle w:val="AERtable-numbers"/>
        <w:tblW w:w="0" w:type="auto"/>
        <w:tblLook w:val="04A0" w:firstRow="1" w:lastRow="0" w:firstColumn="1" w:lastColumn="0" w:noHBand="0" w:noVBand="1"/>
      </w:tblPr>
      <w:tblGrid>
        <w:gridCol w:w="3652"/>
        <w:gridCol w:w="5041"/>
      </w:tblGrid>
      <w:tr w:rsidR="00FB5826" w:rsidTr="00FB58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Shortened form</w:t>
            </w:r>
          </w:p>
        </w:tc>
        <w:tc>
          <w:tcPr>
            <w:tcW w:w="5041" w:type="dxa"/>
          </w:tcPr>
          <w:p w:rsidR="00FB5826" w:rsidRDefault="00FB5826" w:rsidP="00FB5826">
            <w:pPr>
              <w:numPr>
                <w:ilvl w:val="0"/>
                <w:numId w:val="25"/>
              </w:numPr>
              <w:cnfStyle w:val="100000000000" w:firstRow="1" w:lastRow="0" w:firstColumn="0" w:lastColumn="0" w:oddVBand="0" w:evenVBand="0" w:oddHBand="0" w:evenHBand="0" w:firstRowFirstColumn="0" w:firstRowLastColumn="0" w:lastRowFirstColumn="0" w:lastRowLastColumn="0"/>
            </w:pPr>
            <w:r>
              <w:t>Extended form</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AER</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Australian Energy Regulator</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capex</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capital expenditure</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CAPM</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capital asset pricing model</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CCP</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Consumer Challenge Panel</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Code</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National Third Party Access Code for Natural Gas Pipeline Systems</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CPI</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consumer price index</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DRP</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debt risk premium</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ERP</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equity risk premium</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JGN</w:t>
            </w:r>
          </w:p>
        </w:tc>
        <w:tc>
          <w:tcPr>
            <w:tcW w:w="5041" w:type="dxa"/>
          </w:tcPr>
          <w:p w:rsidR="00FB5826" w:rsidRDefault="00FB5826" w:rsidP="00C102FE">
            <w:pPr>
              <w:numPr>
                <w:ilvl w:val="0"/>
                <w:numId w:val="25"/>
              </w:numPr>
              <w:cnfStyle w:val="000000000000" w:firstRow="0" w:lastRow="0" w:firstColumn="0" w:lastColumn="0" w:oddVBand="0" w:evenVBand="0" w:oddHBand="0" w:evenHBand="0" w:firstRowFirstColumn="0" w:firstRowLastColumn="0" w:lastRowFirstColumn="0" w:lastRowLastColumn="0"/>
            </w:pPr>
            <w:r>
              <w:t>Jemena Gas Networks (NSW) Ltd (A</w:t>
            </w:r>
            <w:r w:rsidR="00C102FE">
              <w:t>C</w:t>
            </w:r>
            <w:r>
              <w:t>N 003 004 322)</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MRP</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market risk premium</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NGL</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national gas law</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NGO</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national gas objective</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NGR</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national gas rules</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proofErr w:type="spellStart"/>
            <w:r>
              <w:t>opex</w:t>
            </w:r>
            <w:proofErr w:type="spellEnd"/>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operating expenditure</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PPI</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partial performance indicators</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PTRM</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post-tax revenue model</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RAB</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regulatory asset base</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RBA</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Reserve Bank of Australia</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RFM</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roll forward model</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RIN</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RPP</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revenue and pricing principles</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SLCAPM</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WACC</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E563D" w:rsidRPr="00436A39" w:rsidRDefault="00DE563D" w:rsidP="00DE563D">
      <w:pPr>
        <w:numPr>
          <w:ilvl w:val="0"/>
          <w:numId w:val="25"/>
        </w:numPr>
      </w:pPr>
    </w:p>
    <w:p w:rsidR="00DE563D" w:rsidRDefault="00DE563D" w:rsidP="00DE563D"/>
    <w:p w:rsidR="00DE563D" w:rsidRPr="00AF1F9E" w:rsidRDefault="0082643B" w:rsidP="0082643B">
      <w:pPr>
        <w:pStyle w:val="Heading1"/>
      </w:pPr>
      <w:bookmarkStart w:id="10" w:name="_Toc420943859"/>
      <w:r>
        <w:lastRenderedPageBreak/>
        <w:t>Capital expenditure</w:t>
      </w:r>
      <w:bookmarkEnd w:id="10"/>
    </w:p>
    <w:p w:rsidR="00DE563D" w:rsidRPr="00AF1F9E" w:rsidRDefault="00123034" w:rsidP="00AF1F9E">
      <w:pPr>
        <w:numPr>
          <w:ilvl w:val="0"/>
          <w:numId w:val="25"/>
        </w:numPr>
      </w:pPr>
      <w:r w:rsidRPr="00EE386B">
        <w:t xml:space="preserve">This attachment outlines </w:t>
      </w:r>
      <w:r>
        <w:t>our</w:t>
      </w:r>
      <w:r w:rsidRPr="00EE386B">
        <w:t xml:space="preserve"> assessment of </w:t>
      </w:r>
      <w:r>
        <w:t xml:space="preserve">JGN‘s </w:t>
      </w:r>
      <w:r w:rsidRPr="00EE386B">
        <w:t xml:space="preserve">proposed </w:t>
      </w:r>
      <w:r>
        <w:t xml:space="preserve">conforming </w:t>
      </w:r>
      <w:r w:rsidRPr="00EE386B">
        <w:t xml:space="preserve">capex for </w:t>
      </w:r>
      <w:r>
        <w:t>2009</w:t>
      </w:r>
      <w:r w:rsidRPr="00EE386B">
        <w:t>–</w:t>
      </w:r>
      <w:r>
        <w:t xml:space="preserve">14 </w:t>
      </w:r>
      <w:r w:rsidRPr="00EE386B">
        <w:t>and forecast capex for the 20</w:t>
      </w:r>
      <w:r>
        <w:t>15</w:t>
      </w:r>
      <w:r w:rsidRPr="00EE386B">
        <w:t>–</w:t>
      </w:r>
      <w:r>
        <w:t>20</w:t>
      </w:r>
      <w:r w:rsidRPr="00EE386B">
        <w:t xml:space="preserve"> access arrangement period.</w:t>
      </w:r>
    </w:p>
    <w:p w:rsidR="00DE563D" w:rsidRPr="00AF1F9E" w:rsidRDefault="00AF1F9E" w:rsidP="00AF1F9E">
      <w:pPr>
        <w:pStyle w:val="Heading2"/>
      </w:pPr>
      <w:bookmarkStart w:id="11" w:name="_Toc403144136"/>
      <w:bookmarkStart w:id="12" w:name="_Toc420943860"/>
      <w:r>
        <w:t>Final</w:t>
      </w:r>
      <w:r w:rsidR="00DE563D" w:rsidRPr="00AF1F9E">
        <w:t xml:space="preserve"> decision</w:t>
      </w:r>
      <w:bookmarkEnd w:id="11"/>
      <w:bookmarkEnd w:id="12"/>
    </w:p>
    <w:p w:rsidR="00123034" w:rsidRPr="00EE386B" w:rsidRDefault="00123034" w:rsidP="00123034">
      <w:pPr>
        <w:pStyle w:val="HeadingBoldBlue"/>
        <w:numPr>
          <w:ilvl w:val="0"/>
          <w:numId w:val="25"/>
        </w:numPr>
        <w:rPr>
          <w:rStyle w:val="AERtextblue"/>
        </w:rPr>
      </w:pPr>
      <w:bookmarkStart w:id="13" w:name="_Toc420943861"/>
      <w:r w:rsidRPr="00EE386B">
        <w:rPr>
          <w:rStyle w:val="AERtextblue"/>
        </w:rPr>
        <w:t xml:space="preserve">Conforming </w:t>
      </w:r>
      <w:r>
        <w:rPr>
          <w:rStyle w:val="AERtextblue"/>
        </w:rPr>
        <w:t>capex</w:t>
      </w:r>
      <w:r w:rsidRPr="00EE386B">
        <w:rPr>
          <w:rStyle w:val="AERtextblue"/>
        </w:rPr>
        <w:t xml:space="preserve"> for 20</w:t>
      </w:r>
      <w:r>
        <w:rPr>
          <w:rStyle w:val="AERtextblue"/>
        </w:rPr>
        <w:t>09</w:t>
      </w:r>
      <w:r w:rsidRPr="00EE386B">
        <w:rPr>
          <w:rStyle w:val="AERtextblue"/>
        </w:rPr>
        <w:t>–1</w:t>
      </w:r>
      <w:r>
        <w:rPr>
          <w:rStyle w:val="AERtextblue"/>
        </w:rPr>
        <w:t>4</w:t>
      </w:r>
      <w:bookmarkEnd w:id="13"/>
    </w:p>
    <w:p w:rsidR="00123034" w:rsidRDefault="00123034" w:rsidP="000A7100">
      <w:pPr>
        <w:numPr>
          <w:ilvl w:val="0"/>
          <w:numId w:val="25"/>
        </w:numPr>
      </w:pPr>
      <w:r>
        <w:t>We</w:t>
      </w:r>
      <w:r w:rsidRPr="00EE386B">
        <w:t xml:space="preserve"> approve $</w:t>
      </w:r>
      <w:r w:rsidR="000A7100" w:rsidRPr="000A7100">
        <w:t>775.8</w:t>
      </w:r>
      <w:r w:rsidRPr="00EE386B">
        <w:t xml:space="preserve"> million ($201</w:t>
      </w:r>
      <w:r>
        <w:t>5</w:t>
      </w:r>
      <w:r w:rsidRPr="00EE386B">
        <w:t>) total net capex for 20</w:t>
      </w:r>
      <w:r>
        <w:t>09</w:t>
      </w:r>
      <w:r w:rsidRPr="00EE386B">
        <w:t>–1</w:t>
      </w:r>
      <w:r>
        <w:t>4</w:t>
      </w:r>
      <w:r w:rsidRPr="00EE386B">
        <w:t xml:space="preserve"> as conforming capex under r. 79(1) of the NGR.</w:t>
      </w:r>
      <w:r w:rsidR="00BC65D5">
        <w:t xml:space="preserve"> We have made all revisions necessary to give effect to this final decision in the </w:t>
      </w:r>
      <w:r w:rsidR="00BC65D5">
        <w:rPr>
          <w:i/>
        </w:rPr>
        <w:t>Approved Access Arrangement, JGN’s NSW distribution networks 1 July 2015 – 30 June 2020</w:t>
      </w:r>
      <w:r w:rsidR="00BC65D5">
        <w:t xml:space="preserve"> (</w:t>
      </w:r>
      <w:r w:rsidR="00A2268D">
        <w:t xml:space="preserve">June </w:t>
      </w:r>
      <w:r w:rsidR="00BC65D5">
        <w:t>2015).</w:t>
      </w:r>
      <w:r w:rsidR="00BC65D5">
        <w:rPr>
          <w:rStyle w:val="FootnoteReference"/>
        </w:rPr>
        <w:footnoteReference w:id="1"/>
      </w:r>
    </w:p>
    <w:p w:rsidR="00A2268D" w:rsidRDefault="00A2268D" w:rsidP="000A7100">
      <w:pPr>
        <w:numPr>
          <w:ilvl w:val="0"/>
          <w:numId w:val="25"/>
        </w:numPr>
      </w:pPr>
      <w:r>
        <w:fldChar w:fldCharType="begin"/>
      </w:r>
      <w:r>
        <w:instrText xml:space="preserve"> REF _Ref404334270 \h </w:instrText>
      </w:r>
      <w:r>
        <w:fldChar w:fldCharType="separate"/>
      </w:r>
      <w:r w:rsidR="00D51AD6">
        <w:t xml:space="preserve">Table </w:t>
      </w:r>
      <w:r w:rsidR="00D51AD6">
        <w:rPr>
          <w:noProof/>
        </w:rPr>
        <w:t>6</w:t>
      </w:r>
      <w:r w:rsidR="00D51AD6">
        <w:t>.</w:t>
      </w:r>
      <w:r w:rsidR="00D51AD6">
        <w:rPr>
          <w:noProof/>
        </w:rPr>
        <w:t>1</w:t>
      </w:r>
      <w:r>
        <w:fldChar w:fldCharType="end"/>
      </w:r>
      <w:r>
        <w:t xml:space="preserve"> shows our approved capex for 2009</w:t>
      </w:r>
      <w:r w:rsidRPr="00EE386B">
        <w:t>–</w:t>
      </w:r>
      <w:r>
        <w:t>14 by category.</w:t>
      </w:r>
    </w:p>
    <w:p w:rsidR="00123034" w:rsidRDefault="00123034" w:rsidP="00B361A4">
      <w:pPr>
        <w:pStyle w:val="Tabletitle"/>
      </w:pPr>
      <w:bookmarkStart w:id="14" w:name="_Ref404334270"/>
      <w:proofErr w:type="gramStart"/>
      <w:r>
        <w:t xml:space="preserve">Table </w:t>
      </w:r>
      <w:r w:rsidR="00C62F3B">
        <w:fldChar w:fldCharType="begin"/>
      </w:r>
      <w:r w:rsidR="00C62F3B">
        <w:instrText xml:space="preserve"> STYLEREF 1 \s </w:instrText>
      </w:r>
      <w:r w:rsidR="00C62F3B">
        <w:fldChar w:fldCharType="separate"/>
      </w:r>
      <w:r w:rsidR="00D51AD6">
        <w:rPr>
          <w:noProof/>
        </w:rPr>
        <w:t>6</w:t>
      </w:r>
      <w:r w:rsidR="00C62F3B">
        <w:rPr>
          <w:noProof/>
        </w:rPr>
        <w:fldChar w:fldCharType="end"/>
      </w:r>
      <w:r w:rsidR="007E5469">
        <w:t>.</w:t>
      </w:r>
      <w:proofErr w:type="gramEnd"/>
      <w:r w:rsidR="00C62F3B">
        <w:fldChar w:fldCharType="begin"/>
      </w:r>
      <w:r w:rsidR="00C62F3B">
        <w:instrText xml:space="preserve"> SEQ Table \* ARABIC \s 1 </w:instrText>
      </w:r>
      <w:r w:rsidR="00C62F3B">
        <w:fldChar w:fldCharType="separate"/>
      </w:r>
      <w:r w:rsidR="00D51AD6">
        <w:rPr>
          <w:noProof/>
        </w:rPr>
        <w:t>1</w:t>
      </w:r>
      <w:r w:rsidR="00C62F3B">
        <w:rPr>
          <w:noProof/>
        </w:rPr>
        <w:fldChar w:fldCharType="end"/>
      </w:r>
      <w:bookmarkEnd w:id="14"/>
      <w:r>
        <w:tab/>
      </w:r>
      <w:r w:rsidRPr="00EE71BA">
        <w:t>AER approved capital expenditure by category over 20</w:t>
      </w:r>
      <w:r>
        <w:t>09</w:t>
      </w:r>
      <w:r w:rsidRPr="00EE71BA">
        <w:t>–1</w:t>
      </w:r>
      <w:r>
        <w:t>4</w:t>
      </w:r>
      <w:r w:rsidRPr="00EE71BA">
        <w:t xml:space="preserve"> ($million, 201</w:t>
      </w:r>
      <w:r>
        <w:t>5</w:t>
      </w:r>
      <w:r w:rsidRPr="00EE71BA">
        <w:t>)</w:t>
      </w:r>
    </w:p>
    <w:tbl>
      <w:tblPr>
        <w:tblStyle w:val="AERtable-numbers"/>
        <w:tblW w:w="5000" w:type="pct"/>
        <w:tblLook w:val="04A0" w:firstRow="1" w:lastRow="0" w:firstColumn="1" w:lastColumn="0" w:noHBand="0" w:noVBand="1"/>
      </w:tblPr>
      <w:tblGrid>
        <w:gridCol w:w="3198"/>
        <w:gridCol w:w="916"/>
        <w:gridCol w:w="916"/>
        <w:gridCol w:w="916"/>
        <w:gridCol w:w="916"/>
        <w:gridCol w:w="916"/>
        <w:gridCol w:w="915"/>
      </w:tblGrid>
      <w:tr w:rsidR="00123034" w:rsidRPr="004F416F" w:rsidTr="00C356E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39" w:type="pct"/>
            <w:hideMark/>
          </w:tcPr>
          <w:p w:rsidR="00123034" w:rsidRPr="00123034" w:rsidRDefault="00123034" w:rsidP="00123034">
            <w:r w:rsidRPr="00413233">
              <w:t> Category</w:t>
            </w:r>
          </w:p>
        </w:tc>
        <w:tc>
          <w:tcPr>
            <w:tcW w:w="527" w:type="pct"/>
            <w:hideMark/>
          </w:tcPr>
          <w:p w:rsidR="00123034" w:rsidRPr="00123034" w:rsidRDefault="00123034" w:rsidP="00123034">
            <w:pPr>
              <w:pStyle w:val="AERtabletextright"/>
              <w:cnfStyle w:val="100000000000" w:firstRow="1" w:lastRow="0" w:firstColumn="0" w:lastColumn="0" w:oddVBand="0" w:evenVBand="0" w:oddHBand="0" w:evenHBand="0" w:firstRowFirstColumn="0" w:firstRowLastColumn="0" w:lastRowFirstColumn="0" w:lastRowLastColumn="0"/>
            </w:pPr>
            <w:r w:rsidRPr="00413233">
              <w:t>20</w:t>
            </w:r>
            <w:r w:rsidRPr="00123034">
              <w:t>09–10</w:t>
            </w:r>
          </w:p>
        </w:tc>
        <w:tc>
          <w:tcPr>
            <w:tcW w:w="527" w:type="pct"/>
            <w:hideMark/>
          </w:tcPr>
          <w:p w:rsidR="00123034" w:rsidRPr="00123034" w:rsidRDefault="00123034" w:rsidP="00123034">
            <w:pPr>
              <w:pStyle w:val="AERtabletextright"/>
              <w:cnfStyle w:val="100000000000" w:firstRow="1" w:lastRow="0" w:firstColumn="0" w:lastColumn="0" w:oddVBand="0" w:evenVBand="0" w:oddHBand="0" w:evenHBand="0" w:firstRowFirstColumn="0" w:firstRowLastColumn="0" w:lastRowFirstColumn="0" w:lastRowLastColumn="0"/>
            </w:pPr>
            <w:r w:rsidRPr="00413233">
              <w:t>20</w:t>
            </w:r>
            <w:r w:rsidRPr="00123034">
              <w:t>10–11</w:t>
            </w:r>
          </w:p>
        </w:tc>
        <w:tc>
          <w:tcPr>
            <w:tcW w:w="527" w:type="pct"/>
            <w:hideMark/>
          </w:tcPr>
          <w:p w:rsidR="00123034" w:rsidRPr="00123034" w:rsidRDefault="00123034" w:rsidP="00123034">
            <w:pPr>
              <w:pStyle w:val="AERtabletextright"/>
              <w:cnfStyle w:val="100000000000" w:firstRow="1" w:lastRow="0" w:firstColumn="0" w:lastColumn="0" w:oddVBand="0" w:evenVBand="0" w:oddHBand="0" w:evenHBand="0" w:firstRowFirstColumn="0" w:firstRowLastColumn="0" w:lastRowFirstColumn="0" w:lastRowLastColumn="0"/>
            </w:pPr>
            <w:r w:rsidRPr="00413233">
              <w:t>20</w:t>
            </w:r>
            <w:r w:rsidRPr="00123034">
              <w:t>11–12</w:t>
            </w:r>
          </w:p>
        </w:tc>
        <w:tc>
          <w:tcPr>
            <w:tcW w:w="527" w:type="pct"/>
            <w:hideMark/>
          </w:tcPr>
          <w:p w:rsidR="00123034" w:rsidRPr="00123034" w:rsidRDefault="00123034" w:rsidP="00123034">
            <w:pPr>
              <w:pStyle w:val="AERtabletextright"/>
              <w:cnfStyle w:val="100000000000" w:firstRow="1" w:lastRow="0" w:firstColumn="0" w:lastColumn="0" w:oddVBand="0" w:evenVBand="0" w:oddHBand="0" w:evenHBand="0" w:firstRowFirstColumn="0" w:firstRowLastColumn="0" w:lastRowFirstColumn="0" w:lastRowLastColumn="0"/>
            </w:pPr>
            <w:r w:rsidRPr="00413233">
              <w:t>20</w:t>
            </w:r>
            <w:r w:rsidRPr="00123034">
              <w:t>12–13</w:t>
            </w:r>
          </w:p>
        </w:tc>
        <w:tc>
          <w:tcPr>
            <w:tcW w:w="527" w:type="pct"/>
            <w:hideMark/>
          </w:tcPr>
          <w:p w:rsidR="00123034" w:rsidRPr="00123034" w:rsidRDefault="00123034" w:rsidP="00123034">
            <w:pPr>
              <w:pStyle w:val="AERtabletextright"/>
              <w:cnfStyle w:val="100000000000" w:firstRow="1" w:lastRow="0" w:firstColumn="0" w:lastColumn="0" w:oddVBand="0" w:evenVBand="0" w:oddHBand="0" w:evenHBand="0" w:firstRowFirstColumn="0" w:firstRowLastColumn="0" w:lastRowFirstColumn="0" w:lastRowLastColumn="0"/>
            </w:pPr>
            <w:r w:rsidRPr="00413233">
              <w:t>201</w:t>
            </w:r>
            <w:r w:rsidRPr="00123034">
              <w:t>3–14</w:t>
            </w:r>
          </w:p>
        </w:tc>
        <w:tc>
          <w:tcPr>
            <w:tcW w:w="526" w:type="pct"/>
          </w:tcPr>
          <w:p w:rsidR="00123034" w:rsidRPr="00123034" w:rsidRDefault="00123034" w:rsidP="00123034">
            <w:pPr>
              <w:pStyle w:val="AERtabletextright"/>
              <w:cnfStyle w:val="100000000000" w:firstRow="1" w:lastRow="0" w:firstColumn="0" w:lastColumn="0" w:oddVBand="0" w:evenVBand="0" w:oddHBand="0" w:evenHBand="0" w:firstRowFirstColumn="0" w:firstRowLastColumn="0" w:lastRowFirstColumn="0" w:lastRowLastColumn="0"/>
            </w:pPr>
            <w:r w:rsidRPr="00413233">
              <w:t>201</w:t>
            </w:r>
            <w:r w:rsidRPr="00123034">
              <w:t>4–15</w:t>
            </w:r>
            <w:r w:rsidRPr="00123034">
              <w:rPr>
                <w:rStyle w:val="AERsuperscript"/>
              </w:rPr>
              <w:t>(a)</w:t>
            </w:r>
          </w:p>
        </w:tc>
      </w:tr>
      <w:tr w:rsidR="00C356EA" w:rsidRPr="004F416F" w:rsidTr="00C356EA">
        <w:trPr>
          <w:trHeight w:val="300"/>
        </w:trPr>
        <w:tc>
          <w:tcPr>
            <w:cnfStyle w:val="001000000000" w:firstRow="0" w:lastRow="0" w:firstColumn="1" w:lastColumn="0" w:oddVBand="0" w:evenVBand="0" w:oddHBand="0" w:evenHBand="0" w:firstRowFirstColumn="0" w:firstRowLastColumn="0" w:lastRowFirstColumn="0" w:lastRowLastColumn="0"/>
            <w:tcW w:w="1839" w:type="pct"/>
            <w:vAlign w:val="top"/>
            <w:hideMark/>
          </w:tcPr>
          <w:p w:rsidR="00C356EA" w:rsidRPr="00C356EA" w:rsidRDefault="00C356EA" w:rsidP="00C356EA">
            <w:r w:rsidRPr="00C356EA">
              <w:t>Connections/Market expansion </w:t>
            </w:r>
          </w:p>
        </w:tc>
        <w:tc>
          <w:tcPr>
            <w:tcW w:w="527" w:type="pct"/>
            <w:vAlign w:val="top"/>
          </w:tcPr>
          <w:p w:rsidR="00C356EA" w:rsidRPr="00C356EA" w:rsidRDefault="00C356EA" w:rsidP="00C356EA">
            <w:pPr>
              <w:cnfStyle w:val="000000000000" w:firstRow="0" w:lastRow="0" w:firstColumn="0" w:lastColumn="0" w:oddVBand="0" w:evenVBand="0" w:oddHBand="0" w:evenHBand="0" w:firstRowFirstColumn="0" w:firstRowLastColumn="0" w:lastRowFirstColumn="0" w:lastRowLastColumn="0"/>
            </w:pPr>
            <w:r w:rsidRPr="00C356EA">
              <w:t>46.3</w:t>
            </w:r>
          </w:p>
        </w:tc>
        <w:tc>
          <w:tcPr>
            <w:tcW w:w="527" w:type="pct"/>
            <w:vAlign w:val="top"/>
          </w:tcPr>
          <w:p w:rsidR="00C356EA" w:rsidRPr="00C356EA" w:rsidRDefault="00C356EA" w:rsidP="00C356EA">
            <w:pPr>
              <w:cnfStyle w:val="000000000000" w:firstRow="0" w:lastRow="0" w:firstColumn="0" w:lastColumn="0" w:oddVBand="0" w:evenVBand="0" w:oddHBand="0" w:evenHBand="0" w:firstRowFirstColumn="0" w:firstRowLastColumn="0" w:lastRowFirstColumn="0" w:lastRowLastColumn="0"/>
            </w:pPr>
            <w:r w:rsidRPr="00C356EA">
              <w:t>51.3</w:t>
            </w:r>
          </w:p>
        </w:tc>
        <w:tc>
          <w:tcPr>
            <w:tcW w:w="527" w:type="pct"/>
            <w:vAlign w:val="top"/>
          </w:tcPr>
          <w:p w:rsidR="00C356EA" w:rsidRPr="00C356EA" w:rsidRDefault="00C356EA" w:rsidP="00C356EA">
            <w:pPr>
              <w:cnfStyle w:val="000000000000" w:firstRow="0" w:lastRow="0" w:firstColumn="0" w:lastColumn="0" w:oddVBand="0" w:evenVBand="0" w:oddHBand="0" w:evenHBand="0" w:firstRowFirstColumn="0" w:firstRowLastColumn="0" w:lastRowFirstColumn="0" w:lastRowLastColumn="0"/>
            </w:pPr>
            <w:r w:rsidRPr="00C356EA">
              <w:t>55.3</w:t>
            </w:r>
          </w:p>
        </w:tc>
        <w:tc>
          <w:tcPr>
            <w:tcW w:w="527" w:type="pct"/>
            <w:vAlign w:val="top"/>
          </w:tcPr>
          <w:p w:rsidR="00C356EA" w:rsidRPr="00C356EA" w:rsidRDefault="00C356EA" w:rsidP="00C356EA">
            <w:pPr>
              <w:cnfStyle w:val="000000000000" w:firstRow="0" w:lastRow="0" w:firstColumn="0" w:lastColumn="0" w:oddVBand="0" w:evenVBand="0" w:oddHBand="0" w:evenHBand="0" w:firstRowFirstColumn="0" w:firstRowLastColumn="0" w:lastRowFirstColumn="0" w:lastRowLastColumn="0"/>
            </w:pPr>
            <w:r w:rsidRPr="00C356EA">
              <w:t>62.6</w:t>
            </w:r>
          </w:p>
        </w:tc>
        <w:tc>
          <w:tcPr>
            <w:tcW w:w="527" w:type="pct"/>
            <w:vAlign w:val="top"/>
          </w:tcPr>
          <w:p w:rsidR="00C356EA" w:rsidRPr="00C356EA" w:rsidRDefault="00C356EA" w:rsidP="00C356EA">
            <w:pPr>
              <w:cnfStyle w:val="000000000000" w:firstRow="0" w:lastRow="0" w:firstColumn="0" w:lastColumn="0" w:oddVBand="0" w:evenVBand="0" w:oddHBand="0" w:evenHBand="0" w:firstRowFirstColumn="0" w:firstRowLastColumn="0" w:lastRowFirstColumn="0" w:lastRowLastColumn="0"/>
            </w:pPr>
            <w:r w:rsidRPr="00C356EA">
              <w:t>78.6</w:t>
            </w:r>
          </w:p>
        </w:tc>
        <w:tc>
          <w:tcPr>
            <w:tcW w:w="526" w:type="pct"/>
            <w:vAlign w:val="top"/>
          </w:tcPr>
          <w:p w:rsidR="00C356EA" w:rsidRPr="00C356EA" w:rsidRDefault="00C356EA" w:rsidP="00C356EA">
            <w:pPr>
              <w:cnfStyle w:val="000000000000" w:firstRow="0" w:lastRow="0" w:firstColumn="0" w:lastColumn="0" w:oddVBand="0" w:evenVBand="0" w:oddHBand="0" w:evenHBand="0" w:firstRowFirstColumn="0" w:firstRowLastColumn="0" w:lastRowFirstColumn="0" w:lastRowLastColumn="0"/>
            </w:pPr>
            <w:r w:rsidRPr="00C356EA">
              <w:t>75.0</w:t>
            </w:r>
          </w:p>
        </w:tc>
      </w:tr>
      <w:tr w:rsidR="00C356EA" w:rsidRPr="004F416F" w:rsidTr="00C356E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9" w:type="pct"/>
            <w:vAlign w:val="top"/>
            <w:hideMark/>
          </w:tcPr>
          <w:p w:rsidR="00C356EA" w:rsidRPr="00C356EA" w:rsidRDefault="00C356EA" w:rsidP="00C356EA">
            <w:r w:rsidRPr="00C356EA">
              <w:t>Augmentation/Growth capacity</w:t>
            </w:r>
          </w:p>
        </w:tc>
        <w:tc>
          <w:tcPr>
            <w:tcW w:w="527" w:type="pct"/>
            <w:vAlign w:val="top"/>
          </w:tcPr>
          <w:p w:rsidR="00C356EA" w:rsidRPr="00C356EA" w:rsidRDefault="00C356EA" w:rsidP="00C356EA">
            <w:pPr>
              <w:cnfStyle w:val="000000010000" w:firstRow="0" w:lastRow="0" w:firstColumn="0" w:lastColumn="0" w:oddVBand="0" w:evenVBand="0" w:oddHBand="0" w:evenHBand="1" w:firstRowFirstColumn="0" w:firstRowLastColumn="0" w:lastRowFirstColumn="0" w:lastRowLastColumn="0"/>
            </w:pPr>
            <w:r w:rsidRPr="00C356EA">
              <w:t>11.6</w:t>
            </w:r>
          </w:p>
        </w:tc>
        <w:tc>
          <w:tcPr>
            <w:tcW w:w="527" w:type="pct"/>
            <w:vAlign w:val="top"/>
          </w:tcPr>
          <w:p w:rsidR="00C356EA" w:rsidRPr="00C356EA" w:rsidRDefault="00C356EA" w:rsidP="00C356EA">
            <w:pPr>
              <w:cnfStyle w:val="000000010000" w:firstRow="0" w:lastRow="0" w:firstColumn="0" w:lastColumn="0" w:oddVBand="0" w:evenVBand="0" w:oddHBand="0" w:evenHBand="1" w:firstRowFirstColumn="0" w:firstRowLastColumn="0" w:lastRowFirstColumn="0" w:lastRowLastColumn="0"/>
            </w:pPr>
            <w:r w:rsidRPr="00C356EA">
              <w:t>31.6</w:t>
            </w:r>
          </w:p>
        </w:tc>
        <w:tc>
          <w:tcPr>
            <w:tcW w:w="527" w:type="pct"/>
            <w:vAlign w:val="top"/>
          </w:tcPr>
          <w:p w:rsidR="00C356EA" w:rsidRPr="00C356EA" w:rsidRDefault="00C356EA" w:rsidP="00C356EA">
            <w:pPr>
              <w:cnfStyle w:val="000000010000" w:firstRow="0" w:lastRow="0" w:firstColumn="0" w:lastColumn="0" w:oddVBand="0" w:evenVBand="0" w:oddHBand="0" w:evenHBand="1" w:firstRowFirstColumn="0" w:firstRowLastColumn="0" w:lastRowFirstColumn="0" w:lastRowLastColumn="0"/>
            </w:pPr>
            <w:r w:rsidRPr="00C356EA">
              <w:t>28.9</w:t>
            </w:r>
          </w:p>
        </w:tc>
        <w:tc>
          <w:tcPr>
            <w:tcW w:w="527" w:type="pct"/>
            <w:vAlign w:val="top"/>
          </w:tcPr>
          <w:p w:rsidR="00C356EA" w:rsidRPr="00C356EA" w:rsidRDefault="00C356EA" w:rsidP="00C356EA">
            <w:pPr>
              <w:cnfStyle w:val="000000010000" w:firstRow="0" w:lastRow="0" w:firstColumn="0" w:lastColumn="0" w:oddVBand="0" w:evenVBand="0" w:oddHBand="0" w:evenHBand="1" w:firstRowFirstColumn="0" w:firstRowLastColumn="0" w:lastRowFirstColumn="0" w:lastRowLastColumn="0"/>
            </w:pPr>
            <w:r w:rsidRPr="00C356EA">
              <w:t>6.0</w:t>
            </w:r>
          </w:p>
        </w:tc>
        <w:tc>
          <w:tcPr>
            <w:tcW w:w="527" w:type="pct"/>
            <w:vAlign w:val="top"/>
          </w:tcPr>
          <w:p w:rsidR="00C356EA" w:rsidRPr="00C356EA" w:rsidRDefault="00C356EA" w:rsidP="00C356EA">
            <w:pPr>
              <w:cnfStyle w:val="000000010000" w:firstRow="0" w:lastRow="0" w:firstColumn="0" w:lastColumn="0" w:oddVBand="0" w:evenVBand="0" w:oddHBand="0" w:evenHBand="1" w:firstRowFirstColumn="0" w:firstRowLastColumn="0" w:lastRowFirstColumn="0" w:lastRowLastColumn="0"/>
            </w:pPr>
            <w:r w:rsidRPr="00C356EA">
              <w:t>7.0</w:t>
            </w:r>
          </w:p>
        </w:tc>
        <w:tc>
          <w:tcPr>
            <w:tcW w:w="526" w:type="pct"/>
            <w:vAlign w:val="top"/>
          </w:tcPr>
          <w:p w:rsidR="00C356EA" w:rsidRPr="00C356EA" w:rsidRDefault="00C356EA" w:rsidP="00C356EA">
            <w:pPr>
              <w:cnfStyle w:val="000000010000" w:firstRow="0" w:lastRow="0" w:firstColumn="0" w:lastColumn="0" w:oddVBand="0" w:evenVBand="0" w:oddHBand="0" w:evenHBand="1" w:firstRowFirstColumn="0" w:firstRowLastColumn="0" w:lastRowFirstColumn="0" w:lastRowLastColumn="0"/>
            </w:pPr>
            <w:r w:rsidRPr="00C356EA">
              <w:t>6.8</w:t>
            </w:r>
          </w:p>
        </w:tc>
      </w:tr>
      <w:tr w:rsidR="00C356EA" w:rsidRPr="004F416F" w:rsidTr="00C356EA">
        <w:trPr>
          <w:trHeight w:val="300"/>
        </w:trPr>
        <w:tc>
          <w:tcPr>
            <w:cnfStyle w:val="001000000000" w:firstRow="0" w:lastRow="0" w:firstColumn="1" w:lastColumn="0" w:oddVBand="0" w:evenVBand="0" w:oddHBand="0" w:evenHBand="0" w:firstRowFirstColumn="0" w:firstRowLastColumn="0" w:lastRowFirstColumn="0" w:lastRowLastColumn="0"/>
            <w:tcW w:w="1839" w:type="pct"/>
            <w:vAlign w:val="top"/>
            <w:hideMark/>
          </w:tcPr>
          <w:p w:rsidR="00C356EA" w:rsidRPr="00C356EA" w:rsidRDefault="00C356EA" w:rsidP="00C356EA">
            <w:r w:rsidRPr="00C356EA">
              <w:t>Mains and service renewal</w:t>
            </w:r>
          </w:p>
        </w:tc>
        <w:tc>
          <w:tcPr>
            <w:tcW w:w="527" w:type="pct"/>
            <w:vAlign w:val="top"/>
          </w:tcPr>
          <w:p w:rsidR="00C356EA" w:rsidRPr="00C356EA" w:rsidRDefault="00C356EA" w:rsidP="00C356EA">
            <w:pPr>
              <w:cnfStyle w:val="000000000000" w:firstRow="0" w:lastRow="0" w:firstColumn="0" w:lastColumn="0" w:oddVBand="0" w:evenVBand="0" w:oddHBand="0" w:evenHBand="0" w:firstRowFirstColumn="0" w:firstRowLastColumn="0" w:lastRowFirstColumn="0" w:lastRowLastColumn="0"/>
            </w:pPr>
            <w:r w:rsidRPr="00C356EA">
              <w:t>0.8</w:t>
            </w:r>
          </w:p>
        </w:tc>
        <w:tc>
          <w:tcPr>
            <w:tcW w:w="527" w:type="pct"/>
            <w:vAlign w:val="top"/>
          </w:tcPr>
          <w:p w:rsidR="00C356EA" w:rsidRPr="00C356EA" w:rsidRDefault="00C356EA" w:rsidP="00C356EA">
            <w:pPr>
              <w:cnfStyle w:val="000000000000" w:firstRow="0" w:lastRow="0" w:firstColumn="0" w:lastColumn="0" w:oddVBand="0" w:evenVBand="0" w:oddHBand="0" w:evenHBand="0" w:firstRowFirstColumn="0" w:firstRowLastColumn="0" w:lastRowFirstColumn="0" w:lastRowLastColumn="0"/>
            </w:pPr>
            <w:r w:rsidRPr="00C356EA">
              <w:t>0.1</w:t>
            </w:r>
          </w:p>
        </w:tc>
        <w:tc>
          <w:tcPr>
            <w:tcW w:w="527" w:type="pct"/>
            <w:vAlign w:val="top"/>
          </w:tcPr>
          <w:p w:rsidR="00C356EA" w:rsidRPr="00C356EA" w:rsidRDefault="00C356EA" w:rsidP="00C356EA">
            <w:pPr>
              <w:cnfStyle w:val="000000000000" w:firstRow="0" w:lastRow="0" w:firstColumn="0" w:lastColumn="0" w:oddVBand="0" w:evenVBand="0" w:oddHBand="0" w:evenHBand="0" w:firstRowFirstColumn="0" w:firstRowLastColumn="0" w:lastRowFirstColumn="0" w:lastRowLastColumn="0"/>
            </w:pPr>
            <w:r w:rsidRPr="00C356EA">
              <w:t>5.0</w:t>
            </w:r>
          </w:p>
        </w:tc>
        <w:tc>
          <w:tcPr>
            <w:tcW w:w="527" w:type="pct"/>
            <w:vAlign w:val="top"/>
          </w:tcPr>
          <w:p w:rsidR="00C356EA" w:rsidRPr="00C356EA" w:rsidRDefault="00C356EA" w:rsidP="00C356EA">
            <w:pPr>
              <w:cnfStyle w:val="000000000000" w:firstRow="0" w:lastRow="0" w:firstColumn="0" w:lastColumn="0" w:oddVBand="0" w:evenVBand="0" w:oddHBand="0" w:evenHBand="0" w:firstRowFirstColumn="0" w:firstRowLastColumn="0" w:lastRowFirstColumn="0" w:lastRowLastColumn="0"/>
            </w:pPr>
            <w:r w:rsidRPr="00C356EA">
              <w:t>4.2</w:t>
            </w:r>
          </w:p>
        </w:tc>
        <w:tc>
          <w:tcPr>
            <w:tcW w:w="527" w:type="pct"/>
            <w:vAlign w:val="top"/>
          </w:tcPr>
          <w:p w:rsidR="00C356EA" w:rsidRPr="00C356EA" w:rsidRDefault="00C356EA" w:rsidP="00C356EA">
            <w:pPr>
              <w:cnfStyle w:val="000000000000" w:firstRow="0" w:lastRow="0" w:firstColumn="0" w:lastColumn="0" w:oddVBand="0" w:evenVBand="0" w:oddHBand="0" w:evenHBand="0" w:firstRowFirstColumn="0" w:firstRowLastColumn="0" w:lastRowFirstColumn="0" w:lastRowLastColumn="0"/>
            </w:pPr>
            <w:r w:rsidRPr="00C356EA">
              <w:t>7.7</w:t>
            </w:r>
          </w:p>
        </w:tc>
        <w:tc>
          <w:tcPr>
            <w:tcW w:w="526" w:type="pct"/>
            <w:vAlign w:val="top"/>
          </w:tcPr>
          <w:p w:rsidR="00C356EA" w:rsidRPr="00C356EA" w:rsidRDefault="00C356EA" w:rsidP="00C356EA">
            <w:pPr>
              <w:cnfStyle w:val="000000000000" w:firstRow="0" w:lastRow="0" w:firstColumn="0" w:lastColumn="0" w:oddVBand="0" w:evenVBand="0" w:oddHBand="0" w:evenHBand="0" w:firstRowFirstColumn="0" w:firstRowLastColumn="0" w:lastRowFirstColumn="0" w:lastRowLastColumn="0"/>
            </w:pPr>
            <w:r w:rsidRPr="00C356EA">
              <w:t>7.0</w:t>
            </w:r>
          </w:p>
        </w:tc>
      </w:tr>
      <w:tr w:rsidR="00C356EA" w:rsidRPr="004F416F" w:rsidTr="00C356E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9" w:type="pct"/>
            <w:vAlign w:val="top"/>
            <w:hideMark/>
          </w:tcPr>
          <w:p w:rsidR="00C356EA" w:rsidRPr="00C356EA" w:rsidRDefault="00C356EA" w:rsidP="00C356EA">
            <w:r w:rsidRPr="00C356EA">
              <w:t>Facilities renewal and upgrade</w:t>
            </w:r>
          </w:p>
        </w:tc>
        <w:tc>
          <w:tcPr>
            <w:tcW w:w="527" w:type="pct"/>
            <w:vAlign w:val="top"/>
          </w:tcPr>
          <w:p w:rsidR="00C356EA" w:rsidRPr="00C356EA" w:rsidRDefault="00C356EA" w:rsidP="00C356EA">
            <w:pPr>
              <w:cnfStyle w:val="000000010000" w:firstRow="0" w:lastRow="0" w:firstColumn="0" w:lastColumn="0" w:oddVBand="0" w:evenVBand="0" w:oddHBand="0" w:evenHBand="1" w:firstRowFirstColumn="0" w:firstRowLastColumn="0" w:lastRowFirstColumn="0" w:lastRowLastColumn="0"/>
            </w:pPr>
            <w:r w:rsidRPr="00C356EA">
              <w:t>9.0</w:t>
            </w:r>
          </w:p>
        </w:tc>
        <w:tc>
          <w:tcPr>
            <w:tcW w:w="527" w:type="pct"/>
            <w:vAlign w:val="top"/>
          </w:tcPr>
          <w:p w:rsidR="00C356EA" w:rsidRPr="00C356EA" w:rsidRDefault="00C356EA" w:rsidP="00C356EA">
            <w:pPr>
              <w:cnfStyle w:val="000000010000" w:firstRow="0" w:lastRow="0" w:firstColumn="0" w:lastColumn="0" w:oddVBand="0" w:evenVBand="0" w:oddHBand="0" w:evenHBand="1" w:firstRowFirstColumn="0" w:firstRowLastColumn="0" w:lastRowFirstColumn="0" w:lastRowLastColumn="0"/>
            </w:pPr>
            <w:r w:rsidRPr="00C356EA">
              <w:t>7.9</w:t>
            </w:r>
          </w:p>
        </w:tc>
        <w:tc>
          <w:tcPr>
            <w:tcW w:w="527" w:type="pct"/>
            <w:vAlign w:val="top"/>
          </w:tcPr>
          <w:p w:rsidR="00C356EA" w:rsidRPr="00C356EA" w:rsidRDefault="00C356EA" w:rsidP="00C356EA">
            <w:pPr>
              <w:cnfStyle w:val="000000010000" w:firstRow="0" w:lastRow="0" w:firstColumn="0" w:lastColumn="0" w:oddVBand="0" w:evenVBand="0" w:oddHBand="0" w:evenHBand="1" w:firstRowFirstColumn="0" w:firstRowLastColumn="0" w:lastRowFirstColumn="0" w:lastRowLastColumn="0"/>
            </w:pPr>
            <w:r w:rsidRPr="00C356EA">
              <w:t>17.9</w:t>
            </w:r>
          </w:p>
        </w:tc>
        <w:tc>
          <w:tcPr>
            <w:tcW w:w="527" w:type="pct"/>
            <w:vAlign w:val="top"/>
          </w:tcPr>
          <w:p w:rsidR="00C356EA" w:rsidRPr="00C356EA" w:rsidRDefault="00C356EA" w:rsidP="00C356EA">
            <w:pPr>
              <w:cnfStyle w:val="000000010000" w:firstRow="0" w:lastRow="0" w:firstColumn="0" w:lastColumn="0" w:oddVBand="0" w:evenVBand="0" w:oddHBand="0" w:evenHBand="1" w:firstRowFirstColumn="0" w:firstRowLastColumn="0" w:lastRowFirstColumn="0" w:lastRowLastColumn="0"/>
            </w:pPr>
            <w:r w:rsidRPr="00C356EA">
              <w:t>10.5</w:t>
            </w:r>
          </w:p>
        </w:tc>
        <w:tc>
          <w:tcPr>
            <w:tcW w:w="527" w:type="pct"/>
            <w:vAlign w:val="top"/>
          </w:tcPr>
          <w:p w:rsidR="00C356EA" w:rsidRPr="00C356EA" w:rsidRDefault="00C356EA" w:rsidP="00C356EA">
            <w:pPr>
              <w:cnfStyle w:val="000000010000" w:firstRow="0" w:lastRow="0" w:firstColumn="0" w:lastColumn="0" w:oddVBand="0" w:evenVBand="0" w:oddHBand="0" w:evenHBand="1" w:firstRowFirstColumn="0" w:firstRowLastColumn="0" w:lastRowFirstColumn="0" w:lastRowLastColumn="0"/>
            </w:pPr>
            <w:r w:rsidRPr="00C356EA">
              <w:t>10.7</w:t>
            </w:r>
          </w:p>
        </w:tc>
        <w:tc>
          <w:tcPr>
            <w:tcW w:w="526" w:type="pct"/>
            <w:vAlign w:val="top"/>
          </w:tcPr>
          <w:p w:rsidR="00C356EA" w:rsidRPr="00C356EA" w:rsidRDefault="00C356EA" w:rsidP="00C356EA">
            <w:pPr>
              <w:cnfStyle w:val="000000010000" w:firstRow="0" w:lastRow="0" w:firstColumn="0" w:lastColumn="0" w:oddVBand="0" w:evenVBand="0" w:oddHBand="0" w:evenHBand="1" w:firstRowFirstColumn="0" w:firstRowLastColumn="0" w:lastRowFirstColumn="0" w:lastRowLastColumn="0"/>
            </w:pPr>
            <w:r w:rsidRPr="00C356EA">
              <w:t>21.2</w:t>
            </w:r>
          </w:p>
        </w:tc>
      </w:tr>
      <w:tr w:rsidR="00C356EA" w:rsidRPr="004F416F" w:rsidTr="00C356EA">
        <w:trPr>
          <w:trHeight w:val="300"/>
        </w:trPr>
        <w:tc>
          <w:tcPr>
            <w:cnfStyle w:val="001000000000" w:firstRow="0" w:lastRow="0" w:firstColumn="1" w:lastColumn="0" w:oddVBand="0" w:evenVBand="0" w:oddHBand="0" w:evenHBand="0" w:firstRowFirstColumn="0" w:firstRowLastColumn="0" w:lastRowFirstColumn="0" w:lastRowLastColumn="0"/>
            <w:tcW w:w="1839" w:type="pct"/>
            <w:vAlign w:val="top"/>
            <w:hideMark/>
          </w:tcPr>
          <w:p w:rsidR="00C356EA" w:rsidRPr="00C356EA" w:rsidRDefault="00C356EA" w:rsidP="00C356EA">
            <w:r w:rsidRPr="00C356EA">
              <w:t>SCADA</w:t>
            </w:r>
          </w:p>
        </w:tc>
        <w:tc>
          <w:tcPr>
            <w:tcW w:w="527" w:type="pct"/>
            <w:vAlign w:val="top"/>
          </w:tcPr>
          <w:p w:rsidR="00C356EA" w:rsidRPr="00C356EA" w:rsidRDefault="00C356EA" w:rsidP="00C356EA">
            <w:pPr>
              <w:cnfStyle w:val="000000000000" w:firstRow="0" w:lastRow="0" w:firstColumn="0" w:lastColumn="0" w:oddVBand="0" w:evenVBand="0" w:oddHBand="0" w:evenHBand="0" w:firstRowFirstColumn="0" w:firstRowLastColumn="0" w:lastRowFirstColumn="0" w:lastRowLastColumn="0"/>
            </w:pPr>
            <w:r w:rsidRPr="00C356EA">
              <w:t>0.4</w:t>
            </w:r>
          </w:p>
        </w:tc>
        <w:tc>
          <w:tcPr>
            <w:tcW w:w="527" w:type="pct"/>
            <w:vAlign w:val="top"/>
          </w:tcPr>
          <w:p w:rsidR="00C356EA" w:rsidRPr="00C356EA" w:rsidRDefault="00C356EA" w:rsidP="00C356EA">
            <w:pPr>
              <w:cnfStyle w:val="000000000000" w:firstRow="0" w:lastRow="0" w:firstColumn="0" w:lastColumn="0" w:oddVBand="0" w:evenVBand="0" w:oddHBand="0" w:evenHBand="0" w:firstRowFirstColumn="0" w:firstRowLastColumn="0" w:lastRowFirstColumn="0" w:lastRowLastColumn="0"/>
            </w:pPr>
            <w:r w:rsidRPr="00C356EA">
              <w:t>0.3</w:t>
            </w:r>
          </w:p>
        </w:tc>
        <w:tc>
          <w:tcPr>
            <w:tcW w:w="527" w:type="pct"/>
            <w:vAlign w:val="top"/>
          </w:tcPr>
          <w:p w:rsidR="00C356EA" w:rsidRPr="00C356EA" w:rsidRDefault="00C356EA" w:rsidP="00C356EA">
            <w:pPr>
              <w:cnfStyle w:val="000000000000" w:firstRow="0" w:lastRow="0" w:firstColumn="0" w:lastColumn="0" w:oddVBand="0" w:evenVBand="0" w:oddHBand="0" w:evenHBand="0" w:firstRowFirstColumn="0" w:firstRowLastColumn="0" w:lastRowFirstColumn="0" w:lastRowLastColumn="0"/>
            </w:pPr>
            <w:r w:rsidRPr="00C356EA">
              <w:t>0.2</w:t>
            </w:r>
          </w:p>
        </w:tc>
        <w:tc>
          <w:tcPr>
            <w:tcW w:w="527" w:type="pct"/>
            <w:vAlign w:val="top"/>
          </w:tcPr>
          <w:p w:rsidR="00C356EA" w:rsidRPr="00C356EA" w:rsidRDefault="00C356EA" w:rsidP="00C356EA">
            <w:pPr>
              <w:cnfStyle w:val="000000000000" w:firstRow="0" w:lastRow="0" w:firstColumn="0" w:lastColumn="0" w:oddVBand="0" w:evenVBand="0" w:oddHBand="0" w:evenHBand="0" w:firstRowFirstColumn="0" w:firstRowLastColumn="0" w:lastRowFirstColumn="0" w:lastRowLastColumn="0"/>
            </w:pPr>
            <w:r w:rsidRPr="00C356EA">
              <w:t>1.2</w:t>
            </w:r>
          </w:p>
        </w:tc>
        <w:tc>
          <w:tcPr>
            <w:tcW w:w="527" w:type="pct"/>
            <w:vAlign w:val="top"/>
          </w:tcPr>
          <w:p w:rsidR="00C356EA" w:rsidRPr="00C356EA" w:rsidRDefault="00C356EA" w:rsidP="00C356EA">
            <w:pPr>
              <w:cnfStyle w:val="000000000000" w:firstRow="0" w:lastRow="0" w:firstColumn="0" w:lastColumn="0" w:oddVBand="0" w:evenVBand="0" w:oddHBand="0" w:evenHBand="0" w:firstRowFirstColumn="0" w:firstRowLastColumn="0" w:lastRowFirstColumn="0" w:lastRowLastColumn="0"/>
            </w:pPr>
            <w:r w:rsidRPr="00C356EA">
              <w:t>0.8</w:t>
            </w:r>
          </w:p>
        </w:tc>
        <w:tc>
          <w:tcPr>
            <w:tcW w:w="526" w:type="pct"/>
            <w:vAlign w:val="top"/>
          </w:tcPr>
          <w:p w:rsidR="00C356EA" w:rsidRPr="00C356EA" w:rsidRDefault="00C356EA" w:rsidP="00C356EA">
            <w:pPr>
              <w:cnfStyle w:val="000000000000" w:firstRow="0" w:lastRow="0" w:firstColumn="0" w:lastColumn="0" w:oddVBand="0" w:evenVBand="0" w:oddHBand="0" w:evenHBand="0" w:firstRowFirstColumn="0" w:firstRowLastColumn="0" w:lastRowFirstColumn="0" w:lastRowLastColumn="0"/>
            </w:pPr>
            <w:r w:rsidRPr="00C356EA">
              <w:t>1.0</w:t>
            </w:r>
          </w:p>
        </w:tc>
      </w:tr>
      <w:tr w:rsidR="00C356EA" w:rsidRPr="004F416F" w:rsidTr="00C356E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9" w:type="pct"/>
            <w:vAlign w:val="top"/>
            <w:hideMark/>
          </w:tcPr>
          <w:p w:rsidR="00C356EA" w:rsidRPr="00C356EA" w:rsidRDefault="00C356EA" w:rsidP="00C356EA">
            <w:r w:rsidRPr="00C356EA">
              <w:t>Meter renewal and upgrade</w:t>
            </w:r>
          </w:p>
        </w:tc>
        <w:tc>
          <w:tcPr>
            <w:tcW w:w="527" w:type="pct"/>
            <w:vAlign w:val="top"/>
          </w:tcPr>
          <w:p w:rsidR="00C356EA" w:rsidRPr="00C356EA" w:rsidRDefault="00C356EA" w:rsidP="00C356EA">
            <w:pPr>
              <w:cnfStyle w:val="000000010000" w:firstRow="0" w:lastRow="0" w:firstColumn="0" w:lastColumn="0" w:oddVBand="0" w:evenVBand="0" w:oddHBand="0" w:evenHBand="1" w:firstRowFirstColumn="0" w:firstRowLastColumn="0" w:lastRowFirstColumn="0" w:lastRowLastColumn="0"/>
            </w:pPr>
            <w:r w:rsidRPr="00C356EA">
              <w:t>14.3</w:t>
            </w:r>
          </w:p>
        </w:tc>
        <w:tc>
          <w:tcPr>
            <w:tcW w:w="527" w:type="pct"/>
            <w:vAlign w:val="top"/>
          </w:tcPr>
          <w:p w:rsidR="00C356EA" w:rsidRPr="00C356EA" w:rsidRDefault="00C356EA" w:rsidP="00C356EA">
            <w:pPr>
              <w:cnfStyle w:val="000000010000" w:firstRow="0" w:lastRow="0" w:firstColumn="0" w:lastColumn="0" w:oddVBand="0" w:evenVBand="0" w:oddHBand="0" w:evenHBand="1" w:firstRowFirstColumn="0" w:firstRowLastColumn="0" w:lastRowFirstColumn="0" w:lastRowLastColumn="0"/>
            </w:pPr>
            <w:r w:rsidRPr="00C356EA">
              <w:t>13.1</w:t>
            </w:r>
          </w:p>
        </w:tc>
        <w:tc>
          <w:tcPr>
            <w:tcW w:w="527" w:type="pct"/>
            <w:vAlign w:val="top"/>
          </w:tcPr>
          <w:p w:rsidR="00C356EA" w:rsidRPr="00C356EA" w:rsidRDefault="00C356EA" w:rsidP="00C356EA">
            <w:pPr>
              <w:cnfStyle w:val="000000010000" w:firstRow="0" w:lastRow="0" w:firstColumn="0" w:lastColumn="0" w:oddVBand="0" w:evenVBand="0" w:oddHBand="0" w:evenHBand="1" w:firstRowFirstColumn="0" w:firstRowLastColumn="0" w:lastRowFirstColumn="0" w:lastRowLastColumn="0"/>
            </w:pPr>
            <w:r w:rsidRPr="00C356EA">
              <w:t>15.8</w:t>
            </w:r>
          </w:p>
        </w:tc>
        <w:tc>
          <w:tcPr>
            <w:tcW w:w="527" w:type="pct"/>
            <w:vAlign w:val="top"/>
          </w:tcPr>
          <w:p w:rsidR="00C356EA" w:rsidRPr="00C356EA" w:rsidRDefault="00C356EA" w:rsidP="00C356EA">
            <w:pPr>
              <w:cnfStyle w:val="000000010000" w:firstRow="0" w:lastRow="0" w:firstColumn="0" w:lastColumn="0" w:oddVBand="0" w:evenVBand="0" w:oddHBand="0" w:evenHBand="1" w:firstRowFirstColumn="0" w:firstRowLastColumn="0" w:lastRowFirstColumn="0" w:lastRowLastColumn="0"/>
            </w:pPr>
            <w:r w:rsidRPr="00C356EA">
              <w:t>13.3</w:t>
            </w:r>
          </w:p>
        </w:tc>
        <w:tc>
          <w:tcPr>
            <w:tcW w:w="527" w:type="pct"/>
            <w:vAlign w:val="top"/>
          </w:tcPr>
          <w:p w:rsidR="00C356EA" w:rsidRPr="00C356EA" w:rsidRDefault="00C356EA" w:rsidP="00C356EA">
            <w:pPr>
              <w:cnfStyle w:val="000000010000" w:firstRow="0" w:lastRow="0" w:firstColumn="0" w:lastColumn="0" w:oddVBand="0" w:evenVBand="0" w:oddHBand="0" w:evenHBand="1" w:firstRowFirstColumn="0" w:firstRowLastColumn="0" w:lastRowFirstColumn="0" w:lastRowLastColumn="0"/>
            </w:pPr>
            <w:r w:rsidRPr="00C356EA">
              <w:t>19.4</w:t>
            </w:r>
          </w:p>
        </w:tc>
        <w:tc>
          <w:tcPr>
            <w:tcW w:w="526" w:type="pct"/>
            <w:vAlign w:val="top"/>
          </w:tcPr>
          <w:p w:rsidR="00C356EA" w:rsidRPr="00C356EA" w:rsidRDefault="00C356EA" w:rsidP="00C356EA">
            <w:pPr>
              <w:cnfStyle w:val="000000010000" w:firstRow="0" w:lastRow="0" w:firstColumn="0" w:lastColumn="0" w:oddVBand="0" w:evenVBand="0" w:oddHBand="0" w:evenHBand="1" w:firstRowFirstColumn="0" w:firstRowLastColumn="0" w:lastRowFirstColumn="0" w:lastRowLastColumn="0"/>
            </w:pPr>
            <w:r w:rsidRPr="00C356EA">
              <w:t>25.1</w:t>
            </w:r>
          </w:p>
        </w:tc>
      </w:tr>
      <w:tr w:rsidR="00C356EA" w:rsidRPr="004F416F" w:rsidTr="00C356EA">
        <w:trPr>
          <w:trHeight w:val="300"/>
        </w:trPr>
        <w:tc>
          <w:tcPr>
            <w:cnfStyle w:val="001000000000" w:firstRow="0" w:lastRow="0" w:firstColumn="1" w:lastColumn="0" w:oddVBand="0" w:evenVBand="0" w:oddHBand="0" w:evenHBand="0" w:firstRowFirstColumn="0" w:firstRowLastColumn="0" w:lastRowFirstColumn="0" w:lastRowLastColumn="0"/>
            <w:tcW w:w="1839" w:type="pct"/>
            <w:vAlign w:val="top"/>
            <w:hideMark/>
          </w:tcPr>
          <w:p w:rsidR="00C356EA" w:rsidRPr="00C356EA" w:rsidRDefault="00C356EA" w:rsidP="00C356EA">
            <w:r w:rsidRPr="00C356EA">
              <w:t>Government authority work</w:t>
            </w:r>
          </w:p>
        </w:tc>
        <w:tc>
          <w:tcPr>
            <w:tcW w:w="527" w:type="pct"/>
            <w:vAlign w:val="top"/>
          </w:tcPr>
          <w:p w:rsidR="00C356EA" w:rsidRPr="00C356EA" w:rsidRDefault="00C356EA" w:rsidP="00C356EA">
            <w:pPr>
              <w:cnfStyle w:val="000000000000" w:firstRow="0" w:lastRow="0" w:firstColumn="0" w:lastColumn="0" w:oddVBand="0" w:evenVBand="0" w:oddHBand="0" w:evenHBand="0" w:firstRowFirstColumn="0" w:firstRowLastColumn="0" w:lastRowFirstColumn="0" w:lastRowLastColumn="0"/>
            </w:pPr>
            <w:r w:rsidRPr="00C356EA">
              <w:t>0.0</w:t>
            </w:r>
          </w:p>
        </w:tc>
        <w:tc>
          <w:tcPr>
            <w:tcW w:w="527" w:type="pct"/>
            <w:vAlign w:val="top"/>
          </w:tcPr>
          <w:p w:rsidR="00C356EA" w:rsidRPr="00C356EA" w:rsidRDefault="00C356EA" w:rsidP="00C356EA">
            <w:pPr>
              <w:cnfStyle w:val="000000000000" w:firstRow="0" w:lastRow="0" w:firstColumn="0" w:lastColumn="0" w:oddVBand="0" w:evenVBand="0" w:oddHBand="0" w:evenHBand="0" w:firstRowFirstColumn="0" w:firstRowLastColumn="0" w:lastRowFirstColumn="0" w:lastRowLastColumn="0"/>
            </w:pPr>
            <w:r w:rsidRPr="00C356EA">
              <w:t>0.1</w:t>
            </w:r>
          </w:p>
        </w:tc>
        <w:tc>
          <w:tcPr>
            <w:tcW w:w="527" w:type="pct"/>
            <w:vAlign w:val="top"/>
          </w:tcPr>
          <w:p w:rsidR="00C356EA" w:rsidRPr="00C356EA" w:rsidRDefault="00C356EA" w:rsidP="00C356EA">
            <w:pPr>
              <w:cnfStyle w:val="000000000000" w:firstRow="0" w:lastRow="0" w:firstColumn="0" w:lastColumn="0" w:oddVBand="0" w:evenVBand="0" w:oddHBand="0" w:evenHBand="0" w:firstRowFirstColumn="0" w:firstRowLastColumn="0" w:lastRowFirstColumn="0" w:lastRowLastColumn="0"/>
            </w:pPr>
            <w:r w:rsidRPr="00C356EA">
              <w:t>0.1</w:t>
            </w:r>
          </w:p>
        </w:tc>
        <w:tc>
          <w:tcPr>
            <w:tcW w:w="527" w:type="pct"/>
            <w:vAlign w:val="top"/>
          </w:tcPr>
          <w:p w:rsidR="00C356EA" w:rsidRPr="00C356EA" w:rsidRDefault="00C356EA" w:rsidP="00C356EA">
            <w:pPr>
              <w:cnfStyle w:val="000000000000" w:firstRow="0" w:lastRow="0" w:firstColumn="0" w:lastColumn="0" w:oddVBand="0" w:evenVBand="0" w:oddHBand="0" w:evenHBand="0" w:firstRowFirstColumn="0" w:firstRowLastColumn="0" w:lastRowFirstColumn="0" w:lastRowLastColumn="0"/>
            </w:pPr>
            <w:r w:rsidRPr="00C356EA">
              <w:t>0.4</w:t>
            </w:r>
          </w:p>
        </w:tc>
        <w:tc>
          <w:tcPr>
            <w:tcW w:w="527" w:type="pct"/>
            <w:vAlign w:val="top"/>
          </w:tcPr>
          <w:p w:rsidR="00C356EA" w:rsidRPr="00C356EA" w:rsidRDefault="00C356EA" w:rsidP="00C356EA">
            <w:pPr>
              <w:cnfStyle w:val="000000000000" w:firstRow="0" w:lastRow="0" w:firstColumn="0" w:lastColumn="0" w:oddVBand="0" w:evenVBand="0" w:oddHBand="0" w:evenHBand="0" w:firstRowFirstColumn="0" w:firstRowLastColumn="0" w:lastRowFirstColumn="0" w:lastRowLastColumn="0"/>
            </w:pPr>
            <w:r w:rsidRPr="00C356EA">
              <w:t>0.7</w:t>
            </w:r>
          </w:p>
        </w:tc>
        <w:tc>
          <w:tcPr>
            <w:tcW w:w="526" w:type="pct"/>
            <w:vAlign w:val="top"/>
          </w:tcPr>
          <w:p w:rsidR="00C356EA" w:rsidRPr="00C356EA" w:rsidRDefault="00C356EA" w:rsidP="00C356EA">
            <w:pPr>
              <w:cnfStyle w:val="000000000000" w:firstRow="0" w:lastRow="0" w:firstColumn="0" w:lastColumn="0" w:oddVBand="0" w:evenVBand="0" w:oddHBand="0" w:evenHBand="0" w:firstRowFirstColumn="0" w:firstRowLastColumn="0" w:lastRowFirstColumn="0" w:lastRowLastColumn="0"/>
            </w:pPr>
            <w:r w:rsidRPr="00C356EA">
              <w:t>0.4</w:t>
            </w:r>
          </w:p>
        </w:tc>
      </w:tr>
      <w:tr w:rsidR="00C356EA" w:rsidRPr="004F416F" w:rsidTr="00C356E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9" w:type="pct"/>
            <w:vAlign w:val="top"/>
            <w:hideMark/>
          </w:tcPr>
          <w:p w:rsidR="00C356EA" w:rsidRPr="00C356EA" w:rsidRDefault="00C356EA" w:rsidP="00C356EA">
            <w:r w:rsidRPr="00C356EA">
              <w:t>IT</w:t>
            </w:r>
          </w:p>
        </w:tc>
        <w:tc>
          <w:tcPr>
            <w:tcW w:w="527" w:type="pct"/>
            <w:vAlign w:val="top"/>
          </w:tcPr>
          <w:p w:rsidR="00C356EA" w:rsidRPr="00C356EA" w:rsidRDefault="00C356EA" w:rsidP="00C356EA">
            <w:pPr>
              <w:cnfStyle w:val="000000010000" w:firstRow="0" w:lastRow="0" w:firstColumn="0" w:lastColumn="0" w:oddVBand="0" w:evenVBand="0" w:oddHBand="0" w:evenHBand="1" w:firstRowFirstColumn="0" w:firstRowLastColumn="0" w:lastRowFirstColumn="0" w:lastRowLastColumn="0"/>
            </w:pPr>
            <w:r w:rsidRPr="00C356EA">
              <w:t>0.0</w:t>
            </w:r>
          </w:p>
        </w:tc>
        <w:tc>
          <w:tcPr>
            <w:tcW w:w="527" w:type="pct"/>
            <w:vAlign w:val="top"/>
          </w:tcPr>
          <w:p w:rsidR="00C356EA" w:rsidRPr="00C356EA" w:rsidRDefault="00C356EA" w:rsidP="00C356EA">
            <w:pPr>
              <w:cnfStyle w:val="000000010000" w:firstRow="0" w:lastRow="0" w:firstColumn="0" w:lastColumn="0" w:oddVBand="0" w:evenVBand="0" w:oddHBand="0" w:evenHBand="1" w:firstRowFirstColumn="0" w:firstRowLastColumn="0" w:lastRowFirstColumn="0" w:lastRowLastColumn="0"/>
            </w:pPr>
            <w:r w:rsidRPr="00C356EA">
              <w:t>41.3</w:t>
            </w:r>
          </w:p>
        </w:tc>
        <w:tc>
          <w:tcPr>
            <w:tcW w:w="527" w:type="pct"/>
            <w:vAlign w:val="top"/>
          </w:tcPr>
          <w:p w:rsidR="00C356EA" w:rsidRPr="00C356EA" w:rsidRDefault="00C356EA" w:rsidP="00C356EA">
            <w:pPr>
              <w:cnfStyle w:val="000000010000" w:firstRow="0" w:lastRow="0" w:firstColumn="0" w:lastColumn="0" w:oddVBand="0" w:evenVBand="0" w:oddHBand="0" w:evenHBand="1" w:firstRowFirstColumn="0" w:firstRowLastColumn="0" w:lastRowFirstColumn="0" w:lastRowLastColumn="0"/>
            </w:pPr>
            <w:r w:rsidRPr="00C356EA">
              <w:t>28.0</w:t>
            </w:r>
          </w:p>
        </w:tc>
        <w:tc>
          <w:tcPr>
            <w:tcW w:w="527" w:type="pct"/>
            <w:vAlign w:val="top"/>
          </w:tcPr>
          <w:p w:rsidR="00C356EA" w:rsidRPr="00C356EA" w:rsidRDefault="00C356EA" w:rsidP="00C356EA">
            <w:pPr>
              <w:cnfStyle w:val="000000010000" w:firstRow="0" w:lastRow="0" w:firstColumn="0" w:lastColumn="0" w:oddVBand="0" w:evenVBand="0" w:oddHBand="0" w:evenHBand="1" w:firstRowFirstColumn="0" w:firstRowLastColumn="0" w:lastRowFirstColumn="0" w:lastRowLastColumn="0"/>
            </w:pPr>
            <w:r w:rsidRPr="00C356EA">
              <w:t>12.7</w:t>
            </w:r>
          </w:p>
        </w:tc>
        <w:tc>
          <w:tcPr>
            <w:tcW w:w="527" w:type="pct"/>
            <w:vAlign w:val="top"/>
          </w:tcPr>
          <w:p w:rsidR="00C356EA" w:rsidRPr="00C356EA" w:rsidRDefault="00C356EA" w:rsidP="00C356EA">
            <w:pPr>
              <w:cnfStyle w:val="000000010000" w:firstRow="0" w:lastRow="0" w:firstColumn="0" w:lastColumn="0" w:oddVBand="0" w:evenVBand="0" w:oddHBand="0" w:evenHBand="1" w:firstRowFirstColumn="0" w:firstRowLastColumn="0" w:lastRowFirstColumn="0" w:lastRowLastColumn="0"/>
            </w:pPr>
            <w:r w:rsidRPr="00C356EA">
              <w:t>11.6</w:t>
            </w:r>
          </w:p>
        </w:tc>
        <w:tc>
          <w:tcPr>
            <w:tcW w:w="526" w:type="pct"/>
            <w:vAlign w:val="top"/>
          </w:tcPr>
          <w:p w:rsidR="00C356EA" w:rsidRPr="00C356EA" w:rsidRDefault="00C356EA" w:rsidP="00C356EA">
            <w:pPr>
              <w:cnfStyle w:val="000000010000" w:firstRow="0" w:lastRow="0" w:firstColumn="0" w:lastColumn="0" w:oddVBand="0" w:evenVBand="0" w:oddHBand="0" w:evenHBand="1" w:firstRowFirstColumn="0" w:firstRowLastColumn="0" w:lastRowFirstColumn="0" w:lastRowLastColumn="0"/>
            </w:pPr>
            <w:r w:rsidRPr="00C356EA">
              <w:t>38.6</w:t>
            </w:r>
          </w:p>
        </w:tc>
      </w:tr>
      <w:tr w:rsidR="00C356EA" w:rsidRPr="004F416F" w:rsidTr="00C356EA">
        <w:trPr>
          <w:trHeight w:val="300"/>
        </w:trPr>
        <w:tc>
          <w:tcPr>
            <w:cnfStyle w:val="001000000000" w:firstRow="0" w:lastRow="0" w:firstColumn="1" w:lastColumn="0" w:oddVBand="0" w:evenVBand="0" w:oddHBand="0" w:evenHBand="0" w:firstRowFirstColumn="0" w:firstRowLastColumn="0" w:lastRowFirstColumn="0" w:lastRowLastColumn="0"/>
            <w:tcW w:w="1839" w:type="pct"/>
            <w:vAlign w:val="top"/>
            <w:hideMark/>
          </w:tcPr>
          <w:p w:rsidR="00C356EA" w:rsidRPr="00C356EA" w:rsidRDefault="00C356EA" w:rsidP="00C356EA">
            <w:r w:rsidRPr="00C356EA">
              <w:t>Other - non-distribution</w:t>
            </w:r>
          </w:p>
        </w:tc>
        <w:tc>
          <w:tcPr>
            <w:tcW w:w="527" w:type="pct"/>
            <w:vAlign w:val="top"/>
          </w:tcPr>
          <w:p w:rsidR="00C356EA" w:rsidRPr="00C356EA" w:rsidRDefault="00C356EA" w:rsidP="00C356EA">
            <w:pPr>
              <w:cnfStyle w:val="000000000000" w:firstRow="0" w:lastRow="0" w:firstColumn="0" w:lastColumn="0" w:oddVBand="0" w:evenVBand="0" w:oddHBand="0" w:evenHBand="0" w:firstRowFirstColumn="0" w:firstRowLastColumn="0" w:lastRowFirstColumn="0" w:lastRowLastColumn="0"/>
            </w:pPr>
            <w:r w:rsidRPr="00C356EA">
              <w:t>7.7</w:t>
            </w:r>
          </w:p>
        </w:tc>
        <w:tc>
          <w:tcPr>
            <w:tcW w:w="527" w:type="pct"/>
            <w:vAlign w:val="top"/>
          </w:tcPr>
          <w:p w:rsidR="00C356EA" w:rsidRPr="00C356EA" w:rsidRDefault="00C356EA" w:rsidP="00C356EA">
            <w:pPr>
              <w:cnfStyle w:val="000000000000" w:firstRow="0" w:lastRow="0" w:firstColumn="0" w:lastColumn="0" w:oddVBand="0" w:evenVBand="0" w:oddHBand="0" w:evenHBand="0" w:firstRowFirstColumn="0" w:firstRowLastColumn="0" w:lastRowFirstColumn="0" w:lastRowLastColumn="0"/>
            </w:pPr>
            <w:r w:rsidRPr="00C356EA">
              <w:t>6.3</w:t>
            </w:r>
          </w:p>
        </w:tc>
        <w:tc>
          <w:tcPr>
            <w:tcW w:w="527" w:type="pct"/>
            <w:vAlign w:val="top"/>
          </w:tcPr>
          <w:p w:rsidR="00C356EA" w:rsidRPr="00C356EA" w:rsidRDefault="00C356EA" w:rsidP="00C356EA">
            <w:pPr>
              <w:cnfStyle w:val="000000000000" w:firstRow="0" w:lastRow="0" w:firstColumn="0" w:lastColumn="0" w:oddVBand="0" w:evenVBand="0" w:oddHBand="0" w:evenHBand="0" w:firstRowFirstColumn="0" w:firstRowLastColumn="0" w:lastRowFirstColumn="0" w:lastRowLastColumn="0"/>
            </w:pPr>
            <w:r w:rsidRPr="00C356EA">
              <w:t>4.3</w:t>
            </w:r>
          </w:p>
        </w:tc>
        <w:tc>
          <w:tcPr>
            <w:tcW w:w="527" w:type="pct"/>
            <w:vAlign w:val="top"/>
          </w:tcPr>
          <w:p w:rsidR="00C356EA" w:rsidRPr="00C356EA" w:rsidRDefault="00C356EA" w:rsidP="00C356EA">
            <w:pPr>
              <w:cnfStyle w:val="000000000000" w:firstRow="0" w:lastRow="0" w:firstColumn="0" w:lastColumn="0" w:oddVBand="0" w:evenVBand="0" w:oddHBand="0" w:evenHBand="0" w:firstRowFirstColumn="0" w:firstRowLastColumn="0" w:lastRowFirstColumn="0" w:lastRowLastColumn="0"/>
            </w:pPr>
            <w:r w:rsidRPr="00C356EA">
              <w:t>5.3</w:t>
            </w:r>
          </w:p>
        </w:tc>
        <w:tc>
          <w:tcPr>
            <w:tcW w:w="527" w:type="pct"/>
            <w:vAlign w:val="top"/>
          </w:tcPr>
          <w:p w:rsidR="00C356EA" w:rsidRPr="00C356EA" w:rsidRDefault="00C356EA" w:rsidP="00C356EA">
            <w:pPr>
              <w:cnfStyle w:val="000000000000" w:firstRow="0" w:lastRow="0" w:firstColumn="0" w:lastColumn="0" w:oddVBand="0" w:evenVBand="0" w:oddHBand="0" w:evenHBand="0" w:firstRowFirstColumn="0" w:firstRowLastColumn="0" w:lastRowFirstColumn="0" w:lastRowLastColumn="0"/>
            </w:pPr>
            <w:r w:rsidRPr="00C356EA">
              <w:t>27.9</w:t>
            </w:r>
          </w:p>
        </w:tc>
        <w:tc>
          <w:tcPr>
            <w:tcW w:w="526" w:type="pct"/>
            <w:vAlign w:val="top"/>
          </w:tcPr>
          <w:p w:rsidR="00C356EA" w:rsidRPr="00C356EA" w:rsidRDefault="00C356EA" w:rsidP="00C356EA">
            <w:pPr>
              <w:cnfStyle w:val="000000000000" w:firstRow="0" w:lastRow="0" w:firstColumn="0" w:lastColumn="0" w:oddVBand="0" w:evenVBand="0" w:oddHBand="0" w:evenHBand="0" w:firstRowFirstColumn="0" w:firstRowLastColumn="0" w:lastRowFirstColumn="0" w:lastRowLastColumn="0"/>
            </w:pPr>
            <w:r w:rsidRPr="00C356EA">
              <w:t>46.6</w:t>
            </w:r>
          </w:p>
        </w:tc>
      </w:tr>
      <w:tr w:rsidR="00C356EA" w:rsidRPr="004F416F" w:rsidTr="00C356E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9" w:type="pct"/>
            <w:vAlign w:val="top"/>
            <w:hideMark/>
          </w:tcPr>
          <w:p w:rsidR="00C356EA" w:rsidRPr="00C356EA" w:rsidRDefault="00C356EA" w:rsidP="00C356EA">
            <w:r w:rsidRPr="00C356EA">
              <w:t>Overheads</w:t>
            </w:r>
          </w:p>
        </w:tc>
        <w:tc>
          <w:tcPr>
            <w:tcW w:w="527" w:type="pct"/>
            <w:vAlign w:val="top"/>
          </w:tcPr>
          <w:p w:rsidR="00C356EA" w:rsidRPr="00C356EA" w:rsidRDefault="00C356EA" w:rsidP="00C356EA">
            <w:pPr>
              <w:cnfStyle w:val="000000010000" w:firstRow="0" w:lastRow="0" w:firstColumn="0" w:lastColumn="0" w:oddVBand="0" w:evenVBand="0" w:oddHBand="0" w:evenHBand="1" w:firstRowFirstColumn="0" w:firstRowLastColumn="0" w:lastRowFirstColumn="0" w:lastRowLastColumn="0"/>
            </w:pPr>
            <w:r w:rsidRPr="00C356EA">
              <w:t>15.6</w:t>
            </w:r>
          </w:p>
        </w:tc>
        <w:tc>
          <w:tcPr>
            <w:tcW w:w="527" w:type="pct"/>
            <w:vAlign w:val="top"/>
          </w:tcPr>
          <w:p w:rsidR="00C356EA" w:rsidRPr="00C356EA" w:rsidRDefault="00C356EA" w:rsidP="00C356EA">
            <w:pPr>
              <w:cnfStyle w:val="000000010000" w:firstRow="0" w:lastRow="0" w:firstColumn="0" w:lastColumn="0" w:oddVBand="0" w:evenVBand="0" w:oddHBand="0" w:evenHBand="1" w:firstRowFirstColumn="0" w:firstRowLastColumn="0" w:lastRowFirstColumn="0" w:lastRowLastColumn="0"/>
            </w:pPr>
            <w:r w:rsidRPr="00C356EA">
              <w:t>17.6</w:t>
            </w:r>
          </w:p>
        </w:tc>
        <w:tc>
          <w:tcPr>
            <w:tcW w:w="527" w:type="pct"/>
            <w:vAlign w:val="top"/>
          </w:tcPr>
          <w:p w:rsidR="00C356EA" w:rsidRPr="00C356EA" w:rsidRDefault="00C356EA" w:rsidP="00C356EA">
            <w:pPr>
              <w:cnfStyle w:val="000000010000" w:firstRow="0" w:lastRow="0" w:firstColumn="0" w:lastColumn="0" w:oddVBand="0" w:evenVBand="0" w:oddHBand="0" w:evenHBand="1" w:firstRowFirstColumn="0" w:firstRowLastColumn="0" w:lastRowFirstColumn="0" w:lastRowLastColumn="0"/>
            </w:pPr>
            <w:r w:rsidRPr="00C356EA">
              <w:t>23.3</w:t>
            </w:r>
          </w:p>
        </w:tc>
        <w:tc>
          <w:tcPr>
            <w:tcW w:w="527" w:type="pct"/>
            <w:vAlign w:val="top"/>
          </w:tcPr>
          <w:p w:rsidR="00C356EA" w:rsidRPr="00C356EA" w:rsidRDefault="00C356EA" w:rsidP="00C356EA">
            <w:pPr>
              <w:cnfStyle w:val="000000010000" w:firstRow="0" w:lastRow="0" w:firstColumn="0" w:lastColumn="0" w:oddVBand="0" w:evenVBand="0" w:oddHBand="0" w:evenHBand="1" w:firstRowFirstColumn="0" w:firstRowLastColumn="0" w:lastRowFirstColumn="0" w:lastRowLastColumn="0"/>
            </w:pPr>
            <w:r w:rsidRPr="00C356EA">
              <w:t>24.2</w:t>
            </w:r>
          </w:p>
        </w:tc>
        <w:tc>
          <w:tcPr>
            <w:tcW w:w="527" w:type="pct"/>
            <w:vAlign w:val="top"/>
          </w:tcPr>
          <w:p w:rsidR="00C356EA" w:rsidRPr="00C356EA" w:rsidRDefault="00C356EA" w:rsidP="00C356EA">
            <w:pPr>
              <w:cnfStyle w:val="000000010000" w:firstRow="0" w:lastRow="0" w:firstColumn="0" w:lastColumn="0" w:oddVBand="0" w:evenVBand="0" w:oddHBand="0" w:evenHBand="1" w:firstRowFirstColumn="0" w:firstRowLastColumn="0" w:lastRowFirstColumn="0" w:lastRowLastColumn="0"/>
            </w:pPr>
            <w:r w:rsidRPr="00C356EA">
              <w:t>25.7</w:t>
            </w:r>
          </w:p>
        </w:tc>
        <w:tc>
          <w:tcPr>
            <w:tcW w:w="526" w:type="pct"/>
            <w:vAlign w:val="top"/>
          </w:tcPr>
          <w:p w:rsidR="00C356EA" w:rsidRPr="00C356EA" w:rsidRDefault="00C356EA" w:rsidP="00C356EA">
            <w:pPr>
              <w:cnfStyle w:val="000000010000" w:firstRow="0" w:lastRow="0" w:firstColumn="0" w:lastColumn="0" w:oddVBand="0" w:evenVBand="0" w:oddHBand="0" w:evenHBand="1" w:firstRowFirstColumn="0" w:firstRowLastColumn="0" w:lastRowFirstColumn="0" w:lastRowLastColumn="0"/>
            </w:pPr>
            <w:r w:rsidRPr="00C356EA">
              <w:t>26.2</w:t>
            </w:r>
          </w:p>
        </w:tc>
      </w:tr>
      <w:tr w:rsidR="00C356EA" w:rsidRPr="004F416F" w:rsidTr="00C356EA">
        <w:trPr>
          <w:trHeight w:val="300"/>
        </w:trPr>
        <w:tc>
          <w:tcPr>
            <w:cnfStyle w:val="001000000000" w:firstRow="0" w:lastRow="0" w:firstColumn="1" w:lastColumn="0" w:oddVBand="0" w:evenVBand="0" w:oddHBand="0" w:evenHBand="0" w:firstRowFirstColumn="0" w:firstRowLastColumn="0" w:lastRowFirstColumn="0" w:lastRowLastColumn="0"/>
            <w:tcW w:w="1839" w:type="pct"/>
            <w:vAlign w:val="top"/>
            <w:hideMark/>
          </w:tcPr>
          <w:p w:rsidR="00C356EA" w:rsidRPr="00C356EA" w:rsidRDefault="00C356EA" w:rsidP="00C356EA">
            <w:r w:rsidRPr="00C356EA">
              <w:t>GROSS TOTAL CAPITAL EXPENDITURE</w:t>
            </w:r>
          </w:p>
        </w:tc>
        <w:tc>
          <w:tcPr>
            <w:tcW w:w="527" w:type="pct"/>
            <w:vAlign w:val="top"/>
          </w:tcPr>
          <w:p w:rsidR="00C356EA" w:rsidRPr="00C356EA" w:rsidRDefault="00C356EA" w:rsidP="00C356EA">
            <w:pPr>
              <w:cnfStyle w:val="000000000000" w:firstRow="0" w:lastRow="0" w:firstColumn="0" w:lastColumn="0" w:oddVBand="0" w:evenVBand="0" w:oddHBand="0" w:evenHBand="0" w:firstRowFirstColumn="0" w:firstRowLastColumn="0" w:lastRowFirstColumn="0" w:lastRowLastColumn="0"/>
            </w:pPr>
            <w:r w:rsidRPr="00C356EA">
              <w:t>107.9</w:t>
            </w:r>
          </w:p>
        </w:tc>
        <w:tc>
          <w:tcPr>
            <w:tcW w:w="527" w:type="pct"/>
            <w:vAlign w:val="top"/>
          </w:tcPr>
          <w:p w:rsidR="00C356EA" w:rsidRPr="00C356EA" w:rsidRDefault="00C356EA" w:rsidP="00C356EA">
            <w:pPr>
              <w:cnfStyle w:val="000000000000" w:firstRow="0" w:lastRow="0" w:firstColumn="0" w:lastColumn="0" w:oddVBand="0" w:evenVBand="0" w:oddHBand="0" w:evenHBand="0" w:firstRowFirstColumn="0" w:firstRowLastColumn="0" w:lastRowFirstColumn="0" w:lastRowLastColumn="0"/>
            </w:pPr>
            <w:r w:rsidRPr="00C356EA">
              <w:t>185.5</w:t>
            </w:r>
          </w:p>
        </w:tc>
        <w:tc>
          <w:tcPr>
            <w:tcW w:w="527" w:type="pct"/>
            <w:vAlign w:val="top"/>
          </w:tcPr>
          <w:p w:rsidR="00C356EA" w:rsidRPr="00C356EA" w:rsidRDefault="00C356EA" w:rsidP="00C356EA">
            <w:pPr>
              <w:cnfStyle w:val="000000000000" w:firstRow="0" w:lastRow="0" w:firstColumn="0" w:lastColumn="0" w:oddVBand="0" w:evenVBand="0" w:oddHBand="0" w:evenHBand="0" w:firstRowFirstColumn="0" w:firstRowLastColumn="0" w:lastRowFirstColumn="0" w:lastRowLastColumn="0"/>
            </w:pPr>
            <w:r w:rsidRPr="00C356EA">
              <w:t>189.1</w:t>
            </w:r>
          </w:p>
        </w:tc>
        <w:tc>
          <w:tcPr>
            <w:tcW w:w="527" w:type="pct"/>
            <w:vAlign w:val="top"/>
          </w:tcPr>
          <w:p w:rsidR="00C356EA" w:rsidRPr="00C356EA" w:rsidRDefault="00C356EA" w:rsidP="00C356EA">
            <w:pPr>
              <w:cnfStyle w:val="000000000000" w:firstRow="0" w:lastRow="0" w:firstColumn="0" w:lastColumn="0" w:oddVBand="0" w:evenVBand="0" w:oddHBand="0" w:evenHBand="0" w:firstRowFirstColumn="0" w:firstRowLastColumn="0" w:lastRowFirstColumn="0" w:lastRowLastColumn="0"/>
            </w:pPr>
            <w:r w:rsidRPr="00C356EA">
              <w:t>143.3</w:t>
            </w:r>
          </w:p>
        </w:tc>
        <w:tc>
          <w:tcPr>
            <w:tcW w:w="527" w:type="pct"/>
            <w:vAlign w:val="top"/>
          </w:tcPr>
          <w:p w:rsidR="00C356EA" w:rsidRPr="00C356EA" w:rsidRDefault="00C356EA" w:rsidP="00C356EA">
            <w:pPr>
              <w:cnfStyle w:val="000000000000" w:firstRow="0" w:lastRow="0" w:firstColumn="0" w:lastColumn="0" w:oddVBand="0" w:evenVBand="0" w:oddHBand="0" w:evenHBand="0" w:firstRowFirstColumn="0" w:firstRowLastColumn="0" w:lastRowFirstColumn="0" w:lastRowLastColumn="0"/>
            </w:pPr>
            <w:r w:rsidRPr="00C356EA">
              <w:t>191.0</w:t>
            </w:r>
          </w:p>
        </w:tc>
        <w:tc>
          <w:tcPr>
            <w:tcW w:w="526" w:type="pct"/>
            <w:vAlign w:val="top"/>
          </w:tcPr>
          <w:p w:rsidR="00C356EA" w:rsidRPr="00C356EA" w:rsidRDefault="00C356EA" w:rsidP="00C356EA">
            <w:pPr>
              <w:cnfStyle w:val="000000000000" w:firstRow="0" w:lastRow="0" w:firstColumn="0" w:lastColumn="0" w:oddVBand="0" w:evenVBand="0" w:oddHBand="0" w:evenHBand="0" w:firstRowFirstColumn="0" w:firstRowLastColumn="0" w:lastRowFirstColumn="0" w:lastRowLastColumn="0"/>
            </w:pPr>
            <w:r w:rsidRPr="00C356EA">
              <w:t>249.0</w:t>
            </w:r>
          </w:p>
        </w:tc>
      </w:tr>
      <w:tr w:rsidR="00C356EA" w:rsidRPr="004F416F" w:rsidTr="00C356E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9" w:type="pct"/>
            <w:vAlign w:val="top"/>
          </w:tcPr>
          <w:p w:rsidR="00C356EA" w:rsidRPr="00C356EA" w:rsidRDefault="00C356EA" w:rsidP="00C356EA">
            <w:r w:rsidRPr="00C356EA">
              <w:t>Contributions</w:t>
            </w:r>
          </w:p>
        </w:tc>
        <w:tc>
          <w:tcPr>
            <w:tcW w:w="527" w:type="pct"/>
            <w:vAlign w:val="top"/>
          </w:tcPr>
          <w:p w:rsidR="00C356EA" w:rsidRPr="00C356EA" w:rsidRDefault="00C356EA" w:rsidP="00C356EA">
            <w:pPr>
              <w:cnfStyle w:val="000000010000" w:firstRow="0" w:lastRow="0" w:firstColumn="0" w:lastColumn="0" w:oddVBand="0" w:evenVBand="0" w:oddHBand="0" w:evenHBand="1" w:firstRowFirstColumn="0" w:firstRowLastColumn="0" w:lastRowFirstColumn="0" w:lastRowLastColumn="0"/>
            </w:pPr>
            <w:r w:rsidRPr="00C356EA">
              <w:t>3.3</w:t>
            </w:r>
          </w:p>
        </w:tc>
        <w:tc>
          <w:tcPr>
            <w:tcW w:w="527" w:type="pct"/>
            <w:vAlign w:val="top"/>
          </w:tcPr>
          <w:p w:rsidR="00C356EA" w:rsidRPr="00C356EA" w:rsidRDefault="00C356EA" w:rsidP="00C356EA">
            <w:pPr>
              <w:cnfStyle w:val="000000010000" w:firstRow="0" w:lastRow="0" w:firstColumn="0" w:lastColumn="0" w:oddVBand="0" w:evenVBand="0" w:oddHBand="0" w:evenHBand="1" w:firstRowFirstColumn="0" w:firstRowLastColumn="0" w:lastRowFirstColumn="0" w:lastRowLastColumn="0"/>
            </w:pPr>
            <w:r w:rsidRPr="00C356EA">
              <w:t>8.4</w:t>
            </w:r>
          </w:p>
        </w:tc>
        <w:tc>
          <w:tcPr>
            <w:tcW w:w="527" w:type="pct"/>
            <w:vAlign w:val="top"/>
          </w:tcPr>
          <w:p w:rsidR="00C356EA" w:rsidRPr="00C356EA" w:rsidRDefault="00C356EA" w:rsidP="00C356EA">
            <w:pPr>
              <w:cnfStyle w:val="000000010000" w:firstRow="0" w:lastRow="0" w:firstColumn="0" w:lastColumn="0" w:oddVBand="0" w:evenVBand="0" w:oddHBand="0" w:evenHBand="1" w:firstRowFirstColumn="0" w:firstRowLastColumn="0" w:lastRowFirstColumn="0" w:lastRowLastColumn="0"/>
            </w:pPr>
            <w:r w:rsidRPr="00C356EA">
              <w:t>4.0</w:t>
            </w:r>
          </w:p>
        </w:tc>
        <w:tc>
          <w:tcPr>
            <w:tcW w:w="527" w:type="pct"/>
            <w:vAlign w:val="top"/>
          </w:tcPr>
          <w:p w:rsidR="00C356EA" w:rsidRPr="00C356EA" w:rsidRDefault="00C356EA" w:rsidP="00C356EA">
            <w:pPr>
              <w:cnfStyle w:val="000000010000" w:firstRow="0" w:lastRow="0" w:firstColumn="0" w:lastColumn="0" w:oddVBand="0" w:evenVBand="0" w:oddHBand="0" w:evenHBand="1" w:firstRowFirstColumn="0" w:firstRowLastColumn="0" w:lastRowFirstColumn="0" w:lastRowLastColumn="0"/>
            </w:pPr>
            <w:r w:rsidRPr="00C356EA">
              <w:t>5.6</w:t>
            </w:r>
          </w:p>
        </w:tc>
        <w:tc>
          <w:tcPr>
            <w:tcW w:w="527" w:type="pct"/>
            <w:vAlign w:val="top"/>
          </w:tcPr>
          <w:p w:rsidR="00C356EA" w:rsidRPr="00C356EA" w:rsidRDefault="00C356EA" w:rsidP="00C356EA">
            <w:pPr>
              <w:cnfStyle w:val="000000010000" w:firstRow="0" w:lastRow="0" w:firstColumn="0" w:lastColumn="0" w:oddVBand="0" w:evenVBand="0" w:oddHBand="0" w:evenHBand="1" w:firstRowFirstColumn="0" w:firstRowLastColumn="0" w:lastRowFirstColumn="0" w:lastRowLastColumn="0"/>
            </w:pPr>
            <w:r w:rsidRPr="00C356EA">
              <w:t>6.9</w:t>
            </w:r>
          </w:p>
        </w:tc>
        <w:tc>
          <w:tcPr>
            <w:tcW w:w="526" w:type="pct"/>
            <w:vAlign w:val="top"/>
          </w:tcPr>
          <w:p w:rsidR="00C356EA" w:rsidRPr="00C356EA" w:rsidRDefault="00C356EA" w:rsidP="00C356EA">
            <w:pPr>
              <w:cnfStyle w:val="000000010000" w:firstRow="0" w:lastRow="0" w:firstColumn="0" w:lastColumn="0" w:oddVBand="0" w:evenVBand="0" w:oddHBand="0" w:evenHBand="1" w:firstRowFirstColumn="0" w:firstRowLastColumn="0" w:lastRowFirstColumn="0" w:lastRowLastColumn="0"/>
            </w:pPr>
            <w:r w:rsidRPr="00C356EA">
              <w:t>10.0</w:t>
            </w:r>
          </w:p>
        </w:tc>
      </w:tr>
      <w:tr w:rsidR="00C356EA" w:rsidRPr="004F416F" w:rsidTr="00C356EA">
        <w:trPr>
          <w:trHeight w:val="300"/>
        </w:trPr>
        <w:tc>
          <w:tcPr>
            <w:cnfStyle w:val="001000000000" w:firstRow="0" w:lastRow="0" w:firstColumn="1" w:lastColumn="0" w:oddVBand="0" w:evenVBand="0" w:oddHBand="0" w:evenHBand="0" w:firstRowFirstColumn="0" w:firstRowLastColumn="0" w:lastRowFirstColumn="0" w:lastRowLastColumn="0"/>
            <w:tcW w:w="1839" w:type="pct"/>
            <w:vAlign w:val="top"/>
          </w:tcPr>
          <w:p w:rsidR="00C356EA" w:rsidRPr="00C356EA" w:rsidRDefault="00C356EA" w:rsidP="00C356EA">
            <w:r w:rsidRPr="00C356EA">
              <w:t>Asset disposals</w:t>
            </w:r>
          </w:p>
        </w:tc>
        <w:tc>
          <w:tcPr>
            <w:tcW w:w="527" w:type="pct"/>
            <w:vAlign w:val="top"/>
          </w:tcPr>
          <w:p w:rsidR="00C356EA" w:rsidRPr="00C356EA" w:rsidRDefault="00C356EA" w:rsidP="00C356EA">
            <w:pPr>
              <w:cnfStyle w:val="000000000000" w:firstRow="0" w:lastRow="0" w:firstColumn="0" w:lastColumn="0" w:oddVBand="0" w:evenVBand="0" w:oddHBand="0" w:evenHBand="0" w:firstRowFirstColumn="0" w:firstRowLastColumn="0" w:lastRowFirstColumn="0" w:lastRowLastColumn="0"/>
            </w:pPr>
            <w:r w:rsidRPr="00C356EA">
              <w:t>0.2</w:t>
            </w:r>
          </w:p>
        </w:tc>
        <w:tc>
          <w:tcPr>
            <w:tcW w:w="527" w:type="pct"/>
            <w:vAlign w:val="top"/>
          </w:tcPr>
          <w:p w:rsidR="00C356EA" w:rsidRPr="00C356EA" w:rsidRDefault="00C356EA" w:rsidP="00C356EA">
            <w:pPr>
              <w:cnfStyle w:val="000000000000" w:firstRow="0" w:lastRow="0" w:firstColumn="0" w:lastColumn="0" w:oddVBand="0" w:evenVBand="0" w:oddHBand="0" w:evenHBand="0" w:firstRowFirstColumn="0" w:firstRowLastColumn="0" w:lastRowFirstColumn="0" w:lastRowLastColumn="0"/>
            </w:pPr>
            <w:r w:rsidRPr="00C356EA">
              <w:t>7.2</w:t>
            </w:r>
          </w:p>
        </w:tc>
        <w:tc>
          <w:tcPr>
            <w:tcW w:w="527" w:type="pct"/>
            <w:vAlign w:val="top"/>
          </w:tcPr>
          <w:p w:rsidR="00C356EA" w:rsidRPr="00C356EA" w:rsidRDefault="00C356EA" w:rsidP="00C356EA">
            <w:pPr>
              <w:cnfStyle w:val="000000000000" w:firstRow="0" w:lastRow="0" w:firstColumn="0" w:lastColumn="0" w:oddVBand="0" w:evenVBand="0" w:oddHBand="0" w:evenHBand="0" w:firstRowFirstColumn="0" w:firstRowLastColumn="0" w:lastRowFirstColumn="0" w:lastRowLastColumn="0"/>
            </w:pPr>
            <w:r w:rsidRPr="00C356EA">
              <w:t>3.2</w:t>
            </w:r>
          </w:p>
        </w:tc>
        <w:tc>
          <w:tcPr>
            <w:tcW w:w="527" w:type="pct"/>
            <w:vAlign w:val="top"/>
          </w:tcPr>
          <w:p w:rsidR="00C356EA" w:rsidRPr="00C356EA" w:rsidRDefault="00C356EA" w:rsidP="00C356EA">
            <w:pPr>
              <w:cnfStyle w:val="000000000000" w:firstRow="0" w:lastRow="0" w:firstColumn="0" w:lastColumn="0" w:oddVBand="0" w:evenVBand="0" w:oddHBand="0" w:evenHBand="0" w:firstRowFirstColumn="0" w:firstRowLastColumn="0" w:lastRowFirstColumn="0" w:lastRowLastColumn="0"/>
            </w:pPr>
            <w:r w:rsidRPr="00C356EA">
              <w:t>1.8</w:t>
            </w:r>
          </w:p>
        </w:tc>
        <w:tc>
          <w:tcPr>
            <w:tcW w:w="527" w:type="pct"/>
            <w:vAlign w:val="top"/>
          </w:tcPr>
          <w:p w:rsidR="00C356EA" w:rsidRPr="00C356EA" w:rsidRDefault="00C356EA" w:rsidP="00C356EA">
            <w:pPr>
              <w:cnfStyle w:val="000000000000" w:firstRow="0" w:lastRow="0" w:firstColumn="0" w:lastColumn="0" w:oddVBand="0" w:evenVBand="0" w:oddHBand="0" w:evenHBand="0" w:firstRowFirstColumn="0" w:firstRowLastColumn="0" w:lastRowFirstColumn="0" w:lastRowLastColumn="0"/>
            </w:pPr>
            <w:r w:rsidRPr="00C356EA">
              <w:t>0.2</w:t>
            </w:r>
          </w:p>
        </w:tc>
        <w:tc>
          <w:tcPr>
            <w:tcW w:w="526" w:type="pct"/>
            <w:vAlign w:val="top"/>
          </w:tcPr>
          <w:p w:rsidR="00C356EA" w:rsidRPr="00C356EA" w:rsidRDefault="00C356EA" w:rsidP="00C356EA">
            <w:pPr>
              <w:cnfStyle w:val="000000000000" w:firstRow="0" w:lastRow="0" w:firstColumn="0" w:lastColumn="0" w:oddVBand="0" w:evenVBand="0" w:oddHBand="0" w:evenHBand="0" w:firstRowFirstColumn="0" w:firstRowLastColumn="0" w:lastRowFirstColumn="0" w:lastRowLastColumn="0"/>
            </w:pPr>
            <w:r w:rsidRPr="00C356EA">
              <w:t>0.1</w:t>
            </w:r>
          </w:p>
        </w:tc>
      </w:tr>
      <w:tr w:rsidR="00C356EA" w:rsidRPr="004F416F" w:rsidTr="00C356E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9" w:type="pct"/>
            <w:vAlign w:val="top"/>
          </w:tcPr>
          <w:p w:rsidR="00C356EA" w:rsidRPr="00C356EA" w:rsidRDefault="00C356EA" w:rsidP="00C356EA">
            <w:r w:rsidRPr="00C356EA">
              <w:t>NET TOTAL CAPITAL EXPENDITURE</w:t>
            </w:r>
          </w:p>
        </w:tc>
        <w:tc>
          <w:tcPr>
            <w:tcW w:w="527" w:type="pct"/>
            <w:vAlign w:val="top"/>
          </w:tcPr>
          <w:p w:rsidR="00C356EA" w:rsidRPr="00C356EA" w:rsidRDefault="00C356EA" w:rsidP="00C356EA">
            <w:pPr>
              <w:cnfStyle w:val="000000010000" w:firstRow="0" w:lastRow="0" w:firstColumn="0" w:lastColumn="0" w:oddVBand="0" w:evenVBand="0" w:oddHBand="0" w:evenHBand="1" w:firstRowFirstColumn="0" w:firstRowLastColumn="0" w:lastRowFirstColumn="0" w:lastRowLastColumn="0"/>
            </w:pPr>
            <w:r w:rsidRPr="00C356EA">
              <w:t>104.4</w:t>
            </w:r>
          </w:p>
        </w:tc>
        <w:tc>
          <w:tcPr>
            <w:tcW w:w="527" w:type="pct"/>
            <w:vAlign w:val="top"/>
          </w:tcPr>
          <w:p w:rsidR="00C356EA" w:rsidRPr="00C356EA" w:rsidRDefault="00C356EA" w:rsidP="00C356EA">
            <w:pPr>
              <w:cnfStyle w:val="000000010000" w:firstRow="0" w:lastRow="0" w:firstColumn="0" w:lastColumn="0" w:oddVBand="0" w:evenVBand="0" w:oddHBand="0" w:evenHBand="1" w:firstRowFirstColumn="0" w:firstRowLastColumn="0" w:lastRowFirstColumn="0" w:lastRowLastColumn="0"/>
            </w:pPr>
            <w:r w:rsidRPr="00C356EA">
              <w:t>169.9</w:t>
            </w:r>
          </w:p>
        </w:tc>
        <w:tc>
          <w:tcPr>
            <w:tcW w:w="527" w:type="pct"/>
            <w:vAlign w:val="top"/>
          </w:tcPr>
          <w:p w:rsidR="00C356EA" w:rsidRPr="00C356EA" w:rsidRDefault="00C356EA" w:rsidP="00C356EA">
            <w:pPr>
              <w:cnfStyle w:val="000000010000" w:firstRow="0" w:lastRow="0" w:firstColumn="0" w:lastColumn="0" w:oddVBand="0" w:evenVBand="0" w:oddHBand="0" w:evenHBand="1" w:firstRowFirstColumn="0" w:firstRowLastColumn="0" w:lastRowFirstColumn="0" w:lastRowLastColumn="0"/>
            </w:pPr>
            <w:r w:rsidRPr="00C356EA">
              <w:t>181.9</w:t>
            </w:r>
          </w:p>
        </w:tc>
        <w:tc>
          <w:tcPr>
            <w:tcW w:w="527" w:type="pct"/>
            <w:vAlign w:val="top"/>
          </w:tcPr>
          <w:p w:rsidR="00C356EA" w:rsidRPr="00C356EA" w:rsidRDefault="00C356EA" w:rsidP="00C356EA">
            <w:pPr>
              <w:cnfStyle w:val="000000010000" w:firstRow="0" w:lastRow="0" w:firstColumn="0" w:lastColumn="0" w:oddVBand="0" w:evenVBand="0" w:oddHBand="0" w:evenHBand="1" w:firstRowFirstColumn="0" w:firstRowLastColumn="0" w:lastRowFirstColumn="0" w:lastRowLastColumn="0"/>
            </w:pPr>
            <w:r w:rsidRPr="00C356EA">
              <w:t>135.8</w:t>
            </w:r>
          </w:p>
        </w:tc>
        <w:tc>
          <w:tcPr>
            <w:tcW w:w="527" w:type="pct"/>
            <w:vAlign w:val="top"/>
          </w:tcPr>
          <w:p w:rsidR="00C356EA" w:rsidRPr="00C356EA" w:rsidRDefault="00C356EA" w:rsidP="00C356EA">
            <w:pPr>
              <w:cnfStyle w:val="000000010000" w:firstRow="0" w:lastRow="0" w:firstColumn="0" w:lastColumn="0" w:oddVBand="0" w:evenVBand="0" w:oddHBand="0" w:evenHBand="1" w:firstRowFirstColumn="0" w:firstRowLastColumn="0" w:lastRowFirstColumn="0" w:lastRowLastColumn="0"/>
            </w:pPr>
            <w:r w:rsidRPr="00C356EA">
              <w:t>183.9</w:t>
            </w:r>
          </w:p>
        </w:tc>
        <w:tc>
          <w:tcPr>
            <w:tcW w:w="526" w:type="pct"/>
            <w:vAlign w:val="top"/>
          </w:tcPr>
          <w:p w:rsidR="00C356EA" w:rsidRPr="00C356EA" w:rsidRDefault="00C356EA" w:rsidP="00C356EA">
            <w:pPr>
              <w:cnfStyle w:val="000000010000" w:firstRow="0" w:lastRow="0" w:firstColumn="0" w:lastColumn="0" w:oddVBand="0" w:evenVBand="0" w:oddHBand="0" w:evenHBand="1" w:firstRowFirstColumn="0" w:firstRowLastColumn="0" w:lastRowFirstColumn="0" w:lastRowLastColumn="0"/>
            </w:pPr>
            <w:r w:rsidRPr="00C356EA">
              <w:t>238.9</w:t>
            </w:r>
          </w:p>
        </w:tc>
      </w:tr>
    </w:tbl>
    <w:p w:rsidR="00123034" w:rsidRDefault="00123034" w:rsidP="00123034">
      <w:pPr>
        <w:pStyle w:val="AERtablesource"/>
      </w:pPr>
      <w:r w:rsidRPr="00F61681">
        <w:lastRenderedPageBreak/>
        <w:t>Source:</w:t>
      </w:r>
      <w:r w:rsidRPr="00F61681">
        <w:tab/>
        <w:t>AER analysis.</w:t>
      </w:r>
    </w:p>
    <w:p w:rsidR="00123034" w:rsidRDefault="00123034" w:rsidP="00123034">
      <w:pPr>
        <w:pStyle w:val="AERtablesource"/>
      </w:pPr>
      <w:r>
        <w:t>Note</w:t>
      </w:r>
      <w:r w:rsidRPr="005A3660">
        <w:t>:</w:t>
      </w:r>
      <w:r w:rsidRPr="005A3660">
        <w:tab/>
        <w:t>(</w:t>
      </w:r>
      <w:r>
        <w:t>a</w:t>
      </w:r>
      <w:r w:rsidRPr="005A3660">
        <w:t xml:space="preserve">) As set out in Attachment </w:t>
      </w:r>
      <w:r>
        <w:t xml:space="preserve">2 </w:t>
      </w:r>
      <w:r w:rsidRPr="005A3660">
        <w:t xml:space="preserve">the </w:t>
      </w:r>
      <w:r>
        <w:t xml:space="preserve">2014-15 amounts have not been assessed by the </w:t>
      </w:r>
      <w:r w:rsidRPr="005A3660">
        <w:t>AER</w:t>
      </w:r>
      <w:r>
        <w:t xml:space="preserve"> as</w:t>
      </w:r>
      <w:r w:rsidRPr="005A3660">
        <w:t xml:space="preserve"> approved capex</w:t>
      </w:r>
      <w:r>
        <w:t xml:space="preserve"> under this decision. This is because these</w:t>
      </w:r>
      <w:r w:rsidRPr="005A3660">
        <w:t xml:space="preserve"> values </w:t>
      </w:r>
      <w:r>
        <w:t>are estimates. The AER will undertake the assessment of whether the 2014-15 amounts are conforming capex as part of the next access arrangement determination</w:t>
      </w:r>
      <w:r w:rsidRPr="005A3660">
        <w:t>.</w:t>
      </w:r>
    </w:p>
    <w:p w:rsidR="00123034" w:rsidRPr="00984CC5" w:rsidRDefault="00123034" w:rsidP="00123034">
      <w:pPr>
        <w:pStyle w:val="AERtablesource"/>
      </w:pPr>
      <w:r>
        <w:tab/>
        <w:t>(b) Totals do not add as JGN claimed confidentiality over mines subsidence and related party margin expenditure.</w:t>
      </w:r>
    </w:p>
    <w:p w:rsidR="00123034" w:rsidRPr="00123034" w:rsidRDefault="00123034" w:rsidP="00123034">
      <w:pPr>
        <w:pStyle w:val="HeadingBoldBlue"/>
        <w:rPr>
          <w:rStyle w:val="AERtextblue"/>
        </w:rPr>
      </w:pPr>
      <w:bookmarkStart w:id="15" w:name="_Toc420943862"/>
      <w:r w:rsidRPr="00123034">
        <w:rPr>
          <w:rStyle w:val="AERtextblue"/>
        </w:rPr>
        <w:t>Conforming capex for the 2015–20 access arrangement period</w:t>
      </w:r>
      <w:bookmarkEnd w:id="15"/>
    </w:p>
    <w:p w:rsidR="00D45159" w:rsidRDefault="00A614C7" w:rsidP="006977ED">
      <w:pPr>
        <w:numPr>
          <w:ilvl w:val="0"/>
          <w:numId w:val="25"/>
        </w:numPr>
      </w:pPr>
      <w:r>
        <w:t>We</w:t>
      </w:r>
      <w:r w:rsidRPr="00CA131C">
        <w:t xml:space="preserve"> approve</w:t>
      </w:r>
      <w:r w:rsidR="00E35D63">
        <w:t xml:space="preserve"> total net capex of</w:t>
      </w:r>
      <w:r w:rsidRPr="00CA131C">
        <w:t xml:space="preserve"> $</w:t>
      </w:r>
      <w:r>
        <w:t>9</w:t>
      </w:r>
      <w:r w:rsidR="00D61960">
        <w:t>5</w:t>
      </w:r>
      <w:r w:rsidR="00E35D63">
        <w:t>7</w:t>
      </w:r>
      <w:r w:rsidR="00D61960">
        <w:t>.</w:t>
      </w:r>
      <w:r w:rsidR="00E35D63">
        <w:t>2</w:t>
      </w:r>
      <w:r w:rsidRPr="00CA131C">
        <w:t xml:space="preserve"> million ($201</w:t>
      </w:r>
      <w:r>
        <w:t>5</w:t>
      </w:r>
      <w:r w:rsidRPr="00CA131C">
        <w:t>) for 201</w:t>
      </w:r>
      <w:r>
        <w:t>5</w:t>
      </w:r>
      <w:r w:rsidRPr="00CA131C">
        <w:t>–</w:t>
      </w:r>
      <w:r>
        <w:t>20</w:t>
      </w:r>
      <w:r w:rsidRPr="00CA131C">
        <w:t xml:space="preserve"> as conforming capex under r. 79(1) of the NGR.</w:t>
      </w:r>
      <w:r>
        <w:t xml:space="preserve">  This is a 1</w:t>
      </w:r>
      <w:r w:rsidR="00D61960">
        <w:t>4</w:t>
      </w:r>
      <w:r>
        <w:t>.</w:t>
      </w:r>
      <w:r w:rsidR="00CF1794">
        <w:t>5</w:t>
      </w:r>
      <w:r>
        <w:t xml:space="preserve"> per cent reduction </w:t>
      </w:r>
      <w:r w:rsidR="00300E77">
        <w:t>to</w:t>
      </w:r>
      <w:r>
        <w:t xml:space="preserve"> JGN's revised proposed expenditure </w:t>
      </w:r>
      <w:r w:rsidRPr="00CA131C">
        <w:t>$</w:t>
      </w:r>
      <w:r w:rsidR="00300E77">
        <w:t>1</w:t>
      </w:r>
      <w:r>
        <w:t>118.</w:t>
      </w:r>
      <w:r w:rsidR="00D45159">
        <w:t>3</w:t>
      </w:r>
      <w:r w:rsidRPr="00CA131C">
        <w:t xml:space="preserve"> million ($201</w:t>
      </w:r>
      <w:r>
        <w:t>5</w:t>
      </w:r>
      <w:r w:rsidRPr="00CA131C">
        <w:t>) total net capex</w:t>
      </w:r>
      <w:r>
        <w:t xml:space="preserve">. </w:t>
      </w:r>
    </w:p>
    <w:p w:rsidR="006977ED" w:rsidRDefault="00A2268D" w:rsidP="006977ED">
      <w:pPr>
        <w:numPr>
          <w:ilvl w:val="0"/>
          <w:numId w:val="25"/>
        </w:numPr>
      </w:pPr>
      <w:r>
        <w:t xml:space="preserve">Our final decision </w:t>
      </w:r>
      <w:r w:rsidR="00A614C7">
        <w:t>reflects an increase from our draft decision.  JGN had proposed $1130</w:t>
      </w:r>
      <w:r w:rsidR="00D61960">
        <w:t>.4</w:t>
      </w:r>
      <w:r w:rsidR="00A614C7">
        <w:t xml:space="preserve"> million in its initial proposal</w:t>
      </w:r>
      <w:r w:rsidR="00A614C7" w:rsidRPr="00E20195">
        <w:t xml:space="preserve"> </w:t>
      </w:r>
      <w:r w:rsidR="00A614C7">
        <w:t xml:space="preserve">and in our draft decision we had approved $918.6 million. </w:t>
      </w:r>
    </w:p>
    <w:p w:rsidR="00662172" w:rsidRDefault="0003793F" w:rsidP="00F435DE">
      <w:r>
        <w:t>The increase from our draft decision largely reflects a decrease in the connections expenditure of $8.8 million ($2015, direct, escalated, excluding overheads) which is more than offset by increases in meter renewal and upgrade (up $23.8 million), overheads (up $10.5 million) and SCADA (up $6.4 million).</w:t>
      </w:r>
    </w:p>
    <w:p w:rsidR="00123034" w:rsidRDefault="00123034" w:rsidP="006977ED">
      <w:pPr>
        <w:numPr>
          <w:ilvl w:val="0"/>
          <w:numId w:val="25"/>
        </w:numPr>
      </w:pPr>
      <w:r>
        <w:fldChar w:fldCharType="begin"/>
      </w:r>
      <w:r>
        <w:instrText xml:space="preserve"> REF _Ref404161318 \h </w:instrText>
      </w:r>
      <w:r>
        <w:fldChar w:fldCharType="separate"/>
      </w:r>
      <w:r w:rsidR="00D51AD6">
        <w:t xml:space="preserve">Table </w:t>
      </w:r>
      <w:r w:rsidR="00D51AD6">
        <w:rPr>
          <w:noProof/>
        </w:rPr>
        <w:t>6</w:t>
      </w:r>
      <w:r w:rsidR="00D51AD6">
        <w:t>.</w:t>
      </w:r>
      <w:r w:rsidR="00D51AD6">
        <w:rPr>
          <w:noProof/>
        </w:rPr>
        <w:t>2</w:t>
      </w:r>
      <w:r>
        <w:fldChar w:fldCharType="end"/>
      </w:r>
      <w:r>
        <w:t xml:space="preserve"> </w:t>
      </w:r>
      <w:r w:rsidRPr="00CA131C">
        <w:t xml:space="preserve">shows </w:t>
      </w:r>
      <w:r w:rsidR="00F435DE">
        <w:t xml:space="preserve">our </w:t>
      </w:r>
      <w:r w:rsidRPr="00CA131C">
        <w:t>approved capex for the 201</w:t>
      </w:r>
      <w:r>
        <w:t>5–20</w:t>
      </w:r>
      <w:r w:rsidRPr="00CA131C">
        <w:t xml:space="preserve"> access arrangement </w:t>
      </w:r>
      <w:proofErr w:type="gramStart"/>
      <w:r w:rsidRPr="00CA131C">
        <w:t>period</w:t>
      </w:r>
      <w:proofErr w:type="gramEnd"/>
      <w:r w:rsidRPr="00CA131C">
        <w:t xml:space="preserve"> by category.</w:t>
      </w:r>
      <w:r w:rsidR="00C80B5F">
        <w:t xml:space="preserve"> We have made all revisions necessary to give effect to this final decision in the </w:t>
      </w:r>
      <w:r w:rsidR="00C80B5F" w:rsidRPr="00117B3D">
        <w:rPr>
          <w:rStyle w:val="AERtextitalic"/>
        </w:rPr>
        <w:t>Approved Access Arrangement, JGN’s NSW distribution networks 1 July 2015 – 30 June 2020</w:t>
      </w:r>
      <w:r w:rsidR="00C80B5F">
        <w:t xml:space="preserve"> (</w:t>
      </w:r>
      <w:r w:rsidR="00117B3D">
        <w:t>June</w:t>
      </w:r>
      <w:r w:rsidR="00C80B5F">
        <w:t xml:space="preserve"> 2015).</w:t>
      </w:r>
      <w:r w:rsidR="00C80B5F">
        <w:rPr>
          <w:rStyle w:val="FootnoteReference"/>
        </w:rPr>
        <w:footnoteReference w:id="2"/>
      </w:r>
    </w:p>
    <w:p w:rsidR="00123034" w:rsidRDefault="00123034" w:rsidP="00123034">
      <w:pPr>
        <w:pStyle w:val="Caption"/>
      </w:pPr>
      <w:bookmarkStart w:id="16" w:name="_Ref404161318"/>
      <w:proofErr w:type="gramStart"/>
      <w:r>
        <w:t xml:space="preserve">Table </w:t>
      </w:r>
      <w:r w:rsidR="00C62F3B">
        <w:fldChar w:fldCharType="begin"/>
      </w:r>
      <w:r w:rsidR="00C62F3B">
        <w:instrText xml:space="preserve"> STYLEREF 1 \s </w:instrText>
      </w:r>
      <w:r w:rsidR="00C62F3B">
        <w:fldChar w:fldCharType="separate"/>
      </w:r>
      <w:r w:rsidR="00D51AD6">
        <w:rPr>
          <w:noProof/>
        </w:rPr>
        <w:t>6</w:t>
      </w:r>
      <w:r w:rsidR="00C62F3B">
        <w:rPr>
          <w:noProof/>
        </w:rPr>
        <w:fldChar w:fldCharType="end"/>
      </w:r>
      <w:r w:rsidR="007E5469">
        <w:t>.</w:t>
      </w:r>
      <w:proofErr w:type="gramEnd"/>
      <w:r w:rsidR="00C62F3B">
        <w:fldChar w:fldCharType="begin"/>
      </w:r>
      <w:r w:rsidR="00C62F3B">
        <w:instrText xml:space="preserve"> SEQ Table \* ARABIC \s 1 </w:instrText>
      </w:r>
      <w:r w:rsidR="00C62F3B">
        <w:fldChar w:fldCharType="separate"/>
      </w:r>
      <w:r w:rsidR="00D51AD6">
        <w:rPr>
          <w:noProof/>
        </w:rPr>
        <w:t>2</w:t>
      </w:r>
      <w:r w:rsidR="00C62F3B">
        <w:rPr>
          <w:noProof/>
        </w:rPr>
        <w:fldChar w:fldCharType="end"/>
      </w:r>
      <w:bookmarkEnd w:id="16"/>
      <w:r>
        <w:tab/>
      </w:r>
      <w:r w:rsidRPr="00EB0E3D">
        <w:t xml:space="preserve">AER approved capital </w:t>
      </w:r>
      <w:proofErr w:type="gramStart"/>
      <w:r w:rsidRPr="00EB0E3D">
        <w:t>expenditure</w:t>
      </w:r>
      <w:r w:rsidRPr="00EB0E3D">
        <w:rPr>
          <w:rStyle w:val="AERsuperscript"/>
        </w:rPr>
        <w:t>(</w:t>
      </w:r>
      <w:proofErr w:type="gramEnd"/>
      <w:r w:rsidRPr="00EB0E3D">
        <w:rPr>
          <w:rStyle w:val="AERsuperscript"/>
        </w:rPr>
        <w:t>a)</w:t>
      </w:r>
      <w:r w:rsidRPr="00EB0E3D">
        <w:t xml:space="preserve"> by category over the 201</w:t>
      </w:r>
      <w:r>
        <w:t>5</w:t>
      </w:r>
      <w:r w:rsidRPr="00EB0E3D">
        <w:t>–</w:t>
      </w:r>
      <w:r>
        <w:t>20</w:t>
      </w:r>
      <w:r w:rsidRPr="00EB0E3D">
        <w:t xml:space="preserve"> access arrangement period ($million, 201</w:t>
      </w:r>
      <w:r>
        <w:t>5</w:t>
      </w:r>
      <w:r w:rsidRPr="00EB0E3D">
        <w:t>)</w:t>
      </w:r>
    </w:p>
    <w:tbl>
      <w:tblPr>
        <w:tblStyle w:val="AERtable-numbers"/>
        <w:tblW w:w="5000" w:type="pct"/>
        <w:tblLook w:val="04A0" w:firstRow="1" w:lastRow="0" w:firstColumn="1" w:lastColumn="0" w:noHBand="0" w:noVBand="1"/>
      </w:tblPr>
      <w:tblGrid>
        <w:gridCol w:w="3311"/>
        <w:gridCol w:w="895"/>
        <w:gridCol w:w="901"/>
        <w:gridCol w:w="897"/>
        <w:gridCol w:w="895"/>
        <w:gridCol w:w="897"/>
        <w:gridCol w:w="897"/>
      </w:tblGrid>
      <w:tr w:rsidR="00123034" w:rsidRPr="004F416F" w:rsidTr="00C102FE">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904" w:type="pct"/>
            <w:hideMark/>
          </w:tcPr>
          <w:p w:rsidR="00123034" w:rsidRPr="00123034" w:rsidRDefault="00123034" w:rsidP="00123034">
            <w:r w:rsidRPr="00413233">
              <w:t> Category</w:t>
            </w:r>
          </w:p>
        </w:tc>
        <w:tc>
          <w:tcPr>
            <w:tcW w:w="515" w:type="pct"/>
            <w:hideMark/>
          </w:tcPr>
          <w:p w:rsidR="00123034" w:rsidRPr="00123034" w:rsidRDefault="00123034" w:rsidP="00123034">
            <w:pPr>
              <w:pStyle w:val="AERtabletextright"/>
              <w:cnfStyle w:val="100000000000" w:firstRow="1" w:lastRow="0" w:firstColumn="0" w:lastColumn="0" w:oddVBand="0" w:evenVBand="0" w:oddHBand="0" w:evenHBand="0" w:firstRowFirstColumn="0" w:firstRowLastColumn="0" w:lastRowFirstColumn="0" w:lastRowLastColumn="0"/>
            </w:pPr>
            <w:r w:rsidRPr="00413233">
              <w:t>20</w:t>
            </w:r>
            <w:r w:rsidRPr="00123034">
              <w:t>15-16</w:t>
            </w:r>
          </w:p>
        </w:tc>
        <w:tc>
          <w:tcPr>
            <w:tcW w:w="518" w:type="pct"/>
            <w:hideMark/>
          </w:tcPr>
          <w:p w:rsidR="00123034" w:rsidRPr="00123034" w:rsidRDefault="00123034" w:rsidP="00123034">
            <w:pPr>
              <w:pStyle w:val="AERtabletextright"/>
              <w:cnfStyle w:val="100000000000" w:firstRow="1" w:lastRow="0" w:firstColumn="0" w:lastColumn="0" w:oddVBand="0" w:evenVBand="0" w:oddHBand="0" w:evenHBand="0" w:firstRowFirstColumn="0" w:firstRowLastColumn="0" w:lastRowFirstColumn="0" w:lastRowLastColumn="0"/>
            </w:pPr>
            <w:r w:rsidRPr="00413233">
              <w:t>20</w:t>
            </w:r>
            <w:r w:rsidRPr="00123034">
              <w:t>16-17</w:t>
            </w:r>
          </w:p>
        </w:tc>
        <w:tc>
          <w:tcPr>
            <w:tcW w:w="516" w:type="pct"/>
            <w:hideMark/>
          </w:tcPr>
          <w:p w:rsidR="00123034" w:rsidRPr="00123034" w:rsidRDefault="00123034" w:rsidP="00123034">
            <w:pPr>
              <w:pStyle w:val="AERtabletextright"/>
              <w:cnfStyle w:val="100000000000" w:firstRow="1" w:lastRow="0" w:firstColumn="0" w:lastColumn="0" w:oddVBand="0" w:evenVBand="0" w:oddHBand="0" w:evenHBand="0" w:firstRowFirstColumn="0" w:firstRowLastColumn="0" w:lastRowFirstColumn="0" w:lastRowLastColumn="0"/>
            </w:pPr>
            <w:r w:rsidRPr="00413233">
              <w:t>20</w:t>
            </w:r>
            <w:r w:rsidRPr="00123034">
              <w:t>17-18</w:t>
            </w:r>
          </w:p>
        </w:tc>
        <w:tc>
          <w:tcPr>
            <w:tcW w:w="515" w:type="pct"/>
            <w:hideMark/>
          </w:tcPr>
          <w:p w:rsidR="00123034" w:rsidRPr="00123034" w:rsidRDefault="00123034" w:rsidP="00123034">
            <w:pPr>
              <w:pStyle w:val="AERtabletextright"/>
              <w:cnfStyle w:val="100000000000" w:firstRow="1" w:lastRow="0" w:firstColumn="0" w:lastColumn="0" w:oddVBand="0" w:evenVBand="0" w:oddHBand="0" w:evenHBand="0" w:firstRowFirstColumn="0" w:firstRowLastColumn="0" w:lastRowFirstColumn="0" w:lastRowLastColumn="0"/>
            </w:pPr>
            <w:r w:rsidRPr="00413233">
              <w:t>201</w:t>
            </w:r>
            <w:r w:rsidRPr="00123034">
              <w:t>8-19</w:t>
            </w:r>
          </w:p>
        </w:tc>
        <w:tc>
          <w:tcPr>
            <w:tcW w:w="516" w:type="pct"/>
            <w:hideMark/>
          </w:tcPr>
          <w:p w:rsidR="00123034" w:rsidRPr="00123034" w:rsidRDefault="00123034" w:rsidP="00123034">
            <w:pPr>
              <w:pStyle w:val="AERtabletextright"/>
              <w:cnfStyle w:val="100000000000" w:firstRow="1" w:lastRow="0" w:firstColumn="0" w:lastColumn="0" w:oddVBand="0" w:evenVBand="0" w:oddHBand="0" w:evenHBand="0" w:firstRowFirstColumn="0" w:firstRowLastColumn="0" w:lastRowFirstColumn="0" w:lastRowLastColumn="0"/>
            </w:pPr>
            <w:r w:rsidRPr="00413233">
              <w:t>201</w:t>
            </w:r>
            <w:r w:rsidRPr="00123034">
              <w:t>9-20</w:t>
            </w:r>
          </w:p>
        </w:tc>
        <w:tc>
          <w:tcPr>
            <w:tcW w:w="516" w:type="pct"/>
          </w:tcPr>
          <w:p w:rsidR="00123034" w:rsidRPr="00123034" w:rsidRDefault="00123034" w:rsidP="00123034">
            <w:pPr>
              <w:pStyle w:val="AERtabletextright"/>
              <w:cnfStyle w:val="100000000000" w:firstRow="1" w:lastRow="0" w:firstColumn="0" w:lastColumn="0" w:oddVBand="0" w:evenVBand="0" w:oddHBand="0" w:evenHBand="0" w:firstRowFirstColumn="0" w:firstRowLastColumn="0" w:lastRowFirstColumn="0" w:lastRowLastColumn="0"/>
            </w:pPr>
            <w:r>
              <w:t>T</w:t>
            </w:r>
            <w:r w:rsidRPr="00123034">
              <w:t>otal</w:t>
            </w:r>
          </w:p>
        </w:tc>
      </w:tr>
      <w:tr w:rsidR="0003793F" w:rsidRPr="004F416F" w:rsidTr="00C356EA">
        <w:trPr>
          <w:trHeight w:val="300"/>
        </w:trPr>
        <w:tc>
          <w:tcPr>
            <w:cnfStyle w:val="001000000000" w:firstRow="0" w:lastRow="0" w:firstColumn="1" w:lastColumn="0" w:oddVBand="0" w:evenVBand="0" w:oddHBand="0" w:evenHBand="0" w:firstRowFirstColumn="0" w:firstRowLastColumn="0" w:lastRowFirstColumn="0" w:lastRowLastColumn="0"/>
            <w:tcW w:w="1904" w:type="pct"/>
            <w:vAlign w:val="bottom"/>
            <w:hideMark/>
          </w:tcPr>
          <w:p w:rsidR="0003793F" w:rsidRPr="0003793F" w:rsidRDefault="0003793F" w:rsidP="0003793F">
            <w:r w:rsidRPr="0003793F">
              <w:t>Connections/Market expansion</w:t>
            </w:r>
          </w:p>
        </w:tc>
        <w:tc>
          <w:tcPr>
            <w:tcW w:w="515" w:type="pct"/>
            <w:vAlign w:val="top"/>
          </w:tcPr>
          <w:p w:rsidR="0003793F" w:rsidRPr="0003793F" w:rsidRDefault="0003793F" w:rsidP="00B96463">
            <w:pPr>
              <w:cnfStyle w:val="000000000000" w:firstRow="0" w:lastRow="0" w:firstColumn="0" w:lastColumn="0" w:oddVBand="0" w:evenVBand="0" w:oddHBand="0" w:evenHBand="0" w:firstRowFirstColumn="0" w:firstRowLastColumn="0" w:lastRowFirstColumn="0" w:lastRowLastColumn="0"/>
            </w:pPr>
            <w:r w:rsidRPr="0003793F">
              <w:t xml:space="preserve"> 63.3 </w:t>
            </w:r>
          </w:p>
        </w:tc>
        <w:tc>
          <w:tcPr>
            <w:tcW w:w="518" w:type="pct"/>
            <w:vAlign w:val="top"/>
          </w:tcPr>
          <w:p w:rsidR="0003793F" w:rsidRPr="0003793F" w:rsidRDefault="0003793F" w:rsidP="00B96463">
            <w:pPr>
              <w:cnfStyle w:val="000000000000" w:firstRow="0" w:lastRow="0" w:firstColumn="0" w:lastColumn="0" w:oddVBand="0" w:evenVBand="0" w:oddHBand="0" w:evenHBand="0" w:firstRowFirstColumn="0" w:firstRowLastColumn="0" w:lastRowFirstColumn="0" w:lastRowLastColumn="0"/>
            </w:pPr>
            <w:r w:rsidRPr="0003793F">
              <w:t xml:space="preserve"> 60.7 </w:t>
            </w:r>
          </w:p>
        </w:tc>
        <w:tc>
          <w:tcPr>
            <w:tcW w:w="516" w:type="pct"/>
            <w:vAlign w:val="top"/>
          </w:tcPr>
          <w:p w:rsidR="0003793F" w:rsidRPr="0003793F" w:rsidRDefault="0003793F" w:rsidP="00B96463">
            <w:pPr>
              <w:cnfStyle w:val="000000000000" w:firstRow="0" w:lastRow="0" w:firstColumn="0" w:lastColumn="0" w:oddVBand="0" w:evenVBand="0" w:oddHBand="0" w:evenHBand="0" w:firstRowFirstColumn="0" w:firstRowLastColumn="0" w:lastRowFirstColumn="0" w:lastRowLastColumn="0"/>
            </w:pPr>
            <w:r w:rsidRPr="0003793F">
              <w:t xml:space="preserve"> 58.1 </w:t>
            </w:r>
          </w:p>
        </w:tc>
        <w:tc>
          <w:tcPr>
            <w:tcW w:w="515" w:type="pct"/>
            <w:vAlign w:val="top"/>
          </w:tcPr>
          <w:p w:rsidR="0003793F" w:rsidRPr="0003793F" w:rsidRDefault="0003793F" w:rsidP="00B96463">
            <w:pPr>
              <w:cnfStyle w:val="000000000000" w:firstRow="0" w:lastRow="0" w:firstColumn="0" w:lastColumn="0" w:oddVBand="0" w:evenVBand="0" w:oddHBand="0" w:evenHBand="0" w:firstRowFirstColumn="0" w:firstRowLastColumn="0" w:lastRowFirstColumn="0" w:lastRowLastColumn="0"/>
            </w:pPr>
            <w:r w:rsidRPr="0003793F">
              <w:t xml:space="preserve"> 55.6 </w:t>
            </w:r>
          </w:p>
        </w:tc>
        <w:tc>
          <w:tcPr>
            <w:tcW w:w="516" w:type="pct"/>
            <w:vAlign w:val="top"/>
          </w:tcPr>
          <w:p w:rsidR="0003793F" w:rsidRPr="0003793F" w:rsidRDefault="0003793F" w:rsidP="00B96463">
            <w:pPr>
              <w:cnfStyle w:val="000000000000" w:firstRow="0" w:lastRow="0" w:firstColumn="0" w:lastColumn="0" w:oddVBand="0" w:evenVBand="0" w:oddHBand="0" w:evenHBand="0" w:firstRowFirstColumn="0" w:firstRowLastColumn="0" w:lastRowFirstColumn="0" w:lastRowLastColumn="0"/>
            </w:pPr>
            <w:r w:rsidRPr="0003793F">
              <w:t xml:space="preserve"> 53.0 </w:t>
            </w:r>
          </w:p>
        </w:tc>
        <w:tc>
          <w:tcPr>
            <w:tcW w:w="516" w:type="pct"/>
            <w:vAlign w:val="top"/>
          </w:tcPr>
          <w:p w:rsidR="0003793F" w:rsidRPr="0003793F" w:rsidRDefault="0003793F" w:rsidP="00B96463">
            <w:pPr>
              <w:cnfStyle w:val="000000000000" w:firstRow="0" w:lastRow="0" w:firstColumn="0" w:lastColumn="0" w:oddVBand="0" w:evenVBand="0" w:oddHBand="0" w:evenHBand="0" w:firstRowFirstColumn="0" w:firstRowLastColumn="0" w:lastRowFirstColumn="0" w:lastRowLastColumn="0"/>
            </w:pPr>
            <w:r w:rsidRPr="0003793F">
              <w:t xml:space="preserve"> 290.7 </w:t>
            </w:r>
          </w:p>
        </w:tc>
      </w:tr>
      <w:tr w:rsidR="0003793F" w:rsidRPr="004F416F" w:rsidTr="00C356E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4" w:type="pct"/>
            <w:vAlign w:val="bottom"/>
            <w:hideMark/>
          </w:tcPr>
          <w:p w:rsidR="0003793F" w:rsidRPr="0003793F" w:rsidRDefault="0003793F" w:rsidP="0003793F">
            <w:r w:rsidRPr="0003793F">
              <w:t>Augmentation/Growth capacity</w:t>
            </w:r>
          </w:p>
        </w:tc>
        <w:tc>
          <w:tcPr>
            <w:tcW w:w="515" w:type="pct"/>
            <w:vAlign w:val="top"/>
          </w:tcPr>
          <w:p w:rsidR="0003793F" w:rsidRPr="0003793F" w:rsidRDefault="0003793F" w:rsidP="00B96463">
            <w:pPr>
              <w:cnfStyle w:val="000000010000" w:firstRow="0" w:lastRow="0" w:firstColumn="0" w:lastColumn="0" w:oddVBand="0" w:evenVBand="0" w:oddHBand="0" w:evenHBand="1" w:firstRowFirstColumn="0" w:firstRowLastColumn="0" w:lastRowFirstColumn="0" w:lastRowLastColumn="0"/>
            </w:pPr>
            <w:r w:rsidRPr="0003793F">
              <w:t xml:space="preserve"> 17.2 </w:t>
            </w:r>
          </w:p>
        </w:tc>
        <w:tc>
          <w:tcPr>
            <w:tcW w:w="518" w:type="pct"/>
            <w:vAlign w:val="top"/>
          </w:tcPr>
          <w:p w:rsidR="0003793F" w:rsidRPr="0003793F" w:rsidRDefault="0003793F" w:rsidP="00B96463">
            <w:pPr>
              <w:cnfStyle w:val="000000010000" w:firstRow="0" w:lastRow="0" w:firstColumn="0" w:lastColumn="0" w:oddVBand="0" w:evenVBand="0" w:oddHBand="0" w:evenHBand="1" w:firstRowFirstColumn="0" w:firstRowLastColumn="0" w:lastRowFirstColumn="0" w:lastRowLastColumn="0"/>
            </w:pPr>
            <w:r w:rsidRPr="0003793F">
              <w:t xml:space="preserve"> 17.4 </w:t>
            </w:r>
          </w:p>
        </w:tc>
        <w:tc>
          <w:tcPr>
            <w:tcW w:w="516" w:type="pct"/>
            <w:vAlign w:val="top"/>
          </w:tcPr>
          <w:p w:rsidR="0003793F" w:rsidRPr="0003793F" w:rsidRDefault="0003793F" w:rsidP="00B96463">
            <w:pPr>
              <w:cnfStyle w:val="000000010000" w:firstRow="0" w:lastRow="0" w:firstColumn="0" w:lastColumn="0" w:oddVBand="0" w:evenVBand="0" w:oddHBand="0" w:evenHBand="1" w:firstRowFirstColumn="0" w:firstRowLastColumn="0" w:lastRowFirstColumn="0" w:lastRowLastColumn="0"/>
            </w:pPr>
            <w:r w:rsidRPr="0003793F">
              <w:t xml:space="preserve"> 21.7 </w:t>
            </w:r>
          </w:p>
        </w:tc>
        <w:tc>
          <w:tcPr>
            <w:tcW w:w="515" w:type="pct"/>
            <w:vAlign w:val="top"/>
          </w:tcPr>
          <w:p w:rsidR="0003793F" w:rsidRPr="0003793F" w:rsidRDefault="0003793F" w:rsidP="00B96463">
            <w:pPr>
              <w:cnfStyle w:val="000000010000" w:firstRow="0" w:lastRow="0" w:firstColumn="0" w:lastColumn="0" w:oddVBand="0" w:evenVBand="0" w:oddHBand="0" w:evenHBand="1" w:firstRowFirstColumn="0" w:firstRowLastColumn="0" w:lastRowFirstColumn="0" w:lastRowLastColumn="0"/>
            </w:pPr>
            <w:r w:rsidRPr="0003793F">
              <w:t xml:space="preserve"> 17.2 </w:t>
            </w:r>
          </w:p>
        </w:tc>
        <w:tc>
          <w:tcPr>
            <w:tcW w:w="516" w:type="pct"/>
            <w:vAlign w:val="top"/>
          </w:tcPr>
          <w:p w:rsidR="0003793F" w:rsidRPr="0003793F" w:rsidRDefault="0003793F" w:rsidP="00B96463">
            <w:pPr>
              <w:cnfStyle w:val="000000010000" w:firstRow="0" w:lastRow="0" w:firstColumn="0" w:lastColumn="0" w:oddVBand="0" w:evenVBand="0" w:oddHBand="0" w:evenHBand="1" w:firstRowFirstColumn="0" w:firstRowLastColumn="0" w:lastRowFirstColumn="0" w:lastRowLastColumn="0"/>
            </w:pPr>
            <w:r w:rsidRPr="0003793F">
              <w:t xml:space="preserve"> 12.3 </w:t>
            </w:r>
          </w:p>
        </w:tc>
        <w:tc>
          <w:tcPr>
            <w:tcW w:w="516" w:type="pct"/>
            <w:vAlign w:val="top"/>
          </w:tcPr>
          <w:p w:rsidR="0003793F" w:rsidRPr="0003793F" w:rsidRDefault="0003793F" w:rsidP="00B96463">
            <w:pPr>
              <w:cnfStyle w:val="000000010000" w:firstRow="0" w:lastRow="0" w:firstColumn="0" w:lastColumn="0" w:oddVBand="0" w:evenVBand="0" w:oddHBand="0" w:evenHBand="1" w:firstRowFirstColumn="0" w:firstRowLastColumn="0" w:lastRowFirstColumn="0" w:lastRowLastColumn="0"/>
            </w:pPr>
            <w:r w:rsidRPr="0003793F">
              <w:t xml:space="preserve"> 85.8 </w:t>
            </w:r>
          </w:p>
        </w:tc>
      </w:tr>
      <w:tr w:rsidR="0003793F" w:rsidRPr="004F416F" w:rsidTr="00C356EA">
        <w:trPr>
          <w:trHeight w:val="300"/>
        </w:trPr>
        <w:tc>
          <w:tcPr>
            <w:cnfStyle w:val="001000000000" w:firstRow="0" w:lastRow="0" w:firstColumn="1" w:lastColumn="0" w:oddVBand="0" w:evenVBand="0" w:oddHBand="0" w:evenHBand="0" w:firstRowFirstColumn="0" w:firstRowLastColumn="0" w:lastRowFirstColumn="0" w:lastRowLastColumn="0"/>
            <w:tcW w:w="1904" w:type="pct"/>
            <w:vAlign w:val="bottom"/>
            <w:hideMark/>
          </w:tcPr>
          <w:p w:rsidR="0003793F" w:rsidRPr="0003793F" w:rsidRDefault="0003793F" w:rsidP="0003793F">
            <w:r w:rsidRPr="0003793F">
              <w:t>Mains and service renewal</w:t>
            </w:r>
          </w:p>
        </w:tc>
        <w:tc>
          <w:tcPr>
            <w:tcW w:w="515" w:type="pct"/>
            <w:vAlign w:val="top"/>
          </w:tcPr>
          <w:p w:rsidR="0003793F" w:rsidRPr="0003793F" w:rsidRDefault="0003793F" w:rsidP="00B96463">
            <w:pPr>
              <w:cnfStyle w:val="000000000000" w:firstRow="0" w:lastRow="0" w:firstColumn="0" w:lastColumn="0" w:oddVBand="0" w:evenVBand="0" w:oddHBand="0" w:evenHBand="0" w:firstRowFirstColumn="0" w:firstRowLastColumn="0" w:lastRowFirstColumn="0" w:lastRowLastColumn="0"/>
            </w:pPr>
            <w:r w:rsidRPr="0003793F">
              <w:t xml:space="preserve"> 12.3 </w:t>
            </w:r>
          </w:p>
        </w:tc>
        <w:tc>
          <w:tcPr>
            <w:tcW w:w="518" w:type="pct"/>
            <w:vAlign w:val="top"/>
          </w:tcPr>
          <w:p w:rsidR="0003793F" w:rsidRPr="0003793F" w:rsidRDefault="0003793F" w:rsidP="00B96463">
            <w:pPr>
              <w:cnfStyle w:val="000000000000" w:firstRow="0" w:lastRow="0" w:firstColumn="0" w:lastColumn="0" w:oddVBand="0" w:evenVBand="0" w:oddHBand="0" w:evenHBand="0" w:firstRowFirstColumn="0" w:firstRowLastColumn="0" w:lastRowFirstColumn="0" w:lastRowLastColumn="0"/>
            </w:pPr>
            <w:r w:rsidRPr="0003793F">
              <w:t xml:space="preserve"> 15.9 </w:t>
            </w:r>
          </w:p>
        </w:tc>
        <w:tc>
          <w:tcPr>
            <w:tcW w:w="516" w:type="pct"/>
            <w:vAlign w:val="top"/>
          </w:tcPr>
          <w:p w:rsidR="0003793F" w:rsidRPr="0003793F" w:rsidRDefault="0003793F" w:rsidP="00B96463">
            <w:pPr>
              <w:cnfStyle w:val="000000000000" w:firstRow="0" w:lastRow="0" w:firstColumn="0" w:lastColumn="0" w:oddVBand="0" w:evenVBand="0" w:oddHBand="0" w:evenHBand="0" w:firstRowFirstColumn="0" w:firstRowLastColumn="0" w:lastRowFirstColumn="0" w:lastRowLastColumn="0"/>
            </w:pPr>
            <w:r w:rsidRPr="0003793F">
              <w:t xml:space="preserve"> 12.4 </w:t>
            </w:r>
          </w:p>
        </w:tc>
        <w:tc>
          <w:tcPr>
            <w:tcW w:w="515" w:type="pct"/>
            <w:vAlign w:val="top"/>
          </w:tcPr>
          <w:p w:rsidR="0003793F" w:rsidRPr="0003793F" w:rsidRDefault="0003793F" w:rsidP="00B96463">
            <w:pPr>
              <w:cnfStyle w:val="000000000000" w:firstRow="0" w:lastRow="0" w:firstColumn="0" w:lastColumn="0" w:oddVBand="0" w:evenVBand="0" w:oddHBand="0" w:evenHBand="0" w:firstRowFirstColumn="0" w:firstRowLastColumn="0" w:lastRowFirstColumn="0" w:lastRowLastColumn="0"/>
            </w:pPr>
            <w:r w:rsidRPr="0003793F">
              <w:t xml:space="preserve"> 8.6 </w:t>
            </w:r>
          </w:p>
        </w:tc>
        <w:tc>
          <w:tcPr>
            <w:tcW w:w="516" w:type="pct"/>
            <w:vAlign w:val="top"/>
          </w:tcPr>
          <w:p w:rsidR="0003793F" w:rsidRPr="0003793F" w:rsidRDefault="0003793F" w:rsidP="00B96463">
            <w:pPr>
              <w:cnfStyle w:val="000000000000" w:firstRow="0" w:lastRow="0" w:firstColumn="0" w:lastColumn="0" w:oddVBand="0" w:evenVBand="0" w:oddHBand="0" w:evenHBand="0" w:firstRowFirstColumn="0" w:firstRowLastColumn="0" w:lastRowFirstColumn="0" w:lastRowLastColumn="0"/>
            </w:pPr>
            <w:r w:rsidRPr="0003793F">
              <w:t xml:space="preserve"> 9.7 </w:t>
            </w:r>
          </w:p>
        </w:tc>
        <w:tc>
          <w:tcPr>
            <w:tcW w:w="516" w:type="pct"/>
            <w:vAlign w:val="top"/>
          </w:tcPr>
          <w:p w:rsidR="0003793F" w:rsidRPr="0003793F" w:rsidRDefault="0003793F" w:rsidP="00B96463">
            <w:pPr>
              <w:cnfStyle w:val="000000000000" w:firstRow="0" w:lastRow="0" w:firstColumn="0" w:lastColumn="0" w:oddVBand="0" w:evenVBand="0" w:oddHBand="0" w:evenHBand="0" w:firstRowFirstColumn="0" w:firstRowLastColumn="0" w:lastRowFirstColumn="0" w:lastRowLastColumn="0"/>
            </w:pPr>
            <w:r w:rsidRPr="0003793F">
              <w:t xml:space="preserve"> 58.8 </w:t>
            </w:r>
          </w:p>
        </w:tc>
      </w:tr>
      <w:tr w:rsidR="0003793F" w:rsidRPr="004F416F" w:rsidTr="0055217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4" w:type="pct"/>
            <w:vAlign w:val="top"/>
            <w:hideMark/>
          </w:tcPr>
          <w:p w:rsidR="0003793F" w:rsidRPr="0003793F" w:rsidRDefault="0003793F" w:rsidP="0003793F">
            <w:r w:rsidRPr="0003793F">
              <w:t>Facilities renewal and upgrade</w:t>
            </w:r>
          </w:p>
        </w:tc>
        <w:tc>
          <w:tcPr>
            <w:tcW w:w="515" w:type="pct"/>
            <w:vAlign w:val="top"/>
          </w:tcPr>
          <w:p w:rsidR="0003793F" w:rsidRPr="0003793F" w:rsidRDefault="0003793F" w:rsidP="00B96463">
            <w:pPr>
              <w:cnfStyle w:val="000000010000" w:firstRow="0" w:lastRow="0" w:firstColumn="0" w:lastColumn="0" w:oddVBand="0" w:evenVBand="0" w:oddHBand="0" w:evenHBand="1" w:firstRowFirstColumn="0" w:firstRowLastColumn="0" w:lastRowFirstColumn="0" w:lastRowLastColumn="0"/>
            </w:pPr>
            <w:r w:rsidRPr="0003793F">
              <w:t xml:space="preserve"> 22.3 </w:t>
            </w:r>
          </w:p>
        </w:tc>
        <w:tc>
          <w:tcPr>
            <w:tcW w:w="518" w:type="pct"/>
            <w:vAlign w:val="top"/>
          </w:tcPr>
          <w:p w:rsidR="0003793F" w:rsidRPr="0003793F" w:rsidRDefault="0003793F" w:rsidP="00B96463">
            <w:pPr>
              <w:cnfStyle w:val="000000010000" w:firstRow="0" w:lastRow="0" w:firstColumn="0" w:lastColumn="0" w:oddVBand="0" w:evenVBand="0" w:oddHBand="0" w:evenHBand="1" w:firstRowFirstColumn="0" w:firstRowLastColumn="0" w:lastRowFirstColumn="0" w:lastRowLastColumn="0"/>
            </w:pPr>
            <w:r w:rsidRPr="0003793F">
              <w:t xml:space="preserve"> 18.8 </w:t>
            </w:r>
          </w:p>
        </w:tc>
        <w:tc>
          <w:tcPr>
            <w:tcW w:w="516" w:type="pct"/>
            <w:vAlign w:val="top"/>
          </w:tcPr>
          <w:p w:rsidR="0003793F" w:rsidRPr="0003793F" w:rsidRDefault="0003793F" w:rsidP="00B96463">
            <w:pPr>
              <w:cnfStyle w:val="000000010000" w:firstRow="0" w:lastRow="0" w:firstColumn="0" w:lastColumn="0" w:oddVBand="0" w:evenVBand="0" w:oddHBand="0" w:evenHBand="1" w:firstRowFirstColumn="0" w:firstRowLastColumn="0" w:lastRowFirstColumn="0" w:lastRowLastColumn="0"/>
            </w:pPr>
            <w:r w:rsidRPr="0003793F">
              <w:t xml:space="preserve"> 19.9 </w:t>
            </w:r>
          </w:p>
        </w:tc>
        <w:tc>
          <w:tcPr>
            <w:tcW w:w="515" w:type="pct"/>
            <w:vAlign w:val="top"/>
          </w:tcPr>
          <w:p w:rsidR="0003793F" w:rsidRPr="0003793F" w:rsidRDefault="0003793F" w:rsidP="00B96463">
            <w:pPr>
              <w:cnfStyle w:val="000000010000" w:firstRow="0" w:lastRow="0" w:firstColumn="0" w:lastColumn="0" w:oddVBand="0" w:evenVBand="0" w:oddHBand="0" w:evenHBand="1" w:firstRowFirstColumn="0" w:firstRowLastColumn="0" w:lastRowFirstColumn="0" w:lastRowLastColumn="0"/>
            </w:pPr>
            <w:r w:rsidRPr="0003793F">
              <w:t xml:space="preserve"> 20.3 </w:t>
            </w:r>
          </w:p>
        </w:tc>
        <w:tc>
          <w:tcPr>
            <w:tcW w:w="516" w:type="pct"/>
            <w:vAlign w:val="top"/>
          </w:tcPr>
          <w:p w:rsidR="0003793F" w:rsidRPr="0003793F" w:rsidRDefault="0003793F" w:rsidP="00B96463">
            <w:pPr>
              <w:cnfStyle w:val="000000010000" w:firstRow="0" w:lastRow="0" w:firstColumn="0" w:lastColumn="0" w:oddVBand="0" w:evenVBand="0" w:oddHBand="0" w:evenHBand="1" w:firstRowFirstColumn="0" w:firstRowLastColumn="0" w:lastRowFirstColumn="0" w:lastRowLastColumn="0"/>
            </w:pPr>
            <w:r w:rsidRPr="0003793F">
              <w:t xml:space="preserve"> 16.4 </w:t>
            </w:r>
          </w:p>
        </w:tc>
        <w:tc>
          <w:tcPr>
            <w:tcW w:w="516" w:type="pct"/>
            <w:vAlign w:val="top"/>
          </w:tcPr>
          <w:p w:rsidR="0003793F" w:rsidRPr="0003793F" w:rsidRDefault="0003793F" w:rsidP="00B96463">
            <w:pPr>
              <w:cnfStyle w:val="000000010000" w:firstRow="0" w:lastRow="0" w:firstColumn="0" w:lastColumn="0" w:oddVBand="0" w:evenVBand="0" w:oddHBand="0" w:evenHBand="1" w:firstRowFirstColumn="0" w:firstRowLastColumn="0" w:lastRowFirstColumn="0" w:lastRowLastColumn="0"/>
            </w:pPr>
            <w:r w:rsidRPr="0003793F">
              <w:t xml:space="preserve"> 97.7 </w:t>
            </w:r>
          </w:p>
        </w:tc>
      </w:tr>
      <w:tr w:rsidR="0003793F" w:rsidRPr="004F416F" w:rsidTr="00552174">
        <w:trPr>
          <w:trHeight w:val="300"/>
        </w:trPr>
        <w:tc>
          <w:tcPr>
            <w:cnfStyle w:val="001000000000" w:firstRow="0" w:lastRow="0" w:firstColumn="1" w:lastColumn="0" w:oddVBand="0" w:evenVBand="0" w:oddHBand="0" w:evenHBand="0" w:firstRowFirstColumn="0" w:firstRowLastColumn="0" w:lastRowFirstColumn="0" w:lastRowLastColumn="0"/>
            <w:tcW w:w="1904" w:type="pct"/>
            <w:vAlign w:val="top"/>
            <w:hideMark/>
          </w:tcPr>
          <w:p w:rsidR="0003793F" w:rsidRPr="0003793F" w:rsidRDefault="0003793F" w:rsidP="0003793F">
            <w:r w:rsidRPr="0003793F">
              <w:t>SCADA</w:t>
            </w:r>
          </w:p>
        </w:tc>
        <w:tc>
          <w:tcPr>
            <w:tcW w:w="515" w:type="pct"/>
            <w:vAlign w:val="top"/>
          </w:tcPr>
          <w:p w:rsidR="0003793F" w:rsidRPr="0003793F" w:rsidRDefault="0003793F" w:rsidP="00B96463">
            <w:pPr>
              <w:cnfStyle w:val="000000000000" w:firstRow="0" w:lastRow="0" w:firstColumn="0" w:lastColumn="0" w:oddVBand="0" w:evenVBand="0" w:oddHBand="0" w:evenHBand="0" w:firstRowFirstColumn="0" w:firstRowLastColumn="0" w:lastRowFirstColumn="0" w:lastRowLastColumn="0"/>
            </w:pPr>
            <w:r w:rsidRPr="0003793F">
              <w:t xml:space="preserve"> 1.3 </w:t>
            </w:r>
          </w:p>
        </w:tc>
        <w:tc>
          <w:tcPr>
            <w:tcW w:w="518" w:type="pct"/>
            <w:vAlign w:val="top"/>
          </w:tcPr>
          <w:p w:rsidR="0003793F" w:rsidRPr="0003793F" w:rsidRDefault="0003793F" w:rsidP="00B96463">
            <w:pPr>
              <w:cnfStyle w:val="000000000000" w:firstRow="0" w:lastRow="0" w:firstColumn="0" w:lastColumn="0" w:oddVBand="0" w:evenVBand="0" w:oddHBand="0" w:evenHBand="0" w:firstRowFirstColumn="0" w:firstRowLastColumn="0" w:lastRowFirstColumn="0" w:lastRowLastColumn="0"/>
            </w:pPr>
            <w:r w:rsidRPr="0003793F">
              <w:t xml:space="preserve"> 2.7 </w:t>
            </w:r>
          </w:p>
        </w:tc>
        <w:tc>
          <w:tcPr>
            <w:tcW w:w="516" w:type="pct"/>
            <w:vAlign w:val="top"/>
          </w:tcPr>
          <w:p w:rsidR="0003793F" w:rsidRPr="0003793F" w:rsidRDefault="0003793F" w:rsidP="00B96463">
            <w:pPr>
              <w:cnfStyle w:val="000000000000" w:firstRow="0" w:lastRow="0" w:firstColumn="0" w:lastColumn="0" w:oddVBand="0" w:evenVBand="0" w:oddHBand="0" w:evenHBand="0" w:firstRowFirstColumn="0" w:firstRowLastColumn="0" w:lastRowFirstColumn="0" w:lastRowLastColumn="0"/>
            </w:pPr>
            <w:r w:rsidRPr="0003793F">
              <w:t xml:space="preserve"> 2.7 </w:t>
            </w:r>
          </w:p>
        </w:tc>
        <w:tc>
          <w:tcPr>
            <w:tcW w:w="515" w:type="pct"/>
            <w:vAlign w:val="top"/>
          </w:tcPr>
          <w:p w:rsidR="0003793F" w:rsidRPr="0003793F" w:rsidRDefault="0003793F" w:rsidP="00B96463">
            <w:pPr>
              <w:cnfStyle w:val="000000000000" w:firstRow="0" w:lastRow="0" w:firstColumn="0" w:lastColumn="0" w:oddVBand="0" w:evenVBand="0" w:oddHBand="0" w:evenHBand="0" w:firstRowFirstColumn="0" w:firstRowLastColumn="0" w:lastRowFirstColumn="0" w:lastRowLastColumn="0"/>
            </w:pPr>
            <w:r w:rsidRPr="0003793F">
              <w:t xml:space="preserve"> 2.2 </w:t>
            </w:r>
          </w:p>
        </w:tc>
        <w:tc>
          <w:tcPr>
            <w:tcW w:w="516" w:type="pct"/>
            <w:vAlign w:val="top"/>
          </w:tcPr>
          <w:p w:rsidR="0003793F" w:rsidRPr="0003793F" w:rsidRDefault="0003793F" w:rsidP="00B96463">
            <w:pPr>
              <w:cnfStyle w:val="000000000000" w:firstRow="0" w:lastRow="0" w:firstColumn="0" w:lastColumn="0" w:oddVBand="0" w:evenVBand="0" w:oddHBand="0" w:evenHBand="0" w:firstRowFirstColumn="0" w:firstRowLastColumn="0" w:lastRowFirstColumn="0" w:lastRowLastColumn="0"/>
            </w:pPr>
            <w:r w:rsidRPr="0003793F">
              <w:t xml:space="preserve"> 0.7 </w:t>
            </w:r>
          </w:p>
        </w:tc>
        <w:tc>
          <w:tcPr>
            <w:tcW w:w="516" w:type="pct"/>
            <w:vAlign w:val="top"/>
          </w:tcPr>
          <w:p w:rsidR="0003793F" w:rsidRPr="0003793F" w:rsidRDefault="0003793F" w:rsidP="00B96463">
            <w:pPr>
              <w:cnfStyle w:val="000000000000" w:firstRow="0" w:lastRow="0" w:firstColumn="0" w:lastColumn="0" w:oddVBand="0" w:evenVBand="0" w:oddHBand="0" w:evenHBand="0" w:firstRowFirstColumn="0" w:firstRowLastColumn="0" w:lastRowFirstColumn="0" w:lastRowLastColumn="0"/>
            </w:pPr>
            <w:r w:rsidRPr="0003793F">
              <w:t xml:space="preserve"> 9.6 </w:t>
            </w:r>
          </w:p>
        </w:tc>
      </w:tr>
      <w:tr w:rsidR="0003793F" w:rsidRPr="004F416F" w:rsidTr="0055217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4" w:type="pct"/>
            <w:vAlign w:val="top"/>
            <w:hideMark/>
          </w:tcPr>
          <w:p w:rsidR="0003793F" w:rsidRPr="0003793F" w:rsidRDefault="0003793F" w:rsidP="0003793F">
            <w:r w:rsidRPr="0003793F">
              <w:t>Meter renewal and upgrade</w:t>
            </w:r>
          </w:p>
        </w:tc>
        <w:tc>
          <w:tcPr>
            <w:tcW w:w="515" w:type="pct"/>
            <w:vAlign w:val="top"/>
          </w:tcPr>
          <w:p w:rsidR="0003793F" w:rsidRPr="0003793F" w:rsidRDefault="0003793F" w:rsidP="00B96463">
            <w:pPr>
              <w:cnfStyle w:val="000000010000" w:firstRow="0" w:lastRow="0" w:firstColumn="0" w:lastColumn="0" w:oddVBand="0" w:evenVBand="0" w:oddHBand="0" w:evenHBand="1" w:firstRowFirstColumn="0" w:firstRowLastColumn="0" w:lastRowFirstColumn="0" w:lastRowLastColumn="0"/>
            </w:pPr>
            <w:r w:rsidRPr="0003793F">
              <w:t xml:space="preserve"> 29.7 </w:t>
            </w:r>
          </w:p>
        </w:tc>
        <w:tc>
          <w:tcPr>
            <w:tcW w:w="518" w:type="pct"/>
            <w:vAlign w:val="top"/>
          </w:tcPr>
          <w:p w:rsidR="0003793F" w:rsidRPr="0003793F" w:rsidRDefault="0003793F" w:rsidP="00B96463">
            <w:pPr>
              <w:cnfStyle w:val="000000010000" w:firstRow="0" w:lastRow="0" w:firstColumn="0" w:lastColumn="0" w:oddVBand="0" w:evenVBand="0" w:oddHBand="0" w:evenHBand="1" w:firstRowFirstColumn="0" w:firstRowLastColumn="0" w:lastRowFirstColumn="0" w:lastRowLastColumn="0"/>
            </w:pPr>
            <w:r w:rsidRPr="0003793F">
              <w:t xml:space="preserve"> 31.1 </w:t>
            </w:r>
          </w:p>
        </w:tc>
        <w:tc>
          <w:tcPr>
            <w:tcW w:w="516" w:type="pct"/>
            <w:vAlign w:val="top"/>
          </w:tcPr>
          <w:p w:rsidR="0003793F" w:rsidRPr="0003793F" w:rsidRDefault="0003793F" w:rsidP="00B96463">
            <w:pPr>
              <w:cnfStyle w:val="000000010000" w:firstRow="0" w:lastRow="0" w:firstColumn="0" w:lastColumn="0" w:oddVBand="0" w:evenVBand="0" w:oddHBand="0" w:evenHBand="1" w:firstRowFirstColumn="0" w:firstRowLastColumn="0" w:lastRowFirstColumn="0" w:lastRowLastColumn="0"/>
            </w:pPr>
            <w:r w:rsidRPr="0003793F">
              <w:t xml:space="preserve"> 31.7 </w:t>
            </w:r>
          </w:p>
        </w:tc>
        <w:tc>
          <w:tcPr>
            <w:tcW w:w="515" w:type="pct"/>
            <w:vAlign w:val="top"/>
          </w:tcPr>
          <w:p w:rsidR="0003793F" w:rsidRPr="0003793F" w:rsidRDefault="0003793F" w:rsidP="00B96463">
            <w:pPr>
              <w:cnfStyle w:val="000000010000" w:firstRow="0" w:lastRow="0" w:firstColumn="0" w:lastColumn="0" w:oddVBand="0" w:evenVBand="0" w:oddHBand="0" w:evenHBand="1" w:firstRowFirstColumn="0" w:firstRowLastColumn="0" w:lastRowFirstColumn="0" w:lastRowLastColumn="0"/>
            </w:pPr>
            <w:r w:rsidRPr="0003793F">
              <w:t xml:space="preserve"> 30.3 </w:t>
            </w:r>
          </w:p>
        </w:tc>
        <w:tc>
          <w:tcPr>
            <w:tcW w:w="516" w:type="pct"/>
            <w:vAlign w:val="top"/>
          </w:tcPr>
          <w:p w:rsidR="0003793F" w:rsidRPr="0003793F" w:rsidRDefault="0003793F" w:rsidP="00B96463">
            <w:pPr>
              <w:cnfStyle w:val="000000010000" w:firstRow="0" w:lastRow="0" w:firstColumn="0" w:lastColumn="0" w:oddVBand="0" w:evenVBand="0" w:oddHBand="0" w:evenHBand="1" w:firstRowFirstColumn="0" w:firstRowLastColumn="0" w:lastRowFirstColumn="0" w:lastRowLastColumn="0"/>
            </w:pPr>
            <w:r w:rsidRPr="0003793F">
              <w:t xml:space="preserve"> 28.0 </w:t>
            </w:r>
          </w:p>
        </w:tc>
        <w:tc>
          <w:tcPr>
            <w:tcW w:w="516" w:type="pct"/>
            <w:vAlign w:val="top"/>
          </w:tcPr>
          <w:p w:rsidR="0003793F" w:rsidRPr="0003793F" w:rsidRDefault="0003793F" w:rsidP="00B96463">
            <w:pPr>
              <w:cnfStyle w:val="000000010000" w:firstRow="0" w:lastRow="0" w:firstColumn="0" w:lastColumn="0" w:oddVBand="0" w:evenVBand="0" w:oddHBand="0" w:evenHBand="1" w:firstRowFirstColumn="0" w:firstRowLastColumn="0" w:lastRowFirstColumn="0" w:lastRowLastColumn="0"/>
            </w:pPr>
            <w:r w:rsidRPr="0003793F">
              <w:t xml:space="preserve"> 150.8 </w:t>
            </w:r>
          </w:p>
        </w:tc>
      </w:tr>
      <w:tr w:rsidR="0003793F" w:rsidRPr="004F416F" w:rsidTr="00552174">
        <w:trPr>
          <w:trHeight w:val="300"/>
        </w:trPr>
        <w:tc>
          <w:tcPr>
            <w:cnfStyle w:val="001000000000" w:firstRow="0" w:lastRow="0" w:firstColumn="1" w:lastColumn="0" w:oddVBand="0" w:evenVBand="0" w:oddHBand="0" w:evenHBand="0" w:firstRowFirstColumn="0" w:firstRowLastColumn="0" w:lastRowFirstColumn="0" w:lastRowLastColumn="0"/>
            <w:tcW w:w="1904" w:type="pct"/>
            <w:vAlign w:val="top"/>
            <w:hideMark/>
          </w:tcPr>
          <w:p w:rsidR="0003793F" w:rsidRPr="0003793F" w:rsidRDefault="0003793F" w:rsidP="0003793F">
            <w:r w:rsidRPr="0003793F">
              <w:t>Government authority work</w:t>
            </w:r>
          </w:p>
        </w:tc>
        <w:tc>
          <w:tcPr>
            <w:tcW w:w="515" w:type="pct"/>
            <w:vAlign w:val="top"/>
          </w:tcPr>
          <w:p w:rsidR="0003793F" w:rsidRPr="0003793F" w:rsidRDefault="0003793F" w:rsidP="00B96463">
            <w:pPr>
              <w:cnfStyle w:val="000000000000" w:firstRow="0" w:lastRow="0" w:firstColumn="0" w:lastColumn="0" w:oddVBand="0" w:evenVBand="0" w:oddHBand="0" w:evenHBand="0" w:firstRowFirstColumn="0" w:firstRowLastColumn="0" w:lastRowFirstColumn="0" w:lastRowLastColumn="0"/>
            </w:pPr>
            <w:r w:rsidRPr="0003793F">
              <w:t xml:space="preserve"> 0.5 </w:t>
            </w:r>
          </w:p>
        </w:tc>
        <w:tc>
          <w:tcPr>
            <w:tcW w:w="518" w:type="pct"/>
            <w:vAlign w:val="top"/>
          </w:tcPr>
          <w:p w:rsidR="0003793F" w:rsidRPr="0003793F" w:rsidRDefault="0003793F" w:rsidP="00B96463">
            <w:pPr>
              <w:cnfStyle w:val="000000000000" w:firstRow="0" w:lastRow="0" w:firstColumn="0" w:lastColumn="0" w:oddVBand="0" w:evenVBand="0" w:oddHBand="0" w:evenHBand="0" w:firstRowFirstColumn="0" w:firstRowLastColumn="0" w:lastRowFirstColumn="0" w:lastRowLastColumn="0"/>
            </w:pPr>
            <w:r w:rsidRPr="0003793F">
              <w:t xml:space="preserve"> 0.5 </w:t>
            </w:r>
          </w:p>
        </w:tc>
        <w:tc>
          <w:tcPr>
            <w:tcW w:w="516" w:type="pct"/>
            <w:vAlign w:val="top"/>
          </w:tcPr>
          <w:p w:rsidR="0003793F" w:rsidRPr="0003793F" w:rsidRDefault="0003793F" w:rsidP="00B96463">
            <w:pPr>
              <w:cnfStyle w:val="000000000000" w:firstRow="0" w:lastRow="0" w:firstColumn="0" w:lastColumn="0" w:oddVBand="0" w:evenVBand="0" w:oddHBand="0" w:evenHBand="0" w:firstRowFirstColumn="0" w:firstRowLastColumn="0" w:lastRowFirstColumn="0" w:lastRowLastColumn="0"/>
            </w:pPr>
            <w:r w:rsidRPr="0003793F">
              <w:t xml:space="preserve"> 0.5 </w:t>
            </w:r>
          </w:p>
        </w:tc>
        <w:tc>
          <w:tcPr>
            <w:tcW w:w="515" w:type="pct"/>
            <w:vAlign w:val="top"/>
          </w:tcPr>
          <w:p w:rsidR="0003793F" w:rsidRPr="0003793F" w:rsidRDefault="0003793F" w:rsidP="00B96463">
            <w:pPr>
              <w:cnfStyle w:val="000000000000" w:firstRow="0" w:lastRow="0" w:firstColumn="0" w:lastColumn="0" w:oddVBand="0" w:evenVBand="0" w:oddHBand="0" w:evenHBand="0" w:firstRowFirstColumn="0" w:firstRowLastColumn="0" w:lastRowFirstColumn="0" w:lastRowLastColumn="0"/>
            </w:pPr>
            <w:r w:rsidRPr="0003793F">
              <w:t xml:space="preserve"> 0.5 </w:t>
            </w:r>
          </w:p>
        </w:tc>
        <w:tc>
          <w:tcPr>
            <w:tcW w:w="516" w:type="pct"/>
            <w:vAlign w:val="top"/>
          </w:tcPr>
          <w:p w:rsidR="0003793F" w:rsidRPr="0003793F" w:rsidRDefault="0003793F" w:rsidP="00B96463">
            <w:pPr>
              <w:cnfStyle w:val="000000000000" w:firstRow="0" w:lastRow="0" w:firstColumn="0" w:lastColumn="0" w:oddVBand="0" w:evenVBand="0" w:oddHBand="0" w:evenHBand="0" w:firstRowFirstColumn="0" w:firstRowLastColumn="0" w:lastRowFirstColumn="0" w:lastRowLastColumn="0"/>
            </w:pPr>
            <w:r w:rsidRPr="0003793F">
              <w:t xml:space="preserve"> 0.5 </w:t>
            </w:r>
          </w:p>
        </w:tc>
        <w:tc>
          <w:tcPr>
            <w:tcW w:w="516" w:type="pct"/>
            <w:vAlign w:val="top"/>
          </w:tcPr>
          <w:p w:rsidR="0003793F" w:rsidRPr="0003793F" w:rsidRDefault="0003793F" w:rsidP="00B96463">
            <w:pPr>
              <w:cnfStyle w:val="000000000000" w:firstRow="0" w:lastRow="0" w:firstColumn="0" w:lastColumn="0" w:oddVBand="0" w:evenVBand="0" w:oddHBand="0" w:evenHBand="0" w:firstRowFirstColumn="0" w:firstRowLastColumn="0" w:lastRowFirstColumn="0" w:lastRowLastColumn="0"/>
            </w:pPr>
            <w:r w:rsidRPr="0003793F">
              <w:t xml:space="preserve"> 2.6 </w:t>
            </w:r>
          </w:p>
        </w:tc>
      </w:tr>
      <w:tr w:rsidR="0003793F" w:rsidRPr="004F416F" w:rsidTr="0055217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4" w:type="pct"/>
            <w:vAlign w:val="top"/>
            <w:hideMark/>
          </w:tcPr>
          <w:p w:rsidR="0003793F" w:rsidRPr="0003793F" w:rsidRDefault="0003793F" w:rsidP="0003793F">
            <w:r w:rsidRPr="0003793F">
              <w:t>IT</w:t>
            </w:r>
          </w:p>
        </w:tc>
        <w:tc>
          <w:tcPr>
            <w:tcW w:w="515" w:type="pct"/>
            <w:vAlign w:val="top"/>
          </w:tcPr>
          <w:p w:rsidR="0003793F" w:rsidRPr="0003793F" w:rsidRDefault="0003793F" w:rsidP="00B96463">
            <w:pPr>
              <w:cnfStyle w:val="000000010000" w:firstRow="0" w:lastRow="0" w:firstColumn="0" w:lastColumn="0" w:oddVBand="0" w:evenVBand="0" w:oddHBand="0" w:evenHBand="1" w:firstRowFirstColumn="0" w:firstRowLastColumn="0" w:lastRowFirstColumn="0" w:lastRowLastColumn="0"/>
            </w:pPr>
            <w:r w:rsidRPr="0003793F">
              <w:t xml:space="preserve"> 42.5 </w:t>
            </w:r>
          </w:p>
        </w:tc>
        <w:tc>
          <w:tcPr>
            <w:tcW w:w="518" w:type="pct"/>
            <w:vAlign w:val="top"/>
          </w:tcPr>
          <w:p w:rsidR="0003793F" w:rsidRPr="0003793F" w:rsidRDefault="0003793F" w:rsidP="00B96463">
            <w:pPr>
              <w:cnfStyle w:val="000000010000" w:firstRow="0" w:lastRow="0" w:firstColumn="0" w:lastColumn="0" w:oddVBand="0" w:evenVBand="0" w:oddHBand="0" w:evenHBand="1" w:firstRowFirstColumn="0" w:firstRowLastColumn="0" w:lastRowFirstColumn="0" w:lastRowLastColumn="0"/>
            </w:pPr>
            <w:r w:rsidRPr="0003793F">
              <w:t xml:space="preserve"> 30.5 </w:t>
            </w:r>
          </w:p>
        </w:tc>
        <w:tc>
          <w:tcPr>
            <w:tcW w:w="516" w:type="pct"/>
            <w:vAlign w:val="top"/>
          </w:tcPr>
          <w:p w:rsidR="0003793F" w:rsidRPr="0003793F" w:rsidRDefault="0003793F" w:rsidP="00B96463">
            <w:pPr>
              <w:cnfStyle w:val="000000010000" w:firstRow="0" w:lastRow="0" w:firstColumn="0" w:lastColumn="0" w:oddVBand="0" w:evenVBand="0" w:oddHBand="0" w:evenHBand="1" w:firstRowFirstColumn="0" w:firstRowLastColumn="0" w:lastRowFirstColumn="0" w:lastRowLastColumn="0"/>
            </w:pPr>
            <w:r w:rsidRPr="0003793F">
              <w:t xml:space="preserve"> 32.8 </w:t>
            </w:r>
          </w:p>
        </w:tc>
        <w:tc>
          <w:tcPr>
            <w:tcW w:w="515" w:type="pct"/>
            <w:vAlign w:val="top"/>
          </w:tcPr>
          <w:p w:rsidR="0003793F" w:rsidRPr="0003793F" w:rsidRDefault="0003793F" w:rsidP="00B96463">
            <w:pPr>
              <w:cnfStyle w:val="000000010000" w:firstRow="0" w:lastRow="0" w:firstColumn="0" w:lastColumn="0" w:oddVBand="0" w:evenVBand="0" w:oddHBand="0" w:evenHBand="1" w:firstRowFirstColumn="0" w:firstRowLastColumn="0" w:lastRowFirstColumn="0" w:lastRowLastColumn="0"/>
            </w:pPr>
            <w:r w:rsidRPr="0003793F">
              <w:t xml:space="preserve"> 18.3 </w:t>
            </w:r>
          </w:p>
        </w:tc>
        <w:tc>
          <w:tcPr>
            <w:tcW w:w="516" w:type="pct"/>
            <w:vAlign w:val="top"/>
          </w:tcPr>
          <w:p w:rsidR="0003793F" w:rsidRPr="0003793F" w:rsidRDefault="0003793F" w:rsidP="00B96463">
            <w:pPr>
              <w:cnfStyle w:val="000000010000" w:firstRow="0" w:lastRow="0" w:firstColumn="0" w:lastColumn="0" w:oddVBand="0" w:evenVBand="0" w:oddHBand="0" w:evenHBand="1" w:firstRowFirstColumn="0" w:firstRowLastColumn="0" w:lastRowFirstColumn="0" w:lastRowLastColumn="0"/>
            </w:pPr>
            <w:r w:rsidRPr="0003793F">
              <w:t xml:space="preserve"> 10.6 </w:t>
            </w:r>
          </w:p>
        </w:tc>
        <w:tc>
          <w:tcPr>
            <w:tcW w:w="516" w:type="pct"/>
            <w:vAlign w:val="top"/>
          </w:tcPr>
          <w:p w:rsidR="0003793F" w:rsidRPr="0003793F" w:rsidRDefault="0003793F" w:rsidP="00B96463">
            <w:pPr>
              <w:cnfStyle w:val="000000010000" w:firstRow="0" w:lastRow="0" w:firstColumn="0" w:lastColumn="0" w:oddVBand="0" w:evenVBand="0" w:oddHBand="0" w:evenHBand="1" w:firstRowFirstColumn="0" w:firstRowLastColumn="0" w:lastRowFirstColumn="0" w:lastRowLastColumn="0"/>
            </w:pPr>
            <w:r w:rsidRPr="0003793F">
              <w:t xml:space="preserve"> 134.6 </w:t>
            </w:r>
          </w:p>
        </w:tc>
      </w:tr>
      <w:tr w:rsidR="0003793F" w:rsidRPr="004F416F" w:rsidTr="00552174">
        <w:trPr>
          <w:trHeight w:val="300"/>
        </w:trPr>
        <w:tc>
          <w:tcPr>
            <w:cnfStyle w:val="001000000000" w:firstRow="0" w:lastRow="0" w:firstColumn="1" w:lastColumn="0" w:oddVBand="0" w:evenVBand="0" w:oddHBand="0" w:evenHBand="0" w:firstRowFirstColumn="0" w:firstRowLastColumn="0" w:lastRowFirstColumn="0" w:lastRowLastColumn="0"/>
            <w:tcW w:w="1904" w:type="pct"/>
            <w:vAlign w:val="top"/>
            <w:hideMark/>
          </w:tcPr>
          <w:p w:rsidR="0003793F" w:rsidRPr="0003793F" w:rsidRDefault="0003793F" w:rsidP="0003793F">
            <w:r w:rsidRPr="0003793F">
              <w:lastRenderedPageBreak/>
              <w:t>Other - non-distribution</w:t>
            </w:r>
          </w:p>
        </w:tc>
        <w:tc>
          <w:tcPr>
            <w:tcW w:w="515" w:type="pct"/>
            <w:vAlign w:val="top"/>
          </w:tcPr>
          <w:p w:rsidR="0003793F" w:rsidRPr="0003793F" w:rsidRDefault="0003793F" w:rsidP="00B96463">
            <w:pPr>
              <w:cnfStyle w:val="000000000000" w:firstRow="0" w:lastRow="0" w:firstColumn="0" w:lastColumn="0" w:oddVBand="0" w:evenVBand="0" w:oddHBand="0" w:evenHBand="0" w:firstRowFirstColumn="0" w:firstRowLastColumn="0" w:lastRowFirstColumn="0" w:lastRowLastColumn="0"/>
            </w:pPr>
            <w:r w:rsidRPr="0003793F">
              <w:t xml:space="preserve"> 7.3 </w:t>
            </w:r>
          </w:p>
        </w:tc>
        <w:tc>
          <w:tcPr>
            <w:tcW w:w="518" w:type="pct"/>
            <w:vAlign w:val="top"/>
          </w:tcPr>
          <w:p w:rsidR="0003793F" w:rsidRPr="0003793F" w:rsidRDefault="0003793F" w:rsidP="00B96463">
            <w:pPr>
              <w:cnfStyle w:val="000000000000" w:firstRow="0" w:lastRow="0" w:firstColumn="0" w:lastColumn="0" w:oddVBand="0" w:evenVBand="0" w:oddHBand="0" w:evenHBand="0" w:firstRowFirstColumn="0" w:firstRowLastColumn="0" w:lastRowFirstColumn="0" w:lastRowLastColumn="0"/>
            </w:pPr>
            <w:r w:rsidRPr="0003793F">
              <w:t xml:space="preserve"> 3.2 </w:t>
            </w:r>
          </w:p>
        </w:tc>
        <w:tc>
          <w:tcPr>
            <w:tcW w:w="516" w:type="pct"/>
            <w:vAlign w:val="top"/>
          </w:tcPr>
          <w:p w:rsidR="0003793F" w:rsidRPr="0003793F" w:rsidRDefault="0003793F" w:rsidP="00B96463">
            <w:pPr>
              <w:cnfStyle w:val="000000000000" w:firstRow="0" w:lastRow="0" w:firstColumn="0" w:lastColumn="0" w:oddVBand="0" w:evenVBand="0" w:oddHBand="0" w:evenHBand="0" w:firstRowFirstColumn="0" w:firstRowLastColumn="0" w:lastRowFirstColumn="0" w:lastRowLastColumn="0"/>
            </w:pPr>
            <w:r w:rsidRPr="0003793F">
              <w:t xml:space="preserve"> 3.9 </w:t>
            </w:r>
          </w:p>
        </w:tc>
        <w:tc>
          <w:tcPr>
            <w:tcW w:w="515" w:type="pct"/>
            <w:vAlign w:val="top"/>
          </w:tcPr>
          <w:p w:rsidR="0003793F" w:rsidRPr="0003793F" w:rsidRDefault="0003793F" w:rsidP="00B96463">
            <w:pPr>
              <w:cnfStyle w:val="000000000000" w:firstRow="0" w:lastRow="0" w:firstColumn="0" w:lastColumn="0" w:oddVBand="0" w:evenVBand="0" w:oddHBand="0" w:evenHBand="0" w:firstRowFirstColumn="0" w:firstRowLastColumn="0" w:lastRowFirstColumn="0" w:lastRowLastColumn="0"/>
            </w:pPr>
            <w:r w:rsidRPr="0003793F">
              <w:t xml:space="preserve"> 7.3 </w:t>
            </w:r>
          </w:p>
        </w:tc>
        <w:tc>
          <w:tcPr>
            <w:tcW w:w="516" w:type="pct"/>
            <w:vAlign w:val="top"/>
          </w:tcPr>
          <w:p w:rsidR="0003793F" w:rsidRPr="0003793F" w:rsidRDefault="0003793F" w:rsidP="00B96463">
            <w:pPr>
              <w:cnfStyle w:val="000000000000" w:firstRow="0" w:lastRow="0" w:firstColumn="0" w:lastColumn="0" w:oddVBand="0" w:evenVBand="0" w:oddHBand="0" w:evenHBand="0" w:firstRowFirstColumn="0" w:firstRowLastColumn="0" w:lastRowFirstColumn="0" w:lastRowLastColumn="0"/>
            </w:pPr>
            <w:r w:rsidRPr="0003793F">
              <w:t xml:space="preserve"> 4.7 </w:t>
            </w:r>
          </w:p>
        </w:tc>
        <w:tc>
          <w:tcPr>
            <w:tcW w:w="516" w:type="pct"/>
            <w:vAlign w:val="top"/>
          </w:tcPr>
          <w:p w:rsidR="0003793F" w:rsidRPr="0003793F" w:rsidRDefault="0003793F" w:rsidP="00B96463">
            <w:pPr>
              <w:cnfStyle w:val="000000000000" w:firstRow="0" w:lastRow="0" w:firstColumn="0" w:lastColumn="0" w:oddVBand="0" w:evenVBand="0" w:oddHBand="0" w:evenHBand="0" w:firstRowFirstColumn="0" w:firstRowLastColumn="0" w:lastRowFirstColumn="0" w:lastRowLastColumn="0"/>
            </w:pPr>
            <w:r w:rsidRPr="0003793F">
              <w:t xml:space="preserve"> 26.4 </w:t>
            </w:r>
          </w:p>
        </w:tc>
      </w:tr>
      <w:tr w:rsidR="0003793F" w:rsidRPr="004F416F" w:rsidTr="0055217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4" w:type="pct"/>
            <w:vAlign w:val="top"/>
            <w:hideMark/>
          </w:tcPr>
          <w:p w:rsidR="0003793F" w:rsidRPr="0003793F" w:rsidRDefault="0003793F" w:rsidP="0003793F">
            <w:r w:rsidRPr="0003793F">
              <w:t>TPC/FEED</w:t>
            </w:r>
          </w:p>
        </w:tc>
        <w:tc>
          <w:tcPr>
            <w:tcW w:w="515" w:type="pct"/>
            <w:vAlign w:val="top"/>
          </w:tcPr>
          <w:p w:rsidR="0003793F" w:rsidRPr="0003793F" w:rsidRDefault="0003793F" w:rsidP="00B96463">
            <w:pPr>
              <w:cnfStyle w:val="000000010000" w:firstRow="0" w:lastRow="0" w:firstColumn="0" w:lastColumn="0" w:oddVBand="0" w:evenVBand="0" w:oddHBand="0" w:evenHBand="1" w:firstRowFirstColumn="0" w:firstRowLastColumn="0" w:lastRowFirstColumn="0" w:lastRowLastColumn="0"/>
            </w:pPr>
            <w:r w:rsidRPr="0003793F">
              <w:t xml:space="preserve"> -   </w:t>
            </w:r>
          </w:p>
        </w:tc>
        <w:tc>
          <w:tcPr>
            <w:tcW w:w="518" w:type="pct"/>
            <w:vAlign w:val="top"/>
          </w:tcPr>
          <w:p w:rsidR="0003793F" w:rsidRPr="0003793F" w:rsidRDefault="0003793F" w:rsidP="00B96463">
            <w:pPr>
              <w:cnfStyle w:val="000000010000" w:firstRow="0" w:lastRow="0" w:firstColumn="0" w:lastColumn="0" w:oddVBand="0" w:evenVBand="0" w:oddHBand="0" w:evenHBand="1" w:firstRowFirstColumn="0" w:firstRowLastColumn="0" w:lastRowFirstColumn="0" w:lastRowLastColumn="0"/>
            </w:pPr>
            <w:r w:rsidRPr="0003793F">
              <w:t xml:space="preserve"> -   </w:t>
            </w:r>
          </w:p>
        </w:tc>
        <w:tc>
          <w:tcPr>
            <w:tcW w:w="516" w:type="pct"/>
            <w:vAlign w:val="top"/>
          </w:tcPr>
          <w:p w:rsidR="0003793F" w:rsidRPr="0003793F" w:rsidRDefault="0003793F" w:rsidP="00B96463">
            <w:pPr>
              <w:cnfStyle w:val="000000010000" w:firstRow="0" w:lastRow="0" w:firstColumn="0" w:lastColumn="0" w:oddVBand="0" w:evenVBand="0" w:oddHBand="0" w:evenHBand="1" w:firstRowFirstColumn="0" w:firstRowLastColumn="0" w:lastRowFirstColumn="0" w:lastRowLastColumn="0"/>
            </w:pPr>
            <w:r w:rsidRPr="0003793F">
              <w:t xml:space="preserve"> -   </w:t>
            </w:r>
          </w:p>
        </w:tc>
        <w:tc>
          <w:tcPr>
            <w:tcW w:w="515" w:type="pct"/>
            <w:vAlign w:val="top"/>
          </w:tcPr>
          <w:p w:rsidR="0003793F" w:rsidRPr="0003793F" w:rsidRDefault="0003793F" w:rsidP="00B96463">
            <w:pPr>
              <w:cnfStyle w:val="000000010000" w:firstRow="0" w:lastRow="0" w:firstColumn="0" w:lastColumn="0" w:oddVBand="0" w:evenVBand="0" w:oddHBand="0" w:evenHBand="1" w:firstRowFirstColumn="0" w:firstRowLastColumn="0" w:lastRowFirstColumn="0" w:lastRowLastColumn="0"/>
            </w:pPr>
            <w:r w:rsidRPr="0003793F">
              <w:t xml:space="preserve"> -   </w:t>
            </w:r>
          </w:p>
        </w:tc>
        <w:tc>
          <w:tcPr>
            <w:tcW w:w="516" w:type="pct"/>
            <w:vAlign w:val="top"/>
          </w:tcPr>
          <w:p w:rsidR="0003793F" w:rsidRPr="0003793F" w:rsidRDefault="0003793F" w:rsidP="00B96463">
            <w:pPr>
              <w:cnfStyle w:val="000000010000" w:firstRow="0" w:lastRow="0" w:firstColumn="0" w:lastColumn="0" w:oddVBand="0" w:evenVBand="0" w:oddHBand="0" w:evenHBand="1" w:firstRowFirstColumn="0" w:firstRowLastColumn="0" w:lastRowFirstColumn="0" w:lastRowLastColumn="0"/>
            </w:pPr>
            <w:r w:rsidRPr="0003793F">
              <w:t xml:space="preserve"> -   </w:t>
            </w:r>
          </w:p>
        </w:tc>
        <w:tc>
          <w:tcPr>
            <w:tcW w:w="516" w:type="pct"/>
            <w:vAlign w:val="top"/>
          </w:tcPr>
          <w:p w:rsidR="0003793F" w:rsidRPr="0003793F" w:rsidRDefault="0003793F" w:rsidP="00B96463">
            <w:pPr>
              <w:cnfStyle w:val="000000010000" w:firstRow="0" w:lastRow="0" w:firstColumn="0" w:lastColumn="0" w:oddVBand="0" w:evenVBand="0" w:oddHBand="0" w:evenHBand="1" w:firstRowFirstColumn="0" w:firstRowLastColumn="0" w:lastRowFirstColumn="0" w:lastRowLastColumn="0"/>
            </w:pPr>
            <w:r w:rsidRPr="0003793F">
              <w:t xml:space="preserve"> -   </w:t>
            </w:r>
          </w:p>
        </w:tc>
      </w:tr>
      <w:tr w:rsidR="0003793F" w:rsidRPr="004F416F" w:rsidTr="00552174">
        <w:trPr>
          <w:trHeight w:val="300"/>
        </w:trPr>
        <w:tc>
          <w:tcPr>
            <w:cnfStyle w:val="001000000000" w:firstRow="0" w:lastRow="0" w:firstColumn="1" w:lastColumn="0" w:oddVBand="0" w:evenVBand="0" w:oddHBand="0" w:evenHBand="0" w:firstRowFirstColumn="0" w:firstRowLastColumn="0" w:lastRowFirstColumn="0" w:lastRowLastColumn="0"/>
            <w:tcW w:w="1904" w:type="pct"/>
            <w:vAlign w:val="top"/>
            <w:hideMark/>
          </w:tcPr>
          <w:p w:rsidR="0003793F" w:rsidRPr="0003793F" w:rsidRDefault="0003793F" w:rsidP="0003793F">
            <w:r w:rsidRPr="0003793F">
              <w:t>Overheads</w:t>
            </w:r>
          </w:p>
        </w:tc>
        <w:tc>
          <w:tcPr>
            <w:tcW w:w="515" w:type="pct"/>
            <w:vAlign w:val="top"/>
          </w:tcPr>
          <w:p w:rsidR="0003793F" w:rsidRPr="0003793F" w:rsidRDefault="0003793F" w:rsidP="00B96463">
            <w:pPr>
              <w:cnfStyle w:val="000000000000" w:firstRow="0" w:lastRow="0" w:firstColumn="0" w:lastColumn="0" w:oddVBand="0" w:evenVBand="0" w:oddHBand="0" w:evenHBand="0" w:firstRowFirstColumn="0" w:firstRowLastColumn="0" w:lastRowFirstColumn="0" w:lastRowLastColumn="0"/>
            </w:pPr>
            <w:r w:rsidRPr="0003793F">
              <w:t xml:space="preserve"> 24.3 </w:t>
            </w:r>
          </w:p>
        </w:tc>
        <w:tc>
          <w:tcPr>
            <w:tcW w:w="518" w:type="pct"/>
            <w:vAlign w:val="top"/>
          </w:tcPr>
          <w:p w:rsidR="0003793F" w:rsidRPr="0003793F" w:rsidRDefault="0003793F" w:rsidP="00B96463">
            <w:pPr>
              <w:cnfStyle w:val="000000000000" w:firstRow="0" w:lastRow="0" w:firstColumn="0" w:lastColumn="0" w:oddVBand="0" w:evenVBand="0" w:oddHBand="0" w:evenHBand="0" w:firstRowFirstColumn="0" w:firstRowLastColumn="0" w:lastRowFirstColumn="0" w:lastRowLastColumn="0"/>
            </w:pPr>
            <w:r w:rsidRPr="0003793F">
              <w:t xml:space="preserve"> 23.9 </w:t>
            </w:r>
          </w:p>
        </w:tc>
        <w:tc>
          <w:tcPr>
            <w:tcW w:w="516" w:type="pct"/>
            <w:vAlign w:val="top"/>
          </w:tcPr>
          <w:p w:rsidR="0003793F" w:rsidRPr="0003793F" w:rsidRDefault="0003793F" w:rsidP="00B96463">
            <w:pPr>
              <w:cnfStyle w:val="000000000000" w:firstRow="0" w:lastRow="0" w:firstColumn="0" w:lastColumn="0" w:oddVBand="0" w:evenVBand="0" w:oddHBand="0" w:evenHBand="0" w:firstRowFirstColumn="0" w:firstRowLastColumn="0" w:lastRowFirstColumn="0" w:lastRowLastColumn="0"/>
            </w:pPr>
            <w:r w:rsidRPr="0003793F">
              <w:t xml:space="preserve"> 24.3 </w:t>
            </w:r>
          </w:p>
        </w:tc>
        <w:tc>
          <w:tcPr>
            <w:tcW w:w="515" w:type="pct"/>
            <w:vAlign w:val="top"/>
          </w:tcPr>
          <w:p w:rsidR="0003793F" w:rsidRPr="0003793F" w:rsidRDefault="0003793F" w:rsidP="00B96463">
            <w:pPr>
              <w:cnfStyle w:val="000000000000" w:firstRow="0" w:lastRow="0" w:firstColumn="0" w:lastColumn="0" w:oddVBand="0" w:evenVBand="0" w:oddHBand="0" w:evenHBand="0" w:firstRowFirstColumn="0" w:firstRowLastColumn="0" w:lastRowFirstColumn="0" w:lastRowLastColumn="0"/>
            </w:pPr>
            <w:r w:rsidRPr="0003793F">
              <w:t xml:space="preserve"> 23.8 </w:t>
            </w:r>
          </w:p>
        </w:tc>
        <w:tc>
          <w:tcPr>
            <w:tcW w:w="516" w:type="pct"/>
            <w:vAlign w:val="top"/>
          </w:tcPr>
          <w:p w:rsidR="0003793F" w:rsidRPr="0003793F" w:rsidRDefault="0003793F" w:rsidP="00B96463">
            <w:pPr>
              <w:cnfStyle w:val="000000000000" w:firstRow="0" w:lastRow="0" w:firstColumn="0" w:lastColumn="0" w:oddVBand="0" w:evenVBand="0" w:oddHBand="0" w:evenHBand="0" w:firstRowFirstColumn="0" w:firstRowLastColumn="0" w:lastRowFirstColumn="0" w:lastRowLastColumn="0"/>
            </w:pPr>
            <w:r w:rsidRPr="0003793F">
              <w:t xml:space="preserve"> 23.2 </w:t>
            </w:r>
          </w:p>
        </w:tc>
        <w:tc>
          <w:tcPr>
            <w:tcW w:w="516" w:type="pct"/>
            <w:vAlign w:val="top"/>
          </w:tcPr>
          <w:p w:rsidR="0003793F" w:rsidRPr="0003793F" w:rsidRDefault="0003793F" w:rsidP="00B96463">
            <w:pPr>
              <w:cnfStyle w:val="000000000000" w:firstRow="0" w:lastRow="0" w:firstColumn="0" w:lastColumn="0" w:oddVBand="0" w:evenVBand="0" w:oddHBand="0" w:evenHBand="0" w:firstRowFirstColumn="0" w:firstRowLastColumn="0" w:lastRowFirstColumn="0" w:lastRowLastColumn="0"/>
            </w:pPr>
            <w:r w:rsidRPr="0003793F">
              <w:t xml:space="preserve"> 119.5 </w:t>
            </w:r>
          </w:p>
        </w:tc>
      </w:tr>
      <w:tr w:rsidR="0003793F" w:rsidRPr="004F416F" w:rsidTr="0055217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4" w:type="pct"/>
            <w:vAlign w:val="top"/>
          </w:tcPr>
          <w:p w:rsidR="0003793F" w:rsidRPr="0003793F" w:rsidRDefault="0003793F" w:rsidP="0003793F">
            <w:r w:rsidRPr="0003793F">
              <w:t>GROSS TOTAL CAPITAL EXPENDITURE</w:t>
            </w:r>
          </w:p>
        </w:tc>
        <w:tc>
          <w:tcPr>
            <w:tcW w:w="515" w:type="pct"/>
            <w:vAlign w:val="top"/>
          </w:tcPr>
          <w:p w:rsidR="0003793F" w:rsidRPr="0003793F" w:rsidRDefault="0003793F" w:rsidP="00B96463">
            <w:pPr>
              <w:cnfStyle w:val="000000010000" w:firstRow="0" w:lastRow="0" w:firstColumn="0" w:lastColumn="0" w:oddVBand="0" w:evenVBand="0" w:oddHBand="0" w:evenHBand="1" w:firstRowFirstColumn="0" w:firstRowLastColumn="0" w:lastRowFirstColumn="0" w:lastRowLastColumn="0"/>
            </w:pPr>
            <w:r w:rsidRPr="0003793F">
              <w:t xml:space="preserve"> 222.2 </w:t>
            </w:r>
          </w:p>
        </w:tc>
        <w:tc>
          <w:tcPr>
            <w:tcW w:w="518" w:type="pct"/>
            <w:vAlign w:val="top"/>
          </w:tcPr>
          <w:p w:rsidR="0003793F" w:rsidRPr="0003793F" w:rsidRDefault="0003793F" w:rsidP="00B96463">
            <w:pPr>
              <w:cnfStyle w:val="000000010000" w:firstRow="0" w:lastRow="0" w:firstColumn="0" w:lastColumn="0" w:oddVBand="0" w:evenVBand="0" w:oddHBand="0" w:evenHBand="1" w:firstRowFirstColumn="0" w:firstRowLastColumn="0" w:lastRowFirstColumn="0" w:lastRowLastColumn="0"/>
            </w:pPr>
            <w:r w:rsidRPr="0003793F">
              <w:t xml:space="preserve"> 205.0 </w:t>
            </w:r>
          </w:p>
        </w:tc>
        <w:tc>
          <w:tcPr>
            <w:tcW w:w="516" w:type="pct"/>
            <w:vAlign w:val="top"/>
          </w:tcPr>
          <w:p w:rsidR="0003793F" w:rsidRPr="0003793F" w:rsidRDefault="0003793F" w:rsidP="00B96463">
            <w:pPr>
              <w:cnfStyle w:val="000000010000" w:firstRow="0" w:lastRow="0" w:firstColumn="0" w:lastColumn="0" w:oddVBand="0" w:evenVBand="0" w:oddHBand="0" w:evenHBand="1" w:firstRowFirstColumn="0" w:firstRowLastColumn="0" w:lastRowFirstColumn="0" w:lastRowLastColumn="0"/>
            </w:pPr>
            <w:r w:rsidRPr="0003793F">
              <w:t xml:space="preserve"> 208.1 </w:t>
            </w:r>
          </w:p>
        </w:tc>
        <w:tc>
          <w:tcPr>
            <w:tcW w:w="515" w:type="pct"/>
            <w:vAlign w:val="top"/>
          </w:tcPr>
          <w:p w:rsidR="0003793F" w:rsidRPr="0003793F" w:rsidRDefault="0003793F" w:rsidP="00B96463">
            <w:pPr>
              <w:cnfStyle w:val="000000010000" w:firstRow="0" w:lastRow="0" w:firstColumn="0" w:lastColumn="0" w:oddVBand="0" w:evenVBand="0" w:oddHBand="0" w:evenHBand="1" w:firstRowFirstColumn="0" w:firstRowLastColumn="0" w:lastRowFirstColumn="0" w:lastRowLastColumn="0"/>
            </w:pPr>
            <w:r w:rsidRPr="0003793F">
              <w:t xml:space="preserve"> 184.0 </w:t>
            </w:r>
          </w:p>
        </w:tc>
        <w:tc>
          <w:tcPr>
            <w:tcW w:w="516" w:type="pct"/>
            <w:vAlign w:val="top"/>
          </w:tcPr>
          <w:p w:rsidR="0003793F" w:rsidRPr="0003793F" w:rsidRDefault="0003793F" w:rsidP="00B96463">
            <w:pPr>
              <w:cnfStyle w:val="000000010000" w:firstRow="0" w:lastRow="0" w:firstColumn="0" w:lastColumn="0" w:oddVBand="0" w:evenVBand="0" w:oddHBand="0" w:evenHBand="1" w:firstRowFirstColumn="0" w:firstRowLastColumn="0" w:lastRowFirstColumn="0" w:lastRowLastColumn="0"/>
            </w:pPr>
            <w:r w:rsidRPr="0003793F">
              <w:t xml:space="preserve"> 159.1 </w:t>
            </w:r>
          </w:p>
        </w:tc>
        <w:tc>
          <w:tcPr>
            <w:tcW w:w="516" w:type="pct"/>
            <w:vAlign w:val="top"/>
          </w:tcPr>
          <w:p w:rsidR="0003793F" w:rsidRPr="0003793F" w:rsidRDefault="0003793F" w:rsidP="00B96463">
            <w:pPr>
              <w:cnfStyle w:val="000000010000" w:firstRow="0" w:lastRow="0" w:firstColumn="0" w:lastColumn="0" w:oddVBand="0" w:evenVBand="0" w:oddHBand="0" w:evenHBand="1" w:firstRowFirstColumn="0" w:firstRowLastColumn="0" w:lastRowFirstColumn="0" w:lastRowLastColumn="0"/>
            </w:pPr>
            <w:r w:rsidRPr="0003793F">
              <w:t xml:space="preserve"> 978.4 </w:t>
            </w:r>
          </w:p>
        </w:tc>
      </w:tr>
      <w:tr w:rsidR="0003793F" w:rsidRPr="004F416F" w:rsidTr="00552174">
        <w:trPr>
          <w:trHeight w:val="300"/>
        </w:trPr>
        <w:tc>
          <w:tcPr>
            <w:cnfStyle w:val="001000000000" w:firstRow="0" w:lastRow="0" w:firstColumn="1" w:lastColumn="0" w:oddVBand="0" w:evenVBand="0" w:oddHBand="0" w:evenHBand="0" w:firstRowFirstColumn="0" w:firstRowLastColumn="0" w:lastRowFirstColumn="0" w:lastRowLastColumn="0"/>
            <w:tcW w:w="1904" w:type="pct"/>
            <w:vAlign w:val="top"/>
            <w:hideMark/>
          </w:tcPr>
          <w:p w:rsidR="0003793F" w:rsidRPr="0003793F" w:rsidRDefault="0003793F" w:rsidP="0003793F">
            <w:r w:rsidRPr="0003793F">
              <w:t>Contributions</w:t>
            </w:r>
          </w:p>
        </w:tc>
        <w:tc>
          <w:tcPr>
            <w:tcW w:w="515" w:type="pct"/>
            <w:vAlign w:val="top"/>
          </w:tcPr>
          <w:p w:rsidR="0003793F" w:rsidRPr="0003793F" w:rsidRDefault="0003793F" w:rsidP="00B96463">
            <w:pPr>
              <w:cnfStyle w:val="000000000000" w:firstRow="0" w:lastRow="0" w:firstColumn="0" w:lastColumn="0" w:oddVBand="0" w:evenVBand="0" w:oddHBand="0" w:evenHBand="0" w:firstRowFirstColumn="0" w:firstRowLastColumn="0" w:lastRowFirstColumn="0" w:lastRowLastColumn="0"/>
            </w:pPr>
            <w:r w:rsidRPr="0003793F">
              <w:t xml:space="preserve"> 5.4 </w:t>
            </w:r>
          </w:p>
        </w:tc>
        <w:tc>
          <w:tcPr>
            <w:tcW w:w="518" w:type="pct"/>
            <w:vAlign w:val="top"/>
          </w:tcPr>
          <w:p w:rsidR="0003793F" w:rsidRPr="0003793F" w:rsidRDefault="0003793F" w:rsidP="00B96463">
            <w:pPr>
              <w:cnfStyle w:val="000000000000" w:firstRow="0" w:lastRow="0" w:firstColumn="0" w:lastColumn="0" w:oddVBand="0" w:evenVBand="0" w:oddHBand="0" w:evenHBand="0" w:firstRowFirstColumn="0" w:firstRowLastColumn="0" w:lastRowFirstColumn="0" w:lastRowLastColumn="0"/>
            </w:pPr>
            <w:r w:rsidRPr="0003793F">
              <w:t xml:space="preserve"> 4.1 </w:t>
            </w:r>
          </w:p>
        </w:tc>
        <w:tc>
          <w:tcPr>
            <w:tcW w:w="516" w:type="pct"/>
            <w:vAlign w:val="top"/>
          </w:tcPr>
          <w:p w:rsidR="0003793F" w:rsidRPr="0003793F" w:rsidRDefault="0003793F" w:rsidP="00B96463">
            <w:pPr>
              <w:cnfStyle w:val="000000000000" w:firstRow="0" w:lastRow="0" w:firstColumn="0" w:lastColumn="0" w:oddVBand="0" w:evenVBand="0" w:oddHBand="0" w:evenHBand="0" w:firstRowFirstColumn="0" w:firstRowLastColumn="0" w:lastRowFirstColumn="0" w:lastRowLastColumn="0"/>
            </w:pPr>
            <w:r w:rsidRPr="0003793F">
              <w:t xml:space="preserve"> 3.7 </w:t>
            </w:r>
          </w:p>
        </w:tc>
        <w:tc>
          <w:tcPr>
            <w:tcW w:w="515" w:type="pct"/>
            <w:vAlign w:val="top"/>
          </w:tcPr>
          <w:p w:rsidR="0003793F" w:rsidRPr="0003793F" w:rsidRDefault="0003793F" w:rsidP="00B96463">
            <w:pPr>
              <w:cnfStyle w:val="000000000000" w:firstRow="0" w:lastRow="0" w:firstColumn="0" w:lastColumn="0" w:oddVBand="0" w:evenVBand="0" w:oddHBand="0" w:evenHBand="0" w:firstRowFirstColumn="0" w:firstRowLastColumn="0" w:lastRowFirstColumn="0" w:lastRowLastColumn="0"/>
            </w:pPr>
            <w:r w:rsidRPr="0003793F">
              <w:t xml:space="preserve"> 3.6 </w:t>
            </w:r>
          </w:p>
        </w:tc>
        <w:tc>
          <w:tcPr>
            <w:tcW w:w="516" w:type="pct"/>
            <w:vAlign w:val="top"/>
          </w:tcPr>
          <w:p w:rsidR="0003793F" w:rsidRPr="0003793F" w:rsidRDefault="0003793F" w:rsidP="00B96463">
            <w:pPr>
              <w:cnfStyle w:val="000000000000" w:firstRow="0" w:lastRow="0" w:firstColumn="0" w:lastColumn="0" w:oddVBand="0" w:evenVBand="0" w:oddHBand="0" w:evenHBand="0" w:firstRowFirstColumn="0" w:firstRowLastColumn="0" w:lastRowFirstColumn="0" w:lastRowLastColumn="0"/>
            </w:pPr>
            <w:r w:rsidRPr="0003793F">
              <w:t xml:space="preserve"> 3.6 </w:t>
            </w:r>
          </w:p>
        </w:tc>
        <w:tc>
          <w:tcPr>
            <w:tcW w:w="516" w:type="pct"/>
            <w:vAlign w:val="top"/>
          </w:tcPr>
          <w:p w:rsidR="0003793F" w:rsidRPr="0003793F" w:rsidRDefault="0003793F" w:rsidP="00B96463">
            <w:pPr>
              <w:cnfStyle w:val="000000000000" w:firstRow="0" w:lastRow="0" w:firstColumn="0" w:lastColumn="0" w:oddVBand="0" w:evenVBand="0" w:oddHBand="0" w:evenHBand="0" w:firstRowFirstColumn="0" w:firstRowLastColumn="0" w:lastRowFirstColumn="0" w:lastRowLastColumn="0"/>
            </w:pPr>
            <w:r w:rsidRPr="0003793F">
              <w:t xml:space="preserve"> 20.4 </w:t>
            </w:r>
          </w:p>
        </w:tc>
      </w:tr>
      <w:tr w:rsidR="0003793F" w:rsidRPr="004F416F" w:rsidTr="0055217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4" w:type="pct"/>
            <w:vAlign w:val="top"/>
          </w:tcPr>
          <w:p w:rsidR="0003793F" w:rsidRPr="0003793F" w:rsidRDefault="0003793F" w:rsidP="0003793F">
            <w:r w:rsidRPr="0003793F">
              <w:t>Asset disposals</w:t>
            </w:r>
          </w:p>
        </w:tc>
        <w:tc>
          <w:tcPr>
            <w:tcW w:w="515" w:type="pct"/>
            <w:vAlign w:val="top"/>
          </w:tcPr>
          <w:p w:rsidR="0003793F" w:rsidRPr="0003793F" w:rsidRDefault="0003793F" w:rsidP="00B96463">
            <w:pPr>
              <w:cnfStyle w:val="000000010000" w:firstRow="0" w:lastRow="0" w:firstColumn="0" w:lastColumn="0" w:oddVBand="0" w:evenVBand="0" w:oddHBand="0" w:evenHBand="1" w:firstRowFirstColumn="0" w:firstRowLastColumn="0" w:lastRowFirstColumn="0" w:lastRowLastColumn="0"/>
            </w:pPr>
            <w:r w:rsidRPr="0003793F">
              <w:t xml:space="preserve"> 0.1 </w:t>
            </w:r>
          </w:p>
        </w:tc>
        <w:tc>
          <w:tcPr>
            <w:tcW w:w="518" w:type="pct"/>
            <w:vAlign w:val="top"/>
          </w:tcPr>
          <w:p w:rsidR="0003793F" w:rsidRPr="0003793F" w:rsidRDefault="0003793F" w:rsidP="00B96463">
            <w:pPr>
              <w:cnfStyle w:val="000000010000" w:firstRow="0" w:lastRow="0" w:firstColumn="0" w:lastColumn="0" w:oddVBand="0" w:evenVBand="0" w:oddHBand="0" w:evenHBand="1" w:firstRowFirstColumn="0" w:firstRowLastColumn="0" w:lastRowFirstColumn="0" w:lastRowLastColumn="0"/>
            </w:pPr>
            <w:r w:rsidRPr="0003793F">
              <w:t xml:space="preserve"> 0.1 </w:t>
            </w:r>
          </w:p>
        </w:tc>
        <w:tc>
          <w:tcPr>
            <w:tcW w:w="516" w:type="pct"/>
            <w:vAlign w:val="top"/>
          </w:tcPr>
          <w:p w:rsidR="0003793F" w:rsidRPr="0003793F" w:rsidRDefault="0003793F" w:rsidP="00B96463">
            <w:pPr>
              <w:cnfStyle w:val="000000010000" w:firstRow="0" w:lastRow="0" w:firstColumn="0" w:lastColumn="0" w:oddVBand="0" w:evenVBand="0" w:oddHBand="0" w:evenHBand="1" w:firstRowFirstColumn="0" w:firstRowLastColumn="0" w:lastRowFirstColumn="0" w:lastRowLastColumn="0"/>
            </w:pPr>
            <w:r w:rsidRPr="0003793F">
              <w:t xml:space="preserve"> 0.1 </w:t>
            </w:r>
          </w:p>
        </w:tc>
        <w:tc>
          <w:tcPr>
            <w:tcW w:w="515" w:type="pct"/>
            <w:vAlign w:val="top"/>
          </w:tcPr>
          <w:p w:rsidR="0003793F" w:rsidRPr="0003793F" w:rsidRDefault="0003793F" w:rsidP="00B96463">
            <w:pPr>
              <w:cnfStyle w:val="000000010000" w:firstRow="0" w:lastRow="0" w:firstColumn="0" w:lastColumn="0" w:oddVBand="0" w:evenVBand="0" w:oddHBand="0" w:evenHBand="1" w:firstRowFirstColumn="0" w:firstRowLastColumn="0" w:lastRowFirstColumn="0" w:lastRowLastColumn="0"/>
            </w:pPr>
            <w:r w:rsidRPr="0003793F">
              <w:t xml:space="preserve"> 0.3 </w:t>
            </w:r>
          </w:p>
        </w:tc>
        <w:tc>
          <w:tcPr>
            <w:tcW w:w="516" w:type="pct"/>
            <w:vAlign w:val="top"/>
          </w:tcPr>
          <w:p w:rsidR="0003793F" w:rsidRPr="0003793F" w:rsidRDefault="0003793F" w:rsidP="00B96463">
            <w:pPr>
              <w:cnfStyle w:val="000000010000" w:firstRow="0" w:lastRow="0" w:firstColumn="0" w:lastColumn="0" w:oddVBand="0" w:evenVBand="0" w:oddHBand="0" w:evenHBand="1" w:firstRowFirstColumn="0" w:firstRowLastColumn="0" w:lastRowFirstColumn="0" w:lastRowLastColumn="0"/>
            </w:pPr>
            <w:r w:rsidRPr="0003793F">
              <w:t xml:space="preserve"> 0.2 </w:t>
            </w:r>
          </w:p>
        </w:tc>
        <w:tc>
          <w:tcPr>
            <w:tcW w:w="516" w:type="pct"/>
            <w:vAlign w:val="top"/>
          </w:tcPr>
          <w:p w:rsidR="0003793F" w:rsidRPr="0003793F" w:rsidRDefault="0003793F" w:rsidP="00B96463">
            <w:pPr>
              <w:cnfStyle w:val="000000010000" w:firstRow="0" w:lastRow="0" w:firstColumn="0" w:lastColumn="0" w:oddVBand="0" w:evenVBand="0" w:oddHBand="0" w:evenHBand="1" w:firstRowFirstColumn="0" w:firstRowLastColumn="0" w:lastRowFirstColumn="0" w:lastRowLastColumn="0"/>
            </w:pPr>
            <w:r w:rsidRPr="0003793F">
              <w:t xml:space="preserve"> 0.8 </w:t>
            </w:r>
          </w:p>
        </w:tc>
      </w:tr>
      <w:tr w:rsidR="0003793F" w:rsidRPr="004F416F" w:rsidTr="00552174">
        <w:trPr>
          <w:trHeight w:val="300"/>
        </w:trPr>
        <w:tc>
          <w:tcPr>
            <w:cnfStyle w:val="001000000000" w:firstRow="0" w:lastRow="0" w:firstColumn="1" w:lastColumn="0" w:oddVBand="0" w:evenVBand="0" w:oddHBand="0" w:evenHBand="0" w:firstRowFirstColumn="0" w:firstRowLastColumn="0" w:lastRowFirstColumn="0" w:lastRowLastColumn="0"/>
            <w:tcW w:w="1904" w:type="pct"/>
            <w:vAlign w:val="top"/>
          </w:tcPr>
          <w:p w:rsidR="0003793F" w:rsidRPr="0003793F" w:rsidRDefault="0003793F" w:rsidP="0003793F">
            <w:r w:rsidRPr="0003793F">
              <w:t>NET TOTAL CAPITAL EXPENDITURE</w:t>
            </w:r>
          </w:p>
        </w:tc>
        <w:tc>
          <w:tcPr>
            <w:tcW w:w="515" w:type="pct"/>
            <w:vAlign w:val="top"/>
          </w:tcPr>
          <w:p w:rsidR="0003793F" w:rsidRPr="0003793F" w:rsidRDefault="0003793F" w:rsidP="00B96463">
            <w:pPr>
              <w:cnfStyle w:val="000000000000" w:firstRow="0" w:lastRow="0" w:firstColumn="0" w:lastColumn="0" w:oddVBand="0" w:evenVBand="0" w:oddHBand="0" w:evenHBand="0" w:firstRowFirstColumn="0" w:firstRowLastColumn="0" w:lastRowFirstColumn="0" w:lastRowLastColumn="0"/>
            </w:pPr>
            <w:r w:rsidRPr="0003793F">
              <w:t xml:space="preserve"> 216.6 </w:t>
            </w:r>
          </w:p>
        </w:tc>
        <w:tc>
          <w:tcPr>
            <w:tcW w:w="518" w:type="pct"/>
            <w:vAlign w:val="top"/>
          </w:tcPr>
          <w:p w:rsidR="0003793F" w:rsidRPr="0003793F" w:rsidRDefault="0003793F" w:rsidP="00B96463">
            <w:pPr>
              <w:cnfStyle w:val="000000000000" w:firstRow="0" w:lastRow="0" w:firstColumn="0" w:lastColumn="0" w:oddVBand="0" w:evenVBand="0" w:oddHBand="0" w:evenHBand="0" w:firstRowFirstColumn="0" w:firstRowLastColumn="0" w:lastRowFirstColumn="0" w:lastRowLastColumn="0"/>
            </w:pPr>
            <w:r w:rsidRPr="0003793F">
              <w:t xml:space="preserve"> 200.8 </w:t>
            </w:r>
          </w:p>
        </w:tc>
        <w:tc>
          <w:tcPr>
            <w:tcW w:w="516" w:type="pct"/>
            <w:vAlign w:val="top"/>
          </w:tcPr>
          <w:p w:rsidR="0003793F" w:rsidRPr="0003793F" w:rsidRDefault="0003793F" w:rsidP="00B96463">
            <w:pPr>
              <w:cnfStyle w:val="000000000000" w:firstRow="0" w:lastRow="0" w:firstColumn="0" w:lastColumn="0" w:oddVBand="0" w:evenVBand="0" w:oddHBand="0" w:evenHBand="0" w:firstRowFirstColumn="0" w:firstRowLastColumn="0" w:lastRowFirstColumn="0" w:lastRowLastColumn="0"/>
            </w:pPr>
            <w:r w:rsidRPr="0003793F">
              <w:t xml:space="preserve"> 204.2 </w:t>
            </w:r>
          </w:p>
        </w:tc>
        <w:tc>
          <w:tcPr>
            <w:tcW w:w="515" w:type="pct"/>
            <w:vAlign w:val="top"/>
          </w:tcPr>
          <w:p w:rsidR="0003793F" w:rsidRPr="0003793F" w:rsidRDefault="0003793F" w:rsidP="00B96463">
            <w:pPr>
              <w:cnfStyle w:val="000000000000" w:firstRow="0" w:lastRow="0" w:firstColumn="0" w:lastColumn="0" w:oddVBand="0" w:evenVBand="0" w:oddHBand="0" w:evenHBand="0" w:firstRowFirstColumn="0" w:firstRowLastColumn="0" w:lastRowFirstColumn="0" w:lastRowLastColumn="0"/>
            </w:pPr>
            <w:r w:rsidRPr="0003793F">
              <w:t xml:space="preserve"> 180.1 </w:t>
            </w:r>
          </w:p>
        </w:tc>
        <w:tc>
          <w:tcPr>
            <w:tcW w:w="516" w:type="pct"/>
            <w:vAlign w:val="top"/>
          </w:tcPr>
          <w:p w:rsidR="0003793F" w:rsidRPr="0003793F" w:rsidRDefault="0003793F" w:rsidP="00B96463">
            <w:pPr>
              <w:cnfStyle w:val="000000000000" w:firstRow="0" w:lastRow="0" w:firstColumn="0" w:lastColumn="0" w:oddVBand="0" w:evenVBand="0" w:oddHBand="0" w:evenHBand="0" w:firstRowFirstColumn="0" w:firstRowLastColumn="0" w:lastRowFirstColumn="0" w:lastRowLastColumn="0"/>
            </w:pPr>
            <w:r w:rsidRPr="0003793F">
              <w:t xml:space="preserve"> 155.4 </w:t>
            </w:r>
          </w:p>
        </w:tc>
        <w:tc>
          <w:tcPr>
            <w:tcW w:w="516" w:type="pct"/>
            <w:vAlign w:val="top"/>
          </w:tcPr>
          <w:p w:rsidR="0003793F" w:rsidRPr="0003793F" w:rsidRDefault="0003793F" w:rsidP="00B96463">
            <w:pPr>
              <w:cnfStyle w:val="000000000000" w:firstRow="0" w:lastRow="0" w:firstColumn="0" w:lastColumn="0" w:oddVBand="0" w:evenVBand="0" w:oddHBand="0" w:evenHBand="0" w:firstRowFirstColumn="0" w:firstRowLastColumn="0" w:lastRowFirstColumn="0" w:lastRowLastColumn="0"/>
            </w:pPr>
            <w:r w:rsidRPr="0003793F">
              <w:t xml:space="preserve"> 957.2 </w:t>
            </w:r>
          </w:p>
        </w:tc>
      </w:tr>
    </w:tbl>
    <w:p w:rsidR="00123034" w:rsidRDefault="00123034" w:rsidP="00123034">
      <w:pPr>
        <w:pStyle w:val="AERtablesource"/>
      </w:pPr>
      <w:r w:rsidRPr="00DE44F6">
        <w:t>Source:</w:t>
      </w:r>
      <w:r w:rsidRPr="00DE44F6">
        <w:tab/>
        <w:t>AER analysis.</w:t>
      </w:r>
    </w:p>
    <w:p w:rsidR="00123034" w:rsidRDefault="00123034" w:rsidP="00123034">
      <w:pPr>
        <w:pStyle w:val="AERtablesource"/>
      </w:pPr>
      <w:r w:rsidRPr="00A91109">
        <w:t>Notes:</w:t>
      </w:r>
      <w:r w:rsidRPr="00A91109">
        <w:tab/>
        <w:t>(a) Including</w:t>
      </w:r>
      <w:r>
        <w:t xml:space="preserve"> </w:t>
      </w:r>
      <w:r w:rsidRPr="00A91109">
        <w:t>AER material and labour escalation adjustments.</w:t>
      </w:r>
    </w:p>
    <w:p w:rsidR="00123034" w:rsidRPr="00984CC5" w:rsidRDefault="00123034" w:rsidP="00123034">
      <w:pPr>
        <w:pStyle w:val="AERtablesource"/>
      </w:pPr>
      <w:r>
        <w:tab/>
        <w:t>(b) Totals do not add as JGN claimed confidentiality over mines subsidence and related party margin expenditure.</w:t>
      </w:r>
    </w:p>
    <w:p w:rsidR="00BC65D5" w:rsidRPr="00BC65D5" w:rsidRDefault="00123034" w:rsidP="00BC65D5">
      <w:r w:rsidRPr="00123034">
        <w:fldChar w:fldCharType="begin"/>
      </w:r>
      <w:r w:rsidRPr="00123034">
        <w:instrText xml:space="preserve"> REF _Ref404161331 \h </w:instrText>
      </w:r>
      <w:r w:rsidR="008004AD">
        <w:rPr>
          <w:b/>
          <w:bCs/>
        </w:rPr>
        <w:instrText xml:space="preserve"> \* MERGEFORMAT </w:instrText>
      </w:r>
      <w:r w:rsidRPr="00123034">
        <w:fldChar w:fldCharType="separate"/>
      </w:r>
      <w:r w:rsidR="00D51AD6">
        <w:t xml:space="preserve">Table </w:t>
      </w:r>
      <w:r w:rsidR="00D51AD6">
        <w:rPr>
          <w:noProof/>
        </w:rPr>
        <w:t>6.3</w:t>
      </w:r>
      <w:r w:rsidRPr="00123034">
        <w:fldChar w:fldCharType="end"/>
      </w:r>
      <w:r w:rsidRPr="00123034">
        <w:t xml:space="preserve"> shows JGN's proposed capex compared with the AER's approved allowance for each category.</w:t>
      </w:r>
      <w:r w:rsidR="00BC65D5">
        <w:t xml:space="preserve"> </w:t>
      </w:r>
      <w:r w:rsidR="0087037E">
        <w:t xml:space="preserve">All expenditure in this table includes real cost escalation. Table 6.4 shows the same expenditure but excludes real cost escalation. Expenditure referred to in this attachment is </w:t>
      </w:r>
      <w:proofErr w:type="spellStart"/>
      <w:r w:rsidR="0087037E">
        <w:t>unescalated</w:t>
      </w:r>
      <w:proofErr w:type="spellEnd"/>
      <w:r w:rsidR="0087037E">
        <w:t xml:space="preserve"> unless otherwise stated.</w:t>
      </w:r>
    </w:p>
    <w:p w:rsidR="00123034" w:rsidRPr="00333A31" w:rsidRDefault="00123034" w:rsidP="00123034">
      <w:pPr>
        <w:pStyle w:val="Caption"/>
      </w:pPr>
      <w:bookmarkStart w:id="17" w:name="_Ref404161331"/>
      <w:proofErr w:type="gramStart"/>
      <w:r>
        <w:t xml:space="preserve">Table </w:t>
      </w:r>
      <w:r w:rsidR="00C62F3B">
        <w:fldChar w:fldCharType="begin"/>
      </w:r>
      <w:r w:rsidR="00C62F3B">
        <w:instrText xml:space="preserve"> STYLEREF 1 \s </w:instrText>
      </w:r>
      <w:r w:rsidR="00C62F3B">
        <w:fldChar w:fldCharType="separate"/>
      </w:r>
      <w:r w:rsidR="00D51AD6">
        <w:rPr>
          <w:noProof/>
        </w:rPr>
        <w:t>6</w:t>
      </w:r>
      <w:r w:rsidR="00C62F3B">
        <w:rPr>
          <w:noProof/>
        </w:rPr>
        <w:fldChar w:fldCharType="end"/>
      </w:r>
      <w:r w:rsidR="007E5469">
        <w:t>.</w:t>
      </w:r>
      <w:proofErr w:type="gramEnd"/>
      <w:r w:rsidR="00C62F3B">
        <w:fldChar w:fldCharType="begin"/>
      </w:r>
      <w:r w:rsidR="00C62F3B">
        <w:instrText xml:space="preserve"> SEQ Table \* ARABIC \s 1 </w:instrText>
      </w:r>
      <w:r w:rsidR="00C62F3B">
        <w:fldChar w:fldCharType="separate"/>
      </w:r>
      <w:r w:rsidR="00D51AD6">
        <w:rPr>
          <w:noProof/>
        </w:rPr>
        <w:t>3</w:t>
      </w:r>
      <w:r w:rsidR="00C62F3B">
        <w:rPr>
          <w:noProof/>
        </w:rPr>
        <w:fldChar w:fldCharType="end"/>
      </w:r>
      <w:bookmarkEnd w:id="17"/>
      <w:r>
        <w:tab/>
      </w:r>
      <w:r w:rsidRPr="00A4447D">
        <w:t xml:space="preserve">Comparison of AER </w:t>
      </w:r>
      <w:r w:rsidR="00710108">
        <w:t>final decision</w:t>
      </w:r>
      <w:r w:rsidRPr="00A4447D">
        <w:t xml:space="preserve"> and </w:t>
      </w:r>
      <w:r>
        <w:t>JGN</w:t>
      </w:r>
      <w:r w:rsidRPr="00A4447D">
        <w:t xml:space="preserve">'s </w:t>
      </w:r>
      <w:r w:rsidR="00710108">
        <w:t>revised</w:t>
      </w:r>
      <w:r w:rsidRPr="00A4447D">
        <w:t xml:space="preserve"> capital expenditure over the 201</w:t>
      </w:r>
      <w:r>
        <w:t>5–20</w:t>
      </w:r>
      <w:r w:rsidRPr="00A4447D">
        <w:t xml:space="preserve"> access arrangement period (</w:t>
      </w:r>
      <w:r w:rsidR="0087037E">
        <w:t xml:space="preserve">escalated, </w:t>
      </w:r>
      <w:r w:rsidRPr="00A4447D">
        <w:t>$million, 201</w:t>
      </w:r>
      <w:r>
        <w:t>5</w:t>
      </w:r>
      <w:r w:rsidRPr="00A4447D">
        <w:t>)</w:t>
      </w:r>
    </w:p>
    <w:tbl>
      <w:tblPr>
        <w:tblStyle w:val="AERtable-numbers"/>
        <w:tblW w:w="5000" w:type="pct"/>
        <w:tblLook w:val="04A0" w:firstRow="1" w:lastRow="0" w:firstColumn="1" w:lastColumn="0" w:noHBand="0" w:noVBand="1"/>
      </w:tblPr>
      <w:tblGrid>
        <w:gridCol w:w="2669"/>
        <w:gridCol w:w="1507"/>
        <w:gridCol w:w="1507"/>
        <w:gridCol w:w="1506"/>
        <w:gridCol w:w="1504"/>
      </w:tblGrid>
      <w:tr w:rsidR="00123034" w:rsidRPr="004F416F" w:rsidTr="00C102FE">
        <w:trPr>
          <w:cnfStyle w:val="100000000000" w:firstRow="1" w:lastRow="0" w:firstColumn="0" w:lastColumn="0" w:oddVBand="0" w:evenVBand="0" w:oddHBand="0" w:evenHBand="0" w:firstRowFirstColumn="0" w:firstRowLastColumn="0" w:lastRowFirstColumn="0" w:lastRowLastColumn="0"/>
          <w:trHeight w:val="316"/>
          <w:tblHeader/>
        </w:trPr>
        <w:tc>
          <w:tcPr>
            <w:cnfStyle w:val="001000000000" w:firstRow="0" w:lastRow="0" w:firstColumn="1" w:lastColumn="0" w:oddVBand="0" w:evenVBand="0" w:oddHBand="0" w:evenHBand="0" w:firstRowFirstColumn="0" w:firstRowLastColumn="0" w:lastRowFirstColumn="0" w:lastRowLastColumn="0"/>
            <w:tcW w:w="1535" w:type="pct"/>
            <w:hideMark/>
          </w:tcPr>
          <w:p w:rsidR="00123034" w:rsidRPr="00123034" w:rsidRDefault="00123034" w:rsidP="00123034">
            <w:r w:rsidRPr="00632AE0">
              <w:t> Category</w:t>
            </w:r>
          </w:p>
        </w:tc>
        <w:tc>
          <w:tcPr>
            <w:tcW w:w="867" w:type="pct"/>
            <w:hideMark/>
          </w:tcPr>
          <w:p w:rsidR="00123034" w:rsidRPr="00123034" w:rsidRDefault="00123034" w:rsidP="00123034">
            <w:pPr>
              <w:pStyle w:val="AERtabletextright"/>
              <w:cnfStyle w:val="100000000000" w:firstRow="1" w:lastRow="0" w:firstColumn="0" w:lastColumn="0" w:oddVBand="0" w:evenVBand="0" w:oddHBand="0" w:evenHBand="0" w:firstRowFirstColumn="0" w:firstRowLastColumn="0" w:lastRowFirstColumn="0" w:lastRowLastColumn="0"/>
            </w:pPr>
            <w:r w:rsidRPr="00632AE0">
              <w:t>Proposed</w:t>
            </w:r>
          </w:p>
        </w:tc>
        <w:tc>
          <w:tcPr>
            <w:tcW w:w="867" w:type="pct"/>
            <w:hideMark/>
          </w:tcPr>
          <w:p w:rsidR="00123034" w:rsidRPr="00123034" w:rsidRDefault="00123034" w:rsidP="00123034">
            <w:pPr>
              <w:pStyle w:val="AERtabletextright"/>
              <w:cnfStyle w:val="100000000000" w:firstRow="1" w:lastRow="0" w:firstColumn="0" w:lastColumn="0" w:oddVBand="0" w:evenVBand="0" w:oddHBand="0" w:evenHBand="0" w:firstRowFirstColumn="0" w:firstRowLastColumn="0" w:lastRowFirstColumn="0" w:lastRowLastColumn="0"/>
            </w:pPr>
            <w:r w:rsidRPr="00632AE0">
              <w:t>Approved</w:t>
            </w:r>
            <w:r w:rsidRPr="00123034">
              <w:rPr>
                <w:rStyle w:val="AERsuperscript"/>
              </w:rPr>
              <w:t>(a)</w:t>
            </w:r>
          </w:p>
        </w:tc>
        <w:tc>
          <w:tcPr>
            <w:tcW w:w="866" w:type="pct"/>
            <w:vAlign w:val="top"/>
          </w:tcPr>
          <w:p w:rsidR="00123034" w:rsidRPr="00123034" w:rsidRDefault="00123034" w:rsidP="00123034">
            <w:pPr>
              <w:pStyle w:val="AERtabletextright"/>
              <w:cnfStyle w:val="100000000000" w:firstRow="1" w:lastRow="0" w:firstColumn="0" w:lastColumn="0" w:oddVBand="0" w:evenVBand="0" w:oddHBand="0" w:evenHBand="0" w:firstRowFirstColumn="0" w:firstRowLastColumn="0" w:lastRowFirstColumn="0" w:lastRowLastColumn="0"/>
            </w:pPr>
            <w:r w:rsidRPr="00632AE0">
              <w:t>Difference ($millions)</w:t>
            </w:r>
          </w:p>
        </w:tc>
        <w:tc>
          <w:tcPr>
            <w:tcW w:w="865" w:type="pct"/>
            <w:vAlign w:val="top"/>
          </w:tcPr>
          <w:p w:rsidR="00123034" w:rsidRPr="00123034" w:rsidRDefault="00123034" w:rsidP="00123034">
            <w:pPr>
              <w:pStyle w:val="AERtabletextright"/>
              <w:cnfStyle w:val="100000000000" w:firstRow="1" w:lastRow="0" w:firstColumn="0" w:lastColumn="0" w:oddVBand="0" w:evenVBand="0" w:oddHBand="0" w:evenHBand="0" w:firstRowFirstColumn="0" w:firstRowLastColumn="0" w:lastRowFirstColumn="0" w:lastRowLastColumn="0"/>
            </w:pPr>
            <w:r w:rsidRPr="00632AE0">
              <w:t>Difference (%)</w:t>
            </w:r>
          </w:p>
        </w:tc>
      </w:tr>
      <w:tr w:rsidR="009950B6" w:rsidRPr="004F416F" w:rsidTr="0040798A">
        <w:trPr>
          <w:trHeight w:val="300"/>
        </w:trPr>
        <w:tc>
          <w:tcPr>
            <w:cnfStyle w:val="001000000000" w:firstRow="0" w:lastRow="0" w:firstColumn="1" w:lastColumn="0" w:oddVBand="0" w:evenVBand="0" w:oddHBand="0" w:evenHBand="0" w:firstRowFirstColumn="0" w:firstRowLastColumn="0" w:lastRowFirstColumn="0" w:lastRowLastColumn="0"/>
            <w:tcW w:w="1535" w:type="pct"/>
            <w:vAlign w:val="bottom"/>
            <w:hideMark/>
          </w:tcPr>
          <w:p w:rsidR="009950B6" w:rsidRPr="009950B6" w:rsidRDefault="009950B6" w:rsidP="009950B6">
            <w:r w:rsidRPr="009950B6">
              <w:t>Connections/Market expansion</w:t>
            </w:r>
          </w:p>
        </w:tc>
        <w:tc>
          <w:tcPr>
            <w:tcW w:w="867" w:type="pct"/>
            <w:vAlign w:val="top"/>
          </w:tcPr>
          <w:p w:rsidR="009950B6" w:rsidRPr="009950B6" w:rsidRDefault="009950B6" w:rsidP="00B96463">
            <w:pPr>
              <w:cnfStyle w:val="000000000000" w:firstRow="0" w:lastRow="0" w:firstColumn="0" w:lastColumn="0" w:oddVBand="0" w:evenVBand="0" w:oddHBand="0" w:evenHBand="0" w:firstRowFirstColumn="0" w:firstRowLastColumn="0" w:lastRowFirstColumn="0" w:lastRowLastColumn="0"/>
            </w:pPr>
            <w:r w:rsidRPr="009950B6">
              <w:t xml:space="preserve"> 401.9 </w:t>
            </w:r>
          </w:p>
        </w:tc>
        <w:tc>
          <w:tcPr>
            <w:tcW w:w="867" w:type="pct"/>
            <w:vAlign w:val="top"/>
          </w:tcPr>
          <w:p w:rsidR="009950B6" w:rsidRPr="009950B6" w:rsidRDefault="009950B6" w:rsidP="00B96463">
            <w:pPr>
              <w:cnfStyle w:val="000000000000" w:firstRow="0" w:lastRow="0" w:firstColumn="0" w:lastColumn="0" w:oddVBand="0" w:evenVBand="0" w:oddHBand="0" w:evenHBand="0" w:firstRowFirstColumn="0" w:firstRowLastColumn="0" w:lastRowFirstColumn="0" w:lastRowLastColumn="0"/>
            </w:pPr>
            <w:r w:rsidRPr="009950B6">
              <w:t xml:space="preserve"> 290.7 </w:t>
            </w:r>
          </w:p>
        </w:tc>
        <w:tc>
          <w:tcPr>
            <w:tcW w:w="866" w:type="pct"/>
            <w:vAlign w:val="top"/>
          </w:tcPr>
          <w:p w:rsidR="009950B6" w:rsidRPr="009950B6" w:rsidRDefault="009950B6" w:rsidP="00B96463">
            <w:pPr>
              <w:cnfStyle w:val="000000000000" w:firstRow="0" w:lastRow="0" w:firstColumn="0" w:lastColumn="0" w:oddVBand="0" w:evenVBand="0" w:oddHBand="0" w:evenHBand="0" w:firstRowFirstColumn="0" w:firstRowLastColumn="0" w:lastRowFirstColumn="0" w:lastRowLastColumn="0"/>
            </w:pPr>
            <w:r w:rsidRPr="009950B6">
              <w:t>-111.1</w:t>
            </w:r>
          </w:p>
        </w:tc>
        <w:tc>
          <w:tcPr>
            <w:tcW w:w="865" w:type="pct"/>
            <w:vAlign w:val="top"/>
          </w:tcPr>
          <w:p w:rsidR="009950B6" w:rsidRPr="009950B6" w:rsidRDefault="009950B6" w:rsidP="00B96463">
            <w:pPr>
              <w:cnfStyle w:val="000000000000" w:firstRow="0" w:lastRow="0" w:firstColumn="0" w:lastColumn="0" w:oddVBand="0" w:evenVBand="0" w:oddHBand="0" w:evenHBand="0" w:firstRowFirstColumn="0" w:firstRowLastColumn="0" w:lastRowFirstColumn="0" w:lastRowLastColumn="0"/>
            </w:pPr>
            <w:r w:rsidRPr="009950B6">
              <w:t>-27.7%</w:t>
            </w:r>
          </w:p>
        </w:tc>
      </w:tr>
      <w:tr w:rsidR="009950B6" w:rsidRPr="004F416F" w:rsidTr="0040798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5" w:type="pct"/>
            <w:vAlign w:val="bottom"/>
            <w:hideMark/>
          </w:tcPr>
          <w:p w:rsidR="009950B6" w:rsidRPr="009950B6" w:rsidRDefault="009950B6" w:rsidP="009950B6">
            <w:r w:rsidRPr="009950B6">
              <w:t>Augmentation/Growth capacity</w:t>
            </w:r>
          </w:p>
        </w:tc>
        <w:tc>
          <w:tcPr>
            <w:tcW w:w="867" w:type="pct"/>
            <w:vAlign w:val="top"/>
          </w:tcPr>
          <w:p w:rsidR="009950B6" w:rsidRPr="009950B6" w:rsidRDefault="009950B6" w:rsidP="00B96463">
            <w:pPr>
              <w:cnfStyle w:val="000000010000" w:firstRow="0" w:lastRow="0" w:firstColumn="0" w:lastColumn="0" w:oddVBand="0" w:evenVBand="0" w:oddHBand="0" w:evenHBand="1" w:firstRowFirstColumn="0" w:firstRowLastColumn="0" w:lastRowFirstColumn="0" w:lastRowLastColumn="0"/>
            </w:pPr>
            <w:r w:rsidRPr="009950B6">
              <w:t xml:space="preserve"> 92.0 </w:t>
            </w:r>
          </w:p>
        </w:tc>
        <w:tc>
          <w:tcPr>
            <w:tcW w:w="867" w:type="pct"/>
            <w:vAlign w:val="top"/>
          </w:tcPr>
          <w:p w:rsidR="009950B6" w:rsidRPr="009950B6" w:rsidRDefault="009950B6" w:rsidP="00B96463">
            <w:pPr>
              <w:cnfStyle w:val="000000010000" w:firstRow="0" w:lastRow="0" w:firstColumn="0" w:lastColumn="0" w:oddVBand="0" w:evenVBand="0" w:oddHBand="0" w:evenHBand="1" w:firstRowFirstColumn="0" w:firstRowLastColumn="0" w:lastRowFirstColumn="0" w:lastRowLastColumn="0"/>
            </w:pPr>
            <w:r w:rsidRPr="009950B6">
              <w:t xml:space="preserve"> 85.8 </w:t>
            </w:r>
          </w:p>
        </w:tc>
        <w:tc>
          <w:tcPr>
            <w:tcW w:w="866" w:type="pct"/>
            <w:vAlign w:val="top"/>
          </w:tcPr>
          <w:p w:rsidR="009950B6" w:rsidRPr="009950B6" w:rsidRDefault="009950B6" w:rsidP="00B96463">
            <w:pPr>
              <w:cnfStyle w:val="000000010000" w:firstRow="0" w:lastRow="0" w:firstColumn="0" w:lastColumn="0" w:oddVBand="0" w:evenVBand="0" w:oddHBand="0" w:evenHBand="1" w:firstRowFirstColumn="0" w:firstRowLastColumn="0" w:lastRowFirstColumn="0" w:lastRowLastColumn="0"/>
            </w:pPr>
            <w:r w:rsidRPr="009950B6">
              <w:t>-6.2</w:t>
            </w:r>
          </w:p>
        </w:tc>
        <w:tc>
          <w:tcPr>
            <w:tcW w:w="865" w:type="pct"/>
            <w:vAlign w:val="top"/>
          </w:tcPr>
          <w:p w:rsidR="009950B6" w:rsidRPr="009950B6" w:rsidRDefault="009950B6" w:rsidP="00B96463">
            <w:pPr>
              <w:cnfStyle w:val="000000010000" w:firstRow="0" w:lastRow="0" w:firstColumn="0" w:lastColumn="0" w:oddVBand="0" w:evenVBand="0" w:oddHBand="0" w:evenHBand="1" w:firstRowFirstColumn="0" w:firstRowLastColumn="0" w:lastRowFirstColumn="0" w:lastRowLastColumn="0"/>
            </w:pPr>
            <w:r w:rsidRPr="009950B6">
              <w:t>-6.7%</w:t>
            </w:r>
          </w:p>
        </w:tc>
      </w:tr>
      <w:tr w:rsidR="009950B6" w:rsidRPr="004F416F" w:rsidTr="0040798A">
        <w:trPr>
          <w:trHeight w:val="300"/>
        </w:trPr>
        <w:tc>
          <w:tcPr>
            <w:cnfStyle w:val="001000000000" w:firstRow="0" w:lastRow="0" w:firstColumn="1" w:lastColumn="0" w:oddVBand="0" w:evenVBand="0" w:oddHBand="0" w:evenHBand="0" w:firstRowFirstColumn="0" w:firstRowLastColumn="0" w:lastRowFirstColumn="0" w:lastRowLastColumn="0"/>
            <w:tcW w:w="1535" w:type="pct"/>
            <w:vAlign w:val="bottom"/>
            <w:hideMark/>
          </w:tcPr>
          <w:p w:rsidR="009950B6" w:rsidRPr="009950B6" w:rsidRDefault="009950B6" w:rsidP="009950B6">
            <w:r w:rsidRPr="009950B6">
              <w:t>Mains and service renewal</w:t>
            </w:r>
          </w:p>
        </w:tc>
        <w:tc>
          <w:tcPr>
            <w:tcW w:w="867" w:type="pct"/>
            <w:vAlign w:val="top"/>
          </w:tcPr>
          <w:p w:rsidR="009950B6" w:rsidRPr="009950B6" w:rsidRDefault="009950B6" w:rsidP="00B96463">
            <w:pPr>
              <w:cnfStyle w:val="000000000000" w:firstRow="0" w:lastRow="0" w:firstColumn="0" w:lastColumn="0" w:oddVBand="0" w:evenVBand="0" w:oddHBand="0" w:evenHBand="0" w:firstRowFirstColumn="0" w:firstRowLastColumn="0" w:lastRowFirstColumn="0" w:lastRowLastColumn="0"/>
            </w:pPr>
            <w:r w:rsidRPr="009950B6">
              <w:t xml:space="preserve"> 60.7 </w:t>
            </w:r>
          </w:p>
        </w:tc>
        <w:tc>
          <w:tcPr>
            <w:tcW w:w="867" w:type="pct"/>
            <w:vAlign w:val="top"/>
          </w:tcPr>
          <w:p w:rsidR="009950B6" w:rsidRPr="009950B6" w:rsidRDefault="009950B6" w:rsidP="00B96463">
            <w:pPr>
              <w:cnfStyle w:val="000000000000" w:firstRow="0" w:lastRow="0" w:firstColumn="0" w:lastColumn="0" w:oddVBand="0" w:evenVBand="0" w:oddHBand="0" w:evenHBand="0" w:firstRowFirstColumn="0" w:firstRowLastColumn="0" w:lastRowFirstColumn="0" w:lastRowLastColumn="0"/>
            </w:pPr>
            <w:r w:rsidRPr="009950B6">
              <w:t xml:space="preserve"> 58.8 </w:t>
            </w:r>
          </w:p>
        </w:tc>
        <w:tc>
          <w:tcPr>
            <w:tcW w:w="866" w:type="pct"/>
            <w:vAlign w:val="top"/>
          </w:tcPr>
          <w:p w:rsidR="009950B6" w:rsidRPr="009950B6" w:rsidRDefault="009950B6" w:rsidP="00B96463">
            <w:pPr>
              <w:cnfStyle w:val="000000000000" w:firstRow="0" w:lastRow="0" w:firstColumn="0" w:lastColumn="0" w:oddVBand="0" w:evenVBand="0" w:oddHBand="0" w:evenHBand="0" w:firstRowFirstColumn="0" w:firstRowLastColumn="0" w:lastRowFirstColumn="0" w:lastRowLastColumn="0"/>
            </w:pPr>
            <w:r w:rsidRPr="009950B6">
              <w:t>-1.9</w:t>
            </w:r>
          </w:p>
        </w:tc>
        <w:tc>
          <w:tcPr>
            <w:tcW w:w="865" w:type="pct"/>
            <w:vAlign w:val="top"/>
          </w:tcPr>
          <w:p w:rsidR="009950B6" w:rsidRPr="009950B6" w:rsidRDefault="009950B6" w:rsidP="00B96463">
            <w:pPr>
              <w:cnfStyle w:val="000000000000" w:firstRow="0" w:lastRow="0" w:firstColumn="0" w:lastColumn="0" w:oddVBand="0" w:evenVBand="0" w:oddHBand="0" w:evenHBand="0" w:firstRowFirstColumn="0" w:firstRowLastColumn="0" w:lastRowFirstColumn="0" w:lastRowLastColumn="0"/>
            </w:pPr>
            <w:r w:rsidRPr="009950B6">
              <w:t>-3.2%</w:t>
            </w:r>
          </w:p>
        </w:tc>
      </w:tr>
      <w:tr w:rsidR="009950B6" w:rsidRPr="004F416F" w:rsidTr="0055217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5" w:type="pct"/>
            <w:vAlign w:val="top"/>
            <w:hideMark/>
          </w:tcPr>
          <w:p w:rsidR="009950B6" w:rsidRPr="009950B6" w:rsidRDefault="009950B6" w:rsidP="009950B6">
            <w:r w:rsidRPr="009950B6">
              <w:t>Facilities renewal and upgrade</w:t>
            </w:r>
          </w:p>
        </w:tc>
        <w:tc>
          <w:tcPr>
            <w:tcW w:w="867" w:type="pct"/>
            <w:vAlign w:val="top"/>
          </w:tcPr>
          <w:p w:rsidR="009950B6" w:rsidRPr="009950B6" w:rsidRDefault="009950B6" w:rsidP="00B96463">
            <w:pPr>
              <w:cnfStyle w:val="000000010000" w:firstRow="0" w:lastRow="0" w:firstColumn="0" w:lastColumn="0" w:oddVBand="0" w:evenVBand="0" w:oddHBand="0" w:evenHBand="1" w:firstRowFirstColumn="0" w:firstRowLastColumn="0" w:lastRowFirstColumn="0" w:lastRowLastColumn="0"/>
            </w:pPr>
            <w:r w:rsidRPr="009950B6">
              <w:t xml:space="preserve"> 114.1 </w:t>
            </w:r>
          </w:p>
        </w:tc>
        <w:tc>
          <w:tcPr>
            <w:tcW w:w="867" w:type="pct"/>
            <w:vAlign w:val="top"/>
          </w:tcPr>
          <w:p w:rsidR="009950B6" w:rsidRPr="009950B6" w:rsidRDefault="009950B6" w:rsidP="00B96463">
            <w:pPr>
              <w:cnfStyle w:val="000000010000" w:firstRow="0" w:lastRow="0" w:firstColumn="0" w:lastColumn="0" w:oddVBand="0" w:evenVBand="0" w:oddHBand="0" w:evenHBand="1" w:firstRowFirstColumn="0" w:firstRowLastColumn="0" w:lastRowFirstColumn="0" w:lastRowLastColumn="0"/>
            </w:pPr>
            <w:r w:rsidRPr="009950B6">
              <w:t xml:space="preserve"> 97.7 </w:t>
            </w:r>
          </w:p>
        </w:tc>
        <w:tc>
          <w:tcPr>
            <w:tcW w:w="866" w:type="pct"/>
            <w:vAlign w:val="top"/>
          </w:tcPr>
          <w:p w:rsidR="009950B6" w:rsidRPr="009950B6" w:rsidRDefault="009950B6" w:rsidP="00B96463">
            <w:pPr>
              <w:cnfStyle w:val="000000010000" w:firstRow="0" w:lastRow="0" w:firstColumn="0" w:lastColumn="0" w:oddVBand="0" w:evenVBand="0" w:oddHBand="0" w:evenHBand="1" w:firstRowFirstColumn="0" w:firstRowLastColumn="0" w:lastRowFirstColumn="0" w:lastRowLastColumn="0"/>
            </w:pPr>
            <w:r w:rsidRPr="009950B6">
              <w:t>-16.4</w:t>
            </w:r>
          </w:p>
        </w:tc>
        <w:tc>
          <w:tcPr>
            <w:tcW w:w="865" w:type="pct"/>
            <w:vAlign w:val="top"/>
          </w:tcPr>
          <w:p w:rsidR="009950B6" w:rsidRPr="009950B6" w:rsidRDefault="009950B6" w:rsidP="00B96463">
            <w:pPr>
              <w:cnfStyle w:val="000000010000" w:firstRow="0" w:lastRow="0" w:firstColumn="0" w:lastColumn="0" w:oddVBand="0" w:evenVBand="0" w:oddHBand="0" w:evenHBand="1" w:firstRowFirstColumn="0" w:firstRowLastColumn="0" w:lastRowFirstColumn="0" w:lastRowLastColumn="0"/>
            </w:pPr>
            <w:r w:rsidRPr="009950B6">
              <w:t>-14.4%</w:t>
            </w:r>
          </w:p>
        </w:tc>
      </w:tr>
      <w:tr w:rsidR="009950B6" w:rsidRPr="004F416F" w:rsidTr="00552174">
        <w:trPr>
          <w:trHeight w:val="300"/>
        </w:trPr>
        <w:tc>
          <w:tcPr>
            <w:cnfStyle w:val="001000000000" w:firstRow="0" w:lastRow="0" w:firstColumn="1" w:lastColumn="0" w:oddVBand="0" w:evenVBand="0" w:oddHBand="0" w:evenHBand="0" w:firstRowFirstColumn="0" w:firstRowLastColumn="0" w:lastRowFirstColumn="0" w:lastRowLastColumn="0"/>
            <w:tcW w:w="1535" w:type="pct"/>
            <w:vAlign w:val="top"/>
            <w:hideMark/>
          </w:tcPr>
          <w:p w:rsidR="009950B6" w:rsidRPr="009950B6" w:rsidRDefault="009950B6" w:rsidP="009950B6">
            <w:r w:rsidRPr="009950B6">
              <w:t>SCADA</w:t>
            </w:r>
          </w:p>
        </w:tc>
        <w:tc>
          <w:tcPr>
            <w:tcW w:w="867" w:type="pct"/>
            <w:vAlign w:val="top"/>
          </w:tcPr>
          <w:p w:rsidR="009950B6" w:rsidRPr="009950B6" w:rsidRDefault="009950B6" w:rsidP="00B96463">
            <w:pPr>
              <w:cnfStyle w:val="000000000000" w:firstRow="0" w:lastRow="0" w:firstColumn="0" w:lastColumn="0" w:oddVBand="0" w:evenVBand="0" w:oddHBand="0" w:evenHBand="0" w:firstRowFirstColumn="0" w:firstRowLastColumn="0" w:lastRowFirstColumn="0" w:lastRowLastColumn="0"/>
            </w:pPr>
            <w:r w:rsidRPr="009950B6">
              <w:t xml:space="preserve"> 9.6 </w:t>
            </w:r>
          </w:p>
        </w:tc>
        <w:tc>
          <w:tcPr>
            <w:tcW w:w="867" w:type="pct"/>
            <w:vAlign w:val="top"/>
          </w:tcPr>
          <w:p w:rsidR="009950B6" w:rsidRPr="009950B6" w:rsidRDefault="009950B6" w:rsidP="00B96463">
            <w:pPr>
              <w:cnfStyle w:val="000000000000" w:firstRow="0" w:lastRow="0" w:firstColumn="0" w:lastColumn="0" w:oddVBand="0" w:evenVBand="0" w:oddHBand="0" w:evenHBand="0" w:firstRowFirstColumn="0" w:firstRowLastColumn="0" w:lastRowFirstColumn="0" w:lastRowLastColumn="0"/>
            </w:pPr>
            <w:r w:rsidRPr="009950B6">
              <w:t xml:space="preserve"> 9.6 </w:t>
            </w:r>
          </w:p>
        </w:tc>
        <w:tc>
          <w:tcPr>
            <w:tcW w:w="866" w:type="pct"/>
            <w:vAlign w:val="top"/>
          </w:tcPr>
          <w:p w:rsidR="009950B6" w:rsidRPr="009950B6" w:rsidRDefault="009950B6" w:rsidP="00B96463">
            <w:pPr>
              <w:cnfStyle w:val="000000000000" w:firstRow="0" w:lastRow="0" w:firstColumn="0" w:lastColumn="0" w:oddVBand="0" w:evenVBand="0" w:oddHBand="0" w:evenHBand="0" w:firstRowFirstColumn="0" w:firstRowLastColumn="0" w:lastRowFirstColumn="0" w:lastRowLastColumn="0"/>
            </w:pPr>
            <w:r w:rsidRPr="009950B6">
              <w:t>0.0</w:t>
            </w:r>
          </w:p>
        </w:tc>
        <w:tc>
          <w:tcPr>
            <w:tcW w:w="865" w:type="pct"/>
            <w:vAlign w:val="top"/>
          </w:tcPr>
          <w:p w:rsidR="009950B6" w:rsidRPr="009950B6" w:rsidRDefault="009950B6" w:rsidP="00B96463">
            <w:pPr>
              <w:cnfStyle w:val="000000000000" w:firstRow="0" w:lastRow="0" w:firstColumn="0" w:lastColumn="0" w:oddVBand="0" w:evenVBand="0" w:oddHBand="0" w:evenHBand="0" w:firstRowFirstColumn="0" w:firstRowLastColumn="0" w:lastRowFirstColumn="0" w:lastRowLastColumn="0"/>
            </w:pPr>
            <w:r w:rsidRPr="009950B6">
              <w:t>-0.3%</w:t>
            </w:r>
          </w:p>
        </w:tc>
      </w:tr>
      <w:tr w:rsidR="009950B6" w:rsidRPr="004F416F" w:rsidTr="0055217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5" w:type="pct"/>
            <w:vAlign w:val="top"/>
            <w:hideMark/>
          </w:tcPr>
          <w:p w:rsidR="009950B6" w:rsidRPr="009950B6" w:rsidRDefault="009950B6" w:rsidP="009950B6">
            <w:r w:rsidRPr="009950B6">
              <w:t>Meter renewal and upgrade</w:t>
            </w:r>
          </w:p>
        </w:tc>
        <w:tc>
          <w:tcPr>
            <w:tcW w:w="867" w:type="pct"/>
            <w:vAlign w:val="top"/>
          </w:tcPr>
          <w:p w:rsidR="009950B6" w:rsidRPr="009950B6" w:rsidRDefault="009950B6" w:rsidP="00B96463">
            <w:pPr>
              <w:cnfStyle w:val="000000010000" w:firstRow="0" w:lastRow="0" w:firstColumn="0" w:lastColumn="0" w:oddVBand="0" w:evenVBand="0" w:oddHBand="0" w:evenHBand="1" w:firstRowFirstColumn="0" w:firstRowLastColumn="0" w:lastRowFirstColumn="0" w:lastRowLastColumn="0"/>
            </w:pPr>
            <w:r w:rsidRPr="009950B6">
              <w:t xml:space="preserve"> 166.6 </w:t>
            </w:r>
          </w:p>
        </w:tc>
        <w:tc>
          <w:tcPr>
            <w:tcW w:w="867" w:type="pct"/>
            <w:vAlign w:val="top"/>
          </w:tcPr>
          <w:p w:rsidR="009950B6" w:rsidRPr="009950B6" w:rsidRDefault="009950B6" w:rsidP="00B96463">
            <w:pPr>
              <w:cnfStyle w:val="000000010000" w:firstRow="0" w:lastRow="0" w:firstColumn="0" w:lastColumn="0" w:oddVBand="0" w:evenVBand="0" w:oddHBand="0" w:evenHBand="1" w:firstRowFirstColumn="0" w:firstRowLastColumn="0" w:lastRowFirstColumn="0" w:lastRowLastColumn="0"/>
            </w:pPr>
            <w:r w:rsidRPr="009950B6">
              <w:t xml:space="preserve"> 150.8 </w:t>
            </w:r>
          </w:p>
        </w:tc>
        <w:tc>
          <w:tcPr>
            <w:tcW w:w="866" w:type="pct"/>
            <w:vAlign w:val="top"/>
          </w:tcPr>
          <w:p w:rsidR="009950B6" w:rsidRPr="009950B6" w:rsidRDefault="009950B6" w:rsidP="00B96463">
            <w:pPr>
              <w:cnfStyle w:val="000000010000" w:firstRow="0" w:lastRow="0" w:firstColumn="0" w:lastColumn="0" w:oddVBand="0" w:evenVBand="0" w:oddHBand="0" w:evenHBand="1" w:firstRowFirstColumn="0" w:firstRowLastColumn="0" w:lastRowFirstColumn="0" w:lastRowLastColumn="0"/>
            </w:pPr>
            <w:r w:rsidRPr="009950B6">
              <w:t>-15.8</w:t>
            </w:r>
          </w:p>
        </w:tc>
        <w:tc>
          <w:tcPr>
            <w:tcW w:w="865" w:type="pct"/>
            <w:vAlign w:val="top"/>
          </w:tcPr>
          <w:p w:rsidR="009950B6" w:rsidRPr="009950B6" w:rsidRDefault="009950B6" w:rsidP="00B96463">
            <w:pPr>
              <w:cnfStyle w:val="000000010000" w:firstRow="0" w:lastRow="0" w:firstColumn="0" w:lastColumn="0" w:oddVBand="0" w:evenVBand="0" w:oddHBand="0" w:evenHBand="1" w:firstRowFirstColumn="0" w:firstRowLastColumn="0" w:lastRowFirstColumn="0" w:lastRowLastColumn="0"/>
            </w:pPr>
            <w:r w:rsidRPr="009950B6">
              <w:t>-9.5%</w:t>
            </w:r>
          </w:p>
        </w:tc>
      </w:tr>
      <w:tr w:rsidR="009950B6" w:rsidRPr="004F416F" w:rsidTr="00552174">
        <w:trPr>
          <w:trHeight w:val="300"/>
        </w:trPr>
        <w:tc>
          <w:tcPr>
            <w:cnfStyle w:val="001000000000" w:firstRow="0" w:lastRow="0" w:firstColumn="1" w:lastColumn="0" w:oddVBand="0" w:evenVBand="0" w:oddHBand="0" w:evenHBand="0" w:firstRowFirstColumn="0" w:firstRowLastColumn="0" w:lastRowFirstColumn="0" w:lastRowLastColumn="0"/>
            <w:tcW w:w="1535" w:type="pct"/>
            <w:vAlign w:val="top"/>
            <w:hideMark/>
          </w:tcPr>
          <w:p w:rsidR="009950B6" w:rsidRPr="009950B6" w:rsidRDefault="009950B6" w:rsidP="009950B6">
            <w:r w:rsidRPr="009950B6">
              <w:t>Government authority work</w:t>
            </w:r>
          </w:p>
        </w:tc>
        <w:tc>
          <w:tcPr>
            <w:tcW w:w="867" w:type="pct"/>
            <w:vAlign w:val="top"/>
          </w:tcPr>
          <w:p w:rsidR="009950B6" w:rsidRPr="009950B6" w:rsidRDefault="009950B6" w:rsidP="00B96463">
            <w:pPr>
              <w:cnfStyle w:val="000000000000" w:firstRow="0" w:lastRow="0" w:firstColumn="0" w:lastColumn="0" w:oddVBand="0" w:evenVBand="0" w:oddHBand="0" w:evenHBand="0" w:firstRowFirstColumn="0" w:firstRowLastColumn="0" w:lastRowFirstColumn="0" w:lastRowLastColumn="0"/>
            </w:pPr>
            <w:r w:rsidRPr="009950B6">
              <w:t xml:space="preserve"> 2.6 </w:t>
            </w:r>
          </w:p>
        </w:tc>
        <w:tc>
          <w:tcPr>
            <w:tcW w:w="867" w:type="pct"/>
            <w:vAlign w:val="top"/>
          </w:tcPr>
          <w:p w:rsidR="009950B6" w:rsidRPr="009950B6" w:rsidRDefault="009950B6" w:rsidP="00B96463">
            <w:pPr>
              <w:cnfStyle w:val="000000000000" w:firstRow="0" w:lastRow="0" w:firstColumn="0" w:lastColumn="0" w:oddVBand="0" w:evenVBand="0" w:oddHBand="0" w:evenHBand="0" w:firstRowFirstColumn="0" w:firstRowLastColumn="0" w:lastRowFirstColumn="0" w:lastRowLastColumn="0"/>
            </w:pPr>
            <w:r w:rsidRPr="009950B6">
              <w:t xml:space="preserve"> 2.6 </w:t>
            </w:r>
          </w:p>
        </w:tc>
        <w:tc>
          <w:tcPr>
            <w:tcW w:w="866" w:type="pct"/>
            <w:vAlign w:val="top"/>
          </w:tcPr>
          <w:p w:rsidR="009950B6" w:rsidRPr="009950B6" w:rsidRDefault="009950B6" w:rsidP="00B96463">
            <w:pPr>
              <w:cnfStyle w:val="000000000000" w:firstRow="0" w:lastRow="0" w:firstColumn="0" w:lastColumn="0" w:oddVBand="0" w:evenVBand="0" w:oddHBand="0" w:evenHBand="0" w:firstRowFirstColumn="0" w:firstRowLastColumn="0" w:lastRowFirstColumn="0" w:lastRowLastColumn="0"/>
            </w:pPr>
            <w:r w:rsidRPr="009950B6">
              <w:t>-0.1</w:t>
            </w:r>
          </w:p>
        </w:tc>
        <w:tc>
          <w:tcPr>
            <w:tcW w:w="865" w:type="pct"/>
            <w:vAlign w:val="top"/>
          </w:tcPr>
          <w:p w:rsidR="009950B6" w:rsidRPr="009950B6" w:rsidRDefault="009950B6" w:rsidP="00B96463">
            <w:pPr>
              <w:cnfStyle w:val="000000000000" w:firstRow="0" w:lastRow="0" w:firstColumn="0" w:lastColumn="0" w:oddVBand="0" w:evenVBand="0" w:oddHBand="0" w:evenHBand="0" w:firstRowFirstColumn="0" w:firstRowLastColumn="0" w:lastRowFirstColumn="0" w:lastRowLastColumn="0"/>
            </w:pPr>
            <w:r w:rsidRPr="009950B6">
              <w:t>-2.6%</w:t>
            </w:r>
          </w:p>
        </w:tc>
      </w:tr>
      <w:tr w:rsidR="009950B6" w:rsidRPr="004F416F" w:rsidTr="0055217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5" w:type="pct"/>
            <w:vAlign w:val="top"/>
            <w:hideMark/>
          </w:tcPr>
          <w:p w:rsidR="009950B6" w:rsidRPr="009950B6" w:rsidRDefault="009950B6" w:rsidP="009950B6">
            <w:r w:rsidRPr="009950B6">
              <w:t>IT</w:t>
            </w:r>
          </w:p>
        </w:tc>
        <w:tc>
          <w:tcPr>
            <w:tcW w:w="867" w:type="pct"/>
            <w:vAlign w:val="top"/>
          </w:tcPr>
          <w:p w:rsidR="009950B6" w:rsidRPr="009950B6" w:rsidRDefault="009950B6" w:rsidP="00B96463">
            <w:pPr>
              <w:cnfStyle w:val="000000010000" w:firstRow="0" w:lastRow="0" w:firstColumn="0" w:lastColumn="0" w:oddVBand="0" w:evenVBand="0" w:oddHBand="0" w:evenHBand="1" w:firstRowFirstColumn="0" w:firstRowLastColumn="0" w:lastRowFirstColumn="0" w:lastRowLastColumn="0"/>
            </w:pPr>
            <w:r w:rsidRPr="009950B6">
              <w:t xml:space="preserve"> 135.8 </w:t>
            </w:r>
          </w:p>
        </w:tc>
        <w:tc>
          <w:tcPr>
            <w:tcW w:w="867" w:type="pct"/>
            <w:vAlign w:val="top"/>
          </w:tcPr>
          <w:p w:rsidR="009950B6" w:rsidRPr="009950B6" w:rsidRDefault="009950B6" w:rsidP="00B96463">
            <w:pPr>
              <w:cnfStyle w:val="000000010000" w:firstRow="0" w:lastRow="0" w:firstColumn="0" w:lastColumn="0" w:oddVBand="0" w:evenVBand="0" w:oddHBand="0" w:evenHBand="1" w:firstRowFirstColumn="0" w:firstRowLastColumn="0" w:lastRowFirstColumn="0" w:lastRowLastColumn="0"/>
            </w:pPr>
            <w:r w:rsidRPr="009950B6">
              <w:t xml:space="preserve"> 134.6 </w:t>
            </w:r>
          </w:p>
        </w:tc>
        <w:tc>
          <w:tcPr>
            <w:tcW w:w="866" w:type="pct"/>
            <w:vAlign w:val="top"/>
          </w:tcPr>
          <w:p w:rsidR="009950B6" w:rsidRPr="009950B6" w:rsidRDefault="009950B6" w:rsidP="00B96463">
            <w:pPr>
              <w:cnfStyle w:val="000000010000" w:firstRow="0" w:lastRow="0" w:firstColumn="0" w:lastColumn="0" w:oddVBand="0" w:evenVBand="0" w:oddHBand="0" w:evenHBand="1" w:firstRowFirstColumn="0" w:firstRowLastColumn="0" w:lastRowFirstColumn="0" w:lastRowLastColumn="0"/>
            </w:pPr>
            <w:r w:rsidRPr="009950B6">
              <w:t>-1.1</w:t>
            </w:r>
          </w:p>
        </w:tc>
        <w:tc>
          <w:tcPr>
            <w:tcW w:w="865" w:type="pct"/>
            <w:vAlign w:val="top"/>
          </w:tcPr>
          <w:p w:rsidR="009950B6" w:rsidRPr="009950B6" w:rsidRDefault="009950B6" w:rsidP="00B96463">
            <w:pPr>
              <w:cnfStyle w:val="000000010000" w:firstRow="0" w:lastRow="0" w:firstColumn="0" w:lastColumn="0" w:oddVBand="0" w:evenVBand="0" w:oddHBand="0" w:evenHBand="1" w:firstRowFirstColumn="0" w:firstRowLastColumn="0" w:lastRowFirstColumn="0" w:lastRowLastColumn="0"/>
            </w:pPr>
            <w:r w:rsidRPr="009950B6">
              <w:t>-0.8%</w:t>
            </w:r>
          </w:p>
        </w:tc>
      </w:tr>
      <w:tr w:rsidR="009950B6" w:rsidRPr="004F416F" w:rsidTr="00552174">
        <w:trPr>
          <w:trHeight w:val="300"/>
        </w:trPr>
        <w:tc>
          <w:tcPr>
            <w:cnfStyle w:val="001000000000" w:firstRow="0" w:lastRow="0" w:firstColumn="1" w:lastColumn="0" w:oddVBand="0" w:evenVBand="0" w:oddHBand="0" w:evenHBand="0" w:firstRowFirstColumn="0" w:firstRowLastColumn="0" w:lastRowFirstColumn="0" w:lastRowLastColumn="0"/>
            <w:tcW w:w="1535" w:type="pct"/>
            <w:vAlign w:val="top"/>
            <w:hideMark/>
          </w:tcPr>
          <w:p w:rsidR="009950B6" w:rsidRPr="009950B6" w:rsidRDefault="009950B6" w:rsidP="009950B6">
            <w:r w:rsidRPr="009950B6">
              <w:t>Other - non-distribution</w:t>
            </w:r>
          </w:p>
        </w:tc>
        <w:tc>
          <w:tcPr>
            <w:tcW w:w="867" w:type="pct"/>
            <w:vAlign w:val="top"/>
          </w:tcPr>
          <w:p w:rsidR="009950B6" w:rsidRPr="009950B6" w:rsidRDefault="009950B6" w:rsidP="00B96463">
            <w:pPr>
              <w:cnfStyle w:val="000000000000" w:firstRow="0" w:lastRow="0" w:firstColumn="0" w:lastColumn="0" w:oddVBand="0" w:evenVBand="0" w:oddHBand="0" w:evenHBand="0" w:firstRowFirstColumn="0" w:firstRowLastColumn="0" w:lastRowFirstColumn="0" w:lastRowLastColumn="0"/>
            </w:pPr>
            <w:r w:rsidRPr="009950B6">
              <w:t xml:space="preserve"> 26.4 </w:t>
            </w:r>
          </w:p>
        </w:tc>
        <w:tc>
          <w:tcPr>
            <w:tcW w:w="867" w:type="pct"/>
            <w:vAlign w:val="top"/>
          </w:tcPr>
          <w:p w:rsidR="009950B6" w:rsidRPr="009950B6" w:rsidRDefault="009950B6" w:rsidP="00B96463">
            <w:pPr>
              <w:cnfStyle w:val="000000000000" w:firstRow="0" w:lastRow="0" w:firstColumn="0" w:lastColumn="0" w:oddVBand="0" w:evenVBand="0" w:oddHBand="0" w:evenHBand="0" w:firstRowFirstColumn="0" w:firstRowLastColumn="0" w:lastRowFirstColumn="0" w:lastRowLastColumn="0"/>
            </w:pPr>
            <w:r w:rsidRPr="009950B6">
              <w:t xml:space="preserve"> 26.4 </w:t>
            </w:r>
          </w:p>
        </w:tc>
        <w:tc>
          <w:tcPr>
            <w:tcW w:w="866" w:type="pct"/>
            <w:vAlign w:val="top"/>
          </w:tcPr>
          <w:p w:rsidR="009950B6" w:rsidRPr="009950B6" w:rsidRDefault="009950B6" w:rsidP="00B96463">
            <w:pPr>
              <w:cnfStyle w:val="000000000000" w:firstRow="0" w:lastRow="0" w:firstColumn="0" w:lastColumn="0" w:oddVBand="0" w:evenVBand="0" w:oddHBand="0" w:evenHBand="0" w:firstRowFirstColumn="0" w:firstRowLastColumn="0" w:lastRowFirstColumn="0" w:lastRowLastColumn="0"/>
            </w:pPr>
            <w:r w:rsidRPr="009950B6">
              <w:t>0.0</w:t>
            </w:r>
          </w:p>
        </w:tc>
        <w:tc>
          <w:tcPr>
            <w:tcW w:w="865" w:type="pct"/>
            <w:vAlign w:val="top"/>
          </w:tcPr>
          <w:p w:rsidR="009950B6" w:rsidRPr="009950B6" w:rsidRDefault="009950B6" w:rsidP="00B96463">
            <w:pPr>
              <w:cnfStyle w:val="000000000000" w:firstRow="0" w:lastRow="0" w:firstColumn="0" w:lastColumn="0" w:oddVBand="0" w:evenVBand="0" w:oddHBand="0" w:evenHBand="0" w:firstRowFirstColumn="0" w:firstRowLastColumn="0" w:lastRowFirstColumn="0" w:lastRowLastColumn="0"/>
            </w:pPr>
            <w:r w:rsidRPr="009950B6">
              <w:t>-0.1%</w:t>
            </w:r>
          </w:p>
        </w:tc>
      </w:tr>
      <w:tr w:rsidR="009950B6" w:rsidRPr="004F416F" w:rsidTr="0055217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5" w:type="pct"/>
            <w:vAlign w:val="top"/>
            <w:hideMark/>
          </w:tcPr>
          <w:p w:rsidR="009950B6" w:rsidRPr="009950B6" w:rsidRDefault="009950B6" w:rsidP="009950B6">
            <w:r w:rsidRPr="009950B6">
              <w:t>TPC/FEED</w:t>
            </w:r>
          </w:p>
        </w:tc>
        <w:tc>
          <w:tcPr>
            <w:tcW w:w="867" w:type="pct"/>
            <w:vAlign w:val="top"/>
          </w:tcPr>
          <w:p w:rsidR="009950B6" w:rsidRPr="009950B6" w:rsidRDefault="009950B6" w:rsidP="00B96463">
            <w:pPr>
              <w:cnfStyle w:val="000000010000" w:firstRow="0" w:lastRow="0" w:firstColumn="0" w:lastColumn="0" w:oddVBand="0" w:evenVBand="0" w:oddHBand="0" w:evenHBand="1" w:firstRowFirstColumn="0" w:firstRowLastColumn="0" w:lastRowFirstColumn="0" w:lastRowLastColumn="0"/>
            </w:pPr>
            <w:r w:rsidRPr="009950B6">
              <w:t xml:space="preserve"> 5.2 </w:t>
            </w:r>
          </w:p>
        </w:tc>
        <w:tc>
          <w:tcPr>
            <w:tcW w:w="867" w:type="pct"/>
            <w:vAlign w:val="top"/>
          </w:tcPr>
          <w:p w:rsidR="009950B6" w:rsidRPr="009950B6" w:rsidRDefault="009950B6" w:rsidP="00B96463">
            <w:pPr>
              <w:cnfStyle w:val="000000010000" w:firstRow="0" w:lastRow="0" w:firstColumn="0" w:lastColumn="0" w:oddVBand="0" w:evenVBand="0" w:oddHBand="0" w:evenHBand="1" w:firstRowFirstColumn="0" w:firstRowLastColumn="0" w:lastRowFirstColumn="0" w:lastRowLastColumn="0"/>
            </w:pPr>
            <w:r w:rsidRPr="009950B6">
              <w:t xml:space="preserve"> -   </w:t>
            </w:r>
          </w:p>
        </w:tc>
        <w:tc>
          <w:tcPr>
            <w:tcW w:w="866" w:type="pct"/>
            <w:vAlign w:val="top"/>
          </w:tcPr>
          <w:p w:rsidR="009950B6" w:rsidRPr="009950B6" w:rsidRDefault="009950B6" w:rsidP="00B96463">
            <w:pPr>
              <w:cnfStyle w:val="000000010000" w:firstRow="0" w:lastRow="0" w:firstColumn="0" w:lastColumn="0" w:oddVBand="0" w:evenVBand="0" w:oddHBand="0" w:evenHBand="1" w:firstRowFirstColumn="0" w:firstRowLastColumn="0" w:lastRowFirstColumn="0" w:lastRowLastColumn="0"/>
            </w:pPr>
            <w:r w:rsidRPr="009950B6">
              <w:t>-5.2</w:t>
            </w:r>
          </w:p>
        </w:tc>
        <w:tc>
          <w:tcPr>
            <w:tcW w:w="865" w:type="pct"/>
            <w:vAlign w:val="top"/>
          </w:tcPr>
          <w:p w:rsidR="009950B6" w:rsidRPr="009950B6" w:rsidRDefault="009950B6" w:rsidP="00B96463">
            <w:pPr>
              <w:cnfStyle w:val="000000010000" w:firstRow="0" w:lastRow="0" w:firstColumn="0" w:lastColumn="0" w:oddVBand="0" w:evenVBand="0" w:oddHBand="0" w:evenHBand="1" w:firstRowFirstColumn="0" w:firstRowLastColumn="0" w:lastRowFirstColumn="0" w:lastRowLastColumn="0"/>
            </w:pPr>
            <w:r w:rsidRPr="009950B6">
              <w:t>-100.0%</w:t>
            </w:r>
          </w:p>
        </w:tc>
      </w:tr>
      <w:tr w:rsidR="009950B6" w:rsidRPr="004F416F" w:rsidTr="00552174">
        <w:trPr>
          <w:trHeight w:val="300"/>
        </w:trPr>
        <w:tc>
          <w:tcPr>
            <w:cnfStyle w:val="001000000000" w:firstRow="0" w:lastRow="0" w:firstColumn="1" w:lastColumn="0" w:oddVBand="0" w:evenVBand="0" w:oddHBand="0" w:evenHBand="0" w:firstRowFirstColumn="0" w:firstRowLastColumn="0" w:lastRowFirstColumn="0" w:lastRowLastColumn="0"/>
            <w:tcW w:w="1535" w:type="pct"/>
            <w:vAlign w:val="top"/>
          </w:tcPr>
          <w:p w:rsidR="009950B6" w:rsidRPr="009950B6" w:rsidRDefault="009950B6" w:rsidP="009950B6">
            <w:r w:rsidRPr="009950B6">
              <w:t>Overheads</w:t>
            </w:r>
          </w:p>
        </w:tc>
        <w:tc>
          <w:tcPr>
            <w:tcW w:w="867" w:type="pct"/>
            <w:vAlign w:val="top"/>
          </w:tcPr>
          <w:p w:rsidR="009950B6" w:rsidRPr="009950B6" w:rsidRDefault="009950B6" w:rsidP="00B96463">
            <w:pPr>
              <w:cnfStyle w:val="000000000000" w:firstRow="0" w:lastRow="0" w:firstColumn="0" w:lastColumn="0" w:oddVBand="0" w:evenVBand="0" w:oddHBand="0" w:evenHBand="0" w:firstRowFirstColumn="0" w:firstRowLastColumn="0" w:lastRowFirstColumn="0" w:lastRowLastColumn="0"/>
            </w:pPr>
            <w:r w:rsidRPr="009950B6">
              <w:t xml:space="preserve"> 127.7 </w:t>
            </w:r>
          </w:p>
        </w:tc>
        <w:tc>
          <w:tcPr>
            <w:tcW w:w="867" w:type="pct"/>
            <w:vAlign w:val="top"/>
          </w:tcPr>
          <w:p w:rsidR="009950B6" w:rsidRPr="009950B6" w:rsidRDefault="009950B6" w:rsidP="00B96463">
            <w:pPr>
              <w:cnfStyle w:val="000000000000" w:firstRow="0" w:lastRow="0" w:firstColumn="0" w:lastColumn="0" w:oddVBand="0" w:evenVBand="0" w:oddHBand="0" w:evenHBand="0" w:firstRowFirstColumn="0" w:firstRowLastColumn="0" w:lastRowFirstColumn="0" w:lastRowLastColumn="0"/>
            </w:pPr>
            <w:r w:rsidRPr="009950B6">
              <w:t xml:space="preserve"> 119.5 </w:t>
            </w:r>
          </w:p>
        </w:tc>
        <w:tc>
          <w:tcPr>
            <w:tcW w:w="866" w:type="pct"/>
            <w:vAlign w:val="top"/>
          </w:tcPr>
          <w:p w:rsidR="009950B6" w:rsidRPr="009950B6" w:rsidRDefault="009950B6" w:rsidP="00B96463">
            <w:pPr>
              <w:cnfStyle w:val="000000000000" w:firstRow="0" w:lastRow="0" w:firstColumn="0" w:lastColumn="0" w:oddVBand="0" w:evenVBand="0" w:oddHBand="0" w:evenHBand="0" w:firstRowFirstColumn="0" w:firstRowLastColumn="0" w:lastRowFirstColumn="0" w:lastRowLastColumn="0"/>
            </w:pPr>
            <w:r w:rsidRPr="009950B6">
              <w:t>-8.2</w:t>
            </w:r>
          </w:p>
        </w:tc>
        <w:tc>
          <w:tcPr>
            <w:tcW w:w="865" w:type="pct"/>
            <w:vAlign w:val="top"/>
          </w:tcPr>
          <w:p w:rsidR="009950B6" w:rsidRPr="009950B6" w:rsidRDefault="009950B6" w:rsidP="00B96463">
            <w:pPr>
              <w:cnfStyle w:val="000000000000" w:firstRow="0" w:lastRow="0" w:firstColumn="0" w:lastColumn="0" w:oddVBand="0" w:evenVBand="0" w:oddHBand="0" w:evenHBand="0" w:firstRowFirstColumn="0" w:firstRowLastColumn="0" w:lastRowFirstColumn="0" w:lastRowLastColumn="0"/>
            </w:pPr>
            <w:r w:rsidRPr="009950B6">
              <w:t>-6.4%</w:t>
            </w:r>
          </w:p>
        </w:tc>
      </w:tr>
      <w:tr w:rsidR="009950B6" w:rsidRPr="004F416F" w:rsidTr="0040798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5" w:type="pct"/>
            <w:vAlign w:val="bottom"/>
            <w:hideMark/>
          </w:tcPr>
          <w:p w:rsidR="009950B6" w:rsidRPr="009950B6" w:rsidRDefault="009950B6" w:rsidP="009950B6">
            <w:r w:rsidRPr="009950B6">
              <w:t>GROSS TOTAL CAPITAL EXPENDITURE</w:t>
            </w:r>
          </w:p>
        </w:tc>
        <w:tc>
          <w:tcPr>
            <w:tcW w:w="867" w:type="pct"/>
            <w:vAlign w:val="top"/>
          </w:tcPr>
          <w:p w:rsidR="009950B6" w:rsidRPr="009950B6" w:rsidRDefault="009950B6" w:rsidP="00B96463">
            <w:pPr>
              <w:cnfStyle w:val="000000010000" w:firstRow="0" w:lastRow="0" w:firstColumn="0" w:lastColumn="0" w:oddVBand="0" w:evenVBand="0" w:oddHBand="0" w:evenHBand="1" w:firstRowFirstColumn="0" w:firstRowLastColumn="0" w:lastRowFirstColumn="0" w:lastRowLastColumn="0"/>
            </w:pPr>
            <w:r w:rsidRPr="009950B6">
              <w:t xml:space="preserve"> 1,144.5 </w:t>
            </w:r>
          </w:p>
        </w:tc>
        <w:tc>
          <w:tcPr>
            <w:tcW w:w="867" w:type="pct"/>
            <w:vAlign w:val="top"/>
          </w:tcPr>
          <w:p w:rsidR="009950B6" w:rsidRPr="009950B6" w:rsidRDefault="009950B6" w:rsidP="00B96463">
            <w:pPr>
              <w:cnfStyle w:val="000000010000" w:firstRow="0" w:lastRow="0" w:firstColumn="0" w:lastColumn="0" w:oddVBand="0" w:evenVBand="0" w:oddHBand="0" w:evenHBand="1" w:firstRowFirstColumn="0" w:firstRowLastColumn="0" w:lastRowFirstColumn="0" w:lastRowLastColumn="0"/>
            </w:pPr>
            <w:r w:rsidRPr="009950B6">
              <w:t xml:space="preserve"> 978.4 </w:t>
            </w:r>
          </w:p>
        </w:tc>
        <w:tc>
          <w:tcPr>
            <w:tcW w:w="866" w:type="pct"/>
            <w:vAlign w:val="top"/>
          </w:tcPr>
          <w:p w:rsidR="009950B6" w:rsidRPr="009950B6" w:rsidRDefault="009950B6" w:rsidP="00B96463">
            <w:pPr>
              <w:cnfStyle w:val="000000010000" w:firstRow="0" w:lastRow="0" w:firstColumn="0" w:lastColumn="0" w:oddVBand="0" w:evenVBand="0" w:oddHBand="0" w:evenHBand="1" w:firstRowFirstColumn="0" w:firstRowLastColumn="0" w:lastRowFirstColumn="0" w:lastRowLastColumn="0"/>
            </w:pPr>
            <w:r w:rsidRPr="009950B6">
              <w:t>-166.2</w:t>
            </w:r>
          </w:p>
        </w:tc>
        <w:tc>
          <w:tcPr>
            <w:tcW w:w="865" w:type="pct"/>
            <w:vAlign w:val="top"/>
          </w:tcPr>
          <w:p w:rsidR="009950B6" w:rsidRPr="009950B6" w:rsidRDefault="009950B6" w:rsidP="00B96463">
            <w:pPr>
              <w:cnfStyle w:val="000000010000" w:firstRow="0" w:lastRow="0" w:firstColumn="0" w:lastColumn="0" w:oddVBand="0" w:evenVBand="0" w:oddHBand="0" w:evenHBand="1" w:firstRowFirstColumn="0" w:firstRowLastColumn="0" w:lastRowFirstColumn="0" w:lastRowLastColumn="0"/>
            </w:pPr>
            <w:r w:rsidRPr="009950B6">
              <w:t>-14.5%</w:t>
            </w:r>
          </w:p>
        </w:tc>
      </w:tr>
      <w:tr w:rsidR="009950B6" w:rsidRPr="004F416F" w:rsidTr="0040798A">
        <w:trPr>
          <w:trHeight w:val="300"/>
        </w:trPr>
        <w:tc>
          <w:tcPr>
            <w:cnfStyle w:val="001000000000" w:firstRow="0" w:lastRow="0" w:firstColumn="1" w:lastColumn="0" w:oddVBand="0" w:evenVBand="0" w:oddHBand="0" w:evenHBand="0" w:firstRowFirstColumn="0" w:firstRowLastColumn="0" w:lastRowFirstColumn="0" w:lastRowLastColumn="0"/>
            <w:tcW w:w="1535" w:type="pct"/>
            <w:vAlign w:val="bottom"/>
            <w:hideMark/>
          </w:tcPr>
          <w:p w:rsidR="009950B6" w:rsidRPr="009950B6" w:rsidRDefault="009950B6" w:rsidP="009950B6">
            <w:r w:rsidRPr="009950B6">
              <w:lastRenderedPageBreak/>
              <w:t>Contributions</w:t>
            </w:r>
          </w:p>
        </w:tc>
        <w:tc>
          <w:tcPr>
            <w:tcW w:w="867" w:type="pct"/>
            <w:vAlign w:val="top"/>
          </w:tcPr>
          <w:p w:rsidR="009950B6" w:rsidRPr="009950B6" w:rsidRDefault="009950B6" w:rsidP="00B96463">
            <w:pPr>
              <w:cnfStyle w:val="000000000000" w:firstRow="0" w:lastRow="0" w:firstColumn="0" w:lastColumn="0" w:oddVBand="0" w:evenVBand="0" w:oddHBand="0" w:evenHBand="0" w:firstRowFirstColumn="0" w:firstRowLastColumn="0" w:lastRowFirstColumn="0" w:lastRowLastColumn="0"/>
            </w:pPr>
            <w:r w:rsidRPr="009950B6">
              <w:t xml:space="preserve"> 25.5 </w:t>
            </w:r>
          </w:p>
        </w:tc>
        <w:tc>
          <w:tcPr>
            <w:tcW w:w="867" w:type="pct"/>
            <w:vAlign w:val="top"/>
          </w:tcPr>
          <w:p w:rsidR="009950B6" w:rsidRPr="009950B6" w:rsidRDefault="009950B6" w:rsidP="00B96463">
            <w:pPr>
              <w:cnfStyle w:val="000000000000" w:firstRow="0" w:lastRow="0" w:firstColumn="0" w:lastColumn="0" w:oddVBand="0" w:evenVBand="0" w:oddHBand="0" w:evenHBand="0" w:firstRowFirstColumn="0" w:firstRowLastColumn="0" w:lastRowFirstColumn="0" w:lastRowLastColumn="0"/>
            </w:pPr>
            <w:r w:rsidRPr="009950B6">
              <w:t xml:space="preserve"> 20.4 </w:t>
            </w:r>
          </w:p>
        </w:tc>
        <w:tc>
          <w:tcPr>
            <w:tcW w:w="866" w:type="pct"/>
            <w:vAlign w:val="top"/>
          </w:tcPr>
          <w:p w:rsidR="009950B6" w:rsidRPr="009950B6" w:rsidRDefault="009950B6" w:rsidP="00B96463">
            <w:pPr>
              <w:cnfStyle w:val="000000000000" w:firstRow="0" w:lastRow="0" w:firstColumn="0" w:lastColumn="0" w:oddVBand="0" w:evenVBand="0" w:oddHBand="0" w:evenHBand="0" w:firstRowFirstColumn="0" w:firstRowLastColumn="0" w:lastRowFirstColumn="0" w:lastRowLastColumn="0"/>
            </w:pPr>
            <w:r w:rsidRPr="009950B6">
              <w:t>-5.1</w:t>
            </w:r>
          </w:p>
        </w:tc>
        <w:tc>
          <w:tcPr>
            <w:tcW w:w="865" w:type="pct"/>
            <w:vAlign w:val="top"/>
          </w:tcPr>
          <w:p w:rsidR="009950B6" w:rsidRPr="009950B6" w:rsidRDefault="009950B6" w:rsidP="00B96463">
            <w:pPr>
              <w:cnfStyle w:val="000000000000" w:firstRow="0" w:lastRow="0" w:firstColumn="0" w:lastColumn="0" w:oddVBand="0" w:evenVBand="0" w:oddHBand="0" w:evenHBand="0" w:firstRowFirstColumn="0" w:firstRowLastColumn="0" w:lastRowFirstColumn="0" w:lastRowLastColumn="0"/>
            </w:pPr>
            <w:r w:rsidRPr="009950B6">
              <w:t>-19.9%</w:t>
            </w:r>
          </w:p>
        </w:tc>
      </w:tr>
      <w:tr w:rsidR="009950B6" w:rsidRPr="004F416F" w:rsidTr="0040798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5" w:type="pct"/>
            <w:vAlign w:val="bottom"/>
          </w:tcPr>
          <w:p w:rsidR="009950B6" w:rsidRPr="009950B6" w:rsidRDefault="009950B6" w:rsidP="009950B6">
            <w:r w:rsidRPr="009950B6">
              <w:t>Asset disposals</w:t>
            </w:r>
          </w:p>
        </w:tc>
        <w:tc>
          <w:tcPr>
            <w:tcW w:w="867" w:type="pct"/>
            <w:vAlign w:val="top"/>
          </w:tcPr>
          <w:p w:rsidR="009950B6" w:rsidRPr="009950B6" w:rsidRDefault="009950B6" w:rsidP="00B96463">
            <w:pPr>
              <w:cnfStyle w:val="000000010000" w:firstRow="0" w:lastRow="0" w:firstColumn="0" w:lastColumn="0" w:oddVBand="0" w:evenVBand="0" w:oddHBand="0" w:evenHBand="1" w:firstRowFirstColumn="0" w:firstRowLastColumn="0" w:lastRowFirstColumn="0" w:lastRowLastColumn="0"/>
            </w:pPr>
            <w:r w:rsidRPr="009950B6">
              <w:t xml:space="preserve"> 0.8 </w:t>
            </w:r>
          </w:p>
        </w:tc>
        <w:tc>
          <w:tcPr>
            <w:tcW w:w="867" w:type="pct"/>
            <w:vAlign w:val="top"/>
          </w:tcPr>
          <w:p w:rsidR="009950B6" w:rsidRPr="009950B6" w:rsidRDefault="009950B6" w:rsidP="00B96463">
            <w:pPr>
              <w:cnfStyle w:val="000000010000" w:firstRow="0" w:lastRow="0" w:firstColumn="0" w:lastColumn="0" w:oddVBand="0" w:evenVBand="0" w:oddHBand="0" w:evenHBand="1" w:firstRowFirstColumn="0" w:firstRowLastColumn="0" w:lastRowFirstColumn="0" w:lastRowLastColumn="0"/>
            </w:pPr>
            <w:r w:rsidRPr="009950B6">
              <w:t xml:space="preserve"> 0.8 </w:t>
            </w:r>
          </w:p>
        </w:tc>
        <w:tc>
          <w:tcPr>
            <w:tcW w:w="866" w:type="pct"/>
            <w:vAlign w:val="top"/>
          </w:tcPr>
          <w:p w:rsidR="009950B6" w:rsidRPr="009950B6" w:rsidRDefault="009950B6" w:rsidP="00B96463">
            <w:pPr>
              <w:cnfStyle w:val="000000010000" w:firstRow="0" w:lastRow="0" w:firstColumn="0" w:lastColumn="0" w:oddVBand="0" w:evenVBand="0" w:oddHBand="0" w:evenHBand="1" w:firstRowFirstColumn="0" w:firstRowLastColumn="0" w:lastRowFirstColumn="0" w:lastRowLastColumn="0"/>
            </w:pPr>
            <w:r w:rsidRPr="009950B6">
              <w:t>0.0</w:t>
            </w:r>
          </w:p>
        </w:tc>
        <w:tc>
          <w:tcPr>
            <w:tcW w:w="865" w:type="pct"/>
            <w:vAlign w:val="top"/>
          </w:tcPr>
          <w:p w:rsidR="009950B6" w:rsidRPr="009950B6" w:rsidRDefault="009950B6" w:rsidP="00B96463">
            <w:pPr>
              <w:cnfStyle w:val="000000010000" w:firstRow="0" w:lastRow="0" w:firstColumn="0" w:lastColumn="0" w:oddVBand="0" w:evenVBand="0" w:oddHBand="0" w:evenHBand="1" w:firstRowFirstColumn="0" w:firstRowLastColumn="0" w:lastRowFirstColumn="0" w:lastRowLastColumn="0"/>
            </w:pPr>
            <w:r w:rsidRPr="009950B6">
              <w:t>0.0%</w:t>
            </w:r>
          </w:p>
        </w:tc>
      </w:tr>
      <w:tr w:rsidR="009950B6" w:rsidRPr="004F416F" w:rsidTr="0040798A">
        <w:trPr>
          <w:trHeight w:val="300"/>
        </w:trPr>
        <w:tc>
          <w:tcPr>
            <w:cnfStyle w:val="001000000000" w:firstRow="0" w:lastRow="0" w:firstColumn="1" w:lastColumn="0" w:oddVBand="0" w:evenVBand="0" w:oddHBand="0" w:evenHBand="0" w:firstRowFirstColumn="0" w:firstRowLastColumn="0" w:lastRowFirstColumn="0" w:lastRowLastColumn="0"/>
            <w:tcW w:w="1535" w:type="pct"/>
            <w:vAlign w:val="bottom"/>
          </w:tcPr>
          <w:p w:rsidR="009950B6" w:rsidRPr="009950B6" w:rsidRDefault="009950B6" w:rsidP="009950B6">
            <w:pPr>
              <w:rPr>
                <w:rStyle w:val="AERsuperscript"/>
              </w:rPr>
            </w:pPr>
            <w:r w:rsidRPr="009950B6">
              <w:t>NET TOTAL CAPITAL EXPENDITURE</w:t>
            </w:r>
            <w:r w:rsidRPr="009950B6">
              <w:rPr>
                <w:rStyle w:val="AERsuperscript"/>
              </w:rPr>
              <w:t>(b)</w:t>
            </w:r>
          </w:p>
        </w:tc>
        <w:tc>
          <w:tcPr>
            <w:tcW w:w="867" w:type="pct"/>
            <w:vAlign w:val="top"/>
          </w:tcPr>
          <w:p w:rsidR="009950B6" w:rsidRPr="009950B6" w:rsidRDefault="009950B6" w:rsidP="00B96463">
            <w:pPr>
              <w:cnfStyle w:val="000000000000" w:firstRow="0" w:lastRow="0" w:firstColumn="0" w:lastColumn="0" w:oddVBand="0" w:evenVBand="0" w:oddHBand="0" w:evenHBand="0" w:firstRowFirstColumn="0" w:firstRowLastColumn="0" w:lastRowFirstColumn="0" w:lastRowLastColumn="0"/>
            </w:pPr>
            <w:r w:rsidRPr="009950B6">
              <w:t xml:space="preserve"> 1,118.3 </w:t>
            </w:r>
          </w:p>
        </w:tc>
        <w:tc>
          <w:tcPr>
            <w:tcW w:w="867" w:type="pct"/>
            <w:vAlign w:val="top"/>
          </w:tcPr>
          <w:p w:rsidR="009950B6" w:rsidRPr="009950B6" w:rsidRDefault="009950B6" w:rsidP="00B96463">
            <w:pPr>
              <w:cnfStyle w:val="000000000000" w:firstRow="0" w:lastRow="0" w:firstColumn="0" w:lastColumn="0" w:oddVBand="0" w:evenVBand="0" w:oddHBand="0" w:evenHBand="0" w:firstRowFirstColumn="0" w:firstRowLastColumn="0" w:lastRowFirstColumn="0" w:lastRowLastColumn="0"/>
            </w:pPr>
            <w:r w:rsidRPr="009950B6">
              <w:t xml:space="preserve"> 957.2 </w:t>
            </w:r>
          </w:p>
        </w:tc>
        <w:tc>
          <w:tcPr>
            <w:tcW w:w="866" w:type="pct"/>
            <w:vAlign w:val="top"/>
          </w:tcPr>
          <w:p w:rsidR="009950B6" w:rsidRPr="009950B6" w:rsidRDefault="009950B6" w:rsidP="00B96463">
            <w:pPr>
              <w:cnfStyle w:val="000000000000" w:firstRow="0" w:lastRow="0" w:firstColumn="0" w:lastColumn="0" w:oddVBand="0" w:evenVBand="0" w:oddHBand="0" w:evenHBand="0" w:firstRowFirstColumn="0" w:firstRowLastColumn="0" w:lastRowFirstColumn="0" w:lastRowLastColumn="0"/>
            </w:pPr>
            <w:r w:rsidRPr="009950B6">
              <w:t>-161.1</w:t>
            </w:r>
          </w:p>
        </w:tc>
        <w:tc>
          <w:tcPr>
            <w:tcW w:w="865" w:type="pct"/>
            <w:vAlign w:val="top"/>
          </w:tcPr>
          <w:p w:rsidR="009950B6" w:rsidRPr="009950B6" w:rsidRDefault="009950B6" w:rsidP="00B96463">
            <w:pPr>
              <w:cnfStyle w:val="000000000000" w:firstRow="0" w:lastRow="0" w:firstColumn="0" w:lastColumn="0" w:oddVBand="0" w:evenVBand="0" w:oddHBand="0" w:evenHBand="0" w:firstRowFirstColumn="0" w:firstRowLastColumn="0" w:lastRowFirstColumn="0" w:lastRowLastColumn="0"/>
            </w:pPr>
            <w:r w:rsidRPr="009950B6">
              <w:t>-14.4%</w:t>
            </w:r>
          </w:p>
        </w:tc>
      </w:tr>
    </w:tbl>
    <w:p w:rsidR="00123034" w:rsidRDefault="00123034" w:rsidP="00123034">
      <w:pPr>
        <w:pStyle w:val="AERtablesource"/>
      </w:pPr>
      <w:r w:rsidRPr="00DE44F6">
        <w:t>Source:</w:t>
      </w:r>
      <w:r w:rsidRPr="00DE44F6">
        <w:tab/>
        <w:t>AER analysis.</w:t>
      </w:r>
    </w:p>
    <w:p w:rsidR="00123034" w:rsidRDefault="00123034" w:rsidP="00123034">
      <w:pPr>
        <w:pStyle w:val="AERtablesource"/>
      </w:pPr>
      <w:r w:rsidRPr="00A91109">
        <w:t>Notes:</w:t>
      </w:r>
      <w:r w:rsidRPr="00A91109">
        <w:tab/>
        <w:t>(a) Including</w:t>
      </w:r>
      <w:r>
        <w:t xml:space="preserve"> </w:t>
      </w:r>
      <w:r w:rsidRPr="00A91109">
        <w:t>AER material and labour escalation adjustments</w:t>
      </w:r>
      <w:r>
        <w:t>.</w:t>
      </w:r>
    </w:p>
    <w:p w:rsidR="00123034" w:rsidRDefault="00123034" w:rsidP="00123034">
      <w:pPr>
        <w:pStyle w:val="AERtablesource"/>
      </w:pPr>
      <w:r>
        <w:tab/>
        <w:t>(b) Totals do not add as JGN claimed confidentiality over mines subsidence and related party margin expenditure.</w:t>
      </w:r>
    </w:p>
    <w:p w:rsidR="0087037E" w:rsidRDefault="0087037E" w:rsidP="0087037E">
      <w:pPr>
        <w:pStyle w:val="Caption"/>
      </w:pPr>
      <w:r>
        <w:t xml:space="preserve">Table </w:t>
      </w:r>
      <w:r w:rsidRPr="0087037E">
        <w:fldChar w:fldCharType="begin"/>
      </w:r>
      <w:r>
        <w:instrText xml:space="preserve"> STYLEREF 1 \s </w:instrText>
      </w:r>
      <w:r w:rsidRPr="0087037E">
        <w:fldChar w:fldCharType="separate"/>
      </w:r>
      <w:r w:rsidR="00D51AD6">
        <w:rPr>
          <w:noProof/>
        </w:rPr>
        <w:t>6</w:t>
      </w:r>
      <w:r w:rsidRPr="0087037E">
        <w:fldChar w:fldCharType="end"/>
      </w:r>
      <w:r>
        <w:t>.4</w:t>
      </w:r>
      <w:r>
        <w:tab/>
      </w:r>
      <w:r w:rsidRPr="00A4447D">
        <w:t xml:space="preserve">Comparison of AER </w:t>
      </w:r>
      <w:r>
        <w:t>final decision</w:t>
      </w:r>
      <w:r w:rsidRPr="00A4447D">
        <w:t xml:space="preserve"> and </w:t>
      </w:r>
      <w:r>
        <w:t>JGN</w:t>
      </w:r>
      <w:r w:rsidRPr="00A4447D">
        <w:t xml:space="preserve">'s </w:t>
      </w:r>
      <w:r>
        <w:t>revised</w:t>
      </w:r>
      <w:r w:rsidRPr="00A4447D">
        <w:t xml:space="preserve"> capital expenditure over the 201</w:t>
      </w:r>
      <w:r>
        <w:t>5–20</w:t>
      </w:r>
      <w:r w:rsidRPr="00A4447D">
        <w:t xml:space="preserve"> access arrangement period (</w:t>
      </w:r>
      <w:proofErr w:type="spellStart"/>
      <w:r>
        <w:t>unescalated</w:t>
      </w:r>
      <w:proofErr w:type="spellEnd"/>
      <w:r>
        <w:t xml:space="preserve">, </w:t>
      </w:r>
      <w:r w:rsidRPr="00A4447D">
        <w:t>$million, 201</w:t>
      </w:r>
      <w:r>
        <w:t>5</w:t>
      </w:r>
      <w:r w:rsidRPr="00A4447D">
        <w:t>)</w:t>
      </w:r>
    </w:p>
    <w:tbl>
      <w:tblPr>
        <w:tblStyle w:val="AERtable-numbers"/>
        <w:tblW w:w="5000" w:type="pct"/>
        <w:tblLook w:val="04A0" w:firstRow="1" w:lastRow="0" w:firstColumn="1" w:lastColumn="0" w:noHBand="0" w:noVBand="1"/>
      </w:tblPr>
      <w:tblGrid>
        <w:gridCol w:w="2669"/>
        <w:gridCol w:w="1507"/>
        <w:gridCol w:w="1507"/>
        <w:gridCol w:w="1506"/>
        <w:gridCol w:w="1504"/>
      </w:tblGrid>
      <w:tr w:rsidR="00FD17C4" w:rsidRPr="004F416F" w:rsidTr="00B96463">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35" w:type="pct"/>
            <w:hideMark/>
          </w:tcPr>
          <w:p w:rsidR="00FD17C4" w:rsidRPr="00FD17C4" w:rsidRDefault="00FD17C4" w:rsidP="00FD17C4">
            <w:r w:rsidRPr="00632AE0">
              <w:t> Category</w:t>
            </w:r>
          </w:p>
        </w:tc>
        <w:tc>
          <w:tcPr>
            <w:tcW w:w="867" w:type="pct"/>
            <w:hideMark/>
          </w:tcPr>
          <w:p w:rsidR="00FD17C4" w:rsidRPr="00FD17C4" w:rsidRDefault="00FD17C4" w:rsidP="00FD17C4">
            <w:pPr>
              <w:pStyle w:val="AERtabletextright"/>
              <w:cnfStyle w:val="100000000000" w:firstRow="1" w:lastRow="0" w:firstColumn="0" w:lastColumn="0" w:oddVBand="0" w:evenVBand="0" w:oddHBand="0" w:evenHBand="0" w:firstRowFirstColumn="0" w:firstRowLastColumn="0" w:lastRowFirstColumn="0" w:lastRowLastColumn="0"/>
            </w:pPr>
            <w:r w:rsidRPr="00632AE0">
              <w:t>Proposed</w:t>
            </w:r>
          </w:p>
        </w:tc>
        <w:tc>
          <w:tcPr>
            <w:tcW w:w="867" w:type="pct"/>
            <w:hideMark/>
          </w:tcPr>
          <w:p w:rsidR="00FD17C4" w:rsidRPr="00FD17C4" w:rsidRDefault="00FD17C4" w:rsidP="00FD17C4">
            <w:pPr>
              <w:pStyle w:val="AERtabletextright"/>
              <w:cnfStyle w:val="100000000000" w:firstRow="1" w:lastRow="0" w:firstColumn="0" w:lastColumn="0" w:oddVBand="0" w:evenVBand="0" w:oddHBand="0" w:evenHBand="0" w:firstRowFirstColumn="0" w:firstRowLastColumn="0" w:lastRowFirstColumn="0" w:lastRowLastColumn="0"/>
            </w:pPr>
            <w:r w:rsidRPr="00632AE0">
              <w:t>Approved</w:t>
            </w:r>
            <w:r w:rsidRPr="00FD17C4">
              <w:rPr>
                <w:rStyle w:val="AERsuperscript"/>
              </w:rPr>
              <w:t>(a)</w:t>
            </w:r>
          </w:p>
        </w:tc>
        <w:tc>
          <w:tcPr>
            <w:tcW w:w="866" w:type="pct"/>
            <w:vAlign w:val="top"/>
          </w:tcPr>
          <w:p w:rsidR="00FD17C4" w:rsidRPr="00FD17C4" w:rsidRDefault="00FD17C4" w:rsidP="00FD17C4">
            <w:pPr>
              <w:pStyle w:val="AERtabletextright"/>
              <w:cnfStyle w:val="100000000000" w:firstRow="1" w:lastRow="0" w:firstColumn="0" w:lastColumn="0" w:oddVBand="0" w:evenVBand="0" w:oddHBand="0" w:evenHBand="0" w:firstRowFirstColumn="0" w:firstRowLastColumn="0" w:lastRowFirstColumn="0" w:lastRowLastColumn="0"/>
            </w:pPr>
            <w:r w:rsidRPr="00632AE0">
              <w:t>Difference ($millions)</w:t>
            </w:r>
          </w:p>
        </w:tc>
        <w:tc>
          <w:tcPr>
            <w:tcW w:w="865" w:type="pct"/>
            <w:vAlign w:val="top"/>
          </w:tcPr>
          <w:p w:rsidR="00FD17C4" w:rsidRPr="00FD17C4" w:rsidRDefault="00FD17C4" w:rsidP="00FD17C4">
            <w:pPr>
              <w:pStyle w:val="AERtabletextright"/>
              <w:cnfStyle w:val="100000000000" w:firstRow="1" w:lastRow="0" w:firstColumn="0" w:lastColumn="0" w:oddVBand="0" w:evenVBand="0" w:oddHBand="0" w:evenHBand="0" w:firstRowFirstColumn="0" w:firstRowLastColumn="0" w:lastRowFirstColumn="0" w:lastRowLastColumn="0"/>
            </w:pPr>
            <w:r w:rsidRPr="00632AE0">
              <w:t>Difference (%)</w:t>
            </w:r>
          </w:p>
        </w:tc>
      </w:tr>
      <w:tr w:rsidR="00FD17C4" w:rsidRPr="004F416F" w:rsidTr="00B96463">
        <w:trPr>
          <w:trHeight w:val="300"/>
        </w:trPr>
        <w:tc>
          <w:tcPr>
            <w:cnfStyle w:val="001000000000" w:firstRow="0" w:lastRow="0" w:firstColumn="1" w:lastColumn="0" w:oddVBand="0" w:evenVBand="0" w:oddHBand="0" w:evenHBand="0" w:firstRowFirstColumn="0" w:firstRowLastColumn="0" w:lastRowFirstColumn="0" w:lastRowLastColumn="0"/>
            <w:tcW w:w="1535" w:type="pct"/>
            <w:vAlign w:val="bottom"/>
            <w:hideMark/>
          </w:tcPr>
          <w:p w:rsidR="00FD17C4" w:rsidRPr="00FD17C4" w:rsidRDefault="00FD17C4" w:rsidP="00FD17C4">
            <w:r w:rsidRPr="00FD17C4">
              <w:t>Connections/Market expansion</w:t>
            </w:r>
          </w:p>
        </w:tc>
        <w:tc>
          <w:tcPr>
            <w:tcW w:w="867" w:type="pct"/>
            <w:vAlign w:val="top"/>
          </w:tcPr>
          <w:p w:rsidR="00FD17C4" w:rsidRPr="00FD17C4" w:rsidRDefault="00FD17C4" w:rsidP="00B96463">
            <w:pPr>
              <w:cnfStyle w:val="000000000000" w:firstRow="0" w:lastRow="0" w:firstColumn="0" w:lastColumn="0" w:oddVBand="0" w:evenVBand="0" w:oddHBand="0" w:evenHBand="0" w:firstRowFirstColumn="0" w:firstRowLastColumn="0" w:lastRowFirstColumn="0" w:lastRowLastColumn="0"/>
            </w:pPr>
            <w:r w:rsidRPr="00FD17C4">
              <w:t xml:space="preserve"> 368.0 </w:t>
            </w:r>
          </w:p>
        </w:tc>
        <w:tc>
          <w:tcPr>
            <w:tcW w:w="867" w:type="pct"/>
            <w:vAlign w:val="top"/>
          </w:tcPr>
          <w:p w:rsidR="00FD17C4" w:rsidRPr="00FD17C4" w:rsidRDefault="00FD17C4" w:rsidP="00B96463">
            <w:pPr>
              <w:cnfStyle w:val="000000000000" w:firstRow="0" w:lastRow="0" w:firstColumn="0" w:lastColumn="0" w:oddVBand="0" w:evenVBand="0" w:oddHBand="0" w:evenHBand="0" w:firstRowFirstColumn="0" w:firstRowLastColumn="0" w:lastRowFirstColumn="0" w:lastRowLastColumn="0"/>
            </w:pPr>
            <w:r w:rsidRPr="00FD17C4">
              <w:t xml:space="preserve"> 285.6 </w:t>
            </w:r>
          </w:p>
        </w:tc>
        <w:tc>
          <w:tcPr>
            <w:tcW w:w="866" w:type="pct"/>
            <w:vAlign w:val="top"/>
          </w:tcPr>
          <w:p w:rsidR="00FD17C4" w:rsidRPr="00FD17C4" w:rsidRDefault="00FD17C4" w:rsidP="00B96463">
            <w:pPr>
              <w:cnfStyle w:val="000000000000" w:firstRow="0" w:lastRow="0" w:firstColumn="0" w:lastColumn="0" w:oddVBand="0" w:evenVBand="0" w:oddHBand="0" w:evenHBand="0" w:firstRowFirstColumn="0" w:firstRowLastColumn="0" w:lastRowFirstColumn="0" w:lastRowLastColumn="0"/>
            </w:pPr>
            <w:r w:rsidRPr="00FD17C4">
              <w:t>-82.4</w:t>
            </w:r>
          </w:p>
        </w:tc>
        <w:tc>
          <w:tcPr>
            <w:tcW w:w="865" w:type="pct"/>
            <w:vAlign w:val="top"/>
          </w:tcPr>
          <w:p w:rsidR="00FD17C4" w:rsidRPr="00FD17C4" w:rsidRDefault="00FD17C4" w:rsidP="00B96463">
            <w:pPr>
              <w:cnfStyle w:val="000000000000" w:firstRow="0" w:lastRow="0" w:firstColumn="0" w:lastColumn="0" w:oddVBand="0" w:evenVBand="0" w:oddHBand="0" w:evenHBand="0" w:firstRowFirstColumn="0" w:firstRowLastColumn="0" w:lastRowFirstColumn="0" w:lastRowLastColumn="0"/>
            </w:pPr>
            <w:r w:rsidRPr="00FD17C4">
              <w:t>-22.4%</w:t>
            </w:r>
          </w:p>
        </w:tc>
      </w:tr>
      <w:tr w:rsidR="00FD17C4" w:rsidRPr="004F416F" w:rsidTr="00B9646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5" w:type="pct"/>
            <w:vAlign w:val="bottom"/>
            <w:hideMark/>
          </w:tcPr>
          <w:p w:rsidR="00FD17C4" w:rsidRPr="00FD17C4" w:rsidRDefault="00FD17C4" w:rsidP="00FD17C4">
            <w:r w:rsidRPr="00FD17C4">
              <w:t>Augmentation/Growth capacity</w:t>
            </w:r>
          </w:p>
        </w:tc>
        <w:tc>
          <w:tcPr>
            <w:tcW w:w="867" w:type="pct"/>
            <w:vAlign w:val="top"/>
          </w:tcPr>
          <w:p w:rsidR="00FD17C4" w:rsidRPr="00FD17C4" w:rsidRDefault="00FD17C4" w:rsidP="00B96463">
            <w:pPr>
              <w:cnfStyle w:val="000000010000" w:firstRow="0" w:lastRow="0" w:firstColumn="0" w:lastColumn="0" w:oddVBand="0" w:evenVBand="0" w:oddHBand="0" w:evenHBand="1" w:firstRowFirstColumn="0" w:firstRowLastColumn="0" w:lastRowFirstColumn="0" w:lastRowLastColumn="0"/>
            </w:pPr>
            <w:r w:rsidRPr="00FD17C4">
              <w:t xml:space="preserve"> 87.0 </w:t>
            </w:r>
          </w:p>
        </w:tc>
        <w:tc>
          <w:tcPr>
            <w:tcW w:w="867" w:type="pct"/>
            <w:vAlign w:val="top"/>
          </w:tcPr>
          <w:p w:rsidR="00FD17C4" w:rsidRPr="00FD17C4" w:rsidRDefault="00FD17C4" w:rsidP="00B96463">
            <w:pPr>
              <w:cnfStyle w:val="000000010000" w:firstRow="0" w:lastRow="0" w:firstColumn="0" w:lastColumn="0" w:oddVBand="0" w:evenVBand="0" w:oddHBand="0" w:evenHBand="1" w:firstRowFirstColumn="0" w:firstRowLastColumn="0" w:lastRowFirstColumn="0" w:lastRowLastColumn="0"/>
            </w:pPr>
            <w:r w:rsidRPr="00FD17C4">
              <w:t xml:space="preserve"> 83.5 </w:t>
            </w:r>
          </w:p>
        </w:tc>
        <w:tc>
          <w:tcPr>
            <w:tcW w:w="866" w:type="pct"/>
            <w:vAlign w:val="top"/>
          </w:tcPr>
          <w:p w:rsidR="00FD17C4" w:rsidRPr="00FD17C4" w:rsidRDefault="00FD17C4" w:rsidP="00B96463">
            <w:pPr>
              <w:cnfStyle w:val="000000010000" w:firstRow="0" w:lastRow="0" w:firstColumn="0" w:lastColumn="0" w:oddVBand="0" w:evenVBand="0" w:oddHBand="0" w:evenHBand="1" w:firstRowFirstColumn="0" w:firstRowLastColumn="0" w:lastRowFirstColumn="0" w:lastRowLastColumn="0"/>
            </w:pPr>
            <w:r w:rsidRPr="00FD17C4">
              <w:t>-3.6</w:t>
            </w:r>
          </w:p>
        </w:tc>
        <w:tc>
          <w:tcPr>
            <w:tcW w:w="865" w:type="pct"/>
            <w:vAlign w:val="top"/>
          </w:tcPr>
          <w:p w:rsidR="00FD17C4" w:rsidRPr="00FD17C4" w:rsidRDefault="00FD17C4" w:rsidP="00B96463">
            <w:pPr>
              <w:cnfStyle w:val="000000010000" w:firstRow="0" w:lastRow="0" w:firstColumn="0" w:lastColumn="0" w:oddVBand="0" w:evenVBand="0" w:oddHBand="0" w:evenHBand="1" w:firstRowFirstColumn="0" w:firstRowLastColumn="0" w:lastRowFirstColumn="0" w:lastRowLastColumn="0"/>
            </w:pPr>
            <w:r w:rsidRPr="00FD17C4">
              <w:t>-4.1%</w:t>
            </w:r>
          </w:p>
        </w:tc>
      </w:tr>
      <w:tr w:rsidR="00FD17C4" w:rsidRPr="004F416F" w:rsidTr="00B96463">
        <w:trPr>
          <w:trHeight w:val="300"/>
        </w:trPr>
        <w:tc>
          <w:tcPr>
            <w:cnfStyle w:val="001000000000" w:firstRow="0" w:lastRow="0" w:firstColumn="1" w:lastColumn="0" w:oddVBand="0" w:evenVBand="0" w:oddHBand="0" w:evenHBand="0" w:firstRowFirstColumn="0" w:firstRowLastColumn="0" w:lastRowFirstColumn="0" w:lastRowLastColumn="0"/>
            <w:tcW w:w="1535" w:type="pct"/>
            <w:vAlign w:val="bottom"/>
            <w:hideMark/>
          </w:tcPr>
          <w:p w:rsidR="00FD17C4" w:rsidRPr="00FD17C4" w:rsidRDefault="00FD17C4" w:rsidP="00FD17C4">
            <w:r w:rsidRPr="00FD17C4">
              <w:t>Mains and service renewal</w:t>
            </w:r>
          </w:p>
        </w:tc>
        <w:tc>
          <w:tcPr>
            <w:tcW w:w="867" w:type="pct"/>
            <w:vAlign w:val="top"/>
          </w:tcPr>
          <w:p w:rsidR="00FD17C4" w:rsidRPr="00FD17C4" w:rsidRDefault="00FD17C4" w:rsidP="00B96463">
            <w:pPr>
              <w:cnfStyle w:val="000000000000" w:firstRow="0" w:lastRow="0" w:firstColumn="0" w:lastColumn="0" w:oddVBand="0" w:evenVBand="0" w:oddHBand="0" w:evenHBand="0" w:firstRowFirstColumn="0" w:firstRowLastColumn="0" w:lastRowFirstColumn="0" w:lastRowLastColumn="0"/>
            </w:pPr>
            <w:r w:rsidRPr="00FD17C4">
              <w:t xml:space="preserve"> 57.5 </w:t>
            </w:r>
          </w:p>
        </w:tc>
        <w:tc>
          <w:tcPr>
            <w:tcW w:w="867" w:type="pct"/>
            <w:vAlign w:val="top"/>
          </w:tcPr>
          <w:p w:rsidR="00FD17C4" w:rsidRPr="00FD17C4" w:rsidRDefault="00FD17C4" w:rsidP="00B96463">
            <w:pPr>
              <w:cnfStyle w:val="000000000000" w:firstRow="0" w:lastRow="0" w:firstColumn="0" w:lastColumn="0" w:oddVBand="0" w:evenVBand="0" w:oddHBand="0" w:evenHBand="0" w:firstRowFirstColumn="0" w:firstRowLastColumn="0" w:lastRowFirstColumn="0" w:lastRowLastColumn="0"/>
            </w:pPr>
            <w:r w:rsidRPr="00FD17C4">
              <w:t xml:space="preserve"> 57.5 </w:t>
            </w:r>
          </w:p>
        </w:tc>
        <w:tc>
          <w:tcPr>
            <w:tcW w:w="866" w:type="pct"/>
            <w:vAlign w:val="top"/>
          </w:tcPr>
          <w:p w:rsidR="00FD17C4" w:rsidRPr="00FD17C4" w:rsidRDefault="00FD17C4" w:rsidP="00B96463">
            <w:pPr>
              <w:cnfStyle w:val="000000000000" w:firstRow="0" w:lastRow="0" w:firstColumn="0" w:lastColumn="0" w:oddVBand="0" w:evenVBand="0" w:oddHBand="0" w:evenHBand="0" w:firstRowFirstColumn="0" w:firstRowLastColumn="0" w:lastRowFirstColumn="0" w:lastRowLastColumn="0"/>
            </w:pPr>
            <w:r w:rsidRPr="00FD17C4">
              <w:t>0.0</w:t>
            </w:r>
          </w:p>
        </w:tc>
        <w:tc>
          <w:tcPr>
            <w:tcW w:w="865" w:type="pct"/>
            <w:vAlign w:val="top"/>
          </w:tcPr>
          <w:p w:rsidR="00FD17C4" w:rsidRPr="00FD17C4" w:rsidRDefault="00FD17C4" w:rsidP="00B96463">
            <w:pPr>
              <w:cnfStyle w:val="000000000000" w:firstRow="0" w:lastRow="0" w:firstColumn="0" w:lastColumn="0" w:oddVBand="0" w:evenVBand="0" w:oddHBand="0" w:evenHBand="0" w:firstRowFirstColumn="0" w:firstRowLastColumn="0" w:lastRowFirstColumn="0" w:lastRowLastColumn="0"/>
            </w:pPr>
            <w:r w:rsidRPr="00FD17C4">
              <w:t>0.0%</w:t>
            </w:r>
          </w:p>
        </w:tc>
      </w:tr>
      <w:tr w:rsidR="00FD17C4" w:rsidRPr="004F416F" w:rsidTr="00B9646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5" w:type="pct"/>
            <w:vAlign w:val="top"/>
            <w:hideMark/>
          </w:tcPr>
          <w:p w:rsidR="00FD17C4" w:rsidRPr="00FD17C4" w:rsidRDefault="00FD17C4" w:rsidP="00FD17C4">
            <w:r w:rsidRPr="00FD17C4">
              <w:t>Facilities renewal and upgrade</w:t>
            </w:r>
          </w:p>
        </w:tc>
        <w:tc>
          <w:tcPr>
            <w:tcW w:w="867" w:type="pct"/>
            <w:vAlign w:val="top"/>
          </w:tcPr>
          <w:p w:rsidR="00FD17C4" w:rsidRPr="00FD17C4" w:rsidRDefault="00FD17C4" w:rsidP="00B96463">
            <w:pPr>
              <w:cnfStyle w:val="000000010000" w:firstRow="0" w:lastRow="0" w:firstColumn="0" w:lastColumn="0" w:oddVBand="0" w:evenVBand="0" w:oddHBand="0" w:evenHBand="1" w:firstRowFirstColumn="0" w:firstRowLastColumn="0" w:lastRowFirstColumn="0" w:lastRowLastColumn="0"/>
            </w:pPr>
            <w:r w:rsidRPr="00FD17C4">
              <w:t xml:space="preserve"> 106.6 </w:t>
            </w:r>
          </w:p>
        </w:tc>
        <w:tc>
          <w:tcPr>
            <w:tcW w:w="867" w:type="pct"/>
            <w:vAlign w:val="top"/>
          </w:tcPr>
          <w:p w:rsidR="00FD17C4" w:rsidRPr="00FD17C4" w:rsidRDefault="00FD17C4" w:rsidP="00B96463">
            <w:pPr>
              <w:cnfStyle w:val="000000010000" w:firstRow="0" w:lastRow="0" w:firstColumn="0" w:lastColumn="0" w:oddVBand="0" w:evenVBand="0" w:oddHBand="0" w:evenHBand="1" w:firstRowFirstColumn="0" w:firstRowLastColumn="0" w:lastRowFirstColumn="0" w:lastRowLastColumn="0"/>
            </w:pPr>
            <w:r w:rsidRPr="00FD17C4">
              <w:t xml:space="preserve"> 95.2 </w:t>
            </w:r>
          </w:p>
        </w:tc>
        <w:tc>
          <w:tcPr>
            <w:tcW w:w="866" w:type="pct"/>
            <w:vAlign w:val="top"/>
          </w:tcPr>
          <w:p w:rsidR="00FD17C4" w:rsidRPr="00FD17C4" w:rsidRDefault="00FD17C4" w:rsidP="00B96463">
            <w:pPr>
              <w:cnfStyle w:val="000000010000" w:firstRow="0" w:lastRow="0" w:firstColumn="0" w:lastColumn="0" w:oddVBand="0" w:evenVBand="0" w:oddHBand="0" w:evenHBand="1" w:firstRowFirstColumn="0" w:firstRowLastColumn="0" w:lastRowFirstColumn="0" w:lastRowLastColumn="0"/>
            </w:pPr>
            <w:r w:rsidRPr="00FD17C4">
              <w:t>-11.4</w:t>
            </w:r>
          </w:p>
        </w:tc>
        <w:tc>
          <w:tcPr>
            <w:tcW w:w="865" w:type="pct"/>
            <w:vAlign w:val="top"/>
          </w:tcPr>
          <w:p w:rsidR="00FD17C4" w:rsidRPr="00FD17C4" w:rsidRDefault="00FD17C4" w:rsidP="00B96463">
            <w:pPr>
              <w:cnfStyle w:val="000000010000" w:firstRow="0" w:lastRow="0" w:firstColumn="0" w:lastColumn="0" w:oddVBand="0" w:evenVBand="0" w:oddHBand="0" w:evenHBand="1" w:firstRowFirstColumn="0" w:firstRowLastColumn="0" w:lastRowFirstColumn="0" w:lastRowLastColumn="0"/>
            </w:pPr>
            <w:r w:rsidRPr="00FD17C4">
              <w:t>-10.7%</w:t>
            </w:r>
          </w:p>
        </w:tc>
      </w:tr>
      <w:tr w:rsidR="00FD17C4" w:rsidRPr="004F416F" w:rsidTr="00B96463">
        <w:trPr>
          <w:trHeight w:val="300"/>
        </w:trPr>
        <w:tc>
          <w:tcPr>
            <w:cnfStyle w:val="001000000000" w:firstRow="0" w:lastRow="0" w:firstColumn="1" w:lastColumn="0" w:oddVBand="0" w:evenVBand="0" w:oddHBand="0" w:evenHBand="0" w:firstRowFirstColumn="0" w:firstRowLastColumn="0" w:lastRowFirstColumn="0" w:lastRowLastColumn="0"/>
            <w:tcW w:w="1535" w:type="pct"/>
            <w:vAlign w:val="top"/>
            <w:hideMark/>
          </w:tcPr>
          <w:p w:rsidR="00FD17C4" w:rsidRPr="00FD17C4" w:rsidRDefault="00FD17C4" w:rsidP="00FD17C4">
            <w:r w:rsidRPr="00FD17C4">
              <w:t>SCADA</w:t>
            </w:r>
          </w:p>
        </w:tc>
        <w:tc>
          <w:tcPr>
            <w:tcW w:w="867" w:type="pct"/>
            <w:vAlign w:val="top"/>
          </w:tcPr>
          <w:p w:rsidR="00FD17C4" w:rsidRPr="00FD17C4" w:rsidRDefault="00FD17C4" w:rsidP="00B96463">
            <w:pPr>
              <w:cnfStyle w:val="000000000000" w:firstRow="0" w:lastRow="0" w:firstColumn="0" w:lastColumn="0" w:oddVBand="0" w:evenVBand="0" w:oddHBand="0" w:evenHBand="0" w:firstRowFirstColumn="0" w:firstRowLastColumn="0" w:lastRowFirstColumn="0" w:lastRowLastColumn="0"/>
            </w:pPr>
            <w:r w:rsidRPr="00FD17C4">
              <w:t xml:space="preserve"> 9.5 </w:t>
            </w:r>
          </w:p>
        </w:tc>
        <w:tc>
          <w:tcPr>
            <w:tcW w:w="867" w:type="pct"/>
            <w:vAlign w:val="top"/>
          </w:tcPr>
          <w:p w:rsidR="00FD17C4" w:rsidRPr="00FD17C4" w:rsidRDefault="00FD17C4" w:rsidP="00B96463">
            <w:pPr>
              <w:cnfStyle w:val="000000000000" w:firstRow="0" w:lastRow="0" w:firstColumn="0" w:lastColumn="0" w:oddVBand="0" w:evenVBand="0" w:oddHBand="0" w:evenHBand="0" w:firstRowFirstColumn="0" w:firstRowLastColumn="0" w:lastRowFirstColumn="0" w:lastRowLastColumn="0"/>
            </w:pPr>
            <w:r w:rsidRPr="00FD17C4">
              <w:t xml:space="preserve"> 9.5 </w:t>
            </w:r>
          </w:p>
        </w:tc>
        <w:tc>
          <w:tcPr>
            <w:tcW w:w="866" w:type="pct"/>
            <w:vAlign w:val="top"/>
          </w:tcPr>
          <w:p w:rsidR="00FD17C4" w:rsidRPr="00FD17C4" w:rsidRDefault="00FD17C4" w:rsidP="00B96463">
            <w:pPr>
              <w:cnfStyle w:val="000000000000" w:firstRow="0" w:lastRow="0" w:firstColumn="0" w:lastColumn="0" w:oddVBand="0" w:evenVBand="0" w:oddHBand="0" w:evenHBand="0" w:firstRowFirstColumn="0" w:firstRowLastColumn="0" w:lastRowFirstColumn="0" w:lastRowLastColumn="0"/>
            </w:pPr>
            <w:r w:rsidRPr="00FD17C4">
              <w:t>0.0</w:t>
            </w:r>
          </w:p>
        </w:tc>
        <w:tc>
          <w:tcPr>
            <w:tcW w:w="865" w:type="pct"/>
            <w:vAlign w:val="top"/>
          </w:tcPr>
          <w:p w:rsidR="00FD17C4" w:rsidRPr="00FD17C4" w:rsidRDefault="00FD17C4" w:rsidP="00B96463">
            <w:pPr>
              <w:cnfStyle w:val="000000000000" w:firstRow="0" w:lastRow="0" w:firstColumn="0" w:lastColumn="0" w:oddVBand="0" w:evenVBand="0" w:oddHBand="0" w:evenHBand="0" w:firstRowFirstColumn="0" w:firstRowLastColumn="0" w:lastRowFirstColumn="0" w:lastRowLastColumn="0"/>
            </w:pPr>
            <w:r w:rsidRPr="00FD17C4">
              <w:t>0.0%</w:t>
            </w:r>
          </w:p>
        </w:tc>
      </w:tr>
      <w:tr w:rsidR="00FD17C4" w:rsidRPr="004F416F" w:rsidTr="00B9646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5" w:type="pct"/>
            <w:vAlign w:val="top"/>
            <w:hideMark/>
          </w:tcPr>
          <w:p w:rsidR="00FD17C4" w:rsidRPr="00FD17C4" w:rsidRDefault="00FD17C4" w:rsidP="00FD17C4">
            <w:r w:rsidRPr="00FD17C4">
              <w:t>Meter renewal and upgrade</w:t>
            </w:r>
          </w:p>
        </w:tc>
        <w:tc>
          <w:tcPr>
            <w:tcW w:w="867" w:type="pct"/>
            <w:vAlign w:val="top"/>
          </w:tcPr>
          <w:p w:rsidR="00FD17C4" w:rsidRPr="00FD17C4" w:rsidRDefault="00FD17C4" w:rsidP="00B96463">
            <w:pPr>
              <w:cnfStyle w:val="000000010000" w:firstRow="0" w:lastRow="0" w:firstColumn="0" w:lastColumn="0" w:oddVBand="0" w:evenVBand="0" w:oddHBand="0" w:evenHBand="1" w:firstRowFirstColumn="0" w:firstRowLastColumn="0" w:lastRowFirstColumn="0" w:lastRowLastColumn="0"/>
            </w:pPr>
            <w:r w:rsidRPr="00FD17C4">
              <w:t xml:space="preserve"> 148.4 </w:t>
            </w:r>
          </w:p>
        </w:tc>
        <w:tc>
          <w:tcPr>
            <w:tcW w:w="867" w:type="pct"/>
            <w:vAlign w:val="top"/>
          </w:tcPr>
          <w:p w:rsidR="00FD17C4" w:rsidRPr="00FD17C4" w:rsidRDefault="00FD17C4" w:rsidP="00B96463">
            <w:pPr>
              <w:cnfStyle w:val="000000010000" w:firstRow="0" w:lastRow="0" w:firstColumn="0" w:lastColumn="0" w:oddVBand="0" w:evenVBand="0" w:oddHBand="0" w:evenHBand="1" w:firstRowFirstColumn="0" w:firstRowLastColumn="0" w:lastRowFirstColumn="0" w:lastRowLastColumn="0"/>
            </w:pPr>
            <w:r w:rsidRPr="00FD17C4">
              <w:t xml:space="preserve"> 148.4 </w:t>
            </w:r>
          </w:p>
        </w:tc>
        <w:tc>
          <w:tcPr>
            <w:tcW w:w="866" w:type="pct"/>
            <w:vAlign w:val="top"/>
          </w:tcPr>
          <w:p w:rsidR="00FD17C4" w:rsidRPr="00FD17C4" w:rsidRDefault="00FD17C4" w:rsidP="00B96463">
            <w:pPr>
              <w:cnfStyle w:val="000000010000" w:firstRow="0" w:lastRow="0" w:firstColumn="0" w:lastColumn="0" w:oddVBand="0" w:evenVBand="0" w:oddHBand="0" w:evenHBand="1" w:firstRowFirstColumn="0" w:firstRowLastColumn="0" w:lastRowFirstColumn="0" w:lastRowLastColumn="0"/>
            </w:pPr>
            <w:r w:rsidRPr="00FD17C4">
              <w:t>0.0</w:t>
            </w:r>
          </w:p>
        </w:tc>
        <w:tc>
          <w:tcPr>
            <w:tcW w:w="865" w:type="pct"/>
            <w:vAlign w:val="top"/>
          </w:tcPr>
          <w:p w:rsidR="00FD17C4" w:rsidRPr="00FD17C4" w:rsidRDefault="00FD17C4" w:rsidP="00B96463">
            <w:pPr>
              <w:cnfStyle w:val="000000010000" w:firstRow="0" w:lastRow="0" w:firstColumn="0" w:lastColumn="0" w:oddVBand="0" w:evenVBand="0" w:oddHBand="0" w:evenHBand="1" w:firstRowFirstColumn="0" w:firstRowLastColumn="0" w:lastRowFirstColumn="0" w:lastRowLastColumn="0"/>
            </w:pPr>
            <w:r w:rsidRPr="00FD17C4">
              <w:t>0.0%</w:t>
            </w:r>
          </w:p>
        </w:tc>
      </w:tr>
      <w:tr w:rsidR="00FD17C4" w:rsidRPr="004F416F" w:rsidTr="00B96463">
        <w:trPr>
          <w:trHeight w:val="300"/>
        </w:trPr>
        <w:tc>
          <w:tcPr>
            <w:cnfStyle w:val="001000000000" w:firstRow="0" w:lastRow="0" w:firstColumn="1" w:lastColumn="0" w:oddVBand="0" w:evenVBand="0" w:oddHBand="0" w:evenHBand="0" w:firstRowFirstColumn="0" w:firstRowLastColumn="0" w:lastRowFirstColumn="0" w:lastRowLastColumn="0"/>
            <w:tcW w:w="1535" w:type="pct"/>
            <w:vAlign w:val="top"/>
            <w:hideMark/>
          </w:tcPr>
          <w:p w:rsidR="00FD17C4" w:rsidRPr="00FD17C4" w:rsidRDefault="00FD17C4" w:rsidP="00FD17C4">
            <w:r w:rsidRPr="00FD17C4">
              <w:t>Government authority work</w:t>
            </w:r>
          </w:p>
        </w:tc>
        <w:tc>
          <w:tcPr>
            <w:tcW w:w="867" w:type="pct"/>
            <w:vAlign w:val="top"/>
          </w:tcPr>
          <w:p w:rsidR="00FD17C4" w:rsidRPr="00FD17C4" w:rsidRDefault="00FD17C4" w:rsidP="00B96463">
            <w:pPr>
              <w:cnfStyle w:val="000000000000" w:firstRow="0" w:lastRow="0" w:firstColumn="0" w:lastColumn="0" w:oddVBand="0" w:evenVBand="0" w:oddHBand="0" w:evenHBand="0" w:firstRowFirstColumn="0" w:firstRowLastColumn="0" w:lastRowFirstColumn="0" w:lastRowLastColumn="0"/>
            </w:pPr>
            <w:r w:rsidRPr="00FD17C4">
              <w:t xml:space="preserve"> 2.5 </w:t>
            </w:r>
          </w:p>
        </w:tc>
        <w:tc>
          <w:tcPr>
            <w:tcW w:w="867" w:type="pct"/>
            <w:vAlign w:val="top"/>
          </w:tcPr>
          <w:p w:rsidR="00FD17C4" w:rsidRPr="00FD17C4" w:rsidRDefault="00FD17C4" w:rsidP="00B96463">
            <w:pPr>
              <w:cnfStyle w:val="000000000000" w:firstRow="0" w:lastRow="0" w:firstColumn="0" w:lastColumn="0" w:oddVBand="0" w:evenVBand="0" w:oddHBand="0" w:evenHBand="0" w:firstRowFirstColumn="0" w:firstRowLastColumn="0" w:lastRowFirstColumn="0" w:lastRowLastColumn="0"/>
            </w:pPr>
            <w:r w:rsidRPr="00FD17C4">
              <w:t xml:space="preserve"> 2.5 </w:t>
            </w:r>
          </w:p>
        </w:tc>
        <w:tc>
          <w:tcPr>
            <w:tcW w:w="866" w:type="pct"/>
            <w:vAlign w:val="top"/>
          </w:tcPr>
          <w:p w:rsidR="00FD17C4" w:rsidRPr="00FD17C4" w:rsidRDefault="00FD17C4" w:rsidP="00B96463">
            <w:pPr>
              <w:cnfStyle w:val="000000000000" w:firstRow="0" w:lastRow="0" w:firstColumn="0" w:lastColumn="0" w:oddVBand="0" w:evenVBand="0" w:oddHBand="0" w:evenHBand="0" w:firstRowFirstColumn="0" w:firstRowLastColumn="0" w:lastRowFirstColumn="0" w:lastRowLastColumn="0"/>
            </w:pPr>
            <w:r w:rsidRPr="00FD17C4">
              <w:t>0.0</w:t>
            </w:r>
          </w:p>
        </w:tc>
        <w:tc>
          <w:tcPr>
            <w:tcW w:w="865" w:type="pct"/>
            <w:vAlign w:val="top"/>
          </w:tcPr>
          <w:p w:rsidR="00FD17C4" w:rsidRPr="00FD17C4" w:rsidRDefault="00FD17C4" w:rsidP="00B96463">
            <w:pPr>
              <w:cnfStyle w:val="000000000000" w:firstRow="0" w:lastRow="0" w:firstColumn="0" w:lastColumn="0" w:oddVBand="0" w:evenVBand="0" w:oddHBand="0" w:evenHBand="0" w:firstRowFirstColumn="0" w:firstRowLastColumn="0" w:lastRowFirstColumn="0" w:lastRowLastColumn="0"/>
            </w:pPr>
            <w:r w:rsidRPr="00FD17C4">
              <w:t>0.0%</w:t>
            </w:r>
          </w:p>
        </w:tc>
      </w:tr>
      <w:tr w:rsidR="00FD17C4" w:rsidRPr="004F416F" w:rsidTr="00B9646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5" w:type="pct"/>
            <w:vAlign w:val="top"/>
            <w:hideMark/>
          </w:tcPr>
          <w:p w:rsidR="00FD17C4" w:rsidRPr="00FD17C4" w:rsidRDefault="00FD17C4" w:rsidP="00FD17C4">
            <w:r w:rsidRPr="00FD17C4">
              <w:t>IT</w:t>
            </w:r>
          </w:p>
        </w:tc>
        <w:tc>
          <w:tcPr>
            <w:tcW w:w="867" w:type="pct"/>
            <w:vAlign w:val="top"/>
          </w:tcPr>
          <w:p w:rsidR="00FD17C4" w:rsidRPr="00FD17C4" w:rsidRDefault="00FD17C4" w:rsidP="00B96463">
            <w:pPr>
              <w:cnfStyle w:val="000000010000" w:firstRow="0" w:lastRow="0" w:firstColumn="0" w:lastColumn="0" w:oddVBand="0" w:evenVBand="0" w:oddHBand="0" w:evenHBand="1" w:firstRowFirstColumn="0" w:firstRowLastColumn="0" w:lastRowFirstColumn="0" w:lastRowLastColumn="0"/>
            </w:pPr>
            <w:r w:rsidRPr="00FD17C4">
              <w:t xml:space="preserve"> 131.6 </w:t>
            </w:r>
          </w:p>
        </w:tc>
        <w:tc>
          <w:tcPr>
            <w:tcW w:w="867" w:type="pct"/>
            <w:vAlign w:val="top"/>
          </w:tcPr>
          <w:p w:rsidR="00FD17C4" w:rsidRPr="00FD17C4" w:rsidRDefault="00FD17C4" w:rsidP="00B96463">
            <w:pPr>
              <w:cnfStyle w:val="000000010000" w:firstRow="0" w:lastRow="0" w:firstColumn="0" w:lastColumn="0" w:oddVBand="0" w:evenVBand="0" w:oddHBand="0" w:evenHBand="1" w:firstRowFirstColumn="0" w:firstRowLastColumn="0" w:lastRowFirstColumn="0" w:lastRowLastColumn="0"/>
            </w:pPr>
            <w:r w:rsidRPr="00FD17C4">
              <w:t xml:space="preserve"> 131.6 </w:t>
            </w:r>
          </w:p>
        </w:tc>
        <w:tc>
          <w:tcPr>
            <w:tcW w:w="866" w:type="pct"/>
            <w:vAlign w:val="top"/>
          </w:tcPr>
          <w:p w:rsidR="00FD17C4" w:rsidRPr="00FD17C4" w:rsidRDefault="00FD17C4" w:rsidP="00B96463">
            <w:pPr>
              <w:cnfStyle w:val="000000010000" w:firstRow="0" w:lastRow="0" w:firstColumn="0" w:lastColumn="0" w:oddVBand="0" w:evenVBand="0" w:oddHBand="0" w:evenHBand="1" w:firstRowFirstColumn="0" w:firstRowLastColumn="0" w:lastRowFirstColumn="0" w:lastRowLastColumn="0"/>
            </w:pPr>
            <w:r w:rsidRPr="00FD17C4">
              <w:t>0.0</w:t>
            </w:r>
          </w:p>
        </w:tc>
        <w:tc>
          <w:tcPr>
            <w:tcW w:w="865" w:type="pct"/>
            <w:vAlign w:val="top"/>
          </w:tcPr>
          <w:p w:rsidR="00FD17C4" w:rsidRPr="00FD17C4" w:rsidRDefault="00FD17C4" w:rsidP="00B96463">
            <w:pPr>
              <w:cnfStyle w:val="000000010000" w:firstRow="0" w:lastRow="0" w:firstColumn="0" w:lastColumn="0" w:oddVBand="0" w:evenVBand="0" w:oddHBand="0" w:evenHBand="1" w:firstRowFirstColumn="0" w:firstRowLastColumn="0" w:lastRowFirstColumn="0" w:lastRowLastColumn="0"/>
            </w:pPr>
            <w:r w:rsidRPr="00FD17C4">
              <w:t>0.0%</w:t>
            </w:r>
          </w:p>
        </w:tc>
      </w:tr>
      <w:tr w:rsidR="00FD17C4" w:rsidRPr="004F416F" w:rsidTr="00B96463">
        <w:trPr>
          <w:trHeight w:val="300"/>
        </w:trPr>
        <w:tc>
          <w:tcPr>
            <w:cnfStyle w:val="001000000000" w:firstRow="0" w:lastRow="0" w:firstColumn="1" w:lastColumn="0" w:oddVBand="0" w:evenVBand="0" w:oddHBand="0" w:evenHBand="0" w:firstRowFirstColumn="0" w:firstRowLastColumn="0" w:lastRowFirstColumn="0" w:lastRowLastColumn="0"/>
            <w:tcW w:w="1535" w:type="pct"/>
            <w:vAlign w:val="top"/>
            <w:hideMark/>
          </w:tcPr>
          <w:p w:rsidR="00FD17C4" w:rsidRPr="00FD17C4" w:rsidRDefault="00FD17C4" w:rsidP="00FD17C4">
            <w:r w:rsidRPr="00FD17C4">
              <w:t>Other - non-distribution</w:t>
            </w:r>
          </w:p>
        </w:tc>
        <w:tc>
          <w:tcPr>
            <w:tcW w:w="867" w:type="pct"/>
            <w:vAlign w:val="top"/>
          </w:tcPr>
          <w:p w:rsidR="00FD17C4" w:rsidRPr="00FD17C4" w:rsidRDefault="00FD17C4" w:rsidP="00B96463">
            <w:pPr>
              <w:cnfStyle w:val="000000000000" w:firstRow="0" w:lastRow="0" w:firstColumn="0" w:lastColumn="0" w:oddVBand="0" w:evenVBand="0" w:oddHBand="0" w:evenHBand="0" w:firstRowFirstColumn="0" w:firstRowLastColumn="0" w:lastRowFirstColumn="0" w:lastRowLastColumn="0"/>
            </w:pPr>
            <w:r w:rsidRPr="00FD17C4">
              <w:t xml:space="preserve"> 26.4 </w:t>
            </w:r>
          </w:p>
        </w:tc>
        <w:tc>
          <w:tcPr>
            <w:tcW w:w="867" w:type="pct"/>
            <w:vAlign w:val="top"/>
          </w:tcPr>
          <w:p w:rsidR="00FD17C4" w:rsidRPr="00FD17C4" w:rsidRDefault="00FD17C4" w:rsidP="00B96463">
            <w:pPr>
              <w:cnfStyle w:val="000000000000" w:firstRow="0" w:lastRow="0" w:firstColumn="0" w:lastColumn="0" w:oddVBand="0" w:evenVBand="0" w:oddHBand="0" w:evenHBand="0" w:firstRowFirstColumn="0" w:firstRowLastColumn="0" w:lastRowFirstColumn="0" w:lastRowLastColumn="0"/>
            </w:pPr>
            <w:r w:rsidRPr="00FD17C4">
              <w:t xml:space="preserve"> 26.4 </w:t>
            </w:r>
          </w:p>
        </w:tc>
        <w:tc>
          <w:tcPr>
            <w:tcW w:w="866" w:type="pct"/>
            <w:vAlign w:val="top"/>
          </w:tcPr>
          <w:p w:rsidR="00FD17C4" w:rsidRPr="00FD17C4" w:rsidRDefault="00FD17C4" w:rsidP="00B96463">
            <w:pPr>
              <w:cnfStyle w:val="000000000000" w:firstRow="0" w:lastRow="0" w:firstColumn="0" w:lastColumn="0" w:oddVBand="0" w:evenVBand="0" w:oddHBand="0" w:evenHBand="0" w:firstRowFirstColumn="0" w:firstRowLastColumn="0" w:lastRowFirstColumn="0" w:lastRowLastColumn="0"/>
            </w:pPr>
            <w:r w:rsidRPr="00FD17C4">
              <w:t>0.0</w:t>
            </w:r>
          </w:p>
        </w:tc>
        <w:tc>
          <w:tcPr>
            <w:tcW w:w="865" w:type="pct"/>
            <w:vAlign w:val="top"/>
          </w:tcPr>
          <w:p w:rsidR="00FD17C4" w:rsidRPr="00FD17C4" w:rsidRDefault="00FD17C4" w:rsidP="00B96463">
            <w:pPr>
              <w:cnfStyle w:val="000000000000" w:firstRow="0" w:lastRow="0" w:firstColumn="0" w:lastColumn="0" w:oddVBand="0" w:evenVBand="0" w:oddHBand="0" w:evenHBand="0" w:firstRowFirstColumn="0" w:firstRowLastColumn="0" w:lastRowFirstColumn="0" w:lastRowLastColumn="0"/>
            </w:pPr>
            <w:r w:rsidRPr="00FD17C4">
              <w:t>0.0%</w:t>
            </w:r>
          </w:p>
        </w:tc>
      </w:tr>
      <w:tr w:rsidR="00FD17C4" w:rsidRPr="004F416F" w:rsidTr="00B9646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5" w:type="pct"/>
            <w:vAlign w:val="top"/>
            <w:hideMark/>
          </w:tcPr>
          <w:p w:rsidR="00FD17C4" w:rsidRPr="00FD17C4" w:rsidRDefault="00FD17C4" w:rsidP="00FD17C4">
            <w:r w:rsidRPr="00FD17C4">
              <w:t>TPC/FEED</w:t>
            </w:r>
          </w:p>
        </w:tc>
        <w:tc>
          <w:tcPr>
            <w:tcW w:w="867" w:type="pct"/>
            <w:vAlign w:val="top"/>
          </w:tcPr>
          <w:p w:rsidR="00FD17C4" w:rsidRPr="00FD17C4" w:rsidRDefault="00FD17C4" w:rsidP="00B96463">
            <w:pPr>
              <w:cnfStyle w:val="000000010000" w:firstRow="0" w:lastRow="0" w:firstColumn="0" w:lastColumn="0" w:oddVBand="0" w:evenVBand="0" w:oddHBand="0" w:evenHBand="1" w:firstRowFirstColumn="0" w:firstRowLastColumn="0" w:lastRowFirstColumn="0" w:lastRowLastColumn="0"/>
            </w:pPr>
            <w:r w:rsidRPr="00FD17C4">
              <w:t xml:space="preserve"> 5.0 </w:t>
            </w:r>
          </w:p>
        </w:tc>
        <w:tc>
          <w:tcPr>
            <w:tcW w:w="867" w:type="pct"/>
            <w:vAlign w:val="top"/>
          </w:tcPr>
          <w:p w:rsidR="00FD17C4" w:rsidRPr="00FD17C4" w:rsidRDefault="00FD17C4" w:rsidP="00B96463">
            <w:pPr>
              <w:cnfStyle w:val="000000010000" w:firstRow="0" w:lastRow="0" w:firstColumn="0" w:lastColumn="0" w:oddVBand="0" w:evenVBand="0" w:oddHBand="0" w:evenHBand="1" w:firstRowFirstColumn="0" w:firstRowLastColumn="0" w:lastRowFirstColumn="0" w:lastRowLastColumn="0"/>
            </w:pPr>
            <w:r w:rsidRPr="00FD17C4">
              <w:t xml:space="preserve"> -   </w:t>
            </w:r>
          </w:p>
        </w:tc>
        <w:tc>
          <w:tcPr>
            <w:tcW w:w="866" w:type="pct"/>
            <w:vAlign w:val="top"/>
          </w:tcPr>
          <w:p w:rsidR="00FD17C4" w:rsidRPr="00FD17C4" w:rsidRDefault="00FD17C4" w:rsidP="00B96463">
            <w:pPr>
              <w:cnfStyle w:val="000000010000" w:firstRow="0" w:lastRow="0" w:firstColumn="0" w:lastColumn="0" w:oddVBand="0" w:evenVBand="0" w:oddHBand="0" w:evenHBand="1" w:firstRowFirstColumn="0" w:firstRowLastColumn="0" w:lastRowFirstColumn="0" w:lastRowLastColumn="0"/>
            </w:pPr>
            <w:r w:rsidRPr="00FD17C4">
              <w:t>-5.0</w:t>
            </w:r>
          </w:p>
        </w:tc>
        <w:tc>
          <w:tcPr>
            <w:tcW w:w="865" w:type="pct"/>
            <w:vAlign w:val="top"/>
          </w:tcPr>
          <w:p w:rsidR="00FD17C4" w:rsidRPr="00FD17C4" w:rsidRDefault="00FD17C4" w:rsidP="00B96463">
            <w:pPr>
              <w:cnfStyle w:val="000000010000" w:firstRow="0" w:lastRow="0" w:firstColumn="0" w:lastColumn="0" w:oddVBand="0" w:evenVBand="0" w:oddHBand="0" w:evenHBand="1" w:firstRowFirstColumn="0" w:firstRowLastColumn="0" w:lastRowFirstColumn="0" w:lastRowLastColumn="0"/>
            </w:pPr>
            <w:r w:rsidRPr="00FD17C4">
              <w:t>-100.0%</w:t>
            </w:r>
          </w:p>
        </w:tc>
      </w:tr>
      <w:tr w:rsidR="00FD17C4" w:rsidRPr="004F416F" w:rsidTr="00B96463">
        <w:trPr>
          <w:trHeight w:val="300"/>
        </w:trPr>
        <w:tc>
          <w:tcPr>
            <w:cnfStyle w:val="001000000000" w:firstRow="0" w:lastRow="0" w:firstColumn="1" w:lastColumn="0" w:oddVBand="0" w:evenVBand="0" w:oddHBand="0" w:evenHBand="0" w:firstRowFirstColumn="0" w:firstRowLastColumn="0" w:lastRowFirstColumn="0" w:lastRowLastColumn="0"/>
            <w:tcW w:w="1535" w:type="pct"/>
            <w:vAlign w:val="top"/>
          </w:tcPr>
          <w:p w:rsidR="00FD17C4" w:rsidRPr="00FD17C4" w:rsidRDefault="00FD17C4" w:rsidP="00FD17C4">
            <w:r w:rsidRPr="00FD17C4">
              <w:t>Overheads</w:t>
            </w:r>
          </w:p>
        </w:tc>
        <w:tc>
          <w:tcPr>
            <w:tcW w:w="867" w:type="pct"/>
            <w:vAlign w:val="top"/>
          </w:tcPr>
          <w:p w:rsidR="00FD17C4" w:rsidRPr="00FD17C4" w:rsidRDefault="00FD17C4" w:rsidP="00B96463">
            <w:pPr>
              <w:cnfStyle w:val="000000000000" w:firstRow="0" w:lastRow="0" w:firstColumn="0" w:lastColumn="0" w:oddVBand="0" w:evenVBand="0" w:oddHBand="0" w:evenHBand="0" w:firstRowFirstColumn="0" w:firstRowLastColumn="0" w:lastRowFirstColumn="0" w:lastRowLastColumn="0"/>
            </w:pPr>
            <w:r w:rsidRPr="00FD17C4">
              <w:t xml:space="preserve"> 125.7 </w:t>
            </w:r>
          </w:p>
        </w:tc>
        <w:tc>
          <w:tcPr>
            <w:tcW w:w="867" w:type="pct"/>
            <w:vAlign w:val="top"/>
          </w:tcPr>
          <w:p w:rsidR="00FD17C4" w:rsidRPr="00FD17C4" w:rsidRDefault="00FD17C4" w:rsidP="00B96463">
            <w:pPr>
              <w:cnfStyle w:val="000000000000" w:firstRow="0" w:lastRow="0" w:firstColumn="0" w:lastColumn="0" w:oddVBand="0" w:evenVBand="0" w:oddHBand="0" w:evenHBand="0" w:firstRowFirstColumn="0" w:firstRowLastColumn="0" w:lastRowFirstColumn="0" w:lastRowLastColumn="0"/>
            </w:pPr>
            <w:r w:rsidRPr="00FD17C4">
              <w:t xml:space="preserve"> 115.2 </w:t>
            </w:r>
          </w:p>
        </w:tc>
        <w:tc>
          <w:tcPr>
            <w:tcW w:w="866" w:type="pct"/>
            <w:vAlign w:val="top"/>
          </w:tcPr>
          <w:p w:rsidR="00FD17C4" w:rsidRPr="00FD17C4" w:rsidRDefault="00FD17C4" w:rsidP="00B96463">
            <w:pPr>
              <w:cnfStyle w:val="000000000000" w:firstRow="0" w:lastRow="0" w:firstColumn="0" w:lastColumn="0" w:oddVBand="0" w:evenVBand="0" w:oddHBand="0" w:evenHBand="0" w:firstRowFirstColumn="0" w:firstRowLastColumn="0" w:lastRowFirstColumn="0" w:lastRowLastColumn="0"/>
            </w:pPr>
            <w:r w:rsidRPr="00FD17C4">
              <w:t>-10.5</w:t>
            </w:r>
          </w:p>
        </w:tc>
        <w:tc>
          <w:tcPr>
            <w:tcW w:w="865" w:type="pct"/>
            <w:vAlign w:val="top"/>
          </w:tcPr>
          <w:p w:rsidR="00FD17C4" w:rsidRPr="00FD17C4" w:rsidRDefault="00FD17C4" w:rsidP="00B96463">
            <w:pPr>
              <w:cnfStyle w:val="000000000000" w:firstRow="0" w:lastRow="0" w:firstColumn="0" w:lastColumn="0" w:oddVBand="0" w:evenVBand="0" w:oddHBand="0" w:evenHBand="0" w:firstRowFirstColumn="0" w:firstRowLastColumn="0" w:lastRowFirstColumn="0" w:lastRowLastColumn="0"/>
            </w:pPr>
            <w:r w:rsidRPr="00FD17C4">
              <w:t>-8.3%</w:t>
            </w:r>
          </w:p>
        </w:tc>
      </w:tr>
      <w:tr w:rsidR="00FD17C4" w:rsidRPr="004F416F" w:rsidTr="00B9646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5" w:type="pct"/>
            <w:vAlign w:val="bottom"/>
            <w:hideMark/>
          </w:tcPr>
          <w:p w:rsidR="00FD17C4" w:rsidRPr="00FD17C4" w:rsidRDefault="00FD17C4" w:rsidP="00FD17C4">
            <w:r w:rsidRPr="00FD17C4">
              <w:t>GROSS TOTAL CAPITAL EXPENDITURE</w:t>
            </w:r>
          </w:p>
        </w:tc>
        <w:tc>
          <w:tcPr>
            <w:tcW w:w="867" w:type="pct"/>
            <w:vAlign w:val="top"/>
          </w:tcPr>
          <w:p w:rsidR="00FD17C4" w:rsidRPr="00FD17C4" w:rsidRDefault="00FD17C4" w:rsidP="00B96463">
            <w:pPr>
              <w:cnfStyle w:val="000000010000" w:firstRow="0" w:lastRow="0" w:firstColumn="0" w:lastColumn="0" w:oddVBand="0" w:evenVBand="0" w:oddHBand="0" w:evenHBand="1" w:firstRowFirstColumn="0" w:firstRowLastColumn="0" w:lastRowFirstColumn="0" w:lastRowLastColumn="0"/>
            </w:pPr>
            <w:r w:rsidRPr="00FD17C4">
              <w:t xml:space="preserve"> 1,070.2 </w:t>
            </w:r>
          </w:p>
        </w:tc>
        <w:tc>
          <w:tcPr>
            <w:tcW w:w="867" w:type="pct"/>
            <w:vAlign w:val="top"/>
          </w:tcPr>
          <w:p w:rsidR="00FD17C4" w:rsidRPr="00FD17C4" w:rsidRDefault="00FD17C4" w:rsidP="00B96463">
            <w:pPr>
              <w:cnfStyle w:val="000000010000" w:firstRow="0" w:lastRow="0" w:firstColumn="0" w:lastColumn="0" w:oddVBand="0" w:evenVBand="0" w:oddHBand="0" w:evenHBand="1" w:firstRowFirstColumn="0" w:firstRowLastColumn="0" w:lastRowFirstColumn="0" w:lastRowLastColumn="0"/>
            </w:pPr>
            <w:r w:rsidRPr="00FD17C4">
              <w:t xml:space="preserve"> 957.3 </w:t>
            </w:r>
          </w:p>
        </w:tc>
        <w:tc>
          <w:tcPr>
            <w:tcW w:w="866" w:type="pct"/>
            <w:vAlign w:val="top"/>
          </w:tcPr>
          <w:p w:rsidR="00FD17C4" w:rsidRPr="00FD17C4" w:rsidRDefault="00FD17C4" w:rsidP="00B96463">
            <w:pPr>
              <w:cnfStyle w:val="000000010000" w:firstRow="0" w:lastRow="0" w:firstColumn="0" w:lastColumn="0" w:oddVBand="0" w:evenVBand="0" w:oddHBand="0" w:evenHBand="1" w:firstRowFirstColumn="0" w:firstRowLastColumn="0" w:lastRowFirstColumn="0" w:lastRowLastColumn="0"/>
            </w:pPr>
            <w:r w:rsidRPr="00FD17C4">
              <w:t>-112.9</w:t>
            </w:r>
          </w:p>
        </w:tc>
        <w:tc>
          <w:tcPr>
            <w:tcW w:w="865" w:type="pct"/>
            <w:vAlign w:val="top"/>
          </w:tcPr>
          <w:p w:rsidR="00FD17C4" w:rsidRPr="00FD17C4" w:rsidRDefault="00FD17C4" w:rsidP="00B96463">
            <w:pPr>
              <w:cnfStyle w:val="000000010000" w:firstRow="0" w:lastRow="0" w:firstColumn="0" w:lastColumn="0" w:oddVBand="0" w:evenVBand="0" w:oddHBand="0" w:evenHBand="1" w:firstRowFirstColumn="0" w:firstRowLastColumn="0" w:lastRowFirstColumn="0" w:lastRowLastColumn="0"/>
            </w:pPr>
            <w:r w:rsidRPr="00FD17C4">
              <w:t>-10.5%</w:t>
            </w:r>
          </w:p>
        </w:tc>
      </w:tr>
      <w:tr w:rsidR="00FD17C4" w:rsidRPr="004F416F" w:rsidTr="00B96463">
        <w:trPr>
          <w:trHeight w:val="300"/>
        </w:trPr>
        <w:tc>
          <w:tcPr>
            <w:cnfStyle w:val="001000000000" w:firstRow="0" w:lastRow="0" w:firstColumn="1" w:lastColumn="0" w:oddVBand="0" w:evenVBand="0" w:oddHBand="0" w:evenHBand="0" w:firstRowFirstColumn="0" w:firstRowLastColumn="0" w:lastRowFirstColumn="0" w:lastRowLastColumn="0"/>
            <w:tcW w:w="1535" w:type="pct"/>
            <w:vAlign w:val="bottom"/>
            <w:hideMark/>
          </w:tcPr>
          <w:p w:rsidR="00FD17C4" w:rsidRPr="00FD17C4" w:rsidRDefault="00FD17C4" w:rsidP="00FD17C4">
            <w:r w:rsidRPr="00FD17C4">
              <w:t>Contributions</w:t>
            </w:r>
          </w:p>
        </w:tc>
        <w:tc>
          <w:tcPr>
            <w:tcW w:w="867" w:type="pct"/>
            <w:vAlign w:val="top"/>
          </w:tcPr>
          <w:p w:rsidR="00FD17C4" w:rsidRPr="00FD17C4" w:rsidRDefault="00FD17C4" w:rsidP="00B96463">
            <w:pPr>
              <w:cnfStyle w:val="000000000000" w:firstRow="0" w:lastRow="0" w:firstColumn="0" w:lastColumn="0" w:oddVBand="0" w:evenVBand="0" w:oddHBand="0" w:evenHBand="0" w:firstRowFirstColumn="0" w:firstRowLastColumn="0" w:lastRowFirstColumn="0" w:lastRowLastColumn="0"/>
            </w:pPr>
            <w:r w:rsidRPr="00FD17C4">
              <w:t xml:space="preserve"> 25.5 </w:t>
            </w:r>
          </w:p>
        </w:tc>
        <w:tc>
          <w:tcPr>
            <w:tcW w:w="867" w:type="pct"/>
            <w:vAlign w:val="top"/>
          </w:tcPr>
          <w:p w:rsidR="00FD17C4" w:rsidRPr="00FD17C4" w:rsidRDefault="00FD17C4" w:rsidP="00B96463">
            <w:pPr>
              <w:cnfStyle w:val="000000000000" w:firstRow="0" w:lastRow="0" w:firstColumn="0" w:lastColumn="0" w:oddVBand="0" w:evenVBand="0" w:oddHBand="0" w:evenHBand="0" w:firstRowFirstColumn="0" w:firstRowLastColumn="0" w:lastRowFirstColumn="0" w:lastRowLastColumn="0"/>
            </w:pPr>
            <w:r w:rsidRPr="00FD17C4">
              <w:t xml:space="preserve"> 20.4 </w:t>
            </w:r>
          </w:p>
        </w:tc>
        <w:tc>
          <w:tcPr>
            <w:tcW w:w="866" w:type="pct"/>
            <w:vAlign w:val="top"/>
          </w:tcPr>
          <w:p w:rsidR="00FD17C4" w:rsidRPr="00FD17C4" w:rsidRDefault="00FD17C4" w:rsidP="00B96463">
            <w:pPr>
              <w:cnfStyle w:val="000000000000" w:firstRow="0" w:lastRow="0" w:firstColumn="0" w:lastColumn="0" w:oddVBand="0" w:evenVBand="0" w:oddHBand="0" w:evenHBand="0" w:firstRowFirstColumn="0" w:firstRowLastColumn="0" w:lastRowFirstColumn="0" w:lastRowLastColumn="0"/>
            </w:pPr>
            <w:r w:rsidRPr="00FD17C4">
              <w:t>-5.1</w:t>
            </w:r>
          </w:p>
        </w:tc>
        <w:tc>
          <w:tcPr>
            <w:tcW w:w="865" w:type="pct"/>
            <w:vAlign w:val="top"/>
          </w:tcPr>
          <w:p w:rsidR="00FD17C4" w:rsidRPr="00FD17C4" w:rsidRDefault="00FD17C4" w:rsidP="00B96463">
            <w:pPr>
              <w:cnfStyle w:val="000000000000" w:firstRow="0" w:lastRow="0" w:firstColumn="0" w:lastColumn="0" w:oddVBand="0" w:evenVBand="0" w:oddHBand="0" w:evenHBand="0" w:firstRowFirstColumn="0" w:firstRowLastColumn="0" w:lastRowFirstColumn="0" w:lastRowLastColumn="0"/>
            </w:pPr>
            <w:r w:rsidRPr="00FD17C4">
              <w:t>-19.9%</w:t>
            </w:r>
          </w:p>
        </w:tc>
      </w:tr>
      <w:tr w:rsidR="00FD17C4" w:rsidRPr="004F416F" w:rsidTr="00B9646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5" w:type="pct"/>
            <w:vAlign w:val="bottom"/>
          </w:tcPr>
          <w:p w:rsidR="00FD17C4" w:rsidRPr="00FD17C4" w:rsidRDefault="00FD17C4" w:rsidP="00FD17C4">
            <w:r w:rsidRPr="00FD17C4">
              <w:t>Asset disposals</w:t>
            </w:r>
          </w:p>
        </w:tc>
        <w:tc>
          <w:tcPr>
            <w:tcW w:w="867" w:type="pct"/>
            <w:vAlign w:val="top"/>
          </w:tcPr>
          <w:p w:rsidR="00FD17C4" w:rsidRPr="00FD17C4" w:rsidRDefault="00FD17C4" w:rsidP="00B96463">
            <w:pPr>
              <w:cnfStyle w:val="000000010000" w:firstRow="0" w:lastRow="0" w:firstColumn="0" w:lastColumn="0" w:oddVBand="0" w:evenVBand="0" w:oddHBand="0" w:evenHBand="1" w:firstRowFirstColumn="0" w:firstRowLastColumn="0" w:lastRowFirstColumn="0" w:lastRowLastColumn="0"/>
            </w:pPr>
            <w:r w:rsidRPr="00FD17C4">
              <w:t xml:space="preserve"> 0.8 </w:t>
            </w:r>
          </w:p>
        </w:tc>
        <w:tc>
          <w:tcPr>
            <w:tcW w:w="867" w:type="pct"/>
            <w:vAlign w:val="top"/>
          </w:tcPr>
          <w:p w:rsidR="00FD17C4" w:rsidRPr="00FD17C4" w:rsidRDefault="00FD17C4" w:rsidP="00B96463">
            <w:pPr>
              <w:cnfStyle w:val="000000010000" w:firstRow="0" w:lastRow="0" w:firstColumn="0" w:lastColumn="0" w:oddVBand="0" w:evenVBand="0" w:oddHBand="0" w:evenHBand="1" w:firstRowFirstColumn="0" w:firstRowLastColumn="0" w:lastRowFirstColumn="0" w:lastRowLastColumn="0"/>
            </w:pPr>
            <w:r w:rsidRPr="00FD17C4">
              <w:t xml:space="preserve"> 0.8 </w:t>
            </w:r>
          </w:p>
        </w:tc>
        <w:tc>
          <w:tcPr>
            <w:tcW w:w="866" w:type="pct"/>
            <w:vAlign w:val="top"/>
          </w:tcPr>
          <w:p w:rsidR="00FD17C4" w:rsidRPr="00FD17C4" w:rsidRDefault="00FD17C4" w:rsidP="00B96463">
            <w:pPr>
              <w:cnfStyle w:val="000000010000" w:firstRow="0" w:lastRow="0" w:firstColumn="0" w:lastColumn="0" w:oddVBand="0" w:evenVBand="0" w:oddHBand="0" w:evenHBand="1" w:firstRowFirstColumn="0" w:firstRowLastColumn="0" w:lastRowFirstColumn="0" w:lastRowLastColumn="0"/>
            </w:pPr>
            <w:r w:rsidRPr="00FD17C4">
              <w:t>0.0</w:t>
            </w:r>
          </w:p>
        </w:tc>
        <w:tc>
          <w:tcPr>
            <w:tcW w:w="865" w:type="pct"/>
            <w:vAlign w:val="top"/>
          </w:tcPr>
          <w:p w:rsidR="00FD17C4" w:rsidRPr="00FD17C4" w:rsidRDefault="00FD17C4" w:rsidP="00B96463">
            <w:pPr>
              <w:cnfStyle w:val="000000010000" w:firstRow="0" w:lastRow="0" w:firstColumn="0" w:lastColumn="0" w:oddVBand="0" w:evenVBand="0" w:oddHBand="0" w:evenHBand="1" w:firstRowFirstColumn="0" w:firstRowLastColumn="0" w:lastRowFirstColumn="0" w:lastRowLastColumn="0"/>
            </w:pPr>
            <w:r w:rsidRPr="00FD17C4">
              <w:t>-0.2%</w:t>
            </w:r>
          </w:p>
        </w:tc>
      </w:tr>
      <w:tr w:rsidR="00FD17C4" w:rsidRPr="004F416F" w:rsidTr="00B96463">
        <w:trPr>
          <w:trHeight w:val="300"/>
        </w:trPr>
        <w:tc>
          <w:tcPr>
            <w:cnfStyle w:val="001000000000" w:firstRow="0" w:lastRow="0" w:firstColumn="1" w:lastColumn="0" w:oddVBand="0" w:evenVBand="0" w:oddHBand="0" w:evenHBand="0" w:firstRowFirstColumn="0" w:firstRowLastColumn="0" w:lastRowFirstColumn="0" w:lastRowLastColumn="0"/>
            <w:tcW w:w="1535" w:type="pct"/>
            <w:vAlign w:val="bottom"/>
          </w:tcPr>
          <w:p w:rsidR="00FD17C4" w:rsidRPr="00FD17C4" w:rsidRDefault="00FD17C4" w:rsidP="00FD17C4">
            <w:pPr>
              <w:rPr>
                <w:rStyle w:val="AERsuperscript"/>
              </w:rPr>
            </w:pPr>
            <w:r w:rsidRPr="00FD17C4">
              <w:t>NET TOTAL CAPITAL EXPENDITURE</w:t>
            </w:r>
            <w:r w:rsidRPr="00FD17C4">
              <w:rPr>
                <w:rStyle w:val="AERsuperscript"/>
              </w:rPr>
              <w:t>(b)</w:t>
            </w:r>
          </w:p>
        </w:tc>
        <w:tc>
          <w:tcPr>
            <w:tcW w:w="867" w:type="pct"/>
            <w:vAlign w:val="top"/>
          </w:tcPr>
          <w:p w:rsidR="00FD17C4" w:rsidRPr="00FD17C4" w:rsidRDefault="00FD17C4" w:rsidP="00B96463">
            <w:pPr>
              <w:cnfStyle w:val="000000000000" w:firstRow="0" w:lastRow="0" w:firstColumn="0" w:lastColumn="0" w:oddVBand="0" w:evenVBand="0" w:oddHBand="0" w:evenHBand="0" w:firstRowFirstColumn="0" w:firstRowLastColumn="0" w:lastRowFirstColumn="0" w:lastRowLastColumn="0"/>
            </w:pPr>
            <w:r w:rsidRPr="00FD17C4">
              <w:t xml:space="preserve"> 1,043.9 </w:t>
            </w:r>
          </w:p>
        </w:tc>
        <w:tc>
          <w:tcPr>
            <w:tcW w:w="867" w:type="pct"/>
            <w:vAlign w:val="top"/>
          </w:tcPr>
          <w:p w:rsidR="00FD17C4" w:rsidRPr="00FD17C4" w:rsidRDefault="00FD17C4" w:rsidP="00B96463">
            <w:pPr>
              <w:cnfStyle w:val="000000000000" w:firstRow="0" w:lastRow="0" w:firstColumn="0" w:lastColumn="0" w:oddVBand="0" w:evenVBand="0" w:oddHBand="0" w:evenHBand="0" w:firstRowFirstColumn="0" w:firstRowLastColumn="0" w:lastRowFirstColumn="0" w:lastRowLastColumn="0"/>
            </w:pPr>
            <w:r w:rsidRPr="00FD17C4">
              <w:t xml:space="preserve"> 936.1 </w:t>
            </w:r>
          </w:p>
        </w:tc>
        <w:tc>
          <w:tcPr>
            <w:tcW w:w="866" w:type="pct"/>
            <w:vAlign w:val="top"/>
          </w:tcPr>
          <w:p w:rsidR="00FD17C4" w:rsidRPr="00FD17C4" w:rsidRDefault="00FD17C4" w:rsidP="00B96463">
            <w:pPr>
              <w:cnfStyle w:val="000000000000" w:firstRow="0" w:lastRow="0" w:firstColumn="0" w:lastColumn="0" w:oddVBand="0" w:evenVBand="0" w:oddHBand="0" w:evenHBand="0" w:firstRowFirstColumn="0" w:firstRowLastColumn="0" w:lastRowFirstColumn="0" w:lastRowLastColumn="0"/>
            </w:pPr>
            <w:r w:rsidRPr="00FD17C4">
              <w:t>-107.8</w:t>
            </w:r>
          </w:p>
        </w:tc>
        <w:tc>
          <w:tcPr>
            <w:tcW w:w="865" w:type="pct"/>
            <w:vAlign w:val="top"/>
          </w:tcPr>
          <w:p w:rsidR="00FD17C4" w:rsidRPr="00FD17C4" w:rsidRDefault="00FD17C4" w:rsidP="00B96463">
            <w:pPr>
              <w:cnfStyle w:val="000000000000" w:firstRow="0" w:lastRow="0" w:firstColumn="0" w:lastColumn="0" w:oddVBand="0" w:evenVBand="0" w:oddHBand="0" w:evenHBand="0" w:firstRowFirstColumn="0" w:firstRowLastColumn="0" w:lastRowFirstColumn="0" w:lastRowLastColumn="0"/>
            </w:pPr>
            <w:r w:rsidRPr="00FD17C4">
              <w:t>-10.3%</w:t>
            </w:r>
          </w:p>
        </w:tc>
      </w:tr>
    </w:tbl>
    <w:p w:rsidR="00FD17C4" w:rsidRDefault="00FD17C4" w:rsidP="00FD17C4">
      <w:pPr>
        <w:pStyle w:val="AERtablesource"/>
      </w:pPr>
      <w:r w:rsidRPr="00DE44F6">
        <w:t>Source:</w:t>
      </w:r>
      <w:r w:rsidRPr="00DE44F6">
        <w:tab/>
        <w:t>AER analysis.</w:t>
      </w:r>
    </w:p>
    <w:p w:rsidR="00FD17C4" w:rsidRDefault="00FD17C4" w:rsidP="00FD17C4">
      <w:pPr>
        <w:pStyle w:val="AERtablesource"/>
      </w:pPr>
      <w:r w:rsidRPr="00A91109">
        <w:t>Notes:</w:t>
      </w:r>
      <w:r w:rsidRPr="00A91109">
        <w:tab/>
        <w:t xml:space="preserve">(a) </w:t>
      </w:r>
      <w:r>
        <w:t>Ex</w:t>
      </w:r>
      <w:r w:rsidRPr="00A91109">
        <w:t>cluding</w:t>
      </w:r>
      <w:r>
        <w:t xml:space="preserve"> </w:t>
      </w:r>
      <w:r w:rsidRPr="00A91109">
        <w:t>AER material and labour escalation adjustments</w:t>
      </w:r>
      <w:r>
        <w:t>.</w:t>
      </w:r>
    </w:p>
    <w:p w:rsidR="00FD17C4" w:rsidRDefault="00FD17C4" w:rsidP="00FD17C4">
      <w:pPr>
        <w:pStyle w:val="AERtablesource"/>
      </w:pPr>
      <w:r>
        <w:tab/>
        <w:t>(b) Totals do not add as JGN claimed confidentiality over mines subsidence and related party margin expenditure.</w:t>
      </w:r>
    </w:p>
    <w:p w:rsidR="007A49B3" w:rsidRDefault="007A49B3" w:rsidP="007A49B3">
      <w:pPr>
        <w:numPr>
          <w:ilvl w:val="0"/>
          <w:numId w:val="25"/>
        </w:numPr>
      </w:pPr>
      <w:bookmarkStart w:id="18" w:name="_Ref403468188"/>
      <w:bookmarkStart w:id="19" w:name="_Ref403468179"/>
      <w:r>
        <w:lastRenderedPageBreak/>
        <w:t>W</w:t>
      </w:r>
      <w:r w:rsidRPr="00B04258">
        <w:t xml:space="preserve">e tested </w:t>
      </w:r>
      <w:r>
        <w:t>JGN</w:t>
      </w:r>
      <w:r w:rsidRPr="00B04258">
        <w:t xml:space="preserve">'s proposed forecast capex taking into account the available evidence. The outcomes of </w:t>
      </w:r>
      <w:r>
        <w:t>our assessment</w:t>
      </w:r>
      <w:r w:rsidRPr="00B04258">
        <w:t xml:space="preserve"> revealed that some aspects of </w:t>
      </w:r>
      <w:r>
        <w:t>JGN</w:t>
      </w:r>
      <w:r w:rsidRPr="00B04258">
        <w:t>’s proposal</w:t>
      </w:r>
      <w:r w:rsidR="000D1214">
        <w:t>,</w:t>
      </w:r>
      <w:r w:rsidRPr="00B04258">
        <w:t xml:space="preserve"> such </w:t>
      </w:r>
      <w:r>
        <w:t>as expenditure for mains subsidence</w:t>
      </w:r>
      <w:r w:rsidRPr="00B04258">
        <w:t xml:space="preserve"> and </w:t>
      </w:r>
      <w:r>
        <w:t>SCADA</w:t>
      </w:r>
      <w:r w:rsidRPr="00B04258">
        <w:t>, were consistent with the N</w:t>
      </w:r>
      <w:r>
        <w:t>G</w:t>
      </w:r>
      <w:r w:rsidRPr="00B04258">
        <w:t xml:space="preserve">R requirements in that </w:t>
      </w:r>
      <w:r>
        <w:t>the proposed expenditure</w:t>
      </w:r>
      <w:r w:rsidR="007B5DB5">
        <w:t>s</w:t>
      </w:r>
      <w:r>
        <w:t xml:space="preserve"> </w:t>
      </w:r>
      <w:r w:rsidR="007B5DB5">
        <w:t>are</w:t>
      </w:r>
      <w:r>
        <w:t xml:space="preserve"> justified and would be incurred by a prudent service provider acting efficiently, in accordance with accepted good industry practice, to achieve the lowe</w:t>
      </w:r>
      <w:r w:rsidR="00C80B5F">
        <w:t>st</w:t>
      </w:r>
      <w:r>
        <w:t xml:space="preserve"> sustainable cost of providing services</w:t>
      </w:r>
      <w:r w:rsidRPr="00B04258">
        <w:t xml:space="preserve">. We found that other aspects of </w:t>
      </w:r>
      <w:r>
        <w:t>JGN's</w:t>
      </w:r>
      <w:r w:rsidRPr="00B04258">
        <w:t xml:space="preserve"> proposal</w:t>
      </w:r>
      <w:r w:rsidR="00C80B5F">
        <w:t>,</w:t>
      </w:r>
      <w:r w:rsidRPr="00B04258">
        <w:t xml:space="preserve"> in particular </w:t>
      </w:r>
      <w:r>
        <w:t>the level of overheads, connections and some projects and programs associated with facilities renewal and upgrade</w:t>
      </w:r>
      <w:r w:rsidR="000D1214">
        <w:t>,</w:t>
      </w:r>
      <w:r>
        <w:t xml:space="preserve"> respectively</w:t>
      </w:r>
      <w:r w:rsidRPr="00B04258">
        <w:t xml:space="preserve">, </w:t>
      </w:r>
      <w:r>
        <w:t>did not meet the</w:t>
      </w:r>
      <w:r w:rsidRPr="00B04258">
        <w:t xml:space="preserve"> N</w:t>
      </w:r>
      <w:r w:rsidR="00835711">
        <w:t>G</w:t>
      </w:r>
      <w:r w:rsidRPr="00B04258">
        <w:t>R</w:t>
      </w:r>
      <w:r>
        <w:t xml:space="preserve"> requirements </w:t>
      </w:r>
      <w:r w:rsidR="007B5DB5">
        <w:t xml:space="preserve">given that </w:t>
      </w:r>
      <w:r>
        <w:t>they were not based on the best estimate in the circumstances and/or revealed inefficiency inconsistent with the N</w:t>
      </w:r>
      <w:r w:rsidR="00835711">
        <w:t>G</w:t>
      </w:r>
      <w:r>
        <w:t>R requirements</w:t>
      </w:r>
      <w:r w:rsidRPr="00B04258">
        <w:t>. </w:t>
      </w:r>
    </w:p>
    <w:p w:rsidR="007A49B3" w:rsidRPr="00B04258" w:rsidRDefault="007A49B3" w:rsidP="007A49B3">
      <w:pPr>
        <w:numPr>
          <w:ilvl w:val="0"/>
          <w:numId w:val="25"/>
        </w:numPr>
      </w:pPr>
      <w:r w:rsidRPr="00B04258">
        <w:t>A summary of our reasons and findings that we present</w:t>
      </w:r>
      <w:r w:rsidR="007B5DB5">
        <w:t xml:space="preserve"> further</w:t>
      </w:r>
      <w:r w:rsidRPr="00B04258">
        <w:t xml:space="preserve"> in this Attachment are set out </w:t>
      </w:r>
      <w:r>
        <w:t>below</w:t>
      </w:r>
      <w:r w:rsidRPr="00B04258">
        <w:t xml:space="preserve">. </w:t>
      </w:r>
    </w:p>
    <w:bookmarkEnd w:id="18"/>
    <w:bookmarkEnd w:id="19"/>
    <w:p w:rsidR="00835711" w:rsidRPr="00FA4F6D" w:rsidRDefault="00835711" w:rsidP="00FA4F6D">
      <w:pPr>
        <w:pStyle w:val="AERbulletlistfirststyle"/>
      </w:pPr>
      <w:r w:rsidRPr="00FA4F6D">
        <w:t>Mines subsidence, SCADA, mains and service renewal</w:t>
      </w:r>
    </w:p>
    <w:p w:rsidR="00835711" w:rsidRPr="008016B3" w:rsidRDefault="00835711" w:rsidP="00FA4F6D">
      <w:pPr>
        <w:pStyle w:val="AERbulletlistfirststyle"/>
        <w:numPr>
          <w:ilvl w:val="0"/>
          <w:numId w:val="0"/>
        </w:numPr>
      </w:pPr>
      <w:r>
        <w:t xml:space="preserve">We accepted JGN's proposed </w:t>
      </w:r>
      <w:r w:rsidRPr="008016B3">
        <w:t xml:space="preserve">capex for mine subsidence in </w:t>
      </w:r>
      <w:r w:rsidR="007B5DB5">
        <w:t xml:space="preserve">this final </w:t>
      </w:r>
      <w:r w:rsidRPr="008016B3">
        <w:t>decision</w:t>
      </w:r>
      <w:r w:rsidR="007B5DB5">
        <w:t>, consistent with our draft decision.</w:t>
      </w:r>
      <w:r w:rsidRPr="008016B3">
        <w:t xml:space="preserve"> We</w:t>
      </w:r>
      <w:r w:rsidR="007B5DB5">
        <w:t xml:space="preserve"> depart from our draft decision by</w:t>
      </w:r>
      <w:r w:rsidRPr="008016B3">
        <w:t xml:space="preserve"> accept</w:t>
      </w:r>
      <w:r w:rsidR="007B5DB5">
        <w:t>ing</w:t>
      </w:r>
      <w:r w:rsidRPr="008016B3">
        <w:t xml:space="preserve"> JGN's proposed capex of $9.5 million </w:t>
      </w:r>
      <w:r w:rsidR="0008525F" w:rsidRPr="0040798A">
        <w:t xml:space="preserve">($2015, </w:t>
      </w:r>
      <w:proofErr w:type="spellStart"/>
      <w:r w:rsidR="0008525F" w:rsidRPr="0040798A">
        <w:t>unescalated</w:t>
      </w:r>
      <w:proofErr w:type="spellEnd"/>
      <w:r w:rsidR="0008525F" w:rsidRPr="0040798A">
        <w:t xml:space="preserve"> direct costs, excluding overheads)</w:t>
      </w:r>
      <w:r w:rsidR="0008525F">
        <w:t xml:space="preserve"> </w:t>
      </w:r>
      <w:r w:rsidRPr="008016B3">
        <w:t>for SCADA</w:t>
      </w:r>
      <w:r w:rsidR="00677BC7">
        <w:t xml:space="preserve"> in our final decision</w:t>
      </w:r>
      <w:r w:rsidRPr="008016B3">
        <w:t xml:space="preserve">.  This is because in its revised proposal, JGN provided supporting information as to the need for replacement of the </w:t>
      </w:r>
      <w:proofErr w:type="spellStart"/>
      <w:r w:rsidRPr="008016B3">
        <w:t>GENe</w:t>
      </w:r>
      <w:proofErr w:type="spellEnd"/>
      <w:r w:rsidRPr="008016B3">
        <w:t xml:space="preserve"> system.  We have also </w:t>
      </w:r>
      <w:r>
        <w:t>accept</w:t>
      </w:r>
      <w:r w:rsidRPr="008016B3">
        <w:t>ed JGN's proposed expenditure of $5</w:t>
      </w:r>
      <w:r>
        <w:t>7</w:t>
      </w:r>
      <w:r w:rsidRPr="008016B3">
        <w:t>.</w:t>
      </w:r>
      <w:r>
        <w:t>5</w:t>
      </w:r>
      <w:r w:rsidRPr="008016B3">
        <w:t xml:space="preserve"> million </w:t>
      </w:r>
      <w:r w:rsidR="0008525F" w:rsidRPr="0040798A">
        <w:t xml:space="preserve">($2015, </w:t>
      </w:r>
      <w:proofErr w:type="spellStart"/>
      <w:r w:rsidR="0008525F" w:rsidRPr="0040798A">
        <w:t>unescalated</w:t>
      </w:r>
      <w:proofErr w:type="spellEnd"/>
      <w:r w:rsidR="0008525F" w:rsidRPr="0040798A">
        <w:t xml:space="preserve"> direct costs, excluding overheads)</w:t>
      </w:r>
      <w:r w:rsidR="0008525F">
        <w:t xml:space="preserve"> </w:t>
      </w:r>
      <w:r>
        <w:t>for mains and service renewal.</w:t>
      </w:r>
    </w:p>
    <w:p w:rsidR="00835711" w:rsidRPr="0040798A" w:rsidRDefault="00835711" w:rsidP="00835711">
      <w:pPr>
        <w:pStyle w:val="AERbulletlistfirststyle"/>
      </w:pPr>
      <w:r w:rsidRPr="0040798A">
        <w:t>Connections/Market expansion</w:t>
      </w:r>
    </w:p>
    <w:p w:rsidR="00835711" w:rsidRDefault="00835711" w:rsidP="00835711">
      <w:r w:rsidRPr="0040798A">
        <w:t>We have included $2</w:t>
      </w:r>
      <w:r>
        <w:t>85.6</w:t>
      </w:r>
      <w:r w:rsidRPr="0040798A">
        <w:t xml:space="preserve"> million ($2015, </w:t>
      </w:r>
      <w:proofErr w:type="spellStart"/>
      <w:r w:rsidRPr="0040798A">
        <w:t>unescalated</w:t>
      </w:r>
      <w:proofErr w:type="spellEnd"/>
      <w:r w:rsidRPr="0040798A">
        <w:t xml:space="preserve"> direct costs, excluding overheads) in our alternative capex estimate</w:t>
      </w:r>
      <w:r>
        <w:t xml:space="preserve"> compared to JGN's proposed </w:t>
      </w:r>
      <w:r w:rsidRPr="0040798A">
        <w:t>$368.0 million. This is a 22.</w:t>
      </w:r>
      <w:r>
        <w:t>4</w:t>
      </w:r>
      <w:r w:rsidRPr="0040798A">
        <w:t xml:space="preserve"> per cent reduction in JGN’s proposed amount.</w:t>
      </w:r>
      <w:r>
        <w:t xml:space="preserve">  We based our estimate on</w:t>
      </w:r>
      <w:r w:rsidRPr="0040798A">
        <w:t xml:space="preserve"> a five-year average of historical unit rates and mains/services/meters per connections data. This provides for consistent cost component estimation.</w:t>
      </w:r>
    </w:p>
    <w:p w:rsidR="00835711" w:rsidRPr="0040798A" w:rsidRDefault="00835711" w:rsidP="00835711">
      <w:r>
        <w:t xml:space="preserve">By contrast, JGN </w:t>
      </w:r>
      <w:r w:rsidRPr="0040798A">
        <w:t xml:space="preserve">based its forecast of connections expenditure on a model which built up the unit rates and Core Energy’s forecast of new connections. </w:t>
      </w:r>
      <w:r>
        <w:t xml:space="preserve">We assessed that this model did not produce the best estimate, and the proposed capex was not efficient.  This is because </w:t>
      </w:r>
      <w:r w:rsidRPr="0040798A">
        <w:t>the model draws off different data sets which are not linked</w:t>
      </w:r>
      <w:r>
        <w:t xml:space="preserve"> and</w:t>
      </w:r>
      <w:r w:rsidRPr="0040798A">
        <w:t xml:space="preserve"> </w:t>
      </w:r>
      <w:r w:rsidR="00677BC7">
        <w:t xml:space="preserve">uses </w:t>
      </w:r>
      <w:r w:rsidRPr="0040798A">
        <w:t xml:space="preserve">different estimation methods across different </w:t>
      </w:r>
      <w:r w:rsidR="00677BC7">
        <w:t xml:space="preserve">cost </w:t>
      </w:r>
      <w:r w:rsidRPr="0040798A">
        <w:t xml:space="preserve">components (internal labour, contractor labour, restoration costs, materials and other) </w:t>
      </w:r>
      <w:r w:rsidR="00677BC7">
        <w:t>resulting in potential</w:t>
      </w:r>
      <w:r w:rsidRPr="0040798A">
        <w:t xml:space="preserve"> compositional bias</w:t>
      </w:r>
      <w:r>
        <w:t>. Further, the model</w:t>
      </w:r>
      <w:r w:rsidRPr="0040798A">
        <w:t xml:space="preserve"> does not </w:t>
      </w:r>
      <w:r w:rsidR="00677BC7">
        <w:t>use</w:t>
      </w:r>
      <w:r w:rsidRPr="0040798A">
        <w:t xml:space="preserve"> the contract unit rates as proposed </w:t>
      </w:r>
      <w:r w:rsidR="00677BC7">
        <w:t xml:space="preserve">by JGN </w:t>
      </w:r>
      <w:r w:rsidRPr="0040798A">
        <w:t>b</w:t>
      </w:r>
      <w:r w:rsidR="000F3998">
        <w:t>ecause it</w:t>
      </w:r>
      <w:r w:rsidRPr="0040798A">
        <w:t xml:space="preserve"> substitut</w:t>
      </w:r>
      <w:r w:rsidR="000F3998">
        <w:t>es</w:t>
      </w:r>
      <w:r w:rsidRPr="0040798A">
        <w:t xml:space="preserve"> a derived 2013-14 unit rate</w:t>
      </w:r>
      <w:r w:rsidR="000F3998">
        <w:rPr>
          <w:rStyle w:val="FootnoteReference"/>
        </w:rPr>
        <w:footnoteReference w:id="3"/>
      </w:r>
      <w:r>
        <w:t xml:space="preserve"> and</w:t>
      </w:r>
      <w:r w:rsidRPr="0040798A">
        <w:t xml:space="preserve"> includes metering contractor costs and material and real labour escalation which are not provided for in the </w:t>
      </w:r>
      <w:r w:rsidR="000F3589">
        <w:t xml:space="preserve">contracted </w:t>
      </w:r>
      <w:r w:rsidRPr="0040798A">
        <w:t xml:space="preserve">unit rates. </w:t>
      </w:r>
    </w:p>
    <w:p w:rsidR="00835711" w:rsidRPr="0040798A" w:rsidRDefault="00835711" w:rsidP="00835711">
      <w:pPr>
        <w:pStyle w:val="AERbulletlistfirststyle"/>
      </w:pPr>
      <w:r w:rsidRPr="0040798A">
        <w:t>Overheads</w:t>
      </w:r>
    </w:p>
    <w:p w:rsidR="00835711" w:rsidRPr="00835711" w:rsidRDefault="00835711" w:rsidP="000F3998">
      <w:r w:rsidRPr="00AD468E">
        <w:lastRenderedPageBreak/>
        <w:t>We have included $1</w:t>
      </w:r>
      <w:r w:rsidR="000F3998">
        <w:t>15</w:t>
      </w:r>
      <w:r w:rsidRPr="00AD468E">
        <w:t xml:space="preserve">.2 million ($2015, </w:t>
      </w:r>
      <w:proofErr w:type="spellStart"/>
      <w:r w:rsidRPr="00AD468E">
        <w:t>unescalated</w:t>
      </w:r>
      <w:proofErr w:type="spellEnd"/>
      <w:r w:rsidRPr="00AD468E">
        <w:t xml:space="preserve"> direct costs, excluding overheads) in our alternative capex estimate</w:t>
      </w:r>
      <w:r w:rsidRPr="00835711">
        <w:t xml:space="preserve"> for overheads. JGN proposed $125.7 million. This is a</w:t>
      </w:r>
      <w:r w:rsidR="00FB2C5B">
        <w:t>n</w:t>
      </w:r>
      <w:r w:rsidRPr="00835711">
        <w:t xml:space="preserve"> </w:t>
      </w:r>
      <w:r w:rsidR="000F3998">
        <w:t>8.3</w:t>
      </w:r>
      <w:r w:rsidRPr="00835711">
        <w:t xml:space="preserve"> per cent reduction. Our estimate </w:t>
      </w:r>
      <w:r w:rsidR="00677BC7">
        <w:t>uses</w:t>
      </w:r>
      <w:r w:rsidRPr="00835711">
        <w:t xml:space="preserve"> an average of JGN's historical overheads expenditure as the base, and adjusts for the growth in the variable component of overheads in accordance with JGN's evidence as to the proportion of its overheads which are variable and in line with </w:t>
      </w:r>
      <w:r w:rsidR="00677BC7">
        <w:t xml:space="preserve">the </w:t>
      </w:r>
      <w:r w:rsidR="000F3998">
        <w:t xml:space="preserve">gross </w:t>
      </w:r>
      <w:r w:rsidR="00677BC7">
        <w:t xml:space="preserve">approved </w:t>
      </w:r>
      <w:r w:rsidR="000F3998">
        <w:t>capex</w:t>
      </w:r>
      <w:r w:rsidRPr="00835711">
        <w:t>.  We have also applied our real labour and materials escalation</w:t>
      </w:r>
      <w:r w:rsidR="00677BC7">
        <w:t xml:space="preserve"> as opposed to those proposed by JGN.</w:t>
      </w:r>
      <w:r w:rsidRPr="00835711">
        <w:t xml:space="preserve"> This reflects a level of overheads which </w:t>
      </w:r>
      <w:r w:rsidR="00677BC7">
        <w:t xml:space="preserve">we consider </w:t>
      </w:r>
      <w:r w:rsidRPr="00835711">
        <w:t>meets the conforming capex criteria in the N</w:t>
      </w:r>
      <w:r w:rsidR="000F3998">
        <w:t>G</w:t>
      </w:r>
      <w:r w:rsidRPr="00835711">
        <w:t xml:space="preserve">R. </w:t>
      </w:r>
    </w:p>
    <w:p w:rsidR="000253BD" w:rsidRDefault="00835711" w:rsidP="00835711">
      <w:r w:rsidRPr="0040798A">
        <w:t>We</w:t>
      </w:r>
      <w:r>
        <w:t xml:space="preserve"> consider that </w:t>
      </w:r>
      <w:r w:rsidRPr="0040798A">
        <w:t xml:space="preserve">JGN’s </w:t>
      </w:r>
      <w:r>
        <w:t>base-step-trend forecast method, using an unadjusted base year of</w:t>
      </w:r>
      <w:r w:rsidRPr="0040798A">
        <w:t xml:space="preserve"> 2013-14 year is </w:t>
      </w:r>
      <w:r>
        <w:t xml:space="preserve">not </w:t>
      </w:r>
      <w:r w:rsidRPr="0040798A">
        <w:t>representative of future overheads expenditure</w:t>
      </w:r>
      <w:r w:rsidR="00677BC7">
        <w:t xml:space="preserve">. We </w:t>
      </w:r>
      <w:r>
        <w:t>therefore</w:t>
      </w:r>
      <w:r w:rsidRPr="0040798A">
        <w:t xml:space="preserve"> </w:t>
      </w:r>
      <w:r w:rsidR="00677BC7">
        <w:t xml:space="preserve">find that it </w:t>
      </w:r>
      <w:r w:rsidRPr="0040798A">
        <w:t>is not the best estimate in the circumstances</w:t>
      </w:r>
      <w:r>
        <w:t xml:space="preserve"> and would result in </w:t>
      </w:r>
      <w:r w:rsidR="00677BC7">
        <w:t xml:space="preserve">inefficient </w:t>
      </w:r>
      <w:r>
        <w:t>capex</w:t>
      </w:r>
      <w:r w:rsidRPr="0040798A">
        <w:t xml:space="preserve">. </w:t>
      </w:r>
      <w:r>
        <w:t xml:space="preserve"> This is because</w:t>
      </w:r>
      <w:r w:rsidR="000F3998">
        <w:t xml:space="preserve"> total overheads in </w:t>
      </w:r>
      <w:r w:rsidR="00677BC7">
        <w:t xml:space="preserve">2013-14 are </w:t>
      </w:r>
      <w:r w:rsidR="000F3998">
        <w:t>significantly higher than in other years</w:t>
      </w:r>
      <w:r w:rsidR="000253BD">
        <w:t>. This is not consistent with our understanding from the material before us which suggests that under the new management and contractual arrangements</w:t>
      </w:r>
      <w:r w:rsidR="000F3998">
        <w:t xml:space="preserve"> </w:t>
      </w:r>
      <w:r w:rsidR="000253BD">
        <w:t xml:space="preserve">between JGN and Jemena Asset Management and </w:t>
      </w:r>
      <w:proofErr w:type="spellStart"/>
      <w:r w:rsidR="000253BD">
        <w:t>Zinfra</w:t>
      </w:r>
      <w:proofErr w:type="spellEnd"/>
      <w:r w:rsidR="00677BC7">
        <w:t xml:space="preserve">, overheads would </w:t>
      </w:r>
      <w:r w:rsidR="000253BD">
        <w:t xml:space="preserve">be lower. </w:t>
      </w:r>
    </w:p>
    <w:p w:rsidR="00835711" w:rsidRDefault="00835711" w:rsidP="000253BD">
      <w:pPr>
        <w:pStyle w:val="AERbulletlistfirststyle"/>
      </w:pPr>
      <w:r>
        <w:t xml:space="preserve">Facilities renewal and upgrade </w:t>
      </w:r>
    </w:p>
    <w:p w:rsidR="00835711" w:rsidRPr="0040798A" w:rsidRDefault="00835711" w:rsidP="00835711">
      <w:r>
        <w:t xml:space="preserve">We have included $95.2 million </w:t>
      </w:r>
      <w:r w:rsidRPr="0040798A">
        <w:t xml:space="preserve">($2015, </w:t>
      </w:r>
      <w:proofErr w:type="spellStart"/>
      <w:r w:rsidRPr="0040798A">
        <w:t>unescalated</w:t>
      </w:r>
      <w:proofErr w:type="spellEnd"/>
      <w:r w:rsidRPr="0040798A">
        <w:t xml:space="preserve"> direct costs, excluding overheads) in our alternative capex estimate</w:t>
      </w:r>
      <w:r w:rsidR="00FB2C5B">
        <w:t>.</w:t>
      </w:r>
      <w:r>
        <w:t xml:space="preserve"> JGN proposed $106.6 million</w:t>
      </w:r>
      <w:r w:rsidR="000253BD">
        <w:t xml:space="preserve"> </w:t>
      </w:r>
      <w:r w:rsidR="000253BD" w:rsidRPr="0040798A">
        <w:t xml:space="preserve">($2015, </w:t>
      </w:r>
      <w:proofErr w:type="spellStart"/>
      <w:r w:rsidR="000253BD" w:rsidRPr="0040798A">
        <w:t>unescalated</w:t>
      </w:r>
      <w:proofErr w:type="spellEnd"/>
      <w:r w:rsidR="000253BD" w:rsidRPr="0040798A">
        <w:t xml:space="preserve"> direct costs, excluding overheads)</w:t>
      </w:r>
      <w:r>
        <w:t>.  This is a 10.7 per cent reduction.</w:t>
      </w:r>
      <w:r w:rsidRPr="0040798A">
        <w:t xml:space="preserve"> </w:t>
      </w:r>
    </w:p>
    <w:p w:rsidR="000253BD" w:rsidRDefault="00835711" w:rsidP="00835711">
      <w:r>
        <w:t>We have approved most of the facilities renewal and upgrade expenditure</w:t>
      </w:r>
      <w:r w:rsidR="00677BC7">
        <w:t xml:space="preserve"> JGN proposed</w:t>
      </w:r>
      <w:r>
        <w:t xml:space="preserve">. </w:t>
      </w:r>
      <w:r w:rsidR="00561888">
        <w:rPr>
          <w:rStyle w:val="AERbody"/>
        </w:rPr>
        <w:t>We have not included JGN's proposed expenditure for the six projects on the Northern Trunk.</w:t>
      </w:r>
      <w:r w:rsidR="00561888" w:rsidRPr="0055613D">
        <w:t xml:space="preserve"> </w:t>
      </w:r>
      <w:r w:rsidR="00561888" w:rsidRPr="0055613D">
        <w:rPr>
          <w:rStyle w:val="AERbody"/>
        </w:rPr>
        <w:t>This is because we consider that the expenditure is</w:t>
      </w:r>
      <w:r w:rsidR="00561888">
        <w:rPr>
          <w:rStyle w:val="AERbody"/>
        </w:rPr>
        <w:t xml:space="preserve"> not</w:t>
      </w:r>
      <w:r w:rsidR="00677BC7">
        <w:rPr>
          <w:rStyle w:val="AERbody"/>
        </w:rPr>
        <w:t xml:space="preserve"> sufficiently</w:t>
      </w:r>
      <w:r w:rsidR="00561888" w:rsidRPr="0055613D">
        <w:rPr>
          <w:rStyle w:val="AERbody"/>
        </w:rPr>
        <w:t xml:space="preserve"> justified </w:t>
      </w:r>
      <w:r w:rsidR="00677BC7">
        <w:rPr>
          <w:rStyle w:val="AERbody"/>
        </w:rPr>
        <w:t>given the un</w:t>
      </w:r>
      <w:r w:rsidR="00561888" w:rsidRPr="0055613D">
        <w:rPr>
          <w:rStyle w:val="AERbody"/>
        </w:rPr>
        <w:t>certainty that the</w:t>
      </w:r>
      <w:r w:rsidR="00677BC7">
        <w:rPr>
          <w:rStyle w:val="AERbody"/>
        </w:rPr>
        <w:t xml:space="preserve"> gas</w:t>
      </w:r>
      <w:r w:rsidR="00561888" w:rsidRPr="0055613D">
        <w:rPr>
          <w:rStyle w:val="AERbody"/>
        </w:rPr>
        <w:t xml:space="preserve"> increased pressures will </w:t>
      </w:r>
      <w:proofErr w:type="gramStart"/>
      <w:r w:rsidR="00561888" w:rsidRPr="0055613D">
        <w:rPr>
          <w:rStyle w:val="AERbody"/>
        </w:rPr>
        <w:t>eventuate</w:t>
      </w:r>
      <w:proofErr w:type="gramEnd"/>
      <w:r w:rsidR="00561888" w:rsidRPr="0055613D">
        <w:rPr>
          <w:rStyle w:val="AERbody"/>
        </w:rPr>
        <w:t xml:space="preserve"> such that the proposed expenditure will be required.</w:t>
      </w:r>
    </w:p>
    <w:p w:rsidR="00A67FA7" w:rsidRDefault="00835711" w:rsidP="00A67FA7">
      <w:pPr>
        <w:numPr>
          <w:ilvl w:val="0"/>
          <w:numId w:val="25"/>
        </w:numPr>
      </w:pPr>
      <w:r>
        <w:t xml:space="preserve">We have accepted the majority of </w:t>
      </w:r>
      <w:r w:rsidR="00151D32">
        <w:t xml:space="preserve">the </w:t>
      </w:r>
      <w:r>
        <w:t xml:space="preserve">expenditure proposed but </w:t>
      </w:r>
      <w:r w:rsidR="00151D32">
        <w:t xml:space="preserve">find </w:t>
      </w:r>
      <w:r>
        <w:t>that JGN has overstated the replacement requirements for some projects</w:t>
      </w:r>
      <w:r w:rsidR="00151D32">
        <w:t xml:space="preserve">. </w:t>
      </w:r>
      <w:r w:rsidR="0095583E">
        <w:t>W</w:t>
      </w:r>
      <w:r>
        <w:t>e have adjusted the expenditure for these in order to reflect efficient costs to achieve the lowest sustainable cost of providing the service</w:t>
      </w:r>
      <w:r w:rsidRPr="00A67FA7">
        <w:t>.</w:t>
      </w:r>
      <w:bookmarkStart w:id="20" w:name="_Toc420053765"/>
      <w:bookmarkEnd w:id="20"/>
    </w:p>
    <w:p w:rsidR="00DE563D" w:rsidRPr="00AF1F9E" w:rsidRDefault="00FB5826" w:rsidP="00AF1F9E">
      <w:pPr>
        <w:pStyle w:val="Heading2"/>
      </w:pPr>
      <w:bookmarkStart w:id="21" w:name="_Toc403144137"/>
      <w:bookmarkStart w:id="22" w:name="_Toc420943863"/>
      <w:r>
        <w:t>JGN's</w:t>
      </w:r>
      <w:r w:rsidR="00AF1F9E">
        <w:t xml:space="preserve"> revised</w:t>
      </w:r>
      <w:r w:rsidR="00DE563D" w:rsidRPr="00AF1F9E">
        <w:t xml:space="preserve"> proposal</w:t>
      </w:r>
      <w:bookmarkEnd w:id="21"/>
      <w:bookmarkEnd w:id="22"/>
    </w:p>
    <w:p w:rsidR="00123034" w:rsidRPr="00123034" w:rsidRDefault="00123034" w:rsidP="00123034">
      <w:pPr>
        <w:pStyle w:val="HeadingBoldBlue"/>
        <w:numPr>
          <w:ilvl w:val="0"/>
          <w:numId w:val="25"/>
        </w:numPr>
        <w:rPr>
          <w:rStyle w:val="AERtextblue"/>
        </w:rPr>
      </w:pPr>
      <w:bookmarkStart w:id="23" w:name="_Toc420943864"/>
      <w:bookmarkStart w:id="24" w:name="_Toc403144138"/>
      <w:r w:rsidRPr="00123034">
        <w:rPr>
          <w:rStyle w:val="AERtextblue"/>
        </w:rPr>
        <w:t>2009–14 period</w:t>
      </w:r>
      <w:bookmarkEnd w:id="23"/>
    </w:p>
    <w:p w:rsidR="00123034" w:rsidRDefault="00123034" w:rsidP="000A7100">
      <w:pPr>
        <w:numPr>
          <w:ilvl w:val="0"/>
          <w:numId w:val="25"/>
        </w:numPr>
      </w:pPr>
      <w:r>
        <w:t>JGN</w:t>
      </w:r>
      <w:r w:rsidRPr="005E1F06">
        <w:t xml:space="preserve"> proposed net total capex of $</w:t>
      </w:r>
      <w:r w:rsidR="000A7100" w:rsidRPr="000A7100">
        <w:t>775.8</w:t>
      </w:r>
      <w:r w:rsidRPr="005E1F06">
        <w:t xml:space="preserve"> million ($201</w:t>
      </w:r>
      <w:r>
        <w:t>5</w:t>
      </w:r>
      <w:r w:rsidRPr="005E1F06">
        <w:t>) for 20</w:t>
      </w:r>
      <w:r>
        <w:t>09–14</w:t>
      </w:r>
      <w:r w:rsidRPr="005E1F06">
        <w:t xml:space="preserve">. </w:t>
      </w:r>
    </w:p>
    <w:p w:rsidR="00123034" w:rsidRPr="00123034" w:rsidRDefault="00123034" w:rsidP="008B39D1">
      <w:pPr>
        <w:pStyle w:val="Caption"/>
      </w:pPr>
      <w:proofErr w:type="gramStart"/>
      <w:r>
        <w:lastRenderedPageBreak/>
        <w:t xml:space="preserve">Table </w:t>
      </w:r>
      <w:r w:rsidR="00C62F3B">
        <w:fldChar w:fldCharType="begin"/>
      </w:r>
      <w:r w:rsidR="00C62F3B">
        <w:instrText xml:space="preserve"> STYLEREF 1 \s </w:instrText>
      </w:r>
      <w:r w:rsidR="00C62F3B">
        <w:fldChar w:fldCharType="separate"/>
      </w:r>
      <w:r w:rsidR="00D51AD6">
        <w:rPr>
          <w:noProof/>
        </w:rPr>
        <w:t>6</w:t>
      </w:r>
      <w:r w:rsidR="00C62F3B">
        <w:rPr>
          <w:noProof/>
        </w:rPr>
        <w:fldChar w:fldCharType="end"/>
      </w:r>
      <w:r w:rsidR="007E5469">
        <w:t>.</w:t>
      </w:r>
      <w:proofErr w:type="gramEnd"/>
      <w:r w:rsidR="00C62F3B">
        <w:fldChar w:fldCharType="begin"/>
      </w:r>
      <w:r w:rsidR="00C62F3B">
        <w:instrText xml:space="preserve"> SEQ Table \* ARABIC \s 1 </w:instrText>
      </w:r>
      <w:r w:rsidR="00C62F3B">
        <w:fldChar w:fldCharType="separate"/>
      </w:r>
      <w:r w:rsidR="00D51AD6">
        <w:rPr>
          <w:noProof/>
        </w:rPr>
        <w:t>4</w:t>
      </w:r>
      <w:r w:rsidR="00C62F3B">
        <w:rPr>
          <w:noProof/>
        </w:rPr>
        <w:fldChar w:fldCharType="end"/>
      </w:r>
      <w:r>
        <w:tab/>
        <w:t xml:space="preserve">JGN's </w:t>
      </w:r>
      <w:r w:rsidR="00036005">
        <w:t>revis</w:t>
      </w:r>
      <w:r w:rsidRPr="00123034">
        <w:t>ed capital expenditure over 2009-10 to 2013-14 ($million, 2015)</w:t>
      </w:r>
    </w:p>
    <w:tbl>
      <w:tblPr>
        <w:tblStyle w:val="AERtable-numbers"/>
        <w:tblW w:w="5000" w:type="pct"/>
        <w:tblLook w:val="04A0" w:firstRow="1" w:lastRow="0" w:firstColumn="1" w:lastColumn="0" w:noHBand="0" w:noVBand="1"/>
      </w:tblPr>
      <w:tblGrid>
        <w:gridCol w:w="3170"/>
        <w:gridCol w:w="922"/>
        <w:gridCol w:w="922"/>
        <w:gridCol w:w="921"/>
        <w:gridCol w:w="921"/>
        <w:gridCol w:w="921"/>
        <w:gridCol w:w="916"/>
      </w:tblGrid>
      <w:tr w:rsidR="00123034" w:rsidRPr="004F416F" w:rsidTr="00C102FE">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823" w:type="pct"/>
            <w:hideMark/>
          </w:tcPr>
          <w:p w:rsidR="00123034" w:rsidRPr="00123034" w:rsidRDefault="00123034" w:rsidP="008B39D1">
            <w:pPr>
              <w:keepNext/>
            </w:pPr>
            <w:r w:rsidRPr="00413233">
              <w:t> Category</w:t>
            </w:r>
          </w:p>
        </w:tc>
        <w:tc>
          <w:tcPr>
            <w:tcW w:w="530" w:type="pct"/>
            <w:hideMark/>
          </w:tcPr>
          <w:p w:rsidR="00123034" w:rsidRPr="00123034" w:rsidRDefault="00123034" w:rsidP="008B39D1">
            <w:pPr>
              <w:pStyle w:val="AERtabletextright"/>
              <w:keepNext/>
              <w:cnfStyle w:val="100000000000" w:firstRow="1" w:lastRow="0" w:firstColumn="0" w:lastColumn="0" w:oddVBand="0" w:evenVBand="0" w:oddHBand="0" w:evenHBand="0" w:firstRowFirstColumn="0" w:firstRowLastColumn="0" w:lastRowFirstColumn="0" w:lastRowLastColumn="0"/>
            </w:pPr>
            <w:r w:rsidRPr="00413233">
              <w:t>20</w:t>
            </w:r>
            <w:r w:rsidRPr="00123034">
              <w:t>09-10</w:t>
            </w:r>
          </w:p>
        </w:tc>
        <w:tc>
          <w:tcPr>
            <w:tcW w:w="530" w:type="pct"/>
            <w:hideMark/>
          </w:tcPr>
          <w:p w:rsidR="00123034" w:rsidRPr="00123034" w:rsidRDefault="00123034" w:rsidP="008B39D1">
            <w:pPr>
              <w:pStyle w:val="AERtabletextright"/>
              <w:keepNext/>
              <w:cnfStyle w:val="100000000000" w:firstRow="1" w:lastRow="0" w:firstColumn="0" w:lastColumn="0" w:oddVBand="0" w:evenVBand="0" w:oddHBand="0" w:evenHBand="0" w:firstRowFirstColumn="0" w:firstRowLastColumn="0" w:lastRowFirstColumn="0" w:lastRowLastColumn="0"/>
            </w:pPr>
            <w:r w:rsidRPr="00413233">
              <w:t>20</w:t>
            </w:r>
            <w:r w:rsidRPr="00123034">
              <w:t>10-11</w:t>
            </w:r>
          </w:p>
        </w:tc>
        <w:tc>
          <w:tcPr>
            <w:tcW w:w="530" w:type="pct"/>
            <w:hideMark/>
          </w:tcPr>
          <w:p w:rsidR="00123034" w:rsidRPr="00123034" w:rsidRDefault="00123034" w:rsidP="008B39D1">
            <w:pPr>
              <w:pStyle w:val="AERtabletextright"/>
              <w:keepNext/>
              <w:cnfStyle w:val="100000000000" w:firstRow="1" w:lastRow="0" w:firstColumn="0" w:lastColumn="0" w:oddVBand="0" w:evenVBand="0" w:oddHBand="0" w:evenHBand="0" w:firstRowFirstColumn="0" w:firstRowLastColumn="0" w:lastRowFirstColumn="0" w:lastRowLastColumn="0"/>
            </w:pPr>
            <w:r w:rsidRPr="00413233">
              <w:t>20</w:t>
            </w:r>
            <w:r w:rsidRPr="00123034">
              <w:t>11-12</w:t>
            </w:r>
          </w:p>
        </w:tc>
        <w:tc>
          <w:tcPr>
            <w:tcW w:w="530" w:type="pct"/>
            <w:hideMark/>
          </w:tcPr>
          <w:p w:rsidR="00123034" w:rsidRPr="00123034" w:rsidRDefault="00123034" w:rsidP="008B39D1">
            <w:pPr>
              <w:pStyle w:val="AERtabletextright"/>
              <w:keepNext/>
              <w:cnfStyle w:val="100000000000" w:firstRow="1" w:lastRow="0" w:firstColumn="0" w:lastColumn="0" w:oddVBand="0" w:evenVBand="0" w:oddHBand="0" w:evenHBand="0" w:firstRowFirstColumn="0" w:firstRowLastColumn="0" w:lastRowFirstColumn="0" w:lastRowLastColumn="0"/>
            </w:pPr>
            <w:r w:rsidRPr="00413233">
              <w:t>20</w:t>
            </w:r>
            <w:r w:rsidRPr="00123034">
              <w:t>12-13</w:t>
            </w:r>
          </w:p>
        </w:tc>
        <w:tc>
          <w:tcPr>
            <w:tcW w:w="530" w:type="pct"/>
            <w:hideMark/>
          </w:tcPr>
          <w:p w:rsidR="00123034" w:rsidRPr="00123034" w:rsidRDefault="00123034" w:rsidP="008B39D1">
            <w:pPr>
              <w:pStyle w:val="AERtabletextright"/>
              <w:keepNext/>
              <w:cnfStyle w:val="100000000000" w:firstRow="1" w:lastRow="0" w:firstColumn="0" w:lastColumn="0" w:oddVBand="0" w:evenVBand="0" w:oddHBand="0" w:evenHBand="0" w:firstRowFirstColumn="0" w:firstRowLastColumn="0" w:lastRowFirstColumn="0" w:lastRowLastColumn="0"/>
            </w:pPr>
            <w:r w:rsidRPr="00413233">
              <w:t>201</w:t>
            </w:r>
            <w:r w:rsidRPr="00123034">
              <w:t>3-14</w:t>
            </w:r>
          </w:p>
        </w:tc>
        <w:tc>
          <w:tcPr>
            <w:tcW w:w="528" w:type="pct"/>
          </w:tcPr>
          <w:p w:rsidR="00123034" w:rsidRPr="00123034" w:rsidRDefault="00123034" w:rsidP="008B39D1">
            <w:pPr>
              <w:pStyle w:val="AERtabletextright"/>
              <w:keepNext/>
              <w:cnfStyle w:val="100000000000" w:firstRow="1" w:lastRow="0" w:firstColumn="0" w:lastColumn="0" w:oddVBand="0" w:evenVBand="0" w:oddHBand="0" w:evenHBand="0" w:firstRowFirstColumn="0" w:firstRowLastColumn="0" w:lastRowFirstColumn="0" w:lastRowLastColumn="0"/>
            </w:pPr>
            <w:r w:rsidRPr="00413233">
              <w:t>201</w:t>
            </w:r>
            <w:r w:rsidRPr="00123034">
              <w:t>4-15</w:t>
            </w:r>
          </w:p>
        </w:tc>
      </w:tr>
      <w:tr w:rsidR="00A67FA7" w:rsidRPr="004F416F" w:rsidTr="00A67FA7">
        <w:trPr>
          <w:trHeight w:val="300"/>
        </w:trPr>
        <w:tc>
          <w:tcPr>
            <w:cnfStyle w:val="001000000000" w:firstRow="0" w:lastRow="0" w:firstColumn="1" w:lastColumn="0" w:oddVBand="0" w:evenVBand="0" w:oddHBand="0" w:evenHBand="0" w:firstRowFirstColumn="0" w:firstRowLastColumn="0" w:lastRowFirstColumn="0" w:lastRowLastColumn="0"/>
            <w:tcW w:w="1823" w:type="pct"/>
            <w:vAlign w:val="bottom"/>
            <w:hideMark/>
          </w:tcPr>
          <w:p w:rsidR="00A67FA7" w:rsidRPr="00A67FA7" w:rsidRDefault="00A67FA7" w:rsidP="008B39D1">
            <w:pPr>
              <w:keepNext/>
            </w:pPr>
            <w:r w:rsidRPr="00A67FA7">
              <w:t>Connections/Market expansion</w:t>
            </w:r>
          </w:p>
        </w:tc>
        <w:tc>
          <w:tcPr>
            <w:tcW w:w="530" w:type="pct"/>
            <w:vAlign w:val="top"/>
          </w:tcPr>
          <w:p w:rsidR="00A67FA7" w:rsidRPr="00A67FA7" w:rsidRDefault="00A67FA7" w:rsidP="008B39D1">
            <w:pPr>
              <w:keepNext/>
              <w:cnfStyle w:val="000000000000" w:firstRow="0" w:lastRow="0" w:firstColumn="0" w:lastColumn="0" w:oddVBand="0" w:evenVBand="0" w:oddHBand="0" w:evenHBand="0" w:firstRowFirstColumn="0" w:firstRowLastColumn="0" w:lastRowFirstColumn="0" w:lastRowLastColumn="0"/>
            </w:pPr>
            <w:r w:rsidRPr="00A67FA7">
              <w:t>46.3</w:t>
            </w:r>
          </w:p>
        </w:tc>
        <w:tc>
          <w:tcPr>
            <w:tcW w:w="530" w:type="pct"/>
            <w:vAlign w:val="top"/>
          </w:tcPr>
          <w:p w:rsidR="00A67FA7" w:rsidRPr="00A67FA7" w:rsidRDefault="00A67FA7" w:rsidP="008B39D1">
            <w:pPr>
              <w:keepNext/>
              <w:cnfStyle w:val="000000000000" w:firstRow="0" w:lastRow="0" w:firstColumn="0" w:lastColumn="0" w:oddVBand="0" w:evenVBand="0" w:oddHBand="0" w:evenHBand="0" w:firstRowFirstColumn="0" w:firstRowLastColumn="0" w:lastRowFirstColumn="0" w:lastRowLastColumn="0"/>
            </w:pPr>
            <w:r w:rsidRPr="00A67FA7">
              <w:t>51.3</w:t>
            </w:r>
          </w:p>
        </w:tc>
        <w:tc>
          <w:tcPr>
            <w:tcW w:w="530" w:type="pct"/>
            <w:vAlign w:val="top"/>
          </w:tcPr>
          <w:p w:rsidR="00A67FA7" w:rsidRPr="00A67FA7" w:rsidRDefault="00A67FA7" w:rsidP="008B39D1">
            <w:pPr>
              <w:keepNext/>
              <w:cnfStyle w:val="000000000000" w:firstRow="0" w:lastRow="0" w:firstColumn="0" w:lastColumn="0" w:oddVBand="0" w:evenVBand="0" w:oddHBand="0" w:evenHBand="0" w:firstRowFirstColumn="0" w:firstRowLastColumn="0" w:lastRowFirstColumn="0" w:lastRowLastColumn="0"/>
            </w:pPr>
            <w:r w:rsidRPr="00A67FA7">
              <w:t>55.3</w:t>
            </w:r>
          </w:p>
        </w:tc>
        <w:tc>
          <w:tcPr>
            <w:tcW w:w="530" w:type="pct"/>
            <w:vAlign w:val="top"/>
          </w:tcPr>
          <w:p w:rsidR="00A67FA7" w:rsidRPr="00A67FA7" w:rsidRDefault="00A67FA7" w:rsidP="008B39D1">
            <w:pPr>
              <w:keepNext/>
              <w:cnfStyle w:val="000000000000" w:firstRow="0" w:lastRow="0" w:firstColumn="0" w:lastColumn="0" w:oddVBand="0" w:evenVBand="0" w:oddHBand="0" w:evenHBand="0" w:firstRowFirstColumn="0" w:firstRowLastColumn="0" w:lastRowFirstColumn="0" w:lastRowLastColumn="0"/>
            </w:pPr>
            <w:r w:rsidRPr="00A67FA7">
              <w:t>62.6</w:t>
            </w:r>
          </w:p>
        </w:tc>
        <w:tc>
          <w:tcPr>
            <w:tcW w:w="530" w:type="pct"/>
            <w:vAlign w:val="top"/>
          </w:tcPr>
          <w:p w:rsidR="00A67FA7" w:rsidRPr="00A67FA7" w:rsidRDefault="00A67FA7" w:rsidP="008B39D1">
            <w:pPr>
              <w:keepNext/>
              <w:cnfStyle w:val="000000000000" w:firstRow="0" w:lastRow="0" w:firstColumn="0" w:lastColumn="0" w:oddVBand="0" w:evenVBand="0" w:oddHBand="0" w:evenHBand="0" w:firstRowFirstColumn="0" w:firstRowLastColumn="0" w:lastRowFirstColumn="0" w:lastRowLastColumn="0"/>
            </w:pPr>
            <w:r w:rsidRPr="00A67FA7">
              <w:t>78.6</w:t>
            </w:r>
          </w:p>
        </w:tc>
        <w:tc>
          <w:tcPr>
            <w:tcW w:w="528" w:type="pct"/>
            <w:vAlign w:val="top"/>
          </w:tcPr>
          <w:p w:rsidR="00A67FA7" w:rsidRPr="00A67FA7" w:rsidRDefault="00A67FA7" w:rsidP="008B39D1">
            <w:pPr>
              <w:keepNext/>
              <w:cnfStyle w:val="000000000000" w:firstRow="0" w:lastRow="0" w:firstColumn="0" w:lastColumn="0" w:oddVBand="0" w:evenVBand="0" w:oddHBand="0" w:evenHBand="0" w:firstRowFirstColumn="0" w:firstRowLastColumn="0" w:lastRowFirstColumn="0" w:lastRowLastColumn="0"/>
            </w:pPr>
            <w:r w:rsidRPr="00A67FA7">
              <w:t>75.0</w:t>
            </w:r>
          </w:p>
        </w:tc>
      </w:tr>
      <w:tr w:rsidR="00A67FA7" w:rsidRPr="004F416F" w:rsidTr="00A67FA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3" w:type="pct"/>
            <w:vAlign w:val="bottom"/>
            <w:hideMark/>
          </w:tcPr>
          <w:p w:rsidR="00A67FA7" w:rsidRPr="00A67FA7" w:rsidRDefault="00A67FA7" w:rsidP="008B39D1">
            <w:pPr>
              <w:keepNext/>
            </w:pPr>
            <w:r w:rsidRPr="00A67FA7">
              <w:t>Augmentation/Growth capacity</w:t>
            </w:r>
          </w:p>
        </w:tc>
        <w:tc>
          <w:tcPr>
            <w:tcW w:w="530" w:type="pct"/>
            <w:vAlign w:val="top"/>
          </w:tcPr>
          <w:p w:rsidR="00A67FA7" w:rsidRPr="00A67FA7" w:rsidRDefault="00A67FA7" w:rsidP="008B39D1">
            <w:pPr>
              <w:keepNext/>
              <w:cnfStyle w:val="000000010000" w:firstRow="0" w:lastRow="0" w:firstColumn="0" w:lastColumn="0" w:oddVBand="0" w:evenVBand="0" w:oddHBand="0" w:evenHBand="1" w:firstRowFirstColumn="0" w:firstRowLastColumn="0" w:lastRowFirstColumn="0" w:lastRowLastColumn="0"/>
            </w:pPr>
            <w:r w:rsidRPr="00A67FA7">
              <w:t>11.6</w:t>
            </w:r>
          </w:p>
        </w:tc>
        <w:tc>
          <w:tcPr>
            <w:tcW w:w="530" w:type="pct"/>
            <w:vAlign w:val="top"/>
          </w:tcPr>
          <w:p w:rsidR="00A67FA7" w:rsidRPr="00A67FA7" w:rsidRDefault="00A67FA7" w:rsidP="008B39D1">
            <w:pPr>
              <w:keepNext/>
              <w:cnfStyle w:val="000000010000" w:firstRow="0" w:lastRow="0" w:firstColumn="0" w:lastColumn="0" w:oddVBand="0" w:evenVBand="0" w:oddHBand="0" w:evenHBand="1" w:firstRowFirstColumn="0" w:firstRowLastColumn="0" w:lastRowFirstColumn="0" w:lastRowLastColumn="0"/>
            </w:pPr>
            <w:r w:rsidRPr="00A67FA7">
              <w:t>31.6</w:t>
            </w:r>
          </w:p>
        </w:tc>
        <w:tc>
          <w:tcPr>
            <w:tcW w:w="530" w:type="pct"/>
            <w:vAlign w:val="top"/>
          </w:tcPr>
          <w:p w:rsidR="00A67FA7" w:rsidRPr="00A67FA7" w:rsidRDefault="00A67FA7" w:rsidP="008B39D1">
            <w:pPr>
              <w:keepNext/>
              <w:cnfStyle w:val="000000010000" w:firstRow="0" w:lastRow="0" w:firstColumn="0" w:lastColumn="0" w:oddVBand="0" w:evenVBand="0" w:oddHBand="0" w:evenHBand="1" w:firstRowFirstColumn="0" w:firstRowLastColumn="0" w:lastRowFirstColumn="0" w:lastRowLastColumn="0"/>
            </w:pPr>
            <w:r w:rsidRPr="00A67FA7">
              <w:t>28.9</w:t>
            </w:r>
          </w:p>
        </w:tc>
        <w:tc>
          <w:tcPr>
            <w:tcW w:w="530" w:type="pct"/>
            <w:vAlign w:val="top"/>
          </w:tcPr>
          <w:p w:rsidR="00A67FA7" w:rsidRPr="00A67FA7" w:rsidRDefault="00A67FA7" w:rsidP="008B39D1">
            <w:pPr>
              <w:keepNext/>
              <w:cnfStyle w:val="000000010000" w:firstRow="0" w:lastRow="0" w:firstColumn="0" w:lastColumn="0" w:oddVBand="0" w:evenVBand="0" w:oddHBand="0" w:evenHBand="1" w:firstRowFirstColumn="0" w:firstRowLastColumn="0" w:lastRowFirstColumn="0" w:lastRowLastColumn="0"/>
            </w:pPr>
            <w:r w:rsidRPr="00A67FA7">
              <w:t>6.0</w:t>
            </w:r>
          </w:p>
        </w:tc>
        <w:tc>
          <w:tcPr>
            <w:tcW w:w="530" w:type="pct"/>
            <w:vAlign w:val="top"/>
          </w:tcPr>
          <w:p w:rsidR="00A67FA7" w:rsidRPr="00A67FA7" w:rsidRDefault="00A67FA7" w:rsidP="008B39D1">
            <w:pPr>
              <w:keepNext/>
              <w:cnfStyle w:val="000000010000" w:firstRow="0" w:lastRow="0" w:firstColumn="0" w:lastColumn="0" w:oddVBand="0" w:evenVBand="0" w:oddHBand="0" w:evenHBand="1" w:firstRowFirstColumn="0" w:firstRowLastColumn="0" w:lastRowFirstColumn="0" w:lastRowLastColumn="0"/>
            </w:pPr>
            <w:r w:rsidRPr="00A67FA7">
              <w:t>7.0</w:t>
            </w:r>
          </w:p>
        </w:tc>
        <w:tc>
          <w:tcPr>
            <w:tcW w:w="528" w:type="pct"/>
            <w:vAlign w:val="top"/>
          </w:tcPr>
          <w:p w:rsidR="00A67FA7" w:rsidRPr="00A67FA7" w:rsidRDefault="00A67FA7" w:rsidP="008B39D1">
            <w:pPr>
              <w:keepNext/>
              <w:cnfStyle w:val="000000010000" w:firstRow="0" w:lastRow="0" w:firstColumn="0" w:lastColumn="0" w:oddVBand="0" w:evenVBand="0" w:oddHBand="0" w:evenHBand="1" w:firstRowFirstColumn="0" w:firstRowLastColumn="0" w:lastRowFirstColumn="0" w:lastRowLastColumn="0"/>
            </w:pPr>
            <w:r w:rsidRPr="00A67FA7">
              <w:t>6.8</w:t>
            </w:r>
          </w:p>
        </w:tc>
      </w:tr>
      <w:tr w:rsidR="00A67FA7" w:rsidRPr="004F416F" w:rsidTr="00A67FA7">
        <w:trPr>
          <w:trHeight w:val="300"/>
        </w:trPr>
        <w:tc>
          <w:tcPr>
            <w:cnfStyle w:val="001000000000" w:firstRow="0" w:lastRow="0" w:firstColumn="1" w:lastColumn="0" w:oddVBand="0" w:evenVBand="0" w:oddHBand="0" w:evenHBand="0" w:firstRowFirstColumn="0" w:firstRowLastColumn="0" w:lastRowFirstColumn="0" w:lastRowLastColumn="0"/>
            <w:tcW w:w="1823" w:type="pct"/>
            <w:vAlign w:val="bottom"/>
            <w:hideMark/>
          </w:tcPr>
          <w:p w:rsidR="00A67FA7" w:rsidRPr="00A67FA7" w:rsidRDefault="00A67FA7" w:rsidP="00A67FA7">
            <w:r w:rsidRPr="00A67FA7">
              <w:t>Mains and service renewal</w:t>
            </w:r>
          </w:p>
        </w:tc>
        <w:tc>
          <w:tcPr>
            <w:tcW w:w="530" w:type="pct"/>
            <w:vAlign w:val="top"/>
          </w:tcPr>
          <w:p w:rsidR="00A67FA7" w:rsidRPr="00A67FA7" w:rsidRDefault="00A67FA7" w:rsidP="00552174">
            <w:pPr>
              <w:cnfStyle w:val="000000000000" w:firstRow="0" w:lastRow="0" w:firstColumn="0" w:lastColumn="0" w:oddVBand="0" w:evenVBand="0" w:oddHBand="0" w:evenHBand="0" w:firstRowFirstColumn="0" w:firstRowLastColumn="0" w:lastRowFirstColumn="0" w:lastRowLastColumn="0"/>
            </w:pPr>
            <w:r w:rsidRPr="00A67FA7">
              <w:t>0.8</w:t>
            </w:r>
          </w:p>
        </w:tc>
        <w:tc>
          <w:tcPr>
            <w:tcW w:w="530" w:type="pct"/>
            <w:vAlign w:val="top"/>
          </w:tcPr>
          <w:p w:rsidR="00A67FA7" w:rsidRPr="00A67FA7" w:rsidRDefault="00A67FA7" w:rsidP="00552174">
            <w:pPr>
              <w:cnfStyle w:val="000000000000" w:firstRow="0" w:lastRow="0" w:firstColumn="0" w:lastColumn="0" w:oddVBand="0" w:evenVBand="0" w:oddHBand="0" w:evenHBand="0" w:firstRowFirstColumn="0" w:firstRowLastColumn="0" w:lastRowFirstColumn="0" w:lastRowLastColumn="0"/>
            </w:pPr>
            <w:r w:rsidRPr="00A67FA7">
              <w:t>0.1</w:t>
            </w:r>
          </w:p>
        </w:tc>
        <w:tc>
          <w:tcPr>
            <w:tcW w:w="530" w:type="pct"/>
            <w:vAlign w:val="top"/>
          </w:tcPr>
          <w:p w:rsidR="00A67FA7" w:rsidRPr="00A67FA7" w:rsidRDefault="00A67FA7" w:rsidP="00552174">
            <w:pPr>
              <w:cnfStyle w:val="000000000000" w:firstRow="0" w:lastRow="0" w:firstColumn="0" w:lastColumn="0" w:oddVBand="0" w:evenVBand="0" w:oddHBand="0" w:evenHBand="0" w:firstRowFirstColumn="0" w:firstRowLastColumn="0" w:lastRowFirstColumn="0" w:lastRowLastColumn="0"/>
            </w:pPr>
            <w:r w:rsidRPr="00A67FA7">
              <w:t>5.0</w:t>
            </w:r>
          </w:p>
        </w:tc>
        <w:tc>
          <w:tcPr>
            <w:tcW w:w="530" w:type="pct"/>
            <w:vAlign w:val="top"/>
          </w:tcPr>
          <w:p w:rsidR="00A67FA7" w:rsidRPr="00A67FA7" w:rsidRDefault="00A67FA7" w:rsidP="00552174">
            <w:pPr>
              <w:cnfStyle w:val="000000000000" w:firstRow="0" w:lastRow="0" w:firstColumn="0" w:lastColumn="0" w:oddVBand="0" w:evenVBand="0" w:oddHBand="0" w:evenHBand="0" w:firstRowFirstColumn="0" w:firstRowLastColumn="0" w:lastRowFirstColumn="0" w:lastRowLastColumn="0"/>
            </w:pPr>
            <w:r w:rsidRPr="00A67FA7">
              <w:t>4.2</w:t>
            </w:r>
          </w:p>
        </w:tc>
        <w:tc>
          <w:tcPr>
            <w:tcW w:w="530" w:type="pct"/>
            <w:vAlign w:val="top"/>
          </w:tcPr>
          <w:p w:rsidR="00A67FA7" w:rsidRPr="00A67FA7" w:rsidRDefault="00A67FA7" w:rsidP="00552174">
            <w:pPr>
              <w:cnfStyle w:val="000000000000" w:firstRow="0" w:lastRow="0" w:firstColumn="0" w:lastColumn="0" w:oddVBand="0" w:evenVBand="0" w:oddHBand="0" w:evenHBand="0" w:firstRowFirstColumn="0" w:firstRowLastColumn="0" w:lastRowFirstColumn="0" w:lastRowLastColumn="0"/>
            </w:pPr>
            <w:r w:rsidRPr="00A67FA7">
              <w:t>7.7</w:t>
            </w:r>
          </w:p>
        </w:tc>
        <w:tc>
          <w:tcPr>
            <w:tcW w:w="528" w:type="pct"/>
            <w:vAlign w:val="top"/>
          </w:tcPr>
          <w:p w:rsidR="00A67FA7" w:rsidRPr="00A67FA7" w:rsidRDefault="00A67FA7" w:rsidP="00552174">
            <w:pPr>
              <w:cnfStyle w:val="000000000000" w:firstRow="0" w:lastRow="0" w:firstColumn="0" w:lastColumn="0" w:oddVBand="0" w:evenVBand="0" w:oddHBand="0" w:evenHBand="0" w:firstRowFirstColumn="0" w:firstRowLastColumn="0" w:lastRowFirstColumn="0" w:lastRowLastColumn="0"/>
            </w:pPr>
            <w:r w:rsidRPr="00A67FA7">
              <w:t>7.0</w:t>
            </w:r>
          </w:p>
        </w:tc>
      </w:tr>
      <w:tr w:rsidR="00A67FA7" w:rsidRPr="004F416F" w:rsidTr="00A67FA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3" w:type="pct"/>
            <w:vAlign w:val="bottom"/>
            <w:hideMark/>
          </w:tcPr>
          <w:p w:rsidR="00A67FA7" w:rsidRPr="00A67FA7" w:rsidRDefault="00A67FA7" w:rsidP="00A67FA7">
            <w:r w:rsidRPr="00A67FA7">
              <w:t>Facilities renewal and upgrade</w:t>
            </w:r>
          </w:p>
        </w:tc>
        <w:tc>
          <w:tcPr>
            <w:tcW w:w="530" w:type="pct"/>
            <w:vAlign w:val="top"/>
          </w:tcPr>
          <w:p w:rsidR="00A67FA7" w:rsidRPr="00A67FA7" w:rsidRDefault="00A67FA7" w:rsidP="00552174">
            <w:pPr>
              <w:cnfStyle w:val="000000010000" w:firstRow="0" w:lastRow="0" w:firstColumn="0" w:lastColumn="0" w:oddVBand="0" w:evenVBand="0" w:oddHBand="0" w:evenHBand="1" w:firstRowFirstColumn="0" w:firstRowLastColumn="0" w:lastRowFirstColumn="0" w:lastRowLastColumn="0"/>
            </w:pPr>
            <w:r w:rsidRPr="00A67FA7">
              <w:t>9.0</w:t>
            </w:r>
          </w:p>
        </w:tc>
        <w:tc>
          <w:tcPr>
            <w:tcW w:w="530" w:type="pct"/>
            <w:vAlign w:val="top"/>
          </w:tcPr>
          <w:p w:rsidR="00A67FA7" w:rsidRPr="00A67FA7" w:rsidRDefault="00A67FA7" w:rsidP="00552174">
            <w:pPr>
              <w:cnfStyle w:val="000000010000" w:firstRow="0" w:lastRow="0" w:firstColumn="0" w:lastColumn="0" w:oddVBand="0" w:evenVBand="0" w:oddHBand="0" w:evenHBand="1" w:firstRowFirstColumn="0" w:firstRowLastColumn="0" w:lastRowFirstColumn="0" w:lastRowLastColumn="0"/>
            </w:pPr>
            <w:r w:rsidRPr="00A67FA7">
              <w:t>7.9</w:t>
            </w:r>
          </w:p>
        </w:tc>
        <w:tc>
          <w:tcPr>
            <w:tcW w:w="530" w:type="pct"/>
            <w:vAlign w:val="top"/>
          </w:tcPr>
          <w:p w:rsidR="00A67FA7" w:rsidRPr="00A67FA7" w:rsidRDefault="00A67FA7" w:rsidP="00552174">
            <w:pPr>
              <w:cnfStyle w:val="000000010000" w:firstRow="0" w:lastRow="0" w:firstColumn="0" w:lastColumn="0" w:oddVBand="0" w:evenVBand="0" w:oddHBand="0" w:evenHBand="1" w:firstRowFirstColumn="0" w:firstRowLastColumn="0" w:lastRowFirstColumn="0" w:lastRowLastColumn="0"/>
            </w:pPr>
            <w:r w:rsidRPr="00A67FA7">
              <w:t>17.9</w:t>
            </w:r>
          </w:p>
        </w:tc>
        <w:tc>
          <w:tcPr>
            <w:tcW w:w="530" w:type="pct"/>
            <w:vAlign w:val="top"/>
          </w:tcPr>
          <w:p w:rsidR="00A67FA7" w:rsidRPr="00A67FA7" w:rsidRDefault="00A67FA7" w:rsidP="00552174">
            <w:pPr>
              <w:cnfStyle w:val="000000010000" w:firstRow="0" w:lastRow="0" w:firstColumn="0" w:lastColumn="0" w:oddVBand="0" w:evenVBand="0" w:oddHBand="0" w:evenHBand="1" w:firstRowFirstColumn="0" w:firstRowLastColumn="0" w:lastRowFirstColumn="0" w:lastRowLastColumn="0"/>
            </w:pPr>
            <w:r w:rsidRPr="00A67FA7">
              <w:t>10.5</w:t>
            </w:r>
          </w:p>
        </w:tc>
        <w:tc>
          <w:tcPr>
            <w:tcW w:w="530" w:type="pct"/>
            <w:vAlign w:val="top"/>
          </w:tcPr>
          <w:p w:rsidR="00A67FA7" w:rsidRPr="00A67FA7" w:rsidRDefault="00A67FA7" w:rsidP="00552174">
            <w:pPr>
              <w:cnfStyle w:val="000000010000" w:firstRow="0" w:lastRow="0" w:firstColumn="0" w:lastColumn="0" w:oddVBand="0" w:evenVBand="0" w:oddHBand="0" w:evenHBand="1" w:firstRowFirstColumn="0" w:firstRowLastColumn="0" w:lastRowFirstColumn="0" w:lastRowLastColumn="0"/>
            </w:pPr>
            <w:r w:rsidRPr="00A67FA7">
              <w:t>10.7</w:t>
            </w:r>
          </w:p>
        </w:tc>
        <w:tc>
          <w:tcPr>
            <w:tcW w:w="528" w:type="pct"/>
            <w:vAlign w:val="top"/>
          </w:tcPr>
          <w:p w:rsidR="00A67FA7" w:rsidRPr="00A67FA7" w:rsidRDefault="00A67FA7" w:rsidP="00552174">
            <w:pPr>
              <w:cnfStyle w:val="000000010000" w:firstRow="0" w:lastRow="0" w:firstColumn="0" w:lastColumn="0" w:oddVBand="0" w:evenVBand="0" w:oddHBand="0" w:evenHBand="1" w:firstRowFirstColumn="0" w:firstRowLastColumn="0" w:lastRowFirstColumn="0" w:lastRowLastColumn="0"/>
            </w:pPr>
            <w:r w:rsidRPr="00A67FA7">
              <w:t>21.2</w:t>
            </w:r>
          </w:p>
        </w:tc>
      </w:tr>
      <w:tr w:rsidR="00A67FA7" w:rsidRPr="004F416F" w:rsidTr="00A67FA7">
        <w:trPr>
          <w:trHeight w:val="300"/>
        </w:trPr>
        <w:tc>
          <w:tcPr>
            <w:cnfStyle w:val="001000000000" w:firstRow="0" w:lastRow="0" w:firstColumn="1" w:lastColumn="0" w:oddVBand="0" w:evenVBand="0" w:oddHBand="0" w:evenHBand="0" w:firstRowFirstColumn="0" w:firstRowLastColumn="0" w:lastRowFirstColumn="0" w:lastRowLastColumn="0"/>
            <w:tcW w:w="1823" w:type="pct"/>
            <w:vAlign w:val="bottom"/>
            <w:hideMark/>
          </w:tcPr>
          <w:p w:rsidR="00A67FA7" w:rsidRPr="00A67FA7" w:rsidRDefault="00A67FA7" w:rsidP="00A67FA7">
            <w:r w:rsidRPr="00A67FA7">
              <w:t>SCADA</w:t>
            </w:r>
          </w:p>
        </w:tc>
        <w:tc>
          <w:tcPr>
            <w:tcW w:w="530" w:type="pct"/>
            <w:vAlign w:val="top"/>
          </w:tcPr>
          <w:p w:rsidR="00A67FA7" w:rsidRPr="00A67FA7" w:rsidRDefault="00A67FA7" w:rsidP="00552174">
            <w:pPr>
              <w:cnfStyle w:val="000000000000" w:firstRow="0" w:lastRow="0" w:firstColumn="0" w:lastColumn="0" w:oddVBand="0" w:evenVBand="0" w:oddHBand="0" w:evenHBand="0" w:firstRowFirstColumn="0" w:firstRowLastColumn="0" w:lastRowFirstColumn="0" w:lastRowLastColumn="0"/>
            </w:pPr>
            <w:r w:rsidRPr="00A67FA7">
              <w:t>0.4</w:t>
            </w:r>
          </w:p>
        </w:tc>
        <w:tc>
          <w:tcPr>
            <w:tcW w:w="530" w:type="pct"/>
            <w:vAlign w:val="top"/>
          </w:tcPr>
          <w:p w:rsidR="00A67FA7" w:rsidRPr="00A67FA7" w:rsidRDefault="00A67FA7" w:rsidP="00552174">
            <w:pPr>
              <w:cnfStyle w:val="000000000000" w:firstRow="0" w:lastRow="0" w:firstColumn="0" w:lastColumn="0" w:oddVBand="0" w:evenVBand="0" w:oddHBand="0" w:evenHBand="0" w:firstRowFirstColumn="0" w:firstRowLastColumn="0" w:lastRowFirstColumn="0" w:lastRowLastColumn="0"/>
            </w:pPr>
            <w:r w:rsidRPr="00A67FA7">
              <w:t>0.3</w:t>
            </w:r>
          </w:p>
        </w:tc>
        <w:tc>
          <w:tcPr>
            <w:tcW w:w="530" w:type="pct"/>
            <w:vAlign w:val="top"/>
          </w:tcPr>
          <w:p w:rsidR="00A67FA7" w:rsidRPr="00A67FA7" w:rsidRDefault="00A67FA7" w:rsidP="00552174">
            <w:pPr>
              <w:cnfStyle w:val="000000000000" w:firstRow="0" w:lastRow="0" w:firstColumn="0" w:lastColumn="0" w:oddVBand="0" w:evenVBand="0" w:oddHBand="0" w:evenHBand="0" w:firstRowFirstColumn="0" w:firstRowLastColumn="0" w:lastRowFirstColumn="0" w:lastRowLastColumn="0"/>
            </w:pPr>
            <w:r w:rsidRPr="00A67FA7">
              <w:t>0.2</w:t>
            </w:r>
          </w:p>
        </w:tc>
        <w:tc>
          <w:tcPr>
            <w:tcW w:w="530" w:type="pct"/>
            <w:vAlign w:val="top"/>
          </w:tcPr>
          <w:p w:rsidR="00A67FA7" w:rsidRPr="00A67FA7" w:rsidRDefault="00A67FA7" w:rsidP="00552174">
            <w:pPr>
              <w:cnfStyle w:val="000000000000" w:firstRow="0" w:lastRow="0" w:firstColumn="0" w:lastColumn="0" w:oddVBand="0" w:evenVBand="0" w:oddHBand="0" w:evenHBand="0" w:firstRowFirstColumn="0" w:firstRowLastColumn="0" w:lastRowFirstColumn="0" w:lastRowLastColumn="0"/>
            </w:pPr>
            <w:r w:rsidRPr="00A67FA7">
              <w:t>1.2</w:t>
            </w:r>
          </w:p>
        </w:tc>
        <w:tc>
          <w:tcPr>
            <w:tcW w:w="530" w:type="pct"/>
            <w:vAlign w:val="top"/>
          </w:tcPr>
          <w:p w:rsidR="00A67FA7" w:rsidRPr="00A67FA7" w:rsidRDefault="00A67FA7" w:rsidP="00552174">
            <w:pPr>
              <w:cnfStyle w:val="000000000000" w:firstRow="0" w:lastRow="0" w:firstColumn="0" w:lastColumn="0" w:oddVBand="0" w:evenVBand="0" w:oddHBand="0" w:evenHBand="0" w:firstRowFirstColumn="0" w:firstRowLastColumn="0" w:lastRowFirstColumn="0" w:lastRowLastColumn="0"/>
            </w:pPr>
            <w:r w:rsidRPr="00A67FA7">
              <w:t>0.8</w:t>
            </w:r>
          </w:p>
        </w:tc>
        <w:tc>
          <w:tcPr>
            <w:tcW w:w="528" w:type="pct"/>
            <w:vAlign w:val="top"/>
          </w:tcPr>
          <w:p w:rsidR="00A67FA7" w:rsidRPr="00A67FA7" w:rsidRDefault="00A67FA7" w:rsidP="00552174">
            <w:pPr>
              <w:cnfStyle w:val="000000000000" w:firstRow="0" w:lastRow="0" w:firstColumn="0" w:lastColumn="0" w:oddVBand="0" w:evenVBand="0" w:oddHBand="0" w:evenHBand="0" w:firstRowFirstColumn="0" w:firstRowLastColumn="0" w:lastRowFirstColumn="0" w:lastRowLastColumn="0"/>
            </w:pPr>
            <w:r w:rsidRPr="00A67FA7">
              <w:t>1.0</w:t>
            </w:r>
          </w:p>
        </w:tc>
      </w:tr>
      <w:tr w:rsidR="00A67FA7" w:rsidRPr="004F416F" w:rsidTr="00A67FA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3" w:type="pct"/>
            <w:vAlign w:val="bottom"/>
            <w:hideMark/>
          </w:tcPr>
          <w:p w:rsidR="00A67FA7" w:rsidRPr="00A67FA7" w:rsidRDefault="00A67FA7" w:rsidP="00A67FA7">
            <w:r w:rsidRPr="00A67FA7">
              <w:t>Meter renewal and upgrade</w:t>
            </w:r>
          </w:p>
        </w:tc>
        <w:tc>
          <w:tcPr>
            <w:tcW w:w="530" w:type="pct"/>
            <w:vAlign w:val="top"/>
          </w:tcPr>
          <w:p w:rsidR="00A67FA7" w:rsidRPr="00A67FA7" w:rsidRDefault="00A67FA7" w:rsidP="00552174">
            <w:pPr>
              <w:cnfStyle w:val="000000010000" w:firstRow="0" w:lastRow="0" w:firstColumn="0" w:lastColumn="0" w:oddVBand="0" w:evenVBand="0" w:oddHBand="0" w:evenHBand="1" w:firstRowFirstColumn="0" w:firstRowLastColumn="0" w:lastRowFirstColumn="0" w:lastRowLastColumn="0"/>
            </w:pPr>
            <w:r w:rsidRPr="00A67FA7">
              <w:t>14.3</w:t>
            </w:r>
          </w:p>
        </w:tc>
        <w:tc>
          <w:tcPr>
            <w:tcW w:w="530" w:type="pct"/>
            <w:vAlign w:val="top"/>
          </w:tcPr>
          <w:p w:rsidR="00A67FA7" w:rsidRPr="00A67FA7" w:rsidRDefault="00A67FA7" w:rsidP="00552174">
            <w:pPr>
              <w:cnfStyle w:val="000000010000" w:firstRow="0" w:lastRow="0" w:firstColumn="0" w:lastColumn="0" w:oddVBand="0" w:evenVBand="0" w:oddHBand="0" w:evenHBand="1" w:firstRowFirstColumn="0" w:firstRowLastColumn="0" w:lastRowFirstColumn="0" w:lastRowLastColumn="0"/>
            </w:pPr>
            <w:r w:rsidRPr="00A67FA7">
              <w:t>13.1</w:t>
            </w:r>
          </w:p>
        </w:tc>
        <w:tc>
          <w:tcPr>
            <w:tcW w:w="530" w:type="pct"/>
            <w:vAlign w:val="top"/>
          </w:tcPr>
          <w:p w:rsidR="00A67FA7" w:rsidRPr="00A67FA7" w:rsidRDefault="00A67FA7" w:rsidP="00552174">
            <w:pPr>
              <w:cnfStyle w:val="000000010000" w:firstRow="0" w:lastRow="0" w:firstColumn="0" w:lastColumn="0" w:oddVBand="0" w:evenVBand="0" w:oddHBand="0" w:evenHBand="1" w:firstRowFirstColumn="0" w:firstRowLastColumn="0" w:lastRowFirstColumn="0" w:lastRowLastColumn="0"/>
            </w:pPr>
            <w:r w:rsidRPr="00A67FA7">
              <w:t>15.8</w:t>
            </w:r>
          </w:p>
        </w:tc>
        <w:tc>
          <w:tcPr>
            <w:tcW w:w="530" w:type="pct"/>
            <w:vAlign w:val="top"/>
          </w:tcPr>
          <w:p w:rsidR="00A67FA7" w:rsidRPr="00A67FA7" w:rsidRDefault="00A67FA7" w:rsidP="00552174">
            <w:pPr>
              <w:cnfStyle w:val="000000010000" w:firstRow="0" w:lastRow="0" w:firstColumn="0" w:lastColumn="0" w:oddVBand="0" w:evenVBand="0" w:oddHBand="0" w:evenHBand="1" w:firstRowFirstColumn="0" w:firstRowLastColumn="0" w:lastRowFirstColumn="0" w:lastRowLastColumn="0"/>
            </w:pPr>
            <w:r w:rsidRPr="00A67FA7">
              <w:t>13.3</w:t>
            </w:r>
          </w:p>
        </w:tc>
        <w:tc>
          <w:tcPr>
            <w:tcW w:w="530" w:type="pct"/>
            <w:vAlign w:val="top"/>
          </w:tcPr>
          <w:p w:rsidR="00A67FA7" w:rsidRPr="00A67FA7" w:rsidRDefault="00A67FA7" w:rsidP="00552174">
            <w:pPr>
              <w:cnfStyle w:val="000000010000" w:firstRow="0" w:lastRow="0" w:firstColumn="0" w:lastColumn="0" w:oddVBand="0" w:evenVBand="0" w:oddHBand="0" w:evenHBand="1" w:firstRowFirstColumn="0" w:firstRowLastColumn="0" w:lastRowFirstColumn="0" w:lastRowLastColumn="0"/>
            </w:pPr>
            <w:r w:rsidRPr="00A67FA7">
              <w:t>19.4</w:t>
            </w:r>
          </w:p>
        </w:tc>
        <w:tc>
          <w:tcPr>
            <w:tcW w:w="528" w:type="pct"/>
            <w:vAlign w:val="top"/>
          </w:tcPr>
          <w:p w:rsidR="00A67FA7" w:rsidRPr="00A67FA7" w:rsidRDefault="00A67FA7" w:rsidP="00552174">
            <w:pPr>
              <w:cnfStyle w:val="000000010000" w:firstRow="0" w:lastRow="0" w:firstColumn="0" w:lastColumn="0" w:oddVBand="0" w:evenVBand="0" w:oddHBand="0" w:evenHBand="1" w:firstRowFirstColumn="0" w:firstRowLastColumn="0" w:lastRowFirstColumn="0" w:lastRowLastColumn="0"/>
            </w:pPr>
            <w:r w:rsidRPr="00A67FA7">
              <w:t>25.1</w:t>
            </w:r>
          </w:p>
        </w:tc>
      </w:tr>
      <w:tr w:rsidR="00A67FA7" w:rsidRPr="004F416F" w:rsidTr="00A67FA7">
        <w:trPr>
          <w:trHeight w:val="300"/>
        </w:trPr>
        <w:tc>
          <w:tcPr>
            <w:cnfStyle w:val="001000000000" w:firstRow="0" w:lastRow="0" w:firstColumn="1" w:lastColumn="0" w:oddVBand="0" w:evenVBand="0" w:oddHBand="0" w:evenHBand="0" w:firstRowFirstColumn="0" w:firstRowLastColumn="0" w:lastRowFirstColumn="0" w:lastRowLastColumn="0"/>
            <w:tcW w:w="1823" w:type="pct"/>
            <w:vAlign w:val="bottom"/>
            <w:hideMark/>
          </w:tcPr>
          <w:p w:rsidR="00A67FA7" w:rsidRPr="00A67FA7" w:rsidRDefault="00A67FA7" w:rsidP="00A67FA7">
            <w:r w:rsidRPr="00A67FA7">
              <w:t>Government authority work</w:t>
            </w:r>
          </w:p>
        </w:tc>
        <w:tc>
          <w:tcPr>
            <w:tcW w:w="530" w:type="pct"/>
            <w:vAlign w:val="top"/>
          </w:tcPr>
          <w:p w:rsidR="00A67FA7" w:rsidRPr="00A67FA7" w:rsidRDefault="00A67FA7" w:rsidP="00552174">
            <w:pPr>
              <w:cnfStyle w:val="000000000000" w:firstRow="0" w:lastRow="0" w:firstColumn="0" w:lastColumn="0" w:oddVBand="0" w:evenVBand="0" w:oddHBand="0" w:evenHBand="0" w:firstRowFirstColumn="0" w:firstRowLastColumn="0" w:lastRowFirstColumn="0" w:lastRowLastColumn="0"/>
            </w:pPr>
            <w:r w:rsidRPr="00A67FA7">
              <w:t>0.0</w:t>
            </w:r>
          </w:p>
        </w:tc>
        <w:tc>
          <w:tcPr>
            <w:tcW w:w="530" w:type="pct"/>
            <w:vAlign w:val="top"/>
          </w:tcPr>
          <w:p w:rsidR="00A67FA7" w:rsidRPr="00A67FA7" w:rsidRDefault="00A67FA7" w:rsidP="00552174">
            <w:pPr>
              <w:cnfStyle w:val="000000000000" w:firstRow="0" w:lastRow="0" w:firstColumn="0" w:lastColumn="0" w:oddVBand="0" w:evenVBand="0" w:oddHBand="0" w:evenHBand="0" w:firstRowFirstColumn="0" w:firstRowLastColumn="0" w:lastRowFirstColumn="0" w:lastRowLastColumn="0"/>
            </w:pPr>
            <w:r w:rsidRPr="00A67FA7">
              <w:t>0.1</w:t>
            </w:r>
          </w:p>
        </w:tc>
        <w:tc>
          <w:tcPr>
            <w:tcW w:w="530" w:type="pct"/>
            <w:vAlign w:val="top"/>
          </w:tcPr>
          <w:p w:rsidR="00A67FA7" w:rsidRPr="00A67FA7" w:rsidRDefault="00A67FA7" w:rsidP="00552174">
            <w:pPr>
              <w:cnfStyle w:val="000000000000" w:firstRow="0" w:lastRow="0" w:firstColumn="0" w:lastColumn="0" w:oddVBand="0" w:evenVBand="0" w:oddHBand="0" w:evenHBand="0" w:firstRowFirstColumn="0" w:firstRowLastColumn="0" w:lastRowFirstColumn="0" w:lastRowLastColumn="0"/>
            </w:pPr>
            <w:r w:rsidRPr="00A67FA7">
              <w:t>0.1</w:t>
            </w:r>
          </w:p>
        </w:tc>
        <w:tc>
          <w:tcPr>
            <w:tcW w:w="530" w:type="pct"/>
            <w:vAlign w:val="top"/>
          </w:tcPr>
          <w:p w:rsidR="00A67FA7" w:rsidRPr="00A67FA7" w:rsidRDefault="00A67FA7" w:rsidP="00552174">
            <w:pPr>
              <w:cnfStyle w:val="000000000000" w:firstRow="0" w:lastRow="0" w:firstColumn="0" w:lastColumn="0" w:oddVBand="0" w:evenVBand="0" w:oddHBand="0" w:evenHBand="0" w:firstRowFirstColumn="0" w:firstRowLastColumn="0" w:lastRowFirstColumn="0" w:lastRowLastColumn="0"/>
            </w:pPr>
            <w:r w:rsidRPr="00A67FA7">
              <w:t>0.4</w:t>
            </w:r>
          </w:p>
        </w:tc>
        <w:tc>
          <w:tcPr>
            <w:tcW w:w="530" w:type="pct"/>
            <w:vAlign w:val="top"/>
          </w:tcPr>
          <w:p w:rsidR="00A67FA7" w:rsidRPr="00A67FA7" w:rsidRDefault="00A67FA7" w:rsidP="00552174">
            <w:pPr>
              <w:cnfStyle w:val="000000000000" w:firstRow="0" w:lastRow="0" w:firstColumn="0" w:lastColumn="0" w:oddVBand="0" w:evenVBand="0" w:oddHBand="0" w:evenHBand="0" w:firstRowFirstColumn="0" w:firstRowLastColumn="0" w:lastRowFirstColumn="0" w:lastRowLastColumn="0"/>
            </w:pPr>
            <w:r w:rsidRPr="00A67FA7">
              <w:t>0.7</w:t>
            </w:r>
          </w:p>
        </w:tc>
        <w:tc>
          <w:tcPr>
            <w:tcW w:w="528" w:type="pct"/>
            <w:vAlign w:val="top"/>
          </w:tcPr>
          <w:p w:rsidR="00A67FA7" w:rsidRPr="00A67FA7" w:rsidRDefault="00A67FA7" w:rsidP="00552174">
            <w:pPr>
              <w:cnfStyle w:val="000000000000" w:firstRow="0" w:lastRow="0" w:firstColumn="0" w:lastColumn="0" w:oddVBand="0" w:evenVBand="0" w:oddHBand="0" w:evenHBand="0" w:firstRowFirstColumn="0" w:firstRowLastColumn="0" w:lastRowFirstColumn="0" w:lastRowLastColumn="0"/>
            </w:pPr>
            <w:r w:rsidRPr="00A67FA7">
              <w:t>0.4</w:t>
            </w:r>
          </w:p>
        </w:tc>
      </w:tr>
      <w:tr w:rsidR="00A67FA7" w:rsidRPr="004F416F" w:rsidTr="00A67FA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3" w:type="pct"/>
            <w:vAlign w:val="bottom"/>
            <w:hideMark/>
          </w:tcPr>
          <w:p w:rsidR="00A67FA7" w:rsidRPr="00A67FA7" w:rsidRDefault="00A67FA7" w:rsidP="00A67FA7">
            <w:r w:rsidRPr="00A67FA7">
              <w:t>IT</w:t>
            </w:r>
          </w:p>
        </w:tc>
        <w:tc>
          <w:tcPr>
            <w:tcW w:w="530" w:type="pct"/>
            <w:vAlign w:val="top"/>
          </w:tcPr>
          <w:p w:rsidR="00A67FA7" w:rsidRPr="00A67FA7" w:rsidRDefault="00A67FA7" w:rsidP="00552174">
            <w:pPr>
              <w:cnfStyle w:val="000000010000" w:firstRow="0" w:lastRow="0" w:firstColumn="0" w:lastColumn="0" w:oddVBand="0" w:evenVBand="0" w:oddHBand="0" w:evenHBand="1" w:firstRowFirstColumn="0" w:firstRowLastColumn="0" w:lastRowFirstColumn="0" w:lastRowLastColumn="0"/>
            </w:pPr>
            <w:r w:rsidRPr="00A67FA7">
              <w:t>0.0</w:t>
            </w:r>
          </w:p>
        </w:tc>
        <w:tc>
          <w:tcPr>
            <w:tcW w:w="530" w:type="pct"/>
            <w:vAlign w:val="top"/>
          </w:tcPr>
          <w:p w:rsidR="00A67FA7" w:rsidRPr="00A67FA7" w:rsidRDefault="00A67FA7" w:rsidP="00552174">
            <w:pPr>
              <w:cnfStyle w:val="000000010000" w:firstRow="0" w:lastRow="0" w:firstColumn="0" w:lastColumn="0" w:oddVBand="0" w:evenVBand="0" w:oddHBand="0" w:evenHBand="1" w:firstRowFirstColumn="0" w:firstRowLastColumn="0" w:lastRowFirstColumn="0" w:lastRowLastColumn="0"/>
            </w:pPr>
            <w:r w:rsidRPr="00A67FA7">
              <w:t>41.3</w:t>
            </w:r>
          </w:p>
        </w:tc>
        <w:tc>
          <w:tcPr>
            <w:tcW w:w="530" w:type="pct"/>
            <w:vAlign w:val="top"/>
          </w:tcPr>
          <w:p w:rsidR="00A67FA7" w:rsidRPr="00A67FA7" w:rsidRDefault="00A67FA7" w:rsidP="00552174">
            <w:pPr>
              <w:cnfStyle w:val="000000010000" w:firstRow="0" w:lastRow="0" w:firstColumn="0" w:lastColumn="0" w:oddVBand="0" w:evenVBand="0" w:oddHBand="0" w:evenHBand="1" w:firstRowFirstColumn="0" w:firstRowLastColumn="0" w:lastRowFirstColumn="0" w:lastRowLastColumn="0"/>
            </w:pPr>
            <w:r w:rsidRPr="00A67FA7">
              <w:t>28.0</w:t>
            </w:r>
          </w:p>
        </w:tc>
        <w:tc>
          <w:tcPr>
            <w:tcW w:w="530" w:type="pct"/>
            <w:vAlign w:val="top"/>
          </w:tcPr>
          <w:p w:rsidR="00A67FA7" w:rsidRPr="00A67FA7" w:rsidRDefault="00A67FA7" w:rsidP="00552174">
            <w:pPr>
              <w:cnfStyle w:val="000000010000" w:firstRow="0" w:lastRow="0" w:firstColumn="0" w:lastColumn="0" w:oddVBand="0" w:evenVBand="0" w:oddHBand="0" w:evenHBand="1" w:firstRowFirstColumn="0" w:firstRowLastColumn="0" w:lastRowFirstColumn="0" w:lastRowLastColumn="0"/>
            </w:pPr>
            <w:r w:rsidRPr="00A67FA7">
              <w:t>12.7</w:t>
            </w:r>
          </w:p>
        </w:tc>
        <w:tc>
          <w:tcPr>
            <w:tcW w:w="530" w:type="pct"/>
            <w:vAlign w:val="top"/>
          </w:tcPr>
          <w:p w:rsidR="00A67FA7" w:rsidRPr="00A67FA7" w:rsidRDefault="00A67FA7" w:rsidP="00552174">
            <w:pPr>
              <w:cnfStyle w:val="000000010000" w:firstRow="0" w:lastRow="0" w:firstColumn="0" w:lastColumn="0" w:oddVBand="0" w:evenVBand="0" w:oddHBand="0" w:evenHBand="1" w:firstRowFirstColumn="0" w:firstRowLastColumn="0" w:lastRowFirstColumn="0" w:lastRowLastColumn="0"/>
            </w:pPr>
            <w:r w:rsidRPr="00A67FA7">
              <w:t>11.6</w:t>
            </w:r>
          </w:p>
        </w:tc>
        <w:tc>
          <w:tcPr>
            <w:tcW w:w="528" w:type="pct"/>
            <w:vAlign w:val="top"/>
          </w:tcPr>
          <w:p w:rsidR="00A67FA7" w:rsidRPr="00A67FA7" w:rsidRDefault="00A67FA7" w:rsidP="00552174">
            <w:pPr>
              <w:cnfStyle w:val="000000010000" w:firstRow="0" w:lastRow="0" w:firstColumn="0" w:lastColumn="0" w:oddVBand="0" w:evenVBand="0" w:oddHBand="0" w:evenHBand="1" w:firstRowFirstColumn="0" w:firstRowLastColumn="0" w:lastRowFirstColumn="0" w:lastRowLastColumn="0"/>
            </w:pPr>
            <w:r w:rsidRPr="00A67FA7">
              <w:t>38.6</w:t>
            </w:r>
          </w:p>
        </w:tc>
      </w:tr>
      <w:tr w:rsidR="00A67FA7" w:rsidRPr="004F416F" w:rsidTr="00A67FA7">
        <w:trPr>
          <w:trHeight w:val="300"/>
        </w:trPr>
        <w:tc>
          <w:tcPr>
            <w:cnfStyle w:val="001000000000" w:firstRow="0" w:lastRow="0" w:firstColumn="1" w:lastColumn="0" w:oddVBand="0" w:evenVBand="0" w:oddHBand="0" w:evenHBand="0" w:firstRowFirstColumn="0" w:firstRowLastColumn="0" w:lastRowFirstColumn="0" w:lastRowLastColumn="0"/>
            <w:tcW w:w="1823" w:type="pct"/>
            <w:vAlign w:val="bottom"/>
            <w:hideMark/>
          </w:tcPr>
          <w:p w:rsidR="00A67FA7" w:rsidRPr="00A67FA7" w:rsidRDefault="00A67FA7" w:rsidP="00A67FA7">
            <w:r w:rsidRPr="00A67FA7">
              <w:t>Other - non-distribution</w:t>
            </w:r>
          </w:p>
        </w:tc>
        <w:tc>
          <w:tcPr>
            <w:tcW w:w="530" w:type="pct"/>
            <w:vAlign w:val="top"/>
          </w:tcPr>
          <w:p w:rsidR="00A67FA7" w:rsidRPr="00A67FA7" w:rsidRDefault="00A67FA7" w:rsidP="00552174">
            <w:pPr>
              <w:cnfStyle w:val="000000000000" w:firstRow="0" w:lastRow="0" w:firstColumn="0" w:lastColumn="0" w:oddVBand="0" w:evenVBand="0" w:oddHBand="0" w:evenHBand="0" w:firstRowFirstColumn="0" w:firstRowLastColumn="0" w:lastRowFirstColumn="0" w:lastRowLastColumn="0"/>
            </w:pPr>
            <w:r w:rsidRPr="00A67FA7">
              <w:t>7.7</w:t>
            </w:r>
          </w:p>
        </w:tc>
        <w:tc>
          <w:tcPr>
            <w:tcW w:w="530" w:type="pct"/>
            <w:vAlign w:val="top"/>
          </w:tcPr>
          <w:p w:rsidR="00A67FA7" w:rsidRPr="00A67FA7" w:rsidRDefault="00A67FA7" w:rsidP="00552174">
            <w:pPr>
              <w:cnfStyle w:val="000000000000" w:firstRow="0" w:lastRow="0" w:firstColumn="0" w:lastColumn="0" w:oddVBand="0" w:evenVBand="0" w:oddHBand="0" w:evenHBand="0" w:firstRowFirstColumn="0" w:firstRowLastColumn="0" w:lastRowFirstColumn="0" w:lastRowLastColumn="0"/>
            </w:pPr>
            <w:r w:rsidRPr="00A67FA7">
              <w:t>6.3</w:t>
            </w:r>
          </w:p>
        </w:tc>
        <w:tc>
          <w:tcPr>
            <w:tcW w:w="530" w:type="pct"/>
            <w:vAlign w:val="top"/>
          </w:tcPr>
          <w:p w:rsidR="00A67FA7" w:rsidRPr="00A67FA7" w:rsidRDefault="00A67FA7" w:rsidP="00552174">
            <w:pPr>
              <w:cnfStyle w:val="000000000000" w:firstRow="0" w:lastRow="0" w:firstColumn="0" w:lastColumn="0" w:oddVBand="0" w:evenVBand="0" w:oddHBand="0" w:evenHBand="0" w:firstRowFirstColumn="0" w:firstRowLastColumn="0" w:lastRowFirstColumn="0" w:lastRowLastColumn="0"/>
            </w:pPr>
            <w:r w:rsidRPr="00A67FA7">
              <w:t>4.3</w:t>
            </w:r>
          </w:p>
        </w:tc>
        <w:tc>
          <w:tcPr>
            <w:tcW w:w="530" w:type="pct"/>
            <w:vAlign w:val="top"/>
          </w:tcPr>
          <w:p w:rsidR="00A67FA7" w:rsidRPr="00A67FA7" w:rsidRDefault="00A67FA7" w:rsidP="00552174">
            <w:pPr>
              <w:cnfStyle w:val="000000000000" w:firstRow="0" w:lastRow="0" w:firstColumn="0" w:lastColumn="0" w:oddVBand="0" w:evenVBand="0" w:oddHBand="0" w:evenHBand="0" w:firstRowFirstColumn="0" w:firstRowLastColumn="0" w:lastRowFirstColumn="0" w:lastRowLastColumn="0"/>
            </w:pPr>
            <w:r w:rsidRPr="00A67FA7">
              <w:t>5.3</w:t>
            </w:r>
          </w:p>
        </w:tc>
        <w:tc>
          <w:tcPr>
            <w:tcW w:w="530" w:type="pct"/>
            <w:vAlign w:val="top"/>
          </w:tcPr>
          <w:p w:rsidR="00A67FA7" w:rsidRPr="00A67FA7" w:rsidRDefault="00A67FA7" w:rsidP="00552174">
            <w:pPr>
              <w:cnfStyle w:val="000000000000" w:firstRow="0" w:lastRow="0" w:firstColumn="0" w:lastColumn="0" w:oddVBand="0" w:evenVBand="0" w:oddHBand="0" w:evenHBand="0" w:firstRowFirstColumn="0" w:firstRowLastColumn="0" w:lastRowFirstColumn="0" w:lastRowLastColumn="0"/>
            </w:pPr>
            <w:r w:rsidRPr="00A67FA7">
              <w:t>27.9</w:t>
            </w:r>
          </w:p>
        </w:tc>
        <w:tc>
          <w:tcPr>
            <w:tcW w:w="528" w:type="pct"/>
            <w:vAlign w:val="top"/>
          </w:tcPr>
          <w:p w:rsidR="00A67FA7" w:rsidRPr="00A67FA7" w:rsidRDefault="00A67FA7" w:rsidP="00552174">
            <w:pPr>
              <w:cnfStyle w:val="000000000000" w:firstRow="0" w:lastRow="0" w:firstColumn="0" w:lastColumn="0" w:oddVBand="0" w:evenVBand="0" w:oddHBand="0" w:evenHBand="0" w:firstRowFirstColumn="0" w:firstRowLastColumn="0" w:lastRowFirstColumn="0" w:lastRowLastColumn="0"/>
            </w:pPr>
            <w:r w:rsidRPr="00A67FA7">
              <w:t>46.6</w:t>
            </w:r>
          </w:p>
        </w:tc>
      </w:tr>
      <w:tr w:rsidR="00A67FA7" w:rsidRPr="004F416F" w:rsidTr="00A67FA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3" w:type="pct"/>
            <w:vAlign w:val="bottom"/>
            <w:hideMark/>
          </w:tcPr>
          <w:p w:rsidR="00A67FA7" w:rsidRPr="00A67FA7" w:rsidRDefault="00A67FA7" w:rsidP="00A67FA7">
            <w:r w:rsidRPr="00A67FA7">
              <w:t>Overheads</w:t>
            </w:r>
          </w:p>
        </w:tc>
        <w:tc>
          <w:tcPr>
            <w:tcW w:w="530" w:type="pct"/>
            <w:vAlign w:val="top"/>
          </w:tcPr>
          <w:p w:rsidR="00A67FA7" w:rsidRPr="00A67FA7" w:rsidRDefault="00A67FA7" w:rsidP="00552174">
            <w:pPr>
              <w:cnfStyle w:val="000000010000" w:firstRow="0" w:lastRow="0" w:firstColumn="0" w:lastColumn="0" w:oddVBand="0" w:evenVBand="0" w:oddHBand="0" w:evenHBand="1" w:firstRowFirstColumn="0" w:firstRowLastColumn="0" w:lastRowFirstColumn="0" w:lastRowLastColumn="0"/>
            </w:pPr>
            <w:r w:rsidRPr="00A67FA7">
              <w:t>15.6</w:t>
            </w:r>
          </w:p>
        </w:tc>
        <w:tc>
          <w:tcPr>
            <w:tcW w:w="530" w:type="pct"/>
            <w:vAlign w:val="top"/>
          </w:tcPr>
          <w:p w:rsidR="00A67FA7" w:rsidRPr="00A67FA7" w:rsidRDefault="00A67FA7" w:rsidP="00552174">
            <w:pPr>
              <w:cnfStyle w:val="000000010000" w:firstRow="0" w:lastRow="0" w:firstColumn="0" w:lastColumn="0" w:oddVBand="0" w:evenVBand="0" w:oddHBand="0" w:evenHBand="1" w:firstRowFirstColumn="0" w:firstRowLastColumn="0" w:lastRowFirstColumn="0" w:lastRowLastColumn="0"/>
            </w:pPr>
            <w:r w:rsidRPr="00A67FA7">
              <w:t>17.6</w:t>
            </w:r>
          </w:p>
        </w:tc>
        <w:tc>
          <w:tcPr>
            <w:tcW w:w="530" w:type="pct"/>
            <w:vAlign w:val="top"/>
          </w:tcPr>
          <w:p w:rsidR="00A67FA7" w:rsidRPr="00A67FA7" w:rsidRDefault="00A67FA7" w:rsidP="00552174">
            <w:pPr>
              <w:cnfStyle w:val="000000010000" w:firstRow="0" w:lastRow="0" w:firstColumn="0" w:lastColumn="0" w:oddVBand="0" w:evenVBand="0" w:oddHBand="0" w:evenHBand="1" w:firstRowFirstColumn="0" w:firstRowLastColumn="0" w:lastRowFirstColumn="0" w:lastRowLastColumn="0"/>
            </w:pPr>
            <w:r w:rsidRPr="00A67FA7">
              <w:t>23.3</w:t>
            </w:r>
          </w:p>
        </w:tc>
        <w:tc>
          <w:tcPr>
            <w:tcW w:w="530" w:type="pct"/>
            <w:vAlign w:val="top"/>
          </w:tcPr>
          <w:p w:rsidR="00A67FA7" w:rsidRPr="00A67FA7" w:rsidRDefault="00A67FA7" w:rsidP="00552174">
            <w:pPr>
              <w:cnfStyle w:val="000000010000" w:firstRow="0" w:lastRow="0" w:firstColumn="0" w:lastColumn="0" w:oddVBand="0" w:evenVBand="0" w:oddHBand="0" w:evenHBand="1" w:firstRowFirstColumn="0" w:firstRowLastColumn="0" w:lastRowFirstColumn="0" w:lastRowLastColumn="0"/>
            </w:pPr>
            <w:r w:rsidRPr="00A67FA7">
              <w:t>24.2</w:t>
            </w:r>
          </w:p>
        </w:tc>
        <w:tc>
          <w:tcPr>
            <w:tcW w:w="530" w:type="pct"/>
            <w:vAlign w:val="top"/>
          </w:tcPr>
          <w:p w:rsidR="00A67FA7" w:rsidRPr="00A67FA7" w:rsidRDefault="00A67FA7" w:rsidP="00552174">
            <w:pPr>
              <w:cnfStyle w:val="000000010000" w:firstRow="0" w:lastRow="0" w:firstColumn="0" w:lastColumn="0" w:oddVBand="0" w:evenVBand="0" w:oddHBand="0" w:evenHBand="1" w:firstRowFirstColumn="0" w:firstRowLastColumn="0" w:lastRowFirstColumn="0" w:lastRowLastColumn="0"/>
            </w:pPr>
            <w:r w:rsidRPr="00A67FA7">
              <w:t>25.7</w:t>
            </w:r>
          </w:p>
        </w:tc>
        <w:tc>
          <w:tcPr>
            <w:tcW w:w="528" w:type="pct"/>
            <w:vAlign w:val="top"/>
          </w:tcPr>
          <w:p w:rsidR="00A67FA7" w:rsidRPr="00A67FA7" w:rsidRDefault="00A67FA7" w:rsidP="00552174">
            <w:pPr>
              <w:cnfStyle w:val="000000010000" w:firstRow="0" w:lastRow="0" w:firstColumn="0" w:lastColumn="0" w:oddVBand="0" w:evenVBand="0" w:oddHBand="0" w:evenHBand="1" w:firstRowFirstColumn="0" w:firstRowLastColumn="0" w:lastRowFirstColumn="0" w:lastRowLastColumn="0"/>
            </w:pPr>
            <w:r w:rsidRPr="00A67FA7">
              <w:t>26.2</w:t>
            </w:r>
          </w:p>
        </w:tc>
      </w:tr>
      <w:tr w:rsidR="00A67FA7" w:rsidRPr="004F416F" w:rsidTr="00A67FA7">
        <w:trPr>
          <w:trHeight w:val="300"/>
        </w:trPr>
        <w:tc>
          <w:tcPr>
            <w:cnfStyle w:val="001000000000" w:firstRow="0" w:lastRow="0" w:firstColumn="1" w:lastColumn="0" w:oddVBand="0" w:evenVBand="0" w:oddHBand="0" w:evenHBand="0" w:firstRowFirstColumn="0" w:firstRowLastColumn="0" w:lastRowFirstColumn="0" w:lastRowLastColumn="0"/>
            <w:tcW w:w="1823" w:type="pct"/>
            <w:vAlign w:val="bottom"/>
            <w:hideMark/>
          </w:tcPr>
          <w:p w:rsidR="00A67FA7" w:rsidRPr="00A67FA7" w:rsidRDefault="00A67FA7" w:rsidP="00A67FA7">
            <w:r w:rsidRPr="00A67FA7">
              <w:t>GROSS TOTAL CAPITAL EXPENDITURE</w:t>
            </w:r>
          </w:p>
        </w:tc>
        <w:tc>
          <w:tcPr>
            <w:tcW w:w="530" w:type="pct"/>
            <w:vAlign w:val="top"/>
          </w:tcPr>
          <w:p w:rsidR="00A67FA7" w:rsidRPr="00A67FA7" w:rsidRDefault="00A67FA7" w:rsidP="00552174">
            <w:pPr>
              <w:cnfStyle w:val="000000000000" w:firstRow="0" w:lastRow="0" w:firstColumn="0" w:lastColumn="0" w:oddVBand="0" w:evenVBand="0" w:oddHBand="0" w:evenHBand="0" w:firstRowFirstColumn="0" w:firstRowLastColumn="0" w:lastRowFirstColumn="0" w:lastRowLastColumn="0"/>
            </w:pPr>
            <w:r w:rsidRPr="00A67FA7">
              <w:t>107.9</w:t>
            </w:r>
          </w:p>
        </w:tc>
        <w:tc>
          <w:tcPr>
            <w:tcW w:w="530" w:type="pct"/>
            <w:vAlign w:val="top"/>
          </w:tcPr>
          <w:p w:rsidR="00A67FA7" w:rsidRPr="00A67FA7" w:rsidRDefault="00A67FA7" w:rsidP="00552174">
            <w:pPr>
              <w:cnfStyle w:val="000000000000" w:firstRow="0" w:lastRow="0" w:firstColumn="0" w:lastColumn="0" w:oddVBand="0" w:evenVBand="0" w:oddHBand="0" w:evenHBand="0" w:firstRowFirstColumn="0" w:firstRowLastColumn="0" w:lastRowFirstColumn="0" w:lastRowLastColumn="0"/>
            </w:pPr>
            <w:r w:rsidRPr="00A67FA7">
              <w:t>185.5</w:t>
            </w:r>
          </w:p>
        </w:tc>
        <w:tc>
          <w:tcPr>
            <w:tcW w:w="530" w:type="pct"/>
            <w:vAlign w:val="top"/>
          </w:tcPr>
          <w:p w:rsidR="00A67FA7" w:rsidRPr="00A67FA7" w:rsidRDefault="00A67FA7" w:rsidP="00552174">
            <w:pPr>
              <w:cnfStyle w:val="000000000000" w:firstRow="0" w:lastRow="0" w:firstColumn="0" w:lastColumn="0" w:oddVBand="0" w:evenVBand="0" w:oddHBand="0" w:evenHBand="0" w:firstRowFirstColumn="0" w:firstRowLastColumn="0" w:lastRowFirstColumn="0" w:lastRowLastColumn="0"/>
            </w:pPr>
            <w:r w:rsidRPr="00A67FA7">
              <w:t>189.1</w:t>
            </w:r>
          </w:p>
        </w:tc>
        <w:tc>
          <w:tcPr>
            <w:tcW w:w="530" w:type="pct"/>
            <w:vAlign w:val="top"/>
          </w:tcPr>
          <w:p w:rsidR="00A67FA7" w:rsidRPr="00A67FA7" w:rsidRDefault="00A67FA7" w:rsidP="00552174">
            <w:pPr>
              <w:cnfStyle w:val="000000000000" w:firstRow="0" w:lastRow="0" w:firstColumn="0" w:lastColumn="0" w:oddVBand="0" w:evenVBand="0" w:oddHBand="0" w:evenHBand="0" w:firstRowFirstColumn="0" w:firstRowLastColumn="0" w:lastRowFirstColumn="0" w:lastRowLastColumn="0"/>
            </w:pPr>
            <w:r w:rsidRPr="00A67FA7">
              <w:t>143.3</w:t>
            </w:r>
          </w:p>
        </w:tc>
        <w:tc>
          <w:tcPr>
            <w:tcW w:w="530" w:type="pct"/>
            <w:vAlign w:val="top"/>
          </w:tcPr>
          <w:p w:rsidR="00A67FA7" w:rsidRPr="00A67FA7" w:rsidRDefault="00A67FA7" w:rsidP="00552174">
            <w:pPr>
              <w:cnfStyle w:val="000000000000" w:firstRow="0" w:lastRow="0" w:firstColumn="0" w:lastColumn="0" w:oddVBand="0" w:evenVBand="0" w:oddHBand="0" w:evenHBand="0" w:firstRowFirstColumn="0" w:firstRowLastColumn="0" w:lastRowFirstColumn="0" w:lastRowLastColumn="0"/>
            </w:pPr>
            <w:r w:rsidRPr="00A67FA7">
              <w:t>191.0</w:t>
            </w:r>
          </w:p>
        </w:tc>
        <w:tc>
          <w:tcPr>
            <w:tcW w:w="528" w:type="pct"/>
            <w:vAlign w:val="top"/>
          </w:tcPr>
          <w:p w:rsidR="00A67FA7" w:rsidRPr="00A67FA7" w:rsidRDefault="00A67FA7" w:rsidP="00552174">
            <w:pPr>
              <w:cnfStyle w:val="000000000000" w:firstRow="0" w:lastRow="0" w:firstColumn="0" w:lastColumn="0" w:oddVBand="0" w:evenVBand="0" w:oddHBand="0" w:evenHBand="0" w:firstRowFirstColumn="0" w:firstRowLastColumn="0" w:lastRowFirstColumn="0" w:lastRowLastColumn="0"/>
            </w:pPr>
            <w:r w:rsidRPr="00A67FA7">
              <w:t>249.0</w:t>
            </w:r>
          </w:p>
        </w:tc>
      </w:tr>
      <w:tr w:rsidR="00A67FA7" w:rsidRPr="004F416F" w:rsidTr="00A67FA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3" w:type="pct"/>
            <w:vAlign w:val="bottom"/>
            <w:hideMark/>
          </w:tcPr>
          <w:p w:rsidR="00A67FA7" w:rsidRPr="00A67FA7" w:rsidRDefault="00A67FA7" w:rsidP="00A67FA7">
            <w:r w:rsidRPr="00A67FA7">
              <w:t>Contributions</w:t>
            </w:r>
          </w:p>
        </w:tc>
        <w:tc>
          <w:tcPr>
            <w:tcW w:w="530" w:type="pct"/>
            <w:vAlign w:val="top"/>
          </w:tcPr>
          <w:p w:rsidR="00A67FA7" w:rsidRPr="00A67FA7" w:rsidRDefault="00A67FA7" w:rsidP="00552174">
            <w:pPr>
              <w:cnfStyle w:val="000000010000" w:firstRow="0" w:lastRow="0" w:firstColumn="0" w:lastColumn="0" w:oddVBand="0" w:evenVBand="0" w:oddHBand="0" w:evenHBand="1" w:firstRowFirstColumn="0" w:firstRowLastColumn="0" w:lastRowFirstColumn="0" w:lastRowLastColumn="0"/>
            </w:pPr>
            <w:r w:rsidRPr="00A67FA7">
              <w:t>3.3</w:t>
            </w:r>
          </w:p>
        </w:tc>
        <w:tc>
          <w:tcPr>
            <w:tcW w:w="530" w:type="pct"/>
            <w:vAlign w:val="top"/>
          </w:tcPr>
          <w:p w:rsidR="00A67FA7" w:rsidRPr="00A67FA7" w:rsidRDefault="00A67FA7" w:rsidP="00552174">
            <w:pPr>
              <w:cnfStyle w:val="000000010000" w:firstRow="0" w:lastRow="0" w:firstColumn="0" w:lastColumn="0" w:oddVBand="0" w:evenVBand="0" w:oddHBand="0" w:evenHBand="1" w:firstRowFirstColumn="0" w:firstRowLastColumn="0" w:lastRowFirstColumn="0" w:lastRowLastColumn="0"/>
            </w:pPr>
            <w:r w:rsidRPr="00A67FA7">
              <w:t>8.4</w:t>
            </w:r>
          </w:p>
        </w:tc>
        <w:tc>
          <w:tcPr>
            <w:tcW w:w="530" w:type="pct"/>
            <w:vAlign w:val="top"/>
          </w:tcPr>
          <w:p w:rsidR="00A67FA7" w:rsidRPr="00A67FA7" w:rsidRDefault="00A67FA7" w:rsidP="00552174">
            <w:pPr>
              <w:cnfStyle w:val="000000010000" w:firstRow="0" w:lastRow="0" w:firstColumn="0" w:lastColumn="0" w:oddVBand="0" w:evenVBand="0" w:oddHBand="0" w:evenHBand="1" w:firstRowFirstColumn="0" w:firstRowLastColumn="0" w:lastRowFirstColumn="0" w:lastRowLastColumn="0"/>
            </w:pPr>
            <w:r w:rsidRPr="00A67FA7">
              <w:t>4.0</w:t>
            </w:r>
          </w:p>
        </w:tc>
        <w:tc>
          <w:tcPr>
            <w:tcW w:w="530" w:type="pct"/>
            <w:vAlign w:val="top"/>
          </w:tcPr>
          <w:p w:rsidR="00A67FA7" w:rsidRPr="00A67FA7" w:rsidRDefault="00A67FA7" w:rsidP="00552174">
            <w:pPr>
              <w:cnfStyle w:val="000000010000" w:firstRow="0" w:lastRow="0" w:firstColumn="0" w:lastColumn="0" w:oddVBand="0" w:evenVBand="0" w:oddHBand="0" w:evenHBand="1" w:firstRowFirstColumn="0" w:firstRowLastColumn="0" w:lastRowFirstColumn="0" w:lastRowLastColumn="0"/>
            </w:pPr>
            <w:r w:rsidRPr="00A67FA7">
              <w:t>5.6</w:t>
            </w:r>
          </w:p>
        </w:tc>
        <w:tc>
          <w:tcPr>
            <w:tcW w:w="530" w:type="pct"/>
            <w:vAlign w:val="top"/>
          </w:tcPr>
          <w:p w:rsidR="00A67FA7" w:rsidRPr="00A67FA7" w:rsidRDefault="00A67FA7" w:rsidP="00552174">
            <w:pPr>
              <w:cnfStyle w:val="000000010000" w:firstRow="0" w:lastRow="0" w:firstColumn="0" w:lastColumn="0" w:oddVBand="0" w:evenVBand="0" w:oddHBand="0" w:evenHBand="1" w:firstRowFirstColumn="0" w:firstRowLastColumn="0" w:lastRowFirstColumn="0" w:lastRowLastColumn="0"/>
            </w:pPr>
            <w:r w:rsidRPr="00A67FA7">
              <w:t>6.9</w:t>
            </w:r>
          </w:p>
        </w:tc>
        <w:tc>
          <w:tcPr>
            <w:tcW w:w="528" w:type="pct"/>
            <w:vAlign w:val="top"/>
          </w:tcPr>
          <w:p w:rsidR="00A67FA7" w:rsidRPr="00A67FA7" w:rsidRDefault="00A67FA7" w:rsidP="00552174">
            <w:pPr>
              <w:cnfStyle w:val="000000010000" w:firstRow="0" w:lastRow="0" w:firstColumn="0" w:lastColumn="0" w:oddVBand="0" w:evenVBand="0" w:oddHBand="0" w:evenHBand="1" w:firstRowFirstColumn="0" w:firstRowLastColumn="0" w:lastRowFirstColumn="0" w:lastRowLastColumn="0"/>
            </w:pPr>
            <w:r w:rsidRPr="00A67FA7">
              <w:t>10.0</w:t>
            </w:r>
          </w:p>
        </w:tc>
      </w:tr>
      <w:tr w:rsidR="00A67FA7" w:rsidRPr="004F416F" w:rsidTr="00A67FA7">
        <w:trPr>
          <w:trHeight w:val="300"/>
        </w:trPr>
        <w:tc>
          <w:tcPr>
            <w:cnfStyle w:val="001000000000" w:firstRow="0" w:lastRow="0" w:firstColumn="1" w:lastColumn="0" w:oddVBand="0" w:evenVBand="0" w:oddHBand="0" w:evenHBand="0" w:firstRowFirstColumn="0" w:firstRowLastColumn="0" w:lastRowFirstColumn="0" w:lastRowLastColumn="0"/>
            <w:tcW w:w="1823" w:type="pct"/>
            <w:vAlign w:val="bottom"/>
          </w:tcPr>
          <w:p w:rsidR="00A67FA7" w:rsidRPr="00A67FA7" w:rsidRDefault="00A67FA7" w:rsidP="00A67FA7">
            <w:r w:rsidRPr="00A67FA7">
              <w:t>Asset disposals</w:t>
            </w:r>
          </w:p>
        </w:tc>
        <w:tc>
          <w:tcPr>
            <w:tcW w:w="530" w:type="pct"/>
            <w:vAlign w:val="top"/>
          </w:tcPr>
          <w:p w:rsidR="00A67FA7" w:rsidRPr="00A67FA7" w:rsidRDefault="00A67FA7" w:rsidP="00552174">
            <w:pPr>
              <w:cnfStyle w:val="000000000000" w:firstRow="0" w:lastRow="0" w:firstColumn="0" w:lastColumn="0" w:oddVBand="0" w:evenVBand="0" w:oddHBand="0" w:evenHBand="0" w:firstRowFirstColumn="0" w:firstRowLastColumn="0" w:lastRowFirstColumn="0" w:lastRowLastColumn="0"/>
            </w:pPr>
            <w:r w:rsidRPr="00A67FA7">
              <w:t>0.2</w:t>
            </w:r>
          </w:p>
        </w:tc>
        <w:tc>
          <w:tcPr>
            <w:tcW w:w="530" w:type="pct"/>
            <w:vAlign w:val="top"/>
          </w:tcPr>
          <w:p w:rsidR="00A67FA7" w:rsidRPr="00A67FA7" w:rsidRDefault="00A67FA7" w:rsidP="00552174">
            <w:pPr>
              <w:cnfStyle w:val="000000000000" w:firstRow="0" w:lastRow="0" w:firstColumn="0" w:lastColumn="0" w:oddVBand="0" w:evenVBand="0" w:oddHBand="0" w:evenHBand="0" w:firstRowFirstColumn="0" w:firstRowLastColumn="0" w:lastRowFirstColumn="0" w:lastRowLastColumn="0"/>
            </w:pPr>
            <w:r w:rsidRPr="00A67FA7">
              <w:t>7.2</w:t>
            </w:r>
          </w:p>
        </w:tc>
        <w:tc>
          <w:tcPr>
            <w:tcW w:w="530" w:type="pct"/>
            <w:vAlign w:val="top"/>
          </w:tcPr>
          <w:p w:rsidR="00A67FA7" w:rsidRPr="00A67FA7" w:rsidRDefault="00A67FA7" w:rsidP="00552174">
            <w:pPr>
              <w:cnfStyle w:val="000000000000" w:firstRow="0" w:lastRow="0" w:firstColumn="0" w:lastColumn="0" w:oddVBand="0" w:evenVBand="0" w:oddHBand="0" w:evenHBand="0" w:firstRowFirstColumn="0" w:firstRowLastColumn="0" w:lastRowFirstColumn="0" w:lastRowLastColumn="0"/>
            </w:pPr>
            <w:r w:rsidRPr="00A67FA7">
              <w:t>3.2</w:t>
            </w:r>
          </w:p>
        </w:tc>
        <w:tc>
          <w:tcPr>
            <w:tcW w:w="530" w:type="pct"/>
            <w:vAlign w:val="top"/>
          </w:tcPr>
          <w:p w:rsidR="00A67FA7" w:rsidRPr="00A67FA7" w:rsidRDefault="00A67FA7" w:rsidP="00552174">
            <w:pPr>
              <w:cnfStyle w:val="000000000000" w:firstRow="0" w:lastRow="0" w:firstColumn="0" w:lastColumn="0" w:oddVBand="0" w:evenVBand="0" w:oddHBand="0" w:evenHBand="0" w:firstRowFirstColumn="0" w:firstRowLastColumn="0" w:lastRowFirstColumn="0" w:lastRowLastColumn="0"/>
            </w:pPr>
            <w:r w:rsidRPr="00A67FA7">
              <w:t>1.8</w:t>
            </w:r>
          </w:p>
        </w:tc>
        <w:tc>
          <w:tcPr>
            <w:tcW w:w="530" w:type="pct"/>
            <w:vAlign w:val="top"/>
          </w:tcPr>
          <w:p w:rsidR="00A67FA7" w:rsidRPr="00A67FA7" w:rsidRDefault="00A67FA7" w:rsidP="00552174">
            <w:pPr>
              <w:cnfStyle w:val="000000000000" w:firstRow="0" w:lastRow="0" w:firstColumn="0" w:lastColumn="0" w:oddVBand="0" w:evenVBand="0" w:oddHBand="0" w:evenHBand="0" w:firstRowFirstColumn="0" w:firstRowLastColumn="0" w:lastRowFirstColumn="0" w:lastRowLastColumn="0"/>
            </w:pPr>
            <w:r w:rsidRPr="00A67FA7">
              <w:t>0.2</w:t>
            </w:r>
          </w:p>
        </w:tc>
        <w:tc>
          <w:tcPr>
            <w:tcW w:w="528" w:type="pct"/>
            <w:vAlign w:val="top"/>
          </w:tcPr>
          <w:p w:rsidR="00A67FA7" w:rsidRPr="00A67FA7" w:rsidRDefault="00A67FA7" w:rsidP="00552174">
            <w:pPr>
              <w:cnfStyle w:val="000000000000" w:firstRow="0" w:lastRow="0" w:firstColumn="0" w:lastColumn="0" w:oddVBand="0" w:evenVBand="0" w:oddHBand="0" w:evenHBand="0" w:firstRowFirstColumn="0" w:firstRowLastColumn="0" w:lastRowFirstColumn="0" w:lastRowLastColumn="0"/>
            </w:pPr>
            <w:r w:rsidRPr="00A67FA7">
              <w:t>0.1</w:t>
            </w:r>
          </w:p>
        </w:tc>
      </w:tr>
      <w:tr w:rsidR="00A67FA7" w:rsidRPr="004F416F" w:rsidTr="00A67FA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3" w:type="pct"/>
            <w:vAlign w:val="bottom"/>
          </w:tcPr>
          <w:p w:rsidR="00A67FA7" w:rsidRPr="00A67FA7" w:rsidRDefault="00A67FA7" w:rsidP="00A67FA7">
            <w:r w:rsidRPr="00A67FA7">
              <w:t>NET TOTAL CAPITAL EXPENDITURE</w:t>
            </w:r>
          </w:p>
        </w:tc>
        <w:tc>
          <w:tcPr>
            <w:tcW w:w="530" w:type="pct"/>
            <w:vAlign w:val="top"/>
          </w:tcPr>
          <w:p w:rsidR="00A67FA7" w:rsidRPr="00A67FA7" w:rsidRDefault="00A67FA7" w:rsidP="00552174">
            <w:pPr>
              <w:cnfStyle w:val="000000010000" w:firstRow="0" w:lastRow="0" w:firstColumn="0" w:lastColumn="0" w:oddVBand="0" w:evenVBand="0" w:oddHBand="0" w:evenHBand="1" w:firstRowFirstColumn="0" w:firstRowLastColumn="0" w:lastRowFirstColumn="0" w:lastRowLastColumn="0"/>
            </w:pPr>
            <w:r w:rsidRPr="00A67FA7">
              <w:t>104.4</w:t>
            </w:r>
          </w:p>
        </w:tc>
        <w:tc>
          <w:tcPr>
            <w:tcW w:w="530" w:type="pct"/>
            <w:vAlign w:val="top"/>
          </w:tcPr>
          <w:p w:rsidR="00A67FA7" w:rsidRPr="00A67FA7" w:rsidRDefault="00A67FA7" w:rsidP="00552174">
            <w:pPr>
              <w:cnfStyle w:val="000000010000" w:firstRow="0" w:lastRow="0" w:firstColumn="0" w:lastColumn="0" w:oddVBand="0" w:evenVBand="0" w:oddHBand="0" w:evenHBand="1" w:firstRowFirstColumn="0" w:firstRowLastColumn="0" w:lastRowFirstColumn="0" w:lastRowLastColumn="0"/>
            </w:pPr>
            <w:r w:rsidRPr="00A67FA7">
              <w:t>169.9</w:t>
            </w:r>
          </w:p>
        </w:tc>
        <w:tc>
          <w:tcPr>
            <w:tcW w:w="530" w:type="pct"/>
            <w:vAlign w:val="top"/>
          </w:tcPr>
          <w:p w:rsidR="00A67FA7" w:rsidRPr="00A67FA7" w:rsidRDefault="00A67FA7" w:rsidP="00552174">
            <w:pPr>
              <w:cnfStyle w:val="000000010000" w:firstRow="0" w:lastRow="0" w:firstColumn="0" w:lastColumn="0" w:oddVBand="0" w:evenVBand="0" w:oddHBand="0" w:evenHBand="1" w:firstRowFirstColumn="0" w:firstRowLastColumn="0" w:lastRowFirstColumn="0" w:lastRowLastColumn="0"/>
            </w:pPr>
            <w:r w:rsidRPr="00A67FA7">
              <w:t>181.9</w:t>
            </w:r>
          </w:p>
        </w:tc>
        <w:tc>
          <w:tcPr>
            <w:tcW w:w="530" w:type="pct"/>
            <w:vAlign w:val="top"/>
          </w:tcPr>
          <w:p w:rsidR="00A67FA7" w:rsidRPr="00A67FA7" w:rsidRDefault="00A67FA7" w:rsidP="00552174">
            <w:pPr>
              <w:cnfStyle w:val="000000010000" w:firstRow="0" w:lastRow="0" w:firstColumn="0" w:lastColumn="0" w:oddVBand="0" w:evenVBand="0" w:oddHBand="0" w:evenHBand="1" w:firstRowFirstColumn="0" w:firstRowLastColumn="0" w:lastRowFirstColumn="0" w:lastRowLastColumn="0"/>
            </w:pPr>
            <w:r w:rsidRPr="00A67FA7">
              <w:t>135.8</w:t>
            </w:r>
          </w:p>
        </w:tc>
        <w:tc>
          <w:tcPr>
            <w:tcW w:w="530" w:type="pct"/>
            <w:vAlign w:val="top"/>
          </w:tcPr>
          <w:p w:rsidR="00A67FA7" w:rsidRPr="00A67FA7" w:rsidRDefault="00A67FA7" w:rsidP="00552174">
            <w:pPr>
              <w:cnfStyle w:val="000000010000" w:firstRow="0" w:lastRow="0" w:firstColumn="0" w:lastColumn="0" w:oddVBand="0" w:evenVBand="0" w:oddHBand="0" w:evenHBand="1" w:firstRowFirstColumn="0" w:firstRowLastColumn="0" w:lastRowFirstColumn="0" w:lastRowLastColumn="0"/>
            </w:pPr>
            <w:r w:rsidRPr="00A67FA7">
              <w:t>183.9</w:t>
            </w:r>
          </w:p>
        </w:tc>
        <w:tc>
          <w:tcPr>
            <w:tcW w:w="528" w:type="pct"/>
            <w:vAlign w:val="top"/>
          </w:tcPr>
          <w:p w:rsidR="00A67FA7" w:rsidRPr="00A67FA7" w:rsidRDefault="00A67FA7" w:rsidP="00552174">
            <w:pPr>
              <w:cnfStyle w:val="000000010000" w:firstRow="0" w:lastRow="0" w:firstColumn="0" w:lastColumn="0" w:oddVBand="0" w:evenVBand="0" w:oddHBand="0" w:evenHBand="1" w:firstRowFirstColumn="0" w:firstRowLastColumn="0" w:lastRowFirstColumn="0" w:lastRowLastColumn="0"/>
            </w:pPr>
            <w:r w:rsidRPr="00A67FA7">
              <w:t>238.9</w:t>
            </w:r>
          </w:p>
        </w:tc>
      </w:tr>
    </w:tbl>
    <w:p w:rsidR="00123034" w:rsidRDefault="00123034" w:rsidP="00123034">
      <w:pPr>
        <w:pStyle w:val="AERtablesource"/>
      </w:pPr>
      <w:r w:rsidRPr="0004576C">
        <w:t>Source:</w:t>
      </w:r>
      <w:r w:rsidRPr="0004576C">
        <w:tab/>
      </w:r>
      <w:r>
        <w:t xml:space="preserve">JGN, </w:t>
      </w:r>
      <w:proofErr w:type="gramStart"/>
      <w:r w:rsidRPr="00DD4387">
        <w:rPr>
          <w:rStyle w:val="AERtextitalic"/>
        </w:rPr>
        <w:t>2015-20 Access Arrangement Information</w:t>
      </w:r>
      <w:r>
        <w:t>,</w:t>
      </w:r>
      <w:proofErr w:type="gramEnd"/>
      <w:r>
        <w:t xml:space="preserve"> </w:t>
      </w:r>
      <w:r w:rsidRPr="00DD4387">
        <w:t>Appendix A to the A</w:t>
      </w:r>
      <w:r w:rsidR="0095583E">
        <w:t xml:space="preserve">ccess </w:t>
      </w:r>
      <w:r w:rsidRPr="00DD4387">
        <w:t>A</w:t>
      </w:r>
      <w:r w:rsidR="0095583E">
        <w:t>rrangement</w:t>
      </w:r>
      <w:r w:rsidRPr="00DD4387">
        <w:t xml:space="preserve"> RIN response - Regulatory templates (CONFIDENTIAL) [UPDATE].XLSM</w:t>
      </w:r>
      <w:r w:rsidRPr="0004576C">
        <w:t>.</w:t>
      </w:r>
    </w:p>
    <w:p w:rsidR="00123034" w:rsidRPr="00984CC5" w:rsidRDefault="00123034" w:rsidP="00123034">
      <w:pPr>
        <w:pStyle w:val="AERtablesource"/>
      </w:pPr>
      <w:r>
        <w:t>Note:</w:t>
      </w:r>
      <w:r>
        <w:tab/>
        <w:t>Totals do not add as JGN claimed confidentiality over mines subsidence and related party margin expenditure.</w:t>
      </w:r>
    </w:p>
    <w:p w:rsidR="00123034" w:rsidRPr="00123034" w:rsidRDefault="00123034" w:rsidP="00123034">
      <w:pPr>
        <w:pStyle w:val="HeadingBoldBlue"/>
        <w:numPr>
          <w:ilvl w:val="0"/>
          <w:numId w:val="25"/>
        </w:numPr>
        <w:rPr>
          <w:rStyle w:val="AERtextblue"/>
        </w:rPr>
      </w:pPr>
      <w:bookmarkStart w:id="25" w:name="_Toc420943865"/>
      <w:r w:rsidRPr="00123034">
        <w:rPr>
          <w:rStyle w:val="AERtextblue"/>
        </w:rPr>
        <w:t>2015–20 access arrangement period</w:t>
      </w:r>
      <w:bookmarkEnd w:id="25"/>
    </w:p>
    <w:p w:rsidR="00123034" w:rsidRDefault="007C0756" w:rsidP="00123034">
      <w:pPr>
        <w:numPr>
          <w:ilvl w:val="0"/>
          <w:numId w:val="25"/>
        </w:numPr>
      </w:pPr>
      <w:r>
        <w:t xml:space="preserve">In its revised proposal </w:t>
      </w:r>
      <w:r w:rsidR="00123034">
        <w:t>JGN</w:t>
      </w:r>
      <w:r w:rsidR="00123034" w:rsidRPr="00DD4387">
        <w:t xml:space="preserve"> </w:t>
      </w:r>
      <w:r>
        <w:t>includ</w:t>
      </w:r>
      <w:r w:rsidR="00123034" w:rsidRPr="00DD4387">
        <w:t>ed net total capex of $</w:t>
      </w:r>
      <w:r w:rsidR="00D255D3">
        <w:t>1,</w:t>
      </w:r>
      <w:r w:rsidR="0016547A">
        <w:t>118.3</w:t>
      </w:r>
      <w:r w:rsidR="00123034" w:rsidRPr="00DD4387">
        <w:t xml:space="preserve"> million ($201</w:t>
      </w:r>
      <w:r w:rsidR="00123034">
        <w:t>5</w:t>
      </w:r>
      <w:r w:rsidR="00123034" w:rsidRPr="00DD4387">
        <w:t>) for the 201</w:t>
      </w:r>
      <w:r w:rsidR="00123034">
        <w:t>5</w:t>
      </w:r>
      <w:r w:rsidR="00123034" w:rsidRPr="00DD4387">
        <w:t>–</w:t>
      </w:r>
      <w:r w:rsidR="00123034">
        <w:t>20</w:t>
      </w:r>
      <w:r w:rsidR="00123034" w:rsidRPr="00DD4387">
        <w:t xml:space="preserve"> access arrangement </w:t>
      </w:r>
      <w:proofErr w:type="gramStart"/>
      <w:r w:rsidR="00123034" w:rsidRPr="00DD4387">
        <w:t>period</w:t>
      </w:r>
      <w:proofErr w:type="gramEnd"/>
      <w:r w:rsidR="00123034" w:rsidRPr="00DD4387">
        <w:t xml:space="preserve">. </w:t>
      </w:r>
    </w:p>
    <w:p w:rsidR="00123034" w:rsidRPr="00123034" w:rsidRDefault="00123034" w:rsidP="00123034">
      <w:pPr>
        <w:pStyle w:val="Caption"/>
      </w:pPr>
      <w:proofErr w:type="gramStart"/>
      <w:r>
        <w:t xml:space="preserve">Table </w:t>
      </w:r>
      <w:r w:rsidR="00C62F3B">
        <w:fldChar w:fldCharType="begin"/>
      </w:r>
      <w:r w:rsidR="00C62F3B">
        <w:instrText xml:space="preserve"> STYLEREF 1 \s </w:instrText>
      </w:r>
      <w:r w:rsidR="00C62F3B">
        <w:fldChar w:fldCharType="separate"/>
      </w:r>
      <w:r w:rsidR="00D51AD6">
        <w:rPr>
          <w:noProof/>
        </w:rPr>
        <w:t>6</w:t>
      </w:r>
      <w:r w:rsidR="00C62F3B">
        <w:rPr>
          <w:noProof/>
        </w:rPr>
        <w:fldChar w:fldCharType="end"/>
      </w:r>
      <w:r w:rsidR="007E5469">
        <w:t>.</w:t>
      </w:r>
      <w:proofErr w:type="gramEnd"/>
      <w:r w:rsidR="00C62F3B">
        <w:fldChar w:fldCharType="begin"/>
      </w:r>
      <w:r w:rsidR="00C62F3B">
        <w:instrText xml:space="preserve"> SEQ Table \* ARABIC \s 1 </w:instrText>
      </w:r>
      <w:r w:rsidR="00C62F3B">
        <w:fldChar w:fldCharType="separate"/>
      </w:r>
      <w:r w:rsidR="00D51AD6">
        <w:rPr>
          <w:noProof/>
        </w:rPr>
        <w:t>5</w:t>
      </w:r>
      <w:r w:rsidR="00C62F3B">
        <w:rPr>
          <w:noProof/>
        </w:rPr>
        <w:fldChar w:fldCharType="end"/>
      </w:r>
      <w:r>
        <w:tab/>
      </w:r>
      <w:r w:rsidRPr="00123034">
        <w:t>JGN proposed capital expenditure by category over the 2015–20 access arrangement period ($million, 2015)</w:t>
      </w:r>
    </w:p>
    <w:tbl>
      <w:tblPr>
        <w:tblStyle w:val="AERtable-numbers"/>
        <w:tblW w:w="5000" w:type="pct"/>
        <w:tblLook w:val="04A0" w:firstRow="1" w:lastRow="0" w:firstColumn="1" w:lastColumn="0" w:noHBand="0" w:noVBand="1"/>
      </w:tblPr>
      <w:tblGrid>
        <w:gridCol w:w="3276"/>
        <w:gridCol w:w="861"/>
        <w:gridCol w:w="864"/>
        <w:gridCol w:w="862"/>
        <w:gridCol w:w="861"/>
        <w:gridCol w:w="862"/>
        <w:gridCol w:w="1107"/>
      </w:tblGrid>
      <w:tr w:rsidR="00123034" w:rsidRPr="004F416F" w:rsidTr="00C102FE">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884" w:type="pct"/>
            <w:hideMark/>
          </w:tcPr>
          <w:p w:rsidR="00123034" w:rsidRPr="00123034" w:rsidRDefault="00123034" w:rsidP="00123034">
            <w:r w:rsidRPr="00413233">
              <w:t> Category</w:t>
            </w:r>
          </w:p>
        </w:tc>
        <w:tc>
          <w:tcPr>
            <w:tcW w:w="495" w:type="pct"/>
            <w:hideMark/>
          </w:tcPr>
          <w:p w:rsidR="00123034" w:rsidRPr="00123034" w:rsidRDefault="00123034" w:rsidP="00123034">
            <w:pPr>
              <w:pStyle w:val="AERtabletextright"/>
              <w:cnfStyle w:val="100000000000" w:firstRow="1" w:lastRow="0" w:firstColumn="0" w:lastColumn="0" w:oddVBand="0" w:evenVBand="0" w:oddHBand="0" w:evenHBand="0" w:firstRowFirstColumn="0" w:firstRowLastColumn="0" w:lastRowFirstColumn="0" w:lastRowLastColumn="0"/>
            </w:pPr>
            <w:r w:rsidRPr="00413233">
              <w:t>20</w:t>
            </w:r>
            <w:r w:rsidRPr="00123034">
              <w:t>15-16</w:t>
            </w:r>
          </w:p>
        </w:tc>
        <w:tc>
          <w:tcPr>
            <w:tcW w:w="497" w:type="pct"/>
            <w:hideMark/>
          </w:tcPr>
          <w:p w:rsidR="00123034" w:rsidRPr="00123034" w:rsidRDefault="00123034" w:rsidP="00123034">
            <w:pPr>
              <w:pStyle w:val="AERtabletextright"/>
              <w:cnfStyle w:val="100000000000" w:firstRow="1" w:lastRow="0" w:firstColumn="0" w:lastColumn="0" w:oddVBand="0" w:evenVBand="0" w:oddHBand="0" w:evenHBand="0" w:firstRowFirstColumn="0" w:firstRowLastColumn="0" w:lastRowFirstColumn="0" w:lastRowLastColumn="0"/>
            </w:pPr>
            <w:r w:rsidRPr="00413233">
              <w:t>20</w:t>
            </w:r>
            <w:r w:rsidRPr="00123034">
              <w:t>16-17</w:t>
            </w:r>
          </w:p>
        </w:tc>
        <w:tc>
          <w:tcPr>
            <w:tcW w:w="496" w:type="pct"/>
            <w:hideMark/>
          </w:tcPr>
          <w:p w:rsidR="00123034" w:rsidRPr="00123034" w:rsidRDefault="00123034" w:rsidP="00123034">
            <w:pPr>
              <w:pStyle w:val="AERtabletextright"/>
              <w:cnfStyle w:val="100000000000" w:firstRow="1" w:lastRow="0" w:firstColumn="0" w:lastColumn="0" w:oddVBand="0" w:evenVBand="0" w:oddHBand="0" w:evenHBand="0" w:firstRowFirstColumn="0" w:firstRowLastColumn="0" w:lastRowFirstColumn="0" w:lastRowLastColumn="0"/>
            </w:pPr>
            <w:r w:rsidRPr="00413233">
              <w:t>20</w:t>
            </w:r>
            <w:r w:rsidRPr="00123034">
              <w:t>17-18</w:t>
            </w:r>
          </w:p>
        </w:tc>
        <w:tc>
          <w:tcPr>
            <w:tcW w:w="495" w:type="pct"/>
            <w:hideMark/>
          </w:tcPr>
          <w:p w:rsidR="00123034" w:rsidRPr="00123034" w:rsidRDefault="00123034" w:rsidP="00123034">
            <w:pPr>
              <w:pStyle w:val="AERtabletextright"/>
              <w:cnfStyle w:val="100000000000" w:firstRow="1" w:lastRow="0" w:firstColumn="0" w:lastColumn="0" w:oddVBand="0" w:evenVBand="0" w:oddHBand="0" w:evenHBand="0" w:firstRowFirstColumn="0" w:firstRowLastColumn="0" w:lastRowFirstColumn="0" w:lastRowLastColumn="0"/>
            </w:pPr>
            <w:r w:rsidRPr="00413233">
              <w:t>201</w:t>
            </w:r>
            <w:r w:rsidRPr="00123034">
              <w:t>8-19</w:t>
            </w:r>
          </w:p>
        </w:tc>
        <w:tc>
          <w:tcPr>
            <w:tcW w:w="496" w:type="pct"/>
            <w:hideMark/>
          </w:tcPr>
          <w:p w:rsidR="00123034" w:rsidRPr="00123034" w:rsidRDefault="00123034" w:rsidP="00123034">
            <w:pPr>
              <w:pStyle w:val="AERtabletextright"/>
              <w:cnfStyle w:val="100000000000" w:firstRow="1" w:lastRow="0" w:firstColumn="0" w:lastColumn="0" w:oddVBand="0" w:evenVBand="0" w:oddHBand="0" w:evenHBand="0" w:firstRowFirstColumn="0" w:firstRowLastColumn="0" w:lastRowFirstColumn="0" w:lastRowLastColumn="0"/>
            </w:pPr>
            <w:r w:rsidRPr="00413233">
              <w:t>201</w:t>
            </w:r>
            <w:r w:rsidRPr="00123034">
              <w:t>9-20</w:t>
            </w:r>
          </w:p>
        </w:tc>
        <w:tc>
          <w:tcPr>
            <w:tcW w:w="637" w:type="pct"/>
          </w:tcPr>
          <w:p w:rsidR="00123034" w:rsidRPr="00123034" w:rsidRDefault="00123034" w:rsidP="00123034">
            <w:pPr>
              <w:pStyle w:val="AERtabletextright"/>
              <w:cnfStyle w:val="100000000000" w:firstRow="1" w:lastRow="0" w:firstColumn="0" w:lastColumn="0" w:oddVBand="0" w:evenVBand="0" w:oddHBand="0" w:evenHBand="0" w:firstRowFirstColumn="0" w:firstRowLastColumn="0" w:lastRowFirstColumn="0" w:lastRowLastColumn="0"/>
            </w:pPr>
            <w:r>
              <w:t>T</w:t>
            </w:r>
            <w:r w:rsidRPr="00123034">
              <w:t>otal</w:t>
            </w:r>
          </w:p>
        </w:tc>
      </w:tr>
      <w:tr w:rsidR="0016547A" w:rsidRPr="004F416F" w:rsidTr="00123034">
        <w:trPr>
          <w:trHeight w:val="300"/>
        </w:trPr>
        <w:tc>
          <w:tcPr>
            <w:cnfStyle w:val="001000000000" w:firstRow="0" w:lastRow="0" w:firstColumn="1" w:lastColumn="0" w:oddVBand="0" w:evenVBand="0" w:oddHBand="0" w:evenHBand="0" w:firstRowFirstColumn="0" w:firstRowLastColumn="0" w:lastRowFirstColumn="0" w:lastRowLastColumn="0"/>
            <w:tcW w:w="1884" w:type="pct"/>
            <w:vAlign w:val="bottom"/>
            <w:hideMark/>
          </w:tcPr>
          <w:p w:rsidR="0016547A" w:rsidRPr="0016547A" w:rsidRDefault="0016547A" w:rsidP="0016547A">
            <w:r w:rsidRPr="0016547A">
              <w:t>Connections/Market expansion</w:t>
            </w:r>
          </w:p>
        </w:tc>
        <w:tc>
          <w:tcPr>
            <w:tcW w:w="495" w:type="pct"/>
            <w:vAlign w:val="top"/>
          </w:tcPr>
          <w:p w:rsidR="0016547A" w:rsidRPr="0016547A" w:rsidRDefault="0016547A" w:rsidP="00B96463">
            <w:pPr>
              <w:cnfStyle w:val="000000000000" w:firstRow="0" w:lastRow="0" w:firstColumn="0" w:lastColumn="0" w:oddVBand="0" w:evenVBand="0" w:oddHBand="0" w:evenHBand="0" w:firstRowFirstColumn="0" w:firstRowLastColumn="0" w:lastRowFirstColumn="0" w:lastRowLastColumn="0"/>
            </w:pPr>
            <w:r w:rsidRPr="0016547A">
              <w:t xml:space="preserve"> 84.5 </w:t>
            </w:r>
          </w:p>
        </w:tc>
        <w:tc>
          <w:tcPr>
            <w:tcW w:w="497" w:type="pct"/>
            <w:vAlign w:val="top"/>
          </w:tcPr>
          <w:p w:rsidR="0016547A" w:rsidRPr="0016547A" w:rsidRDefault="0016547A" w:rsidP="00B96463">
            <w:pPr>
              <w:cnfStyle w:val="000000000000" w:firstRow="0" w:lastRow="0" w:firstColumn="0" w:lastColumn="0" w:oddVBand="0" w:evenVBand="0" w:oddHBand="0" w:evenHBand="0" w:firstRowFirstColumn="0" w:firstRowLastColumn="0" w:lastRowFirstColumn="0" w:lastRowLastColumn="0"/>
            </w:pPr>
            <w:r w:rsidRPr="0016547A">
              <w:t xml:space="preserve"> 83.1 </w:t>
            </w:r>
          </w:p>
        </w:tc>
        <w:tc>
          <w:tcPr>
            <w:tcW w:w="496" w:type="pct"/>
            <w:vAlign w:val="top"/>
          </w:tcPr>
          <w:p w:rsidR="0016547A" w:rsidRPr="0016547A" w:rsidRDefault="0016547A" w:rsidP="00B96463">
            <w:pPr>
              <w:cnfStyle w:val="000000000000" w:firstRow="0" w:lastRow="0" w:firstColumn="0" w:lastColumn="0" w:oddVBand="0" w:evenVBand="0" w:oddHBand="0" w:evenHBand="0" w:firstRowFirstColumn="0" w:firstRowLastColumn="0" w:lastRowFirstColumn="0" w:lastRowLastColumn="0"/>
            </w:pPr>
            <w:r w:rsidRPr="0016547A">
              <w:t xml:space="preserve"> 80.4 </w:t>
            </w:r>
          </w:p>
        </w:tc>
        <w:tc>
          <w:tcPr>
            <w:tcW w:w="495" w:type="pct"/>
            <w:vAlign w:val="top"/>
          </w:tcPr>
          <w:p w:rsidR="0016547A" w:rsidRPr="0016547A" w:rsidRDefault="0016547A" w:rsidP="00B96463">
            <w:pPr>
              <w:cnfStyle w:val="000000000000" w:firstRow="0" w:lastRow="0" w:firstColumn="0" w:lastColumn="0" w:oddVBand="0" w:evenVBand="0" w:oddHBand="0" w:evenHBand="0" w:firstRowFirstColumn="0" w:firstRowLastColumn="0" w:lastRowFirstColumn="0" w:lastRowLastColumn="0"/>
            </w:pPr>
            <w:r w:rsidRPr="0016547A">
              <w:t xml:space="preserve"> 79.6 </w:t>
            </w:r>
          </w:p>
        </w:tc>
        <w:tc>
          <w:tcPr>
            <w:tcW w:w="496" w:type="pct"/>
            <w:vAlign w:val="top"/>
          </w:tcPr>
          <w:p w:rsidR="0016547A" w:rsidRPr="0016547A" w:rsidRDefault="0016547A" w:rsidP="00B96463">
            <w:pPr>
              <w:cnfStyle w:val="000000000000" w:firstRow="0" w:lastRow="0" w:firstColumn="0" w:lastColumn="0" w:oddVBand="0" w:evenVBand="0" w:oddHBand="0" w:evenHBand="0" w:firstRowFirstColumn="0" w:firstRowLastColumn="0" w:lastRowFirstColumn="0" w:lastRowLastColumn="0"/>
            </w:pPr>
            <w:r w:rsidRPr="0016547A">
              <w:t xml:space="preserve"> 74.2 </w:t>
            </w:r>
          </w:p>
        </w:tc>
        <w:tc>
          <w:tcPr>
            <w:tcW w:w="637" w:type="pct"/>
            <w:vAlign w:val="top"/>
          </w:tcPr>
          <w:p w:rsidR="0016547A" w:rsidRPr="0016547A" w:rsidRDefault="0016547A" w:rsidP="00B96463">
            <w:pPr>
              <w:cnfStyle w:val="000000000000" w:firstRow="0" w:lastRow="0" w:firstColumn="0" w:lastColumn="0" w:oddVBand="0" w:evenVBand="0" w:oddHBand="0" w:evenHBand="0" w:firstRowFirstColumn="0" w:firstRowLastColumn="0" w:lastRowFirstColumn="0" w:lastRowLastColumn="0"/>
            </w:pPr>
            <w:r w:rsidRPr="0016547A">
              <w:t xml:space="preserve"> 401.9 </w:t>
            </w:r>
          </w:p>
        </w:tc>
      </w:tr>
      <w:tr w:rsidR="0016547A" w:rsidRPr="004F416F" w:rsidTr="001230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84" w:type="pct"/>
            <w:vAlign w:val="bottom"/>
            <w:hideMark/>
          </w:tcPr>
          <w:p w:rsidR="0016547A" w:rsidRPr="0016547A" w:rsidRDefault="0016547A" w:rsidP="0016547A">
            <w:r w:rsidRPr="0016547A">
              <w:t>Augmentation/Growth capacity</w:t>
            </w:r>
          </w:p>
        </w:tc>
        <w:tc>
          <w:tcPr>
            <w:tcW w:w="495" w:type="pct"/>
            <w:vAlign w:val="top"/>
          </w:tcPr>
          <w:p w:rsidR="0016547A" w:rsidRPr="0016547A" w:rsidRDefault="0016547A" w:rsidP="00B96463">
            <w:pPr>
              <w:cnfStyle w:val="000000010000" w:firstRow="0" w:lastRow="0" w:firstColumn="0" w:lastColumn="0" w:oddVBand="0" w:evenVBand="0" w:oddHBand="0" w:evenHBand="1" w:firstRowFirstColumn="0" w:firstRowLastColumn="0" w:lastRowFirstColumn="0" w:lastRowLastColumn="0"/>
            </w:pPr>
            <w:r w:rsidRPr="0016547A">
              <w:t xml:space="preserve"> 17.6 </w:t>
            </w:r>
          </w:p>
        </w:tc>
        <w:tc>
          <w:tcPr>
            <w:tcW w:w="497" w:type="pct"/>
            <w:vAlign w:val="top"/>
          </w:tcPr>
          <w:p w:rsidR="0016547A" w:rsidRPr="0016547A" w:rsidRDefault="0016547A" w:rsidP="00B96463">
            <w:pPr>
              <w:cnfStyle w:val="000000010000" w:firstRow="0" w:lastRow="0" w:firstColumn="0" w:lastColumn="0" w:oddVBand="0" w:evenVBand="0" w:oddHBand="0" w:evenHBand="1" w:firstRowFirstColumn="0" w:firstRowLastColumn="0" w:lastRowFirstColumn="0" w:lastRowLastColumn="0"/>
            </w:pPr>
            <w:r w:rsidRPr="0016547A">
              <w:t xml:space="preserve"> 18.0 </w:t>
            </w:r>
          </w:p>
        </w:tc>
        <w:tc>
          <w:tcPr>
            <w:tcW w:w="496" w:type="pct"/>
            <w:vAlign w:val="top"/>
          </w:tcPr>
          <w:p w:rsidR="0016547A" w:rsidRPr="0016547A" w:rsidRDefault="0016547A" w:rsidP="00B96463">
            <w:pPr>
              <w:cnfStyle w:val="000000010000" w:firstRow="0" w:lastRow="0" w:firstColumn="0" w:lastColumn="0" w:oddVBand="0" w:evenVBand="0" w:oddHBand="0" w:evenHBand="1" w:firstRowFirstColumn="0" w:firstRowLastColumn="0" w:lastRowFirstColumn="0" w:lastRowLastColumn="0"/>
            </w:pPr>
            <w:r w:rsidRPr="0016547A">
              <w:t xml:space="preserve"> 22.5 </w:t>
            </w:r>
          </w:p>
        </w:tc>
        <w:tc>
          <w:tcPr>
            <w:tcW w:w="495" w:type="pct"/>
            <w:vAlign w:val="top"/>
          </w:tcPr>
          <w:p w:rsidR="0016547A" w:rsidRPr="0016547A" w:rsidRDefault="0016547A" w:rsidP="00B96463">
            <w:pPr>
              <w:cnfStyle w:val="000000010000" w:firstRow="0" w:lastRow="0" w:firstColumn="0" w:lastColumn="0" w:oddVBand="0" w:evenVBand="0" w:oddHBand="0" w:evenHBand="1" w:firstRowFirstColumn="0" w:firstRowLastColumn="0" w:lastRowFirstColumn="0" w:lastRowLastColumn="0"/>
            </w:pPr>
            <w:r w:rsidRPr="0016547A">
              <w:t xml:space="preserve"> 18.9 </w:t>
            </w:r>
          </w:p>
        </w:tc>
        <w:tc>
          <w:tcPr>
            <w:tcW w:w="496" w:type="pct"/>
            <w:vAlign w:val="top"/>
          </w:tcPr>
          <w:p w:rsidR="0016547A" w:rsidRPr="0016547A" w:rsidRDefault="0016547A" w:rsidP="00B96463">
            <w:pPr>
              <w:cnfStyle w:val="000000010000" w:firstRow="0" w:lastRow="0" w:firstColumn="0" w:lastColumn="0" w:oddVBand="0" w:evenVBand="0" w:oddHBand="0" w:evenHBand="1" w:firstRowFirstColumn="0" w:firstRowLastColumn="0" w:lastRowFirstColumn="0" w:lastRowLastColumn="0"/>
            </w:pPr>
            <w:r w:rsidRPr="0016547A">
              <w:t xml:space="preserve"> 14.9 </w:t>
            </w:r>
          </w:p>
        </w:tc>
        <w:tc>
          <w:tcPr>
            <w:tcW w:w="637" w:type="pct"/>
            <w:vAlign w:val="top"/>
          </w:tcPr>
          <w:p w:rsidR="0016547A" w:rsidRPr="0016547A" w:rsidRDefault="0016547A" w:rsidP="00B96463">
            <w:pPr>
              <w:cnfStyle w:val="000000010000" w:firstRow="0" w:lastRow="0" w:firstColumn="0" w:lastColumn="0" w:oddVBand="0" w:evenVBand="0" w:oddHBand="0" w:evenHBand="1" w:firstRowFirstColumn="0" w:firstRowLastColumn="0" w:lastRowFirstColumn="0" w:lastRowLastColumn="0"/>
            </w:pPr>
            <w:r w:rsidRPr="0016547A">
              <w:t xml:space="preserve"> 92.0 </w:t>
            </w:r>
          </w:p>
        </w:tc>
      </w:tr>
      <w:tr w:rsidR="0016547A" w:rsidRPr="004F416F" w:rsidTr="00123034">
        <w:trPr>
          <w:trHeight w:val="300"/>
        </w:trPr>
        <w:tc>
          <w:tcPr>
            <w:cnfStyle w:val="001000000000" w:firstRow="0" w:lastRow="0" w:firstColumn="1" w:lastColumn="0" w:oddVBand="0" w:evenVBand="0" w:oddHBand="0" w:evenHBand="0" w:firstRowFirstColumn="0" w:firstRowLastColumn="0" w:lastRowFirstColumn="0" w:lastRowLastColumn="0"/>
            <w:tcW w:w="1884" w:type="pct"/>
            <w:vAlign w:val="bottom"/>
            <w:hideMark/>
          </w:tcPr>
          <w:p w:rsidR="0016547A" w:rsidRPr="0016547A" w:rsidRDefault="0016547A" w:rsidP="0016547A">
            <w:r w:rsidRPr="0016547A">
              <w:t>Mains and service renewal</w:t>
            </w:r>
          </w:p>
        </w:tc>
        <w:tc>
          <w:tcPr>
            <w:tcW w:w="495" w:type="pct"/>
            <w:vAlign w:val="top"/>
          </w:tcPr>
          <w:p w:rsidR="0016547A" w:rsidRPr="0016547A" w:rsidRDefault="0016547A" w:rsidP="00B96463">
            <w:pPr>
              <w:cnfStyle w:val="000000000000" w:firstRow="0" w:lastRow="0" w:firstColumn="0" w:lastColumn="0" w:oddVBand="0" w:evenVBand="0" w:oddHBand="0" w:evenHBand="0" w:firstRowFirstColumn="0" w:firstRowLastColumn="0" w:lastRowFirstColumn="0" w:lastRowLastColumn="0"/>
            </w:pPr>
            <w:r w:rsidRPr="0016547A">
              <w:t xml:space="preserve"> 12.5 </w:t>
            </w:r>
          </w:p>
        </w:tc>
        <w:tc>
          <w:tcPr>
            <w:tcW w:w="497" w:type="pct"/>
            <w:vAlign w:val="top"/>
          </w:tcPr>
          <w:p w:rsidR="0016547A" w:rsidRPr="0016547A" w:rsidRDefault="0016547A" w:rsidP="00B96463">
            <w:pPr>
              <w:cnfStyle w:val="000000000000" w:firstRow="0" w:lastRow="0" w:firstColumn="0" w:lastColumn="0" w:oddVBand="0" w:evenVBand="0" w:oddHBand="0" w:evenHBand="0" w:firstRowFirstColumn="0" w:firstRowLastColumn="0" w:lastRowFirstColumn="0" w:lastRowLastColumn="0"/>
            </w:pPr>
            <w:r w:rsidRPr="0016547A">
              <w:t xml:space="preserve"> 16.3 </w:t>
            </w:r>
          </w:p>
        </w:tc>
        <w:tc>
          <w:tcPr>
            <w:tcW w:w="496" w:type="pct"/>
            <w:vAlign w:val="top"/>
          </w:tcPr>
          <w:p w:rsidR="0016547A" w:rsidRPr="0016547A" w:rsidRDefault="0016547A" w:rsidP="00B96463">
            <w:pPr>
              <w:cnfStyle w:val="000000000000" w:firstRow="0" w:lastRow="0" w:firstColumn="0" w:lastColumn="0" w:oddVBand="0" w:evenVBand="0" w:oddHBand="0" w:evenHBand="0" w:firstRowFirstColumn="0" w:firstRowLastColumn="0" w:lastRowFirstColumn="0" w:lastRowLastColumn="0"/>
            </w:pPr>
            <w:r w:rsidRPr="0016547A">
              <w:t xml:space="preserve"> 12.9 </w:t>
            </w:r>
          </w:p>
        </w:tc>
        <w:tc>
          <w:tcPr>
            <w:tcW w:w="495" w:type="pct"/>
            <w:vAlign w:val="top"/>
          </w:tcPr>
          <w:p w:rsidR="0016547A" w:rsidRPr="0016547A" w:rsidRDefault="0016547A" w:rsidP="00B96463">
            <w:pPr>
              <w:cnfStyle w:val="000000000000" w:firstRow="0" w:lastRow="0" w:firstColumn="0" w:lastColumn="0" w:oddVBand="0" w:evenVBand="0" w:oddHBand="0" w:evenHBand="0" w:firstRowFirstColumn="0" w:firstRowLastColumn="0" w:lastRowFirstColumn="0" w:lastRowLastColumn="0"/>
            </w:pPr>
            <w:r w:rsidRPr="0016547A">
              <w:t xml:space="preserve"> 9.0 </w:t>
            </w:r>
          </w:p>
        </w:tc>
        <w:tc>
          <w:tcPr>
            <w:tcW w:w="496" w:type="pct"/>
            <w:vAlign w:val="top"/>
          </w:tcPr>
          <w:p w:rsidR="0016547A" w:rsidRPr="0016547A" w:rsidRDefault="0016547A" w:rsidP="00B96463">
            <w:pPr>
              <w:cnfStyle w:val="000000000000" w:firstRow="0" w:lastRow="0" w:firstColumn="0" w:lastColumn="0" w:oddVBand="0" w:evenVBand="0" w:oddHBand="0" w:evenHBand="0" w:firstRowFirstColumn="0" w:firstRowLastColumn="0" w:lastRowFirstColumn="0" w:lastRowLastColumn="0"/>
            </w:pPr>
            <w:r w:rsidRPr="0016547A">
              <w:t xml:space="preserve"> 10.0 </w:t>
            </w:r>
          </w:p>
        </w:tc>
        <w:tc>
          <w:tcPr>
            <w:tcW w:w="637" w:type="pct"/>
            <w:vAlign w:val="top"/>
          </w:tcPr>
          <w:p w:rsidR="0016547A" w:rsidRPr="0016547A" w:rsidRDefault="0016547A" w:rsidP="00B96463">
            <w:pPr>
              <w:cnfStyle w:val="000000000000" w:firstRow="0" w:lastRow="0" w:firstColumn="0" w:lastColumn="0" w:oddVBand="0" w:evenVBand="0" w:oddHBand="0" w:evenHBand="0" w:firstRowFirstColumn="0" w:firstRowLastColumn="0" w:lastRowFirstColumn="0" w:lastRowLastColumn="0"/>
            </w:pPr>
            <w:r w:rsidRPr="0016547A">
              <w:t xml:space="preserve"> 60.7 </w:t>
            </w:r>
          </w:p>
        </w:tc>
      </w:tr>
      <w:tr w:rsidR="00441000" w:rsidRPr="004F416F" w:rsidTr="0055217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84" w:type="pct"/>
            <w:vAlign w:val="top"/>
            <w:hideMark/>
          </w:tcPr>
          <w:p w:rsidR="00441000" w:rsidRPr="00441000" w:rsidRDefault="00441000" w:rsidP="00441000">
            <w:r w:rsidRPr="00441000">
              <w:t>Facilities renewal and upgrade</w:t>
            </w:r>
          </w:p>
        </w:tc>
        <w:tc>
          <w:tcPr>
            <w:tcW w:w="495" w:type="pct"/>
            <w:vAlign w:val="top"/>
          </w:tcPr>
          <w:p w:rsidR="00441000" w:rsidRPr="00441000" w:rsidRDefault="00441000" w:rsidP="00B96463">
            <w:pPr>
              <w:cnfStyle w:val="000000010000" w:firstRow="0" w:lastRow="0" w:firstColumn="0" w:lastColumn="0" w:oddVBand="0" w:evenVBand="0" w:oddHBand="0" w:evenHBand="1" w:firstRowFirstColumn="0" w:firstRowLastColumn="0" w:lastRowFirstColumn="0" w:lastRowLastColumn="0"/>
            </w:pPr>
            <w:r w:rsidRPr="00441000">
              <w:t xml:space="preserve"> 23.1 </w:t>
            </w:r>
          </w:p>
        </w:tc>
        <w:tc>
          <w:tcPr>
            <w:tcW w:w="497" w:type="pct"/>
            <w:vAlign w:val="top"/>
          </w:tcPr>
          <w:p w:rsidR="00441000" w:rsidRPr="00441000" w:rsidRDefault="00441000" w:rsidP="00B96463">
            <w:pPr>
              <w:cnfStyle w:val="000000010000" w:firstRow="0" w:lastRow="0" w:firstColumn="0" w:lastColumn="0" w:oddVBand="0" w:evenVBand="0" w:oddHBand="0" w:evenHBand="1" w:firstRowFirstColumn="0" w:firstRowLastColumn="0" w:lastRowFirstColumn="0" w:lastRowLastColumn="0"/>
            </w:pPr>
            <w:r w:rsidRPr="00441000">
              <w:t xml:space="preserve"> 20.1 </w:t>
            </w:r>
          </w:p>
        </w:tc>
        <w:tc>
          <w:tcPr>
            <w:tcW w:w="496" w:type="pct"/>
            <w:vAlign w:val="top"/>
          </w:tcPr>
          <w:p w:rsidR="00441000" w:rsidRPr="00441000" w:rsidRDefault="00441000" w:rsidP="00B96463">
            <w:pPr>
              <w:cnfStyle w:val="000000010000" w:firstRow="0" w:lastRow="0" w:firstColumn="0" w:lastColumn="0" w:oddVBand="0" w:evenVBand="0" w:oddHBand="0" w:evenHBand="1" w:firstRowFirstColumn="0" w:firstRowLastColumn="0" w:lastRowFirstColumn="0" w:lastRowLastColumn="0"/>
            </w:pPr>
            <w:r w:rsidRPr="00441000">
              <w:t xml:space="preserve"> 24.3 </w:t>
            </w:r>
          </w:p>
        </w:tc>
        <w:tc>
          <w:tcPr>
            <w:tcW w:w="495" w:type="pct"/>
            <w:vAlign w:val="top"/>
          </w:tcPr>
          <w:p w:rsidR="00441000" w:rsidRPr="00441000" w:rsidRDefault="00441000" w:rsidP="00B96463">
            <w:pPr>
              <w:cnfStyle w:val="000000010000" w:firstRow="0" w:lastRow="0" w:firstColumn="0" w:lastColumn="0" w:oddVBand="0" w:evenVBand="0" w:oddHBand="0" w:evenHBand="1" w:firstRowFirstColumn="0" w:firstRowLastColumn="0" w:lastRowFirstColumn="0" w:lastRowLastColumn="0"/>
            </w:pPr>
            <w:r w:rsidRPr="00441000">
              <w:t xml:space="preserve"> 27.0 </w:t>
            </w:r>
          </w:p>
        </w:tc>
        <w:tc>
          <w:tcPr>
            <w:tcW w:w="496" w:type="pct"/>
            <w:vAlign w:val="top"/>
          </w:tcPr>
          <w:p w:rsidR="00441000" w:rsidRPr="00441000" w:rsidRDefault="00441000" w:rsidP="00B96463">
            <w:pPr>
              <w:cnfStyle w:val="000000010000" w:firstRow="0" w:lastRow="0" w:firstColumn="0" w:lastColumn="0" w:oddVBand="0" w:evenVBand="0" w:oddHBand="0" w:evenHBand="1" w:firstRowFirstColumn="0" w:firstRowLastColumn="0" w:lastRowFirstColumn="0" w:lastRowLastColumn="0"/>
            </w:pPr>
            <w:r w:rsidRPr="00441000">
              <w:t xml:space="preserve"> 19.6 </w:t>
            </w:r>
          </w:p>
        </w:tc>
        <w:tc>
          <w:tcPr>
            <w:tcW w:w="637" w:type="pct"/>
            <w:vAlign w:val="top"/>
          </w:tcPr>
          <w:p w:rsidR="00441000" w:rsidRPr="00441000" w:rsidRDefault="00441000" w:rsidP="00B96463">
            <w:pPr>
              <w:cnfStyle w:val="000000010000" w:firstRow="0" w:lastRow="0" w:firstColumn="0" w:lastColumn="0" w:oddVBand="0" w:evenVBand="0" w:oddHBand="0" w:evenHBand="1" w:firstRowFirstColumn="0" w:firstRowLastColumn="0" w:lastRowFirstColumn="0" w:lastRowLastColumn="0"/>
            </w:pPr>
            <w:r w:rsidRPr="00441000">
              <w:t xml:space="preserve"> 114.1 </w:t>
            </w:r>
          </w:p>
        </w:tc>
      </w:tr>
      <w:tr w:rsidR="00441000" w:rsidRPr="004F416F" w:rsidTr="00552174">
        <w:trPr>
          <w:trHeight w:val="300"/>
        </w:trPr>
        <w:tc>
          <w:tcPr>
            <w:cnfStyle w:val="001000000000" w:firstRow="0" w:lastRow="0" w:firstColumn="1" w:lastColumn="0" w:oddVBand="0" w:evenVBand="0" w:oddHBand="0" w:evenHBand="0" w:firstRowFirstColumn="0" w:firstRowLastColumn="0" w:lastRowFirstColumn="0" w:lastRowLastColumn="0"/>
            <w:tcW w:w="1884" w:type="pct"/>
            <w:vAlign w:val="top"/>
            <w:hideMark/>
          </w:tcPr>
          <w:p w:rsidR="00441000" w:rsidRPr="00441000" w:rsidRDefault="00441000" w:rsidP="00441000">
            <w:r w:rsidRPr="00441000">
              <w:lastRenderedPageBreak/>
              <w:t>SCADA</w:t>
            </w:r>
          </w:p>
        </w:tc>
        <w:tc>
          <w:tcPr>
            <w:tcW w:w="495" w:type="pct"/>
            <w:vAlign w:val="top"/>
          </w:tcPr>
          <w:p w:rsidR="00441000" w:rsidRPr="00441000" w:rsidRDefault="00441000" w:rsidP="00B96463">
            <w:pPr>
              <w:cnfStyle w:val="000000000000" w:firstRow="0" w:lastRow="0" w:firstColumn="0" w:lastColumn="0" w:oddVBand="0" w:evenVBand="0" w:oddHBand="0" w:evenHBand="0" w:firstRowFirstColumn="0" w:firstRowLastColumn="0" w:lastRowFirstColumn="0" w:lastRowLastColumn="0"/>
            </w:pPr>
            <w:r w:rsidRPr="00441000">
              <w:t xml:space="preserve"> 1.3 </w:t>
            </w:r>
          </w:p>
        </w:tc>
        <w:tc>
          <w:tcPr>
            <w:tcW w:w="497" w:type="pct"/>
            <w:vAlign w:val="top"/>
          </w:tcPr>
          <w:p w:rsidR="00441000" w:rsidRPr="00441000" w:rsidRDefault="00441000" w:rsidP="00B96463">
            <w:pPr>
              <w:cnfStyle w:val="000000000000" w:firstRow="0" w:lastRow="0" w:firstColumn="0" w:lastColumn="0" w:oddVBand="0" w:evenVBand="0" w:oddHBand="0" w:evenHBand="0" w:firstRowFirstColumn="0" w:firstRowLastColumn="0" w:lastRowFirstColumn="0" w:lastRowLastColumn="0"/>
            </w:pPr>
            <w:r w:rsidRPr="00441000">
              <w:t xml:space="preserve"> 2.7 </w:t>
            </w:r>
          </w:p>
        </w:tc>
        <w:tc>
          <w:tcPr>
            <w:tcW w:w="496" w:type="pct"/>
            <w:vAlign w:val="top"/>
          </w:tcPr>
          <w:p w:rsidR="00441000" w:rsidRPr="00441000" w:rsidRDefault="00441000" w:rsidP="00B96463">
            <w:pPr>
              <w:cnfStyle w:val="000000000000" w:firstRow="0" w:lastRow="0" w:firstColumn="0" w:lastColumn="0" w:oddVBand="0" w:evenVBand="0" w:oddHBand="0" w:evenHBand="0" w:firstRowFirstColumn="0" w:firstRowLastColumn="0" w:lastRowFirstColumn="0" w:lastRowLastColumn="0"/>
            </w:pPr>
            <w:r w:rsidRPr="00441000">
              <w:t xml:space="preserve"> 2.7 </w:t>
            </w:r>
          </w:p>
        </w:tc>
        <w:tc>
          <w:tcPr>
            <w:tcW w:w="495" w:type="pct"/>
            <w:vAlign w:val="top"/>
          </w:tcPr>
          <w:p w:rsidR="00441000" w:rsidRPr="00441000" w:rsidRDefault="00441000" w:rsidP="00B96463">
            <w:pPr>
              <w:cnfStyle w:val="000000000000" w:firstRow="0" w:lastRow="0" w:firstColumn="0" w:lastColumn="0" w:oddVBand="0" w:evenVBand="0" w:oddHBand="0" w:evenHBand="0" w:firstRowFirstColumn="0" w:firstRowLastColumn="0" w:lastRowFirstColumn="0" w:lastRowLastColumn="0"/>
            </w:pPr>
            <w:r w:rsidRPr="00441000">
              <w:t xml:space="preserve"> 2.2 </w:t>
            </w:r>
          </w:p>
        </w:tc>
        <w:tc>
          <w:tcPr>
            <w:tcW w:w="496" w:type="pct"/>
            <w:vAlign w:val="top"/>
          </w:tcPr>
          <w:p w:rsidR="00441000" w:rsidRPr="00441000" w:rsidRDefault="00441000" w:rsidP="00B96463">
            <w:pPr>
              <w:cnfStyle w:val="000000000000" w:firstRow="0" w:lastRow="0" w:firstColumn="0" w:lastColumn="0" w:oddVBand="0" w:evenVBand="0" w:oddHBand="0" w:evenHBand="0" w:firstRowFirstColumn="0" w:firstRowLastColumn="0" w:lastRowFirstColumn="0" w:lastRowLastColumn="0"/>
            </w:pPr>
            <w:r w:rsidRPr="00441000">
              <w:t xml:space="preserve"> 0.7 </w:t>
            </w:r>
          </w:p>
        </w:tc>
        <w:tc>
          <w:tcPr>
            <w:tcW w:w="637" w:type="pct"/>
            <w:vAlign w:val="top"/>
          </w:tcPr>
          <w:p w:rsidR="00441000" w:rsidRPr="00441000" w:rsidRDefault="00441000" w:rsidP="00B96463">
            <w:pPr>
              <w:cnfStyle w:val="000000000000" w:firstRow="0" w:lastRow="0" w:firstColumn="0" w:lastColumn="0" w:oddVBand="0" w:evenVBand="0" w:oddHBand="0" w:evenHBand="0" w:firstRowFirstColumn="0" w:firstRowLastColumn="0" w:lastRowFirstColumn="0" w:lastRowLastColumn="0"/>
            </w:pPr>
            <w:r w:rsidRPr="00441000">
              <w:t xml:space="preserve"> 9.6 </w:t>
            </w:r>
          </w:p>
        </w:tc>
      </w:tr>
      <w:tr w:rsidR="00441000" w:rsidRPr="004F416F" w:rsidTr="0055217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84" w:type="pct"/>
            <w:vAlign w:val="top"/>
            <w:hideMark/>
          </w:tcPr>
          <w:p w:rsidR="00441000" w:rsidRPr="00441000" w:rsidRDefault="00441000" w:rsidP="00441000">
            <w:r w:rsidRPr="00441000">
              <w:t>Meter renewal and upgrade</w:t>
            </w:r>
          </w:p>
        </w:tc>
        <w:tc>
          <w:tcPr>
            <w:tcW w:w="495" w:type="pct"/>
            <w:vAlign w:val="top"/>
          </w:tcPr>
          <w:p w:rsidR="00441000" w:rsidRPr="00441000" w:rsidRDefault="00441000" w:rsidP="00B96463">
            <w:pPr>
              <w:cnfStyle w:val="000000010000" w:firstRow="0" w:lastRow="0" w:firstColumn="0" w:lastColumn="0" w:oddVBand="0" w:evenVBand="0" w:oddHBand="0" w:evenHBand="1" w:firstRowFirstColumn="0" w:firstRowLastColumn="0" w:lastRowFirstColumn="0" w:lastRowLastColumn="0"/>
            </w:pPr>
            <w:r w:rsidRPr="00441000">
              <w:t xml:space="preserve"> 32.6 </w:t>
            </w:r>
          </w:p>
        </w:tc>
        <w:tc>
          <w:tcPr>
            <w:tcW w:w="497" w:type="pct"/>
            <w:vAlign w:val="top"/>
          </w:tcPr>
          <w:p w:rsidR="00441000" w:rsidRPr="00441000" w:rsidRDefault="00441000" w:rsidP="00B96463">
            <w:pPr>
              <w:cnfStyle w:val="000000010000" w:firstRow="0" w:lastRow="0" w:firstColumn="0" w:lastColumn="0" w:oddVBand="0" w:evenVBand="0" w:oddHBand="0" w:evenHBand="1" w:firstRowFirstColumn="0" w:firstRowLastColumn="0" w:lastRowFirstColumn="0" w:lastRowLastColumn="0"/>
            </w:pPr>
            <w:r w:rsidRPr="00441000">
              <w:t xml:space="preserve"> 34.1 </w:t>
            </w:r>
          </w:p>
        </w:tc>
        <w:tc>
          <w:tcPr>
            <w:tcW w:w="496" w:type="pct"/>
            <w:vAlign w:val="top"/>
          </w:tcPr>
          <w:p w:rsidR="00441000" w:rsidRPr="00441000" w:rsidRDefault="00441000" w:rsidP="00B96463">
            <w:pPr>
              <w:cnfStyle w:val="000000010000" w:firstRow="0" w:lastRow="0" w:firstColumn="0" w:lastColumn="0" w:oddVBand="0" w:evenVBand="0" w:oddHBand="0" w:evenHBand="1" w:firstRowFirstColumn="0" w:firstRowLastColumn="0" w:lastRowFirstColumn="0" w:lastRowLastColumn="0"/>
            </w:pPr>
            <w:r w:rsidRPr="00441000">
              <w:t xml:space="preserve"> 35.3 </w:t>
            </w:r>
          </w:p>
        </w:tc>
        <w:tc>
          <w:tcPr>
            <w:tcW w:w="495" w:type="pct"/>
            <w:vAlign w:val="top"/>
          </w:tcPr>
          <w:p w:rsidR="00441000" w:rsidRPr="00441000" w:rsidRDefault="00441000" w:rsidP="00B96463">
            <w:pPr>
              <w:cnfStyle w:val="000000010000" w:firstRow="0" w:lastRow="0" w:firstColumn="0" w:lastColumn="0" w:oddVBand="0" w:evenVBand="0" w:oddHBand="0" w:evenHBand="1" w:firstRowFirstColumn="0" w:firstRowLastColumn="0" w:lastRowFirstColumn="0" w:lastRowLastColumn="0"/>
            </w:pPr>
            <w:r w:rsidRPr="00441000">
              <w:t xml:space="preserve"> 34.2 </w:t>
            </w:r>
          </w:p>
        </w:tc>
        <w:tc>
          <w:tcPr>
            <w:tcW w:w="496" w:type="pct"/>
            <w:vAlign w:val="top"/>
          </w:tcPr>
          <w:p w:rsidR="00441000" w:rsidRPr="00441000" w:rsidRDefault="00441000" w:rsidP="00B96463">
            <w:pPr>
              <w:cnfStyle w:val="000000010000" w:firstRow="0" w:lastRow="0" w:firstColumn="0" w:lastColumn="0" w:oddVBand="0" w:evenVBand="0" w:oddHBand="0" w:evenHBand="1" w:firstRowFirstColumn="0" w:firstRowLastColumn="0" w:lastRowFirstColumn="0" w:lastRowLastColumn="0"/>
            </w:pPr>
            <w:r w:rsidRPr="00441000">
              <w:t xml:space="preserve"> 30.4 </w:t>
            </w:r>
          </w:p>
        </w:tc>
        <w:tc>
          <w:tcPr>
            <w:tcW w:w="637" w:type="pct"/>
            <w:vAlign w:val="top"/>
          </w:tcPr>
          <w:p w:rsidR="00441000" w:rsidRPr="00441000" w:rsidRDefault="00441000" w:rsidP="00B96463">
            <w:pPr>
              <w:cnfStyle w:val="000000010000" w:firstRow="0" w:lastRow="0" w:firstColumn="0" w:lastColumn="0" w:oddVBand="0" w:evenVBand="0" w:oddHBand="0" w:evenHBand="1" w:firstRowFirstColumn="0" w:firstRowLastColumn="0" w:lastRowFirstColumn="0" w:lastRowLastColumn="0"/>
            </w:pPr>
            <w:r w:rsidRPr="00441000">
              <w:t xml:space="preserve"> 166.6 </w:t>
            </w:r>
          </w:p>
        </w:tc>
      </w:tr>
      <w:tr w:rsidR="00441000" w:rsidRPr="004F416F" w:rsidTr="00552174">
        <w:trPr>
          <w:trHeight w:val="300"/>
        </w:trPr>
        <w:tc>
          <w:tcPr>
            <w:cnfStyle w:val="001000000000" w:firstRow="0" w:lastRow="0" w:firstColumn="1" w:lastColumn="0" w:oddVBand="0" w:evenVBand="0" w:oddHBand="0" w:evenHBand="0" w:firstRowFirstColumn="0" w:firstRowLastColumn="0" w:lastRowFirstColumn="0" w:lastRowLastColumn="0"/>
            <w:tcW w:w="1884" w:type="pct"/>
            <w:vAlign w:val="top"/>
            <w:hideMark/>
          </w:tcPr>
          <w:p w:rsidR="00441000" w:rsidRPr="00441000" w:rsidRDefault="00441000" w:rsidP="00441000">
            <w:r w:rsidRPr="00441000">
              <w:t>Government authority work</w:t>
            </w:r>
          </w:p>
        </w:tc>
        <w:tc>
          <w:tcPr>
            <w:tcW w:w="495" w:type="pct"/>
            <w:vAlign w:val="top"/>
          </w:tcPr>
          <w:p w:rsidR="00441000" w:rsidRPr="00441000" w:rsidRDefault="00441000" w:rsidP="00B96463">
            <w:pPr>
              <w:cnfStyle w:val="000000000000" w:firstRow="0" w:lastRow="0" w:firstColumn="0" w:lastColumn="0" w:oddVBand="0" w:evenVBand="0" w:oddHBand="0" w:evenHBand="0" w:firstRowFirstColumn="0" w:firstRowLastColumn="0" w:lastRowFirstColumn="0" w:lastRowLastColumn="0"/>
            </w:pPr>
            <w:r w:rsidRPr="00441000">
              <w:t xml:space="preserve"> 0.5 </w:t>
            </w:r>
          </w:p>
        </w:tc>
        <w:tc>
          <w:tcPr>
            <w:tcW w:w="497" w:type="pct"/>
            <w:vAlign w:val="top"/>
          </w:tcPr>
          <w:p w:rsidR="00441000" w:rsidRPr="00441000" w:rsidRDefault="00441000" w:rsidP="00B96463">
            <w:pPr>
              <w:cnfStyle w:val="000000000000" w:firstRow="0" w:lastRow="0" w:firstColumn="0" w:lastColumn="0" w:oddVBand="0" w:evenVBand="0" w:oddHBand="0" w:evenHBand="0" w:firstRowFirstColumn="0" w:firstRowLastColumn="0" w:lastRowFirstColumn="0" w:lastRowLastColumn="0"/>
            </w:pPr>
            <w:r w:rsidRPr="00441000">
              <w:t xml:space="preserve"> 0.5 </w:t>
            </w:r>
          </w:p>
        </w:tc>
        <w:tc>
          <w:tcPr>
            <w:tcW w:w="496" w:type="pct"/>
            <w:vAlign w:val="top"/>
          </w:tcPr>
          <w:p w:rsidR="00441000" w:rsidRPr="00441000" w:rsidRDefault="00441000" w:rsidP="00B96463">
            <w:pPr>
              <w:cnfStyle w:val="000000000000" w:firstRow="0" w:lastRow="0" w:firstColumn="0" w:lastColumn="0" w:oddVBand="0" w:evenVBand="0" w:oddHBand="0" w:evenHBand="0" w:firstRowFirstColumn="0" w:firstRowLastColumn="0" w:lastRowFirstColumn="0" w:lastRowLastColumn="0"/>
            </w:pPr>
            <w:r w:rsidRPr="00441000">
              <w:t xml:space="preserve"> 0.5 </w:t>
            </w:r>
          </w:p>
        </w:tc>
        <w:tc>
          <w:tcPr>
            <w:tcW w:w="495" w:type="pct"/>
            <w:vAlign w:val="top"/>
          </w:tcPr>
          <w:p w:rsidR="00441000" w:rsidRPr="00441000" w:rsidRDefault="00441000" w:rsidP="00B96463">
            <w:pPr>
              <w:cnfStyle w:val="000000000000" w:firstRow="0" w:lastRow="0" w:firstColumn="0" w:lastColumn="0" w:oddVBand="0" w:evenVBand="0" w:oddHBand="0" w:evenHBand="0" w:firstRowFirstColumn="0" w:firstRowLastColumn="0" w:lastRowFirstColumn="0" w:lastRowLastColumn="0"/>
            </w:pPr>
            <w:r w:rsidRPr="00441000">
              <w:t xml:space="preserve"> 0.5 </w:t>
            </w:r>
          </w:p>
        </w:tc>
        <w:tc>
          <w:tcPr>
            <w:tcW w:w="496" w:type="pct"/>
            <w:vAlign w:val="top"/>
          </w:tcPr>
          <w:p w:rsidR="00441000" w:rsidRPr="00441000" w:rsidRDefault="00441000" w:rsidP="00B96463">
            <w:pPr>
              <w:cnfStyle w:val="000000000000" w:firstRow="0" w:lastRow="0" w:firstColumn="0" w:lastColumn="0" w:oddVBand="0" w:evenVBand="0" w:oddHBand="0" w:evenHBand="0" w:firstRowFirstColumn="0" w:firstRowLastColumn="0" w:lastRowFirstColumn="0" w:lastRowLastColumn="0"/>
            </w:pPr>
            <w:r w:rsidRPr="00441000">
              <w:t xml:space="preserve"> 0.5 </w:t>
            </w:r>
          </w:p>
        </w:tc>
        <w:tc>
          <w:tcPr>
            <w:tcW w:w="637" w:type="pct"/>
            <w:vAlign w:val="top"/>
          </w:tcPr>
          <w:p w:rsidR="00441000" w:rsidRPr="00441000" w:rsidRDefault="00441000" w:rsidP="00B96463">
            <w:pPr>
              <w:cnfStyle w:val="000000000000" w:firstRow="0" w:lastRow="0" w:firstColumn="0" w:lastColumn="0" w:oddVBand="0" w:evenVBand="0" w:oddHBand="0" w:evenHBand="0" w:firstRowFirstColumn="0" w:firstRowLastColumn="0" w:lastRowFirstColumn="0" w:lastRowLastColumn="0"/>
            </w:pPr>
            <w:r w:rsidRPr="00441000">
              <w:t xml:space="preserve"> 2.6 </w:t>
            </w:r>
          </w:p>
        </w:tc>
      </w:tr>
      <w:tr w:rsidR="00441000" w:rsidRPr="004F416F" w:rsidTr="0055217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84" w:type="pct"/>
            <w:vAlign w:val="top"/>
            <w:hideMark/>
          </w:tcPr>
          <w:p w:rsidR="00441000" w:rsidRPr="00441000" w:rsidRDefault="00441000" w:rsidP="00441000">
            <w:r w:rsidRPr="00441000">
              <w:t>IT</w:t>
            </w:r>
          </w:p>
        </w:tc>
        <w:tc>
          <w:tcPr>
            <w:tcW w:w="495" w:type="pct"/>
            <w:vAlign w:val="top"/>
          </w:tcPr>
          <w:p w:rsidR="00441000" w:rsidRPr="00441000" w:rsidRDefault="00441000" w:rsidP="00B96463">
            <w:pPr>
              <w:cnfStyle w:val="000000010000" w:firstRow="0" w:lastRow="0" w:firstColumn="0" w:lastColumn="0" w:oddVBand="0" w:evenVBand="0" w:oddHBand="0" w:evenHBand="1" w:firstRowFirstColumn="0" w:firstRowLastColumn="0" w:lastRowFirstColumn="0" w:lastRowLastColumn="0"/>
            </w:pPr>
            <w:r w:rsidRPr="00441000">
              <w:t xml:space="preserve"> 42.6 </w:t>
            </w:r>
          </w:p>
        </w:tc>
        <w:tc>
          <w:tcPr>
            <w:tcW w:w="497" w:type="pct"/>
            <w:vAlign w:val="top"/>
          </w:tcPr>
          <w:p w:rsidR="00441000" w:rsidRPr="00441000" w:rsidRDefault="00441000" w:rsidP="00B96463">
            <w:pPr>
              <w:cnfStyle w:val="000000010000" w:firstRow="0" w:lastRow="0" w:firstColumn="0" w:lastColumn="0" w:oddVBand="0" w:evenVBand="0" w:oddHBand="0" w:evenHBand="1" w:firstRowFirstColumn="0" w:firstRowLastColumn="0" w:lastRowFirstColumn="0" w:lastRowLastColumn="0"/>
            </w:pPr>
            <w:r w:rsidRPr="00441000">
              <w:t xml:space="preserve"> 30.7 </w:t>
            </w:r>
          </w:p>
        </w:tc>
        <w:tc>
          <w:tcPr>
            <w:tcW w:w="496" w:type="pct"/>
            <w:vAlign w:val="top"/>
          </w:tcPr>
          <w:p w:rsidR="00441000" w:rsidRPr="00441000" w:rsidRDefault="00441000" w:rsidP="00B96463">
            <w:pPr>
              <w:cnfStyle w:val="000000010000" w:firstRow="0" w:lastRow="0" w:firstColumn="0" w:lastColumn="0" w:oddVBand="0" w:evenVBand="0" w:oddHBand="0" w:evenHBand="1" w:firstRowFirstColumn="0" w:firstRowLastColumn="0" w:lastRowFirstColumn="0" w:lastRowLastColumn="0"/>
            </w:pPr>
            <w:r w:rsidRPr="00441000">
              <w:t xml:space="preserve"> 33.1 </w:t>
            </w:r>
          </w:p>
        </w:tc>
        <w:tc>
          <w:tcPr>
            <w:tcW w:w="495" w:type="pct"/>
            <w:vAlign w:val="top"/>
          </w:tcPr>
          <w:p w:rsidR="00441000" w:rsidRPr="00441000" w:rsidRDefault="00441000" w:rsidP="00B96463">
            <w:pPr>
              <w:cnfStyle w:val="000000010000" w:firstRow="0" w:lastRow="0" w:firstColumn="0" w:lastColumn="0" w:oddVBand="0" w:evenVBand="0" w:oddHBand="0" w:evenHBand="1" w:firstRowFirstColumn="0" w:firstRowLastColumn="0" w:lastRowFirstColumn="0" w:lastRowLastColumn="0"/>
            </w:pPr>
            <w:r w:rsidRPr="00441000">
              <w:t xml:space="preserve"> 18.5 </w:t>
            </w:r>
          </w:p>
        </w:tc>
        <w:tc>
          <w:tcPr>
            <w:tcW w:w="496" w:type="pct"/>
            <w:vAlign w:val="top"/>
          </w:tcPr>
          <w:p w:rsidR="00441000" w:rsidRPr="00441000" w:rsidRDefault="00441000" w:rsidP="00B96463">
            <w:pPr>
              <w:cnfStyle w:val="000000010000" w:firstRow="0" w:lastRow="0" w:firstColumn="0" w:lastColumn="0" w:oddVBand="0" w:evenVBand="0" w:oddHBand="0" w:evenHBand="1" w:firstRowFirstColumn="0" w:firstRowLastColumn="0" w:lastRowFirstColumn="0" w:lastRowLastColumn="0"/>
            </w:pPr>
            <w:r w:rsidRPr="00441000">
              <w:t xml:space="preserve"> 10.8 </w:t>
            </w:r>
          </w:p>
        </w:tc>
        <w:tc>
          <w:tcPr>
            <w:tcW w:w="637" w:type="pct"/>
            <w:vAlign w:val="top"/>
          </w:tcPr>
          <w:p w:rsidR="00441000" w:rsidRPr="00441000" w:rsidRDefault="00441000" w:rsidP="00B96463">
            <w:pPr>
              <w:cnfStyle w:val="000000010000" w:firstRow="0" w:lastRow="0" w:firstColumn="0" w:lastColumn="0" w:oddVBand="0" w:evenVBand="0" w:oddHBand="0" w:evenHBand="1" w:firstRowFirstColumn="0" w:firstRowLastColumn="0" w:lastRowFirstColumn="0" w:lastRowLastColumn="0"/>
            </w:pPr>
            <w:r w:rsidRPr="00441000">
              <w:t xml:space="preserve"> 135.8 </w:t>
            </w:r>
          </w:p>
        </w:tc>
      </w:tr>
      <w:tr w:rsidR="00441000" w:rsidRPr="004F416F" w:rsidTr="00552174">
        <w:trPr>
          <w:trHeight w:val="300"/>
        </w:trPr>
        <w:tc>
          <w:tcPr>
            <w:cnfStyle w:val="001000000000" w:firstRow="0" w:lastRow="0" w:firstColumn="1" w:lastColumn="0" w:oddVBand="0" w:evenVBand="0" w:oddHBand="0" w:evenHBand="0" w:firstRowFirstColumn="0" w:firstRowLastColumn="0" w:lastRowFirstColumn="0" w:lastRowLastColumn="0"/>
            <w:tcW w:w="1884" w:type="pct"/>
            <w:vAlign w:val="top"/>
            <w:hideMark/>
          </w:tcPr>
          <w:p w:rsidR="00441000" w:rsidRPr="00441000" w:rsidRDefault="00441000" w:rsidP="00441000">
            <w:r w:rsidRPr="00441000">
              <w:t>Other - non-distribution</w:t>
            </w:r>
          </w:p>
        </w:tc>
        <w:tc>
          <w:tcPr>
            <w:tcW w:w="495" w:type="pct"/>
            <w:vAlign w:val="top"/>
          </w:tcPr>
          <w:p w:rsidR="00441000" w:rsidRPr="00441000" w:rsidRDefault="00441000" w:rsidP="00B96463">
            <w:pPr>
              <w:cnfStyle w:val="000000000000" w:firstRow="0" w:lastRow="0" w:firstColumn="0" w:lastColumn="0" w:oddVBand="0" w:evenVBand="0" w:oddHBand="0" w:evenHBand="0" w:firstRowFirstColumn="0" w:firstRowLastColumn="0" w:lastRowFirstColumn="0" w:lastRowLastColumn="0"/>
            </w:pPr>
            <w:r w:rsidRPr="00441000">
              <w:t xml:space="preserve"> 7.3 </w:t>
            </w:r>
          </w:p>
        </w:tc>
        <w:tc>
          <w:tcPr>
            <w:tcW w:w="497" w:type="pct"/>
            <w:vAlign w:val="top"/>
          </w:tcPr>
          <w:p w:rsidR="00441000" w:rsidRPr="00441000" w:rsidRDefault="00441000" w:rsidP="00B96463">
            <w:pPr>
              <w:cnfStyle w:val="000000000000" w:firstRow="0" w:lastRow="0" w:firstColumn="0" w:lastColumn="0" w:oddVBand="0" w:evenVBand="0" w:oddHBand="0" w:evenHBand="0" w:firstRowFirstColumn="0" w:firstRowLastColumn="0" w:lastRowFirstColumn="0" w:lastRowLastColumn="0"/>
            </w:pPr>
            <w:r w:rsidRPr="00441000">
              <w:t xml:space="preserve"> 3.2 </w:t>
            </w:r>
          </w:p>
        </w:tc>
        <w:tc>
          <w:tcPr>
            <w:tcW w:w="496" w:type="pct"/>
            <w:vAlign w:val="top"/>
          </w:tcPr>
          <w:p w:rsidR="00441000" w:rsidRPr="00441000" w:rsidRDefault="00441000" w:rsidP="00B96463">
            <w:pPr>
              <w:cnfStyle w:val="000000000000" w:firstRow="0" w:lastRow="0" w:firstColumn="0" w:lastColumn="0" w:oddVBand="0" w:evenVBand="0" w:oddHBand="0" w:evenHBand="0" w:firstRowFirstColumn="0" w:firstRowLastColumn="0" w:lastRowFirstColumn="0" w:lastRowLastColumn="0"/>
            </w:pPr>
            <w:r w:rsidRPr="00441000">
              <w:t xml:space="preserve"> 3.9 </w:t>
            </w:r>
          </w:p>
        </w:tc>
        <w:tc>
          <w:tcPr>
            <w:tcW w:w="495" w:type="pct"/>
            <w:vAlign w:val="top"/>
          </w:tcPr>
          <w:p w:rsidR="00441000" w:rsidRPr="00441000" w:rsidRDefault="00441000" w:rsidP="00B96463">
            <w:pPr>
              <w:cnfStyle w:val="000000000000" w:firstRow="0" w:lastRow="0" w:firstColumn="0" w:lastColumn="0" w:oddVBand="0" w:evenVBand="0" w:oddHBand="0" w:evenHBand="0" w:firstRowFirstColumn="0" w:firstRowLastColumn="0" w:lastRowFirstColumn="0" w:lastRowLastColumn="0"/>
            </w:pPr>
            <w:r w:rsidRPr="00441000">
              <w:t xml:space="preserve"> 7.3 </w:t>
            </w:r>
          </w:p>
        </w:tc>
        <w:tc>
          <w:tcPr>
            <w:tcW w:w="496" w:type="pct"/>
            <w:vAlign w:val="top"/>
          </w:tcPr>
          <w:p w:rsidR="00441000" w:rsidRPr="00441000" w:rsidRDefault="00441000" w:rsidP="00B96463">
            <w:pPr>
              <w:cnfStyle w:val="000000000000" w:firstRow="0" w:lastRow="0" w:firstColumn="0" w:lastColumn="0" w:oddVBand="0" w:evenVBand="0" w:oddHBand="0" w:evenHBand="0" w:firstRowFirstColumn="0" w:firstRowLastColumn="0" w:lastRowFirstColumn="0" w:lastRowLastColumn="0"/>
            </w:pPr>
            <w:r w:rsidRPr="00441000">
              <w:t xml:space="preserve"> 4.7 </w:t>
            </w:r>
          </w:p>
        </w:tc>
        <w:tc>
          <w:tcPr>
            <w:tcW w:w="637" w:type="pct"/>
            <w:vAlign w:val="top"/>
          </w:tcPr>
          <w:p w:rsidR="00441000" w:rsidRPr="00441000" w:rsidRDefault="00441000" w:rsidP="00B96463">
            <w:pPr>
              <w:cnfStyle w:val="000000000000" w:firstRow="0" w:lastRow="0" w:firstColumn="0" w:lastColumn="0" w:oddVBand="0" w:evenVBand="0" w:oddHBand="0" w:evenHBand="0" w:firstRowFirstColumn="0" w:firstRowLastColumn="0" w:lastRowFirstColumn="0" w:lastRowLastColumn="0"/>
            </w:pPr>
            <w:r w:rsidRPr="00441000">
              <w:t xml:space="preserve"> 26.4 </w:t>
            </w:r>
          </w:p>
        </w:tc>
      </w:tr>
      <w:tr w:rsidR="00441000" w:rsidRPr="004F416F" w:rsidTr="0055217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84" w:type="pct"/>
            <w:vAlign w:val="top"/>
          </w:tcPr>
          <w:p w:rsidR="00441000" w:rsidRPr="00441000" w:rsidRDefault="00441000" w:rsidP="00441000">
            <w:r w:rsidRPr="00441000">
              <w:t>TPC/FEED</w:t>
            </w:r>
          </w:p>
        </w:tc>
        <w:tc>
          <w:tcPr>
            <w:tcW w:w="495" w:type="pct"/>
            <w:vAlign w:val="top"/>
          </w:tcPr>
          <w:p w:rsidR="00441000" w:rsidRPr="00441000" w:rsidRDefault="00441000" w:rsidP="00B96463">
            <w:pPr>
              <w:cnfStyle w:val="000000010000" w:firstRow="0" w:lastRow="0" w:firstColumn="0" w:lastColumn="0" w:oddVBand="0" w:evenVBand="0" w:oddHBand="0" w:evenHBand="1" w:firstRowFirstColumn="0" w:firstRowLastColumn="0" w:lastRowFirstColumn="0" w:lastRowLastColumn="0"/>
            </w:pPr>
            <w:r w:rsidRPr="00441000">
              <w:t xml:space="preserve"> 1.0 </w:t>
            </w:r>
          </w:p>
        </w:tc>
        <w:tc>
          <w:tcPr>
            <w:tcW w:w="497" w:type="pct"/>
            <w:vAlign w:val="top"/>
          </w:tcPr>
          <w:p w:rsidR="00441000" w:rsidRPr="00441000" w:rsidRDefault="00441000" w:rsidP="00B96463">
            <w:pPr>
              <w:cnfStyle w:val="000000010000" w:firstRow="0" w:lastRow="0" w:firstColumn="0" w:lastColumn="0" w:oddVBand="0" w:evenVBand="0" w:oddHBand="0" w:evenHBand="1" w:firstRowFirstColumn="0" w:firstRowLastColumn="0" w:lastRowFirstColumn="0" w:lastRowLastColumn="0"/>
            </w:pPr>
            <w:r w:rsidRPr="00441000">
              <w:t xml:space="preserve"> 1.0 </w:t>
            </w:r>
          </w:p>
        </w:tc>
        <w:tc>
          <w:tcPr>
            <w:tcW w:w="496" w:type="pct"/>
            <w:vAlign w:val="top"/>
          </w:tcPr>
          <w:p w:rsidR="00441000" w:rsidRPr="00441000" w:rsidRDefault="00441000" w:rsidP="00B96463">
            <w:pPr>
              <w:cnfStyle w:val="000000010000" w:firstRow="0" w:lastRow="0" w:firstColumn="0" w:lastColumn="0" w:oddVBand="0" w:evenVBand="0" w:oddHBand="0" w:evenHBand="1" w:firstRowFirstColumn="0" w:firstRowLastColumn="0" w:lastRowFirstColumn="0" w:lastRowLastColumn="0"/>
            </w:pPr>
            <w:r w:rsidRPr="00441000">
              <w:t xml:space="preserve"> 1.0 </w:t>
            </w:r>
          </w:p>
        </w:tc>
        <w:tc>
          <w:tcPr>
            <w:tcW w:w="495" w:type="pct"/>
            <w:vAlign w:val="top"/>
          </w:tcPr>
          <w:p w:rsidR="00441000" w:rsidRPr="00441000" w:rsidRDefault="00441000" w:rsidP="00B96463">
            <w:pPr>
              <w:cnfStyle w:val="000000010000" w:firstRow="0" w:lastRow="0" w:firstColumn="0" w:lastColumn="0" w:oddVBand="0" w:evenVBand="0" w:oddHBand="0" w:evenHBand="1" w:firstRowFirstColumn="0" w:firstRowLastColumn="0" w:lastRowFirstColumn="0" w:lastRowLastColumn="0"/>
            </w:pPr>
            <w:r w:rsidRPr="00441000">
              <w:t xml:space="preserve"> 1.1 </w:t>
            </w:r>
          </w:p>
        </w:tc>
        <w:tc>
          <w:tcPr>
            <w:tcW w:w="496" w:type="pct"/>
            <w:vAlign w:val="top"/>
          </w:tcPr>
          <w:p w:rsidR="00441000" w:rsidRPr="00441000" w:rsidRDefault="00441000" w:rsidP="00B96463">
            <w:pPr>
              <w:cnfStyle w:val="000000010000" w:firstRow="0" w:lastRow="0" w:firstColumn="0" w:lastColumn="0" w:oddVBand="0" w:evenVBand="0" w:oddHBand="0" w:evenHBand="1" w:firstRowFirstColumn="0" w:firstRowLastColumn="0" w:lastRowFirstColumn="0" w:lastRowLastColumn="0"/>
            </w:pPr>
            <w:r w:rsidRPr="00441000">
              <w:t xml:space="preserve"> 1.1 </w:t>
            </w:r>
          </w:p>
        </w:tc>
        <w:tc>
          <w:tcPr>
            <w:tcW w:w="637" w:type="pct"/>
            <w:vAlign w:val="top"/>
          </w:tcPr>
          <w:p w:rsidR="00441000" w:rsidRPr="00441000" w:rsidRDefault="00441000" w:rsidP="00B96463">
            <w:pPr>
              <w:cnfStyle w:val="000000010000" w:firstRow="0" w:lastRow="0" w:firstColumn="0" w:lastColumn="0" w:oddVBand="0" w:evenVBand="0" w:oddHBand="0" w:evenHBand="1" w:firstRowFirstColumn="0" w:firstRowLastColumn="0" w:lastRowFirstColumn="0" w:lastRowLastColumn="0"/>
            </w:pPr>
            <w:r w:rsidRPr="00441000">
              <w:t xml:space="preserve"> 5.2 </w:t>
            </w:r>
          </w:p>
        </w:tc>
      </w:tr>
      <w:tr w:rsidR="00441000" w:rsidRPr="004F416F" w:rsidTr="00552174">
        <w:trPr>
          <w:trHeight w:val="300"/>
        </w:trPr>
        <w:tc>
          <w:tcPr>
            <w:cnfStyle w:val="001000000000" w:firstRow="0" w:lastRow="0" w:firstColumn="1" w:lastColumn="0" w:oddVBand="0" w:evenVBand="0" w:oddHBand="0" w:evenHBand="0" w:firstRowFirstColumn="0" w:firstRowLastColumn="0" w:lastRowFirstColumn="0" w:lastRowLastColumn="0"/>
            <w:tcW w:w="1884" w:type="pct"/>
            <w:vAlign w:val="top"/>
            <w:hideMark/>
          </w:tcPr>
          <w:p w:rsidR="00441000" w:rsidRPr="00441000" w:rsidRDefault="00441000" w:rsidP="00441000">
            <w:r w:rsidRPr="00441000">
              <w:t>Overheads</w:t>
            </w:r>
          </w:p>
        </w:tc>
        <w:tc>
          <w:tcPr>
            <w:tcW w:w="495" w:type="pct"/>
            <w:vAlign w:val="top"/>
          </w:tcPr>
          <w:p w:rsidR="00441000" w:rsidRPr="00441000" w:rsidRDefault="00441000" w:rsidP="00B96463">
            <w:pPr>
              <w:cnfStyle w:val="000000000000" w:firstRow="0" w:lastRow="0" w:firstColumn="0" w:lastColumn="0" w:oddVBand="0" w:evenVBand="0" w:oddHBand="0" w:evenHBand="0" w:firstRowFirstColumn="0" w:firstRowLastColumn="0" w:lastRowFirstColumn="0" w:lastRowLastColumn="0"/>
            </w:pPr>
            <w:r w:rsidRPr="00441000">
              <w:t xml:space="preserve"> 25.0 </w:t>
            </w:r>
          </w:p>
        </w:tc>
        <w:tc>
          <w:tcPr>
            <w:tcW w:w="497" w:type="pct"/>
            <w:vAlign w:val="top"/>
          </w:tcPr>
          <w:p w:rsidR="00441000" w:rsidRPr="00441000" w:rsidRDefault="00441000" w:rsidP="00B96463">
            <w:pPr>
              <w:cnfStyle w:val="000000000000" w:firstRow="0" w:lastRow="0" w:firstColumn="0" w:lastColumn="0" w:oddVBand="0" w:evenVBand="0" w:oddHBand="0" w:evenHBand="0" w:firstRowFirstColumn="0" w:firstRowLastColumn="0" w:lastRowFirstColumn="0" w:lastRowLastColumn="0"/>
            </w:pPr>
            <w:r w:rsidRPr="00441000">
              <w:t xml:space="preserve"> 25.3 </w:t>
            </w:r>
          </w:p>
        </w:tc>
        <w:tc>
          <w:tcPr>
            <w:tcW w:w="496" w:type="pct"/>
            <w:vAlign w:val="top"/>
          </w:tcPr>
          <w:p w:rsidR="00441000" w:rsidRPr="00441000" w:rsidRDefault="00441000" w:rsidP="00B96463">
            <w:pPr>
              <w:cnfStyle w:val="000000000000" w:firstRow="0" w:lastRow="0" w:firstColumn="0" w:lastColumn="0" w:oddVBand="0" w:evenVBand="0" w:oddHBand="0" w:evenHBand="0" w:firstRowFirstColumn="0" w:firstRowLastColumn="0" w:lastRowFirstColumn="0" w:lastRowLastColumn="0"/>
            </w:pPr>
            <w:r w:rsidRPr="00441000">
              <w:t xml:space="preserve"> 25.6 </w:t>
            </w:r>
          </w:p>
        </w:tc>
        <w:tc>
          <w:tcPr>
            <w:tcW w:w="495" w:type="pct"/>
            <w:vAlign w:val="top"/>
          </w:tcPr>
          <w:p w:rsidR="00441000" w:rsidRPr="00441000" w:rsidRDefault="00441000" w:rsidP="00B96463">
            <w:pPr>
              <w:cnfStyle w:val="000000000000" w:firstRow="0" w:lastRow="0" w:firstColumn="0" w:lastColumn="0" w:oddVBand="0" w:evenVBand="0" w:oddHBand="0" w:evenHBand="0" w:firstRowFirstColumn="0" w:firstRowLastColumn="0" w:lastRowFirstColumn="0" w:lastRowLastColumn="0"/>
            </w:pPr>
            <w:r w:rsidRPr="00441000">
              <w:t xml:space="preserve"> 25.8 </w:t>
            </w:r>
          </w:p>
        </w:tc>
        <w:tc>
          <w:tcPr>
            <w:tcW w:w="496" w:type="pct"/>
            <w:vAlign w:val="top"/>
          </w:tcPr>
          <w:p w:rsidR="00441000" w:rsidRPr="00441000" w:rsidRDefault="00441000" w:rsidP="00B96463">
            <w:pPr>
              <w:cnfStyle w:val="000000000000" w:firstRow="0" w:lastRow="0" w:firstColumn="0" w:lastColumn="0" w:oddVBand="0" w:evenVBand="0" w:oddHBand="0" w:evenHBand="0" w:firstRowFirstColumn="0" w:firstRowLastColumn="0" w:lastRowFirstColumn="0" w:lastRowLastColumn="0"/>
            </w:pPr>
            <w:r w:rsidRPr="00441000">
              <w:t xml:space="preserve"> 26.1 </w:t>
            </w:r>
          </w:p>
        </w:tc>
        <w:tc>
          <w:tcPr>
            <w:tcW w:w="637" w:type="pct"/>
            <w:vAlign w:val="top"/>
          </w:tcPr>
          <w:p w:rsidR="00441000" w:rsidRPr="00441000" w:rsidRDefault="00441000" w:rsidP="00B96463">
            <w:pPr>
              <w:cnfStyle w:val="000000000000" w:firstRow="0" w:lastRow="0" w:firstColumn="0" w:lastColumn="0" w:oddVBand="0" w:evenVBand="0" w:oddHBand="0" w:evenHBand="0" w:firstRowFirstColumn="0" w:firstRowLastColumn="0" w:lastRowFirstColumn="0" w:lastRowLastColumn="0"/>
            </w:pPr>
            <w:r w:rsidRPr="00441000">
              <w:t xml:space="preserve"> 127.7 </w:t>
            </w:r>
          </w:p>
        </w:tc>
      </w:tr>
      <w:tr w:rsidR="00441000" w:rsidRPr="004F416F" w:rsidTr="001230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84" w:type="pct"/>
            <w:vAlign w:val="bottom"/>
            <w:hideMark/>
          </w:tcPr>
          <w:p w:rsidR="00441000" w:rsidRPr="00441000" w:rsidRDefault="00441000" w:rsidP="00441000">
            <w:r w:rsidRPr="00441000">
              <w:t>GROSS TOTAL CAPITAL EXPENDITURE</w:t>
            </w:r>
          </w:p>
        </w:tc>
        <w:tc>
          <w:tcPr>
            <w:tcW w:w="495" w:type="pct"/>
            <w:vAlign w:val="top"/>
          </w:tcPr>
          <w:p w:rsidR="00441000" w:rsidRPr="00441000" w:rsidRDefault="00441000" w:rsidP="00B96463">
            <w:pPr>
              <w:cnfStyle w:val="000000010000" w:firstRow="0" w:lastRow="0" w:firstColumn="0" w:lastColumn="0" w:oddVBand="0" w:evenVBand="0" w:oddHBand="0" w:evenHBand="1" w:firstRowFirstColumn="0" w:firstRowLastColumn="0" w:lastRowFirstColumn="0" w:lastRowLastColumn="0"/>
            </w:pPr>
            <w:r w:rsidRPr="00441000">
              <w:t xml:space="preserve"> 249.6 </w:t>
            </w:r>
          </w:p>
        </w:tc>
        <w:tc>
          <w:tcPr>
            <w:tcW w:w="497" w:type="pct"/>
            <w:vAlign w:val="top"/>
          </w:tcPr>
          <w:p w:rsidR="00441000" w:rsidRPr="00441000" w:rsidRDefault="00441000" w:rsidP="00B96463">
            <w:pPr>
              <w:cnfStyle w:val="000000010000" w:firstRow="0" w:lastRow="0" w:firstColumn="0" w:lastColumn="0" w:oddVBand="0" w:evenVBand="0" w:oddHBand="0" w:evenHBand="1" w:firstRowFirstColumn="0" w:firstRowLastColumn="0" w:lastRowFirstColumn="0" w:lastRowLastColumn="0"/>
            </w:pPr>
            <w:r w:rsidRPr="00441000">
              <w:t xml:space="preserve"> 235.4 </w:t>
            </w:r>
          </w:p>
        </w:tc>
        <w:tc>
          <w:tcPr>
            <w:tcW w:w="496" w:type="pct"/>
            <w:vAlign w:val="top"/>
          </w:tcPr>
          <w:p w:rsidR="00441000" w:rsidRPr="00441000" w:rsidRDefault="00441000" w:rsidP="00B96463">
            <w:pPr>
              <w:cnfStyle w:val="000000010000" w:firstRow="0" w:lastRow="0" w:firstColumn="0" w:lastColumn="0" w:oddVBand="0" w:evenVBand="0" w:oddHBand="0" w:evenHBand="1" w:firstRowFirstColumn="0" w:firstRowLastColumn="0" w:lastRowFirstColumn="0" w:lastRowLastColumn="0"/>
            </w:pPr>
            <w:r w:rsidRPr="00441000">
              <w:t xml:space="preserve"> 242.4 </w:t>
            </w:r>
          </w:p>
        </w:tc>
        <w:tc>
          <w:tcPr>
            <w:tcW w:w="495" w:type="pct"/>
            <w:vAlign w:val="top"/>
          </w:tcPr>
          <w:p w:rsidR="00441000" w:rsidRPr="00441000" w:rsidRDefault="00441000" w:rsidP="00B96463">
            <w:pPr>
              <w:cnfStyle w:val="000000010000" w:firstRow="0" w:lastRow="0" w:firstColumn="0" w:lastColumn="0" w:oddVBand="0" w:evenVBand="0" w:oddHBand="0" w:evenHBand="1" w:firstRowFirstColumn="0" w:firstRowLastColumn="0" w:lastRowFirstColumn="0" w:lastRowLastColumn="0"/>
            </w:pPr>
            <w:r w:rsidRPr="00441000">
              <w:t xml:space="preserve"> 224.2 </w:t>
            </w:r>
          </w:p>
        </w:tc>
        <w:tc>
          <w:tcPr>
            <w:tcW w:w="496" w:type="pct"/>
            <w:vAlign w:val="top"/>
          </w:tcPr>
          <w:p w:rsidR="00441000" w:rsidRPr="00441000" w:rsidRDefault="00441000" w:rsidP="00B96463">
            <w:pPr>
              <w:cnfStyle w:val="000000010000" w:firstRow="0" w:lastRow="0" w:firstColumn="0" w:lastColumn="0" w:oddVBand="0" w:evenVBand="0" w:oddHBand="0" w:evenHBand="1" w:firstRowFirstColumn="0" w:firstRowLastColumn="0" w:lastRowFirstColumn="0" w:lastRowLastColumn="0"/>
            </w:pPr>
            <w:r w:rsidRPr="00441000">
              <w:t xml:space="preserve"> 192.9 </w:t>
            </w:r>
          </w:p>
        </w:tc>
        <w:tc>
          <w:tcPr>
            <w:tcW w:w="637" w:type="pct"/>
            <w:vAlign w:val="top"/>
          </w:tcPr>
          <w:p w:rsidR="00441000" w:rsidRPr="00441000" w:rsidRDefault="00441000" w:rsidP="00B96463">
            <w:pPr>
              <w:cnfStyle w:val="000000010000" w:firstRow="0" w:lastRow="0" w:firstColumn="0" w:lastColumn="0" w:oddVBand="0" w:evenVBand="0" w:oddHBand="0" w:evenHBand="1" w:firstRowFirstColumn="0" w:firstRowLastColumn="0" w:lastRowFirstColumn="0" w:lastRowLastColumn="0"/>
            </w:pPr>
            <w:r w:rsidRPr="00441000">
              <w:t xml:space="preserve"> 1,144.5 </w:t>
            </w:r>
          </w:p>
        </w:tc>
      </w:tr>
      <w:tr w:rsidR="00441000" w:rsidRPr="004F416F" w:rsidTr="00123034">
        <w:trPr>
          <w:trHeight w:val="300"/>
        </w:trPr>
        <w:tc>
          <w:tcPr>
            <w:cnfStyle w:val="001000000000" w:firstRow="0" w:lastRow="0" w:firstColumn="1" w:lastColumn="0" w:oddVBand="0" w:evenVBand="0" w:oddHBand="0" w:evenHBand="0" w:firstRowFirstColumn="0" w:firstRowLastColumn="0" w:lastRowFirstColumn="0" w:lastRowLastColumn="0"/>
            <w:tcW w:w="1884" w:type="pct"/>
            <w:vAlign w:val="bottom"/>
            <w:hideMark/>
          </w:tcPr>
          <w:p w:rsidR="00441000" w:rsidRPr="00441000" w:rsidRDefault="00441000" w:rsidP="00441000">
            <w:r w:rsidRPr="00441000">
              <w:t>Contributions</w:t>
            </w:r>
          </w:p>
        </w:tc>
        <w:tc>
          <w:tcPr>
            <w:tcW w:w="495" w:type="pct"/>
            <w:vAlign w:val="top"/>
          </w:tcPr>
          <w:p w:rsidR="00441000" w:rsidRPr="00441000" w:rsidRDefault="00441000" w:rsidP="00B96463">
            <w:pPr>
              <w:cnfStyle w:val="000000000000" w:firstRow="0" w:lastRow="0" w:firstColumn="0" w:lastColumn="0" w:oddVBand="0" w:evenVBand="0" w:oddHBand="0" w:evenHBand="0" w:firstRowFirstColumn="0" w:firstRowLastColumn="0" w:lastRowFirstColumn="0" w:lastRowLastColumn="0"/>
            </w:pPr>
            <w:r w:rsidRPr="00441000">
              <w:t xml:space="preserve"> 5.7 </w:t>
            </w:r>
          </w:p>
        </w:tc>
        <w:tc>
          <w:tcPr>
            <w:tcW w:w="497" w:type="pct"/>
            <w:vAlign w:val="top"/>
          </w:tcPr>
          <w:p w:rsidR="00441000" w:rsidRPr="00441000" w:rsidRDefault="00441000" w:rsidP="00B96463">
            <w:pPr>
              <w:cnfStyle w:val="000000000000" w:firstRow="0" w:lastRow="0" w:firstColumn="0" w:lastColumn="0" w:oddVBand="0" w:evenVBand="0" w:oddHBand="0" w:evenHBand="0" w:firstRowFirstColumn="0" w:firstRowLastColumn="0" w:lastRowFirstColumn="0" w:lastRowLastColumn="0"/>
            </w:pPr>
            <w:r w:rsidRPr="00441000">
              <w:t xml:space="preserve"> 5.2 </w:t>
            </w:r>
          </w:p>
        </w:tc>
        <w:tc>
          <w:tcPr>
            <w:tcW w:w="496" w:type="pct"/>
            <w:vAlign w:val="top"/>
          </w:tcPr>
          <w:p w:rsidR="00441000" w:rsidRPr="00441000" w:rsidRDefault="00441000" w:rsidP="00B96463">
            <w:pPr>
              <w:cnfStyle w:val="000000000000" w:firstRow="0" w:lastRow="0" w:firstColumn="0" w:lastColumn="0" w:oddVBand="0" w:evenVBand="0" w:oddHBand="0" w:evenHBand="0" w:firstRowFirstColumn="0" w:firstRowLastColumn="0" w:lastRowFirstColumn="0" w:lastRowLastColumn="0"/>
            </w:pPr>
            <w:r w:rsidRPr="00441000">
              <w:t xml:space="preserve"> 4.8 </w:t>
            </w:r>
          </w:p>
        </w:tc>
        <w:tc>
          <w:tcPr>
            <w:tcW w:w="495" w:type="pct"/>
            <w:vAlign w:val="top"/>
          </w:tcPr>
          <w:p w:rsidR="00441000" w:rsidRPr="00441000" w:rsidRDefault="00441000" w:rsidP="00B96463">
            <w:pPr>
              <w:cnfStyle w:val="000000000000" w:firstRow="0" w:lastRow="0" w:firstColumn="0" w:lastColumn="0" w:oddVBand="0" w:evenVBand="0" w:oddHBand="0" w:evenHBand="0" w:firstRowFirstColumn="0" w:firstRowLastColumn="0" w:lastRowFirstColumn="0" w:lastRowLastColumn="0"/>
            </w:pPr>
            <w:r w:rsidRPr="00441000">
              <w:t xml:space="preserve"> 4.9 </w:t>
            </w:r>
          </w:p>
        </w:tc>
        <w:tc>
          <w:tcPr>
            <w:tcW w:w="496" w:type="pct"/>
            <w:vAlign w:val="top"/>
          </w:tcPr>
          <w:p w:rsidR="00441000" w:rsidRPr="00441000" w:rsidRDefault="00441000" w:rsidP="00B96463">
            <w:pPr>
              <w:cnfStyle w:val="000000000000" w:firstRow="0" w:lastRow="0" w:firstColumn="0" w:lastColumn="0" w:oddVBand="0" w:evenVBand="0" w:oddHBand="0" w:evenHBand="0" w:firstRowFirstColumn="0" w:firstRowLastColumn="0" w:lastRowFirstColumn="0" w:lastRowLastColumn="0"/>
            </w:pPr>
            <w:r w:rsidRPr="00441000">
              <w:t xml:space="preserve"> 4.8 </w:t>
            </w:r>
          </w:p>
        </w:tc>
        <w:tc>
          <w:tcPr>
            <w:tcW w:w="637" w:type="pct"/>
            <w:vAlign w:val="top"/>
          </w:tcPr>
          <w:p w:rsidR="00441000" w:rsidRPr="00441000" w:rsidRDefault="00441000" w:rsidP="00B96463">
            <w:pPr>
              <w:cnfStyle w:val="000000000000" w:firstRow="0" w:lastRow="0" w:firstColumn="0" w:lastColumn="0" w:oddVBand="0" w:evenVBand="0" w:oddHBand="0" w:evenHBand="0" w:firstRowFirstColumn="0" w:firstRowLastColumn="0" w:lastRowFirstColumn="0" w:lastRowLastColumn="0"/>
            </w:pPr>
            <w:r w:rsidRPr="00441000">
              <w:t xml:space="preserve"> 25.5 </w:t>
            </w:r>
          </w:p>
        </w:tc>
      </w:tr>
      <w:tr w:rsidR="00441000" w:rsidRPr="004F416F" w:rsidTr="001230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84" w:type="pct"/>
            <w:vAlign w:val="bottom"/>
          </w:tcPr>
          <w:p w:rsidR="00441000" w:rsidRPr="00441000" w:rsidRDefault="00441000" w:rsidP="00441000">
            <w:r w:rsidRPr="00441000">
              <w:t>Asset disposals</w:t>
            </w:r>
          </w:p>
        </w:tc>
        <w:tc>
          <w:tcPr>
            <w:tcW w:w="495" w:type="pct"/>
            <w:vAlign w:val="top"/>
          </w:tcPr>
          <w:p w:rsidR="00441000" w:rsidRPr="00441000" w:rsidRDefault="00441000" w:rsidP="00B96463">
            <w:pPr>
              <w:cnfStyle w:val="000000010000" w:firstRow="0" w:lastRow="0" w:firstColumn="0" w:lastColumn="0" w:oddVBand="0" w:evenVBand="0" w:oddHBand="0" w:evenHBand="1" w:firstRowFirstColumn="0" w:firstRowLastColumn="0" w:lastRowFirstColumn="0" w:lastRowLastColumn="0"/>
            </w:pPr>
            <w:r w:rsidRPr="00441000">
              <w:t xml:space="preserve"> 0.1 </w:t>
            </w:r>
          </w:p>
        </w:tc>
        <w:tc>
          <w:tcPr>
            <w:tcW w:w="497" w:type="pct"/>
            <w:vAlign w:val="top"/>
          </w:tcPr>
          <w:p w:rsidR="00441000" w:rsidRPr="00441000" w:rsidRDefault="00441000" w:rsidP="00B96463">
            <w:pPr>
              <w:cnfStyle w:val="000000010000" w:firstRow="0" w:lastRow="0" w:firstColumn="0" w:lastColumn="0" w:oddVBand="0" w:evenVBand="0" w:oddHBand="0" w:evenHBand="1" w:firstRowFirstColumn="0" w:firstRowLastColumn="0" w:lastRowFirstColumn="0" w:lastRowLastColumn="0"/>
            </w:pPr>
            <w:r w:rsidRPr="00441000">
              <w:t xml:space="preserve"> 0.1 </w:t>
            </w:r>
          </w:p>
        </w:tc>
        <w:tc>
          <w:tcPr>
            <w:tcW w:w="496" w:type="pct"/>
            <w:vAlign w:val="top"/>
          </w:tcPr>
          <w:p w:rsidR="00441000" w:rsidRPr="00441000" w:rsidRDefault="00441000" w:rsidP="00B96463">
            <w:pPr>
              <w:cnfStyle w:val="000000010000" w:firstRow="0" w:lastRow="0" w:firstColumn="0" w:lastColumn="0" w:oddVBand="0" w:evenVBand="0" w:oddHBand="0" w:evenHBand="1" w:firstRowFirstColumn="0" w:firstRowLastColumn="0" w:lastRowFirstColumn="0" w:lastRowLastColumn="0"/>
            </w:pPr>
            <w:r w:rsidRPr="00441000">
              <w:t xml:space="preserve"> 0.1 </w:t>
            </w:r>
          </w:p>
        </w:tc>
        <w:tc>
          <w:tcPr>
            <w:tcW w:w="495" w:type="pct"/>
            <w:vAlign w:val="top"/>
          </w:tcPr>
          <w:p w:rsidR="00441000" w:rsidRPr="00441000" w:rsidRDefault="00441000" w:rsidP="00B96463">
            <w:pPr>
              <w:cnfStyle w:val="000000010000" w:firstRow="0" w:lastRow="0" w:firstColumn="0" w:lastColumn="0" w:oddVBand="0" w:evenVBand="0" w:oddHBand="0" w:evenHBand="1" w:firstRowFirstColumn="0" w:firstRowLastColumn="0" w:lastRowFirstColumn="0" w:lastRowLastColumn="0"/>
            </w:pPr>
            <w:r w:rsidRPr="00441000">
              <w:t xml:space="preserve"> 0.3 </w:t>
            </w:r>
          </w:p>
        </w:tc>
        <w:tc>
          <w:tcPr>
            <w:tcW w:w="496" w:type="pct"/>
            <w:vAlign w:val="top"/>
          </w:tcPr>
          <w:p w:rsidR="00441000" w:rsidRPr="00441000" w:rsidRDefault="00441000" w:rsidP="00B96463">
            <w:pPr>
              <w:cnfStyle w:val="000000010000" w:firstRow="0" w:lastRow="0" w:firstColumn="0" w:lastColumn="0" w:oddVBand="0" w:evenVBand="0" w:oddHBand="0" w:evenHBand="1" w:firstRowFirstColumn="0" w:firstRowLastColumn="0" w:lastRowFirstColumn="0" w:lastRowLastColumn="0"/>
            </w:pPr>
            <w:r w:rsidRPr="00441000">
              <w:t xml:space="preserve"> 0.2 </w:t>
            </w:r>
          </w:p>
        </w:tc>
        <w:tc>
          <w:tcPr>
            <w:tcW w:w="637" w:type="pct"/>
            <w:vAlign w:val="top"/>
          </w:tcPr>
          <w:p w:rsidR="00441000" w:rsidRPr="00441000" w:rsidRDefault="00441000" w:rsidP="00B96463">
            <w:pPr>
              <w:cnfStyle w:val="000000010000" w:firstRow="0" w:lastRow="0" w:firstColumn="0" w:lastColumn="0" w:oddVBand="0" w:evenVBand="0" w:oddHBand="0" w:evenHBand="1" w:firstRowFirstColumn="0" w:firstRowLastColumn="0" w:lastRowFirstColumn="0" w:lastRowLastColumn="0"/>
            </w:pPr>
            <w:r w:rsidRPr="00441000">
              <w:t xml:space="preserve"> 0.8 </w:t>
            </w:r>
          </w:p>
        </w:tc>
      </w:tr>
      <w:tr w:rsidR="00441000" w:rsidRPr="004F416F" w:rsidTr="00123034">
        <w:trPr>
          <w:trHeight w:val="300"/>
        </w:trPr>
        <w:tc>
          <w:tcPr>
            <w:cnfStyle w:val="001000000000" w:firstRow="0" w:lastRow="0" w:firstColumn="1" w:lastColumn="0" w:oddVBand="0" w:evenVBand="0" w:oddHBand="0" w:evenHBand="0" w:firstRowFirstColumn="0" w:firstRowLastColumn="0" w:lastRowFirstColumn="0" w:lastRowLastColumn="0"/>
            <w:tcW w:w="1884" w:type="pct"/>
            <w:vAlign w:val="bottom"/>
          </w:tcPr>
          <w:p w:rsidR="00441000" w:rsidRPr="00441000" w:rsidRDefault="00441000" w:rsidP="00441000">
            <w:r w:rsidRPr="00441000">
              <w:t>NET TOTAL CAPITAL EXPENDITURE</w:t>
            </w:r>
          </w:p>
        </w:tc>
        <w:tc>
          <w:tcPr>
            <w:tcW w:w="495" w:type="pct"/>
            <w:vAlign w:val="top"/>
          </w:tcPr>
          <w:p w:rsidR="00441000" w:rsidRPr="00441000" w:rsidRDefault="00441000" w:rsidP="00B96463">
            <w:pPr>
              <w:cnfStyle w:val="000000000000" w:firstRow="0" w:lastRow="0" w:firstColumn="0" w:lastColumn="0" w:oddVBand="0" w:evenVBand="0" w:oddHBand="0" w:evenHBand="0" w:firstRowFirstColumn="0" w:firstRowLastColumn="0" w:lastRowFirstColumn="0" w:lastRowLastColumn="0"/>
            </w:pPr>
            <w:r w:rsidRPr="00441000">
              <w:t xml:space="preserve"> 243.8 </w:t>
            </w:r>
          </w:p>
        </w:tc>
        <w:tc>
          <w:tcPr>
            <w:tcW w:w="497" w:type="pct"/>
            <w:vAlign w:val="top"/>
          </w:tcPr>
          <w:p w:rsidR="00441000" w:rsidRPr="00441000" w:rsidRDefault="00441000" w:rsidP="00B96463">
            <w:pPr>
              <w:cnfStyle w:val="000000000000" w:firstRow="0" w:lastRow="0" w:firstColumn="0" w:lastColumn="0" w:oddVBand="0" w:evenVBand="0" w:oddHBand="0" w:evenHBand="0" w:firstRowFirstColumn="0" w:firstRowLastColumn="0" w:lastRowFirstColumn="0" w:lastRowLastColumn="0"/>
            </w:pPr>
            <w:r w:rsidRPr="00441000">
              <w:t xml:space="preserve"> 230.2 </w:t>
            </w:r>
          </w:p>
        </w:tc>
        <w:tc>
          <w:tcPr>
            <w:tcW w:w="496" w:type="pct"/>
            <w:vAlign w:val="top"/>
          </w:tcPr>
          <w:p w:rsidR="00441000" w:rsidRPr="00441000" w:rsidRDefault="00441000" w:rsidP="00B96463">
            <w:pPr>
              <w:cnfStyle w:val="000000000000" w:firstRow="0" w:lastRow="0" w:firstColumn="0" w:lastColumn="0" w:oddVBand="0" w:evenVBand="0" w:oddHBand="0" w:evenHBand="0" w:firstRowFirstColumn="0" w:firstRowLastColumn="0" w:lastRowFirstColumn="0" w:lastRowLastColumn="0"/>
            </w:pPr>
            <w:r w:rsidRPr="00441000">
              <w:t xml:space="preserve"> 237.5 </w:t>
            </w:r>
          </w:p>
        </w:tc>
        <w:tc>
          <w:tcPr>
            <w:tcW w:w="495" w:type="pct"/>
            <w:vAlign w:val="top"/>
          </w:tcPr>
          <w:p w:rsidR="00441000" w:rsidRPr="00441000" w:rsidRDefault="00441000" w:rsidP="00B96463">
            <w:pPr>
              <w:cnfStyle w:val="000000000000" w:firstRow="0" w:lastRow="0" w:firstColumn="0" w:lastColumn="0" w:oddVBand="0" w:evenVBand="0" w:oddHBand="0" w:evenHBand="0" w:firstRowFirstColumn="0" w:firstRowLastColumn="0" w:lastRowFirstColumn="0" w:lastRowLastColumn="0"/>
            </w:pPr>
            <w:r w:rsidRPr="00441000">
              <w:t xml:space="preserve"> 219.0 </w:t>
            </w:r>
          </w:p>
        </w:tc>
        <w:tc>
          <w:tcPr>
            <w:tcW w:w="496" w:type="pct"/>
            <w:vAlign w:val="top"/>
          </w:tcPr>
          <w:p w:rsidR="00441000" w:rsidRPr="00441000" w:rsidRDefault="00441000" w:rsidP="00B96463">
            <w:pPr>
              <w:cnfStyle w:val="000000000000" w:firstRow="0" w:lastRow="0" w:firstColumn="0" w:lastColumn="0" w:oddVBand="0" w:evenVBand="0" w:oddHBand="0" w:evenHBand="0" w:firstRowFirstColumn="0" w:firstRowLastColumn="0" w:lastRowFirstColumn="0" w:lastRowLastColumn="0"/>
            </w:pPr>
            <w:r w:rsidRPr="00441000">
              <w:t xml:space="preserve"> 187.9 </w:t>
            </w:r>
          </w:p>
        </w:tc>
        <w:tc>
          <w:tcPr>
            <w:tcW w:w="637" w:type="pct"/>
            <w:vAlign w:val="top"/>
          </w:tcPr>
          <w:p w:rsidR="00441000" w:rsidRPr="00441000" w:rsidRDefault="00441000" w:rsidP="00B96463">
            <w:pPr>
              <w:cnfStyle w:val="000000000000" w:firstRow="0" w:lastRow="0" w:firstColumn="0" w:lastColumn="0" w:oddVBand="0" w:evenVBand="0" w:oddHBand="0" w:evenHBand="0" w:firstRowFirstColumn="0" w:firstRowLastColumn="0" w:lastRowFirstColumn="0" w:lastRowLastColumn="0"/>
            </w:pPr>
            <w:r w:rsidRPr="00441000">
              <w:t xml:space="preserve"> 1,118.3 </w:t>
            </w:r>
          </w:p>
        </w:tc>
      </w:tr>
    </w:tbl>
    <w:p w:rsidR="00123034" w:rsidRDefault="00123034" w:rsidP="00123034">
      <w:pPr>
        <w:pStyle w:val="AERtablesource"/>
      </w:pPr>
      <w:r>
        <w:t xml:space="preserve">Source: </w:t>
      </w:r>
      <w:r>
        <w:tab/>
        <w:t xml:space="preserve">JGN, </w:t>
      </w:r>
      <w:r w:rsidRPr="00DD4387">
        <w:rPr>
          <w:rStyle w:val="AERtextitalic"/>
        </w:rPr>
        <w:t>2015-20 Access Arrangement Information – Public</w:t>
      </w:r>
      <w:r>
        <w:t xml:space="preserve">, </w:t>
      </w:r>
      <w:r w:rsidRPr="00DD4387">
        <w:t>30 June 2014</w:t>
      </w:r>
      <w:r>
        <w:t xml:space="preserve">, p.69; JGN, </w:t>
      </w:r>
      <w:r w:rsidRPr="00DD4387">
        <w:rPr>
          <w:rStyle w:val="AERtextitalic"/>
        </w:rPr>
        <w:t xml:space="preserve">2015-20 Access Arrangement </w:t>
      </w:r>
      <w:proofErr w:type="gramStart"/>
      <w:r w:rsidRPr="00DD4387">
        <w:rPr>
          <w:rStyle w:val="AERtextitalic"/>
        </w:rPr>
        <w:t>Information</w:t>
      </w:r>
      <w:r w:rsidRPr="00DD4387">
        <w:t xml:space="preserve"> </w:t>
      </w:r>
      <w:r>
        <w:t>,</w:t>
      </w:r>
      <w:proofErr w:type="gramEnd"/>
      <w:r>
        <w:t xml:space="preserve"> </w:t>
      </w:r>
      <w:r w:rsidRPr="00DD4387">
        <w:t xml:space="preserve">Appendix A to the </w:t>
      </w:r>
      <w:r w:rsidR="0095583E" w:rsidRPr="00DD4387">
        <w:t>A</w:t>
      </w:r>
      <w:r w:rsidR="0095583E">
        <w:t xml:space="preserve">ccess </w:t>
      </w:r>
      <w:r w:rsidR="0095583E" w:rsidRPr="00DD4387">
        <w:t>A</w:t>
      </w:r>
      <w:r w:rsidR="0095583E">
        <w:t>rrangement</w:t>
      </w:r>
      <w:r w:rsidRPr="00DD4387">
        <w:t xml:space="preserve"> RIN response - Regulatory templates (CONFIDENTIAL) [UPDATE].XLSM</w:t>
      </w:r>
      <w:r>
        <w:t>.</w:t>
      </w:r>
    </w:p>
    <w:p w:rsidR="00123034" w:rsidRPr="00984CC5" w:rsidRDefault="00123034" w:rsidP="00123034">
      <w:pPr>
        <w:pStyle w:val="AERtablesource"/>
      </w:pPr>
      <w:r>
        <w:t>N</w:t>
      </w:r>
      <w:r w:rsidRPr="00984CC5">
        <w:t>ote:</w:t>
      </w:r>
      <w:r w:rsidRPr="00984CC5">
        <w:tab/>
      </w:r>
      <w:r>
        <w:t>Totals do not add as JGN claimed confidentiality over mines subsidence and related party margin expenditure.</w:t>
      </w:r>
    </w:p>
    <w:p w:rsidR="00DE563D" w:rsidRPr="00AF1F9E" w:rsidRDefault="00DE563D" w:rsidP="00AF1F9E">
      <w:pPr>
        <w:pStyle w:val="Heading2"/>
      </w:pPr>
      <w:bookmarkStart w:id="26" w:name="_Toc420943866"/>
      <w:r w:rsidRPr="00AF1F9E">
        <w:t>AER’s assessment approach</w:t>
      </w:r>
      <w:bookmarkEnd w:id="24"/>
      <w:bookmarkEnd w:id="26"/>
    </w:p>
    <w:p w:rsidR="00123034" w:rsidRPr="00F745EE" w:rsidRDefault="00123034" w:rsidP="00123034">
      <w:pPr>
        <w:numPr>
          <w:ilvl w:val="0"/>
          <w:numId w:val="25"/>
        </w:numPr>
      </w:pPr>
      <w:bookmarkStart w:id="27" w:name="_Toc403144139"/>
      <w:r w:rsidRPr="00F745EE">
        <w:t>We must make two decisions regarding JGN's capex. First, we are required to assess past expenditure and determine whether it meets the criteria set out in the NGR to be added to the starting capital base.</w:t>
      </w:r>
      <w:r w:rsidRPr="00F745EE">
        <w:rPr>
          <w:rStyle w:val="FootnoteReference"/>
        </w:rPr>
        <w:footnoteReference w:id="4"/>
      </w:r>
      <w:r w:rsidRPr="00F745EE">
        <w:t xml:space="preserve"> Where capex meets these criteria, it is referred to as "conforming"</w:t>
      </w:r>
      <w:r w:rsidR="00151D32">
        <w:t xml:space="preserve"> capex</w:t>
      </w:r>
      <w:r w:rsidRPr="00F745EE">
        <w:t>.</w:t>
      </w:r>
      <w:r w:rsidRPr="00F745EE">
        <w:rPr>
          <w:rStyle w:val="FootnoteReference"/>
        </w:rPr>
        <w:footnoteReference w:id="5"/>
      </w:r>
      <w:r w:rsidRPr="00F745EE">
        <w:t xml:space="preserve"> Secondly, we are required to assess JGN's proposed forecast o</w:t>
      </w:r>
      <w:r w:rsidR="0095583E">
        <w:t>f required capex for the 2015</w:t>
      </w:r>
      <w:r w:rsidR="0095583E">
        <w:noBreakHyphen/>
      </w:r>
      <w:r w:rsidRPr="00F745EE">
        <w:t>20 period</w:t>
      </w:r>
      <w:r>
        <w:t xml:space="preserve"> to determine whether it is 'conforming</w:t>
      </w:r>
      <w:r w:rsidRPr="00F745EE">
        <w:t>.</w:t>
      </w:r>
      <w:r>
        <w:t>'</w:t>
      </w:r>
      <w:r w:rsidRPr="00F745EE">
        <w:t xml:space="preserve"> The following sections set out our approach </w:t>
      </w:r>
      <w:r w:rsidR="00151D32">
        <w:t>as well as</w:t>
      </w:r>
      <w:r w:rsidRPr="00F745EE">
        <w:t xml:space="preserve"> the tools and techniques we employ in forming a view on these two issues. We also need to take into account timing issues associated with the lag between actual capex data being available and the need to forecast an opening capital base. This is explained </w:t>
      </w:r>
      <w:r w:rsidR="00151D32">
        <w:t xml:space="preserve">further </w:t>
      </w:r>
      <w:r w:rsidRPr="00F745EE">
        <w:t xml:space="preserve">in the next section. </w:t>
      </w:r>
    </w:p>
    <w:p w:rsidR="00123034" w:rsidRPr="00123034" w:rsidRDefault="00123034" w:rsidP="008B39D1">
      <w:pPr>
        <w:pStyle w:val="Heading3"/>
        <w:keepNext/>
      </w:pPr>
      <w:bookmarkStart w:id="28" w:name="_Toc404676544"/>
      <w:bookmarkStart w:id="29" w:name="_Toc404676594"/>
      <w:bookmarkStart w:id="30" w:name="_Toc420943867"/>
      <w:r w:rsidRPr="00123034">
        <w:lastRenderedPageBreak/>
        <w:t>NGR requirements for conforming capital expenditure</w:t>
      </w:r>
      <w:bookmarkEnd w:id="28"/>
      <w:bookmarkEnd w:id="29"/>
      <w:bookmarkEnd w:id="30"/>
    </w:p>
    <w:p w:rsidR="00123034" w:rsidRPr="00F745EE" w:rsidRDefault="00123034" w:rsidP="008B39D1">
      <w:pPr>
        <w:keepNext/>
      </w:pPr>
      <w:r w:rsidRPr="00F745EE">
        <w:t>Capex will be conforming if it:</w:t>
      </w:r>
    </w:p>
    <w:p w:rsidR="00123034" w:rsidRPr="00123034" w:rsidRDefault="00123034" w:rsidP="008B39D1">
      <w:pPr>
        <w:pStyle w:val="AERbulletlistfirststyle"/>
        <w:keepNext/>
      </w:pPr>
      <w:proofErr w:type="gramStart"/>
      <w:r w:rsidRPr="00123034">
        <w:t>meets</w:t>
      </w:r>
      <w:proofErr w:type="gramEnd"/>
      <w:r w:rsidRPr="00123034">
        <w:t xml:space="preserve"> the definition of capex in r. 69 of the NGR. Capex is defined as costs and expenditure of a capital nature incurred to provide, or in providing, pipeline services</w:t>
      </w:r>
      <w:r w:rsidR="00C024D9">
        <w:t>.</w:t>
      </w:r>
    </w:p>
    <w:p w:rsidR="00123034" w:rsidRPr="00123034" w:rsidRDefault="00123034" w:rsidP="00123034">
      <w:pPr>
        <w:pStyle w:val="AERbulletlistfirststyle"/>
      </w:pPr>
      <w:proofErr w:type="gramStart"/>
      <w:r w:rsidRPr="00123034">
        <w:t>is</w:t>
      </w:r>
      <w:proofErr w:type="gramEnd"/>
      <w:r w:rsidRPr="00123034">
        <w:t xml:space="preserve"> based on a forecast or estimate which is supported by a statement of the basis of the forecast or estimate required under r. 74(1) of the NGR. In accordance with r. 74(2) of the NGR, any forecast or estimate submitted must:</w:t>
      </w:r>
    </w:p>
    <w:p w:rsidR="00123034" w:rsidRPr="00123034" w:rsidRDefault="00123034" w:rsidP="00123034">
      <w:pPr>
        <w:pStyle w:val="AERbulletlistsecondstyle"/>
      </w:pPr>
      <w:r w:rsidRPr="00123034">
        <w:t>be arrived at on a reasonable basis; and</w:t>
      </w:r>
    </w:p>
    <w:p w:rsidR="00123034" w:rsidRPr="00123034" w:rsidRDefault="00123034" w:rsidP="00123034">
      <w:pPr>
        <w:pStyle w:val="AERbulletlistsecondstyle"/>
      </w:pPr>
      <w:proofErr w:type="gramStart"/>
      <w:r w:rsidRPr="00123034">
        <w:t>represent</w:t>
      </w:r>
      <w:proofErr w:type="gramEnd"/>
      <w:r w:rsidRPr="00123034">
        <w:t xml:space="preserve"> the best forecast or estimate possible in the circumstances.</w:t>
      </w:r>
      <w:r w:rsidRPr="00123034">
        <w:rPr>
          <w:rStyle w:val="FootnoteReference"/>
        </w:rPr>
        <w:footnoteReference w:id="6"/>
      </w:r>
    </w:p>
    <w:p w:rsidR="00123034" w:rsidRPr="00123034" w:rsidRDefault="00123034" w:rsidP="00123034">
      <w:pPr>
        <w:pStyle w:val="AERbulletlistfirststyle"/>
      </w:pPr>
      <w:proofErr w:type="gramStart"/>
      <w:r w:rsidRPr="00123034">
        <w:t>conforms</w:t>
      </w:r>
      <w:proofErr w:type="gramEnd"/>
      <w:r w:rsidRPr="00123034">
        <w:t xml:space="preserve"> with the new capex criteria in r. 79 of the NGR. There are two essential criteria that must both be met under this rule:</w:t>
      </w:r>
    </w:p>
    <w:p w:rsidR="00123034" w:rsidRPr="00123034" w:rsidRDefault="00123034" w:rsidP="00123034">
      <w:pPr>
        <w:pStyle w:val="AERbulletlistsecondstyle"/>
      </w:pPr>
      <w:r w:rsidRPr="00123034">
        <w:t xml:space="preserve">The expenditure must be such as would be incurred by a prudent service provider acting efficiently, in accordance with good industry practice, to achieve the lowest sustainable cost of providing services; and </w:t>
      </w:r>
    </w:p>
    <w:p w:rsidR="00123034" w:rsidRPr="00123034" w:rsidRDefault="00123034" w:rsidP="00123034">
      <w:pPr>
        <w:pStyle w:val="AERbulletlistsecondstyle"/>
      </w:pPr>
      <w:r w:rsidRPr="00123034">
        <w:t>The expenditure must be justifiable on one of four grounds set out in r. 79(2) of the NGR.</w:t>
      </w:r>
    </w:p>
    <w:p w:rsidR="00123034" w:rsidRPr="00F745EE" w:rsidRDefault="00123034" w:rsidP="00123034">
      <w:r w:rsidRPr="00F745EE">
        <w:t>The four grounds set out in r. 79(2) of the NGR can be summarised as follows. The capex must either:</w:t>
      </w:r>
    </w:p>
    <w:p w:rsidR="00123034" w:rsidRPr="00123034" w:rsidRDefault="00123034" w:rsidP="00123034">
      <w:pPr>
        <w:pStyle w:val="AERbulletlistfirststyle"/>
      </w:pPr>
      <w:r w:rsidRPr="00123034">
        <w:t>have an overall economic value that is positive</w:t>
      </w:r>
    </w:p>
    <w:p w:rsidR="00123034" w:rsidRPr="00123034" w:rsidRDefault="00123034" w:rsidP="00123034">
      <w:pPr>
        <w:pStyle w:val="AERbulletlistfirststyle"/>
      </w:pPr>
      <w:r w:rsidRPr="00123034">
        <w:t>demonstrate an expected present value of the incremental revenue that exceeds the expenditure</w:t>
      </w:r>
    </w:p>
    <w:p w:rsidR="00123034" w:rsidRPr="00123034" w:rsidRDefault="00123034" w:rsidP="00123034">
      <w:pPr>
        <w:pStyle w:val="AERbulletlistfirststyle"/>
      </w:pPr>
      <w:r w:rsidRPr="00123034">
        <w:t>be necessary to maintain and improve the safety of services, or maintain the integrity of services, or comply with a regulatory obligation or requirement, or maintain capacity to meet levels of demand existing at the time the capex is incurred, or</w:t>
      </w:r>
    </w:p>
    <w:p w:rsidR="00123034" w:rsidRPr="00123034" w:rsidRDefault="00123034" w:rsidP="00123034">
      <w:pPr>
        <w:pStyle w:val="AERbulletlistfirststyle"/>
      </w:pPr>
      <w:proofErr w:type="gramStart"/>
      <w:r w:rsidRPr="00123034">
        <w:t>be</w:t>
      </w:r>
      <w:proofErr w:type="gramEnd"/>
      <w:r w:rsidRPr="00123034">
        <w:t xml:space="preserve"> justifiable as a combination of the preceding two dot points.</w:t>
      </w:r>
    </w:p>
    <w:p w:rsidR="00123034" w:rsidRPr="00123034" w:rsidRDefault="00123034" w:rsidP="00123034">
      <w:pPr>
        <w:numPr>
          <w:ilvl w:val="0"/>
          <w:numId w:val="25"/>
        </w:numPr>
      </w:pPr>
      <w:r w:rsidRPr="00123034">
        <w:t>Rule 79(3) of the NGR provides:</w:t>
      </w:r>
    </w:p>
    <w:p w:rsidR="00123034" w:rsidRPr="00123034" w:rsidRDefault="00123034" w:rsidP="00123034">
      <w:pPr>
        <w:pStyle w:val="AERquoteindent1"/>
        <w:rPr>
          <w:rFonts w:eastAsia="Calibri"/>
        </w:rPr>
      </w:pPr>
      <w:r w:rsidRPr="00123034">
        <w:rPr>
          <w:rFonts w:eastAsia="Calibri"/>
        </w:rPr>
        <w:t>In deciding whether the overall economic value of capital expenditure is positive, consideration is to be given only to economic value directly accruing to the service provider, gas providers, users and end users.</w:t>
      </w:r>
    </w:p>
    <w:p w:rsidR="00123034" w:rsidRPr="00123034" w:rsidRDefault="00123034" w:rsidP="00123034">
      <w:pPr>
        <w:numPr>
          <w:ilvl w:val="0"/>
          <w:numId w:val="25"/>
        </w:numPr>
      </w:pPr>
      <w:r w:rsidRPr="00123034">
        <w:t>We have limited discretion when making decisions under r. 79 of the NGR.</w:t>
      </w:r>
      <w:r w:rsidRPr="00123034">
        <w:rPr>
          <w:rStyle w:val="FootnoteReference"/>
        </w:rPr>
        <w:footnoteReference w:id="7"/>
      </w:r>
      <w:r w:rsidRPr="00123034">
        <w:t xml:space="preserve"> This means that we must approve a particular element of the access arrangement proposal </w:t>
      </w:r>
      <w:r w:rsidRPr="00123034">
        <w:lastRenderedPageBreak/>
        <w:t>if we are satisfied that that element complies with the applicable requirements of the NGR and NGL and is consistent with any criteria set out in the NGR or NGL.</w:t>
      </w:r>
      <w:r w:rsidRPr="00123034">
        <w:rPr>
          <w:rStyle w:val="FootnoteReference"/>
        </w:rPr>
        <w:footnoteReference w:id="8"/>
      </w:r>
    </w:p>
    <w:p w:rsidR="00123034" w:rsidRPr="00123034" w:rsidRDefault="00123034" w:rsidP="00123034">
      <w:pPr>
        <w:pStyle w:val="Heading3"/>
      </w:pPr>
      <w:bookmarkStart w:id="31" w:name="_Toc404676545"/>
      <w:bookmarkStart w:id="32" w:name="_Toc404676595"/>
      <w:bookmarkStart w:id="33" w:name="_Toc420943868"/>
      <w:r w:rsidRPr="00123034">
        <w:t>Assessment of conforming capital expenditure in the previous period</w:t>
      </w:r>
      <w:bookmarkEnd w:id="31"/>
      <w:bookmarkEnd w:id="32"/>
      <w:bookmarkEnd w:id="33"/>
    </w:p>
    <w:p w:rsidR="00123034" w:rsidRPr="00123034" w:rsidRDefault="00123034" w:rsidP="00123034">
      <w:pPr>
        <w:numPr>
          <w:ilvl w:val="0"/>
          <w:numId w:val="25"/>
        </w:numPr>
        <w:rPr>
          <w:rStyle w:val="AERbody"/>
        </w:rPr>
      </w:pPr>
      <w:r w:rsidRPr="00123034">
        <w:rPr>
          <w:rStyle w:val="AERbody"/>
        </w:rPr>
        <w:t>In assessing JGN’s proposed capex in the earlier access arrangement period, we reviewed JGN's supporting material. This included information on JGN's reasoning and, where relevant, business cases, audited regulatory accounts, and other relevant information. This information helped us identify whether capex over the earlier access arrangement period was conforming capex and, in turn, whether that capex should be included in the opening capital base in accordance with r. 77(2)(b) of the NGR.</w:t>
      </w:r>
    </w:p>
    <w:p w:rsidR="00123034" w:rsidRPr="00123034" w:rsidRDefault="00123034" w:rsidP="00123034">
      <w:pPr>
        <w:numPr>
          <w:ilvl w:val="0"/>
          <w:numId w:val="25"/>
        </w:numPr>
      </w:pPr>
      <w:r w:rsidRPr="00F745EE">
        <w:t>We do not approve certain information and forecasts provided by JGN if the information does not meet the requirements set out in the NGR.</w:t>
      </w:r>
      <w:r w:rsidRPr="00F745EE">
        <w:rPr>
          <w:rStyle w:val="FootnoteReference"/>
        </w:rPr>
        <w:footnoteReference w:id="9"/>
      </w:r>
      <w:r w:rsidRPr="00F745EE">
        <w:t xml:space="preserve"> </w:t>
      </w:r>
      <w:r>
        <w:t>We must</w:t>
      </w:r>
      <w:r w:rsidRPr="00F745EE">
        <w:t xml:space="preserve"> exercise </w:t>
      </w:r>
      <w:r>
        <w:t>our</w:t>
      </w:r>
      <w:r w:rsidRPr="00F745EE">
        <w:t xml:space="preserve"> economic regulatory functions in a manner that will or is likely to contribute to the achievement of the NGO.</w:t>
      </w:r>
      <w:r w:rsidRPr="00F745EE">
        <w:rPr>
          <w:rStyle w:val="FootnoteReference"/>
        </w:rPr>
        <w:footnoteReference w:id="10"/>
      </w:r>
      <w:r w:rsidRPr="00F745EE">
        <w:t xml:space="preserve"> For instance, having regard to the NGO, </w:t>
      </w:r>
      <w:r>
        <w:t>we</w:t>
      </w:r>
      <w:r w:rsidRPr="00F745EE">
        <w:t xml:space="preserve"> take the view that a prudent service provider will seek cost efficiencies through continuous improvements, and that customers ultimately share in these benefits. This also provides the service provider with a reasonable opportunity to recover at least its efficient costs in accordance with the revenue and pricing principles. </w:t>
      </w:r>
    </w:p>
    <w:p w:rsidR="00123034" w:rsidRPr="00F745EE" w:rsidRDefault="00123034" w:rsidP="00123034">
      <w:pPr>
        <w:numPr>
          <w:ilvl w:val="0"/>
          <w:numId w:val="25"/>
        </w:numPr>
        <w:rPr>
          <w:rStyle w:val="AERbody"/>
        </w:rPr>
      </w:pPr>
      <w:r w:rsidRPr="00F745EE">
        <w:rPr>
          <w:rStyle w:val="AERbody"/>
        </w:rPr>
        <w:t>Although the capital base roll forward relates to the 2010–15 access arrangement period, we are also required to adjust for the difference between actual and forecast capex in the capital base.</w:t>
      </w:r>
      <w:r w:rsidRPr="00F745EE">
        <w:rPr>
          <w:rStyle w:val="FootnoteReference"/>
        </w:rPr>
        <w:footnoteReference w:id="11"/>
      </w:r>
      <w:r w:rsidRPr="00F745EE">
        <w:rPr>
          <w:rStyle w:val="AERbody"/>
        </w:rPr>
        <w:t xml:space="preserve"> Generally, the final year of the previous access arrangement period is based on forecast capex (in this case, 2009-10). Therefore, our assessment of conforming capex includes the regulatory years for 2009–14. This is because:</w:t>
      </w:r>
    </w:p>
    <w:p w:rsidR="00123034" w:rsidRPr="00123034" w:rsidRDefault="00123034" w:rsidP="00123034">
      <w:pPr>
        <w:pStyle w:val="AERbulletlistfirststyle"/>
        <w:rPr>
          <w:rStyle w:val="AERbody"/>
        </w:rPr>
      </w:pPr>
      <w:r w:rsidRPr="00F745EE">
        <w:rPr>
          <w:rStyle w:val="AERbody"/>
        </w:rPr>
        <w:t>2009–10 capex—when conducting the previous access arrangement review, we did not yet have actual capex for 2009–10. We therefore included in the capital base benchmark JGN's estimate of capex for 2009–10. Since actual capex is now available for 2009–10, we have assessed whether JGN’s actual capex for 2009–10 is conforming capex under the NGR.</w:t>
      </w:r>
      <w:r w:rsidRPr="00123034">
        <w:rPr>
          <w:rStyle w:val="FootnoteReference"/>
        </w:rPr>
        <w:footnoteReference w:id="12"/>
      </w:r>
      <w:r w:rsidRPr="00123034">
        <w:rPr>
          <w:rStyle w:val="AERbody"/>
        </w:rPr>
        <w:t xml:space="preserve"> This conforming capex is now included in the capital base roll forward.</w:t>
      </w:r>
      <w:r w:rsidRPr="00123034">
        <w:rPr>
          <w:rStyle w:val="FootnoteReference"/>
        </w:rPr>
        <w:footnoteReference w:id="13"/>
      </w:r>
    </w:p>
    <w:p w:rsidR="00123034" w:rsidRPr="00123034" w:rsidRDefault="00123034" w:rsidP="00123034">
      <w:pPr>
        <w:pStyle w:val="AERbulletlistfirststyle"/>
        <w:rPr>
          <w:rStyle w:val="AERbody"/>
        </w:rPr>
      </w:pPr>
      <w:r w:rsidRPr="00F745EE">
        <w:rPr>
          <w:rStyle w:val="AERbody"/>
        </w:rPr>
        <w:t>2010–14 capex—for this access arrangement review, we have the actual capex for 2010–14. We have assessed whether JGN’s actual capex for 2010–14 is conforming under the NGR for inclusion in the capital base roll forward.</w:t>
      </w:r>
      <w:r w:rsidRPr="00123034">
        <w:rPr>
          <w:rStyle w:val="FootnoteReference"/>
        </w:rPr>
        <w:footnoteReference w:id="14"/>
      </w:r>
      <w:r w:rsidRPr="00123034">
        <w:rPr>
          <w:rStyle w:val="AERbody"/>
        </w:rPr>
        <w:t xml:space="preserve"> </w:t>
      </w:r>
    </w:p>
    <w:p w:rsidR="00123034" w:rsidRPr="00123034" w:rsidRDefault="00123034" w:rsidP="00123034">
      <w:pPr>
        <w:pStyle w:val="AERbulletlistfirststyle"/>
        <w:rPr>
          <w:rStyle w:val="AERbody"/>
        </w:rPr>
      </w:pPr>
      <w:r w:rsidRPr="00F745EE">
        <w:rPr>
          <w:rStyle w:val="AERbody"/>
        </w:rPr>
        <w:lastRenderedPageBreak/>
        <w:t>2014–15 capex—for this access arrangement review, we do not yet have actual capex for 2014–15. We have therefore included in the capital base roll forward JGN's estimate of capex for 2014–15. At the next access arrangement review, we will assess whether JGN’s actual capex for 2014–15 is conforming capex under the NGR.</w:t>
      </w:r>
      <w:r w:rsidRPr="00123034">
        <w:rPr>
          <w:rStyle w:val="FootnoteReference"/>
        </w:rPr>
        <w:footnoteReference w:id="15"/>
      </w:r>
      <w:r w:rsidRPr="00123034">
        <w:rPr>
          <w:rStyle w:val="AERbody"/>
        </w:rPr>
        <w:t xml:space="preserve"> </w:t>
      </w:r>
    </w:p>
    <w:p w:rsidR="00123034" w:rsidRPr="00F745EE" w:rsidRDefault="00123034" w:rsidP="00123034">
      <w:pPr>
        <w:numPr>
          <w:ilvl w:val="0"/>
          <w:numId w:val="25"/>
        </w:numPr>
        <w:rPr>
          <w:rStyle w:val="AERbody"/>
        </w:rPr>
      </w:pPr>
      <w:r w:rsidRPr="00123034">
        <w:rPr>
          <w:rStyle w:val="AERbody"/>
        </w:rPr>
        <w:t xml:space="preserve">We assessed the key drivers for the capex to assess whether JGN’s proposed capex in the projected capital base complies with the capex criteria in r. 79(1) of the NGR. In doing so, we relied on the </w:t>
      </w:r>
      <w:r w:rsidRPr="00F745EE">
        <w:rPr>
          <w:rStyle w:val="AERbody"/>
        </w:rPr>
        <w:t>following information:</w:t>
      </w:r>
    </w:p>
    <w:p w:rsidR="00123034" w:rsidRPr="00123034" w:rsidRDefault="00123034" w:rsidP="00123034">
      <w:pPr>
        <w:pStyle w:val="AERbulletlistfirststyle"/>
      </w:pPr>
      <w:r w:rsidRPr="00F745EE">
        <w:t xml:space="preserve">The access arrangement information (AAI) </w:t>
      </w:r>
      <w:r w:rsidR="001C3D84">
        <w:t>–</w:t>
      </w:r>
      <w:r w:rsidR="001C3D84" w:rsidRPr="00F745EE">
        <w:t xml:space="preserve"> </w:t>
      </w:r>
      <w:r w:rsidRPr="00F745EE">
        <w:t>this document outlines JGN's program of capital expenditure and describes the main drivers of increased capital expenditure</w:t>
      </w:r>
      <w:r w:rsidRPr="00123034">
        <w:rPr>
          <w:rStyle w:val="FootnoteReference"/>
        </w:rPr>
        <w:footnoteReference w:id="16"/>
      </w:r>
    </w:p>
    <w:p w:rsidR="00123034" w:rsidRPr="00123034" w:rsidRDefault="00123034" w:rsidP="00123034">
      <w:pPr>
        <w:pStyle w:val="AERbulletlistfirststyle"/>
      </w:pPr>
      <w:r w:rsidRPr="00F745EE">
        <w:t>The Asset Management Plan, IT Strategy and Asset Management Plan, and appendices which provided specific expenditure detail</w:t>
      </w:r>
      <w:r w:rsidRPr="00123034">
        <w:rPr>
          <w:rStyle w:val="FootnoteReference"/>
        </w:rPr>
        <w:footnoteReference w:id="17"/>
      </w:r>
    </w:p>
    <w:p w:rsidR="00123034" w:rsidRPr="00123034" w:rsidRDefault="00123034" w:rsidP="00123034">
      <w:pPr>
        <w:pStyle w:val="AERbulletlistfirststyle"/>
      </w:pPr>
      <w:r w:rsidRPr="00F745EE">
        <w:t>JGN RIN template and basis of preparation</w:t>
      </w:r>
      <w:r w:rsidRPr="00123034">
        <w:rPr>
          <w:rStyle w:val="FootnoteReference"/>
        </w:rPr>
        <w:footnoteReference w:id="18"/>
      </w:r>
    </w:p>
    <w:p w:rsidR="00123034" w:rsidRPr="00123034" w:rsidRDefault="00123034" w:rsidP="00123034">
      <w:pPr>
        <w:pStyle w:val="AERbulletlistfirststyle"/>
      </w:pPr>
      <w:r w:rsidRPr="00F745EE">
        <w:t>Opportunity briefs which detail expenditure requirements of specific projects</w:t>
      </w:r>
      <w:r w:rsidRPr="00123034">
        <w:rPr>
          <w:rStyle w:val="FootnoteReference"/>
        </w:rPr>
        <w:footnoteReference w:id="19"/>
      </w:r>
    </w:p>
    <w:p w:rsidR="00123034" w:rsidRPr="00123034" w:rsidRDefault="00123034" w:rsidP="00123034">
      <w:pPr>
        <w:pStyle w:val="AERbulletlistfirststyle"/>
      </w:pPr>
      <w:r w:rsidRPr="00F745EE">
        <w:t>JGN tender and contract documentation</w:t>
      </w:r>
      <w:r w:rsidRPr="00123034">
        <w:rPr>
          <w:rStyle w:val="FootnoteReference"/>
        </w:rPr>
        <w:footnoteReference w:id="20"/>
      </w:r>
    </w:p>
    <w:p w:rsidR="00123034" w:rsidRPr="00123034" w:rsidRDefault="00123034" w:rsidP="00123034">
      <w:pPr>
        <w:pStyle w:val="AERbulletlistfirststyle"/>
      </w:pPr>
      <w:r w:rsidRPr="00F745EE">
        <w:t>Capex forecast model</w:t>
      </w:r>
      <w:r w:rsidRPr="00123034">
        <w:t>.</w:t>
      </w:r>
      <w:r w:rsidRPr="00123034">
        <w:rPr>
          <w:rStyle w:val="FootnoteReference"/>
        </w:rPr>
        <w:footnoteReference w:id="21"/>
      </w:r>
      <w:r w:rsidRPr="00123034">
        <w:t xml:space="preserve">  </w:t>
      </w:r>
    </w:p>
    <w:p w:rsidR="00123034" w:rsidRPr="00123034" w:rsidRDefault="00123034" w:rsidP="00123034">
      <w:pPr>
        <w:numPr>
          <w:ilvl w:val="0"/>
          <w:numId w:val="25"/>
        </w:numPr>
      </w:pPr>
      <w:r w:rsidRPr="00123034">
        <w:t>Initially we assessed whether the proposed capex is justified on one of the four grounds under NGR r. 79(2). We then assessed the prudency and efficiency of the proposed capex. For analysis purposes the capex was broken into categories depending on whether the expenditure is driven by:</w:t>
      </w:r>
    </w:p>
    <w:p w:rsidR="00123034" w:rsidRPr="00123034" w:rsidRDefault="00123034" w:rsidP="00123034">
      <w:pPr>
        <w:pStyle w:val="AERbulletlistfirststyle"/>
      </w:pPr>
      <w:r w:rsidRPr="00F745EE">
        <w:t xml:space="preserve">Growth in demand </w:t>
      </w:r>
      <w:r w:rsidR="001C3D84">
        <w:t>–</w:t>
      </w:r>
      <w:r w:rsidR="001C3D84" w:rsidRPr="00F745EE">
        <w:t xml:space="preserve"> </w:t>
      </w:r>
      <w:r w:rsidRPr="00F745EE">
        <w:t>extensions, connections, augmentation</w:t>
      </w:r>
    </w:p>
    <w:p w:rsidR="00123034" w:rsidRPr="00123034" w:rsidRDefault="00123034" w:rsidP="00123034">
      <w:pPr>
        <w:pStyle w:val="AERbulletlistfirststyle"/>
      </w:pPr>
      <w:r w:rsidRPr="00F745EE">
        <w:t xml:space="preserve">Replacement on the basis of asset life, obsolescence, safety or regulatory obligations </w:t>
      </w:r>
      <w:r w:rsidR="001C3D84">
        <w:t>–</w:t>
      </w:r>
      <w:r w:rsidR="001C3D84" w:rsidRPr="00F745EE">
        <w:t xml:space="preserve"> </w:t>
      </w:r>
      <w:r w:rsidRPr="00F745EE">
        <w:t>mains, services, meters, regulators, city gates, IT, SCADA, or</w:t>
      </w:r>
    </w:p>
    <w:p w:rsidR="00123034" w:rsidRPr="00123034" w:rsidRDefault="00123034" w:rsidP="00123034">
      <w:pPr>
        <w:pStyle w:val="AERbulletlistfirststyle"/>
      </w:pPr>
      <w:r w:rsidRPr="00F745EE">
        <w:t xml:space="preserve">Other </w:t>
      </w:r>
      <w:r w:rsidR="001C3D84">
        <w:t>–</w:t>
      </w:r>
      <w:r w:rsidR="001C3D84" w:rsidRPr="00F745EE">
        <w:t xml:space="preserve"> </w:t>
      </w:r>
      <w:r w:rsidRPr="00F745EE">
        <w:t xml:space="preserve">new regulatory or safety obligations, </w:t>
      </w:r>
      <w:proofErr w:type="spellStart"/>
      <w:r w:rsidRPr="00F745EE">
        <w:t>opex</w:t>
      </w:r>
      <w:proofErr w:type="spellEnd"/>
      <w:r w:rsidRPr="00F745EE">
        <w:t xml:space="preserve"> or reliability improvements. </w:t>
      </w:r>
    </w:p>
    <w:p w:rsidR="00123034" w:rsidRPr="00F745EE" w:rsidRDefault="00123034" w:rsidP="00123034">
      <w:pPr>
        <w:numPr>
          <w:ilvl w:val="0"/>
          <w:numId w:val="25"/>
        </w:numPr>
      </w:pPr>
      <w:r w:rsidRPr="00123034">
        <w:t xml:space="preserve">For each category of expenditure the scope, timing and cost of the proposed expenditure </w:t>
      </w:r>
      <w:r w:rsidR="001C3D84">
        <w:t>were</w:t>
      </w:r>
      <w:r w:rsidR="001C3D84" w:rsidRPr="00123034">
        <w:t xml:space="preserve"> </w:t>
      </w:r>
      <w:r w:rsidRPr="00123034">
        <w:t xml:space="preserve">considered in order to form a view on the prudency and efficiency of the expenditure. </w:t>
      </w:r>
      <w:r w:rsidRPr="00F745EE">
        <w:t xml:space="preserve">The assessment also considered whether cost forecasts have been </w:t>
      </w:r>
      <w:r w:rsidRPr="00F745EE">
        <w:lastRenderedPageBreak/>
        <w:t>arrived at on a reasonable basis and represent the best forecast possible in the circumstances.</w:t>
      </w:r>
      <w:r w:rsidRPr="00123034">
        <w:t xml:space="preserve">  </w:t>
      </w:r>
    </w:p>
    <w:p w:rsidR="00123034" w:rsidRPr="00123034" w:rsidRDefault="00123034" w:rsidP="00FA4F6D">
      <w:pPr>
        <w:pStyle w:val="Heading3"/>
      </w:pPr>
      <w:bookmarkStart w:id="34" w:name="_Toc404676546"/>
      <w:bookmarkStart w:id="35" w:name="_Toc404676596"/>
      <w:bookmarkStart w:id="36" w:name="_Toc420943869"/>
      <w:r w:rsidRPr="00123034">
        <w:t>Assessing forecast capex for the 2015-2020 access arrangement period</w:t>
      </w:r>
      <w:bookmarkEnd w:id="34"/>
      <w:bookmarkEnd w:id="35"/>
      <w:bookmarkEnd w:id="36"/>
    </w:p>
    <w:p w:rsidR="00123034" w:rsidRPr="00123034" w:rsidRDefault="00123034" w:rsidP="00123034">
      <w:pPr>
        <w:numPr>
          <w:ilvl w:val="0"/>
          <w:numId w:val="25"/>
        </w:numPr>
      </w:pPr>
      <w:r w:rsidRPr="00123034">
        <w:t>The following sections set out our approach to assessing JGN's forecast o</w:t>
      </w:r>
      <w:r w:rsidR="0095583E">
        <w:t>f required capex for the 2015</w:t>
      </w:r>
      <w:r w:rsidR="0095583E">
        <w:noBreakHyphen/>
      </w:r>
      <w:r w:rsidRPr="00123034">
        <w:t>20 access arrangement period. Our tools and techniques cover:</w:t>
      </w:r>
    </w:p>
    <w:p w:rsidR="00123034" w:rsidRPr="00123034" w:rsidRDefault="00123034" w:rsidP="00123034">
      <w:pPr>
        <w:pStyle w:val="AERbulletlistfirststyle"/>
      </w:pPr>
      <w:r w:rsidRPr="00123034">
        <w:t>assessing whether any outsourcing to third-parties reflect genuine arm's length arrangements</w:t>
      </w:r>
    </w:p>
    <w:p w:rsidR="00123034" w:rsidRPr="00123034" w:rsidRDefault="00123034" w:rsidP="00123034">
      <w:pPr>
        <w:pStyle w:val="AERbulletlistfirststyle"/>
      </w:pPr>
      <w:r w:rsidRPr="00123034">
        <w:t>assessing historical expenditure under the revealed cost approach</w:t>
      </w:r>
    </w:p>
    <w:p w:rsidR="00123034" w:rsidRPr="00123034" w:rsidRDefault="00151D32" w:rsidP="00123034">
      <w:pPr>
        <w:pStyle w:val="AERbulletlistfirststyle"/>
      </w:pPr>
      <w:r>
        <w:t>how</w:t>
      </w:r>
      <w:r w:rsidR="00123034" w:rsidRPr="00123034">
        <w:t xml:space="preserve"> costs</w:t>
      </w:r>
      <w:r>
        <w:t xml:space="preserve"> compare</w:t>
      </w:r>
      <w:r w:rsidR="00123034" w:rsidRPr="00123034">
        <w:t xml:space="preserve"> against previous decisions we have made (benchmarking)</w:t>
      </w:r>
    </w:p>
    <w:p w:rsidR="00123034" w:rsidRPr="00123034" w:rsidRDefault="00123034" w:rsidP="00123034">
      <w:pPr>
        <w:pStyle w:val="AERbulletlistfirststyle"/>
      </w:pPr>
      <w:r w:rsidRPr="00123034">
        <w:t>consideration of technical engineering advice</w:t>
      </w:r>
    </w:p>
    <w:p w:rsidR="00FA4F6D" w:rsidRPr="0095583E" w:rsidRDefault="00123034" w:rsidP="0095583E">
      <w:pPr>
        <w:pStyle w:val="AERbulletlistfirststyle"/>
        <w:rPr>
          <w:rStyle w:val="AERtextitalic"/>
          <w:i w:val="0"/>
        </w:rPr>
      </w:pPr>
      <w:proofErr w:type="gramStart"/>
      <w:r w:rsidRPr="00123034">
        <w:t>determining</w:t>
      </w:r>
      <w:proofErr w:type="gramEnd"/>
      <w:r w:rsidRPr="00123034">
        <w:t xml:space="preserve"> the appropriate allowance for equity raising costs. </w:t>
      </w:r>
    </w:p>
    <w:p w:rsidR="00123034" w:rsidRPr="0095583E" w:rsidRDefault="00123034" w:rsidP="0095583E">
      <w:pPr>
        <w:pStyle w:val="Heading4"/>
        <w:rPr>
          <w:rStyle w:val="AERtextitalic"/>
          <w:i w:val="0"/>
        </w:rPr>
      </w:pPr>
      <w:r w:rsidRPr="0095583E">
        <w:rPr>
          <w:rStyle w:val="AERtextitalic"/>
          <w:i w:val="0"/>
        </w:rPr>
        <w:t>Assessing competitive tender processes for outsourced activities</w:t>
      </w:r>
    </w:p>
    <w:p w:rsidR="00123034" w:rsidRPr="00F745EE" w:rsidRDefault="00123034" w:rsidP="00123034">
      <w:pPr>
        <w:numPr>
          <w:ilvl w:val="0"/>
          <w:numId w:val="25"/>
        </w:numPr>
      </w:pPr>
      <w:r w:rsidRPr="00F745EE">
        <w:t xml:space="preserve">Outsourcing to specialist providers of a particular service is a common means by which businesses in the economy are able to gain access to economies of scale and scope and other efficiencies. </w:t>
      </w:r>
    </w:p>
    <w:p w:rsidR="00123034" w:rsidRPr="00F745EE" w:rsidRDefault="00123034" w:rsidP="00123034">
      <w:pPr>
        <w:numPr>
          <w:ilvl w:val="0"/>
          <w:numId w:val="25"/>
        </w:numPr>
      </w:pPr>
      <w:r w:rsidRPr="00F745EE">
        <w:t xml:space="preserve">Where </w:t>
      </w:r>
      <w:r>
        <w:t>JGN has</w:t>
      </w:r>
      <w:r w:rsidRPr="00F745EE">
        <w:t xml:space="preserve"> used tendered rates as the basis of proposed unit costs, </w:t>
      </w:r>
      <w:r>
        <w:t>we</w:t>
      </w:r>
      <w:r w:rsidRPr="00F745EE">
        <w:t xml:space="preserve"> relied on </w:t>
      </w:r>
      <w:r>
        <w:t>our</w:t>
      </w:r>
      <w:r w:rsidRPr="00F745EE">
        <w:t xml:space="preserve"> approach to assessing outsourcing arrangements.</w:t>
      </w:r>
      <w:r>
        <w:rPr>
          <w:rStyle w:val="FootnoteReference"/>
        </w:rPr>
        <w:footnoteReference w:id="22"/>
      </w:r>
      <w:r w:rsidRPr="00F745EE">
        <w:t xml:space="preserve"> The first stage of the conceptual framework is a 'presumption threshold' designed to be an initial filter to determine which contracts can be presumed to reflect efficient costs that would be incurred by a prudent operator.</w:t>
      </w:r>
      <w:r>
        <w:rPr>
          <w:rStyle w:val="FootnoteReference"/>
        </w:rPr>
        <w:footnoteReference w:id="23"/>
      </w:r>
      <w:r w:rsidRPr="00F745EE">
        <w:t xml:space="preserve"> </w:t>
      </w:r>
    </w:p>
    <w:p w:rsidR="00123034" w:rsidRPr="00F745EE" w:rsidRDefault="00123034" w:rsidP="00123034">
      <w:pPr>
        <w:numPr>
          <w:ilvl w:val="0"/>
          <w:numId w:val="25"/>
        </w:numPr>
      </w:pPr>
      <w:r w:rsidRPr="00F745EE">
        <w:t xml:space="preserve">In undertaking this ‘presumption threshold’ assessment, </w:t>
      </w:r>
      <w:r>
        <w:t>we</w:t>
      </w:r>
      <w:r w:rsidRPr="00F745EE">
        <w:t xml:space="preserve"> consider:</w:t>
      </w:r>
    </w:p>
    <w:p w:rsidR="00123034" w:rsidRPr="00123034" w:rsidRDefault="00123034" w:rsidP="00123034">
      <w:pPr>
        <w:pStyle w:val="AERbulletlistfirststyle"/>
      </w:pPr>
      <w:r w:rsidRPr="00F745EE">
        <w:t>Did the service provider have an incentive to agree to non-arm’s length terms at the time the contract was negotiated (or at its most recent re-negotiation)?</w:t>
      </w:r>
    </w:p>
    <w:p w:rsidR="00123034" w:rsidRPr="00123034" w:rsidRDefault="00123034" w:rsidP="00123034">
      <w:pPr>
        <w:pStyle w:val="AERbulletlistfirststyle"/>
      </w:pPr>
      <w:r w:rsidRPr="00F745EE">
        <w:t xml:space="preserve">If yes, was a </w:t>
      </w:r>
      <w:r w:rsidRPr="00123034">
        <w:t>competitive open tender process conducted in a competitive market?</w:t>
      </w:r>
    </w:p>
    <w:p w:rsidR="00123034" w:rsidRPr="00F745EE" w:rsidRDefault="00123034" w:rsidP="00123034">
      <w:pPr>
        <w:numPr>
          <w:ilvl w:val="0"/>
          <w:numId w:val="25"/>
        </w:numPr>
      </w:pPr>
      <w:r w:rsidRPr="00F745EE">
        <w:t xml:space="preserve">In the absence of an incentive to agree to non-arm’s length terms, </w:t>
      </w:r>
      <w:r>
        <w:t>we</w:t>
      </w:r>
      <w:r w:rsidRPr="00F745EE">
        <w:t xml:space="preserve"> consider it reasonable to presume a contract price reflects efficient costs. </w:t>
      </w:r>
      <w:r>
        <w:t>We</w:t>
      </w:r>
      <w:r w:rsidRPr="00F745EE">
        <w:t xml:space="preserve"> also consider this presumption to be reasonable where an incentive to agree to non-arm’s length terms exists but the contract was the outcome of a competitive open tender process in a competitive market.</w:t>
      </w:r>
      <w:r>
        <w:rPr>
          <w:rStyle w:val="FootnoteReference"/>
        </w:rPr>
        <w:footnoteReference w:id="24"/>
      </w:r>
    </w:p>
    <w:p w:rsidR="00123034" w:rsidRPr="00F745EE" w:rsidRDefault="00123034" w:rsidP="00123034">
      <w:pPr>
        <w:numPr>
          <w:ilvl w:val="0"/>
          <w:numId w:val="25"/>
        </w:numPr>
      </w:pPr>
      <w:r w:rsidRPr="00F745EE">
        <w:lastRenderedPageBreak/>
        <w:t xml:space="preserve">Where an arrangement 'passes' the presumption threshold, </w:t>
      </w:r>
      <w:r>
        <w:t>we</w:t>
      </w:r>
      <w:r w:rsidRPr="00F745EE">
        <w:t xml:space="preserve"> consider the starting point for setting future expenditure allowances should be the contract price itself, with limited further examination. This further examination involves checking whether the contract wholly relates to the relevant services and whether the contract price already compensates for risks or costs provided for elsewhere in the building blocks.</w:t>
      </w:r>
    </w:p>
    <w:p w:rsidR="00123034" w:rsidRPr="0095583E" w:rsidRDefault="00123034" w:rsidP="0095583E">
      <w:pPr>
        <w:pStyle w:val="Heading4"/>
        <w:rPr>
          <w:rStyle w:val="AERtextitalic"/>
          <w:i w:val="0"/>
        </w:rPr>
      </w:pPr>
      <w:r w:rsidRPr="0095583E">
        <w:rPr>
          <w:rStyle w:val="AERtextitalic"/>
          <w:i w:val="0"/>
        </w:rPr>
        <w:t>Revealed cost approach</w:t>
      </w:r>
    </w:p>
    <w:p w:rsidR="00123034" w:rsidRPr="00F745EE" w:rsidRDefault="00123034" w:rsidP="00123034">
      <w:pPr>
        <w:numPr>
          <w:ilvl w:val="0"/>
          <w:numId w:val="25"/>
        </w:numPr>
        <w:rPr>
          <w:rStyle w:val="AERbody"/>
        </w:rPr>
      </w:pPr>
      <w:r w:rsidRPr="00F745EE">
        <w:t xml:space="preserve">The revealed cost approach considers information revealed by the past performance of a gas business. Under the </w:t>
      </w:r>
      <w:proofErr w:type="spellStart"/>
      <w:r w:rsidRPr="00F745EE">
        <w:t>ex</w:t>
      </w:r>
      <w:r>
        <w:t xml:space="preserve"> </w:t>
      </w:r>
      <w:r w:rsidRPr="00F745EE">
        <w:t>ante</w:t>
      </w:r>
      <w:proofErr w:type="spellEnd"/>
      <w:r w:rsidRPr="00F745EE">
        <w:t xml:space="preserve"> regime, gas businesses are rewarded for spending less capex than allowed by the regulator. </w:t>
      </w:r>
      <w:r w:rsidR="00151D32">
        <w:t>As a result, t</w:t>
      </w:r>
      <w:r w:rsidRPr="00F745EE">
        <w:t xml:space="preserve">his incentive enables </w:t>
      </w:r>
      <w:r>
        <w:t>us</w:t>
      </w:r>
      <w:r w:rsidRPr="00F745EE">
        <w:t xml:space="preserve"> to place some reliance on the historical costs of a gas business when reviewing its forecast capex. </w:t>
      </w:r>
      <w:r>
        <w:rPr>
          <w:rStyle w:val="AERbody"/>
        </w:rPr>
        <w:t>We</w:t>
      </w:r>
      <w:r w:rsidRPr="00F745EE">
        <w:rPr>
          <w:rStyle w:val="AERbody"/>
        </w:rPr>
        <w:t xml:space="preserve"> used historical costs and volumes as an indicator of efficient costs and volumes for certain categories of capex. In particular, </w:t>
      </w:r>
      <w:r>
        <w:rPr>
          <w:rStyle w:val="AERbody"/>
        </w:rPr>
        <w:t>we</w:t>
      </w:r>
      <w:r w:rsidRPr="00F745EE">
        <w:rPr>
          <w:rStyle w:val="AERbody"/>
        </w:rPr>
        <w:t xml:space="preserve"> used historical total costs, unit costs and volumes in assessing connections, mains and services replacements, meter replacements, SCADA and IT. </w:t>
      </w:r>
    </w:p>
    <w:p w:rsidR="00123034" w:rsidRPr="00F745EE" w:rsidRDefault="00123034" w:rsidP="00123034">
      <w:pPr>
        <w:numPr>
          <w:ilvl w:val="0"/>
          <w:numId w:val="25"/>
        </w:numPr>
      </w:pPr>
      <w:r w:rsidRPr="00F745EE">
        <w:t xml:space="preserve">The revealed cost approach is an accepted industry practice. Many </w:t>
      </w:r>
      <w:r w:rsidRPr="00F745EE">
        <w:rPr>
          <w:rStyle w:val="AERbody"/>
        </w:rPr>
        <w:t>gas businesses</w:t>
      </w:r>
      <w:r w:rsidRPr="00F745EE">
        <w:t xml:space="preserve">, including JGN, have used this approach as a basis to forecast expenditure proposals. </w:t>
      </w:r>
      <w:r w:rsidR="00F15D74">
        <w:t>We also used t</w:t>
      </w:r>
      <w:r w:rsidR="00F15D74" w:rsidRPr="00F745EE">
        <w:t xml:space="preserve">his </w:t>
      </w:r>
      <w:r w:rsidRPr="00F745EE">
        <w:t>approach previously in assess</w:t>
      </w:r>
      <w:r w:rsidR="00F15D74">
        <w:t>ing</w:t>
      </w:r>
      <w:r w:rsidRPr="00F745EE">
        <w:t xml:space="preserve"> access arrangement proposals </w:t>
      </w:r>
      <w:r w:rsidR="00F15D74">
        <w:t>from</w:t>
      </w:r>
      <w:r w:rsidR="00F15D74" w:rsidRPr="00F745EE">
        <w:t xml:space="preserve"> </w:t>
      </w:r>
      <w:r w:rsidRPr="00F745EE">
        <w:t>the Victorian gas businesses.</w:t>
      </w:r>
    </w:p>
    <w:p w:rsidR="00123034" w:rsidRPr="0095583E" w:rsidRDefault="00123034" w:rsidP="0095583E">
      <w:pPr>
        <w:pStyle w:val="Heading4"/>
        <w:rPr>
          <w:rStyle w:val="AERtextitalic"/>
          <w:i w:val="0"/>
        </w:rPr>
      </w:pPr>
      <w:r w:rsidRPr="0095583E">
        <w:rPr>
          <w:rStyle w:val="AERtextitalic"/>
          <w:i w:val="0"/>
        </w:rPr>
        <w:t>Benchmarking against the other businesses' proposed unit costs and volumes</w:t>
      </w:r>
    </w:p>
    <w:p w:rsidR="00123034" w:rsidRPr="00F745EE" w:rsidRDefault="00123034" w:rsidP="00123034">
      <w:pPr>
        <w:numPr>
          <w:ilvl w:val="0"/>
          <w:numId w:val="25"/>
        </w:numPr>
      </w:pPr>
      <w:r>
        <w:t>We</w:t>
      </w:r>
      <w:r w:rsidRPr="00F745EE">
        <w:t xml:space="preserve"> also conducted comparative analysis of unit costs JGN has used to develop its capex forecast. Comparing the costs incurred by one regulated entity against the costs incurred by other regulated entities in similar circumstances, and using the comparison to assess the efficiency and prudency of those costs, is known as 'benchmarking'. </w:t>
      </w:r>
      <w:r>
        <w:t>We</w:t>
      </w:r>
      <w:r w:rsidRPr="00F745EE">
        <w:t xml:space="preserve"> consider that the use of benchmarking to assess whether capex is conforming is consistent with the requirements of the NGR.</w:t>
      </w:r>
    </w:p>
    <w:p w:rsidR="00123034" w:rsidRPr="00F745EE" w:rsidRDefault="00123034" w:rsidP="00123034">
      <w:pPr>
        <w:numPr>
          <w:ilvl w:val="0"/>
          <w:numId w:val="25"/>
        </w:numPr>
        <w:rPr>
          <w:rStyle w:val="AERbody"/>
        </w:rPr>
      </w:pPr>
      <w:r>
        <w:t>We</w:t>
      </w:r>
      <w:r w:rsidRPr="00F745EE">
        <w:t xml:space="preserve"> undertook high level benchmarking of a selection of JGN‘s unit costs against similar unit costs of the Victorian gas businesses. </w:t>
      </w:r>
      <w:r w:rsidR="00B20FAC">
        <w:t xml:space="preserve">We made </w:t>
      </w:r>
      <w:r w:rsidRPr="00F745EE">
        <w:rPr>
          <w:rStyle w:val="AERbody"/>
        </w:rPr>
        <w:t xml:space="preserve">some adjustment for compositional difference </w:t>
      </w:r>
      <w:r w:rsidR="00B20FAC">
        <w:rPr>
          <w:rStyle w:val="AERbody"/>
        </w:rPr>
        <w:t>where required.</w:t>
      </w:r>
      <w:r w:rsidRPr="00F745EE">
        <w:rPr>
          <w:rStyle w:val="AERbody"/>
        </w:rPr>
        <w:t xml:space="preserve"> </w:t>
      </w:r>
      <w:r w:rsidR="00A90B40">
        <w:rPr>
          <w:rStyle w:val="AERbody"/>
        </w:rPr>
        <w:t>We used t</w:t>
      </w:r>
      <w:r w:rsidR="00A90B40" w:rsidRPr="00F745EE">
        <w:rPr>
          <w:rStyle w:val="AERbody"/>
        </w:rPr>
        <w:t xml:space="preserve">his </w:t>
      </w:r>
      <w:r w:rsidRPr="00F745EE">
        <w:rPr>
          <w:rStyle w:val="AERbody"/>
        </w:rPr>
        <w:t>comparison for assessing connections, mains and services replacements, meter renewals and upgrade and SCADA.</w:t>
      </w:r>
    </w:p>
    <w:p w:rsidR="00123034" w:rsidRPr="00F745EE" w:rsidRDefault="00123034" w:rsidP="00123034">
      <w:pPr>
        <w:numPr>
          <w:ilvl w:val="0"/>
          <w:numId w:val="25"/>
        </w:numPr>
      </w:pPr>
      <w:r w:rsidRPr="00F745EE">
        <w:t xml:space="preserve">Where benchmarking indicated that JGN's capex may not be efficient, </w:t>
      </w:r>
      <w:r>
        <w:t>we</w:t>
      </w:r>
      <w:r w:rsidRPr="00F745EE">
        <w:t xml:space="preserve"> undertook a detailed review of JGN‘s proposal. </w:t>
      </w:r>
      <w:r>
        <w:t>Our</w:t>
      </w:r>
      <w:r w:rsidRPr="00F745EE">
        <w:t xml:space="preserve"> detailed review involved consideration of relevant documentation and the impact of factors expected to differ from the past and/or from the Victorian gas businesses. </w:t>
      </w:r>
    </w:p>
    <w:p w:rsidR="00123034" w:rsidRPr="00F745EE" w:rsidRDefault="00123034" w:rsidP="00123034">
      <w:pPr>
        <w:numPr>
          <w:ilvl w:val="0"/>
          <w:numId w:val="25"/>
        </w:numPr>
      </w:pPr>
      <w:r>
        <w:t>We</w:t>
      </w:r>
      <w:r w:rsidRPr="00F745EE">
        <w:t xml:space="preserve"> recognise that forecast efficient costs may legitimately depart from those revealed through past performance, and compared with other gas businesses. For example, gas businesses may discover more efficient processes over time. The gas businesses may propose that they can best achieve their safety, reliability or regulatory obligations by incurring expenditure to implement new, more efficient processes, and include such expenditure in their proposed forecast capex. </w:t>
      </w:r>
      <w:r>
        <w:t>We</w:t>
      </w:r>
      <w:r w:rsidRPr="00F745EE">
        <w:t xml:space="preserve"> consider</w:t>
      </w:r>
      <w:r>
        <w:t xml:space="preserve"> </w:t>
      </w:r>
      <w:r w:rsidRPr="00F745EE">
        <w:t xml:space="preserve">it likely that a prudent </w:t>
      </w:r>
      <w:r w:rsidRPr="00F745EE">
        <w:lastRenderedPageBreak/>
        <w:t xml:space="preserve">service provider, acting efficiently, would only change operating processes (from revealed, or otherwise efficient processes) if they are likely to result in efficiency gains (in the absence of any information to suggest other reasons for the change). Where </w:t>
      </w:r>
      <w:r>
        <w:t>we</w:t>
      </w:r>
      <w:r w:rsidRPr="00F745EE">
        <w:t xml:space="preserve"> consider that future cost savings should result from capex investments, </w:t>
      </w:r>
      <w:r>
        <w:t xml:space="preserve">we have taken this </w:t>
      </w:r>
      <w:r w:rsidRPr="00F745EE">
        <w:t xml:space="preserve">into consideration in determining JGN‘s </w:t>
      </w:r>
      <w:proofErr w:type="spellStart"/>
      <w:r w:rsidRPr="00F745EE">
        <w:t>opex</w:t>
      </w:r>
      <w:proofErr w:type="spellEnd"/>
      <w:r w:rsidRPr="00F745EE">
        <w:t xml:space="preserve"> allowance.</w:t>
      </w:r>
    </w:p>
    <w:p w:rsidR="00123034" w:rsidRPr="0095583E" w:rsidRDefault="00123034" w:rsidP="00C102FE">
      <w:pPr>
        <w:pStyle w:val="Heading4"/>
        <w:keepNext/>
        <w:rPr>
          <w:rStyle w:val="AERtextitalic"/>
          <w:i w:val="0"/>
        </w:rPr>
      </w:pPr>
      <w:r w:rsidRPr="0095583E">
        <w:rPr>
          <w:rStyle w:val="AERtextitalic"/>
          <w:i w:val="0"/>
        </w:rPr>
        <w:t>Specialist technical advice</w:t>
      </w:r>
    </w:p>
    <w:p w:rsidR="00123034" w:rsidRPr="00F745EE" w:rsidRDefault="00123034" w:rsidP="00C102FE">
      <w:pPr>
        <w:keepNext/>
        <w:numPr>
          <w:ilvl w:val="0"/>
          <w:numId w:val="25"/>
        </w:numPr>
      </w:pPr>
      <w:r>
        <w:t>We</w:t>
      </w:r>
      <w:r w:rsidRPr="00F745EE">
        <w:t xml:space="preserve"> engaged an engineering consultant, </w:t>
      </w:r>
      <w:proofErr w:type="spellStart"/>
      <w:r w:rsidRPr="00F745EE">
        <w:t>Sleeman</w:t>
      </w:r>
      <w:proofErr w:type="spellEnd"/>
      <w:r w:rsidRPr="00F745EE">
        <w:t xml:space="preserve"> Consulting, to provide specialist technical advice on the prudency and efficiency of JGN's proposed augmentation, facilities renewal and upgrade, metering renewal and upgrade, mains and services renewal and SCADA capex.</w:t>
      </w:r>
      <w:r w:rsidRPr="00F745EE">
        <w:rPr>
          <w:rStyle w:val="FootnoteReference"/>
        </w:rPr>
        <w:footnoteReference w:id="25"/>
      </w:r>
      <w:r w:rsidRPr="00F745EE">
        <w:t xml:space="preserve"> </w:t>
      </w:r>
    </w:p>
    <w:p w:rsidR="00123034" w:rsidRPr="0095583E" w:rsidRDefault="00123034" w:rsidP="0095583E">
      <w:pPr>
        <w:pStyle w:val="Heading4"/>
        <w:rPr>
          <w:rStyle w:val="AERtextitalic"/>
          <w:i w:val="0"/>
        </w:rPr>
      </w:pPr>
      <w:r w:rsidRPr="0095583E">
        <w:rPr>
          <w:rStyle w:val="AERtextitalic"/>
          <w:i w:val="0"/>
        </w:rPr>
        <w:t>Cash flow analysis for equity raising costs</w:t>
      </w:r>
    </w:p>
    <w:p w:rsidR="007B49E1" w:rsidRPr="00AF1F9E" w:rsidRDefault="00123034" w:rsidP="00123034">
      <w:r w:rsidRPr="00F745EE">
        <w:t xml:space="preserve">To determine the amount of equity raising costs, </w:t>
      </w:r>
      <w:r>
        <w:t>we have</w:t>
      </w:r>
      <w:r w:rsidRPr="00F745EE">
        <w:t xml:space="preserve"> undertaken an assessment of benchmark cash flows calculated in the </w:t>
      </w:r>
      <w:r w:rsidR="00151D32">
        <w:t>Post Tax Revenue Model (</w:t>
      </w:r>
      <w:r w:rsidRPr="00F745EE">
        <w:t>PTRM</w:t>
      </w:r>
      <w:r w:rsidR="00151D32">
        <w:t>)</w:t>
      </w:r>
      <w:r w:rsidRPr="00F745EE">
        <w:t>. Under this method, a prudent service provider, acting efficiently, would first exhaust the cheapest sources of funding, such as internal cash flows, before using more expensive external sources of funding, such as equity financing. The cash flow modelling approach used by the AER incorporates this assumption to determine if any external equity financing would be required based on the AER’s capex forecast for JGN.</w:t>
      </w:r>
      <w:r>
        <w:t xml:space="preserve"> For further discussion see attachment 3 of this </w:t>
      </w:r>
      <w:r w:rsidR="00151D32">
        <w:t>final</w:t>
      </w:r>
      <w:r>
        <w:t xml:space="preserve"> decision (rate of return).</w:t>
      </w:r>
    </w:p>
    <w:p w:rsidR="00DE563D" w:rsidRPr="00AF1F9E" w:rsidRDefault="00DE563D" w:rsidP="00AF1F9E">
      <w:pPr>
        <w:pStyle w:val="Heading3"/>
      </w:pPr>
      <w:bookmarkStart w:id="37" w:name="_Toc420943870"/>
      <w:r w:rsidRPr="00AF1F9E">
        <w:t>Interrelationships</w:t>
      </w:r>
      <w:bookmarkEnd w:id="27"/>
      <w:bookmarkEnd w:id="37"/>
    </w:p>
    <w:p w:rsidR="00E21115" w:rsidRDefault="00123034" w:rsidP="00FA4F6D">
      <w:bookmarkStart w:id="38" w:name="_Toc403144140"/>
      <w:r w:rsidRPr="00553F2C">
        <w:t xml:space="preserve">In assessing </w:t>
      </w:r>
      <w:r>
        <w:t>JGN's</w:t>
      </w:r>
      <w:r w:rsidRPr="00553F2C">
        <w:t xml:space="preserve"> total forecast </w:t>
      </w:r>
      <w:r w:rsidR="00940E38">
        <w:t>ca</w:t>
      </w:r>
      <w:r w:rsidRPr="00553F2C">
        <w:t>pex we took into account other components of its regulatory proposal, including</w:t>
      </w:r>
      <w:r w:rsidR="00E21115">
        <w:t>:</w:t>
      </w:r>
    </w:p>
    <w:p w:rsidR="00123034" w:rsidRPr="00123034" w:rsidRDefault="00123034" w:rsidP="00E21115">
      <w:pPr>
        <w:pStyle w:val="AERbulletlistfirststyle"/>
      </w:pPr>
      <w:proofErr w:type="gramStart"/>
      <w:r w:rsidRPr="00553F2C">
        <w:t>the</w:t>
      </w:r>
      <w:proofErr w:type="gramEnd"/>
      <w:r w:rsidRPr="00553F2C">
        <w:t xml:space="preserve"> trade-off between potential capex and </w:t>
      </w:r>
      <w:proofErr w:type="spellStart"/>
      <w:r w:rsidRPr="00553F2C">
        <w:t>opex</w:t>
      </w:r>
      <w:proofErr w:type="spellEnd"/>
      <w:r w:rsidRPr="00553F2C">
        <w:t xml:space="preserve"> solutions in our assessment of </w:t>
      </w:r>
      <w:r w:rsidRPr="00123034">
        <w:t>JGN's proposed capex.</w:t>
      </w:r>
    </w:p>
    <w:p w:rsidR="007B49E1" w:rsidRPr="00AF1F9E" w:rsidRDefault="00E21115" w:rsidP="00E21115">
      <w:pPr>
        <w:pStyle w:val="AERbulletlistfirststyle"/>
      </w:pPr>
      <w:proofErr w:type="gramStart"/>
      <w:r>
        <w:t>a</w:t>
      </w:r>
      <w:r w:rsidR="00123034">
        <w:t>ny</w:t>
      </w:r>
      <w:proofErr w:type="gramEnd"/>
      <w:r w:rsidR="00123034">
        <w:t xml:space="preserve"> change in the capitalisation policy applied between the current access arrangement and the 2015–20 access arrangement period. This relates to the change from the expensing of pigging in the </w:t>
      </w:r>
      <w:r w:rsidR="00123034" w:rsidRPr="009E112C">
        <w:t>current</w:t>
      </w:r>
      <w:r w:rsidR="00123034">
        <w:t xml:space="preserve"> access arrangement period to capitalising in the next </w:t>
      </w:r>
      <w:r w:rsidR="00E30519">
        <w:t>period</w:t>
      </w:r>
      <w:r w:rsidR="00FB2539">
        <w:t>,</w:t>
      </w:r>
      <w:r w:rsidR="00123034">
        <w:t xml:space="preserve"> and the change from the capitalising of access arrangement and consumer engagement costs in the current access arrangement period to expensing in the next period.</w:t>
      </w:r>
    </w:p>
    <w:p w:rsidR="00DE563D" w:rsidRDefault="00DE563D" w:rsidP="008B39D1">
      <w:pPr>
        <w:pStyle w:val="Heading2"/>
        <w:keepNext/>
      </w:pPr>
      <w:bookmarkStart w:id="39" w:name="_Toc420943871"/>
      <w:r w:rsidRPr="00AF1F9E">
        <w:lastRenderedPageBreak/>
        <w:t xml:space="preserve">Reasons for </w:t>
      </w:r>
      <w:r w:rsidR="00AF1F9E">
        <w:t>final</w:t>
      </w:r>
      <w:r w:rsidRPr="00AF1F9E">
        <w:t xml:space="preserve"> decision</w:t>
      </w:r>
      <w:bookmarkEnd w:id="38"/>
      <w:bookmarkEnd w:id="39"/>
      <w:r w:rsidRPr="00AF1F9E">
        <w:t xml:space="preserve"> </w:t>
      </w:r>
    </w:p>
    <w:p w:rsidR="00123034" w:rsidRPr="00123034" w:rsidRDefault="00123034" w:rsidP="008B39D1">
      <w:pPr>
        <w:pStyle w:val="Heading3"/>
        <w:keepNext/>
      </w:pPr>
      <w:bookmarkStart w:id="40" w:name="_Ref331418230"/>
      <w:bookmarkStart w:id="41" w:name="_Toc404676549"/>
      <w:bookmarkStart w:id="42" w:name="_Toc404676599"/>
      <w:bookmarkStart w:id="43" w:name="_Toc420943872"/>
      <w:r w:rsidRPr="00123034">
        <w:t>Conforming capex for 2009–1</w:t>
      </w:r>
      <w:bookmarkEnd w:id="40"/>
      <w:r w:rsidRPr="00123034">
        <w:t>4</w:t>
      </w:r>
      <w:bookmarkEnd w:id="41"/>
      <w:bookmarkEnd w:id="42"/>
      <w:bookmarkEnd w:id="43"/>
    </w:p>
    <w:p w:rsidR="00123034" w:rsidRDefault="00123034" w:rsidP="008B39D1">
      <w:pPr>
        <w:keepNext/>
        <w:numPr>
          <w:ilvl w:val="0"/>
          <w:numId w:val="25"/>
        </w:numPr>
      </w:pPr>
      <w:r>
        <w:t>We</w:t>
      </w:r>
      <w:r w:rsidRPr="008864A9">
        <w:t xml:space="preserve"> consider that the $</w:t>
      </w:r>
      <w:r w:rsidR="000A7100">
        <w:t>775.8</w:t>
      </w:r>
      <w:r w:rsidR="007C0756">
        <w:t xml:space="preserve"> </w:t>
      </w:r>
      <w:r w:rsidRPr="008864A9">
        <w:t>million ($201</w:t>
      </w:r>
      <w:r>
        <w:t>5</w:t>
      </w:r>
      <w:r w:rsidRPr="008864A9">
        <w:t xml:space="preserve">) net </w:t>
      </w:r>
      <w:r>
        <w:t>capex</w:t>
      </w:r>
      <w:r w:rsidRPr="008864A9">
        <w:t xml:space="preserve"> incurred by </w:t>
      </w:r>
      <w:r>
        <w:t>JGN for 2009–</w:t>
      </w:r>
      <w:r w:rsidRPr="008864A9">
        <w:t>1</w:t>
      </w:r>
      <w:r>
        <w:t>4</w:t>
      </w:r>
      <w:r w:rsidRPr="008864A9">
        <w:t xml:space="preserve"> </w:t>
      </w:r>
      <w:r>
        <w:t xml:space="preserve">is conforming capex that </w:t>
      </w:r>
      <w:r w:rsidRPr="008864A9">
        <w:t>complies with r.</w:t>
      </w:r>
      <w:r>
        <w:t xml:space="preserve"> </w:t>
      </w:r>
      <w:r w:rsidRPr="008864A9">
        <w:t>79(1) of the NGR.</w:t>
      </w:r>
    </w:p>
    <w:p w:rsidR="00123034" w:rsidRDefault="00407522" w:rsidP="00123034">
      <w:pPr>
        <w:numPr>
          <w:ilvl w:val="0"/>
          <w:numId w:val="25"/>
        </w:numPr>
      </w:pPr>
      <w:r>
        <w:t>As set out in our draft decision, in reaching this view we</w:t>
      </w:r>
      <w:r w:rsidR="00123034">
        <w:t xml:space="preserve"> considered the following factors:</w:t>
      </w:r>
    </w:p>
    <w:p w:rsidR="007A3968" w:rsidRPr="007A3968" w:rsidRDefault="007A3968" w:rsidP="007A3968">
      <w:pPr>
        <w:pStyle w:val="AERbulletlistfirststyle"/>
      </w:pPr>
      <w:r w:rsidRPr="007A3968">
        <w:t xml:space="preserve">JGN's network capex was </w:t>
      </w:r>
      <w:r w:rsidR="0095583E">
        <w:t>$</w:t>
      </w:r>
      <w:r w:rsidRPr="007A3968">
        <w:t xml:space="preserve">0.4 million (0.4 per cent) over the IPART approved amount of $104.0 million for 2009–10. </w:t>
      </w:r>
    </w:p>
    <w:p w:rsidR="007A3968" w:rsidRPr="007A3968" w:rsidRDefault="007A3968" w:rsidP="007A3968">
      <w:pPr>
        <w:pStyle w:val="AERbulletlistfirststyle"/>
      </w:pPr>
      <w:r w:rsidRPr="007A3968">
        <w:t xml:space="preserve">JGN's network capex was </w:t>
      </w:r>
      <w:r w:rsidR="0095583E">
        <w:t>$</w:t>
      </w:r>
      <w:r w:rsidRPr="007A3968">
        <w:t>3.4 million (0.5 per cent) under the AER approved amount of $674.9 million for 2010–14.</w:t>
      </w:r>
    </w:p>
    <w:p w:rsidR="007A3968" w:rsidRDefault="007A3968" w:rsidP="007A3968">
      <w:pPr>
        <w:pStyle w:val="AERbulletlistfirststyle"/>
      </w:pPr>
      <w:r w:rsidRPr="007A3968">
        <w:t xml:space="preserve">JGN spent less than our forecast on its network in </w:t>
      </w:r>
      <w:r w:rsidR="0095583E">
        <w:t>7 out of 11 categories for 2010</w:t>
      </w:r>
      <w:r w:rsidR="00097960">
        <w:t>–</w:t>
      </w:r>
      <w:r w:rsidRPr="007A3968">
        <w:t xml:space="preserve">14. In five categories, </w:t>
      </w:r>
      <w:proofErr w:type="gramStart"/>
      <w:r w:rsidRPr="007A3968">
        <w:t>the underspend</w:t>
      </w:r>
      <w:proofErr w:type="gramEnd"/>
      <w:r w:rsidRPr="007A3968">
        <w:t xml:space="preserve"> was greater than 20 per cent below forecast</w:t>
      </w:r>
      <w:r w:rsidR="00097960">
        <w:t>.</w:t>
      </w:r>
      <w:r w:rsidRPr="007A3968">
        <w:t xml:space="preserve"> </w:t>
      </w:r>
    </w:p>
    <w:p w:rsidR="007A3968" w:rsidRPr="007A3968" w:rsidRDefault="007A3968" w:rsidP="007A3968">
      <w:pPr>
        <w:pStyle w:val="AERbulletlistfirststyle"/>
      </w:pPr>
      <w:r w:rsidRPr="00475A41">
        <w:t>The largest underspends</w:t>
      </w:r>
      <w:r w:rsidR="0095583E">
        <w:t xml:space="preserve"> for 2010</w:t>
      </w:r>
      <w:r w:rsidR="0095583E">
        <w:noBreakHyphen/>
      </w:r>
      <w:r w:rsidRPr="007A3968">
        <w:t>14</w:t>
      </w:r>
      <w:r w:rsidRPr="007A3968">
        <w:rPr>
          <w:rStyle w:val="FootnoteReference"/>
        </w:rPr>
        <w:footnoteReference w:id="26"/>
      </w:r>
      <w:r w:rsidRPr="007A3968">
        <w:t xml:space="preserve"> occurred in the connections/market expansion, meter renewal and upgrade and facilities renewal and upgrade categories:  </w:t>
      </w:r>
    </w:p>
    <w:p w:rsidR="007A3968" w:rsidRPr="007A3968" w:rsidRDefault="007A3968" w:rsidP="007A3968">
      <w:pPr>
        <w:pStyle w:val="AERbulletlistsecondstyle"/>
      </w:pPr>
      <w:r w:rsidRPr="007A3968">
        <w:t xml:space="preserve">In the connections/market expansion category, JGN spent $48.0 million less </w:t>
      </w:r>
      <w:r w:rsidR="00151D32">
        <w:t xml:space="preserve">than </w:t>
      </w:r>
      <w:r w:rsidRPr="007A3968">
        <w:t>forecast due to a smaller volume of new connections occurring than was approved and lower industrial and commercial meter average costs</w:t>
      </w:r>
      <w:r w:rsidR="0031404D">
        <w:t>.</w:t>
      </w:r>
      <w:r w:rsidRPr="007A3968">
        <w:rPr>
          <w:rStyle w:val="FootnoteReference"/>
        </w:rPr>
        <w:footnoteReference w:id="27"/>
      </w:r>
      <w:r w:rsidRPr="007A3968">
        <w:t xml:space="preserve">  </w:t>
      </w:r>
    </w:p>
    <w:p w:rsidR="007A3968" w:rsidRPr="007A3968" w:rsidRDefault="007A3968" w:rsidP="007A3968">
      <w:pPr>
        <w:pStyle w:val="AERbulletlistsecondstyle"/>
      </w:pPr>
      <w:r w:rsidRPr="007A3968">
        <w:t>In the meter renewal and upgrade category, JGN spent $36.2 million less than forecast due to lower project costs for the 'Replacement of 106 Meter Regulators' and deferral of and lower volumes of tariff meter replacement</w:t>
      </w:r>
      <w:r w:rsidR="0031404D">
        <w:t>.</w:t>
      </w:r>
      <w:r w:rsidRPr="007A3968">
        <w:rPr>
          <w:rStyle w:val="FootnoteReference"/>
        </w:rPr>
        <w:footnoteReference w:id="28"/>
      </w:r>
    </w:p>
    <w:p w:rsidR="007A3968" w:rsidRPr="007A3968" w:rsidRDefault="007A3968" w:rsidP="007A3968">
      <w:pPr>
        <w:pStyle w:val="AERbulletlistsecondstyle"/>
      </w:pPr>
      <w:r w:rsidRPr="007A3968">
        <w:t xml:space="preserve">In the facilities and renewal category, JGN spent $14.0 million less </w:t>
      </w:r>
      <w:r w:rsidR="00151D32">
        <w:t xml:space="preserve">than </w:t>
      </w:r>
      <w:r w:rsidRPr="007A3968">
        <w:t>forecast due to an APA project delay with consequential delay to a country packaged off-take station (POTS) project</w:t>
      </w:r>
      <w:r w:rsidR="0031404D">
        <w:t>.</w:t>
      </w:r>
      <w:r w:rsidRPr="007A3968">
        <w:rPr>
          <w:rStyle w:val="FootnoteReference"/>
        </w:rPr>
        <w:footnoteReference w:id="29"/>
      </w:r>
    </w:p>
    <w:p w:rsidR="007A3968" w:rsidRPr="007A3968" w:rsidRDefault="0095583E" w:rsidP="007A3968">
      <w:pPr>
        <w:pStyle w:val="AERbulletlistfirststyle"/>
      </w:pPr>
      <w:r>
        <w:t>The largest overspends for 2010</w:t>
      </w:r>
      <w:r>
        <w:noBreakHyphen/>
      </w:r>
      <w:r w:rsidR="007A3968" w:rsidRPr="007A3968">
        <w:t>14 occurred in overheads, other non-distribution, information technology (IT) and related party margin categories:</w:t>
      </w:r>
    </w:p>
    <w:p w:rsidR="007A3968" w:rsidRPr="007A3968" w:rsidRDefault="007A3968" w:rsidP="007A3968">
      <w:pPr>
        <w:pStyle w:val="AERbulletlistsecondstyle"/>
      </w:pPr>
      <w:r w:rsidRPr="007A3968">
        <w:t>In the overheads category, JGN exceeded the forecast by $64.0 million due to an IT roll-over that was directly allocated from Jemena Group corporate to JGN.</w:t>
      </w:r>
      <w:r w:rsidRPr="007A3968">
        <w:rPr>
          <w:rStyle w:val="FootnoteReference"/>
        </w:rPr>
        <w:footnoteReference w:id="30"/>
      </w:r>
    </w:p>
    <w:p w:rsidR="007A3968" w:rsidRPr="007A3968" w:rsidRDefault="007A3968" w:rsidP="007A3968">
      <w:pPr>
        <w:pStyle w:val="AERbulletlistsecondstyle"/>
      </w:pPr>
      <w:r w:rsidRPr="007A3968">
        <w:t xml:space="preserve">In the IT category, JGN spent $23.2 million more than forecast due to changes in project scope and the implementation of transitional </w:t>
      </w:r>
      <w:r w:rsidR="0095583E">
        <w:t xml:space="preserve">National </w:t>
      </w:r>
      <w:r w:rsidR="0095583E">
        <w:lastRenderedPageBreak/>
        <w:t>Energy Customer Framework (</w:t>
      </w:r>
      <w:r w:rsidRPr="007A3968">
        <w:t>NECF</w:t>
      </w:r>
      <w:r w:rsidR="0095583E">
        <w:t>)</w:t>
      </w:r>
      <w:r w:rsidRPr="007A3968">
        <w:t>, which was not included in the forecast.</w:t>
      </w:r>
      <w:r w:rsidRPr="007A3968">
        <w:rPr>
          <w:rStyle w:val="FootnoteReference"/>
        </w:rPr>
        <w:footnoteReference w:id="31"/>
      </w:r>
    </w:p>
    <w:p w:rsidR="00123034" w:rsidRPr="00123034" w:rsidRDefault="00123034" w:rsidP="00123034">
      <w:pPr>
        <w:pStyle w:val="Heading3"/>
      </w:pPr>
      <w:bookmarkStart w:id="44" w:name="_Ref404336201"/>
      <w:bookmarkStart w:id="45" w:name="_Toc404676550"/>
      <w:bookmarkStart w:id="46" w:name="_Toc404676600"/>
      <w:bookmarkStart w:id="47" w:name="_Toc420943873"/>
      <w:r w:rsidRPr="00123034">
        <w:t>Conforming capex for the 2015–20 access arrangement period</w:t>
      </w:r>
      <w:bookmarkEnd w:id="44"/>
      <w:bookmarkEnd w:id="45"/>
      <w:bookmarkEnd w:id="46"/>
      <w:bookmarkEnd w:id="47"/>
    </w:p>
    <w:p w:rsidR="00123034" w:rsidRPr="000B64B4" w:rsidRDefault="00123034" w:rsidP="00123034">
      <w:pPr>
        <w:numPr>
          <w:ilvl w:val="0"/>
          <w:numId w:val="25"/>
        </w:numPr>
      </w:pPr>
      <w:r>
        <w:t xml:space="preserve">Our forecasts discussed </w:t>
      </w:r>
      <w:r w:rsidRPr="000B64B4">
        <w:t>in this section do not include</w:t>
      </w:r>
      <w:r>
        <w:t xml:space="preserve"> our </w:t>
      </w:r>
      <w:r w:rsidRPr="000B64B4">
        <w:t xml:space="preserve">adjustment to </w:t>
      </w:r>
      <w:r>
        <w:t>JGN</w:t>
      </w:r>
      <w:r w:rsidRPr="000B64B4">
        <w:t xml:space="preserve">'s proposed labour and material cost escalation factors. For </w:t>
      </w:r>
      <w:r>
        <w:t xml:space="preserve">our forecasts </w:t>
      </w:r>
      <w:r w:rsidRPr="000B64B4">
        <w:t>which include these adjustments see</w:t>
      </w:r>
      <w:r w:rsidR="00B96463">
        <w:t xml:space="preserve"> </w:t>
      </w:r>
      <w:r w:rsidR="00B96463">
        <w:fldChar w:fldCharType="begin"/>
      </w:r>
      <w:r w:rsidR="00B96463">
        <w:instrText xml:space="preserve"> REF  _Ref404161318 \* Lower \h  \* MERGEFORMAT </w:instrText>
      </w:r>
      <w:r w:rsidR="00B96463">
        <w:fldChar w:fldCharType="separate"/>
      </w:r>
      <w:r w:rsidR="00D51AD6">
        <w:t xml:space="preserve">table </w:t>
      </w:r>
      <w:r w:rsidR="00D51AD6">
        <w:rPr>
          <w:noProof/>
        </w:rPr>
        <w:t>6.2</w:t>
      </w:r>
      <w:r w:rsidR="00B96463">
        <w:fldChar w:fldCharType="end"/>
      </w:r>
      <w:r w:rsidRPr="000B64B4">
        <w:t>.</w:t>
      </w:r>
      <w:r>
        <w:t xml:space="preserve"> Our</w:t>
      </w:r>
      <w:r w:rsidRPr="000B64B4">
        <w:t xml:space="preserve"> assessment of labour and material cost escalation is </w:t>
      </w:r>
      <w:r w:rsidR="00940E38">
        <w:t xml:space="preserve">set out </w:t>
      </w:r>
      <w:r>
        <w:t>in section 7.5.3 of attachment 7 (</w:t>
      </w:r>
      <w:proofErr w:type="spellStart"/>
      <w:r>
        <w:t>opex</w:t>
      </w:r>
      <w:proofErr w:type="spellEnd"/>
      <w:r>
        <w:t>) and</w:t>
      </w:r>
      <w:r w:rsidR="00940E38">
        <w:t xml:space="preserve"> Appendix</w:t>
      </w:r>
      <w:r>
        <w:t xml:space="preserve"> </w:t>
      </w:r>
      <w:r w:rsidR="00940E38">
        <w:fldChar w:fldCharType="begin"/>
      </w:r>
      <w:r w:rsidR="00940E38">
        <w:instrText xml:space="preserve"> REF _Ref420408269 \r \h </w:instrText>
      </w:r>
      <w:r w:rsidR="00940E38">
        <w:fldChar w:fldCharType="separate"/>
      </w:r>
      <w:r w:rsidR="00D51AD6">
        <w:t>A</w:t>
      </w:r>
      <w:r w:rsidR="00940E38">
        <w:fldChar w:fldCharType="end"/>
      </w:r>
      <w:r w:rsidR="00940E38">
        <w:t xml:space="preserve"> </w:t>
      </w:r>
      <w:r>
        <w:t>below.</w:t>
      </w:r>
    </w:p>
    <w:p w:rsidR="00123034" w:rsidRPr="00BA386E" w:rsidRDefault="00123034" w:rsidP="00123034">
      <w:pPr>
        <w:numPr>
          <w:ilvl w:val="0"/>
          <w:numId w:val="25"/>
        </w:numPr>
      </w:pPr>
      <w:r w:rsidRPr="00123034">
        <w:t>We approve $</w:t>
      </w:r>
      <w:r w:rsidR="00552174">
        <w:t>9</w:t>
      </w:r>
      <w:r w:rsidR="00241585">
        <w:t xml:space="preserve">36.1 </w:t>
      </w:r>
      <w:r w:rsidRPr="00123034">
        <w:t>million ($2015)</w:t>
      </w:r>
      <w:r w:rsidRPr="00123034">
        <w:rPr>
          <w:rStyle w:val="FootnoteReference"/>
        </w:rPr>
        <w:footnoteReference w:id="32"/>
      </w:r>
      <w:r w:rsidRPr="00123034">
        <w:t xml:space="preserve"> of JGN's proposed $</w:t>
      </w:r>
      <w:r w:rsidR="00552174">
        <w:t>1,</w:t>
      </w:r>
      <w:r w:rsidR="00C63496">
        <w:t>043.</w:t>
      </w:r>
      <w:r w:rsidR="00241585">
        <w:t>9</w:t>
      </w:r>
      <w:r w:rsidRPr="00123034">
        <w:t xml:space="preserve"> million total net capex for the 2015–20 access arrangement </w:t>
      </w:r>
      <w:proofErr w:type="gramStart"/>
      <w:r w:rsidRPr="00123034">
        <w:t>period</w:t>
      </w:r>
      <w:proofErr w:type="gramEnd"/>
      <w:r w:rsidRPr="00123034">
        <w:t xml:space="preserve"> (see </w:t>
      </w:r>
      <w:r w:rsidRPr="00123034">
        <w:fldChar w:fldCharType="begin"/>
      </w:r>
      <w:r w:rsidRPr="00123034">
        <w:instrText xml:space="preserve"> REF _Ref401867665 \h </w:instrText>
      </w:r>
      <w:r w:rsidRPr="00123034">
        <w:fldChar w:fldCharType="separate"/>
      </w:r>
      <w:r w:rsidR="00D51AD6">
        <w:t xml:space="preserve">Table </w:t>
      </w:r>
      <w:r w:rsidR="00D51AD6">
        <w:rPr>
          <w:noProof/>
        </w:rPr>
        <w:t>6</w:t>
      </w:r>
      <w:r w:rsidR="00D51AD6">
        <w:t>.</w:t>
      </w:r>
      <w:r w:rsidR="00D51AD6">
        <w:rPr>
          <w:noProof/>
        </w:rPr>
        <w:t>6</w:t>
      </w:r>
      <w:r w:rsidRPr="00123034">
        <w:fldChar w:fldCharType="end"/>
      </w:r>
      <w:r w:rsidRPr="00123034">
        <w:t>).</w:t>
      </w:r>
    </w:p>
    <w:p w:rsidR="00123034" w:rsidRPr="00123034" w:rsidRDefault="00123034" w:rsidP="00123034">
      <w:pPr>
        <w:pStyle w:val="Caption"/>
      </w:pPr>
      <w:bookmarkStart w:id="48" w:name="_Ref401867665"/>
      <w:bookmarkStart w:id="49" w:name="_Ref404161554"/>
      <w:proofErr w:type="gramStart"/>
      <w:r>
        <w:t xml:space="preserve">Table </w:t>
      </w:r>
      <w:r w:rsidR="00C62F3B">
        <w:fldChar w:fldCharType="begin"/>
      </w:r>
      <w:r w:rsidR="00C62F3B">
        <w:instrText xml:space="preserve"> STYLEREF 1 \s </w:instrText>
      </w:r>
      <w:r w:rsidR="00C62F3B">
        <w:fldChar w:fldCharType="separate"/>
      </w:r>
      <w:r w:rsidR="00D51AD6">
        <w:rPr>
          <w:noProof/>
        </w:rPr>
        <w:t>6</w:t>
      </w:r>
      <w:r w:rsidR="00C62F3B">
        <w:rPr>
          <w:noProof/>
        </w:rPr>
        <w:fldChar w:fldCharType="end"/>
      </w:r>
      <w:r w:rsidR="007E5469">
        <w:t>.</w:t>
      </w:r>
      <w:proofErr w:type="gramEnd"/>
      <w:r w:rsidR="00C62F3B">
        <w:fldChar w:fldCharType="begin"/>
      </w:r>
      <w:r w:rsidR="00C62F3B">
        <w:instrText xml:space="preserve"> SEQ Table \* ARABIC \s 1 </w:instrText>
      </w:r>
      <w:r w:rsidR="00C62F3B">
        <w:fldChar w:fldCharType="separate"/>
      </w:r>
      <w:r w:rsidR="00D51AD6">
        <w:rPr>
          <w:noProof/>
        </w:rPr>
        <w:t>6</w:t>
      </w:r>
      <w:r w:rsidR="00C62F3B">
        <w:rPr>
          <w:noProof/>
        </w:rPr>
        <w:fldChar w:fldCharType="end"/>
      </w:r>
      <w:bookmarkEnd w:id="48"/>
      <w:r>
        <w:tab/>
      </w:r>
      <w:r w:rsidRPr="00123034">
        <w:t>AER approved capital expenditure over the 2015–20 access arrangement period ($million, 2015</w:t>
      </w:r>
      <w:proofErr w:type="gramStart"/>
      <w:r w:rsidRPr="00123034">
        <w:t>)</w:t>
      </w:r>
      <w:r w:rsidRPr="00123034">
        <w:rPr>
          <w:rStyle w:val="AERsuperscript"/>
        </w:rPr>
        <w:t>(</w:t>
      </w:r>
      <w:proofErr w:type="gramEnd"/>
      <w:r w:rsidRPr="00123034">
        <w:rPr>
          <w:rStyle w:val="AERsuperscript"/>
        </w:rPr>
        <w:t>a)</w:t>
      </w:r>
      <w:bookmarkEnd w:id="49"/>
    </w:p>
    <w:tbl>
      <w:tblPr>
        <w:tblStyle w:val="AERtable-numbers"/>
        <w:tblW w:w="5000" w:type="pct"/>
        <w:tblLook w:val="04A0" w:firstRow="1" w:lastRow="0" w:firstColumn="1" w:lastColumn="0" w:noHBand="0" w:noVBand="1"/>
      </w:tblPr>
      <w:tblGrid>
        <w:gridCol w:w="3311"/>
        <w:gridCol w:w="895"/>
        <w:gridCol w:w="901"/>
        <w:gridCol w:w="897"/>
        <w:gridCol w:w="895"/>
        <w:gridCol w:w="897"/>
        <w:gridCol w:w="897"/>
      </w:tblGrid>
      <w:tr w:rsidR="00123034" w:rsidRPr="004F416F" w:rsidTr="00552174">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904" w:type="pct"/>
            <w:hideMark/>
          </w:tcPr>
          <w:p w:rsidR="00123034" w:rsidRPr="00123034" w:rsidRDefault="00123034" w:rsidP="00123034">
            <w:r w:rsidRPr="00413233">
              <w:t> Category</w:t>
            </w:r>
          </w:p>
        </w:tc>
        <w:tc>
          <w:tcPr>
            <w:tcW w:w="515" w:type="pct"/>
            <w:hideMark/>
          </w:tcPr>
          <w:p w:rsidR="00123034" w:rsidRPr="00123034" w:rsidRDefault="00123034" w:rsidP="00123034">
            <w:pPr>
              <w:pStyle w:val="AERtabletextright"/>
              <w:cnfStyle w:val="100000000000" w:firstRow="1" w:lastRow="0" w:firstColumn="0" w:lastColumn="0" w:oddVBand="0" w:evenVBand="0" w:oddHBand="0" w:evenHBand="0" w:firstRowFirstColumn="0" w:firstRowLastColumn="0" w:lastRowFirstColumn="0" w:lastRowLastColumn="0"/>
            </w:pPr>
            <w:r w:rsidRPr="00413233">
              <w:t>20</w:t>
            </w:r>
            <w:r w:rsidRPr="00123034">
              <w:t>15-16</w:t>
            </w:r>
          </w:p>
        </w:tc>
        <w:tc>
          <w:tcPr>
            <w:tcW w:w="518" w:type="pct"/>
            <w:hideMark/>
          </w:tcPr>
          <w:p w:rsidR="00123034" w:rsidRPr="00123034" w:rsidRDefault="00123034" w:rsidP="00123034">
            <w:pPr>
              <w:pStyle w:val="AERtabletextright"/>
              <w:cnfStyle w:val="100000000000" w:firstRow="1" w:lastRow="0" w:firstColumn="0" w:lastColumn="0" w:oddVBand="0" w:evenVBand="0" w:oddHBand="0" w:evenHBand="0" w:firstRowFirstColumn="0" w:firstRowLastColumn="0" w:lastRowFirstColumn="0" w:lastRowLastColumn="0"/>
            </w:pPr>
            <w:r w:rsidRPr="00413233">
              <w:t>20</w:t>
            </w:r>
            <w:r w:rsidRPr="00123034">
              <w:t>16-17</w:t>
            </w:r>
          </w:p>
        </w:tc>
        <w:tc>
          <w:tcPr>
            <w:tcW w:w="516" w:type="pct"/>
            <w:hideMark/>
          </w:tcPr>
          <w:p w:rsidR="00123034" w:rsidRPr="00123034" w:rsidRDefault="00123034" w:rsidP="00123034">
            <w:pPr>
              <w:pStyle w:val="AERtabletextright"/>
              <w:cnfStyle w:val="100000000000" w:firstRow="1" w:lastRow="0" w:firstColumn="0" w:lastColumn="0" w:oddVBand="0" w:evenVBand="0" w:oddHBand="0" w:evenHBand="0" w:firstRowFirstColumn="0" w:firstRowLastColumn="0" w:lastRowFirstColumn="0" w:lastRowLastColumn="0"/>
            </w:pPr>
            <w:r w:rsidRPr="00413233">
              <w:t>20</w:t>
            </w:r>
            <w:r w:rsidRPr="00123034">
              <w:t>17-18</w:t>
            </w:r>
          </w:p>
        </w:tc>
        <w:tc>
          <w:tcPr>
            <w:tcW w:w="515" w:type="pct"/>
            <w:hideMark/>
          </w:tcPr>
          <w:p w:rsidR="00123034" w:rsidRPr="00123034" w:rsidRDefault="00123034" w:rsidP="00123034">
            <w:pPr>
              <w:pStyle w:val="AERtabletextright"/>
              <w:cnfStyle w:val="100000000000" w:firstRow="1" w:lastRow="0" w:firstColumn="0" w:lastColumn="0" w:oddVBand="0" w:evenVBand="0" w:oddHBand="0" w:evenHBand="0" w:firstRowFirstColumn="0" w:firstRowLastColumn="0" w:lastRowFirstColumn="0" w:lastRowLastColumn="0"/>
            </w:pPr>
            <w:r w:rsidRPr="00413233">
              <w:t>201</w:t>
            </w:r>
            <w:r w:rsidRPr="00123034">
              <w:t>8-19</w:t>
            </w:r>
          </w:p>
        </w:tc>
        <w:tc>
          <w:tcPr>
            <w:tcW w:w="516" w:type="pct"/>
            <w:hideMark/>
          </w:tcPr>
          <w:p w:rsidR="00123034" w:rsidRPr="00123034" w:rsidRDefault="00123034" w:rsidP="00123034">
            <w:pPr>
              <w:pStyle w:val="AERtabletextright"/>
              <w:cnfStyle w:val="100000000000" w:firstRow="1" w:lastRow="0" w:firstColumn="0" w:lastColumn="0" w:oddVBand="0" w:evenVBand="0" w:oddHBand="0" w:evenHBand="0" w:firstRowFirstColumn="0" w:firstRowLastColumn="0" w:lastRowFirstColumn="0" w:lastRowLastColumn="0"/>
            </w:pPr>
            <w:r w:rsidRPr="00413233">
              <w:t>201</w:t>
            </w:r>
            <w:r w:rsidRPr="00123034">
              <w:t>9-20</w:t>
            </w:r>
          </w:p>
        </w:tc>
        <w:tc>
          <w:tcPr>
            <w:tcW w:w="516" w:type="pct"/>
          </w:tcPr>
          <w:p w:rsidR="00123034" w:rsidRPr="00123034" w:rsidRDefault="00123034" w:rsidP="00123034">
            <w:pPr>
              <w:pStyle w:val="AERtabletextright"/>
              <w:cnfStyle w:val="100000000000" w:firstRow="1" w:lastRow="0" w:firstColumn="0" w:lastColumn="0" w:oddVBand="0" w:evenVBand="0" w:oddHBand="0" w:evenHBand="0" w:firstRowFirstColumn="0" w:firstRowLastColumn="0" w:lastRowFirstColumn="0" w:lastRowLastColumn="0"/>
            </w:pPr>
            <w:r>
              <w:t>T</w:t>
            </w:r>
            <w:r w:rsidRPr="00123034">
              <w:t>otal</w:t>
            </w:r>
          </w:p>
        </w:tc>
      </w:tr>
      <w:tr w:rsidR="00241585" w:rsidRPr="004F416F" w:rsidTr="00552174">
        <w:trPr>
          <w:trHeight w:val="300"/>
        </w:trPr>
        <w:tc>
          <w:tcPr>
            <w:cnfStyle w:val="001000000000" w:firstRow="0" w:lastRow="0" w:firstColumn="1" w:lastColumn="0" w:oddVBand="0" w:evenVBand="0" w:oddHBand="0" w:evenHBand="0" w:firstRowFirstColumn="0" w:firstRowLastColumn="0" w:lastRowFirstColumn="0" w:lastRowLastColumn="0"/>
            <w:tcW w:w="1904" w:type="pct"/>
            <w:vAlign w:val="bottom"/>
            <w:hideMark/>
          </w:tcPr>
          <w:p w:rsidR="00241585" w:rsidRPr="00241585" w:rsidRDefault="00241585" w:rsidP="00241585">
            <w:r w:rsidRPr="00241585">
              <w:t>Connections/Market expansion</w:t>
            </w:r>
          </w:p>
        </w:tc>
        <w:tc>
          <w:tcPr>
            <w:tcW w:w="515" w:type="pct"/>
            <w:vAlign w:val="top"/>
          </w:tcPr>
          <w:p w:rsidR="00241585" w:rsidRPr="00241585" w:rsidRDefault="00241585" w:rsidP="001A48AB">
            <w:pPr>
              <w:cnfStyle w:val="000000000000" w:firstRow="0" w:lastRow="0" w:firstColumn="0" w:lastColumn="0" w:oddVBand="0" w:evenVBand="0" w:oddHBand="0" w:evenHBand="0" w:firstRowFirstColumn="0" w:firstRowLastColumn="0" w:lastRowFirstColumn="0" w:lastRowLastColumn="0"/>
            </w:pPr>
            <w:r w:rsidRPr="00241585">
              <w:t xml:space="preserve"> 62.9 </w:t>
            </w:r>
          </w:p>
        </w:tc>
        <w:tc>
          <w:tcPr>
            <w:tcW w:w="518" w:type="pct"/>
            <w:vAlign w:val="top"/>
          </w:tcPr>
          <w:p w:rsidR="00241585" w:rsidRPr="00241585" w:rsidRDefault="00241585" w:rsidP="001A48AB">
            <w:pPr>
              <w:cnfStyle w:val="000000000000" w:firstRow="0" w:lastRow="0" w:firstColumn="0" w:lastColumn="0" w:oddVBand="0" w:evenVBand="0" w:oddHBand="0" w:evenHBand="0" w:firstRowFirstColumn="0" w:firstRowLastColumn="0" w:lastRowFirstColumn="0" w:lastRowLastColumn="0"/>
            </w:pPr>
            <w:r w:rsidRPr="00241585">
              <w:t xml:space="preserve"> 60.0 </w:t>
            </w:r>
          </w:p>
        </w:tc>
        <w:tc>
          <w:tcPr>
            <w:tcW w:w="516" w:type="pct"/>
            <w:vAlign w:val="top"/>
          </w:tcPr>
          <w:p w:rsidR="00241585" w:rsidRPr="00241585" w:rsidRDefault="00241585" w:rsidP="001A48AB">
            <w:pPr>
              <w:cnfStyle w:val="000000000000" w:firstRow="0" w:lastRow="0" w:firstColumn="0" w:lastColumn="0" w:oddVBand="0" w:evenVBand="0" w:oddHBand="0" w:evenHBand="0" w:firstRowFirstColumn="0" w:firstRowLastColumn="0" w:lastRowFirstColumn="0" w:lastRowLastColumn="0"/>
            </w:pPr>
            <w:r w:rsidRPr="00241585">
              <w:t xml:space="preserve"> 57.1 </w:t>
            </w:r>
          </w:p>
        </w:tc>
        <w:tc>
          <w:tcPr>
            <w:tcW w:w="515" w:type="pct"/>
            <w:vAlign w:val="top"/>
          </w:tcPr>
          <w:p w:rsidR="00241585" w:rsidRPr="00241585" w:rsidRDefault="00241585" w:rsidP="001A48AB">
            <w:pPr>
              <w:cnfStyle w:val="000000000000" w:firstRow="0" w:lastRow="0" w:firstColumn="0" w:lastColumn="0" w:oddVBand="0" w:evenVBand="0" w:oddHBand="0" w:evenHBand="0" w:firstRowFirstColumn="0" w:firstRowLastColumn="0" w:lastRowFirstColumn="0" w:lastRowLastColumn="0"/>
            </w:pPr>
            <w:r w:rsidRPr="00241585">
              <w:t xml:space="preserve"> 54.2 </w:t>
            </w:r>
          </w:p>
        </w:tc>
        <w:tc>
          <w:tcPr>
            <w:tcW w:w="516" w:type="pct"/>
            <w:vAlign w:val="top"/>
          </w:tcPr>
          <w:p w:rsidR="00241585" w:rsidRPr="00241585" w:rsidRDefault="00241585" w:rsidP="001A48AB">
            <w:pPr>
              <w:cnfStyle w:val="000000000000" w:firstRow="0" w:lastRow="0" w:firstColumn="0" w:lastColumn="0" w:oddVBand="0" w:evenVBand="0" w:oddHBand="0" w:evenHBand="0" w:firstRowFirstColumn="0" w:firstRowLastColumn="0" w:lastRowFirstColumn="0" w:lastRowLastColumn="0"/>
            </w:pPr>
            <w:r w:rsidRPr="00241585">
              <w:t xml:space="preserve"> 51.4 </w:t>
            </w:r>
          </w:p>
        </w:tc>
        <w:tc>
          <w:tcPr>
            <w:tcW w:w="516" w:type="pct"/>
            <w:vAlign w:val="top"/>
          </w:tcPr>
          <w:p w:rsidR="00241585" w:rsidRPr="00241585" w:rsidRDefault="00241585" w:rsidP="001A48AB">
            <w:pPr>
              <w:cnfStyle w:val="000000000000" w:firstRow="0" w:lastRow="0" w:firstColumn="0" w:lastColumn="0" w:oddVBand="0" w:evenVBand="0" w:oddHBand="0" w:evenHBand="0" w:firstRowFirstColumn="0" w:firstRowLastColumn="0" w:lastRowFirstColumn="0" w:lastRowLastColumn="0"/>
            </w:pPr>
            <w:r w:rsidRPr="00241585">
              <w:t xml:space="preserve"> 285.6 </w:t>
            </w:r>
          </w:p>
        </w:tc>
      </w:tr>
      <w:tr w:rsidR="00241585" w:rsidRPr="004F416F" w:rsidTr="0055217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4" w:type="pct"/>
            <w:vAlign w:val="bottom"/>
            <w:hideMark/>
          </w:tcPr>
          <w:p w:rsidR="00241585" w:rsidRPr="00241585" w:rsidRDefault="00241585" w:rsidP="00241585">
            <w:r w:rsidRPr="00241585">
              <w:t>Augmentation/Growth capacity</w:t>
            </w:r>
          </w:p>
        </w:tc>
        <w:tc>
          <w:tcPr>
            <w:tcW w:w="515" w:type="pct"/>
            <w:vAlign w:val="top"/>
          </w:tcPr>
          <w:p w:rsidR="00241585" w:rsidRPr="00241585" w:rsidRDefault="00241585" w:rsidP="001A48AB">
            <w:pPr>
              <w:cnfStyle w:val="000000010000" w:firstRow="0" w:lastRow="0" w:firstColumn="0" w:lastColumn="0" w:oddVBand="0" w:evenVBand="0" w:oddHBand="0" w:evenHBand="1" w:firstRowFirstColumn="0" w:firstRowLastColumn="0" w:lastRowFirstColumn="0" w:lastRowLastColumn="0"/>
            </w:pPr>
            <w:r w:rsidRPr="00241585">
              <w:t xml:space="preserve"> 17.0 </w:t>
            </w:r>
          </w:p>
        </w:tc>
        <w:tc>
          <w:tcPr>
            <w:tcW w:w="518" w:type="pct"/>
            <w:vAlign w:val="top"/>
          </w:tcPr>
          <w:p w:rsidR="00241585" w:rsidRPr="00241585" w:rsidRDefault="00241585" w:rsidP="001A48AB">
            <w:pPr>
              <w:cnfStyle w:val="000000010000" w:firstRow="0" w:lastRow="0" w:firstColumn="0" w:lastColumn="0" w:oddVBand="0" w:evenVBand="0" w:oddHBand="0" w:evenHBand="1" w:firstRowFirstColumn="0" w:firstRowLastColumn="0" w:lastRowFirstColumn="0" w:lastRowLastColumn="0"/>
            </w:pPr>
            <w:r w:rsidRPr="00241585">
              <w:t xml:space="preserve"> 17.1 </w:t>
            </w:r>
          </w:p>
        </w:tc>
        <w:tc>
          <w:tcPr>
            <w:tcW w:w="516" w:type="pct"/>
            <w:vAlign w:val="top"/>
          </w:tcPr>
          <w:p w:rsidR="00241585" w:rsidRPr="00241585" w:rsidRDefault="00241585" w:rsidP="001A48AB">
            <w:pPr>
              <w:cnfStyle w:val="000000010000" w:firstRow="0" w:lastRow="0" w:firstColumn="0" w:lastColumn="0" w:oddVBand="0" w:evenVBand="0" w:oddHBand="0" w:evenHBand="1" w:firstRowFirstColumn="0" w:firstRowLastColumn="0" w:lastRowFirstColumn="0" w:lastRowLastColumn="0"/>
            </w:pPr>
            <w:r w:rsidRPr="00241585">
              <w:t xml:space="preserve"> 21.1 </w:t>
            </w:r>
          </w:p>
        </w:tc>
        <w:tc>
          <w:tcPr>
            <w:tcW w:w="515" w:type="pct"/>
            <w:vAlign w:val="top"/>
          </w:tcPr>
          <w:p w:rsidR="00241585" w:rsidRPr="00241585" w:rsidRDefault="00241585" w:rsidP="001A48AB">
            <w:pPr>
              <w:cnfStyle w:val="000000010000" w:firstRow="0" w:lastRow="0" w:firstColumn="0" w:lastColumn="0" w:oddVBand="0" w:evenVBand="0" w:oddHBand="0" w:evenHBand="1" w:firstRowFirstColumn="0" w:firstRowLastColumn="0" w:lastRowFirstColumn="0" w:lastRowLastColumn="0"/>
            </w:pPr>
            <w:r w:rsidRPr="00241585">
              <w:t xml:space="preserve"> 16.5 </w:t>
            </w:r>
          </w:p>
        </w:tc>
        <w:tc>
          <w:tcPr>
            <w:tcW w:w="516" w:type="pct"/>
            <w:vAlign w:val="top"/>
          </w:tcPr>
          <w:p w:rsidR="00241585" w:rsidRPr="00241585" w:rsidRDefault="00241585" w:rsidP="001A48AB">
            <w:pPr>
              <w:cnfStyle w:val="000000010000" w:firstRow="0" w:lastRow="0" w:firstColumn="0" w:lastColumn="0" w:oddVBand="0" w:evenVBand="0" w:oddHBand="0" w:evenHBand="1" w:firstRowFirstColumn="0" w:firstRowLastColumn="0" w:lastRowFirstColumn="0" w:lastRowLastColumn="0"/>
            </w:pPr>
            <w:r w:rsidRPr="00241585">
              <w:t xml:space="preserve"> 11.7 </w:t>
            </w:r>
          </w:p>
        </w:tc>
        <w:tc>
          <w:tcPr>
            <w:tcW w:w="516" w:type="pct"/>
            <w:vAlign w:val="top"/>
          </w:tcPr>
          <w:p w:rsidR="00241585" w:rsidRPr="00241585" w:rsidRDefault="00241585" w:rsidP="001A48AB">
            <w:pPr>
              <w:cnfStyle w:val="000000010000" w:firstRow="0" w:lastRow="0" w:firstColumn="0" w:lastColumn="0" w:oddVBand="0" w:evenVBand="0" w:oddHBand="0" w:evenHBand="1" w:firstRowFirstColumn="0" w:firstRowLastColumn="0" w:lastRowFirstColumn="0" w:lastRowLastColumn="0"/>
            </w:pPr>
            <w:r w:rsidRPr="00241585">
              <w:t xml:space="preserve"> 83.5 </w:t>
            </w:r>
          </w:p>
        </w:tc>
      </w:tr>
      <w:tr w:rsidR="00241585" w:rsidRPr="004F416F" w:rsidTr="00552174">
        <w:trPr>
          <w:trHeight w:val="300"/>
        </w:trPr>
        <w:tc>
          <w:tcPr>
            <w:cnfStyle w:val="001000000000" w:firstRow="0" w:lastRow="0" w:firstColumn="1" w:lastColumn="0" w:oddVBand="0" w:evenVBand="0" w:oddHBand="0" w:evenHBand="0" w:firstRowFirstColumn="0" w:firstRowLastColumn="0" w:lastRowFirstColumn="0" w:lastRowLastColumn="0"/>
            <w:tcW w:w="1904" w:type="pct"/>
            <w:vAlign w:val="bottom"/>
            <w:hideMark/>
          </w:tcPr>
          <w:p w:rsidR="00241585" w:rsidRPr="00241585" w:rsidRDefault="00241585" w:rsidP="00241585">
            <w:r w:rsidRPr="00241585">
              <w:t>Mains and service renewal</w:t>
            </w:r>
          </w:p>
        </w:tc>
        <w:tc>
          <w:tcPr>
            <w:tcW w:w="515" w:type="pct"/>
            <w:vAlign w:val="top"/>
          </w:tcPr>
          <w:p w:rsidR="00241585" w:rsidRPr="00241585" w:rsidRDefault="00241585" w:rsidP="001A48AB">
            <w:pPr>
              <w:cnfStyle w:val="000000000000" w:firstRow="0" w:lastRow="0" w:firstColumn="0" w:lastColumn="0" w:oddVBand="0" w:evenVBand="0" w:oddHBand="0" w:evenHBand="0" w:firstRowFirstColumn="0" w:firstRowLastColumn="0" w:lastRowFirstColumn="0" w:lastRowLastColumn="0"/>
            </w:pPr>
            <w:r w:rsidRPr="00241585">
              <w:t xml:space="preserve"> 12.1 </w:t>
            </w:r>
          </w:p>
        </w:tc>
        <w:tc>
          <w:tcPr>
            <w:tcW w:w="518" w:type="pct"/>
            <w:vAlign w:val="top"/>
          </w:tcPr>
          <w:p w:rsidR="00241585" w:rsidRPr="00241585" w:rsidRDefault="00241585" w:rsidP="001A48AB">
            <w:pPr>
              <w:cnfStyle w:val="000000000000" w:firstRow="0" w:lastRow="0" w:firstColumn="0" w:lastColumn="0" w:oddVBand="0" w:evenVBand="0" w:oddHBand="0" w:evenHBand="0" w:firstRowFirstColumn="0" w:firstRowLastColumn="0" w:lastRowFirstColumn="0" w:lastRowLastColumn="0"/>
            </w:pPr>
            <w:r w:rsidRPr="00241585">
              <w:t xml:space="preserve"> 15.6 </w:t>
            </w:r>
          </w:p>
        </w:tc>
        <w:tc>
          <w:tcPr>
            <w:tcW w:w="516" w:type="pct"/>
            <w:vAlign w:val="top"/>
          </w:tcPr>
          <w:p w:rsidR="00241585" w:rsidRPr="00241585" w:rsidRDefault="00241585" w:rsidP="001A48AB">
            <w:pPr>
              <w:cnfStyle w:val="000000000000" w:firstRow="0" w:lastRow="0" w:firstColumn="0" w:lastColumn="0" w:oddVBand="0" w:evenVBand="0" w:oddHBand="0" w:evenHBand="0" w:firstRowFirstColumn="0" w:firstRowLastColumn="0" w:lastRowFirstColumn="0" w:lastRowLastColumn="0"/>
            </w:pPr>
            <w:r w:rsidRPr="00241585">
              <w:t xml:space="preserve"> 12.1 </w:t>
            </w:r>
          </w:p>
        </w:tc>
        <w:tc>
          <w:tcPr>
            <w:tcW w:w="515" w:type="pct"/>
            <w:vAlign w:val="top"/>
          </w:tcPr>
          <w:p w:rsidR="00241585" w:rsidRPr="00241585" w:rsidRDefault="00241585" w:rsidP="001A48AB">
            <w:pPr>
              <w:cnfStyle w:val="000000000000" w:firstRow="0" w:lastRow="0" w:firstColumn="0" w:lastColumn="0" w:oddVBand="0" w:evenVBand="0" w:oddHBand="0" w:evenHBand="0" w:firstRowFirstColumn="0" w:firstRowLastColumn="0" w:lastRowFirstColumn="0" w:lastRowLastColumn="0"/>
            </w:pPr>
            <w:r w:rsidRPr="00241585">
              <w:t xml:space="preserve"> 8.3 </w:t>
            </w:r>
          </w:p>
        </w:tc>
        <w:tc>
          <w:tcPr>
            <w:tcW w:w="516" w:type="pct"/>
            <w:vAlign w:val="top"/>
          </w:tcPr>
          <w:p w:rsidR="00241585" w:rsidRPr="00241585" w:rsidRDefault="00241585" w:rsidP="001A48AB">
            <w:pPr>
              <w:cnfStyle w:val="000000000000" w:firstRow="0" w:lastRow="0" w:firstColumn="0" w:lastColumn="0" w:oddVBand="0" w:evenVBand="0" w:oddHBand="0" w:evenHBand="0" w:firstRowFirstColumn="0" w:firstRowLastColumn="0" w:lastRowFirstColumn="0" w:lastRowLastColumn="0"/>
            </w:pPr>
            <w:r w:rsidRPr="00241585">
              <w:t xml:space="preserve"> 9.3 </w:t>
            </w:r>
          </w:p>
        </w:tc>
        <w:tc>
          <w:tcPr>
            <w:tcW w:w="516" w:type="pct"/>
            <w:vAlign w:val="top"/>
          </w:tcPr>
          <w:p w:rsidR="00241585" w:rsidRPr="00241585" w:rsidRDefault="00241585" w:rsidP="001A48AB">
            <w:pPr>
              <w:cnfStyle w:val="000000000000" w:firstRow="0" w:lastRow="0" w:firstColumn="0" w:lastColumn="0" w:oddVBand="0" w:evenVBand="0" w:oddHBand="0" w:evenHBand="0" w:firstRowFirstColumn="0" w:firstRowLastColumn="0" w:lastRowFirstColumn="0" w:lastRowLastColumn="0"/>
            </w:pPr>
            <w:r w:rsidRPr="00241585">
              <w:t xml:space="preserve"> 57.5 </w:t>
            </w:r>
          </w:p>
        </w:tc>
      </w:tr>
      <w:tr w:rsidR="00241585" w:rsidRPr="004F416F" w:rsidTr="0055217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4" w:type="pct"/>
            <w:vAlign w:val="top"/>
            <w:hideMark/>
          </w:tcPr>
          <w:p w:rsidR="00241585" w:rsidRPr="00241585" w:rsidRDefault="00241585" w:rsidP="00241585">
            <w:r w:rsidRPr="00241585">
              <w:t>Facilities renewal and upgrade</w:t>
            </w:r>
          </w:p>
        </w:tc>
        <w:tc>
          <w:tcPr>
            <w:tcW w:w="515" w:type="pct"/>
            <w:vAlign w:val="top"/>
          </w:tcPr>
          <w:p w:rsidR="00241585" w:rsidRPr="00241585" w:rsidRDefault="00241585" w:rsidP="001A48AB">
            <w:pPr>
              <w:cnfStyle w:val="000000010000" w:firstRow="0" w:lastRow="0" w:firstColumn="0" w:lastColumn="0" w:oddVBand="0" w:evenVBand="0" w:oddHBand="0" w:evenHBand="1" w:firstRowFirstColumn="0" w:firstRowLastColumn="0" w:lastRowFirstColumn="0" w:lastRowLastColumn="0"/>
            </w:pPr>
            <w:r w:rsidRPr="00241585">
              <w:t xml:space="preserve"> 22.0 </w:t>
            </w:r>
          </w:p>
        </w:tc>
        <w:tc>
          <w:tcPr>
            <w:tcW w:w="518" w:type="pct"/>
            <w:vAlign w:val="top"/>
          </w:tcPr>
          <w:p w:rsidR="00241585" w:rsidRPr="00241585" w:rsidRDefault="00241585" w:rsidP="001A48AB">
            <w:pPr>
              <w:cnfStyle w:val="000000010000" w:firstRow="0" w:lastRow="0" w:firstColumn="0" w:lastColumn="0" w:oddVBand="0" w:evenVBand="0" w:oddHBand="0" w:evenHBand="1" w:firstRowFirstColumn="0" w:firstRowLastColumn="0" w:lastRowFirstColumn="0" w:lastRowLastColumn="0"/>
            </w:pPr>
            <w:r w:rsidRPr="00241585">
              <w:t xml:space="preserve"> 18.5 </w:t>
            </w:r>
          </w:p>
        </w:tc>
        <w:tc>
          <w:tcPr>
            <w:tcW w:w="516" w:type="pct"/>
            <w:vAlign w:val="top"/>
          </w:tcPr>
          <w:p w:rsidR="00241585" w:rsidRPr="00241585" w:rsidRDefault="00241585" w:rsidP="001A48AB">
            <w:pPr>
              <w:cnfStyle w:val="000000010000" w:firstRow="0" w:lastRow="0" w:firstColumn="0" w:lastColumn="0" w:oddVBand="0" w:evenVBand="0" w:oddHBand="0" w:evenHBand="1" w:firstRowFirstColumn="0" w:firstRowLastColumn="0" w:lastRowFirstColumn="0" w:lastRowLastColumn="0"/>
            </w:pPr>
            <w:r w:rsidRPr="00241585">
              <w:t xml:space="preserve"> 19.4 </w:t>
            </w:r>
          </w:p>
        </w:tc>
        <w:tc>
          <w:tcPr>
            <w:tcW w:w="515" w:type="pct"/>
            <w:vAlign w:val="top"/>
          </w:tcPr>
          <w:p w:rsidR="00241585" w:rsidRPr="00241585" w:rsidRDefault="00241585" w:rsidP="001A48AB">
            <w:pPr>
              <w:cnfStyle w:val="000000010000" w:firstRow="0" w:lastRow="0" w:firstColumn="0" w:lastColumn="0" w:oddVBand="0" w:evenVBand="0" w:oddHBand="0" w:evenHBand="1" w:firstRowFirstColumn="0" w:firstRowLastColumn="0" w:lastRowFirstColumn="0" w:lastRowLastColumn="0"/>
            </w:pPr>
            <w:r w:rsidRPr="00241585">
              <w:t xml:space="preserve"> 19.6 </w:t>
            </w:r>
          </w:p>
        </w:tc>
        <w:tc>
          <w:tcPr>
            <w:tcW w:w="516" w:type="pct"/>
            <w:vAlign w:val="top"/>
          </w:tcPr>
          <w:p w:rsidR="00241585" w:rsidRPr="00241585" w:rsidRDefault="00241585" w:rsidP="001A48AB">
            <w:pPr>
              <w:cnfStyle w:val="000000010000" w:firstRow="0" w:lastRow="0" w:firstColumn="0" w:lastColumn="0" w:oddVBand="0" w:evenVBand="0" w:oddHBand="0" w:evenHBand="1" w:firstRowFirstColumn="0" w:firstRowLastColumn="0" w:lastRowFirstColumn="0" w:lastRowLastColumn="0"/>
            </w:pPr>
            <w:r w:rsidRPr="00241585">
              <w:t xml:space="preserve"> 15.7 </w:t>
            </w:r>
          </w:p>
        </w:tc>
        <w:tc>
          <w:tcPr>
            <w:tcW w:w="516" w:type="pct"/>
            <w:vAlign w:val="top"/>
          </w:tcPr>
          <w:p w:rsidR="00241585" w:rsidRPr="00241585" w:rsidRDefault="00241585" w:rsidP="001A48AB">
            <w:pPr>
              <w:cnfStyle w:val="000000010000" w:firstRow="0" w:lastRow="0" w:firstColumn="0" w:lastColumn="0" w:oddVBand="0" w:evenVBand="0" w:oddHBand="0" w:evenHBand="1" w:firstRowFirstColumn="0" w:firstRowLastColumn="0" w:lastRowFirstColumn="0" w:lastRowLastColumn="0"/>
            </w:pPr>
            <w:r w:rsidRPr="00241585">
              <w:t xml:space="preserve"> 95.2 </w:t>
            </w:r>
          </w:p>
        </w:tc>
      </w:tr>
      <w:tr w:rsidR="00241585" w:rsidRPr="004F416F" w:rsidTr="00552174">
        <w:trPr>
          <w:trHeight w:val="300"/>
        </w:trPr>
        <w:tc>
          <w:tcPr>
            <w:cnfStyle w:val="001000000000" w:firstRow="0" w:lastRow="0" w:firstColumn="1" w:lastColumn="0" w:oddVBand="0" w:evenVBand="0" w:oddHBand="0" w:evenHBand="0" w:firstRowFirstColumn="0" w:firstRowLastColumn="0" w:lastRowFirstColumn="0" w:lastRowLastColumn="0"/>
            <w:tcW w:w="1904" w:type="pct"/>
            <w:vAlign w:val="top"/>
            <w:hideMark/>
          </w:tcPr>
          <w:p w:rsidR="00241585" w:rsidRPr="00241585" w:rsidRDefault="00241585" w:rsidP="00241585">
            <w:r w:rsidRPr="00241585">
              <w:t>SCADA</w:t>
            </w:r>
          </w:p>
        </w:tc>
        <w:tc>
          <w:tcPr>
            <w:tcW w:w="515" w:type="pct"/>
            <w:vAlign w:val="top"/>
          </w:tcPr>
          <w:p w:rsidR="00241585" w:rsidRPr="00241585" w:rsidRDefault="00241585" w:rsidP="001A48AB">
            <w:pPr>
              <w:cnfStyle w:val="000000000000" w:firstRow="0" w:lastRow="0" w:firstColumn="0" w:lastColumn="0" w:oddVBand="0" w:evenVBand="0" w:oddHBand="0" w:evenHBand="0" w:firstRowFirstColumn="0" w:firstRowLastColumn="0" w:lastRowFirstColumn="0" w:lastRowLastColumn="0"/>
            </w:pPr>
            <w:r w:rsidRPr="00241585">
              <w:t xml:space="preserve"> 1.3 </w:t>
            </w:r>
          </w:p>
        </w:tc>
        <w:tc>
          <w:tcPr>
            <w:tcW w:w="518" w:type="pct"/>
            <w:vAlign w:val="top"/>
          </w:tcPr>
          <w:p w:rsidR="00241585" w:rsidRPr="00241585" w:rsidRDefault="00241585" w:rsidP="001A48AB">
            <w:pPr>
              <w:cnfStyle w:val="000000000000" w:firstRow="0" w:lastRow="0" w:firstColumn="0" w:lastColumn="0" w:oddVBand="0" w:evenVBand="0" w:oddHBand="0" w:evenHBand="0" w:firstRowFirstColumn="0" w:firstRowLastColumn="0" w:lastRowFirstColumn="0" w:lastRowLastColumn="0"/>
            </w:pPr>
            <w:r w:rsidRPr="00241585">
              <w:t xml:space="preserve"> 2.7 </w:t>
            </w:r>
          </w:p>
        </w:tc>
        <w:tc>
          <w:tcPr>
            <w:tcW w:w="516" w:type="pct"/>
            <w:vAlign w:val="top"/>
          </w:tcPr>
          <w:p w:rsidR="00241585" w:rsidRPr="00241585" w:rsidRDefault="00241585" w:rsidP="001A48AB">
            <w:pPr>
              <w:cnfStyle w:val="000000000000" w:firstRow="0" w:lastRow="0" w:firstColumn="0" w:lastColumn="0" w:oddVBand="0" w:evenVBand="0" w:oddHBand="0" w:evenHBand="0" w:firstRowFirstColumn="0" w:firstRowLastColumn="0" w:lastRowFirstColumn="0" w:lastRowLastColumn="0"/>
            </w:pPr>
            <w:r w:rsidRPr="00241585">
              <w:t xml:space="preserve"> 2.7 </w:t>
            </w:r>
          </w:p>
        </w:tc>
        <w:tc>
          <w:tcPr>
            <w:tcW w:w="515" w:type="pct"/>
            <w:vAlign w:val="top"/>
          </w:tcPr>
          <w:p w:rsidR="00241585" w:rsidRPr="00241585" w:rsidRDefault="00241585" w:rsidP="001A48AB">
            <w:pPr>
              <w:cnfStyle w:val="000000000000" w:firstRow="0" w:lastRow="0" w:firstColumn="0" w:lastColumn="0" w:oddVBand="0" w:evenVBand="0" w:oddHBand="0" w:evenHBand="0" w:firstRowFirstColumn="0" w:firstRowLastColumn="0" w:lastRowFirstColumn="0" w:lastRowLastColumn="0"/>
            </w:pPr>
            <w:r w:rsidRPr="00241585">
              <w:t xml:space="preserve"> 2.1 </w:t>
            </w:r>
          </w:p>
        </w:tc>
        <w:tc>
          <w:tcPr>
            <w:tcW w:w="516" w:type="pct"/>
            <w:vAlign w:val="top"/>
          </w:tcPr>
          <w:p w:rsidR="00241585" w:rsidRPr="00241585" w:rsidRDefault="00241585" w:rsidP="001A48AB">
            <w:pPr>
              <w:cnfStyle w:val="000000000000" w:firstRow="0" w:lastRow="0" w:firstColumn="0" w:lastColumn="0" w:oddVBand="0" w:evenVBand="0" w:oddHBand="0" w:evenHBand="0" w:firstRowFirstColumn="0" w:firstRowLastColumn="0" w:lastRowFirstColumn="0" w:lastRowLastColumn="0"/>
            </w:pPr>
            <w:r w:rsidRPr="00241585">
              <w:t xml:space="preserve"> 0.7 </w:t>
            </w:r>
          </w:p>
        </w:tc>
        <w:tc>
          <w:tcPr>
            <w:tcW w:w="516" w:type="pct"/>
            <w:vAlign w:val="top"/>
          </w:tcPr>
          <w:p w:rsidR="00241585" w:rsidRPr="00241585" w:rsidRDefault="00241585" w:rsidP="001A48AB">
            <w:pPr>
              <w:cnfStyle w:val="000000000000" w:firstRow="0" w:lastRow="0" w:firstColumn="0" w:lastColumn="0" w:oddVBand="0" w:evenVBand="0" w:oddHBand="0" w:evenHBand="0" w:firstRowFirstColumn="0" w:firstRowLastColumn="0" w:lastRowFirstColumn="0" w:lastRowLastColumn="0"/>
            </w:pPr>
            <w:r w:rsidRPr="00241585">
              <w:t xml:space="preserve"> 9.5 </w:t>
            </w:r>
          </w:p>
        </w:tc>
      </w:tr>
      <w:tr w:rsidR="00241585" w:rsidRPr="004F416F" w:rsidTr="0055217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4" w:type="pct"/>
            <w:vAlign w:val="top"/>
            <w:hideMark/>
          </w:tcPr>
          <w:p w:rsidR="00241585" w:rsidRPr="00241585" w:rsidRDefault="00241585" w:rsidP="00241585">
            <w:r w:rsidRPr="00241585">
              <w:t>Meter renewal and upgrade</w:t>
            </w:r>
          </w:p>
        </w:tc>
        <w:tc>
          <w:tcPr>
            <w:tcW w:w="515" w:type="pct"/>
            <w:vAlign w:val="top"/>
          </w:tcPr>
          <w:p w:rsidR="00241585" w:rsidRPr="00241585" w:rsidRDefault="00241585" w:rsidP="001A48AB">
            <w:pPr>
              <w:cnfStyle w:val="000000010000" w:firstRow="0" w:lastRow="0" w:firstColumn="0" w:lastColumn="0" w:oddVBand="0" w:evenVBand="0" w:oddHBand="0" w:evenHBand="1" w:firstRowFirstColumn="0" w:firstRowLastColumn="0" w:lastRowFirstColumn="0" w:lastRowLastColumn="0"/>
            </w:pPr>
            <w:r w:rsidRPr="00241585">
              <w:t xml:space="preserve"> 29.5 </w:t>
            </w:r>
          </w:p>
        </w:tc>
        <w:tc>
          <w:tcPr>
            <w:tcW w:w="518" w:type="pct"/>
            <w:vAlign w:val="top"/>
          </w:tcPr>
          <w:p w:rsidR="00241585" w:rsidRPr="00241585" w:rsidRDefault="00241585" w:rsidP="001A48AB">
            <w:pPr>
              <w:cnfStyle w:val="000000010000" w:firstRow="0" w:lastRow="0" w:firstColumn="0" w:lastColumn="0" w:oddVBand="0" w:evenVBand="0" w:oddHBand="0" w:evenHBand="1" w:firstRowFirstColumn="0" w:firstRowLastColumn="0" w:lastRowFirstColumn="0" w:lastRowLastColumn="0"/>
            </w:pPr>
            <w:r w:rsidRPr="00241585">
              <w:t xml:space="preserve"> 30.8 </w:t>
            </w:r>
          </w:p>
        </w:tc>
        <w:tc>
          <w:tcPr>
            <w:tcW w:w="516" w:type="pct"/>
            <w:vAlign w:val="top"/>
          </w:tcPr>
          <w:p w:rsidR="00241585" w:rsidRPr="00241585" w:rsidRDefault="00241585" w:rsidP="001A48AB">
            <w:pPr>
              <w:cnfStyle w:val="000000010000" w:firstRow="0" w:lastRow="0" w:firstColumn="0" w:lastColumn="0" w:oddVBand="0" w:evenVBand="0" w:oddHBand="0" w:evenHBand="1" w:firstRowFirstColumn="0" w:firstRowLastColumn="0" w:lastRowFirstColumn="0" w:lastRowLastColumn="0"/>
            </w:pPr>
            <w:r w:rsidRPr="00241585">
              <w:t xml:space="preserve"> 31.2 </w:t>
            </w:r>
          </w:p>
        </w:tc>
        <w:tc>
          <w:tcPr>
            <w:tcW w:w="515" w:type="pct"/>
            <w:vAlign w:val="top"/>
          </w:tcPr>
          <w:p w:rsidR="00241585" w:rsidRPr="00241585" w:rsidRDefault="00241585" w:rsidP="001A48AB">
            <w:pPr>
              <w:cnfStyle w:val="000000010000" w:firstRow="0" w:lastRow="0" w:firstColumn="0" w:lastColumn="0" w:oddVBand="0" w:evenVBand="0" w:oddHBand="0" w:evenHBand="1" w:firstRowFirstColumn="0" w:firstRowLastColumn="0" w:lastRowFirstColumn="0" w:lastRowLastColumn="0"/>
            </w:pPr>
            <w:r w:rsidRPr="00241585">
              <w:t xml:space="preserve"> 29.7 </w:t>
            </w:r>
          </w:p>
        </w:tc>
        <w:tc>
          <w:tcPr>
            <w:tcW w:w="516" w:type="pct"/>
            <w:vAlign w:val="top"/>
          </w:tcPr>
          <w:p w:rsidR="00241585" w:rsidRPr="00241585" w:rsidRDefault="00241585" w:rsidP="001A48AB">
            <w:pPr>
              <w:cnfStyle w:val="000000010000" w:firstRow="0" w:lastRow="0" w:firstColumn="0" w:lastColumn="0" w:oddVBand="0" w:evenVBand="0" w:oddHBand="0" w:evenHBand="1" w:firstRowFirstColumn="0" w:firstRowLastColumn="0" w:lastRowFirstColumn="0" w:lastRowLastColumn="0"/>
            </w:pPr>
            <w:r w:rsidRPr="00241585">
              <w:t xml:space="preserve"> 27.2 </w:t>
            </w:r>
          </w:p>
        </w:tc>
        <w:tc>
          <w:tcPr>
            <w:tcW w:w="516" w:type="pct"/>
            <w:vAlign w:val="top"/>
          </w:tcPr>
          <w:p w:rsidR="00241585" w:rsidRPr="00241585" w:rsidRDefault="00241585" w:rsidP="001A48AB">
            <w:pPr>
              <w:cnfStyle w:val="000000010000" w:firstRow="0" w:lastRow="0" w:firstColumn="0" w:lastColumn="0" w:oddVBand="0" w:evenVBand="0" w:oddHBand="0" w:evenHBand="1" w:firstRowFirstColumn="0" w:firstRowLastColumn="0" w:lastRowFirstColumn="0" w:lastRowLastColumn="0"/>
            </w:pPr>
            <w:r w:rsidRPr="00241585">
              <w:t xml:space="preserve"> 148.4 </w:t>
            </w:r>
          </w:p>
        </w:tc>
      </w:tr>
      <w:tr w:rsidR="00241585" w:rsidRPr="004F416F" w:rsidTr="00552174">
        <w:trPr>
          <w:trHeight w:val="300"/>
        </w:trPr>
        <w:tc>
          <w:tcPr>
            <w:cnfStyle w:val="001000000000" w:firstRow="0" w:lastRow="0" w:firstColumn="1" w:lastColumn="0" w:oddVBand="0" w:evenVBand="0" w:oddHBand="0" w:evenHBand="0" w:firstRowFirstColumn="0" w:firstRowLastColumn="0" w:lastRowFirstColumn="0" w:lastRowLastColumn="0"/>
            <w:tcW w:w="1904" w:type="pct"/>
            <w:vAlign w:val="top"/>
            <w:hideMark/>
          </w:tcPr>
          <w:p w:rsidR="00241585" w:rsidRPr="00241585" w:rsidRDefault="00241585" w:rsidP="00241585">
            <w:r w:rsidRPr="00241585">
              <w:t>Government authority work</w:t>
            </w:r>
          </w:p>
        </w:tc>
        <w:tc>
          <w:tcPr>
            <w:tcW w:w="515" w:type="pct"/>
            <w:vAlign w:val="top"/>
          </w:tcPr>
          <w:p w:rsidR="00241585" w:rsidRPr="00241585" w:rsidRDefault="00241585" w:rsidP="001A48AB">
            <w:pPr>
              <w:cnfStyle w:val="000000000000" w:firstRow="0" w:lastRow="0" w:firstColumn="0" w:lastColumn="0" w:oddVBand="0" w:evenVBand="0" w:oddHBand="0" w:evenHBand="0" w:firstRowFirstColumn="0" w:firstRowLastColumn="0" w:lastRowFirstColumn="0" w:lastRowLastColumn="0"/>
            </w:pPr>
            <w:r w:rsidRPr="00241585">
              <w:t xml:space="preserve"> 0.5 </w:t>
            </w:r>
          </w:p>
        </w:tc>
        <w:tc>
          <w:tcPr>
            <w:tcW w:w="518" w:type="pct"/>
            <w:vAlign w:val="top"/>
          </w:tcPr>
          <w:p w:rsidR="00241585" w:rsidRPr="00241585" w:rsidRDefault="00241585" w:rsidP="001A48AB">
            <w:pPr>
              <w:cnfStyle w:val="000000000000" w:firstRow="0" w:lastRow="0" w:firstColumn="0" w:lastColumn="0" w:oddVBand="0" w:evenVBand="0" w:oddHBand="0" w:evenHBand="0" w:firstRowFirstColumn="0" w:firstRowLastColumn="0" w:lastRowFirstColumn="0" w:lastRowLastColumn="0"/>
            </w:pPr>
            <w:r w:rsidRPr="00241585">
              <w:t xml:space="preserve"> 0.5 </w:t>
            </w:r>
          </w:p>
        </w:tc>
        <w:tc>
          <w:tcPr>
            <w:tcW w:w="516" w:type="pct"/>
            <w:vAlign w:val="top"/>
          </w:tcPr>
          <w:p w:rsidR="00241585" w:rsidRPr="00241585" w:rsidRDefault="00241585" w:rsidP="001A48AB">
            <w:pPr>
              <w:cnfStyle w:val="000000000000" w:firstRow="0" w:lastRow="0" w:firstColumn="0" w:lastColumn="0" w:oddVBand="0" w:evenVBand="0" w:oddHBand="0" w:evenHBand="0" w:firstRowFirstColumn="0" w:firstRowLastColumn="0" w:lastRowFirstColumn="0" w:lastRowLastColumn="0"/>
            </w:pPr>
            <w:r w:rsidRPr="00241585">
              <w:t xml:space="preserve"> 0.5 </w:t>
            </w:r>
          </w:p>
        </w:tc>
        <w:tc>
          <w:tcPr>
            <w:tcW w:w="515" w:type="pct"/>
            <w:vAlign w:val="top"/>
          </w:tcPr>
          <w:p w:rsidR="00241585" w:rsidRPr="00241585" w:rsidRDefault="00241585" w:rsidP="001A48AB">
            <w:pPr>
              <w:cnfStyle w:val="000000000000" w:firstRow="0" w:lastRow="0" w:firstColumn="0" w:lastColumn="0" w:oddVBand="0" w:evenVBand="0" w:oddHBand="0" w:evenHBand="0" w:firstRowFirstColumn="0" w:firstRowLastColumn="0" w:lastRowFirstColumn="0" w:lastRowLastColumn="0"/>
            </w:pPr>
            <w:r w:rsidRPr="00241585">
              <w:t xml:space="preserve"> 0.5 </w:t>
            </w:r>
          </w:p>
        </w:tc>
        <w:tc>
          <w:tcPr>
            <w:tcW w:w="516" w:type="pct"/>
            <w:vAlign w:val="top"/>
          </w:tcPr>
          <w:p w:rsidR="00241585" w:rsidRPr="00241585" w:rsidRDefault="00241585" w:rsidP="001A48AB">
            <w:pPr>
              <w:cnfStyle w:val="000000000000" w:firstRow="0" w:lastRow="0" w:firstColumn="0" w:lastColumn="0" w:oddVBand="0" w:evenVBand="0" w:oddHBand="0" w:evenHBand="0" w:firstRowFirstColumn="0" w:firstRowLastColumn="0" w:lastRowFirstColumn="0" w:lastRowLastColumn="0"/>
            </w:pPr>
            <w:r w:rsidRPr="00241585">
              <w:t xml:space="preserve"> 0.5 </w:t>
            </w:r>
          </w:p>
        </w:tc>
        <w:tc>
          <w:tcPr>
            <w:tcW w:w="516" w:type="pct"/>
            <w:vAlign w:val="top"/>
          </w:tcPr>
          <w:p w:rsidR="00241585" w:rsidRPr="00241585" w:rsidRDefault="00241585" w:rsidP="001A48AB">
            <w:pPr>
              <w:cnfStyle w:val="000000000000" w:firstRow="0" w:lastRow="0" w:firstColumn="0" w:lastColumn="0" w:oddVBand="0" w:evenVBand="0" w:oddHBand="0" w:evenHBand="0" w:firstRowFirstColumn="0" w:firstRowLastColumn="0" w:lastRowFirstColumn="0" w:lastRowLastColumn="0"/>
            </w:pPr>
            <w:r w:rsidRPr="00241585">
              <w:t xml:space="preserve"> 2.5 </w:t>
            </w:r>
          </w:p>
        </w:tc>
      </w:tr>
      <w:tr w:rsidR="00241585" w:rsidRPr="004F416F" w:rsidTr="0055217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4" w:type="pct"/>
            <w:vAlign w:val="top"/>
            <w:hideMark/>
          </w:tcPr>
          <w:p w:rsidR="00241585" w:rsidRPr="00241585" w:rsidRDefault="00241585" w:rsidP="00241585">
            <w:r w:rsidRPr="00241585">
              <w:t>IT</w:t>
            </w:r>
          </w:p>
        </w:tc>
        <w:tc>
          <w:tcPr>
            <w:tcW w:w="515" w:type="pct"/>
            <w:vAlign w:val="top"/>
          </w:tcPr>
          <w:p w:rsidR="00241585" w:rsidRPr="00241585" w:rsidRDefault="00241585" w:rsidP="001A48AB">
            <w:pPr>
              <w:cnfStyle w:val="000000010000" w:firstRow="0" w:lastRow="0" w:firstColumn="0" w:lastColumn="0" w:oddVBand="0" w:evenVBand="0" w:oddHBand="0" w:evenHBand="1" w:firstRowFirstColumn="0" w:firstRowLastColumn="0" w:lastRowFirstColumn="0" w:lastRowLastColumn="0"/>
            </w:pPr>
            <w:r w:rsidRPr="00241585">
              <w:t xml:space="preserve"> 42.0 </w:t>
            </w:r>
          </w:p>
        </w:tc>
        <w:tc>
          <w:tcPr>
            <w:tcW w:w="518" w:type="pct"/>
            <w:vAlign w:val="top"/>
          </w:tcPr>
          <w:p w:rsidR="00241585" w:rsidRPr="00241585" w:rsidRDefault="00241585" w:rsidP="001A48AB">
            <w:pPr>
              <w:cnfStyle w:val="000000010000" w:firstRow="0" w:lastRow="0" w:firstColumn="0" w:lastColumn="0" w:oddVBand="0" w:evenVBand="0" w:oddHBand="0" w:evenHBand="1" w:firstRowFirstColumn="0" w:firstRowLastColumn="0" w:lastRowFirstColumn="0" w:lastRowLastColumn="0"/>
            </w:pPr>
            <w:r w:rsidRPr="00241585">
              <w:t xml:space="preserve"> 29.9 </w:t>
            </w:r>
          </w:p>
        </w:tc>
        <w:tc>
          <w:tcPr>
            <w:tcW w:w="516" w:type="pct"/>
            <w:vAlign w:val="top"/>
          </w:tcPr>
          <w:p w:rsidR="00241585" w:rsidRPr="00241585" w:rsidRDefault="00241585" w:rsidP="001A48AB">
            <w:pPr>
              <w:cnfStyle w:val="000000010000" w:firstRow="0" w:lastRow="0" w:firstColumn="0" w:lastColumn="0" w:oddVBand="0" w:evenVBand="0" w:oddHBand="0" w:evenHBand="1" w:firstRowFirstColumn="0" w:firstRowLastColumn="0" w:lastRowFirstColumn="0" w:lastRowLastColumn="0"/>
            </w:pPr>
            <w:r w:rsidRPr="00241585">
              <w:t xml:space="preserve"> 31.9 </w:t>
            </w:r>
          </w:p>
        </w:tc>
        <w:tc>
          <w:tcPr>
            <w:tcW w:w="515" w:type="pct"/>
            <w:vAlign w:val="top"/>
          </w:tcPr>
          <w:p w:rsidR="00241585" w:rsidRPr="00241585" w:rsidRDefault="00241585" w:rsidP="001A48AB">
            <w:pPr>
              <w:cnfStyle w:val="000000010000" w:firstRow="0" w:lastRow="0" w:firstColumn="0" w:lastColumn="0" w:oddVBand="0" w:evenVBand="0" w:oddHBand="0" w:evenHBand="1" w:firstRowFirstColumn="0" w:firstRowLastColumn="0" w:lastRowFirstColumn="0" w:lastRowLastColumn="0"/>
            </w:pPr>
            <w:r w:rsidRPr="00241585">
              <w:t xml:space="preserve"> 17.7 </w:t>
            </w:r>
          </w:p>
        </w:tc>
        <w:tc>
          <w:tcPr>
            <w:tcW w:w="516" w:type="pct"/>
            <w:vAlign w:val="top"/>
          </w:tcPr>
          <w:p w:rsidR="00241585" w:rsidRPr="00241585" w:rsidRDefault="00241585" w:rsidP="001A48AB">
            <w:pPr>
              <w:cnfStyle w:val="000000010000" w:firstRow="0" w:lastRow="0" w:firstColumn="0" w:lastColumn="0" w:oddVBand="0" w:evenVBand="0" w:oddHBand="0" w:evenHBand="1" w:firstRowFirstColumn="0" w:firstRowLastColumn="0" w:lastRowFirstColumn="0" w:lastRowLastColumn="0"/>
            </w:pPr>
            <w:r w:rsidRPr="00241585">
              <w:t xml:space="preserve"> 10.1 </w:t>
            </w:r>
          </w:p>
        </w:tc>
        <w:tc>
          <w:tcPr>
            <w:tcW w:w="516" w:type="pct"/>
            <w:vAlign w:val="top"/>
          </w:tcPr>
          <w:p w:rsidR="00241585" w:rsidRPr="00241585" w:rsidRDefault="00241585" w:rsidP="001A48AB">
            <w:pPr>
              <w:cnfStyle w:val="000000010000" w:firstRow="0" w:lastRow="0" w:firstColumn="0" w:lastColumn="0" w:oddVBand="0" w:evenVBand="0" w:oddHBand="0" w:evenHBand="1" w:firstRowFirstColumn="0" w:firstRowLastColumn="0" w:lastRowFirstColumn="0" w:lastRowLastColumn="0"/>
            </w:pPr>
            <w:r w:rsidRPr="00241585">
              <w:t xml:space="preserve"> 131.6 </w:t>
            </w:r>
          </w:p>
        </w:tc>
      </w:tr>
      <w:tr w:rsidR="00241585" w:rsidRPr="004F416F" w:rsidTr="00552174">
        <w:trPr>
          <w:trHeight w:val="300"/>
        </w:trPr>
        <w:tc>
          <w:tcPr>
            <w:cnfStyle w:val="001000000000" w:firstRow="0" w:lastRow="0" w:firstColumn="1" w:lastColumn="0" w:oddVBand="0" w:evenVBand="0" w:oddHBand="0" w:evenHBand="0" w:firstRowFirstColumn="0" w:firstRowLastColumn="0" w:lastRowFirstColumn="0" w:lastRowLastColumn="0"/>
            <w:tcW w:w="1904" w:type="pct"/>
            <w:vAlign w:val="top"/>
            <w:hideMark/>
          </w:tcPr>
          <w:p w:rsidR="00241585" w:rsidRPr="00241585" w:rsidRDefault="00241585" w:rsidP="00241585">
            <w:r w:rsidRPr="00241585">
              <w:t>Other - non-distribution</w:t>
            </w:r>
          </w:p>
        </w:tc>
        <w:tc>
          <w:tcPr>
            <w:tcW w:w="515" w:type="pct"/>
            <w:vAlign w:val="top"/>
          </w:tcPr>
          <w:p w:rsidR="00241585" w:rsidRPr="00241585" w:rsidRDefault="00241585" w:rsidP="001A48AB">
            <w:pPr>
              <w:cnfStyle w:val="000000000000" w:firstRow="0" w:lastRow="0" w:firstColumn="0" w:lastColumn="0" w:oddVBand="0" w:evenVBand="0" w:oddHBand="0" w:evenHBand="0" w:firstRowFirstColumn="0" w:firstRowLastColumn="0" w:lastRowFirstColumn="0" w:lastRowLastColumn="0"/>
            </w:pPr>
            <w:r w:rsidRPr="00241585">
              <w:t xml:space="preserve"> 7.3 </w:t>
            </w:r>
          </w:p>
        </w:tc>
        <w:tc>
          <w:tcPr>
            <w:tcW w:w="518" w:type="pct"/>
            <w:vAlign w:val="top"/>
          </w:tcPr>
          <w:p w:rsidR="00241585" w:rsidRPr="00241585" w:rsidRDefault="00241585" w:rsidP="001A48AB">
            <w:pPr>
              <w:cnfStyle w:val="000000000000" w:firstRow="0" w:lastRow="0" w:firstColumn="0" w:lastColumn="0" w:oddVBand="0" w:evenVBand="0" w:oddHBand="0" w:evenHBand="0" w:firstRowFirstColumn="0" w:firstRowLastColumn="0" w:lastRowFirstColumn="0" w:lastRowLastColumn="0"/>
            </w:pPr>
            <w:r w:rsidRPr="00241585">
              <w:t xml:space="preserve"> 3.2 </w:t>
            </w:r>
          </w:p>
        </w:tc>
        <w:tc>
          <w:tcPr>
            <w:tcW w:w="516" w:type="pct"/>
            <w:vAlign w:val="top"/>
          </w:tcPr>
          <w:p w:rsidR="00241585" w:rsidRPr="00241585" w:rsidRDefault="00241585" w:rsidP="001A48AB">
            <w:pPr>
              <w:cnfStyle w:val="000000000000" w:firstRow="0" w:lastRow="0" w:firstColumn="0" w:lastColumn="0" w:oddVBand="0" w:evenVBand="0" w:oddHBand="0" w:evenHBand="0" w:firstRowFirstColumn="0" w:firstRowLastColumn="0" w:lastRowFirstColumn="0" w:lastRowLastColumn="0"/>
            </w:pPr>
            <w:r w:rsidRPr="00241585">
              <w:t xml:space="preserve"> 3.9 </w:t>
            </w:r>
          </w:p>
        </w:tc>
        <w:tc>
          <w:tcPr>
            <w:tcW w:w="515" w:type="pct"/>
            <w:vAlign w:val="top"/>
          </w:tcPr>
          <w:p w:rsidR="00241585" w:rsidRPr="00241585" w:rsidRDefault="00241585" w:rsidP="001A48AB">
            <w:pPr>
              <w:cnfStyle w:val="000000000000" w:firstRow="0" w:lastRow="0" w:firstColumn="0" w:lastColumn="0" w:oddVBand="0" w:evenVBand="0" w:oddHBand="0" w:evenHBand="0" w:firstRowFirstColumn="0" w:firstRowLastColumn="0" w:lastRowFirstColumn="0" w:lastRowLastColumn="0"/>
            </w:pPr>
            <w:r w:rsidRPr="00241585">
              <w:t xml:space="preserve"> 7.3 </w:t>
            </w:r>
          </w:p>
        </w:tc>
        <w:tc>
          <w:tcPr>
            <w:tcW w:w="516" w:type="pct"/>
            <w:vAlign w:val="top"/>
          </w:tcPr>
          <w:p w:rsidR="00241585" w:rsidRPr="00241585" w:rsidRDefault="00241585" w:rsidP="001A48AB">
            <w:pPr>
              <w:cnfStyle w:val="000000000000" w:firstRow="0" w:lastRow="0" w:firstColumn="0" w:lastColumn="0" w:oddVBand="0" w:evenVBand="0" w:oddHBand="0" w:evenHBand="0" w:firstRowFirstColumn="0" w:firstRowLastColumn="0" w:lastRowFirstColumn="0" w:lastRowLastColumn="0"/>
            </w:pPr>
            <w:r w:rsidRPr="00241585">
              <w:t xml:space="preserve"> 4.6 </w:t>
            </w:r>
          </w:p>
        </w:tc>
        <w:tc>
          <w:tcPr>
            <w:tcW w:w="516" w:type="pct"/>
            <w:vAlign w:val="top"/>
          </w:tcPr>
          <w:p w:rsidR="00241585" w:rsidRPr="00241585" w:rsidRDefault="00241585" w:rsidP="001A48AB">
            <w:pPr>
              <w:cnfStyle w:val="000000000000" w:firstRow="0" w:lastRow="0" w:firstColumn="0" w:lastColumn="0" w:oddVBand="0" w:evenVBand="0" w:oddHBand="0" w:evenHBand="0" w:firstRowFirstColumn="0" w:firstRowLastColumn="0" w:lastRowFirstColumn="0" w:lastRowLastColumn="0"/>
            </w:pPr>
            <w:r w:rsidRPr="00241585">
              <w:t xml:space="preserve"> 26.4 </w:t>
            </w:r>
          </w:p>
        </w:tc>
      </w:tr>
      <w:tr w:rsidR="00241585" w:rsidRPr="004F416F" w:rsidTr="0055217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4" w:type="pct"/>
            <w:vAlign w:val="top"/>
          </w:tcPr>
          <w:p w:rsidR="00241585" w:rsidRPr="00241585" w:rsidRDefault="00241585" w:rsidP="00241585">
            <w:r w:rsidRPr="00241585">
              <w:t>TPC/FEED</w:t>
            </w:r>
          </w:p>
        </w:tc>
        <w:tc>
          <w:tcPr>
            <w:tcW w:w="515" w:type="pct"/>
            <w:vAlign w:val="top"/>
          </w:tcPr>
          <w:p w:rsidR="00241585" w:rsidRPr="00241585" w:rsidRDefault="00241585" w:rsidP="001A48AB">
            <w:pPr>
              <w:cnfStyle w:val="000000010000" w:firstRow="0" w:lastRow="0" w:firstColumn="0" w:lastColumn="0" w:oddVBand="0" w:evenVBand="0" w:oddHBand="0" w:evenHBand="1" w:firstRowFirstColumn="0" w:firstRowLastColumn="0" w:lastRowFirstColumn="0" w:lastRowLastColumn="0"/>
            </w:pPr>
            <w:r w:rsidRPr="00241585">
              <w:t xml:space="preserve"> -   </w:t>
            </w:r>
          </w:p>
        </w:tc>
        <w:tc>
          <w:tcPr>
            <w:tcW w:w="518" w:type="pct"/>
            <w:vAlign w:val="top"/>
          </w:tcPr>
          <w:p w:rsidR="00241585" w:rsidRPr="00241585" w:rsidRDefault="00241585" w:rsidP="001A48AB">
            <w:pPr>
              <w:cnfStyle w:val="000000010000" w:firstRow="0" w:lastRow="0" w:firstColumn="0" w:lastColumn="0" w:oddVBand="0" w:evenVBand="0" w:oddHBand="0" w:evenHBand="1" w:firstRowFirstColumn="0" w:firstRowLastColumn="0" w:lastRowFirstColumn="0" w:lastRowLastColumn="0"/>
            </w:pPr>
            <w:r w:rsidRPr="00241585">
              <w:t xml:space="preserve"> -   </w:t>
            </w:r>
          </w:p>
        </w:tc>
        <w:tc>
          <w:tcPr>
            <w:tcW w:w="516" w:type="pct"/>
            <w:vAlign w:val="top"/>
          </w:tcPr>
          <w:p w:rsidR="00241585" w:rsidRPr="00241585" w:rsidRDefault="00241585" w:rsidP="001A48AB">
            <w:pPr>
              <w:cnfStyle w:val="000000010000" w:firstRow="0" w:lastRow="0" w:firstColumn="0" w:lastColumn="0" w:oddVBand="0" w:evenVBand="0" w:oddHBand="0" w:evenHBand="1" w:firstRowFirstColumn="0" w:firstRowLastColumn="0" w:lastRowFirstColumn="0" w:lastRowLastColumn="0"/>
            </w:pPr>
            <w:r w:rsidRPr="00241585">
              <w:t xml:space="preserve"> -   </w:t>
            </w:r>
          </w:p>
        </w:tc>
        <w:tc>
          <w:tcPr>
            <w:tcW w:w="515" w:type="pct"/>
            <w:vAlign w:val="top"/>
          </w:tcPr>
          <w:p w:rsidR="00241585" w:rsidRPr="00241585" w:rsidRDefault="00241585" w:rsidP="001A48AB">
            <w:pPr>
              <w:cnfStyle w:val="000000010000" w:firstRow="0" w:lastRow="0" w:firstColumn="0" w:lastColumn="0" w:oddVBand="0" w:evenVBand="0" w:oddHBand="0" w:evenHBand="1" w:firstRowFirstColumn="0" w:firstRowLastColumn="0" w:lastRowFirstColumn="0" w:lastRowLastColumn="0"/>
            </w:pPr>
            <w:r w:rsidRPr="00241585">
              <w:t xml:space="preserve"> -   </w:t>
            </w:r>
          </w:p>
        </w:tc>
        <w:tc>
          <w:tcPr>
            <w:tcW w:w="516" w:type="pct"/>
            <w:vAlign w:val="top"/>
          </w:tcPr>
          <w:p w:rsidR="00241585" w:rsidRPr="00241585" w:rsidRDefault="00241585" w:rsidP="001A48AB">
            <w:pPr>
              <w:cnfStyle w:val="000000010000" w:firstRow="0" w:lastRow="0" w:firstColumn="0" w:lastColumn="0" w:oddVBand="0" w:evenVBand="0" w:oddHBand="0" w:evenHBand="1" w:firstRowFirstColumn="0" w:firstRowLastColumn="0" w:lastRowFirstColumn="0" w:lastRowLastColumn="0"/>
            </w:pPr>
            <w:r w:rsidRPr="00241585">
              <w:t xml:space="preserve"> -   </w:t>
            </w:r>
          </w:p>
        </w:tc>
        <w:tc>
          <w:tcPr>
            <w:tcW w:w="516" w:type="pct"/>
            <w:vAlign w:val="top"/>
          </w:tcPr>
          <w:p w:rsidR="00241585" w:rsidRPr="00241585" w:rsidRDefault="00241585" w:rsidP="001A48AB">
            <w:pPr>
              <w:cnfStyle w:val="000000010000" w:firstRow="0" w:lastRow="0" w:firstColumn="0" w:lastColumn="0" w:oddVBand="0" w:evenVBand="0" w:oddHBand="0" w:evenHBand="1" w:firstRowFirstColumn="0" w:firstRowLastColumn="0" w:lastRowFirstColumn="0" w:lastRowLastColumn="0"/>
            </w:pPr>
            <w:r w:rsidRPr="00241585">
              <w:t xml:space="preserve"> -   </w:t>
            </w:r>
          </w:p>
        </w:tc>
      </w:tr>
      <w:tr w:rsidR="00241585" w:rsidRPr="004F416F" w:rsidTr="00552174">
        <w:trPr>
          <w:trHeight w:val="300"/>
        </w:trPr>
        <w:tc>
          <w:tcPr>
            <w:cnfStyle w:val="001000000000" w:firstRow="0" w:lastRow="0" w:firstColumn="1" w:lastColumn="0" w:oddVBand="0" w:evenVBand="0" w:oddHBand="0" w:evenHBand="0" w:firstRowFirstColumn="0" w:firstRowLastColumn="0" w:lastRowFirstColumn="0" w:lastRowLastColumn="0"/>
            <w:tcW w:w="1904" w:type="pct"/>
            <w:vAlign w:val="top"/>
            <w:hideMark/>
          </w:tcPr>
          <w:p w:rsidR="00241585" w:rsidRPr="00241585" w:rsidRDefault="00241585" w:rsidP="00241585">
            <w:r w:rsidRPr="00241585">
              <w:t>Overheads</w:t>
            </w:r>
          </w:p>
        </w:tc>
        <w:tc>
          <w:tcPr>
            <w:tcW w:w="515" w:type="pct"/>
            <w:vAlign w:val="top"/>
          </w:tcPr>
          <w:p w:rsidR="00241585" w:rsidRPr="00241585" w:rsidRDefault="00241585" w:rsidP="001A48AB">
            <w:pPr>
              <w:cnfStyle w:val="000000000000" w:firstRow="0" w:lastRow="0" w:firstColumn="0" w:lastColumn="0" w:oddVBand="0" w:evenVBand="0" w:oddHBand="0" w:evenHBand="0" w:firstRowFirstColumn="0" w:firstRowLastColumn="0" w:lastRowFirstColumn="0" w:lastRowLastColumn="0"/>
            </w:pPr>
            <w:r w:rsidRPr="00241585">
              <w:t xml:space="preserve"> 24.0 </w:t>
            </w:r>
          </w:p>
        </w:tc>
        <w:tc>
          <w:tcPr>
            <w:tcW w:w="518" w:type="pct"/>
            <w:vAlign w:val="top"/>
          </w:tcPr>
          <w:p w:rsidR="00241585" w:rsidRPr="00241585" w:rsidRDefault="00241585" w:rsidP="001A48AB">
            <w:pPr>
              <w:cnfStyle w:val="000000000000" w:firstRow="0" w:lastRow="0" w:firstColumn="0" w:lastColumn="0" w:oddVBand="0" w:evenVBand="0" w:oddHBand="0" w:evenHBand="0" w:firstRowFirstColumn="0" w:firstRowLastColumn="0" w:lastRowFirstColumn="0" w:lastRowLastColumn="0"/>
            </w:pPr>
            <w:r w:rsidRPr="00241585">
              <w:t xml:space="preserve"> 23.4 </w:t>
            </w:r>
          </w:p>
        </w:tc>
        <w:tc>
          <w:tcPr>
            <w:tcW w:w="516" w:type="pct"/>
            <w:vAlign w:val="top"/>
          </w:tcPr>
          <w:p w:rsidR="00241585" w:rsidRPr="00241585" w:rsidRDefault="00241585" w:rsidP="001A48AB">
            <w:pPr>
              <w:cnfStyle w:val="000000000000" w:firstRow="0" w:lastRow="0" w:firstColumn="0" w:lastColumn="0" w:oddVBand="0" w:evenVBand="0" w:oddHBand="0" w:evenHBand="0" w:firstRowFirstColumn="0" w:firstRowLastColumn="0" w:lastRowFirstColumn="0" w:lastRowLastColumn="0"/>
            </w:pPr>
            <w:r w:rsidRPr="00241585">
              <w:t xml:space="preserve"> 23.5 </w:t>
            </w:r>
          </w:p>
        </w:tc>
        <w:tc>
          <w:tcPr>
            <w:tcW w:w="515" w:type="pct"/>
            <w:vAlign w:val="top"/>
          </w:tcPr>
          <w:p w:rsidR="00241585" w:rsidRPr="00241585" w:rsidRDefault="00241585" w:rsidP="001A48AB">
            <w:pPr>
              <w:cnfStyle w:val="000000000000" w:firstRow="0" w:lastRow="0" w:firstColumn="0" w:lastColumn="0" w:oddVBand="0" w:evenVBand="0" w:oddHBand="0" w:evenHBand="0" w:firstRowFirstColumn="0" w:firstRowLastColumn="0" w:lastRowFirstColumn="0" w:lastRowLastColumn="0"/>
            </w:pPr>
            <w:r w:rsidRPr="00241585">
              <w:t xml:space="preserve"> 22.6 </w:t>
            </w:r>
          </w:p>
        </w:tc>
        <w:tc>
          <w:tcPr>
            <w:tcW w:w="516" w:type="pct"/>
            <w:vAlign w:val="top"/>
          </w:tcPr>
          <w:p w:rsidR="00241585" w:rsidRPr="00241585" w:rsidRDefault="00241585" w:rsidP="001A48AB">
            <w:pPr>
              <w:cnfStyle w:val="000000000000" w:firstRow="0" w:lastRow="0" w:firstColumn="0" w:lastColumn="0" w:oddVBand="0" w:evenVBand="0" w:oddHBand="0" w:evenHBand="0" w:firstRowFirstColumn="0" w:firstRowLastColumn="0" w:lastRowFirstColumn="0" w:lastRowLastColumn="0"/>
            </w:pPr>
            <w:r w:rsidRPr="00241585">
              <w:t xml:space="preserve"> 21.8 </w:t>
            </w:r>
          </w:p>
        </w:tc>
        <w:tc>
          <w:tcPr>
            <w:tcW w:w="516" w:type="pct"/>
            <w:vAlign w:val="top"/>
          </w:tcPr>
          <w:p w:rsidR="00241585" w:rsidRPr="00241585" w:rsidRDefault="00241585" w:rsidP="001A48AB">
            <w:pPr>
              <w:cnfStyle w:val="000000000000" w:firstRow="0" w:lastRow="0" w:firstColumn="0" w:lastColumn="0" w:oddVBand="0" w:evenVBand="0" w:oddHBand="0" w:evenHBand="0" w:firstRowFirstColumn="0" w:firstRowLastColumn="0" w:lastRowFirstColumn="0" w:lastRowLastColumn="0"/>
            </w:pPr>
            <w:r w:rsidRPr="00241585">
              <w:t xml:space="preserve"> 115.2 </w:t>
            </w:r>
          </w:p>
        </w:tc>
      </w:tr>
      <w:tr w:rsidR="00241585" w:rsidRPr="004F416F" w:rsidTr="0055217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4" w:type="pct"/>
            <w:vAlign w:val="bottom"/>
            <w:hideMark/>
          </w:tcPr>
          <w:p w:rsidR="00241585" w:rsidRPr="00241585" w:rsidRDefault="00241585" w:rsidP="00241585">
            <w:r w:rsidRPr="00241585">
              <w:t>GROSS TOTAL CAPITAL EXPENDITURE</w:t>
            </w:r>
          </w:p>
        </w:tc>
        <w:tc>
          <w:tcPr>
            <w:tcW w:w="515" w:type="pct"/>
            <w:vAlign w:val="top"/>
          </w:tcPr>
          <w:p w:rsidR="00241585" w:rsidRPr="00241585" w:rsidRDefault="00241585" w:rsidP="001A48AB">
            <w:pPr>
              <w:cnfStyle w:val="000000010000" w:firstRow="0" w:lastRow="0" w:firstColumn="0" w:lastColumn="0" w:oddVBand="0" w:evenVBand="0" w:oddHBand="0" w:evenHBand="1" w:firstRowFirstColumn="0" w:firstRowLastColumn="0" w:lastRowFirstColumn="0" w:lastRowLastColumn="0"/>
            </w:pPr>
            <w:r w:rsidRPr="00241585">
              <w:t xml:space="preserve"> 220.1 </w:t>
            </w:r>
          </w:p>
        </w:tc>
        <w:tc>
          <w:tcPr>
            <w:tcW w:w="518" w:type="pct"/>
            <w:vAlign w:val="top"/>
          </w:tcPr>
          <w:p w:rsidR="00241585" w:rsidRPr="00241585" w:rsidRDefault="00241585" w:rsidP="001A48AB">
            <w:pPr>
              <w:cnfStyle w:val="000000010000" w:firstRow="0" w:lastRow="0" w:firstColumn="0" w:lastColumn="0" w:oddVBand="0" w:evenVBand="0" w:oddHBand="0" w:evenHBand="1" w:firstRowFirstColumn="0" w:firstRowLastColumn="0" w:lastRowFirstColumn="0" w:lastRowLastColumn="0"/>
            </w:pPr>
            <w:r w:rsidRPr="00241585">
              <w:t xml:space="preserve"> 202.0 </w:t>
            </w:r>
          </w:p>
        </w:tc>
        <w:tc>
          <w:tcPr>
            <w:tcW w:w="516" w:type="pct"/>
            <w:vAlign w:val="top"/>
          </w:tcPr>
          <w:p w:rsidR="00241585" w:rsidRPr="00241585" w:rsidRDefault="00241585" w:rsidP="001A48AB">
            <w:pPr>
              <w:cnfStyle w:val="000000010000" w:firstRow="0" w:lastRow="0" w:firstColumn="0" w:lastColumn="0" w:oddVBand="0" w:evenVBand="0" w:oddHBand="0" w:evenHBand="1" w:firstRowFirstColumn="0" w:firstRowLastColumn="0" w:lastRowFirstColumn="0" w:lastRowLastColumn="0"/>
            </w:pPr>
            <w:r w:rsidRPr="00241585">
              <w:t xml:space="preserve"> 203.5 </w:t>
            </w:r>
          </w:p>
        </w:tc>
        <w:tc>
          <w:tcPr>
            <w:tcW w:w="515" w:type="pct"/>
            <w:vAlign w:val="top"/>
          </w:tcPr>
          <w:p w:rsidR="00241585" w:rsidRPr="00241585" w:rsidRDefault="00241585" w:rsidP="001A48AB">
            <w:pPr>
              <w:cnfStyle w:val="000000010000" w:firstRow="0" w:lastRow="0" w:firstColumn="0" w:lastColumn="0" w:oddVBand="0" w:evenVBand="0" w:oddHBand="0" w:evenHBand="1" w:firstRowFirstColumn="0" w:firstRowLastColumn="0" w:lastRowFirstColumn="0" w:lastRowLastColumn="0"/>
            </w:pPr>
            <w:r w:rsidRPr="00241585">
              <w:t xml:space="preserve"> 178.6 </w:t>
            </w:r>
          </w:p>
        </w:tc>
        <w:tc>
          <w:tcPr>
            <w:tcW w:w="516" w:type="pct"/>
            <w:vAlign w:val="top"/>
          </w:tcPr>
          <w:p w:rsidR="00241585" w:rsidRPr="00241585" w:rsidRDefault="00241585" w:rsidP="001A48AB">
            <w:pPr>
              <w:cnfStyle w:val="000000010000" w:firstRow="0" w:lastRow="0" w:firstColumn="0" w:lastColumn="0" w:oddVBand="0" w:evenVBand="0" w:oddHBand="0" w:evenHBand="1" w:firstRowFirstColumn="0" w:firstRowLastColumn="0" w:lastRowFirstColumn="0" w:lastRowLastColumn="0"/>
            </w:pPr>
            <w:r w:rsidRPr="00241585">
              <w:t xml:space="preserve"> 153.1 </w:t>
            </w:r>
          </w:p>
        </w:tc>
        <w:tc>
          <w:tcPr>
            <w:tcW w:w="516" w:type="pct"/>
            <w:vAlign w:val="top"/>
          </w:tcPr>
          <w:p w:rsidR="00241585" w:rsidRPr="00241585" w:rsidRDefault="00241585" w:rsidP="001A48AB">
            <w:pPr>
              <w:cnfStyle w:val="000000010000" w:firstRow="0" w:lastRow="0" w:firstColumn="0" w:lastColumn="0" w:oddVBand="0" w:evenVBand="0" w:oddHBand="0" w:evenHBand="1" w:firstRowFirstColumn="0" w:firstRowLastColumn="0" w:lastRowFirstColumn="0" w:lastRowLastColumn="0"/>
            </w:pPr>
            <w:r w:rsidRPr="00241585">
              <w:t xml:space="preserve"> 957.3 </w:t>
            </w:r>
          </w:p>
        </w:tc>
      </w:tr>
      <w:tr w:rsidR="00241585" w:rsidRPr="004F416F" w:rsidTr="00552174">
        <w:trPr>
          <w:trHeight w:val="300"/>
        </w:trPr>
        <w:tc>
          <w:tcPr>
            <w:cnfStyle w:val="001000000000" w:firstRow="0" w:lastRow="0" w:firstColumn="1" w:lastColumn="0" w:oddVBand="0" w:evenVBand="0" w:oddHBand="0" w:evenHBand="0" w:firstRowFirstColumn="0" w:firstRowLastColumn="0" w:lastRowFirstColumn="0" w:lastRowLastColumn="0"/>
            <w:tcW w:w="1904" w:type="pct"/>
            <w:vAlign w:val="bottom"/>
            <w:hideMark/>
          </w:tcPr>
          <w:p w:rsidR="00241585" w:rsidRPr="00241585" w:rsidRDefault="00241585" w:rsidP="00241585">
            <w:r w:rsidRPr="00241585">
              <w:t>Contributions</w:t>
            </w:r>
          </w:p>
        </w:tc>
        <w:tc>
          <w:tcPr>
            <w:tcW w:w="515" w:type="pct"/>
            <w:vAlign w:val="top"/>
          </w:tcPr>
          <w:p w:rsidR="00241585" w:rsidRPr="00241585" w:rsidRDefault="00241585" w:rsidP="001A48AB">
            <w:pPr>
              <w:cnfStyle w:val="000000000000" w:firstRow="0" w:lastRow="0" w:firstColumn="0" w:lastColumn="0" w:oddVBand="0" w:evenVBand="0" w:oddHBand="0" w:evenHBand="0" w:firstRowFirstColumn="0" w:firstRowLastColumn="0" w:lastRowFirstColumn="0" w:lastRowLastColumn="0"/>
            </w:pPr>
            <w:r w:rsidRPr="00241585">
              <w:t xml:space="preserve"> 5.4 </w:t>
            </w:r>
          </w:p>
        </w:tc>
        <w:tc>
          <w:tcPr>
            <w:tcW w:w="518" w:type="pct"/>
            <w:vAlign w:val="top"/>
          </w:tcPr>
          <w:p w:rsidR="00241585" w:rsidRPr="00241585" w:rsidRDefault="00241585" w:rsidP="001A48AB">
            <w:pPr>
              <w:cnfStyle w:val="000000000000" w:firstRow="0" w:lastRow="0" w:firstColumn="0" w:lastColumn="0" w:oddVBand="0" w:evenVBand="0" w:oddHBand="0" w:evenHBand="0" w:firstRowFirstColumn="0" w:firstRowLastColumn="0" w:lastRowFirstColumn="0" w:lastRowLastColumn="0"/>
            </w:pPr>
            <w:r w:rsidRPr="00241585">
              <w:t xml:space="preserve"> 4.1 </w:t>
            </w:r>
          </w:p>
        </w:tc>
        <w:tc>
          <w:tcPr>
            <w:tcW w:w="516" w:type="pct"/>
            <w:vAlign w:val="top"/>
          </w:tcPr>
          <w:p w:rsidR="00241585" w:rsidRPr="00241585" w:rsidRDefault="00241585" w:rsidP="001A48AB">
            <w:pPr>
              <w:cnfStyle w:val="000000000000" w:firstRow="0" w:lastRow="0" w:firstColumn="0" w:lastColumn="0" w:oddVBand="0" w:evenVBand="0" w:oddHBand="0" w:evenHBand="0" w:firstRowFirstColumn="0" w:firstRowLastColumn="0" w:lastRowFirstColumn="0" w:lastRowLastColumn="0"/>
            </w:pPr>
            <w:r w:rsidRPr="00241585">
              <w:t xml:space="preserve"> 3.7 </w:t>
            </w:r>
          </w:p>
        </w:tc>
        <w:tc>
          <w:tcPr>
            <w:tcW w:w="515" w:type="pct"/>
            <w:vAlign w:val="top"/>
          </w:tcPr>
          <w:p w:rsidR="00241585" w:rsidRPr="00241585" w:rsidRDefault="00241585" w:rsidP="001A48AB">
            <w:pPr>
              <w:cnfStyle w:val="000000000000" w:firstRow="0" w:lastRow="0" w:firstColumn="0" w:lastColumn="0" w:oddVBand="0" w:evenVBand="0" w:oddHBand="0" w:evenHBand="0" w:firstRowFirstColumn="0" w:firstRowLastColumn="0" w:lastRowFirstColumn="0" w:lastRowLastColumn="0"/>
            </w:pPr>
            <w:r w:rsidRPr="00241585">
              <w:t xml:space="preserve"> 3.6 </w:t>
            </w:r>
          </w:p>
        </w:tc>
        <w:tc>
          <w:tcPr>
            <w:tcW w:w="516" w:type="pct"/>
            <w:vAlign w:val="top"/>
          </w:tcPr>
          <w:p w:rsidR="00241585" w:rsidRPr="00241585" w:rsidRDefault="00241585" w:rsidP="001A48AB">
            <w:pPr>
              <w:cnfStyle w:val="000000000000" w:firstRow="0" w:lastRow="0" w:firstColumn="0" w:lastColumn="0" w:oddVBand="0" w:evenVBand="0" w:oddHBand="0" w:evenHBand="0" w:firstRowFirstColumn="0" w:firstRowLastColumn="0" w:lastRowFirstColumn="0" w:lastRowLastColumn="0"/>
            </w:pPr>
            <w:r w:rsidRPr="00241585">
              <w:t xml:space="preserve"> 3.6 </w:t>
            </w:r>
          </w:p>
        </w:tc>
        <w:tc>
          <w:tcPr>
            <w:tcW w:w="516" w:type="pct"/>
            <w:vAlign w:val="top"/>
          </w:tcPr>
          <w:p w:rsidR="00241585" w:rsidRPr="00241585" w:rsidRDefault="00241585" w:rsidP="001A48AB">
            <w:pPr>
              <w:cnfStyle w:val="000000000000" w:firstRow="0" w:lastRow="0" w:firstColumn="0" w:lastColumn="0" w:oddVBand="0" w:evenVBand="0" w:oddHBand="0" w:evenHBand="0" w:firstRowFirstColumn="0" w:firstRowLastColumn="0" w:lastRowFirstColumn="0" w:lastRowLastColumn="0"/>
            </w:pPr>
            <w:r w:rsidRPr="00241585">
              <w:t xml:space="preserve"> 20.4 </w:t>
            </w:r>
          </w:p>
        </w:tc>
      </w:tr>
      <w:tr w:rsidR="00241585" w:rsidRPr="004F416F" w:rsidTr="0055217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4" w:type="pct"/>
            <w:vAlign w:val="bottom"/>
          </w:tcPr>
          <w:p w:rsidR="00241585" w:rsidRPr="00241585" w:rsidRDefault="00241585" w:rsidP="00241585">
            <w:r w:rsidRPr="00241585">
              <w:t>Asset disposals</w:t>
            </w:r>
          </w:p>
        </w:tc>
        <w:tc>
          <w:tcPr>
            <w:tcW w:w="515" w:type="pct"/>
            <w:vAlign w:val="top"/>
          </w:tcPr>
          <w:p w:rsidR="00241585" w:rsidRPr="00241585" w:rsidRDefault="00241585" w:rsidP="001A48AB">
            <w:pPr>
              <w:cnfStyle w:val="000000010000" w:firstRow="0" w:lastRow="0" w:firstColumn="0" w:lastColumn="0" w:oddVBand="0" w:evenVBand="0" w:oddHBand="0" w:evenHBand="1" w:firstRowFirstColumn="0" w:firstRowLastColumn="0" w:lastRowFirstColumn="0" w:lastRowLastColumn="0"/>
            </w:pPr>
            <w:r w:rsidRPr="00241585">
              <w:t xml:space="preserve"> 0.1 </w:t>
            </w:r>
          </w:p>
        </w:tc>
        <w:tc>
          <w:tcPr>
            <w:tcW w:w="518" w:type="pct"/>
            <w:vAlign w:val="top"/>
          </w:tcPr>
          <w:p w:rsidR="00241585" w:rsidRPr="00241585" w:rsidRDefault="00241585" w:rsidP="001A48AB">
            <w:pPr>
              <w:cnfStyle w:val="000000010000" w:firstRow="0" w:lastRow="0" w:firstColumn="0" w:lastColumn="0" w:oddVBand="0" w:evenVBand="0" w:oddHBand="0" w:evenHBand="1" w:firstRowFirstColumn="0" w:firstRowLastColumn="0" w:lastRowFirstColumn="0" w:lastRowLastColumn="0"/>
            </w:pPr>
            <w:r w:rsidRPr="00241585">
              <w:t xml:space="preserve"> 0.1 </w:t>
            </w:r>
          </w:p>
        </w:tc>
        <w:tc>
          <w:tcPr>
            <w:tcW w:w="516" w:type="pct"/>
            <w:vAlign w:val="top"/>
          </w:tcPr>
          <w:p w:rsidR="00241585" w:rsidRPr="00241585" w:rsidRDefault="00241585" w:rsidP="001A48AB">
            <w:pPr>
              <w:cnfStyle w:val="000000010000" w:firstRow="0" w:lastRow="0" w:firstColumn="0" w:lastColumn="0" w:oddVBand="0" w:evenVBand="0" w:oddHBand="0" w:evenHBand="1" w:firstRowFirstColumn="0" w:firstRowLastColumn="0" w:lastRowFirstColumn="0" w:lastRowLastColumn="0"/>
            </w:pPr>
            <w:r w:rsidRPr="00241585">
              <w:t xml:space="preserve"> 0.1 </w:t>
            </w:r>
          </w:p>
        </w:tc>
        <w:tc>
          <w:tcPr>
            <w:tcW w:w="515" w:type="pct"/>
            <w:vAlign w:val="top"/>
          </w:tcPr>
          <w:p w:rsidR="00241585" w:rsidRPr="00241585" w:rsidRDefault="00241585" w:rsidP="001A48AB">
            <w:pPr>
              <w:cnfStyle w:val="000000010000" w:firstRow="0" w:lastRow="0" w:firstColumn="0" w:lastColumn="0" w:oddVBand="0" w:evenVBand="0" w:oddHBand="0" w:evenHBand="1" w:firstRowFirstColumn="0" w:firstRowLastColumn="0" w:lastRowFirstColumn="0" w:lastRowLastColumn="0"/>
            </w:pPr>
            <w:r w:rsidRPr="00241585">
              <w:t xml:space="preserve"> 0.3 </w:t>
            </w:r>
          </w:p>
        </w:tc>
        <w:tc>
          <w:tcPr>
            <w:tcW w:w="516" w:type="pct"/>
            <w:vAlign w:val="top"/>
          </w:tcPr>
          <w:p w:rsidR="00241585" w:rsidRPr="00241585" w:rsidRDefault="00241585" w:rsidP="001A48AB">
            <w:pPr>
              <w:cnfStyle w:val="000000010000" w:firstRow="0" w:lastRow="0" w:firstColumn="0" w:lastColumn="0" w:oddVBand="0" w:evenVBand="0" w:oddHBand="0" w:evenHBand="1" w:firstRowFirstColumn="0" w:firstRowLastColumn="0" w:lastRowFirstColumn="0" w:lastRowLastColumn="0"/>
            </w:pPr>
            <w:r w:rsidRPr="00241585">
              <w:t xml:space="preserve"> 0.2 </w:t>
            </w:r>
          </w:p>
        </w:tc>
        <w:tc>
          <w:tcPr>
            <w:tcW w:w="516" w:type="pct"/>
            <w:vAlign w:val="top"/>
          </w:tcPr>
          <w:p w:rsidR="00241585" w:rsidRPr="00241585" w:rsidRDefault="00241585" w:rsidP="001A48AB">
            <w:pPr>
              <w:cnfStyle w:val="000000010000" w:firstRow="0" w:lastRow="0" w:firstColumn="0" w:lastColumn="0" w:oddVBand="0" w:evenVBand="0" w:oddHBand="0" w:evenHBand="1" w:firstRowFirstColumn="0" w:firstRowLastColumn="0" w:lastRowFirstColumn="0" w:lastRowLastColumn="0"/>
            </w:pPr>
            <w:r w:rsidRPr="00241585">
              <w:t xml:space="preserve"> 0.8 </w:t>
            </w:r>
          </w:p>
        </w:tc>
      </w:tr>
      <w:tr w:rsidR="00241585" w:rsidRPr="004F416F" w:rsidTr="00552174">
        <w:trPr>
          <w:trHeight w:val="300"/>
        </w:trPr>
        <w:tc>
          <w:tcPr>
            <w:cnfStyle w:val="001000000000" w:firstRow="0" w:lastRow="0" w:firstColumn="1" w:lastColumn="0" w:oddVBand="0" w:evenVBand="0" w:oddHBand="0" w:evenHBand="0" w:firstRowFirstColumn="0" w:firstRowLastColumn="0" w:lastRowFirstColumn="0" w:lastRowLastColumn="0"/>
            <w:tcW w:w="1904" w:type="pct"/>
            <w:vAlign w:val="bottom"/>
          </w:tcPr>
          <w:p w:rsidR="00241585" w:rsidRPr="00241585" w:rsidRDefault="00241585" w:rsidP="00241585">
            <w:pPr>
              <w:rPr>
                <w:rStyle w:val="AERsuperscript"/>
              </w:rPr>
            </w:pPr>
            <w:r w:rsidRPr="00241585">
              <w:t>NET TOTAL CAPITAL EXPENDITURE</w:t>
            </w:r>
            <w:r w:rsidRPr="00241585">
              <w:rPr>
                <w:rStyle w:val="AERsuperscript"/>
              </w:rPr>
              <w:t>(b)</w:t>
            </w:r>
          </w:p>
        </w:tc>
        <w:tc>
          <w:tcPr>
            <w:tcW w:w="515" w:type="pct"/>
            <w:vAlign w:val="top"/>
          </w:tcPr>
          <w:p w:rsidR="00241585" w:rsidRPr="00241585" w:rsidRDefault="00241585" w:rsidP="001A48AB">
            <w:pPr>
              <w:cnfStyle w:val="000000000000" w:firstRow="0" w:lastRow="0" w:firstColumn="0" w:lastColumn="0" w:oddVBand="0" w:evenVBand="0" w:oddHBand="0" w:evenHBand="0" w:firstRowFirstColumn="0" w:firstRowLastColumn="0" w:lastRowFirstColumn="0" w:lastRowLastColumn="0"/>
            </w:pPr>
            <w:r w:rsidRPr="00241585">
              <w:t xml:space="preserve"> 214.5 </w:t>
            </w:r>
          </w:p>
        </w:tc>
        <w:tc>
          <w:tcPr>
            <w:tcW w:w="518" w:type="pct"/>
            <w:vAlign w:val="top"/>
          </w:tcPr>
          <w:p w:rsidR="00241585" w:rsidRPr="00241585" w:rsidRDefault="00241585" w:rsidP="001A48AB">
            <w:pPr>
              <w:cnfStyle w:val="000000000000" w:firstRow="0" w:lastRow="0" w:firstColumn="0" w:lastColumn="0" w:oddVBand="0" w:evenVBand="0" w:oddHBand="0" w:evenHBand="0" w:firstRowFirstColumn="0" w:firstRowLastColumn="0" w:lastRowFirstColumn="0" w:lastRowLastColumn="0"/>
            </w:pPr>
            <w:r w:rsidRPr="00241585">
              <w:t xml:space="preserve"> 197.8 </w:t>
            </w:r>
          </w:p>
        </w:tc>
        <w:tc>
          <w:tcPr>
            <w:tcW w:w="516" w:type="pct"/>
            <w:vAlign w:val="top"/>
          </w:tcPr>
          <w:p w:rsidR="00241585" w:rsidRPr="00241585" w:rsidRDefault="00241585" w:rsidP="001A48AB">
            <w:pPr>
              <w:cnfStyle w:val="000000000000" w:firstRow="0" w:lastRow="0" w:firstColumn="0" w:lastColumn="0" w:oddVBand="0" w:evenVBand="0" w:oddHBand="0" w:evenHBand="0" w:firstRowFirstColumn="0" w:firstRowLastColumn="0" w:lastRowFirstColumn="0" w:lastRowLastColumn="0"/>
            </w:pPr>
            <w:r w:rsidRPr="00241585">
              <w:t xml:space="preserve"> 199.7 </w:t>
            </w:r>
          </w:p>
        </w:tc>
        <w:tc>
          <w:tcPr>
            <w:tcW w:w="515" w:type="pct"/>
            <w:vAlign w:val="top"/>
          </w:tcPr>
          <w:p w:rsidR="00241585" w:rsidRPr="00241585" w:rsidRDefault="00241585" w:rsidP="001A48AB">
            <w:pPr>
              <w:cnfStyle w:val="000000000000" w:firstRow="0" w:lastRow="0" w:firstColumn="0" w:lastColumn="0" w:oddVBand="0" w:evenVBand="0" w:oddHBand="0" w:evenHBand="0" w:firstRowFirstColumn="0" w:firstRowLastColumn="0" w:lastRowFirstColumn="0" w:lastRowLastColumn="0"/>
            </w:pPr>
            <w:r w:rsidRPr="00241585">
              <w:t xml:space="preserve"> 174.7 </w:t>
            </w:r>
          </w:p>
        </w:tc>
        <w:tc>
          <w:tcPr>
            <w:tcW w:w="516" w:type="pct"/>
            <w:vAlign w:val="top"/>
          </w:tcPr>
          <w:p w:rsidR="00241585" w:rsidRPr="00241585" w:rsidRDefault="00241585" w:rsidP="001A48AB">
            <w:pPr>
              <w:cnfStyle w:val="000000000000" w:firstRow="0" w:lastRow="0" w:firstColumn="0" w:lastColumn="0" w:oddVBand="0" w:evenVBand="0" w:oddHBand="0" w:evenHBand="0" w:firstRowFirstColumn="0" w:firstRowLastColumn="0" w:lastRowFirstColumn="0" w:lastRowLastColumn="0"/>
            </w:pPr>
            <w:r w:rsidRPr="00241585">
              <w:t xml:space="preserve"> 149.4 </w:t>
            </w:r>
          </w:p>
        </w:tc>
        <w:tc>
          <w:tcPr>
            <w:tcW w:w="516" w:type="pct"/>
            <w:vAlign w:val="top"/>
          </w:tcPr>
          <w:p w:rsidR="00241585" w:rsidRPr="00241585" w:rsidRDefault="00241585" w:rsidP="001A48AB">
            <w:pPr>
              <w:cnfStyle w:val="000000000000" w:firstRow="0" w:lastRow="0" w:firstColumn="0" w:lastColumn="0" w:oddVBand="0" w:evenVBand="0" w:oddHBand="0" w:evenHBand="0" w:firstRowFirstColumn="0" w:firstRowLastColumn="0" w:lastRowFirstColumn="0" w:lastRowLastColumn="0"/>
            </w:pPr>
            <w:r w:rsidRPr="00241585">
              <w:t xml:space="preserve"> 936.1 </w:t>
            </w:r>
          </w:p>
        </w:tc>
      </w:tr>
    </w:tbl>
    <w:p w:rsidR="00123034" w:rsidRPr="00123034" w:rsidRDefault="00123034" w:rsidP="00123034">
      <w:pPr>
        <w:pStyle w:val="AERtablesource"/>
        <w:rPr>
          <w:rFonts w:eastAsia="Calibri"/>
        </w:rPr>
      </w:pPr>
      <w:r w:rsidRPr="00123034">
        <w:rPr>
          <w:rFonts w:eastAsia="Calibri"/>
        </w:rPr>
        <w:t>Source:</w:t>
      </w:r>
      <w:r w:rsidRPr="00123034">
        <w:rPr>
          <w:rFonts w:eastAsia="Calibri"/>
        </w:rPr>
        <w:tab/>
        <w:t>AER analysis, JGN.</w:t>
      </w:r>
    </w:p>
    <w:p w:rsidR="00123034" w:rsidRDefault="00123034" w:rsidP="00123034">
      <w:pPr>
        <w:pStyle w:val="AERtablesource"/>
      </w:pPr>
      <w:r w:rsidRPr="00123034">
        <w:rPr>
          <w:rFonts w:eastAsia="Calibri"/>
        </w:rPr>
        <w:t>Note:</w:t>
      </w:r>
      <w:r w:rsidRPr="00123034">
        <w:rPr>
          <w:rFonts w:eastAsia="Calibri"/>
        </w:rPr>
        <w:tab/>
        <w:t xml:space="preserve">(a) </w:t>
      </w:r>
      <w:r w:rsidRPr="00BE0C0C">
        <w:t>Excluding AER adjustment for material and labour escalation</w:t>
      </w:r>
      <w:r>
        <w:t>.</w:t>
      </w:r>
    </w:p>
    <w:p w:rsidR="00123034" w:rsidRPr="00ED5C24" w:rsidRDefault="00123034" w:rsidP="00123034">
      <w:pPr>
        <w:pStyle w:val="AERtablesource"/>
      </w:pPr>
      <w:r>
        <w:lastRenderedPageBreak/>
        <w:tab/>
        <w:t>(b) Totals do not add as JGN claimed confidentiality over mines subsidence and related party margin expenditure.</w:t>
      </w:r>
    </w:p>
    <w:p w:rsidR="00123034" w:rsidRPr="00123034" w:rsidRDefault="00123034" w:rsidP="00123034">
      <w:pPr>
        <w:numPr>
          <w:ilvl w:val="0"/>
          <w:numId w:val="25"/>
        </w:numPr>
      </w:pPr>
      <w:r w:rsidRPr="00123034">
        <w:t>Our analysis of the capex driver categories is presented below.</w:t>
      </w:r>
    </w:p>
    <w:p w:rsidR="00123034" w:rsidRDefault="00123034" w:rsidP="006F0A64">
      <w:pPr>
        <w:pStyle w:val="Heading4"/>
      </w:pPr>
      <w:r w:rsidRPr="00275734">
        <w:t>Connections/Market expansion</w:t>
      </w:r>
    </w:p>
    <w:p w:rsidR="00123034" w:rsidRPr="006A3F2D" w:rsidRDefault="00123034" w:rsidP="00123034">
      <w:pPr>
        <w:numPr>
          <w:ilvl w:val="0"/>
          <w:numId w:val="25"/>
        </w:numPr>
      </w:pPr>
      <w:r w:rsidRPr="00275734">
        <w:t>Distribution businesses have a regulatory obligation to connect residential and commercial/industrial customers to the distribution network upon request. The capex associated with connecting customers to the distribution network generally includes the cost of new mains, gas service pipe from the main to the meter, and the meter.</w:t>
      </w:r>
      <w:r w:rsidRPr="006A3F2D">
        <w:t xml:space="preserve"> </w:t>
      </w:r>
      <w:r>
        <w:t>A</w:t>
      </w:r>
      <w:r w:rsidRPr="006A3F2D">
        <w:t xml:space="preserve">s </w:t>
      </w:r>
      <w:r>
        <w:t xml:space="preserve">connecting customers </w:t>
      </w:r>
      <w:r w:rsidRPr="006A3F2D">
        <w:t>is a regulatory obligation</w:t>
      </w:r>
      <w:r>
        <w:t xml:space="preserve">, we consider </w:t>
      </w:r>
      <w:r w:rsidRPr="006A3F2D">
        <w:t>that connections expenditure is justified under r. 79(2</w:t>
      </w:r>
      <w:proofErr w:type="gramStart"/>
      <w:r w:rsidRPr="006A3F2D">
        <w:t>)(</w:t>
      </w:r>
      <w:proofErr w:type="gramEnd"/>
      <w:r w:rsidRPr="006A3F2D">
        <w:t>c)(iii) of the NGR</w:t>
      </w:r>
      <w:r>
        <w:t>.</w:t>
      </w:r>
    </w:p>
    <w:p w:rsidR="001A54CE" w:rsidRDefault="0095583E" w:rsidP="001F621C">
      <w:pPr>
        <w:numPr>
          <w:ilvl w:val="0"/>
          <w:numId w:val="25"/>
        </w:numPr>
      </w:pPr>
      <w:r>
        <w:t>We do</w:t>
      </w:r>
      <w:r w:rsidR="007D5A0A">
        <w:t xml:space="preserve"> not accept JGN's proposed connections capex. This is because</w:t>
      </w:r>
      <w:r w:rsidR="00940E38">
        <w:t xml:space="preserve"> we consider </w:t>
      </w:r>
      <w:r w:rsidR="007D5A0A">
        <w:t xml:space="preserve">its forecast capex is not arrived at on a </w:t>
      </w:r>
      <w:r w:rsidR="00151D32">
        <w:t xml:space="preserve">sufficiently </w:t>
      </w:r>
      <w:r w:rsidR="007D5A0A">
        <w:t xml:space="preserve">reasonable basis and is not the best estimate in the circumstances. </w:t>
      </w:r>
      <w:r w:rsidR="001A54CE">
        <w:t>We have included $</w:t>
      </w:r>
      <w:r w:rsidR="00301B0E">
        <w:t>28</w:t>
      </w:r>
      <w:r w:rsidR="007D5A0A">
        <w:t>5.</w:t>
      </w:r>
      <w:r w:rsidR="002F04D9">
        <w:t>6</w:t>
      </w:r>
      <w:r w:rsidR="001A54CE">
        <w:t xml:space="preserve"> million ($2015, </w:t>
      </w:r>
      <w:proofErr w:type="spellStart"/>
      <w:r w:rsidR="001A54CE">
        <w:t>unescalated</w:t>
      </w:r>
      <w:proofErr w:type="spellEnd"/>
      <w:r w:rsidR="001A54CE">
        <w:t xml:space="preserve"> direct costs, excluding overheads) of connections capex in our alternative capex </w:t>
      </w:r>
      <w:r w:rsidR="007D5A0A">
        <w:t>estimate</w:t>
      </w:r>
      <w:r w:rsidR="001A54CE">
        <w:t>. This is lower than JGN's revised forecast expenditure of $</w:t>
      </w:r>
      <w:r w:rsidR="00B35B25">
        <w:t>3</w:t>
      </w:r>
      <w:r w:rsidR="007070C7">
        <w:t>68</w:t>
      </w:r>
      <w:r w:rsidR="00B35B25">
        <w:t>.</w:t>
      </w:r>
      <w:r w:rsidR="007070C7">
        <w:t>0</w:t>
      </w:r>
      <w:r w:rsidR="001A54CE">
        <w:t xml:space="preserve"> million ($2015, </w:t>
      </w:r>
      <w:proofErr w:type="spellStart"/>
      <w:r w:rsidR="001A54CE">
        <w:t>unescalated</w:t>
      </w:r>
      <w:proofErr w:type="spellEnd"/>
      <w:r w:rsidR="001A54CE">
        <w:t xml:space="preserve"> direct costs, excluding overheads).</w:t>
      </w:r>
      <w:r w:rsidR="00D5410A">
        <w:rPr>
          <w:rStyle w:val="FootnoteReference"/>
        </w:rPr>
        <w:footnoteReference w:id="33"/>
      </w:r>
      <w:r w:rsidR="009F4A7D">
        <w:t xml:space="preserve"> </w:t>
      </w:r>
    </w:p>
    <w:p w:rsidR="00FA4F6D" w:rsidRDefault="00FA4F6D" w:rsidP="001F621C">
      <w:pPr>
        <w:numPr>
          <w:ilvl w:val="0"/>
          <w:numId w:val="25"/>
        </w:numPr>
      </w:pPr>
      <w:r>
        <w:t xml:space="preserve">In support of </w:t>
      </w:r>
      <w:r w:rsidR="00940E38">
        <w:t xml:space="preserve">its </w:t>
      </w:r>
      <w:r>
        <w:t xml:space="preserve">revised forecast connections expenditure, </w:t>
      </w:r>
      <w:r w:rsidRPr="00501925">
        <w:t xml:space="preserve">JGN submitted a model which built up unit rates from a mix of historical and forecast data. </w:t>
      </w:r>
      <w:r>
        <w:t xml:space="preserve">Its revised forecast volume </w:t>
      </w:r>
      <w:r w:rsidR="00F5744C">
        <w:t>is</w:t>
      </w:r>
      <w:r>
        <w:t xml:space="preserve"> based on </w:t>
      </w:r>
      <w:r w:rsidR="00151D32">
        <w:t xml:space="preserve">its consultant </w:t>
      </w:r>
      <w:r>
        <w:t>Core Energy</w:t>
      </w:r>
      <w:r w:rsidRPr="00501925">
        <w:t xml:space="preserve">'s </w:t>
      </w:r>
      <w:r>
        <w:t>revised forecast of new connections.</w:t>
      </w:r>
    </w:p>
    <w:p w:rsidR="000A33B8" w:rsidRDefault="00151D32" w:rsidP="00123034">
      <w:pPr>
        <w:numPr>
          <w:ilvl w:val="0"/>
          <w:numId w:val="25"/>
        </w:numPr>
      </w:pPr>
      <w:r>
        <w:t>The</w:t>
      </w:r>
      <w:r w:rsidR="00B35B25" w:rsidRPr="00B35B25">
        <w:t xml:space="preserve"> reduction of around </w:t>
      </w:r>
      <w:r w:rsidR="004038D6">
        <w:t>2</w:t>
      </w:r>
      <w:r w:rsidR="002F04D9">
        <w:t>2</w:t>
      </w:r>
      <w:r w:rsidR="007D5A0A">
        <w:t>.4</w:t>
      </w:r>
      <w:r w:rsidR="00B35B25" w:rsidRPr="00B35B25">
        <w:t xml:space="preserve"> per cent is driven by</w:t>
      </w:r>
      <w:r w:rsidR="000A33B8">
        <w:t>:</w:t>
      </w:r>
    </w:p>
    <w:p w:rsidR="000A33B8" w:rsidRDefault="00F5744C" w:rsidP="000A33B8">
      <w:pPr>
        <w:pStyle w:val="AERbulletlistfirststyle"/>
      </w:pPr>
      <w:r>
        <w:t xml:space="preserve">our estimate of forecast new connections </w:t>
      </w:r>
      <w:r w:rsidR="004147B5">
        <w:t>which is lower</w:t>
      </w:r>
      <w:r>
        <w:t xml:space="preserve"> than JGN's forecast</w:t>
      </w:r>
    </w:p>
    <w:p w:rsidR="000A33B8" w:rsidRDefault="000A33B8" w:rsidP="000A33B8">
      <w:pPr>
        <w:pStyle w:val="AERbulletlistfirststyle"/>
      </w:pPr>
      <w:r>
        <w:t>the application of historical unit rates rather than the unit rates built up in JGN's connections model</w:t>
      </w:r>
      <w:r w:rsidR="00721442">
        <w:t xml:space="preserve"> </w:t>
      </w:r>
      <w:r w:rsidR="00F40D2A">
        <w:t xml:space="preserve"> </w:t>
      </w:r>
    </w:p>
    <w:p w:rsidR="00AD76F3" w:rsidRDefault="000A33B8" w:rsidP="00F31B5C">
      <w:pPr>
        <w:pStyle w:val="AERbulletlistfirststyle"/>
      </w:pPr>
      <w:proofErr w:type="gramStart"/>
      <w:r>
        <w:t>not</w:t>
      </w:r>
      <w:proofErr w:type="gramEnd"/>
      <w:r>
        <w:t xml:space="preserve"> including </w:t>
      </w:r>
      <w:r w:rsidR="00BA3645">
        <w:t xml:space="preserve">JGN's proposed </w:t>
      </w:r>
      <w:r>
        <w:t>additional expenditure for non-routine connections</w:t>
      </w:r>
      <w:r w:rsidR="00B35B25" w:rsidRPr="00B35B25">
        <w:t>.</w:t>
      </w:r>
    </w:p>
    <w:p w:rsidR="00B510AA" w:rsidRDefault="00AD76F3" w:rsidP="00F31B5C">
      <w:r>
        <w:t xml:space="preserve">The reasons for each of these adjustments </w:t>
      </w:r>
      <w:r w:rsidR="00060A48">
        <w:t xml:space="preserve">are </w:t>
      </w:r>
      <w:r>
        <w:t>discussed further below.</w:t>
      </w:r>
      <w:r w:rsidR="00721442">
        <w:t xml:space="preserve"> </w:t>
      </w:r>
    </w:p>
    <w:p w:rsidR="008A3316" w:rsidRDefault="008A3316">
      <w:pPr>
        <w:numPr>
          <w:ilvl w:val="0"/>
          <w:numId w:val="25"/>
        </w:numPr>
      </w:pPr>
      <w:r>
        <w:t>In its initial proposal JGN proposed $3</w:t>
      </w:r>
      <w:r w:rsidR="0077362A">
        <w:t>5</w:t>
      </w:r>
      <w:r w:rsidR="007070C7">
        <w:t>6</w:t>
      </w:r>
      <w:r>
        <w:t>.</w:t>
      </w:r>
      <w:r w:rsidR="0077362A">
        <w:t>6</w:t>
      </w:r>
      <w:r>
        <w:t xml:space="preserve"> million ($2015, </w:t>
      </w:r>
      <w:proofErr w:type="spellStart"/>
      <w:r>
        <w:t>unescalated</w:t>
      </w:r>
      <w:proofErr w:type="spellEnd"/>
      <w:r>
        <w:t xml:space="preserve"> direct costs, excluding overheads) in connections capex.</w:t>
      </w:r>
      <w:r w:rsidR="008909AC">
        <w:rPr>
          <w:rStyle w:val="FootnoteReference"/>
        </w:rPr>
        <w:footnoteReference w:id="34"/>
      </w:r>
      <w:r>
        <w:t xml:space="preserve"> JGN forecast its proposed </w:t>
      </w:r>
      <w:r w:rsidR="00F31B5C">
        <w:t xml:space="preserve">Tariff V connections </w:t>
      </w:r>
      <w:r>
        <w:t xml:space="preserve">expenditure using new connection number forecasts produced by Core Energy </w:t>
      </w:r>
      <w:r w:rsidRPr="008A3316">
        <w:t>for each segment of Tariff V class customers</w:t>
      </w:r>
      <w:r w:rsidR="00F31B5C">
        <w:t xml:space="preserve"> </w:t>
      </w:r>
      <w:r>
        <w:t xml:space="preserve">and applying contract rates for mains, </w:t>
      </w:r>
      <w:r w:rsidRPr="008A3316">
        <w:t>services, meters and associat</w:t>
      </w:r>
      <w:r>
        <w:t xml:space="preserve">ed equipment components. </w:t>
      </w:r>
      <w:r w:rsidRPr="008A3316">
        <w:t>The four Tariff V segments include electricity to gas</w:t>
      </w:r>
      <w:r>
        <w:t xml:space="preserve"> </w:t>
      </w:r>
      <w:r w:rsidRPr="008A3316">
        <w:t>conversions, new estates, medium density/high rise residential developments and industrial and</w:t>
      </w:r>
      <w:r>
        <w:t xml:space="preserve"> </w:t>
      </w:r>
      <w:r w:rsidRPr="008A3316">
        <w:t xml:space="preserve">commercial </w:t>
      </w:r>
      <w:r w:rsidR="00F31B5C">
        <w:t xml:space="preserve">volume </w:t>
      </w:r>
      <w:r w:rsidRPr="008A3316">
        <w:t>connections.</w:t>
      </w:r>
      <w:r w:rsidR="002115DB">
        <w:t xml:space="preserve"> It forecast Tariff D expenditure </w:t>
      </w:r>
      <w:r w:rsidR="00F31B5C">
        <w:t>based on</w:t>
      </w:r>
      <w:r w:rsidR="002115DB">
        <w:t xml:space="preserve"> </w:t>
      </w:r>
      <w:r w:rsidR="00F31B5C">
        <w:t>its regulatory year 2014 business forecast</w:t>
      </w:r>
      <w:r w:rsidR="002115DB">
        <w:t xml:space="preserve">. </w:t>
      </w:r>
    </w:p>
    <w:p w:rsidR="00B35B25" w:rsidRDefault="00B35B25" w:rsidP="00123034">
      <w:pPr>
        <w:numPr>
          <w:ilvl w:val="0"/>
          <w:numId w:val="25"/>
        </w:numPr>
      </w:pPr>
      <w:r>
        <w:lastRenderedPageBreak/>
        <w:t>In our draft decision w</w:t>
      </w:r>
      <w:r w:rsidR="00123034">
        <w:t xml:space="preserve">e included $292.1 million ($2015, </w:t>
      </w:r>
      <w:proofErr w:type="spellStart"/>
      <w:r w:rsidR="00123034">
        <w:t>unescalated</w:t>
      </w:r>
      <w:proofErr w:type="spellEnd"/>
      <w:r w:rsidR="00123034">
        <w:t xml:space="preserve"> direct costs, excluding overheads) in </w:t>
      </w:r>
      <w:r>
        <w:t>our</w:t>
      </w:r>
      <w:r w:rsidR="00123034">
        <w:t xml:space="preserve"> alternative capex estimate. Th</w:t>
      </w:r>
      <w:r w:rsidR="002115DB">
        <w:t>e reduction in</w:t>
      </w:r>
      <w:r w:rsidR="00123034">
        <w:t xml:space="preserve"> </w:t>
      </w:r>
      <w:r>
        <w:t xml:space="preserve">expenditure in our draft decision </w:t>
      </w:r>
      <w:r w:rsidR="0061705F">
        <w:t xml:space="preserve">mainly </w:t>
      </w:r>
      <w:r>
        <w:t>reflected a</w:t>
      </w:r>
      <w:r w:rsidR="00520384">
        <w:t xml:space="preserve"> lower</w:t>
      </w:r>
      <w:r>
        <w:t xml:space="preserve"> number of new connections forecast </w:t>
      </w:r>
      <w:r w:rsidR="00123034">
        <w:t xml:space="preserve">and </w:t>
      </w:r>
      <w:r>
        <w:t xml:space="preserve">a unit rate </w:t>
      </w:r>
      <w:r w:rsidRPr="00B35B25">
        <w:t xml:space="preserve">forecast </w:t>
      </w:r>
      <w:r>
        <w:t xml:space="preserve">based on historical unit rates. </w:t>
      </w:r>
    </w:p>
    <w:p w:rsidR="00B510AA" w:rsidRDefault="00B510AA" w:rsidP="0048048E">
      <w:r>
        <w:t>Our draft decision set out in detail the reasons for rejecting JGN's initial proposal on connections capex.</w:t>
      </w:r>
      <w:r>
        <w:rPr>
          <w:rStyle w:val="FootnoteReference"/>
        </w:rPr>
        <w:footnoteReference w:id="35"/>
      </w:r>
      <w:r>
        <w:t xml:space="preserve"> In summary:</w:t>
      </w:r>
    </w:p>
    <w:p w:rsidR="00072793" w:rsidRDefault="00562FE0" w:rsidP="00072793">
      <w:pPr>
        <w:pStyle w:val="AERbulletlistfirststyle"/>
      </w:pPr>
      <w:r>
        <w:t>W</w:t>
      </w:r>
      <w:r w:rsidR="00072793">
        <w:t xml:space="preserve">e applied historical unit rates as we had concerns with JGN's unit rate forecast method. These concerns included that the mains/services/meter unit rates were derived from one year of compositional data. The compositional data explains the different unit rate drivers, including connection location, type of main (nylon, PE, steel), size of main (32mm, 50mm, 75mm, 100mm), same side or across the road connection location (short or long service). As unit rates can vary from year to year according to changes in composition, we considered that by relying on one year of data the unit rates </w:t>
      </w:r>
      <w:r w:rsidR="00D73370">
        <w:t>produce</w:t>
      </w:r>
      <w:r w:rsidR="00072793">
        <w:t xml:space="preserve"> biased</w:t>
      </w:r>
      <w:r w:rsidR="00D73370">
        <w:t xml:space="preserve"> results</w:t>
      </w:r>
      <w:r w:rsidR="00072793">
        <w:t xml:space="preserve">. </w:t>
      </w:r>
    </w:p>
    <w:p w:rsidR="00072793" w:rsidRDefault="00072793" w:rsidP="00072793">
      <w:pPr>
        <w:pStyle w:val="AERbulletlistfirststyle"/>
      </w:pPr>
      <w:r>
        <w:t xml:space="preserve">We were also concerned that JGN had not justified </w:t>
      </w:r>
      <w:r w:rsidRPr="0048048E">
        <w:t xml:space="preserve">its forecast increases in the metres of mains per connection for medium/high density and tariff V </w:t>
      </w:r>
      <w:r>
        <w:t>industrial and commercial (</w:t>
      </w:r>
      <w:r w:rsidRPr="0048048E">
        <w:t>I&amp;C</w:t>
      </w:r>
      <w:r>
        <w:t>)</w:t>
      </w:r>
      <w:r w:rsidRPr="0048048E">
        <w:t xml:space="preserve"> connections. </w:t>
      </w:r>
    </w:p>
    <w:p w:rsidR="00072793" w:rsidRDefault="00072793" w:rsidP="00072793">
      <w:pPr>
        <w:pStyle w:val="AERbulletlistfirststyle"/>
      </w:pPr>
      <w:r w:rsidRPr="0048048E">
        <w:t>We had concerns about JGN's application of inconsistent averaging periods</w:t>
      </w:r>
      <w:r>
        <w:t xml:space="preserve"> in order to estimate the mains/services/metres per connection</w:t>
      </w:r>
      <w:r w:rsidRPr="0048048E">
        <w:t>.</w:t>
      </w:r>
      <w:r>
        <w:t xml:space="preserve"> </w:t>
      </w:r>
    </w:p>
    <w:p w:rsidR="00072793" w:rsidRDefault="00072793" w:rsidP="00072793">
      <w:pPr>
        <w:pStyle w:val="AERbulletlistfirststyle"/>
      </w:pPr>
      <w:r>
        <w:t>JGN did not provide the basis of its proposed I&amp;C contract (Tariff D or demand connections) expenditure in its initial proposal. We considered that its use of forecast regulatory year 2014 data as the basis of its forecast expenditure did not provide the best estimate in the circumstances. We applied a four-year historical average.</w:t>
      </w:r>
    </w:p>
    <w:p w:rsidR="00072793" w:rsidRDefault="00AA779C" w:rsidP="00072793">
      <w:pPr>
        <w:pStyle w:val="AERbulletlistfirststyle"/>
      </w:pPr>
      <w:r>
        <w:t xml:space="preserve">In </w:t>
      </w:r>
      <w:r w:rsidR="00D73370">
        <w:t>its proposal</w:t>
      </w:r>
      <w:r w:rsidR="00072793">
        <w:t xml:space="preserve"> JGN did not provide its method for estimating the $2.1 million of related party margin expenditure or the expenditure it included for </w:t>
      </w:r>
      <w:proofErr w:type="spellStart"/>
      <w:r w:rsidR="00A03075">
        <w:t>Metretek</w:t>
      </w:r>
      <w:proofErr w:type="spellEnd"/>
      <w:r w:rsidR="00A03075">
        <w:t xml:space="preserve"> </w:t>
      </w:r>
      <w:r w:rsidR="00072793">
        <w:t xml:space="preserve">and meter data logger costs. In response to our information requests JGN submitted that </w:t>
      </w:r>
      <w:proofErr w:type="spellStart"/>
      <w:r w:rsidR="00A03075">
        <w:t>M</w:t>
      </w:r>
      <w:r w:rsidR="00072793">
        <w:t>etreteks</w:t>
      </w:r>
      <w:proofErr w:type="spellEnd"/>
      <w:r w:rsidR="00072793">
        <w:t xml:space="preserve"> were forecast on the basis of JGN's business forecast but did not provide the forecast method. JGN did not provide information on how it forecast meter data logger expenditure. </w:t>
      </w:r>
    </w:p>
    <w:p w:rsidR="00072793" w:rsidRDefault="00072793" w:rsidP="00072793">
      <w:pPr>
        <w:pStyle w:val="AERbulletlistfirststyle"/>
      </w:pPr>
      <w:r>
        <w:t xml:space="preserve">As historical unit rates include related party margins, </w:t>
      </w:r>
      <w:proofErr w:type="spellStart"/>
      <w:r w:rsidR="002C0DCC">
        <w:t>M</w:t>
      </w:r>
      <w:r>
        <w:t>etretek</w:t>
      </w:r>
      <w:proofErr w:type="spellEnd"/>
      <w:r>
        <w:t xml:space="preserve"> and meter data logger costs we did not adjust the historical costs already included.</w:t>
      </w:r>
    </w:p>
    <w:p w:rsidR="00123034" w:rsidRDefault="00072793" w:rsidP="00072793">
      <w:pPr>
        <w:pStyle w:val="AERbulletlistfirststyle"/>
      </w:pPr>
      <w:r>
        <w:t xml:space="preserve">JGN forecast capital contributions on the basis of past contributions. However, it did not consistently apply an </w:t>
      </w:r>
      <w:r w:rsidR="00CD6F56">
        <w:t>eight</w:t>
      </w:r>
      <w:r>
        <w:t xml:space="preserve">-year averaging period. We substituted a forecast based on the consistent application of an </w:t>
      </w:r>
      <w:r w:rsidR="00CD6F56">
        <w:t>eight</w:t>
      </w:r>
      <w:r>
        <w:t>-year average</w:t>
      </w:r>
      <w:r w:rsidR="009B6D40">
        <w:t>.</w:t>
      </w:r>
    </w:p>
    <w:p w:rsidR="00DC4AFB" w:rsidRPr="00501925" w:rsidRDefault="00F5744C" w:rsidP="00501925">
      <w:r>
        <w:t xml:space="preserve">The rest of this section sets out our decision for the </w:t>
      </w:r>
      <w:r w:rsidR="00DC4AFB" w:rsidRPr="00501925">
        <w:t>respective connection types.</w:t>
      </w:r>
    </w:p>
    <w:p w:rsidR="00DC4AFB" w:rsidRPr="00F5744C" w:rsidRDefault="00DC4AFB" w:rsidP="008B39D1">
      <w:pPr>
        <w:pStyle w:val="Heading5"/>
        <w:keepNext/>
        <w:rPr>
          <w:rStyle w:val="Strong"/>
          <w:b/>
          <w:bCs w:val="0"/>
        </w:rPr>
      </w:pPr>
      <w:r w:rsidRPr="00F5744C">
        <w:rPr>
          <w:rStyle w:val="Strong"/>
          <w:b/>
          <w:bCs w:val="0"/>
        </w:rPr>
        <w:lastRenderedPageBreak/>
        <w:t>Tariff V or volume connections expenditure</w:t>
      </w:r>
    </w:p>
    <w:p w:rsidR="00DC4AFB" w:rsidRDefault="00252768" w:rsidP="008B39D1">
      <w:pPr>
        <w:keepNext/>
        <w:numPr>
          <w:ilvl w:val="0"/>
          <w:numId w:val="25"/>
        </w:numPr>
      </w:pPr>
      <w:r w:rsidRPr="00252768">
        <w:t>Tariff V class customer connections are residential and commercial/industrial customers who</w:t>
      </w:r>
      <w:r>
        <w:t xml:space="preserve"> </w:t>
      </w:r>
      <w:r w:rsidRPr="00252768">
        <w:t>consume less than 10 TJ/year. Residential and commercial/industrial customers are</w:t>
      </w:r>
      <w:r>
        <w:t xml:space="preserve"> </w:t>
      </w:r>
      <w:r w:rsidRPr="00252768">
        <w:t>considered separately because there are different input requirements, especially in relation to</w:t>
      </w:r>
      <w:r>
        <w:t xml:space="preserve"> </w:t>
      </w:r>
      <w:r w:rsidRPr="00252768">
        <w:t>services and meters.</w:t>
      </w:r>
    </w:p>
    <w:p w:rsidR="00252768" w:rsidRDefault="00252768" w:rsidP="00252768">
      <w:pPr>
        <w:numPr>
          <w:ilvl w:val="0"/>
          <w:numId w:val="25"/>
        </w:numPr>
      </w:pPr>
      <w:r>
        <w:t>JGN separately forecast expenditure for the following Tariff V connection types:</w:t>
      </w:r>
      <w:r>
        <w:rPr>
          <w:rStyle w:val="FootnoteReference"/>
        </w:rPr>
        <w:footnoteReference w:id="36"/>
      </w:r>
    </w:p>
    <w:p w:rsidR="00252768" w:rsidRDefault="00252768" w:rsidP="00252768">
      <w:pPr>
        <w:pStyle w:val="AERbulletlistfirststyle"/>
      </w:pPr>
      <w:r>
        <w:t xml:space="preserve">residential </w:t>
      </w:r>
    </w:p>
    <w:p w:rsidR="00252768" w:rsidRDefault="00252768" w:rsidP="00252768">
      <w:pPr>
        <w:pStyle w:val="AERbulletlistsecondstyle"/>
      </w:pPr>
      <w:r>
        <w:t>electricity-to-gas (E to G or infill)</w:t>
      </w:r>
    </w:p>
    <w:p w:rsidR="00252768" w:rsidRDefault="00252768" w:rsidP="00252768">
      <w:pPr>
        <w:pStyle w:val="AERbulletlistsecondstyle"/>
      </w:pPr>
      <w:r>
        <w:t>new estates</w:t>
      </w:r>
    </w:p>
    <w:p w:rsidR="00252768" w:rsidRDefault="00252768" w:rsidP="00252768">
      <w:pPr>
        <w:pStyle w:val="AERbulletlistsecondstyle"/>
      </w:pPr>
      <w:r>
        <w:t>medium/high density</w:t>
      </w:r>
    </w:p>
    <w:p w:rsidR="00252768" w:rsidRDefault="00252768" w:rsidP="00252768">
      <w:pPr>
        <w:pStyle w:val="AERbulletlistfirststyle"/>
      </w:pPr>
      <w:proofErr w:type="gramStart"/>
      <w:r>
        <w:t>industrial</w:t>
      </w:r>
      <w:proofErr w:type="gramEnd"/>
      <w:r>
        <w:t xml:space="preserve"> and commercial (I&amp;C) volume.</w:t>
      </w:r>
    </w:p>
    <w:p w:rsidR="00F5744C" w:rsidRDefault="00252768" w:rsidP="00F5744C">
      <w:r w:rsidRPr="00252768">
        <w:t>Tariff V connections expenditure is calculated by deriving volume and unit rate forecasts.</w:t>
      </w:r>
      <w:r w:rsidR="00F5744C" w:rsidRPr="00F5744C">
        <w:t xml:space="preserve"> </w:t>
      </w:r>
      <w:r w:rsidR="00F5744C">
        <w:t xml:space="preserve">JGN forecast its proposed Tariff V connections expenditure using new connection number forecasts produced by Core Energy </w:t>
      </w:r>
      <w:r w:rsidR="00F5744C" w:rsidRPr="008A3316">
        <w:t>for each segment of Tariff V class customers</w:t>
      </w:r>
      <w:r w:rsidR="00F5744C">
        <w:t xml:space="preserve"> and applying contract rates for mains, </w:t>
      </w:r>
      <w:r w:rsidR="00F5744C" w:rsidRPr="008A3316">
        <w:t>services, meters and associat</w:t>
      </w:r>
      <w:r w:rsidR="00F5744C">
        <w:t>ed equipment components.</w:t>
      </w:r>
    </w:p>
    <w:p w:rsidR="00252768" w:rsidRPr="00AB6942" w:rsidRDefault="00804E3F" w:rsidP="00F5744C">
      <w:pPr>
        <w:pStyle w:val="Heading6"/>
        <w:numPr>
          <w:ilvl w:val="0"/>
          <w:numId w:val="0"/>
        </w:numPr>
        <w:ind w:left="1152" w:hanging="1152"/>
        <w:rPr>
          <w:rStyle w:val="AERtextblue"/>
          <w:color w:val="076A92" w:themeColor="text1"/>
        </w:rPr>
      </w:pPr>
      <w:r>
        <w:rPr>
          <w:rStyle w:val="AERtextblue"/>
        </w:rPr>
        <w:t xml:space="preserve">Tariff </w:t>
      </w:r>
      <w:r w:rsidR="00252768" w:rsidRPr="00AB6942">
        <w:rPr>
          <w:rStyle w:val="AERtextblue"/>
          <w:color w:val="076A92" w:themeColor="text1"/>
        </w:rPr>
        <w:t>V</w:t>
      </w:r>
      <w:r>
        <w:rPr>
          <w:rStyle w:val="AERtextblue"/>
        </w:rPr>
        <w:t xml:space="preserve"> v</w:t>
      </w:r>
      <w:r w:rsidR="00252768" w:rsidRPr="00AB6942">
        <w:rPr>
          <w:rStyle w:val="AERtextblue"/>
          <w:color w:val="076A92" w:themeColor="text1"/>
        </w:rPr>
        <w:t>olumes</w:t>
      </w:r>
    </w:p>
    <w:p w:rsidR="00F27F3C" w:rsidRDefault="00F27F3C" w:rsidP="00F27F3C">
      <w:r>
        <w:t>We do not accept JGN's forecast volume of new connections.</w:t>
      </w:r>
      <w:r w:rsidR="004147B5">
        <w:t xml:space="preserve"> </w:t>
      </w:r>
      <w:r w:rsidR="004147B5" w:rsidRPr="004147B5">
        <w:t>Whilst we accept JGN’s proposal that that new connections are likely to rise, we consider that JGN’s forecasts of Tariff V new connections are marginally overstated. As a result, our forecast volumes (for residential and I&amp;C customers) in this final decision are 0.7 per cent lower than JGN’s revised forecast.</w:t>
      </w:r>
    </w:p>
    <w:p w:rsidR="004147B5" w:rsidRDefault="004147B5" w:rsidP="00F27F3C">
      <w:r w:rsidRPr="004147B5">
        <w:t xml:space="preserve">JGN's </w:t>
      </w:r>
      <w:r w:rsidR="007C15D7">
        <w:t xml:space="preserve">revised </w:t>
      </w:r>
      <w:r w:rsidRPr="004147B5">
        <w:t>forecast volumes were lower by 0.4 per cent compared to its initial proposal. Our forecast volumes in this final decision are higher by 1.0 per cent when compared with our draft decision.</w:t>
      </w:r>
    </w:p>
    <w:p w:rsidR="00C86DF7" w:rsidRDefault="00C86DF7" w:rsidP="00C86DF7">
      <w:r>
        <w:t>The main types of new connections are:</w:t>
      </w:r>
    </w:p>
    <w:p w:rsidR="00C86DF7" w:rsidRDefault="00C86DF7" w:rsidP="00C86DF7">
      <w:pPr>
        <w:pStyle w:val="AERbulletlistfirststyle"/>
      </w:pPr>
      <w:r>
        <w:t>Electricity to Gas conversions (E to G) where the connection is to a pre-existing main passing the customer's premises</w:t>
      </w:r>
    </w:p>
    <w:p w:rsidR="00C86DF7" w:rsidRDefault="00C86DF7" w:rsidP="00C86DF7">
      <w:pPr>
        <w:pStyle w:val="AERbulletlistfirststyle"/>
      </w:pPr>
      <w:r>
        <w:t>New</w:t>
      </w:r>
      <w:r w:rsidR="005E58B0">
        <w:t xml:space="preserve"> estates</w:t>
      </w:r>
    </w:p>
    <w:p w:rsidR="00C86DF7" w:rsidRDefault="00C86DF7" w:rsidP="00C86DF7">
      <w:pPr>
        <w:pStyle w:val="AERbulletlistfirststyle"/>
      </w:pPr>
      <w:r>
        <w:t>Medium density residential developments</w:t>
      </w:r>
    </w:p>
    <w:p w:rsidR="00C86DF7" w:rsidRDefault="00C86DF7" w:rsidP="00C86DF7">
      <w:pPr>
        <w:pStyle w:val="AERbulletlistfirststyle"/>
      </w:pPr>
      <w:r>
        <w:t>Main extensions where the network is extended to connect  one or more new customers</w:t>
      </w:r>
    </w:p>
    <w:p w:rsidR="007413AE" w:rsidRDefault="00F27F3C" w:rsidP="007413AE">
      <w:r>
        <w:lastRenderedPageBreak/>
        <w:t>JGN's forecast volume of new connections is derived from Core Energy's revised forecast of demand and connections.</w:t>
      </w:r>
      <w:r w:rsidR="00F5744C">
        <w:t xml:space="preserve"> We do not consider that JGN's forecast volume of new connections is the best estimate in the circumstances.</w:t>
      </w:r>
      <w:r>
        <w:t xml:space="preserve"> </w:t>
      </w:r>
      <w:r w:rsidR="00C86DF7">
        <w:t>JGN forecast an increase in new connections in the 2015</w:t>
      </w:r>
      <w:r w:rsidR="00C26021">
        <w:t>–</w:t>
      </w:r>
      <w:r w:rsidR="007C15D7">
        <w:t>20 regulatory period</w:t>
      </w:r>
      <w:r w:rsidR="00C86DF7">
        <w:t xml:space="preserve"> compared to the current A</w:t>
      </w:r>
      <w:r w:rsidR="004147B5">
        <w:t xml:space="preserve">ccess </w:t>
      </w:r>
      <w:r w:rsidR="00C86DF7">
        <w:t>A</w:t>
      </w:r>
      <w:r w:rsidR="004147B5">
        <w:t>rrangement</w:t>
      </w:r>
      <w:r w:rsidR="00C86DF7">
        <w:t xml:space="preserve"> period. This is based on its consultant, Core Energy’s, advice that new connections will increase due to an increase in the number of new dwellings to be constructed in NSW. </w:t>
      </w:r>
      <w:r w:rsidR="007413AE" w:rsidRPr="00001EF4">
        <w:t xml:space="preserve">Core Energy </w:t>
      </w:r>
      <w:r w:rsidR="007413AE">
        <w:t xml:space="preserve">also </w:t>
      </w:r>
      <w:r w:rsidR="007413AE" w:rsidRPr="00001EF4">
        <w:t>forecast the number of small business and industrial and commercial connections</w:t>
      </w:r>
      <w:r w:rsidR="007413AE">
        <w:t xml:space="preserve"> to increase</w:t>
      </w:r>
      <w:r w:rsidR="007413AE" w:rsidRPr="00001EF4">
        <w:t xml:space="preserve"> by estimating the respective historical growth between 2003 and 2013 and extrapolating that growth. </w:t>
      </w:r>
      <w:r w:rsidR="007413AE">
        <w:t xml:space="preserve"> </w:t>
      </w:r>
    </w:p>
    <w:p w:rsidR="00BB27AC" w:rsidRDefault="005E58B0" w:rsidP="00BB27AC">
      <w:r>
        <w:t xml:space="preserve">We agree with our consultant’s advice, DAE, that the forecasts of Tariff V new connections are marginally overstated. </w:t>
      </w:r>
      <w:r w:rsidR="007413AE">
        <w:t>DAE advised that JGN's forecast of small business new connections is high compared to historical levels. Consistent with DAE's advice, w</w:t>
      </w:r>
      <w:r>
        <w:t>e have</w:t>
      </w:r>
      <w:r w:rsidR="007413AE">
        <w:t xml:space="preserve"> also</w:t>
      </w:r>
      <w:r>
        <w:t xml:space="preserve"> applied a new dwelling connections split between new estates and medium/high density of 45 per cent and 55 per cent respectively (compared to JGN's split of 48.8 per cent and 51.2</w:t>
      </w:r>
      <w:r w:rsidR="00C26021">
        <w:t xml:space="preserve"> per cent</w:t>
      </w:r>
      <w:r>
        <w:t>)</w:t>
      </w:r>
      <w:r w:rsidR="007413AE">
        <w:t xml:space="preserve">. </w:t>
      </w:r>
      <w:r w:rsidR="00BB27AC">
        <w:t>The forecasting method for arriving at these volumes is described in attachment 13</w:t>
      </w:r>
      <w:r w:rsidR="00C26021">
        <w:t xml:space="preserve"> (demand)</w:t>
      </w:r>
      <w:r w:rsidR="00BB27AC">
        <w:t xml:space="preserve">. We have also included additional new E to G connections that arise due to a step change in marketing expenditure that we have approved in </w:t>
      </w:r>
      <w:proofErr w:type="spellStart"/>
      <w:r w:rsidR="00BB27AC">
        <w:t>opex</w:t>
      </w:r>
      <w:proofErr w:type="spellEnd"/>
      <w:r w:rsidR="00BB27AC">
        <w:t xml:space="preserve"> (see </w:t>
      </w:r>
      <w:r w:rsidR="00BB27AC" w:rsidRPr="00E21115">
        <w:t>Attachment 7 (</w:t>
      </w:r>
      <w:proofErr w:type="spellStart"/>
      <w:r w:rsidR="00BB27AC" w:rsidRPr="00E21115">
        <w:t>opex</w:t>
      </w:r>
      <w:proofErr w:type="spellEnd"/>
      <w:r w:rsidR="00BB27AC" w:rsidRPr="00E21115">
        <w:t>), section 7.4.3.</w:t>
      </w:r>
      <w:r w:rsidR="00BB27AC">
        <w:t>).</w:t>
      </w:r>
    </w:p>
    <w:p w:rsidR="00DD6E37" w:rsidRPr="001F621C" w:rsidRDefault="00804E3F" w:rsidP="00F5744C">
      <w:pPr>
        <w:pStyle w:val="Heading6"/>
        <w:numPr>
          <w:ilvl w:val="0"/>
          <w:numId w:val="0"/>
        </w:numPr>
        <w:ind w:left="1152" w:hanging="1152"/>
        <w:rPr>
          <w:rStyle w:val="AERtextblue"/>
          <w:rFonts w:eastAsia="Calibri" w:cs="Times New Roman"/>
          <w:color w:val="076A92" w:themeColor="text1"/>
          <w:sz w:val="16"/>
          <w:szCs w:val="20"/>
          <w:lang w:eastAsia="en-AU"/>
        </w:rPr>
      </w:pPr>
      <w:r>
        <w:rPr>
          <w:rStyle w:val="AERtextblue"/>
        </w:rPr>
        <w:t>Tariff V u</w:t>
      </w:r>
      <w:r w:rsidR="00DD6E37" w:rsidRPr="001F621C">
        <w:rPr>
          <w:rStyle w:val="AERtextblue"/>
          <w:color w:val="076A92" w:themeColor="text1"/>
        </w:rPr>
        <w:t>nit rates</w:t>
      </w:r>
    </w:p>
    <w:p w:rsidR="00B27BB7" w:rsidRDefault="007D1079" w:rsidP="007D1079">
      <w:r>
        <w:t>We do not accept that the JGN's proposed units rates are those incurred by a prudent servi</w:t>
      </w:r>
      <w:r w:rsidR="00B3003F">
        <w:t>ce provider acting efficiently. Our reasons for this are set out below. We had regard to confidential material in coming to our position. This confidential material is set out in Appendix B.</w:t>
      </w:r>
    </w:p>
    <w:p w:rsidR="00D56FAD" w:rsidRDefault="00D56FAD" w:rsidP="00D56FAD">
      <w:pPr>
        <w:numPr>
          <w:ilvl w:val="0"/>
          <w:numId w:val="25"/>
        </w:numPr>
      </w:pPr>
      <w:r w:rsidRPr="00095F74">
        <w:t>In its revised proposal, JGN submitted a model which built up unit rates from a mixture of historical and forecast cost information.</w:t>
      </w:r>
      <w:r w:rsidRPr="00095F74">
        <w:rPr>
          <w:rStyle w:val="FootnoteReference"/>
        </w:rPr>
        <w:footnoteReference w:id="37"/>
      </w:r>
      <w:r w:rsidRPr="00095F74">
        <w:t xml:space="preserve"> </w:t>
      </w:r>
      <w:r w:rsidR="00F5744C">
        <w:t>Due to</w:t>
      </w:r>
      <w:r>
        <w:t xml:space="preserve"> a number of</w:t>
      </w:r>
      <w:r w:rsidR="00F5744C">
        <w:t xml:space="preserve"> the concerns we </w:t>
      </w:r>
      <w:r>
        <w:t>have with JGN's unit cost build up</w:t>
      </w:r>
      <w:r w:rsidR="00F5744C">
        <w:t>,</w:t>
      </w:r>
      <w:r>
        <w:t xml:space="preserve"> we are not satisfied that these unit rates have been arrived at on a</w:t>
      </w:r>
      <w:r w:rsidR="00D73370">
        <w:t xml:space="preserve"> sufficiently</w:t>
      </w:r>
      <w:r>
        <w:t xml:space="preserve"> reasonable basis and are the best estimate in the circumstances.</w:t>
      </w:r>
    </w:p>
    <w:p w:rsidR="00D56FAD" w:rsidRDefault="00562FE0" w:rsidP="00D56FAD">
      <w:pPr>
        <w:numPr>
          <w:ilvl w:val="0"/>
          <w:numId w:val="25"/>
        </w:numPr>
      </w:pPr>
      <w:r>
        <w:t>O</w:t>
      </w:r>
      <w:r w:rsidR="00D56FAD">
        <w:t>ur alternate forecast of Tariff V connections expenditure based on Tariff V connections unit rates uses a five year (2009</w:t>
      </w:r>
      <w:r w:rsidR="00DB77B8">
        <w:t>–</w:t>
      </w:r>
      <w:r w:rsidR="00D56FAD">
        <w:t>10 to 2013</w:t>
      </w:r>
      <w:r w:rsidR="00DB77B8">
        <w:t>–</w:t>
      </w:r>
      <w:r w:rsidR="00D56FAD">
        <w:t xml:space="preserve">14) historical average. </w:t>
      </w:r>
      <w:r w:rsidR="00D56FAD" w:rsidRPr="00D56FAD">
        <w:t xml:space="preserve">To calculate Tariff V connections expenditure for each connection type we multiplied the number of new connections by the five year actual average unit rates for mains, services and meters and the mains/services/meter per connection volumes. This resulted in forecast expenditure of $276.2 million ($2015, </w:t>
      </w:r>
      <w:proofErr w:type="spellStart"/>
      <w:r w:rsidR="00D56FAD" w:rsidRPr="00D56FAD">
        <w:t>unescalated</w:t>
      </w:r>
      <w:proofErr w:type="spellEnd"/>
      <w:r w:rsidR="00D56FAD" w:rsidRPr="00D56FAD">
        <w:t xml:space="preserve"> direct costs, excluding overheads).</w:t>
      </w:r>
    </w:p>
    <w:p w:rsidR="00D95385" w:rsidRDefault="00562FE0" w:rsidP="00D95385">
      <w:pPr>
        <w:numPr>
          <w:ilvl w:val="0"/>
          <w:numId w:val="25"/>
        </w:numPr>
      </w:pPr>
      <w:r>
        <w:fldChar w:fldCharType="begin"/>
      </w:r>
      <w:r>
        <w:instrText xml:space="preserve"> REF _Ref420408872 \h </w:instrText>
      </w:r>
      <w:r>
        <w:fldChar w:fldCharType="separate"/>
      </w:r>
      <w:r w:rsidR="00D51AD6">
        <w:t xml:space="preserve">Table </w:t>
      </w:r>
      <w:r w:rsidR="00D51AD6">
        <w:rPr>
          <w:noProof/>
        </w:rPr>
        <w:t>6</w:t>
      </w:r>
      <w:r w:rsidR="00D51AD6">
        <w:t>.</w:t>
      </w:r>
      <w:r w:rsidR="00D51AD6">
        <w:rPr>
          <w:noProof/>
        </w:rPr>
        <w:t>7</w:t>
      </w:r>
      <w:r>
        <w:fldChar w:fldCharType="end"/>
      </w:r>
      <w:r>
        <w:t xml:space="preserve"> </w:t>
      </w:r>
      <w:r w:rsidR="00D95385">
        <w:t>summarises the high</w:t>
      </w:r>
      <w:r w:rsidR="00DB77B8">
        <w:t>-</w:t>
      </w:r>
      <w:r w:rsidR="00D95385">
        <w:t xml:space="preserve">level assumptions that JGN applied to estimate mains and services unit rates and </w:t>
      </w:r>
      <w:r>
        <w:fldChar w:fldCharType="begin"/>
      </w:r>
      <w:r>
        <w:instrText xml:space="preserve"> REF _Ref420408881 \h </w:instrText>
      </w:r>
      <w:r>
        <w:fldChar w:fldCharType="separate"/>
      </w:r>
      <w:r w:rsidR="00D51AD6">
        <w:t xml:space="preserve">Table </w:t>
      </w:r>
      <w:r w:rsidR="00D51AD6">
        <w:rPr>
          <w:noProof/>
        </w:rPr>
        <w:t>6</w:t>
      </w:r>
      <w:r w:rsidR="00D51AD6">
        <w:t>.</w:t>
      </w:r>
      <w:r w:rsidR="00D51AD6">
        <w:rPr>
          <w:noProof/>
        </w:rPr>
        <w:t>8</w:t>
      </w:r>
      <w:r>
        <w:fldChar w:fldCharType="end"/>
      </w:r>
      <w:r>
        <w:t xml:space="preserve"> </w:t>
      </w:r>
      <w:r w:rsidR="00D95385">
        <w:t>the assumptions JGN applied to estimate meter unit rates for Tariff V connections.</w:t>
      </w:r>
    </w:p>
    <w:p w:rsidR="00D95385" w:rsidRDefault="00D95385" w:rsidP="008B39D1">
      <w:pPr>
        <w:pStyle w:val="Caption"/>
      </w:pPr>
      <w:bookmarkStart w:id="50" w:name="_Ref420408872"/>
      <w:proofErr w:type="gramStart"/>
      <w:r>
        <w:lastRenderedPageBreak/>
        <w:t xml:space="preserve">Table </w:t>
      </w:r>
      <w:proofErr w:type="gramEnd"/>
      <w:r w:rsidRPr="00D95385">
        <w:fldChar w:fldCharType="begin"/>
      </w:r>
      <w:r>
        <w:instrText xml:space="preserve"> STYLEREF 1 \s </w:instrText>
      </w:r>
      <w:r w:rsidRPr="00D95385">
        <w:fldChar w:fldCharType="separate"/>
      </w:r>
      <w:r w:rsidR="00D51AD6">
        <w:rPr>
          <w:noProof/>
        </w:rPr>
        <w:t>6</w:t>
      </w:r>
      <w:r w:rsidRPr="00D95385">
        <w:fldChar w:fldCharType="end"/>
      </w:r>
      <w:proofErr w:type="gramStart"/>
      <w:r>
        <w:t>.</w:t>
      </w:r>
      <w:proofErr w:type="gramEnd"/>
      <w:r w:rsidRPr="00D95385">
        <w:fldChar w:fldCharType="begin"/>
      </w:r>
      <w:r>
        <w:instrText xml:space="preserve"> SEQ Table \* ARABIC \s 1 </w:instrText>
      </w:r>
      <w:r w:rsidRPr="00D95385">
        <w:fldChar w:fldCharType="separate"/>
      </w:r>
      <w:r w:rsidR="00D51AD6">
        <w:rPr>
          <w:noProof/>
        </w:rPr>
        <w:t>7</w:t>
      </w:r>
      <w:r w:rsidRPr="00D95385">
        <w:fldChar w:fldCharType="end"/>
      </w:r>
      <w:bookmarkEnd w:id="50"/>
      <w:r>
        <w:tab/>
        <w:t>JGN's revised basis for mains and services</w:t>
      </w:r>
      <w:r w:rsidRPr="00FC0E2D">
        <w:t xml:space="preserve"> </w:t>
      </w:r>
      <w:r>
        <w:t>unit rates</w:t>
      </w:r>
    </w:p>
    <w:tbl>
      <w:tblPr>
        <w:tblStyle w:val="AERtable-numbers"/>
        <w:tblW w:w="0" w:type="auto"/>
        <w:tblLook w:val="04A0" w:firstRow="1" w:lastRow="0" w:firstColumn="1" w:lastColumn="0" w:noHBand="0" w:noVBand="1"/>
      </w:tblPr>
      <w:tblGrid>
        <w:gridCol w:w="1727"/>
        <w:gridCol w:w="1729"/>
        <w:gridCol w:w="1729"/>
        <w:gridCol w:w="1729"/>
        <w:gridCol w:w="1729"/>
      </w:tblGrid>
      <w:tr w:rsidR="00D95385" w:rsidTr="00FA4F6D">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727" w:type="dxa"/>
          </w:tcPr>
          <w:p w:rsidR="00D95385" w:rsidRDefault="00D95385" w:rsidP="008B39D1">
            <w:pPr>
              <w:keepNext/>
              <w:numPr>
                <w:ilvl w:val="0"/>
                <w:numId w:val="25"/>
              </w:numPr>
            </w:pPr>
            <w:r>
              <w:t>Component</w:t>
            </w:r>
          </w:p>
        </w:tc>
        <w:tc>
          <w:tcPr>
            <w:tcW w:w="1729" w:type="dxa"/>
          </w:tcPr>
          <w:p w:rsidR="00D95385" w:rsidRDefault="00D95385" w:rsidP="008B39D1">
            <w:pPr>
              <w:keepNext/>
              <w:numPr>
                <w:ilvl w:val="0"/>
                <w:numId w:val="25"/>
              </w:numPr>
              <w:cnfStyle w:val="100000000000" w:firstRow="1" w:lastRow="0" w:firstColumn="0" w:lastColumn="0" w:oddVBand="0" w:evenVBand="0" w:oddHBand="0" w:evenHBand="0" w:firstRowFirstColumn="0" w:firstRowLastColumn="0" w:lastRowFirstColumn="0" w:lastRowLastColumn="0"/>
            </w:pPr>
            <w:r>
              <w:t>E to G</w:t>
            </w:r>
          </w:p>
        </w:tc>
        <w:tc>
          <w:tcPr>
            <w:tcW w:w="1729" w:type="dxa"/>
          </w:tcPr>
          <w:p w:rsidR="00D95385" w:rsidRDefault="00D95385" w:rsidP="008B39D1">
            <w:pPr>
              <w:keepNext/>
              <w:numPr>
                <w:ilvl w:val="0"/>
                <w:numId w:val="25"/>
              </w:numPr>
              <w:cnfStyle w:val="100000000000" w:firstRow="1" w:lastRow="0" w:firstColumn="0" w:lastColumn="0" w:oddVBand="0" w:evenVBand="0" w:oddHBand="0" w:evenHBand="0" w:firstRowFirstColumn="0" w:firstRowLastColumn="0" w:lastRowFirstColumn="0" w:lastRowLastColumn="0"/>
            </w:pPr>
            <w:r>
              <w:t>New homes</w:t>
            </w:r>
          </w:p>
        </w:tc>
        <w:tc>
          <w:tcPr>
            <w:tcW w:w="1729" w:type="dxa"/>
          </w:tcPr>
          <w:p w:rsidR="00D95385" w:rsidRDefault="00D95385" w:rsidP="008B39D1">
            <w:pPr>
              <w:keepNext/>
              <w:numPr>
                <w:ilvl w:val="0"/>
                <w:numId w:val="25"/>
              </w:numPr>
              <w:cnfStyle w:val="100000000000" w:firstRow="1" w:lastRow="0" w:firstColumn="0" w:lastColumn="0" w:oddVBand="0" w:evenVBand="0" w:oddHBand="0" w:evenHBand="0" w:firstRowFirstColumn="0" w:firstRowLastColumn="0" w:lastRowFirstColumn="0" w:lastRowLastColumn="0"/>
            </w:pPr>
            <w:r>
              <w:t>Medium density</w:t>
            </w:r>
          </w:p>
        </w:tc>
        <w:tc>
          <w:tcPr>
            <w:tcW w:w="1729" w:type="dxa"/>
          </w:tcPr>
          <w:p w:rsidR="00D95385" w:rsidRDefault="00D95385" w:rsidP="008B39D1">
            <w:pPr>
              <w:keepNext/>
              <w:numPr>
                <w:ilvl w:val="0"/>
                <w:numId w:val="25"/>
              </w:numPr>
              <w:cnfStyle w:val="100000000000" w:firstRow="1" w:lastRow="0" w:firstColumn="0" w:lastColumn="0" w:oddVBand="0" w:evenVBand="0" w:oddHBand="0" w:evenHBand="0" w:firstRowFirstColumn="0" w:firstRowLastColumn="0" w:lastRowFirstColumn="0" w:lastRowLastColumn="0"/>
            </w:pPr>
            <w:r>
              <w:t>I&amp;C volume</w:t>
            </w:r>
          </w:p>
        </w:tc>
      </w:tr>
      <w:tr w:rsidR="00D95385" w:rsidTr="00FA4F6D">
        <w:trPr>
          <w:trHeight w:val="422"/>
        </w:trPr>
        <w:tc>
          <w:tcPr>
            <w:cnfStyle w:val="001000000000" w:firstRow="0" w:lastRow="0" w:firstColumn="1" w:lastColumn="0" w:oddVBand="0" w:evenVBand="0" w:oddHBand="0" w:evenHBand="0" w:firstRowFirstColumn="0" w:firstRowLastColumn="0" w:lastRowFirstColumn="0" w:lastRowLastColumn="0"/>
            <w:tcW w:w="1727" w:type="dxa"/>
          </w:tcPr>
          <w:p w:rsidR="00D95385" w:rsidRDefault="00D95385" w:rsidP="008B39D1">
            <w:pPr>
              <w:keepNext/>
              <w:numPr>
                <w:ilvl w:val="0"/>
                <w:numId w:val="25"/>
              </w:numPr>
            </w:pPr>
            <w:r>
              <w:t>Contractor</w:t>
            </w:r>
          </w:p>
        </w:tc>
        <w:tc>
          <w:tcPr>
            <w:tcW w:w="6916" w:type="dxa"/>
            <w:gridSpan w:val="4"/>
          </w:tcPr>
          <w:p w:rsidR="00D95385" w:rsidRDefault="00D95385" w:rsidP="008B39D1">
            <w:pPr>
              <w:pStyle w:val="Tabletext-centred"/>
              <w:keepNext/>
              <w:cnfStyle w:val="000000000000" w:firstRow="0" w:lastRow="0" w:firstColumn="0" w:lastColumn="0" w:oddVBand="0" w:evenVBand="0" w:oddHBand="0" w:evenHBand="0" w:firstRowFirstColumn="0" w:firstRowLastColumn="0" w:lastRowFirstColumn="0" w:lastRowLastColumn="0"/>
            </w:pPr>
            <w:r>
              <w:t>4 year average of volume mix x current contract rates</w:t>
            </w:r>
          </w:p>
        </w:tc>
      </w:tr>
      <w:tr w:rsidR="00D95385" w:rsidTr="00FA4F6D">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727" w:type="dxa"/>
          </w:tcPr>
          <w:p w:rsidR="00D95385" w:rsidRDefault="00D95385" w:rsidP="008B39D1">
            <w:pPr>
              <w:keepNext/>
              <w:numPr>
                <w:ilvl w:val="0"/>
                <w:numId w:val="25"/>
              </w:numPr>
            </w:pPr>
            <w:r>
              <w:t>Restorations</w:t>
            </w:r>
          </w:p>
        </w:tc>
        <w:tc>
          <w:tcPr>
            <w:tcW w:w="6916" w:type="dxa"/>
            <w:gridSpan w:val="4"/>
          </w:tcPr>
          <w:p w:rsidR="00D95385" w:rsidRDefault="00D95385" w:rsidP="008B39D1">
            <w:pPr>
              <w:pStyle w:val="Tabletext-centred"/>
              <w:keepNext/>
              <w:cnfStyle w:val="000000010000" w:firstRow="0" w:lastRow="0" w:firstColumn="0" w:lastColumn="0" w:oddVBand="0" w:evenVBand="0" w:oddHBand="0" w:evenHBand="1" w:firstRowFirstColumn="0" w:firstRowLastColumn="0" w:lastRowFirstColumn="0" w:lastRowLastColumn="0"/>
            </w:pPr>
            <w:r>
              <w:t>4 year average</w:t>
            </w:r>
          </w:p>
        </w:tc>
      </w:tr>
      <w:tr w:rsidR="00D95385" w:rsidTr="00FA4F6D">
        <w:trPr>
          <w:trHeight w:val="407"/>
        </w:trPr>
        <w:tc>
          <w:tcPr>
            <w:cnfStyle w:val="001000000000" w:firstRow="0" w:lastRow="0" w:firstColumn="1" w:lastColumn="0" w:oddVBand="0" w:evenVBand="0" w:oddHBand="0" w:evenHBand="0" w:firstRowFirstColumn="0" w:firstRowLastColumn="0" w:lastRowFirstColumn="0" w:lastRowLastColumn="0"/>
            <w:tcW w:w="1727" w:type="dxa"/>
          </w:tcPr>
          <w:p w:rsidR="00D95385" w:rsidRDefault="00D95385" w:rsidP="00D95385">
            <w:pPr>
              <w:numPr>
                <w:ilvl w:val="0"/>
                <w:numId w:val="25"/>
              </w:numPr>
            </w:pPr>
            <w:r>
              <w:t>Materials</w:t>
            </w:r>
          </w:p>
        </w:tc>
        <w:tc>
          <w:tcPr>
            <w:tcW w:w="6916" w:type="dxa"/>
            <w:gridSpan w:val="4"/>
          </w:tcPr>
          <w:p w:rsidR="00D95385" w:rsidRDefault="00D95385" w:rsidP="00D95385">
            <w:pPr>
              <w:pStyle w:val="Tabletext-centred"/>
              <w:cnfStyle w:val="000000000000" w:firstRow="0" w:lastRow="0" w:firstColumn="0" w:lastColumn="0" w:oddVBand="0" w:evenVBand="0" w:oddHBand="0" w:evenHBand="0" w:firstRowFirstColumn="0" w:firstRowLastColumn="0" w:lastRowFirstColumn="0" w:lastRowLastColumn="0"/>
            </w:pPr>
            <w:r>
              <w:t>4 year average</w:t>
            </w:r>
          </w:p>
        </w:tc>
      </w:tr>
      <w:tr w:rsidR="00D95385" w:rsidTr="00FA4F6D">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727" w:type="dxa"/>
          </w:tcPr>
          <w:p w:rsidR="00D95385" w:rsidRDefault="00D95385" w:rsidP="00D95385">
            <w:pPr>
              <w:numPr>
                <w:ilvl w:val="0"/>
                <w:numId w:val="25"/>
              </w:numPr>
            </w:pPr>
            <w:r>
              <w:t>ZNX management fee and margin</w:t>
            </w:r>
          </w:p>
        </w:tc>
        <w:tc>
          <w:tcPr>
            <w:tcW w:w="6916" w:type="dxa"/>
            <w:gridSpan w:val="4"/>
          </w:tcPr>
          <w:p w:rsidR="00D95385" w:rsidRDefault="00D95385" w:rsidP="00D95385">
            <w:pPr>
              <w:pStyle w:val="Tabletext-centred"/>
              <w:cnfStyle w:val="000000010000" w:firstRow="0" w:lastRow="0" w:firstColumn="0" w:lastColumn="0" w:oddVBand="0" w:evenVBand="0" w:oddHBand="0" w:evenHBand="1" w:firstRowFirstColumn="0" w:firstRowLastColumn="0" w:lastRowFirstColumn="0" w:lastRowLastColumn="0"/>
            </w:pPr>
            <w:r>
              <w:t>RY14 actuals</w:t>
            </w:r>
          </w:p>
        </w:tc>
      </w:tr>
      <w:tr w:rsidR="00D95385" w:rsidTr="00FA4F6D">
        <w:trPr>
          <w:trHeight w:val="407"/>
        </w:trPr>
        <w:tc>
          <w:tcPr>
            <w:cnfStyle w:val="001000000000" w:firstRow="0" w:lastRow="0" w:firstColumn="1" w:lastColumn="0" w:oddVBand="0" w:evenVBand="0" w:oddHBand="0" w:evenHBand="0" w:firstRowFirstColumn="0" w:firstRowLastColumn="0" w:lastRowFirstColumn="0" w:lastRowLastColumn="0"/>
            <w:tcW w:w="1727" w:type="dxa"/>
          </w:tcPr>
          <w:p w:rsidR="00D95385" w:rsidRDefault="00D95385" w:rsidP="00D95385">
            <w:pPr>
              <w:numPr>
                <w:ilvl w:val="0"/>
                <w:numId w:val="25"/>
              </w:numPr>
            </w:pPr>
            <w:r>
              <w:t>Internal labour</w:t>
            </w:r>
          </w:p>
        </w:tc>
        <w:tc>
          <w:tcPr>
            <w:tcW w:w="6916" w:type="dxa"/>
            <w:gridSpan w:val="4"/>
          </w:tcPr>
          <w:p w:rsidR="00D95385" w:rsidRDefault="00D95385" w:rsidP="00D95385">
            <w:pPr>
              <w:pStyle w:val="Tabletext-centred"/>
              <w:cnfStyle w:val="000000000000" w:firstRow="0" w:lastRow="0" w:firstColumn="0" w:lastColumn="0" w:oddVBand="0" w:evenVBand="0" w:oddHBand="0" w:evenHBand="0" w:firstRowFirstColumn="0" w:firstRowLastColumn="0" w:lastRowFirstColumn="0" w:lastRowLastColumn="0"/>
            </w:pPr>
            <w:r>
              <w:t>RY14 actuals</w:t>
            </w:r>
          </w:p>
        </w:tc>
      </w:tr>
      <w:tr w:rsidR="00D95385" w:rsidTr="00FA4F6D">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727" w:type="dxa"/>
          </w:tcPr>
          <w:p w:rsidR="00D95385" w:rsidRDefault="00D95385" w:rsidP="00D95385">
            <w:pPr>
              <w:numPr>
                <w:ilvl w:val="0"/>
                <w:numId w:val="25"/>
              </w:numPr>
            </w:pPr>
            <w:r>
              <w:t>Quoted works</w:t>
            </w:r>
          </w:p>
        </w:tc>
        <w:tc>
          <w:tcPr>
            <w:tcW w:w="6916" w:type="dxa"/>
            <w:gridSpan w:val="4"/>
          </w:tcPr>
          <w:p w:rsidR="00D95385" w:rsidRDefault="00D95385" w:rsidP="00D95385">
            <w:pPr>
              <w:pStyle w:val="Tabletext-centred"/>
              <w:cnfStyle w:val="000000010000" w:firstRow="0" w:lastRow="0" w:firstColumn="0" w:lastColumn="0" w:oddVBand="0" w:evenVBand="0" w:oddHBand="0" w:evenHBand="1" w:firstRowFirstColumn="0" w:firstRowLastColumn="0" w:lastRowFirstColumn="0" w:lastRowLastColumn="0"/>
            </w:pPr>
            <w:r>
              <w:t>RY14 actuals</w:t>
            </w:r>
          </w:p>
        </w:tc>
      </w:tr>
    </w:tbl>
    <w:p w:rsidR="00D95385" w:rsidRDefault="00D95385" w:rsidP="00D95385">
      <w:pPr>
        <w:pStyle w:val="AERtablesource"/>
      </w:pPr>
      <w:r>
        <w:t>Source:</w:t>
      </w:r>
      <w:r>
        <w:tab/>
        <w:t>JGN, Revised proposal, February 2015, Table 4-5, p.50.</w:t>
      </w:r>
    </w:p>
    <w:p w:rsidR="00D95385" w:rsidRDefault="00D95385" w:rsidP="00C102FE">
      <w:pPr>
        <w:pStyle w:val="Caption"/>
      </w:pPr>
      <w:bookmarkStart w:id="51" w:name="_Ref420408881"/>
      <w:proofErr w:type="gramStart"/>
      <w:r>
        <w:t xml:space="preserve">Table </w:t>
      </w:r>
      <w:proofErr w:type="gramEnd"/>
      <w:r w:rsidRPr="00D95385">
        <w:fldChar w:fldCharType="begin"/>
      </w:r>
      <w:r>
        <w:instrText xml:space="preserve"> STYLEREF 1 \s </w:instrText>
      </w:r>
      <w:r w:rsidRPr="00D95385">
        <w:fldChar w:fldCharType="separate"/>
      </w:r>
      <w:r w:rsidR="00D51AD6">
        <w:rPr>
          <w:noProof/>
        </w:rPr>
        <w:t>6</w:t>
      </w:r>
      <w:r w:rsidRPr="00D95385">
        <w:fldChar w:fldCharType="end"/>
      </w:r>
      <w:proofErr w:type="gramStart"/>
      <w:r>
        <w:t>.</w:t>
      </w:r>
      <w:proofErr w:type="gramEnd"/>
      <w:r w:rsidRPr="00D95385">
        <w:fldChar w:fldCharType="begin"/>
      </w:r>
      <w:r>
        <w:instrText xml:space="preserve"> SEQ Table \* ARABIC \s 1 </w:instrText>
      </w:r>
      <w:r w:rsidRPr="00D95385">
        <w:fldChar w:fldCharType="separate"/>
      </w:r>
      <w:r w:rsidR="00D51AD6">
        <w:rPr>
          <w:noProof/>
        </w:rPr>
        <w:t>8</w:t>
      </w:r>
      <w:r w:rsidRPr="00D95385">
        <w:fldChar w:fldCharType="end"/>
      </w:r>
      <w:bookmarkEnd w:id="51"/>
      <w:r>
        <w:tab/>
        <w:t>JGN's revised basis for meter unit rates</w:t>
      </w:r>
    </w:p>
    <w:tbl>
      <w:tblPr>
        <w:tblStyle w:val="AERtable-text0"/>
        <w:tblW w:w="0" w:type="auto"/>
        <w:tblLook w:val="04A0" w:firstRow="1" w:lastRow="0" w:firstColumn="1" w:lastColumn="0" w:noHBand="0" w:noVBand="1"/>
      </w:tblPr>
      <w:tblGrid>
        <w:gridCol w:w="1727"/>
        <w:gridCol w:w="1729"/>
        <w:gridCol w:w="1729"/>
        <w:gridCol w:w="1729"/>
        <w:gridCol w:w="1729"/>
      </w:tblGrid>
      <w:tr w:rsidR="00D95385" w:rsidTr="00C102FE">
        <w:trPr>
          <w:cnfStyle w:val="100000000000" w:firstRow="1" w:lastRow="0" w:firstColumn="0" w:lastColumn="0" w:oddVBand="0" w:evenVBand="0" w:oddHBand="0" w:evenHBand="0" w:firstRowFirstColumn="0" w:firstRowLastColumn="0" w:lastRowFirstColumn="0" w:lastRowLastColumn="0"/>
          <w:trHeight w:val="407"/>
        </w:trPr>
        <w:tc>
          <w:tcPr>
            <w:tcW w:w="1727" w:type="dxa"/>
          </w:tcPr>
          <w:p w:rsidR="00D95385" w:rsidRDefault="00D95385" w:rsidP="00C102FE">
            <w:pPr>
              <w:keepNext/>
              <w:numPr>
                <w:ilvl w:val="0"/>
                <w:numId w:val="25"/>
              </w:numPr>
            </w:pPr>
            <w:r>
              <w:t>Component</w:t>
            </w:r>
          </w:p>
        </w:tc>
        <w:tc>
          <w:tcPr>
            <w:tcW w:w="1729" w:type="dxa"/>
          </w:tcPr>
          <w:p w:rsidR="00D95385" w:rsidRDefault="00D95385" w:rsidP="00C102FE">
            <w:pPr>
              <w:keepNext/>
              <w:numPr>
                <w:ilvl w:val="0"/>
                <w:numId w:val="25"/>
              </w:numPr>
            </w:pPr>
            <w:r>
              <w:t>E to G</w:t>
            </w:r>
          </w:p>
        </w:tc>
        <w:tc>
          <w:tcPr>
            <w:tcW w:w="1729" w:type="dxa"/>
          </w:tcPr>
          <w:p w:rsidR="00D95385" w:rsidRDefault="00D95385" w:rsidP="00C102FE">
            <w:pPr>
              <w:keepNext/>
              <w:numPr>
                <w:ilvl w:val="0"/>
                <w:numId w:val="25"/>
              </w:numPr>
            </w:pPr>
            <w:r>
              <w:t>New homes</w:t>
            </w:r>
          </w:p>
        </w:tc>
        <w:tc>
          <w:tcPr>
            <w:tcW w:w="1729" w:type="dxa"/>
          </w:tcPr>
          <w:p w:rsidR="00D95385" w:rsidRDefault="00D95385" w:rsidP="00C102FE">
            <w:pPr>
              <w:keepNext/>
              <w:numPr>
                <w:ilvl w:val="0"/>
                <w:numId w:val="25"/>
              </w:numPr>
            </w:pPr>
            <w:r>
              <w:t>Medium density</w:t>
            </w:r>
          </w:p>
        </w:tc>
        <w:tc>
          <w:tcPr>
            <w:tcW w:w="1729" w:type="dxa"/>
          </w:tcPr>
          <w:p w:rsidR="00D95385" w:rsidRDefault="00D95385" w:rsidP="00C102FE">
            <w:pPr>
              <w:keepNext/>
              <w:numPr>
                <w:ilvl w:val="0"/>
                <w:numId w:val="25"/>
              </w:numPr>
            </w:pPr>
            <w:r>
              <w:t>I&amp;C volume</w:t>
            </w:r>
          </w:p>
        </w:tc>
      </w:tr>
      <w:tr w:rsidR="00D95385" w:rsidTr="00C102FE">
        <w:trPr>
          <w:trHeight w:val="422"/>
        </w:trPr>
        <w:tc>
          <w:tcPr>
            <w:tcW w:w="1727" w:type="dxa"/>
          </w:tcPr>
          <w:p w:rsidR="00D95385" w:rsidRDefault="00D95385" w:rsidP="00C102FE">
            <w:pPr>
              <w:keepNext/>
              <w:numPr>
                <w:ilvl w:val="0"/>
                <w:numId w:val="25"/>
              </w:numPr>
            </w:pPr>
            <w:r>
              <w:t>Contractor</w:t>
            </w:r>
          </w:p>
        </w:tc>
        <w:tc>
          <w:tcPr>
            <w:tcW w:w="6916" w:type="dxa"/>
            <w:gridSpan w:val="4"/>
          </w:tcPr>
          <w:p w:rsidR="00D95385" w:rsidRDefault="00D95385" w:rsidP="00C102FE">
            <w:pPr>
              <w:keepNext/>
              <w:numPr>
                <w:ilvl w:val="0"/>
                <w:numId w:val="25"/>
              </w:numPr>
              <w:jc w:val="center"/>
            </w:pPr>
            <w:r>
              <w:t>4 year average</w:t>
            </w:r>
          </w:p>
        </w:tc>
      </w:tr>
      <w:tr w:rsidR="00D95385" w:rsidTr="00C102FE">
        <w:trPr>
          <w:cnfStyle w:val="000000010000" w:firstRow="0" w:lastRow="0" w:firstColumn="0" w:lastColumn="0" w:oddVBand="0" w:evenVBand="0" w:oddHBand="0" w:evenHBand="1" w:firstRowFirstColumn="0" w:firstRowLastColumn="0" w:lastRowFirstColumn="0" w:lastRowLastColumn="0"/>
          <w:trHeight w:val="407"/>
        </w:trPr>
        <w:tc>
          <w:tcPr>
            <w:tcW w:w="1727" w:type="dxa"/>
          </w:tcPr>
          <w:p w:rsidR="00D95385" w:rsidRDefault="00D95385" w:rsidP="00D95385">
            <w:pPr>
              <w:numPr>
                <w:ilvl w:val="0"/>
                <w:numId w:val="25"/>
              </w:numPr>
            </w:pPr>
            <w:r>
              <w:t>Materials - gas meters</w:t>
            </w:r>
          </w:p>
        </w:tc>
        <w:tc>
          <w:tcPr>
            <w:tcW w:w="6916" w:type="dxa"/>
            <w:gridSpan w:val="4"/>
          </w:tcPr>
          <w:p w:rsidR="00D95385" w:rsidRDefault="00D95385" w:rsidP="00C102FE">
            <w:pPr>
              <w:keepNext/>
              <w:numPr>
                <w:ilvl w:val="0"/>
                <w:numId w:val="25"/>
              </w:numPr>
              <w:jc w:val="center"/>
            </w:pPr>
            <w:r>
              <w:t>4 year average</w:t>
            </w:r>
          </w:p>
        </w:tc>
      </w:tr>
      <w:tr w:rsidR="00D95385" w:rsidTr="00C102FE">
        <w:trPr>
          <w:trHeight w:val="407"/>
        </w:trPr>
        <w:tc>
          <w:tcPr>
            <w:tcW w:w="1727" w:type="dxa"/>
          </w:tcPr>
          <w:p w:rsidR="00D95385" w:rsidRDefault="00D95385" w:rsidP="00D95385">
            <w:pPr>
              <w:numPr>
                <w:ilvl w:val="0"/>
                <w:numId w:val="25"/>
              </w:numPr>
            </w:pPr>
            <w:r>
              <w:t>Materials - hot water meters</w:t>
            </w:r>
          </w:p>
        </w:tc>
        <w:tc>
          <w:tcPr>
            <w:tcW w:w="6916" w:type="dxa"/>
            <w:gridSpan w:val="4"/>
          </w:tcPr>
          <w:p w:rsidR="00D95385" w:rsidRDefault="00D95385" w:rsidP="00C102FE">
            <w:pPr>
              <w:keepNext/>
              <w:numPr>
                <w:ilvl w:val="0"/>
                <w:numId w:val="25"/>
              </w:numPr>
              <w:jc w:val="center"/>
            </w:pPr>
            <w:r>
              <w:t>4 year average</w:t>
            </w:r>
          </w:p>
        </w:tc>
      </w:tr>
      <w:tr w:rsidR="00D95385" w:rsidTr="00C102FE">
        <w:trPr>
          <w:cnfStyle w:val="000000010000" w:firstRow="0" w:lastRow="0" w:firstColumn="0" w:lastColumn="0" w:oddVBand="0" w:evenVBand="0" w:oddHBand="0" w:evenHBand="1" w:firstRowFirstColumn="0" w:firstRowLastColumn="0" w:lastRowFirstColumn="0" w:lastRowLastColumn="0"/>
          <w:trHeight w:val="422"/>
        </w:trPr>
        <w:tc>
          <w:tcPr>
            <w:tcW w:w="1727" w:type="dxa"/>
          </w:tcPr>
          <w:p w:rsidR="00D95385" w:rsidRDefault="00D95385" w:rsidP="00D95385">
            <w:pPr>
              <w:numPr>
                <w:ilvl w:val="0"/>
                <w:numId w:val="25"/>
              </w:numPr>
            </w:pPr>
            <w:r>
              <w:t>Materials - MDLs</w:t>
            </w:r>
          </w:p>
        </w:tc>
        <w:tc>
          <w:tcPr>
            <w:tcW w:w="6916" w:type="dxa"/>
            <w:gridSpan w:val="4"/>
          </w:tcPr>
          <w:p w:rsidR="00D95385" w:rsidRDefault="00D95385" w:rsidP="00C102FE">
            <w:pPr>
              <w:keepNext/>
              <w:numPr>
                <w:ilvl w:val="0"/>
                <w:numId w:val="25"/>
              </w:numPr>
              <w:jc w:val="center"/>
            </w:pPr>
            <w:r>
              <w:t>RY14 actuals</w:t>
            </w:r>
          </w:p>
        </w:tc>
      </w:tr>
      <w:tr w:rsidR="00D95385" w:rsidTr="00C102FE">
        <w:trPr>
          <w:trHeight w:val="407"/>
        </w:trPr>
        <w:tc>
          <w:tcPr>
            <w:tcW w:w="1727" w:type="dxa"/>
          </w:tcPr>
          <w:p w:rsidR="00D95385" w:rsidRDefault="00D95385" w:rsidP="00D95385">
            <w:pPr>
              <w:numPr>
                <w:ilvl w:val="0"/>
                <w:numId w:val="25"/>
              </w:numPr>
            </w:pPr>
            <w:r>
              <w:t>Internal labour</w:t>
            </w:r>
          </w:p>
        </w:tc>
        <w:tc>
          <w:tcPr>
            <w:tcW w:w="6916" w:type="dxa"/>
            <w:gridSpan w:val="4"/>
          </w:tcPr>
          <w:p w:rsidR="00D95385" w:rsidRPr="00D95385" w:rsidRDefault="00D95385" w:rsidP="00C102FE">
            <w:pPr>
              <w:keepNext/>
              <w:numPr>
                <w:ilvl w:val="0"/>
                <w:numId w:val="25"/>
              </w:numPr>
              <w:jc w:val="center"/>
            </w:pPr>
            <w:r>
              <w:t>4 year average</w:t>
            </w:r>
          </w:p>
        </w:tc>
      </w:tr>
      <w:tr w:rsidR="00D95385" w:rsidTr="00C102FE">
        <w:trPr>
          <w:cnfStyle w:val="000000010000" w:firstRow="0" w:lastRow="0" w:firstColumn="0" w:lastColumn="0" w:oddVBand="0" w:evenVBand="0" w:oddHBand="0" w:evenHBand="1" w:firstRowFirstColumn="0" w:firstRowLastColumn="0" w:lastRowFirstColumn="0" w:lastRowLastColumn="0"/>
          <w:trHeight w:val="422"/>
        </w:trPr>
        <w:tc>
          <w:tcPr>
            <w:tcW w:w="1727" w:type="dxa"/>
          </w:tcPr>
          <w:p w:rsidR="00D95385" w:rsidRDefault="00D95385" w:rsidP="00D95385">
            <w:pPr>
              <w:numPr>
                <w:ilvl w:val="0"/>
                <w:numId w:val="25"/>
              </w:numPr>
            </w:pPr>
            <w:r>
              <w:t>Quoted works</w:t>
            </w:r>
          </w:p>
        </w:tc>
        <w:tc>
          <w:tcPr>
            <w:tcW w:w="6916" w:type="dxa"/>
            <w:gridSpan w:val="4"/>
          </w:tcPr>
          <w:p w:rsidR="00D95385" w:rsidRPr="00D95385" w:rsidRDefault="00D95385" w:rsidP="00C102FE">
            <w:pPr>
              <w:keepNext/>
              <w:numPr>
                <w:ilvl w:val="0"/>
                <w:numId w:val="25"/>
              </w:numPr>
              <w:jc w:val="center"/>
            </w:pPr>
            <w:r>
              <w:t>4 year average</w:t>
            </w:r>
          </w:p>
        </w:tc>
      </w:tr>
      <w:tr w:rsidR="00D95385" w:rsidTr="00C102FE">
        <w:trPr>
          <w:trHeight w:val="422"/>
        </w:trPr>
        <w:tc>
          <w:tcPr>
            <w:tcW w:w="1727" w:type="dxa"/>
          </w:tcPr>
          <w:p w:rsidR="00D95385" w:rsidRDefault="00D95385" w:rsidP="00D95385">
            <w:pPr>
              <w:numPr>
                <w:ilvl w:val="0"/>
                <w:numId w:val="25"/>
              </w:numPr>
            </w:pPr>
            <w:proofErr w:type="spellStart"/>
            <w:r>
              <w:t>Energisation</w:t>
            </w:r>
            <w:proofErr w:type="spellEnd"/>
            <w:r>
              <w:t xml:space="preserve"> cost</w:t>
            </w:r>
          </w:p>
        </w:tc>
        <w:tc>
          <w:tcPr>
            <w:tcW w:w="1729" w:type="dxa"/>
          </w:tcPr>
          <w:p w:rsidR="00D95385" w:rsidRPr="00D95385" w:rsidRDefault="00D95385" w:rsidP="00C102FE">
            <w:pPr>
              <w:keepNext/>
              <w:numPr>
                <w:ilvl w:val="0"/>
                <w:numId w:val="25"/>
              </w:numPr>
              <w:jc w:val="center"/>
            </w:pPr>
            <w:r>
              <w:t>Nil</w:t>
            </w:r>
          </w:p>
        </w:tc>
        <w:tc>
          <w:tcPr>
            <w:tcW w:w="3458" w:type="dxa"/>
            <w:gridSpan w:val="2"/>
          </w:tcPr>
          <w:p w:rsidR="00D95385" w:rsidRPr="00D95385" w:rsidRDefault="00D95385" w:rsidP="00C102FE">
            <w:pPr>
              <w:keepNext/>
              <w:numPr>
                <w:ilvl w:val="0"/>
                <w:numId w:val="25"/>
              </w:numPr>
            </w:pPr>
            <w:r>
              <w:t>Unit rate x 4 year average percentage uncontracted</w:t>
            </w:r>
          </w:p>
        </w:tc>
        <w:tc>
          <w:tcPr>
            <w:tcW w:w="1729" w:type="dxa"/>
          </w:tcPr>
          <w:p w:rsidR="00D95385" w:rsidRDefault="00D95385" w:rsidP="00C102FE">
            <w:pPr>
              <w:keepNext/>
              <w:numPr>
                <w:ilvl w:val="0"/>
                <w:numId w:val="25"/>
              </w:numPr>
            </w:pPr>
            <w:r>
              <w:t>Nil</w:t>
            </w:r>
          </w:p>
        </w:tc>
      </w:tr>
    </w:tbl>
    <w:p w:rsidR="00D95385" w:rsidRDefault="00D95385" w:rsidP="00D95385">
      <w:pPr>
        <w:pStyle w:val="AERtablesource"/>
      </w:pPr>
      <w:r>
        <w:t>Source:</w:t>
      </w:r>
      <w:r>
        <w:tab/>
        <w:t>JGN, Revised proposal, February 2015, Table 4-7, p.53.</w:t>
      </w:r>
    </w:p>
    <w:p w:rsidR="00D95385" w:rsidRDefault="00D95385" w:rsidP="00D95385">
      <w:pPr>
        <w:pStyle w:val="ListParagraph"/>
        <w:numPr>
          <w:ilvl w:val="0"/>
          <w:numId w:val="25"/>
        </w:numPr>
      </w:pPr>
      <w:r>
        <w:t>In assessing JGN's unit rate model we identified a number of concerns. In particular:</w:t>
      </w:r>
    </w:p>
    <w:p w:rsidR="00D95385" w:rsidRDefault="00D95385" w:rsidP="00D95385">
      <w:pPr>
        <w:pStyle w:val="AERbulletlistfirststyle"/>
      </w:pPr>
      <w:r>
        <w:t>JGN's connections model draws off three different data sets with no inter</w:t>
      </w:r>
      <w:r w:rsidR="000F2033">
        <w:t>-</w:t>
      </w:r>
      <w:r>
        <w:t>linkage. This gives rise to concerns about consistency of definitions and</w:t>
      </w:r>
      <w:r w:rsidR="000F2033">
        <w:t>,</w:t>
      </w:r>
      <w:r w:rsidR="00EE065D">
        <w:t xml:space="preserve"> as a result</w:t>
      </w:r>
      <w:r w:rsidR="000F2033">
        <w:t>,</w:t>
      </w:r>
      <w:r>
        <w:t xml:space="preserve"> classification of costs</w:t>
      </w:r>
      <w:r w:rsidR="00EF272B" w:rsidRPr="00EF272B">
        <w:t xml:space="preserve"> </w:t>
      </w:r>
      <w:r w:rsidR="00EF272B">
        <w:t>between the data sets</w:t>
      </w:r>
      <w:r>
        <w:t>. We have found significant differences in the unit rates estimated using the different data sets</w:t>
      </w:r>
      <w:r w:rsidR="002E77C2">
        <w:t>, which should be the same if consistent definitions and classification of costs were being applied</w:t>
      </w:r>
      <w:r>
        <w:t>.</w:t>
      </w:r>
    </w:p>
    <w:p w:rsidR="00D95385" w:rsidRDefault="00D95385" w:rsidP="00D95385">
      <w:pPr>
        <w:pStyle w:val="AERbulletlistfirststyle"/>
      </w:pPr>
      <w:r>
        <w:t>We are concerned that JGN's changes in contract inclusions, levels of insourcing and outsourcing, and accounting policies across time will lead to changes in the category (internal labour, contractor, materials, restoration, other) in which costs are captured across time. Where there are changes over time there is potential to under or over forecast at a disaggregated level, resulting in under or over forecasting at a total level.</w:t>
      </w:r>
      <w:r w:rsidRPr="00F77EA4">
        <w:t xml:space="preserve"> </w:t>
      </w:r>
      <w:r>
        <w:t xml:space="preserve">This is especially the case when different bases are </w:t>
      </w:r>
      <w:r>
        <w:lastRenderedPageBreak/>
        <w:t xml:space="preserve">being applied. That is, some elements are being forecast on the basis of a </w:t>
      </w:r>
      <w:r w:rsidR="00562FE0">
        <w:t>four-</w:t>
      </w:r>
      <w:r>
        <w:t>year average while others are being forecast on the basis of RY2014 data.</w:t>
      </w:r>
    </w:p>
    <w:p w:rsidR="00D95385" w:rsidRDefault="00D95385" w:rsidP="00D95385">
      <w:pPr>
        <w:pStyle w:val="AERbulletlistfirststyle"/>
      </w:pPr>
      <w:r>
        <w:t>We consider that some of JGN's model assumptions result in unit rates that are not efficient. We are concerned that:</w:t>
      </w:r>
    </w:p>
    <w:p w:rsidR="00D95385" w:rsidRDefault="00D95385" w:rsidP="00D95385">
      <w:pPr>
        <w:pStyle w:val="AERbulletlistsecondstyle"/>
      </w:pPr>
      <w:r>
        <w:t xml:space="preserve">JGN has not justified the inclusion of some costs (for example, internal labour allocated from </w:t>
      </w:r>
      <w:proofErr w:type="spellStart"/>
      <w:r>
        <w:t>opex</w:t>
      </w:r>
      <w:proofErr w:type="spellEnd"/>
      <w:r>
        <w:t xml:space="preserve"> to capex for </w:t>
      </w:r>
      <w:r w:rsidR="00564A7B">
        <w:t xml:space="preserve">mains and </w:t>
      </w:r>
      <w:r>
        <w:t>metering);</w:t>
      </w:r>
    </w:p>
    <w:p w:rsidR="00D95385" w:rsidRDefault="00D95385" w:rsidP="00D95385">
      <w:pPr>
        <w:pStyle w:val="AERbulletlistsecondstyle"/>
      </w:pPr>
      <w:r>
        <w:t>The basis for the inclusion of some costs</w:t>
      </w:r>
      <w:r w:rsidRPr="004E53AD">
        <w:t xml:space="preserve"> </w:t>
      </w:r>
      <w:r>
        <w:t xml:space="preserve">is not reasonable and does not result in the best estimate in the circumstances. The costs we assess to be not reasonable to include are </w:t>
      </w:r>
      <w:r w:rsidR="002E77C2">
        <w:t xml:space="preserve">real material and labour escalation, </w:t>
      </w:r>
      <w:r>
        <w:t xml:space="preserve">metering labour costs, </w:t>
      </w:r>
      <w:proofErr w:type="spellStart"/>
      <w:r>
        <w:t>energisation</w:t>
      </w:r>
      <w:proofErr w:type="spellEnd"/>
      <w:r>
        <w:t xml:space="preserve"> costs, quoted </w:t>
      </w:r>
      <w:r w:rsidR="00EA0EE5">
        <w:t xml:space="preserve">works </w:t>
      </w:r>
      <w:r>
        <w:t>costs and non-routine connection costs.</w:t>
      </w:r>
    </w:p>
    <w:p w:rsidR="002E77C2" w:rsidRDefault="002E77C2" w:rsidP="002E77C2">
      <w:r>
        <w:t xml:space="preserve">With respect to the inclusion of costs we </w:t>
      </w:r>
      <w:r w:rsidR="00562FE0">
        <w:t xml:space="preserve">do not </w:t>
      </w:r>
      <w:r>
        <w:t xml:space="preserve">consider </w:t>
      </w:r>
      <w:r w:rsidR="00562FE0">
        <w:t>are</w:t>
      </w:r>
      <w:r>
        <w:t xml:space="preserve"> reasonable, </w:t>
      </w:r>
      <w:r w:rsidR="00BE5808">
        <w:t xml:space="preserve">after reviewing </w:t>
      </w:r>
      <w:r w:rsidR="007D073F">
        <w:t>JGN</w:t>
      </w:r>
      <w:r w:rsidR="00BE5808">
        <w:t xml:space="preserve">'s contracts we do not consider there is a basis for including </w:t>
      </w:r>
      <w:r w:rsidR="00450C89">
        <w:t>real material and labour escalation</w:t>
      </w:r>
      <w:r w:rsidR="007D073F">
        <w:t xml:space="preserve"> </w:t>
      </w:r>
      <w:r w:rsidR="00450C89">
        <w:t xml:space="preserve">and metering </w:t>
      </w:r>
      <w:r w:rsidR="007D073F">
        <w:t>labour costs</w:t>
      </w:r>
      <w:r w:rsidR="00BE5808">
        <w:t xml:space="preserve">. </w:t>
      </w:r>
      <w:r w:rsidR="00D14DF4">
        <w:t>Evidence before us indicates that the</w:t>
      </w:r>
      <w:r w:rsidR="005D543F">
        <w:t>re is no provision for material and labour escalation and that metering labour costs</w:t>
      </w:r>
      <w:r w:rsidR="00D14DF4">
        <w:t xml:space="preserve"> are already included in the </w:t>
      </w:r>
      <w:r w:rsidR="005D543F">
        <w:t>service unit rates</w:t>
      </w:r>
      <w:r w:rsidR="00D14DF4">
        <w:t>.</w:t>
      </w:r>
      <w:r w:rsidR="00D14DF4" w:rsidRPr="00D14DF4">
        <w:t xml:space="preserve"> </w:t>
      </w:r>
      <w:r w:rsidR="00D14DF4">
        <w:t>To include these costs would be to include more expenditure than is required under these contracts and so would be inefficient.</w:t>
      </w:r>
    </w:p>
    <w:p w:rsidR="005F4F4E" w:rsidRDefault="005F4F4E" w:rsidP="005F4F4E">
      <w:r>
        <w:t xml:space="preserve">JGN proposed the addition of </w:t>
      </w:r>
      <w:proofErr w:type="spellStart"/>
      <w:r>
        <w:t>energisation</w:t>
      </w:r>
      <w:proofErr w:type="spellEnd"/>
      <w:r>
        <w:t xml:space="preserve"> costs to its unit rates</w:t>
      </w:r>
      <w:r w:rsidR="003F6773">
        <w:t xml:space="preserve"> for new connections</w:t>
      </w:r>
      <w:r>
        <w:t>. JGN submitted that these costs will be incurred in undertaking the B2B harmonisation.</w:t>
      </w:r>
      <w:r w:rsidR="00D17CB4">
        <w:rPr>
          <w:rStyle w:val="FootnoteReference"/>
        </w:rPr>
        <w:footnoteReference w:id="38"/>
      </w:r>
      <w:r w:rsidR="00D17CB4">
        <w:t xml:space="preserve"> </w:t>
      </w:r>
      <w:r w:rsidR="008828D3" w:rsidRPr="008828D3">
        <w:t xml:space="preserve">JGN defined the </w:t>
      </w:r>
      <w:proofErr w:type="spellStart"/>
      <w:r w:rsidR="008828D3" w:rsidRPr="008828D3">
        <w:t>energisation</w:t>
      </w:r>
      <w:proofErr w:type="spellEnd"/>
      <w:r w:rsidR="008828D3" w:rsidRPr="008828D3">
        <w:t xml:space="preserve"> cost as the cost of a technician to attend the relevant site, subsequent to the physical connection being established, to remove the plug from the meter [</w:t>
      </w:r>
      <w:proofErr w:type="spellStart"/>
      <w:r w:rsidR="008828D3" w:rsidRPr="008828D3">
        <w:t>unwadding</w:t>
      </w:r>
      <w:proofErr w:type="spellEnd"/>
      <w:r w:rsidR="008828D3" w:rsidRPr="008828D3">
        <w:t>], to allow gas to flow through the connection.</w:t>
      </w:r>
      <w:r w:rsidR="00564A7B">
        <w:rPr>
          <w:rStyle w:val="FootnoteReference"/>
        </w:rPr>
        <w:footnoteReference w:id="39"/>
      </w:r>
      <w:r w:rsidR="008828D3" w:rsidRPr="008828D3">
        <w:t xml:space="preserve">  The establishment of the connection (step 1) and the removal of the plug/wad (step 2) </w:t>
      </w:r>
      <w:proofErr w:type="gramStart"/>
      <w:r w:rsidR="008828D3" w:rsidRPr="008828D3">
        <w:t>is</w:t>
      </w:r>
      <w:proofErr w:type="gramEnd"/>
      <w:r w:rsidR="008828D3" w:rsidRPr="008828D3">
        <w:t xml:space="preserve"> known as a 2 step </w:t>
      </w:r>
      <w:proofErr w:type="spellStart"/>
      <w:r w:rsidR="008828D3" w:rsidRPr="008828D3">
        <w:t>connnection</w:t>
      </w:r>
      <w:proofErr w:type="spellEnd"/>
      <w:r w:rsidR="008828D3" w:rsidRPr="008828D3">
        <w:t>.</w:t>
      </w:r>
      <w:r w:rsidR="00D17CB4">
        <w:rPr>
          <w:rStyle w:val="FootnoteReference"/>
        </w:rPr>
        <w:footnoteReference w:id="40"/>
      </w:r>
      <w:r w:rsidR="008828D3" w:rsidRPr="008828D3">
        <w:t xml:space="preserve">  The reason for the connection being left wadded after it has been established is to prevent gas being consumed without a retail contract being in place.</w:t>
      </w:r>
      <w:r w:rsidR="00D17CB4">
        <w:rPr>
          <w:rStyle w:val="FootnoteReference"/>
        </w:rPr>
        <w:footnoteReference w:id="41"/>
      </w:r>
      <w:r w:rsidR="008828D3" w:rsidRPr="008828D3">
        <w:t xml:space="preserve"> </w:t>
      </w:r>
      <w:r>
        <w:t>This situation potentially arises when a real estate developer approaches JGN directly to request new connections and they do not have a nominated retailer.</w:t>
      </w:r>
      <w:r w:rsidR="00D17CB4">
        <w:rPr>
          <w:rStyle w:val="FootnoteReference"/>
        </w:rPr>
        <w:footnoteReference w:id="42"/>
      </w:r>
      <w:r>
        <w:t xml:space="preserve"> In such cases, the deemed contract provisions of the NERL do not operate, because there is no financially responsible retailer</w:t>
      </w:r>
      <w:r w:rsidR="00F533F2">
        <w:t xml:space="preserve"> for the premises</w:t>
      </w:r>
      <w:r>
        <w:t>. We consider that the NGR and NERL provide for JGN to be able to avoid this situation arising by requiring a retail contract to be in place (and therefore a financially responsible retailer assigned) before establishing a new connection.</w:t>
      </w:r>
      <w:r w:rsidR="008828D3">
        <w:rPr>
          <w:rStyle w:val="FootnoteReference"/>
        </w:rPr>
        <w:footnoteReference w:id="43"/>
      </w:r>
      <w:r>
        <w:t xml:space="preserve"> The NGR provides for JGN to not proceed with a connection until a retailer is nominated.</w:t>
      </w:r>
      <w:r w:rsidR="008828D3">
        <w:rPr>
          <w:rStyle w:val="FootnoteReference"/>
        </w:rPr>
        <w:footnoteReference w:id="44"/>
      </w:r>
      <w:r>
        <w:t xml:space="preserve"> </w:t>
      </w:r>
      <w:r>
        <w:lastRenderedPageBreak/>
        <w:t xml:space="preserve">If </w:t>
      </w:r>
      <w:r w:rsidR="00F533F2">
        <w:t xml:space="preserve">a </w:t>
      </w:r>
      <w:r>
        <w:t>retailer is nominated by the real estate developer</w:t>
      </w:r>
      <w:r w:rsidR="00F533F2">
        <w:t>, this then becomes consistent with JGN's proposed approach to de-</w:t>
      </w:r>
      <w:proofErr w:type="spellStart"/>
      <w:r w:rsidR="00F533F2">
        <w:t>energisation</w:t>
      </w:r>
      <w:proofErr w:type="spellEnd"/>
      <w:r w:rsidR="00F533F2">
        <w:t xml:space="preserve"> and re-</w:t>
      </w:r>
      <w:proofErr w:type="spellStart"/>
      <w:r w:rsidR="00F533F2">
        <w:t>energisation</w:t>
      </w:r>
      <w:proofErr w:type="spellEnd"/>
      <w:r w:rsidR="00F533F2">
        <w:t xml:space="preserve"> in other circumstances (for example, move-in/move-out customers). To the extent that it departs from this approach, the</w:t>
      </w:r>
      <w:r w:rsidR="00E9024F">
        <w:t xml:space="preserve"> cost </w:t>
      </w:r>
      <w:r>
        <w:t>should be borne by the benefitting party, that being the real estate developer.</w:t>
      </w:r>
      <w:r w:rsidR="003F6773">
        <w:t xml:space="preserve"> </w:t>
      </w:r>
    </w:p>
    <w:p w:rsidR="00EA0EE5" w:rsidRDefault="00EA0EE5" w:rsidP="002E77C2">
      <w:r>
        <w:t xml:space="preserve">JGN included 'quoted works' costs. These costs were calculated as the difference between the RY2014 contractor rate and </w:t>
      </w:r>
      <w:r w:rsidR="005570E4">
        <w:t xml:space="preserve">the 4-year </w:t>
      </w:r>
      <w:r w:rsidR="00484FB3">
        <w:t>mix contractor rate. JGN submitted</w:t>
      </w:r>
      <w:r w:rsidR="005570E4">
        <w:t xml:space="preserve"> that quoted works are costs associated with traffic control, night works, works on major roads, etc.</w:t>
      </w:r>
      <w:r w:rsidR="00564A7B" w:rsidRPr="00A83827">
        <w:rPr>
          <w:rStyle w:val="FootnoteReference"/>
        </w:rPr>
        <w:footnoteReference w:id="45"/>
      </w:r>
      <w:r w:rsidR="005570E4">
        <w:t xml:space="preserve"> We consider that these costs are not new costs and are embedded in the historical data. This means there is a level of quoted costs already included and captured, most likely, in either 'restoration', 'materials, or 'other' cost categories. The inclusion of an additional amount for quoted costs is equivalent to proposing a step increase in these type</w:t>
      </w:r>
      <w:r w:rsidR="00121F1B">
        <w:t>s</w:t>
      </w:r>
      <w:r w:rsidR="005570E4">
        <w:t xml:space="preserve"> of costs. </w:t>
      </w:r>
      <w:r w:rsidR="00D73370">
        <w:t xml:space="preserve">We do not have evidence to support this as </w:t>
      </w:r>
      <w:r w:rsidR="005570E4">
        <w:t xml:space="preserve">justification for a step increase in costs. </w:t>
      </w:r>
      <w:r w:rsidR="00D73370">
        <w:t>The costs do not represent a change in</w:t>
      </w:r>
      <w:r w:rsidR="005570E4">
        <w:t xml:space="preserve"> regulatory obligation or circumstances more generally that would justify a step increase in 'quoted works'. As including an amount above that which is already embedded would be providing expenditure which is greater than that required, and so </w:t>
      </w:r>
      <w:r w:rsidR="00807C63">
        <w:t xml:space="preserve">is </w:t>
      </w:r>
      <w:r w:rsidR="002B3AA7">
        <w:t>inefficient</w:t>
      </w:r>
      <w:r w:rsidR="005570E4">
        <w:t xml:space="preserve">, we </w:t>
      </w:r>
      <w:r w:rsidR="002B3AA7">
        <w:t>have not included an amount for 'quoted works'.</w:t>
      </w:r>
      <w:r w:rsidR="005570E4">
        <w:t xml:space="preserve"> </w:t>
      </w:r>
    </w:p>
    <w:p w:rsidR="002B3AA7" w:rsidRPr="002B3AA7" w:rsidRDefault="00EA0EE5" w:rsidP="002B3AA7">
      <w:r>
        <w:t>JGN also proposed non-routine connection costs.</w:t>
      </w:r>
      <w:r w:rsidR="002B3AA7" w:rsidRPr="002B3AA7">
        <w:t xml:space="preserve"> Including non-routine connections costs would mean JGN would be recovering costs for non-routine connections through </w:t>
      </w:r>
      <w:r w:rsidR="003E28B9">
        <w:t xml:space="preserve">routine, </w:t>
      </w:r>
      <w:r w:rsidR="002B3AA7" w:rsidRPr="002B3AA7">
        <w:t>basic</w:t>
      </w:r>
      <w:r w:rsidR="002B3AA7">
        <w:t xml:space="preserve"> or standard</w:t>
      </w:r>
      <w:r w:rsidR="002B3AA7" w:rsidRPr="002B3AA7">
        <w:t xml:space="preserve"> connections revenue,</w:t>
      </w:r>
      <w:r w:rsidR="00484FB3">
        <w:rPr>
          <w:rStyle w:val="FootnoteReference"/>
        </w:rPr>
        <w:footnoteReference w:id="46"/>
      </w:r>
      <w:r w:rsidR="002B3AA7" w:rsidRPr="002B3AA7">
        <w:t xml:space="preserve"> providing JGN with more revenue than required for a prudent service provider acting efficiently.</w:t>
      </w:r>
    </w:p>
    <w:p w:rsidR="00EA0EE5" w:rsidRDefault="002B3AA7" w:rsidP="002B3AA7">
      <w:r w:rsidRPr="002B3AA7">
        <w:t>JGN described non-routine connections as those costing more than $200,000 or that involve, for example, steel work, connection of a large/contract customer, installation of secondary regulator sets/</w:t>
      </w:r>
      <w:proofErr w:type="spellStart"/>
      <w:r w:rsidRPr="002B3AA7">
        <w:t>Cocons</w:t>
      </w:r>
      <w:proofErr w:type="spellEnd"/>
      <w:r w:rsidRPr="002B3AA7">
        <w:t>, directional drilling or boring.</w:t>
      </w:r>
      <w:r w:rsidR="00A507C0">
        <w:rPr>
          <w:rStyle w:val="FootnoteReference"/>
        </w:rPr>
        <w:footnoteReference w:id="47"/>
      </w:r>
      <w:r w:rsidR="00FD3067">
        <w:t xml:space="preserve"> </w:t>
      </w:r>
      <w:r w:rsidRPr="002B3AA7">
        <w:t>We consider that the</w:t>
      </w:r>
      <w:r w:rsidR="003E28B9">
        <w:t xml:space="preserve"> costs of a routine connection </w:t>
      </w:r>
      <w:r w:rsidRPr="002B3AA7">
        <w:t xml:space="preserve">should be recovered via the revenue proposed in the Access Arrangement. We consider that non-routine connection costs should be recovered via contribution from the requesting customer, </w:t>
      </w:r>
      <w:r w:rsidR="00FD3067">
        <w:t>to the extent that the costs are incremental to a routine, basic or standard connection.</w:t>
      </w:r>
      <w:r w:rsidR="00FD3067">
        <w:rPr>
          <w:rStyle w:val="FootnoteReference"/>
        </w:rPr>
        <w:footnoteReference w:id="48"/>
      </w:r>
      <w:r w:rsidRPr="002B3AA7">
        <w:t xml:space="preserve"> We do not consider that non-routine connection costs should be re</w:t>
      </w:r>
      <w:r w:rsidR="00D73370">
        <w:t xml:space="preserve">covered from the customer base which would imply that the </w:t>
      </w:r>
      <w:r w:rsidRPr="002B3AA7">
        <w:t>customer base is cross-subsidising those customers that request non-</w:t>
      </w:r>
      <w:r w:rsidR="003E28B9">
        <w:t>routine</w:t>
      </w:r>
      <w:r w:rsidRPr="002B3AA7">
        <w:t xml:space="preserve"> connections.</w:t>
      </w:r>
    </w:p>
    <w:p w:rsidR="000817CA" w:rsidRDefault="000817CA" w:rsidP="002B3AA7">
      <w:r>
        <w:t xml:space="preserve">We have also not included additional expenditure for </w:t>
      </w:r>
      <w:proofErr w:type="spellStart"/>
      <w:r w:rsidRPr="00F126B9">
        <w:t>Metreteks</w:t>
      </w:r>
      <w:proofErr w:type="spellEnd"/>
      <w:r w:rsidRPr="00F126B9">
        <w:t xml:space="preserve"> for I&amp;C connections and meter data loggers for medium density connections</w:t>
      </w:r>
      <w:r>
        <w:t xml:space="preserve">. We have also not included expenditure for related party margins. Given that expenditure for </w:t>
      </w:r>
      <w:proofErr w:type="spellStart"/>
      <w:r>
        <w:t>Metreteks</w:t>
      </w:r>
      <w:proofErr w:type="spellEnd"/>
      <w:r>
        <w:t xml:space="preserve">, MDLs and </w:t>
      </w:r>
      <w:r>
        <w:lastRenderedPageBreak/>
        <w:t>related party margins are included in historical unit rates we have made no additional allowance for these in our alternative capex forecast.</w:t>
      </w:r>
    </w:p>
    <w:p w:rsidR="00463EA7" w:rsidRPr="00BA3645" w:rsidRDefault="00463EA7" w:rsidP="00331F43">
      <w:pPr>
        <w:pStyle w:val="Heading5"/>
        <w:rPr>
          <w:rStyle w:val="AERtextblue"/>
          <w:color w:val="170017" w:themeColor="accent1" w:themeShade="7F"/>
        </w:rPr>
      </w:pPr>
      <w:r w:rsidRPr="00BA3645">
        <w:rPr>
          <w:rStyle w:val="AERtextblue"/>
          <w:color w:val="170017" w:themeColor="accent1" w:themeShade="7F"/>
        </w:rPr>
        <w:t>I&amp;C contract connection expenditure (Tariff D or demand connections)</w:t>
      </w:r>
    </w:p>
    <w:p w:rsidR="00050BD2" w:rsidRDefault="00463EA7" w:rsidP="00050BD2">
      <w:pPr>
        <w:numPr>
          <w:ilvl w:val="0"/>
          <w:numId w:val="25"/>
        </w:numPr>
      </w:pPr>
      <w:r>
        <w:t>I&amp;C contract connections are major industrial customer</w:t>
      </w:r>
      <w:r w:rsidRPr="00F55FD6">
        <w:t xml:space="preserve"> </w:t>
      </w:r>
      <w:r>
        <w:t xml:space="preserve">connections. These customers </w:t>
      </w:r>
      <w:r w:rsidRPr="00F55FD6">
        <w:t>us</w:t>
      </w:r>
      <w:r>
        <w:t>e</w:t>
      </w:r>
      <w:r w:rsidRPr="00F55FD6">
        <w:t xml:space="preserve"> more than 10 TJ p</w:t>
      </w:r>
      <w:r>
        <w:t>er year</w:t>
      </w:r>
      <w:r w:rsidRPr="00F55FD6">
        <w:t>.</w:t>
      </w:r>
      <w:r>
        <w:rPr>
          <w:rStyle w:val="FootnoteReference"/>
        </w:rPr>
        <w:footnoteReference w:id="49"/>
      </w:r>
      <w:r w:rsidR="00050BD2" w:rsidRPr="00050BD2">
        <w:t xml:space="preserve"> </w:t>
      </w:r>
    </w:p>
    <w:p w:rsidR="00BD2A54" w:rsidRDefault="007023A2" w:rsidP="008E5CE3">
      <w:pPr>
        <w:pStyle w:val="ListParagraph"/>
        <w:numPr>
          <w:ilvl w:val="0"/>
          <w:numId w:val="25"/>
        </w:numPr>
      </w:pPr>
      <w:r>
        <w:t xml:space="preserve">We </w:t>
      </w:r>
      <w:r w:rsidR="00BD2A54">
        <w:t xml:space="preserve">do </w:t>
      </w:r>
      <w:r>
        <w:t xml:space="preserve">not accept JGN's revised </w:t>
      </w:r>
      <w:proofErr w:type="gramStart"/>
      <w:r w:rsidR="00BD2A54">
        <w:t>I&amp;C</w:t>
      </w:r>
      <w:proofErr w:type="gramEnd"/>
      <w:r w:rsidR="00BD2A54">
        <w:t xml:space="preserve"> contract connections </w:t>
      </w:r>
      <w:r>
        <w:t>expenditure. This is because we do not consider</w:t>
      </w:r>
      <w:r w:rsidR="00BD2A54">
        <w:t xml:space="preserve"> it has been arrived at on a </w:t>
      </w:r>
      <w:r w:rsidR="00D73370">
        <w:t xml:space="preserve">sufficiently </w:t>
      </w:r>
      <w:r w:rsidR="00BD2A54">
        <w:t xml:space="preserve">reasonable basis and is the </w:t>
      </w:r>
      <w:r>
        <w:t xml:space="preserve">best estimate in the circumstances. </w:t>
      </w:r>
    </w:p>
    <w:p w:rsidR="00BD2A54" w:rsidRDefault="00BD2A54" w:rsidP="00BD2A54">
      <w:pPr>
        <w:pStyle w:val="ListParagraph"/>
        <w:numPr>
          <w:ilvl w:val="0"/>
          <w:numId w:val="25"/>
        </w:numPr>
      </w:pPr>
      <w:r>
        <w:t>Consistent with our draft decision,</w:t>
      </w:r>
      <w:r w:rsidR="006A21C4">
        <w:rPr>
          <w:rStyle w:val="FootnoteReference"/>
        </w:rPr>
        <w:footnoteReference w:id="50"/>
      </w:r>
      <w:r>
        <w:t xml:space="preserve"> our alternate forecast of </w:t>
      </w:r>
      <w:r w:rsidRPr="008E5CE3" w:rsidDel="00C72F8F">
        <w:t xml:space="preserve">I&amp;C </w:t>
      </w:r>
      <w:r>
        <w:t xml:space="preserve">connection expenditure is based on an average of historical I&amp;C expenditure. In this final decision, we have updated our forecast by using </w:t>
      </w:r>
      <w:r w:rsidRPr="00C72F8F">
        <w:t>2013-14 actual data</w:t>
      </w:r>
      <w:r w:rsidR="00D73370">
        <w:t xml:space="preserve"> which provides for </w:t>
      </w:r>
      <w:r w:rsidRPr="00C72F8F">
        <w:t>a five year average.</w:t>
      </w:r>
      <w:r>
        <w:rPr>
          <w:rStyle w:val="FootnoteReference"/>
        </w:rPr>
        <w:footnoteReference w:id="51"/>
      </w:r>
      <w:r w:rsidRPr="00C72F8F">
        <w:t xml:space="preserve"> </w:t>
      </w:r>
      <w:r>
        <w:t>By a</w:t>
      </w:r>
      <w:r w:rsidRPr="00C72F8F">
        <w:t xml:space="preserve">pplying this forecasting method we have included $9.3 million ($2015, </w:t>
      </w:r>
      <w:proofErr w:type="spellStart"/>
      <w:r w:rsidRPr="00C72F8F">
        <w:t>unescalated</w:t>
      </w:r>
      <w:proofErr w:type="spellEnd"/>
      <w:r w:rsidRPr="00C72F8F">
        <w:t xml:space="preserve"> direct costs, excluding overheads) for </w:t>
      </w:r>
      <w:proofErr w:type="gramStart"/>
      <w:r w:rsidRPr="00C72F8F">
        <w:t>I&amp;</w:t>
      </w:r>
      <w:proofErr w:type="gramEnd"/>
      <w:r w:rsidRPr="00C72F8F">
        <w:t>C demand connections in our alternative capex forecast.</w:t>
      </w:r>
      <w:r w:rsidR="0064535D">
        <w:t xml:space="preserve"> This reflects an increase in the amount approved in our draft decision (</w:t>
      </w:r>
      <w:r w:rsidR="0064535D" w:rsidRPr="008E5CE3" w:rsidDel="00C72F8F">
        <w:t xml:space="preserve">$7.9 million ($2015, </w:t>
      </w:r>
      <w:proofErr w:type="spellStart"/>
      <w:r w:rsidR="0064535D" w:rsidRPr="008E5CE3" w:rsidDel="00C72F8F">
        <w:t>unescalated</w:t>
      </w:r>
      <w:proofErr w:type="spellEnd"/>
      <w:r w:rsidR="0064535D" w:rsidRPr="008E5CE3" w:rsidDel="00C72F8F">
        <w:t xml:space="preserve"> direct costs, excluding overheads)</w:t>
      </w:r>
      <w:r w:rsidR="0064535D">
        <w:t>).</w:t>
      </w:r>
      <w:r w:rsidRPr="00050BD2">
        <w:rPr>
          <w:rStyle w:val="FootnoteReference"/>
        </w:rPr>
        <w:footnoteReference w:id="52"/>
      </w:r>
    </w:p>
    <w:p w:rsidR="00BD2A54" w:rsidRDefault="00BD2A54" w:rsidP="008E5CE3">
      <w:pPr>
        <w:pStyle w:val="ListParagraph"/>
        <w:numPr>
          <w:ilvl w:val="0"/>
          <w:numId w:val="25"/>
        </w:numPr>
      </w:pPr>
      <w:r w:rsidRPr="00C72F8F">
        <w:t>In its revised proposal JGN proposed a forecasting method comprised of a four year average of the separate mains, services and meter components.</w:t>
      </w:r>
      <w:r w:rsidR="00533EA1">
        <w:rPr>
          <w:rStyle w:val="FootnoteReference"/>
        </w:rPr>
        <w:footnoteReference w:id="53"/>
      </w:r>
      <w:r w:rsidRPr="00C72F8F">
        <w:t xml:space="preserve"> We do not consider that separately forecasting I&amp;C demand connections expenditure produces the best estimate in the circumstances. This is because there is considerable variation in I&amp;C demand type of connections so to separately forecast components is likely to result in over or under estimation errors. </w:t>
      </w:r>
      <w:r>
        <w:t>This is consistent with the view expressed by JGN. It submitted that 'JGN does not forecast volumes and unit rates for new I&amp;C Contract connections because they are infrequent and generally have unique characteristics'.</w:t>
      </w:r>
      <w:r>
        <w:rPr>
          <w:rStyle w:val="FootnoteReference"/>
        </w:rPr>
        <w:footnoteReference w:id="54"/>
      </w:r>
      <w:r>
        <w:t xml:space="preserve"> </w:t>
      </w:r>
    </w:p>
    <w:p w:rsidR="008E5CE3" w:rsidRPr="00050BD2" w:rsidRDefault="0064535D" w:rsidP="0064535D">
      <w:r>
        <w:t xml:space="preserve">In our draft decision, we were </w:t>
      </w:r>
      <w:r w:rsidRPr="00050BD2">
        <w:t>not satisfied that JGN has</w:t>
      </w:r>
      <w:r w:rsidR="00D73370">
        <w:t xml:space="preserve"> sufficiently</w:t>
      </w:r>
      <w:r w:rsidRPr="00050BD2">
        <w:t xml:space="preserve"> justified its forecast of </w:t>
      </w:r>
      <w:proofErr w:type="gramStart"/>
      <w:r w:rsidRPr="00050BD2">
        <w:t>I&amp;C</w:t>
      </w:r>
      <w:proofErr w:type="gramEnd"/>
      <w:r w:rsidRPr="00050BD2">
        <w:t xml:space="preserve"> contract connection expenditure.</w:t>
      </w:r>
      <w:r w:rsidR="0090029D">
        <w:rPr>
          <w:rStyle w:val="FootnoteReference"/>
        </w:rPr>
        <w:footnoteReference w:id="55"/>
      </w:r>
      <w:r>
        <w:t xml:space="preserve"> In </w:t>
      </w:r>
      <w:r w:rsidR="008E5CE3">
        <w:t xml:space="preserve">its initial proposal </w:t>
      </w:r>
      <w:r w:rsidR="008E5CE3" w:rsidRPr="00050BD2">
        <w:t xml:space="preserve">JGN forecast I&amp;C contract connections on a total expenditure basis. It proposed $10.0 million ($2015, </w:t>
      </w:r>
      <w:proofErr w:type="spellStart"/>
      <w:r w:rsidR="008E5CE3" w:rsidRPr="00050BD2">
        <w:t>unescalated</w:t>
      </w:r>
      <w:proofErr w:type="spellEnd"/>
      <w:r w:rsidR="008E5CE3" w:rsidRPr="00050BD2">
        <w:t xml:space="preserve"> direct costs, excluding overheads) over the 2015–20 access arrangement </w:t>
      </w:r>
      <w:r w:rsidR="008E5CE3" w:rsidRPr="00050BD2">
        <w:lastRenderedPageBreak/>
        <w:t>period.</w:t>
      </w:r>
      <w:r w:rsidR="008E5CE3" w:rsidRPr="00050BD2">
        <w:rPr>
          <w:rStyle w:val="FootnoteReference"/>
        </w:rPr>
        <w:footnoteReference w:id="56"/>
      </w:r>
      <w:r w:rsidR="008E5CE3" w:rsidRPr="00050BD2">
        <w:t xml:space="preserve"> JGN did not provide the basis for the estimate in its proposal. In response to our request for further information, JGN stated </w:t>
      </w:r>
      <w:r>
        <w:t>it</w:t>
      </w:r>
      <w:r w:rsidR="008E5CE3">
        <w:t xml:space="preserve"> </w:t>
      </w:r>
      <w:r w:rsidR="008E5CE3" w:rsidRPr="00050BD2">
        <w:t>was JGN's business forecast for the year to March 2014 excluding an unusual one-off connection.</w:t>
      </w:r>
      <w:r w:rsidR="008E5CE3" w:rsidRPr="00050BD2">
        <w:rPr>
          <w:rStyle w:val="FootnoteReference"/>
        </w:rPr>
        <w:footnoteReference w:id="57"/>
      </w:r>
      <w:r w:rsidR="008E5CE3" w:rsidRPr="00050BD2">
        <w:t xml:space="preserve"> </w:t>
      </w:r>
      <w:r w:rsidR="00D73370">
        <w:t xml:space="preserve">We did not receive </w:t>
      </w:r>
      <w:r w:rsidR="008E5CE3" w:rsidRPr="00050BD2">
        <w:t xml:space="preserve">information on the method used to forecast the 2014 forecast. </w:t>
      </w:r>
      <w:r w:rsidR="008E5CE3">
        <w:t xml:space="preserve">We </w:t>
      </w:r>
      <w:r w:rsidR="00D73370">
        <w:t>did however observe</w:t>
      </w:r>
      <w:r w:rsidR="008E5CE3">
        <w:t xml:space="preserve"> that</w:t>
      </w:r>
      <w:r w:rsidR="008E5CE3" w:rsidRPr="00050BD2">
        <w:t xml:space="preserve"> the data in the RIN template indicates </w:t>
      </w:r>
      <w:proofErr w:type="gramStart"/>
      <w:r w:rsidR="008E5CE3" w:rsidRPr="00050BD2">
        <w:t xml:space="preserve">a 2013-14 estimate of $0.5 million ($2015, </w:t>
      </w:r>
      <w:proofErr w:type="spellStart"/>
      <w:r w:rsidR="008E5CE3" w:rsidRPr="00050BD2">
        <w:t>unescalated</w:t>
      </w:r>
      <w:proofErr w:type="spellEnd"/>
      <w:r w:rsidR="008E5CE3" w:rsidRPr="00050BD2">
        <w:t xml:space="preserve"> direct costs, excluding overheads)</w:t>
      </w:r>
      <w:proofErr w:type="gramEnd"/>
      <w:r w:rsidR="008E5CE3">
        <w:t xml:space="preserve">. This was in contrast to costs </w:t>
      </w:r>
      <w:r w:rsidR="008E5CE3" w:rsidRPr="00050BD2">
        <w:t>in the forecast years</w:t>
      </w:r>
      <w:r w:rsidR="008E5CE3">
        <w:t xml:space="preserve"> which escalated from</w:t>
      </w:r>
      <w:r w:rsidR="008E5CE3" w:rsidRPr="00050BD2">
        <w:t xml:space="preserve"> $0.8 million to $1.1 million ($2015, </w:t>
      </w:r>
      <w:proofErr w:type="spellStart"/>
      <w:r w:rsidR="008E5CE3" w:rsidRPr="00050BD2">
        <w:t>unescalated</w:t>
      </w:r>
      <w:proofErr w:type="spellEnd"/>
      <w:r w:rsidR="008E5CE3" w:rsidRPr="00050BD2">
        <w:t xml:space="preserve"> direct costs, excluding overheads) between 2016 and 2020. </w:t>
      </w:r>
    </w:p>
    <w:p w:rsidR="00D47522" w:rsidRPr="005C2CC8" w:rsidRDefault="00D47522" w:rsidP="00C102FE">
      <w:pPr>
        <w:pStyle w:val="HeadingOrange"/>
        <w:keepNext/>
        <w:rPr>
          <w:rStyle w:val="AERtextblue"/>
        </w:rPr>
      </w:pPr>
      <w:r>
        <w:rPr>
          <w:rStyle w:val="AERtextblue"/>
        </w:rPr>
        <w:t>C</w:t>
      </w:r>
      <w:r w:rsidRPr="005C2CC8">
        <w:rPr>
          <w:rStyle w:val="AERtextblue"/>
        </w:rPr>
        <w:t xml:space="preserve">ustomer </w:t>
      </w:r>
      <w:r>
        <w:rPr>
          <w:rStyle w:val="AERtextblue"/>
        </w:rPr>
        <w:t>c</w:t>
      </w:r>
      <w:r w:rsidRPr="005C2CC8">
        <w:rPr>
          <w:rStyle w:val="AERtextblue"/>
        </w:rPr>
        <w:t>ontributions</w:t>
      </w:r>
      <w:r>
        <w:rPr>
          <w:rStyle w:val="AERtextblue"/>
        </w:rPr>
        <w:t xml:space="preserve"> for connections</w:t>
      </w:r>
    </w:p>
    <w:p w:rsidR="00D47522" w:rsidRDefault="00D47522" w:rsidP="00C102FE">
      <w:pPr>
        <w:keepNext/>
        <w:numPr>
          <w:ilvl w:val="0"/>
          <w:numId w:val="25"/>
        </w:numPr>
      </w:pPr>
      <w:r>
        <w:t>Where a connection is not a standard connection, as specified in the N</w:t>
      </w:r>
      <w:r w:rsidR="00484FB3">
        <w:t>GR</w:t>
      </w:r>
      <w:r>
        <w:t xml:space="preserve"> and/or JGN's access arrangement, JGN can seek a contribution from the customer.</w:t>
      </w:r>
      <w:r>
        <w:rPr>
          <w:rStyle w:val="FootnoteReference"/>
        </w:rPr>
        <w:footnoteReference w:id="58"/>
      </w:r>
    </w:p>
    <w:p w:rsidR="00E774FB" w:rsidRDefault="00E774FB" w:rsidP="00E774FB">
      <w:pPr>
        <w:numPr>
          <w:ilvl w:val="0"/>
          <w:numId w:val="25"/>
        </w:numPr>
      </w:pPr>
      <w:r>
        <w:t xml:space="preserve">We do not accept JGN's proposed contributions expenditure </w:t>
      </w:r>
      <w:r w:rsidR="00632326">
        <w:t xml:space="preserve">$19.5 million ($2015) </w:t>
      </w:r>
      <w:r>
        <w:t xml:space="preserve">for connections. This is because we do not consider it to be the best estimate in the circumstances. </w:t>
      </w:r>
      <w:r w:rsidR="00D73370">
        <w:t>Rather, w</w:t>
      </w:r>
      <w:r>
        <w:t>e have included $18.5 million ($2015) in connections contributions.</w:t>
      </w:r>
    </w:p>
    <w:p w:rsidR="00D47522" w:rsidRDefault="00D47522" w:rsidP="00D47522">
      <w:pPr>
        <w:numPr>
          <w:ilvl w:val="0"/>
          <w:numId w:val="25"/>
        </w:numPr>
      </w:pPr>
      <w:r>
        <w:t>JGN submit</w:t>
      </w:r>
      <w:r w:rsidR="00E831FF">
        <w:t>ted in it</w:t>
      </w:r>
      <w:r>
        <w:t>s</w:t>
      </w:r>
      <w:r w:rsidR="00E831FF">
        <w:t xml:space="preserve"> initial proposal</w:t>
      </w:r>
      <w:r>
        <w:t xml:space="preserve"> that it forecast its capital contributions by applying the </w:t>
      </w:r>
      <w:r w:rsidR="00BE6349">
        <w:t>eight</w:t>
      </w:r>
      <w:r>
        <w:t>-year average of the historically observed ratio of contributions to connections capex to forecast connections capex.</w:t>
      </w:r>
      <w:r>
        <w:rPr>
          <w:rStyle w:val="FootnoteReference"/>
        </w:rPr>
        <w:footnoteReference w:id="59"/>
      </w:r>
    </w:p>
    <w:p w:rsidR="00D47522" w:rsidRDefault="00E831FF" w:rsidP="00D47522">
      <w:pPr>
        <w:numPr>
          <w:ilvl w:val="0"/>
          <w:numId w:val="25"/>
        </w:numPr>
      </w:pPr>
      <w:r>
        <w:t>In our draft decision w</w:t>
      </w:r>
      <w:r w:rsidR="00D47522">
        <w:t>e agree</w:t>
      </w:r>
      <w:r>
        <w:t>d</w:t>
      </w:r>
      <w:r w:rsidR="00D47522">
        <w:t xml:space="preserve"> with this approach to calculating customer contributions, as revealed past data is likely to be the best indicator of future contribution rates. However, JGN did not apply an </w:t>
      </w:r>
      <w:r w:rsidR="00BE6349">
        <w:t>eight</w:t>
      </w:r>
      <w:r w:rsidR="00D47522">
        <w:t xml:space="preserve">-year average consistently across all connection types. </w:t>
      </w:r>
      <w:r w:rsidR="00E61B4C">
        <w:t xml:space="preserve">In </w:t>
      </w:r>
      <w:r w:rsidR="00D47522">
        <w:t xml:space="preserve">applying an </w:t>
      </w:r>
      <w:r w:rsidR="00BE6349">
        <w:t>eight</w:t>
      </w:r>
      <w:r w:rsidR="00D47522">
        <w:t>-year average across all connection types we</w:t>
      </w:r>
      <w:r w:rsidR="00D47522" w:rsidRPr="00751365">
        <w:t xml:space="preserve"> </w:t>
      </w:r>
      <w:r w:rsidR="00D47522">
        <w:t xml:space="preserve">calculated customer contributions of </w:t>
      </w:r>
      <w:r w:rsidR="00D47522" w:rsidRPr="00E07777">
        <w:t>$</w:t>
      </w:r>
      <w:r w:rsidR="00D47522">
        <w:t>18</w:t>
      </w:r>
      <w:r w:rsidR="00D47522" w:rsidRPr="00E07777">
        <w:t>.</w:t>
      </w:r>
      <w:r w:rsidR="00D73370">
        <w:t>5</w:t>
      </w:r>
      <w:r w:rsidR="00D47522">
        <w:t xml:space="preserve"> million.</w:t>
      </w:r>
      <w:r w:rsidR="0090029D">
        <w:rPr>
          <w:rStyle w:val="FootnoteReference"/>
        </w:rPr>
        <w:footnoteReference w:id="60"/>
      </w:r>
    </w:p>
    <w:p w:rsidR="00E831FF" w:rsidRDefault="00E831FF" w:rsidP="00E831FF">
      <w:pPr>
        <w:numPr>
          <w:ilvl w:val="0"/>
          <w:numId w:val="25"/>
        </w:numPr>
      </w:pPr>
      <w:r>
        <w:t xml:space="preserve">In its revised proposal JGN submitted that it </w:t>
      </w:r>
      <w:r w:rsidRPr="00E831FF">
        <w:t>accept</w:t>
      </w:r>
      <w:r>
        <w:t xml:space="preserve">ed that </w:t>
      </w:r>
      <w:r w:rsidRPr="00E831FF">
        <w:t xml:space="preserve">the </w:t>
      </w:r>
      <w:r w:rsidR="00BE6349">
        <w:t>eight</w:t>
      </w:r>
      <w:r>
        <w:t>-</w:t>
      </w:r>
      <w:r w:rsidRPr="00E831FF">
        <w:t>year average contribution rate should be applied to all categories of market expansion capex</w:t>
      </w:r>
      <w:r>
        <w:t>.</w:t>
      </w:r>
      <w:r>
        <w:rPr>
          <w:rStyle w:val="FootnoteReference"/>
        </w:rPr>
        <w:footnoteReference w:id="61"/>
      </w:r>
      <w:r>
        <w:t xml:space="preserve"> However, it proposed averaging over the period 2005-06 to 2012-13. </w:t>
      </w:r>
    </w:p>
    <w:p w:rsidR="00E831FF" w:rsidRDefault="00E831FF" w:rsidP="00E831FF">
      <w:pPr>
        <w:numPr>
          <w:ilvl w:val="0"/>
          <w:numId w:val="25"/>
        </w:numPr>
      </w:pPr>
      <w:r>
        <w:t>In our final decision we have applied an 8-year average but used the averaging period 2006-07 to 2013-14</w:t>
      </w:r>
      <w:r w:rsidR="00E774FB">
        <w:t>, thereby using the most contemporary data.</w:t>
      </w:r>
      <w:r w:rsidR="00632326">
        <w:t xml:space="preserve"> The amount is less than that proposed by JGN as the contributions scale with the number of connections.</w:t>
      </w:r>
    </w:p>
    <w:p w:rsidR="00123034" w:rsidRDefault="00123034" w:rsidP="00524245">
      <w:pPr>
        <w:pStyle w:val="Heading4"/>
      </w:pPr>
      <w:r w:rsidRPr="00275734">
        <w:t>Augmentation/Growth capacity</w:t>
      </w:r>
    </w:p>
    <w:p w:rsidR="00123034" w:rsidRDefault="00123034" w:rsidP="00123034">
      <w:pPr>
        <w:numPr>
          <w:ilvl w:val="0"/>
          <w:numId w:val="25"/>
        </w:numPr>
      </w:pPr>
      <w:r>
        <w:lastRenderedPageBreak/>
        <w:t>Network augmentation capex</w:t>
      </w:r>
      <w:r w:rsidRPr="00F75FD3">
        <w:t xml:space="preserve"> is directed at increasing the capacity of the existing network to meet </w:t>
      </w:r>
      <w:r>
        <w:t xml:space="preserve">the </w:t>
      </w:r>
      <w:r w:rsidRPr="00F75FD3">
        <w:t>demand of existing and future customers. Augmentation capex is required to maintain gas pressure and minimise the risk of gas outages.</w:t>
      </w:r>
    </w:p>
    <w:p w:rsidR="00A6688B" w:rsidRDefault="00D47522" w:rsidP="00FA4F32">
      <w:pPr>
        <w:numPr>
          <w:ilvl w:val="0"/>
          <w:numId w:val="25"/>
        </w:numPr>
      </w:pPr>
      <w:r>
        <w:t xml:space="preserve">We do not accept JGN's revised augmentation expenditure. We </w:t>
      </w:r>
      <w:r w:rsidR="00A82883">
        <w:t xml:space="preserve">consider </w:t>
      </w:r>
      <w:r>
        <w:t xml:space="preserve">that the proposed augmentation is not justified. </w:t>
      </w:r>
      <w:r w:rsidR="00123034">
        <w:t>We have included $</w:t>
      </w:r>
      <w:r w:rsidR="00A615AB">
        <w:t>83.5</w:t>
      </w:r>
      <w:r w:rsidR="00123034">
        <w:t xml:space="preserve"> million ($2015, </w:t>
      </w:r>
      <w:proofErr w:type="spellStart"/>
      <w:r w:rsidR="00123034">
        <w:t>unescalated</w:t>
      </w:r>
      <w:proofErr w:type="spellEnd"/>
      <w:r w:rsidR="00123034">
        <w:t xml:space="preserve"> direct costs, excluding overheads) of </w:t>
      </w:r>
      <w:r w:rsidR="00123034" w:rsidRPr="00F75FD3">
        <w:t xml:space="preserve">augmentation </w:t>
      </w:r>
      <w:r w:rsidR="00123034">
        <w:t>capex in our capex forecast</w:t>
      </w:r>
      <w:r w:rsidR="00A6688B">
        <w:t xml:space="preserve">, which reflects an increase from our draft decision of $80.6 million ($2015, </w:t>
      </w:r>
      <w:proofErr w:type="spellStart"/>
      <w:r w:rsidR="00A6688B">
        <w:t>unescalated</w:t>
      </w:r>
      <w:proofErr w:type="spellEnd"/>
      <w:r w:rsidR="00A6688B">
        <w:t xml:space="preserve"> direct costs, excluding overheads).</w:t>
      </w:r>
      <w:r w:rsidR="00484FB3">
        <w:rPr>
          <w:rStyle w:val="FootnoteReference"/>
        </w:rPr>
        <w:footnoteReference w:id="62"/>
      </w:r>
    </w:p>
    <w:p w:rsidR="00A6688B" w:rsidRDefault="004E640F" w:rsidP="00FA4F32">
      <w:pPr>
        <w:numPr>
          <w:ilvl w:val="0"/>
          <w:numId w:val="25"/>
        </w:numPr>
      </w:pPr>
      <w:r>
        <w:t xml:space="preserve">In its revised proposal, JGN included $87.0 million ($2015, </w:t>
      </w:r>
      <w:proofErr w:type="spellStart"/>
      <w:r>
        <w:t>unescalated</w:t>
      </w:r>
      <w:proofErr w:type="spellEnd"/>
      <w:r>
        <w:t xml:space="preserve"> direct costs, excluding overheads) of augmentation expenditure</w:t>
      </w:r>
      <w:r w:rsidR="00A6688B">
        <w:t xml:space="preserve">, which reflects a decrease from their initial proposal of$88.7 million ($2015, </w:t>
      </w:r>
      <w:proofErr w:type="spellStart"/>
      <w:r w:rsidR="00A6688B">
        <w:t>unescalated</w:t>
      </w:r>
      <w:proofErr w:type="spellEnd"/>
      <w:r w:rsidR="00A6688B">
        <w:t xml:space="preserve"> direct costs, excluding overheads).</w:t>
      </w:r>
      <w:r w:rsidRPr="004E640F">
        <w:rPr>
          <w:rStyle w:val="FootnoteReference"/>
        </w:rPr>
        <w:t xml:space="preserve"> </w:t>
      </w:r>
      <w:r w:rsidR="00A6688B">
        <w:t xml:space="preserve">JGN's revised proposal consists of the $79.5 million ($2015, </w:t>
      </w:r>
      <w:proofErr w:type="spellStart"/>
      <w:r w:rsidR="00A6688B">
        <w:t>unescalated</w:t>
      </w:r>
      <w:proofErr w:type="spellEnd"/>
      <w:r w:rsidR="00A6688B">
        <w:t xml:space="preserve"> direct costs, excluding overheads) of expenditure for the 82 projects which we accepted as prudent and efficient in the draft decision. It did not include two projects</w:t>
      </w:r>
      <w:r w:rsidR="00193356">
        <w:t xml:space="preserve"> in its revised proposal</w:t>
      </w:r>
      <w:r w:rsidR="00A6688B">
        <w:t xml:space="preserve"> (Park St, Sydney and </w:t>
      </w:r>
      <w:r w:rsidR="00A6688B" w:rsidRPr="00042531">
        <w:t>Alexandria-Waterloo interconnection</w:t>
      </w:r>
      <w:r w:rsidR="00A6688B">
        <w:t xml:space="preserve">) but </w:t>
      </w:r>
      <w:r w:rsidR="00193356">
        <w:t>maintained that</w:t>
      </w:r>
      <w:r w:rsidR="00A6688B">
        <w:t xml:space="preserve"> the other nine projects which we rejected as non-conforming in the draft decision</w:t>
      </w:r>
      <w:r w:rsidR="00193356">
        <w:t xml:space="preserve"> were still required</w:t>
      </w:r>
      <w:r w:rsidR="00A6688B">
        <w:t xml:space="preserve">. </w:t>
      </w:r>
    </w:p>
    <w:p w:rsidR="00123034" w:rsidRDefault="00D47522" w:rsidP="00A6688B">
      <w:r>
        <w:t>We considered t</w:t>
      </w:r>
      <w:r w:rsidR="00123034" w:rsidRPr="00B65FC5">
        <w:t xml:space="preserve">he advice provided by </w:t>
      </w:r>
      <w:r w:rsidR="00123034">
        <w:t>our</w:t>
      </w:r>
      <w:r w:rsidR="00123034" w:rsidRPr="00B65FC5">
        <w:t xml:space="preserve"> engineering consultant, </w:t>
      </w:r>
      <w:proofErr w:type="spellStart"/>
      <w:r w:rsidR="00123034" w:rsidRPr="00B65FC5">
        <w:t>Sleeman</w:t>
      </w:r>
      <w:proofErr w:type="spellEnd"/>
      <w:r w:rsidR="00123034" w:rsidRPr="00B65FC5">
        <w:t xml:space="preserve"> Consulting, </w:t>
      </w:r>
      <w:r w:rsidR="005F077B">
        <w:t xml:space="preserve">in relation to JGN's revised augmentation expenditure. We agree with </w:t>
      </w:r>
      <w:proofErr w:type="spellStart"/>
      <w:r w:rsidR="005F077B">
        <w:t>Sleeman</w:t>
      </w:r>
      <w:proofErr w:type="spellEnd"/>
      <w:r w:rsidR="005F077B">
        <w:t xml:space="preserve"> Consulting </w:t>
      </w:r>
      <w:r w:rsidR="00123034">
        <w:t>that th</w:t>
      </w:r>
      <w:r w:rsidR="005F077B">
        <w:t xml:space="preserve">e $83.5 million of capex we have included </w:t>
      </w:r>
      <w:r w:rsidR="00123034" w:rsidRPr="00F75FD3">
        <w:t>compl</w:t>
      </w:r>
      <w:r w:rsidR="00123034">
        <w:t xml:space="preserve">ies with </w:t>
      </w:r>
      <w:r w:rsidR="00123034" w:rsidRPr="00F75FD3">
        <w:t>r.</w:t>
      </w:r>
      <w:r w:rsidR="00123034">
        <w:t xml:space="preserve"> </w:t>
      </w:r>
      <w:r w:rsidR="00123034" w:rsidRPr="00F75FD3">
        <w:t>79</w:t>
      </w:r>
      <w:r w:rsidR="00123034">
        <w:t>(1) of the NGR</w:t>
      </w:r>
      <w:r w:rsidR="00123034" w:rsidRPr="00F75FD3">
        <w:t xml:space="preserve"> for the following reasons:</w:t>
      </w:r>
    </w:p>
    <w:p w:rsidR="00765F59" w:rsidRPr="00765F59" w:rsidRDefault="00765F59" w:rsidP="005F077B">
      <w:pPr>
        <w:pStyle w:val="AERbulletlistfirststyle"/>
      </w:pPr>
      <w:r w:rsidRPr="00765F59">
        <w:t>JGN's proposed augmentation solutions are justified in light of forecast connections growth to address a decline in gas pressure along the constrained network areas.  We consider that the included project expenditure is justifiable under r. 79(2)(c)(</w:t>
      </w:r>
      <w:proofErr w:type="spellStart"/>
      <w:r w:rsidRPr="00765F59">
        <w:t>i</w:t>
      </w:r>
      <w:proofErr w:type="spellEnd"/>
      <w:r w:rsidRPr="00765F59">
        <w:t>)-(iii) of the NGR as it is necessary to maintain the safety of services, maintain the integrity of gas services and/or comply with a regulatory obligation or requirement.</w:t>
      </w:r>
    </w:p>
    <w:p w:rsidR="00765F59" w:rsidRPr="00765F59" w:rsidRDefault="00765F59" w:rsidP="00B433E3">
      <w:pPr>
        <w:pStyle w:val="AERbulletlistfirststyle"/>
      </w:pPr>
      <w:proofErr w:type="gramStart"/>
      <w:r w:rsidRPr="00765F59">
        <w:t>the</w:t>
      </w:r>
      <w:proofErr w:type="gramEnd"/>
      <w:r w:rsidRPr="00765F59">
        <w:t xml:space="preserve"> input costs of JGN's proposed augmentation projects are within a reasonable range and reflect that of a prudent and efficient service provider. </w:t>
      </w:r>
    </w:p>
    <w:p w:rsidR="00042531" w:rsidRDefault="00FA0B83" w:rsidP="00042531">
      <w:pPr>
        <w:numPr>
          <w:ilvl w:val="0"/>
          <w:numId w:val="25"/>
        </w:numPr>
      </w:pPr>
      <w:r>
        <w:t>Of the nine re</w:t>
      </w:r>
      <w:r w:rsidR="00E61B4C">
        <w:t>-</w:t>
      </w:r>
      <w:r>
        <w:t>proposed projects, we have included JGN's proposed expenditure for three of the projects</w:t>
      </w:r>
      <w:r w:rsidR="000B3157">
        <w:t xml:space="preserve"> on the basis that they meet the capex criteria</w:t>
      </w:r>
      <w:r>
        <w:t>.</w:t>
      </w:r>
      <w:r w:rsidR="000B3157">
        <w:rPr>
          <w:rStyle w:val="FootnoteReference"/>
        </w:rPr>
        <w:footnoteReference w:id="63"/>
      </w:r>
      <w:r>
        <w:t xml:space="preserve"> These include:</w:t>
      </w:r>
      <w:r w:rsidR="002522E7">
        <w:rPr>
          <w:rStyle w:val="FootnoteReference"/>
        </w:rPr>
        <w:footnoteReference w:id="64"/>
      </w:r>
    </w:p>
    <w:p w:rsidR="00FA0B83" w:rsidRDefault="00FA0B83" w:rsidP="00FA0B83">
      <w:pPr>
        <w:pStyle w:val="AERbulletlistfirststyle"/>
      </w:pPr>
      <w:r>
        <w:t>Woolooware Road Upgrade</w:t>
      </w:r>
      <w:r w:rsidR="002522E7">
        <w:t xml:space="preserve"> </w:t>
      </w:r>
      <w:r w:rsidR="00E61B4C">
        <w:t xml:space="preserve">– </w:t>
      </w:r>
      <w:r w:rsidR="008A4BA2">
        <w:t xml:space="preserve">consistent with </w:t>
      </w:r>
      <w:proofErr w:type="spellStart"/>
      <w:r w:rsidR="005C639A">
        <w:t>Sleeman</w:t>
      </w:r>
      <w:proofErr w:type="spellEnd"/>
      <w:r w:rsidR="00190302">
        <w:t xml:space="preserve"> Consulting</w:t>
      </w:r>
      <w:r w:rsidR="005C639A">
        <w:t>'s</w:t>
      </w:r>
      <w:r w:rsidR="008A4BA2">
        <w:t xml:space="preserve"> advice, we </w:t>
      </w:r>
      <w:r w:rsidR="005C639A">
        <w:t>are</w:t>
      </w:r>
      <w:r w:rsidR="008A4BA2">
        <w:t xml:space="preserve"> satisfied with </w:t>
      </w:r>
      <w:r w:rsidR="002522E7">
        <w:t>JGN</w:t>
      </w:r>
      <w:r w:rsidR="008A4BA2">
        <w:t>'s</w:t>
      </w:r>
      <w:r w:rsidR="002522E7">
        <w:t xml:space="preserve"> updated forecast network pressures which indicate that the augmentation is required pre-winter of 2017 to maintain the minimum required pressures.</w:t>
      </w:r>
    </w:p>
    <w:p w:rsidR="00FA0B83" w:rsidRDefault="003F1F40" w:rsidP="005C639A">
      <w:pPr>
        <w:pStyle w:val="AERbulletlistfirststyle"/>
      </w:pPr>
      <w:r w:rsidRPr="007956FF">
        <w:t>Hoxton Park CDP (</w:t>
      </w:r>
      <w:proofErr w:type="spellStart"/>
      <w:r w:rsidRPr="007956FF">
        <w:t>Yarrawa</w:t>
      </w:r>
      <w:proofErr w:type="spellEnd"/>
      <w:r w:rsidRPr="007956FF">
        <w:t xml:space="preserve"> St)</w:t>
      </w:r>
      <w:r>
        <w:t xml:space="preserve"> </w:t>
      </w:r>
      <w:r w:rsidR="00E97328">
        <w:t xml:space="preserve">– </w:t>
      </w:r>
      <w:r w:rsidR="008A4BA2">
        <w:t xml:space="preserve">we </w:t>
      </w:r>
      <w:r w:rsidR="005C639A">
        <w:t>accept</w:t>
      </w:r>
      <w:r w:rsidR="008A4BA2">
        <w:t xml:space="preserve"> that augmentation is required at Hoxton Park based on new information</w:t>
      </w:r>
      <w:r w:rsidR="005C639A">
        <w:t xml:space="preserve"> provided by JGN. This includes </w:t>
      </w:r>
      <w:r>
        <w:t xml:space="preserve">load growth </w:t>
      </w:r>
      <w:r>
        <w:lastRenderedPageBreak/>
        <w:t>forecast for the Hoxton Park area</w:t>
      </w:r>
      <w:r w:rsidR="005C639A">
        <w:t xml:space="preserve"> and </w:t>
      </w:r>
      <w:r>
        <w:t>network pressure modelling</w:t>
      </w:r>
      <w:r w:rsidR="005C639A">
        <w:t xml:space="preserve"> submitted by JGN</w:t>
      </w:r>
      <w:r>
        <w:t xml:space="preserve"> which indicated an adjacent market expansion project (Prestons/</w:t>
      </w:r>
      <w:proofErr w:type="spellStart"/>
      <w:r>
        <w:t>Edmonston</w:t>
      </w:r>
      <w:proofErr w:type="spellEnd"/>
      <w:r>
        <w:t xml:space="preserve"> Park CDP) will not provide sufficient capacity to meet the Hoxton Park requirements.</w:t>
      </w:r>
    </w:p>
    <w:p w:rsidR="00FA0B83" w:rsidRDefault="00FA0B83" w:rsidP="00FA0B83">
      <w:pPr>
        <w:pStyle w:val="AERbulletlistfirststyle"/>
      </w:pPr>
      <w:r>
        <w:t>Bradbury</w:t>
      </w:r>
      <w:r w:rsidR="00FE4BBC">
        <w:t xml:space="preserve"> Stage 2 Expansion </w:t>
      </w:r>
      <w:r w:rsidR="00E97328">
        <w:t xml:space="preserve">– </w:t>
      </w:r>
      <w:r w:rsidR="005C639A">
        <w:t xml:space="preserve">we are satisfied based on the </w:t>
      </w:r>
      <w:r w:rsidR="00FE4BBC">
        <w:t>network pressure modelling</w:t>
      </w:r>
      <w:r w:rsidR="005C639A">
        <w:t xml:space="preserve"> provided by JGN that</w:t>
      </w:r>
      <w:r w:rsidR="00FE4BBC">
        <w:t xml:space="preserve"> indicates that both Stage 1 and Stage 2 of the Bradbury Expansion are required to ensure minimum pressure requirements are met</w:t>
      </w:r>
      <w:r>
        <w:t>.</w:t>
      </w:r>
    </w:p>
    <w:p w:rsidR="00FA0B83" w:rsidRDefault="00FA0B83" w:rsidP="00FA0B83">
      <w:pPr>
        <w:pStyle w:val="AERbulletlistfirststyle"/>
        <w:numPr>
          <w:ilvl w:val="0"/>
          <w:numId w:val="0"/>
        </w:numPr>
      </w:pPr>
      <w:r>
        <w:t>With respect to Unanderra</w:t>
      </w:r>
      <w:r w:rsidR="002522E7">
        <w:t xml:space="preserve">, we </w:t>
      </w:r>
      <w:r w:rsidR="00B14173">
        <w:t>accept</w:t>
      </w:r>
      <w:r w:rsidR="005C639A">
        <w:t xml:space="preserve"> JGN's proposal</w:t>
      </w:r>
      <w:r w:rsidR="00B14173">
        <w:t xml:space="preserve"> that eventually due to load growth the proposed project may be required</w:t>
      </w:r>
      <w:r w:rsidR="0040612C">
        <w:t xml:space="preserve">. </w:t>
      </w:r>
      <w:r w:rsidR="00E40F08" w:rsidRPr="00E40F08">
        <w:t>Due to the lead time associated with rail and roadway crossings we consider that it is prudent to commence the approval process.  However, we do not consider that the work is required to be completed in the 2015</w:t>
      </w:r>
      <w:r w:rsidR="00E97328">
        <w:t>–</w:t>
      </w:r>
      <w:r w:rsidR="00E40F08" w:rsidRPr="00E40F08">
        <w:t>20 access arrangement period as it is unlikely that the load growth will be of a magnitude such that sub-minimum pressures are experienced. We therefore assessed that the proposed expenditure was not efficient.  With a view to the approvals process proceeding we have</w:t>
      </w:r>
      <w:r w:rsidR="00E40F08">
        <w:t xml:space="preserve"> therefore</w:t>
      </w:r>
      <w:r w:rsidR="00E40F08" w:rsidRPr="00E40F08">
        <w:t xml:space="preserve"> included $0.1 million ($2015, </w:t>
      </w:r>
      <w:proofErr w:type="spellStart"/>
      <w:r w:rsidR="00E40F08" w:rsidRPr="00E40F08">
        <w:t>unescalated</w:t>
      </w:r>
      <w:proofErr w:type="spellEnd"/>
      <w:r w:rsidR="00E40F08" w:rsidRPr="00E40F08">
        <w:t xml:space="preserve"> direct costs, excluding overheads) for regulatory years 2019 and 2020. We assess this to be the efficient amount of expenditure.</w:t>
      </w:r>
    </w:p>
    <w:p w:rsidR="00FA0B83" w:rsidRDefault="0050398F" w:rsidP="00FA0B83">
      <w:pPr>
        <w:pStyle w:val="AERbulletlistfirststyle"/>
        <w:numPr>
          <w:ilvl w:val="0"/>
          <w:numId w:val="0"/>
        </w:numPr>
      </w:pPr>
      <w:r>
        <w:t xml:space="preserve">Our reasons for </w:t>
      </w:r>
      <w:r w:rsidR="00FA0B83">
        <w:t>not</w:t>
      </w:r>
      <w:r>
        <w:t xml:space="preserve"> approving capex for</w:t>
      </w:r>
      <w:r w:rsidR="00FA0B83">
        <w:t xml:space="preserve"> the residual five projects which JGN re</w:t>
      </w:r>
      <w:r w:rsidR="00E97328">
        <w:t>-</w:t>
      </w:r>
      <w:r w:rsidR="00FA0B83">
        <w:t>proposed</w:t>
      </w:r>
      <w:r w:rsidR="000704CD">
        <w:t xml:space="preserve"> </w:t>
      </w:r>
      <w:r w:rsidR="00E97328">
        <w:t>are</w:t>
      </w:r>
      <w:r w:rsidR="00721FE5">
        <w:t>:</w:t>
      </w:r>
    </w:p>
    <w:p w:rsidR="007956FF" w:rsidRDefault="00B76AEC" w:rsidP="00721FE5">
      <w:pPr>
        <w:pStyle w:val="AERbulletlistfirststyle"/>
      </w:pPr>
      <w:r>
        <w:t xml:space="preserve">For the </w:t>
      </w:r>
      <w:r w:rsidR="00721FE5">
        <w:t xml:space="preserve">Surry Hills Upgrade </w:t>
      </w:r>
      <w:r w:rsidR="007956FF">
        <w:t>project</w:t>
      </w:r>
      <w:r>
        <w:t xml:space="preserve">, we </w:t>
      </w:r>
      <w:r w:rsidR="00627BA0">
        <w:t>are not</w:t>
      </w:r>
      <w:r>
        <w:t xml:space="preserve"> satisfied that augmentation </w:t>
      </w:r>
      <w:r w:rsidR="00627BA0">
        <w:t xml:space="preserve">is </w:t>
      </w:r>
      <w:r>
        <w:t xml:space="preserve">required and </w:t>
      </w:r>
      <w:r w:rsidR="0050398F">
        <w:t xml:space="preserve">the </w:t>
      </w:r>
      <w:r>
        <w:t>proposed solution is efficient. Based on the information before us, we do not consider that this project would be</w:t>
      </w:r>
      <w:r w:rsidR="00627BA0">
        <w:t xml:space="preserve"> a</w:t>
      </w:r>
      <w:r>
        <w:t xml:space="preserve"> prudent</w:t>
      </w:r>
      <w:r w:rsidR="00627BA0">
        <w:t xml:space="preserve"> investment</w:t>
      </w:r>
      <w:r>
        <w:t xml:space="preserve">. </w:t>
      </w:r>
      <w:proofErr w:type="spellStart"/>
      <w:r>
        <w:t>Sleeman</w:t>
      </w:r>
      <w:proofErr w:type="spellEnd"/>
      <w:r>
        <w:t xml:space="preserve"> </w:t>
      </w:r>
      <w:r w:rsidR="003B4223">
        <w:t xml:space="preserve">Consulting </w:t>
      </w:r>
      <w:r>
        <w:t>advised that the proposed project could not</w:t>
      </w:r>
      <w:r w:rsidR="00627BA0">
        <w:t xml:space="preserve"> be</w:t>
      </w:r>
      <w:r>
        <w:t xml:space="preserve"> reasonably </w:t>
      </w:r>
      <w:r w:rsidRPr="00B76AEC">
        <w:t xml:space="preserve">justified </w:t>
      </w:r>
      <w:r>
        <w:t xml:space="preserve">based on the </w:t>
      </w:r>
      <w:r w:rsidRPr="00B76AEC">
        <w:t xml:space="preserve">'worst case' interruption scenario </w:t>
      </w:r>
      <w:r>
        <w:t>where this scenario consists</w:t>
      </w:r>
      <w:r w:rsidRPr="00B76AEC">
        <w:t xml:space="preserve"> of a supply interruption of 2 business days duration </w:t>
      </w:r>
      <w:r>
        <w:t xml:space="preserve">and </w:t>
      </w:r>
      <w:r w:rsidRPr="00B76AEC">
        <w:t>would result in a gas supply curt</w:t>
      </w:r>
      <w:r w:rsidR="00627BA0">
        <w:t>ailment of less than 10 GJ. T</w:t>
      </w:r>
      <w:r w:rsidRPr="00B76AEC">
        <w:t>he risk of</w:t>
      </w:r>
      <w:r w:rsidR="00193356">
        <w:t xml:space="preserve"> unplanned</w:t>
      </w:r>
      <w:r w:rsidRPr="00B76AEC">
        <w:t xml:space="preserve"> interruption is</w:t>
      </w:r>
      <w:r w:rsidR="00627BA0">
        <w:t xml:space="preserve"> also</w:t>
      </w:r>
      <w:r w:rsidRPr="00B76AEC">
        <w:t xml:space="preserve"> low as the area is already well developed and any subsurface work could reasonably</w:t>
      </w:r>
      <w:r w:rsidR="00627BA0">
        <w:t xml:space="preserve"> be expected to</w:t>
      </w:r>
      <w:r w:rsidRPr="00B76AEC">
        <w:t xml:space="preserve"> be planned. </w:t>
      </w:r>
      <w:r w:rsidR="00627BA0">
        <w:t xml:space="preserve">We also note that it was not evident </w:t>
      </w:r>
      <w:r w:rsidRPr="00B76AEC">
        <w:t>from the materials before us that JGN ha</w:t>
      </w:r>
      <w:r>
        <w:t>d</w:t>
      </w:r>
      <w:r w:rsidRPr="00B76AEC">
        <w:t xml:space="preserve"> considered alternative lower-cost solutions. </w:t>
      </w:r>
      <w:r>
        <w:t xml:space="preserve">As noted by </w:t>
      </w:r>
      <w:proofErr w:type="spellStart"/>
      <w:r>
        <w:t>Sleeman</w:t>
      </w:r>
      <w:proofErr w:type="spellEnd"/>
      <w:r w:rsidR="003B4223">
        <w:t xml:space="preserve"> Consulting</w:t>
      </w:r>
      <w:r>
        <w:t>, t</w:t>
      </w:r>
      <w:r w:rsidRPr="00B76AEC">
        <w:t>his may include interconnection of network sections via Bowden Street.</w:t>
      </w:r>
      <w:r w:rsidRPr="00B76AEC">
        <w:rPr>
          <w:rStyle w:val="FootnoteReference"/>
        </w:rPr>
        <w:t xml:space="preserve"> </w:t>
      </w:r>
      <w:r w:rsidRPr="00B76AEC">
        <w:rPr>
          <w:rStyle w:val="FootnoteReference"/>
        </w:rPr>
        <w:footnoteReference w:id="65"/>
      </w:r>
      <w:r>
        <w:t xml:space="preserve"> </w:t>
      </w:r>
    </w:p>
    <w:p w:rsidR="00721FE5" w:rsidRDefault="00627BA0" w:rsidP="007956FF">
      <w:pPr>
        <w:pStyle w:val="AERbulletlistfirststyle"/>
      </w:pPr>
      <w:r>
        <w:t xml:space="preserve">For the </w:t>
      </w:r>
      <w:r w:rsidR="003F1F40">
        <w:t xml:space="preserve">Haymarket </w:t>
      </w:r>
      <w:r w:rsidR="00472F58">
        <w:t>project and the Sydney, Kent-Druitt Streets project</w:t>
      </w:r>
      <w:r>
        <w:t xml:space="preserve">s, we do not consider the projects are prudent and efficient. Consistent with the advice </w:t>
      </w:r>
      <w:r w:rsidR="00193356">
        <w:t xml:space="preserve">from </w:t>
      </w:r>
      <w:proofErr w:type="spellStart"/>
      <w:r w:rsidR="00193356">
        <w:t>Sleeman</w:t>
      </w:r>
      <w:proofErr w:type="spellEnd"/>
      <w:r w:rsidR="003B4223">
        <w:t xml:space="preserve"> Consulting</w:t>
      </w:r>
      <w:r w:rsidR="00193356">
        <w:t xml:space="preserve">, </w:t>
      </w:r>
      <w:r>
        <w:t xml:space="preserve">these projects </w:t>
      </w:r>
      <w:r w:rsidR="00472F58">
        <w:t>are</w:t>
      </w:r>
      <w:r w:rsidR="007956FF">
        <w:t xml:space="preserve"> not </w:t>
      </w:r>
      <w:r w:rsidR="00193356">
        <w:t xml:space="preserve">sufficiently </w:t>
      </w:r>
      <w:r w:rsidR="007956FF">
        <w:t xml:space="preserve">justified </w:t>
      </w:r>
      <w:r w:rsidR="00A553B0">
        <w:t xml:space="preserve">on the basis of present load forecasts, which show that minimum operating pressures </w:t>
      </w:r>
      <w:r w:rsidR="00193356">
        <w:t>are not expected to be breached within the 2015-20 regulatory period.</w:t>
      </w:r>
    </w:p>
    <w:p w:rsidR="007956FF" w:rsidRDefault="00627BA0" w:rsidP="007956FF">
      <w:pPr>
        <w:pStyle w:val="AERbulletlistfirststyle"/>
      </w:pPr>
      <w:r>
        <w:t xml:space="preserve">For the </w:t>
      </w:r>
      <w:r w:rsidR="007956FF" w:rsidRPr="007956FF">
        <w:t xml:space="preserve">Kincumber 210 </w:t>
      </w:r>
      <w:proofErr w:type="spellStart"/>
      <w:r w:rsidR="007956FF" w:rsidRPr="007956FF">
        <w:t>kPa</w:t>
      </w:r>
      <w:proofErr w:type="spellEnd"/>
      <w:r w:rsidR="007956FF" w:rsidRPr="007956FF">
        <w:t xml:space="preserve"> CDP</w:t>
      </w:r>
      <w:r w:rsidR="00472F58">
        <w:t xml:space="preserve"> project</w:t>
      </w:r>
      <w:r w:rsidR="00B433E3">
        <w:t>, we consider that the project</w:t>
      </w:r>
      <w:r w:rsidR="00472F58">
        <w:t xml:space="preserve"> is not</w:t>
      </w:r>
      <w:r w:rsidR="00193356">
        <w:t xml:space="preserve"> sufficiently</w:t>
      </w:r>
      <w:r w:rsidR="00472F58">
        <w:t xml:space="preserve"> justified on the basis of present load forecasts, which show that </w:t>
      </w:r>
      <w:r w:rsidR="00472F58">
        <w:lastRenderedPageBreak/>
        <w:t xml:space="preserve">minimum operating pressures are not expected to be breached. Furthermore, </w:t>
      </w:r>
      <w:r w:rsidR="001517E1">
        <w:t xml:space="preserve">we also agree with </w:t>
      </w:r>
      <w:proofErr w:type="spellStart"/>
      <w:r w:rsidR="001517E1">
        <w:t>Sleeman</w:t>
      </w:r>
      <w:proofErr w:type="spellEnd"/>
      <w:r w:rsidR="003B4223">
        <w:t xml:space="preserve"> Consulting</w:t>
      </w:r>
      <w:r w:rsidR="001517E1">
        <w:t xml:space="preserve">'s advice that </w:t>
      </w:r>
      <w:r w:rsidR="00472F58">
        <w:t xml:space="preserve">there </w:t>
      </w:r>
      <w:proofErr w:type="gramStart"/>
      <w:r w:rsidR="00472F58">
        <w:t>are other security</w:t>
      </w:r>
      <w:proofErr w:type="gramEnd"/>
      <w:r w:rsidR="00472F58">
        <w:t xml:space="preserve"> of supply</w:t>
      </w:r>
      <w:r w:rsidR="000429F7">
        <w:t>-</w:t>
      </w:r>
      <w:r w:rsidR="00472F58">
        <w:t>related initiatives worthy of prior consideration</w:t>
      </w:r>
      <w:r w:rsidR="00B433E3">
        <w:t>.</w:t>
      </w:r>
    </w:p>
    <w:p w:rsidR="00472F58" w:rsidRPr="00F75FD3" w:rsidRDefault="001517E1" w:rsidP="007956FF">
      <w:pPr>
        <w:pStyle w:val="AERbulletlistfirststyle"/>
      </w:pPr>
      <w:r>
        <w:t xml:space="preserve">For the </w:t>
      </w:r>
      <w:r w:rsidR="00472F58">
        <w:t>Rockdale project</w:t>
      </w:r>
      <w:r>
        <w:t xml:space="preserve">, we do not consider it to be a prudent and efficient investment. </w:t>
      </w:r>
      <w:r w:rsidR="0050398F">
        <w:t>W</w:t>
      </w:r>
      <w:r>
        <w:t xml:space="preserve">e consider the project </w:t>
      </w:r>
      <w:r w:rsidR="00472F58">
        <w:t>is not justified on the basis of present load forecasts, which show that minimum operating pressures are not expected to be breached. Furthermore, it is also not justified on a security of supply basis. The disruption scenario is based on damage to a pipeline that crosses Princes Highway and which supplies gas to an otherwise isolated section of the 210kPa network. We consider that as the Princes Highway crossing is in a congested area there is a low probability that proper planning would not be undertaken before subsurface work</w:t>
      </w:r>
      <w:r w:rsidR="009E7F23">
        <w:t xml:space="preserve"> occurred</w:t>
      </w:r>
      <w:r w:rsidR="00472F58">
        <w:t>.</w:t>
      </w:r>
      <w:r w:rsidR="00193356">
        <w:t xml:space="preserve"> J</w:t>
      </w:r>
      <w:r w:rsidR="009E7F23">
        <w:t xml:space="preserve">GN </w:t>
      </w:r>
      <w:r w:rsidR="00193356">
        <w:t xml:space="preserve">did not demonstrate that it </w:t>
      </w:r>
      <w:r w:rsidR="009E7F23">
        <w:t>has considered lower-cost alternative solutions</w:t>
      </w:r>
      <w:r w:rsidR="00B433E3">
        <w:t>. T</w:t>
      </w:r>
      <w:r>
        <w:t>herefore, we are not satisfied that the proposed augmentation is efficient.</w:t>
      </w:r>
    </w:p>
    <w:p w:rsidR="00123034" w:rsidRDefault="00123034" w:rsidP="00524245">
      <w:pPr>
        <w:pStyle w:val="Heading4"/>
      </w:pPr>
      <w:r w:rsidRPr="00275734">
        <w:t>Mains and service renewal</w:t>
      </w:r>
    </w:p>
    <w:p w:rsidR="00123034" w:rsidRPr="005E29EE" w:rsidRDefault="00123034" w:rsidP="00123034">
      <w:pPr>
        <w:numPr>
          <w:ilvl w:val="0"/>
          <w:numId w:val="25"/>
        </w:numPr>
      </w:pPr>
      <w:r>
        <w:rPr>
          <w:rStyle w:val="AERbody"/>
        </w:rPr>
        <w:t xml:space="preserve">Mains and service renewal expenditure is for replacement of </w:t>
      </w:r>
      <w:r w:rsidRPr="00517910">
        <w:rPr>
          <w:rStyle w:val="AERbody"/>
        </w:rPr>
        <w:t>low and medium pressure gas</w:t>
      </w:r>
      <w:r>
        <w:rPr>
          <w:rStyle w:val="AERbody"/>
        </w:rPr>
        <w:t xml:space="preserve"> mains </w:t>
      </w:r>
      <w:r w:rsidRPr="00517910">
        <w:rPr>
          <w:rStyle w:val="AERbody"/>
        </w:rPr>
        <w:t>as they are reaching the end of their economic life</w:t>
      </w:r>
      <w:r>
        <w:rPr>
          <w:rStyle w:val="AERbody"/>
        </w:rPr>
        <w:t>. Replacement may be required to maintain safety,</w:t>
      </w:r>
      <w:r w:rsidRPr="00517910">
        <w:rPr>
          <w:rStyle w:val="AERbody"/>
        </w:rPr>
        <w:t xml:space="preserve"> levels of reliability</w:t>
      </w:r>
      <w:r>
        <w:rPr>
          <w:rStyle w:val="AERbody"/>
        </w:rPr>
        <w:t xml:space="preserve"> and when the operating and maintenance costs required for the mains or services are greater than the cost of replacement</w:t>
      </w:r>
      <w:r w:rsidRPr="00517910">
        <w:rPr>
          <w:rStyle w:val="AERbody"/>
        </w:rPr>
        <w:t>.</w:t>
      </w:r>
      <w:r>
        <w:rPr>
          <w:rStyle w:val="AERbody"/>
        </w:rPr>
        <w:t xml:space="preserve"> The </w:t>
      </w:r>
      <w:r w:rsidRPr="00580354">
        <w:rPr>
          <w:rStyle w:val="AERbody"/>
        </w:rPr>
        <w:t>majority of renewal activity is planned</w:t>
      </w:r>
      <w:r>
        <w:rPr>
          <w:rStyle w:val="AERbody"/>
        </w:rPr>
        <w:t>. However</w:t>
      </w:r>
      <w:r w:rsidR="00497DD0">
        <w:rPr>
          <w:rStyle w:val="AERbody"/>
        </w:rPr>
        <w:t>,</w:t>
      </w:r>
      <w:r>
        <w:rPr>
          <w:rStyle w:val="AERbody"/>
        </w:rPr>
        <w:t xml:space="preserve"> there is also a small amount of</w:t>
      </w:r>
      <w:r w:rsidRPr="00580354">
        <w:rPr>
          <w:rStyle w:val="AERbody"/>
        </w:rPr>
        <w:t xml:space="preserve"> reactive </w:t>
      </w:r>
      <w:r>
        <w:rPr>
          <w:rStyle w:val="AERbody"/>
        </w:rPr>
        <w:t>or unplanned work</w:t>
      </w:r>
      <w:r w:rsidRPr="00A17FBE">
        <w:rPr>
          <w:rStyle w:val="AERbody"/>
        </w:rPr>
        <w:t xml:space="preserve"> that is required</w:t>
      </w:r>
      <w:r>
        <w:rPr>
          <w:rStyle w:val="AERbody"/>
        </w:rPr>
        <w:t xml:space="preserve">. This is </w:t>
      </w:r>
      <w:r w:rsidRPr="00A17FBE">
        <w:t>typically</w:t>
      </w:r>
      <w:r>
        <w:t xml:space="preserve"> for replacement</w:t>
      </w:r>
      <w:r w:rsidRPr="00A17FBE">
        <w:t xml:space="preserve"> of up to 250 m</w:t>
      </w:r>
      <w:r>
        <w:t>etres</w:t>
      </w:r>
      <w:r w:rsidRPr="00A17FBE">
        <w:t xml:space="preserve"> of </w:t>
      </w:r>
      <w:r>
        <w:t>mains</w:t>
      </w:r>
      <w:r w:rsidRPr="00A17FBE">
        <w:t xml:space="preserve"> or individual services</w:t>
      </w:r>
      <w:r>
        <w:rPr>
          <w:rStyle w:val="AERbody"/>
        </w:rPr>
        <w:t>.</w:t>
      </w:r>
      <w:r>
        <w:rPr>
          <w:rStyle w:val="FootnoteReference"/>
        </w:rPr>
        <w:footnoteReference w:id="66"/>
      </w:r>
      <w:r w:rsidRPr="005E29EE">
        <w:t xml:space="preserve"> </w:t>
      </w:r>
      <w:r>
        <w:t>We</w:t>
      </w:r>
      <w:r w:rsidRPr="005E29EE">
        <w:t xml:space="preserve"> consider that mains and services renewal expenditure is justified under rules 79(2</w:t>
      </w:r>
      <w:proofErr w:type="gramStart"/>
      <w:r w:rsidRPr="005E29EE">
        <w:t>)(</w:t>
      </w:r>
      <w:proofErr w:type="gramEnd"/>
      <w:r w:rsidRPr="005E29EE">
        <w:t>c)(</w:t>
      </w:r>
      <w:proofErr w:type="spellStart"/>
      <w:r w:rsidRPr="005E29EE">
        <w:t>i</w:t>
      </w:r>
      <w:proofErr w:type="spellEnd"/>
      <w:r w:rsidRPr="005E29EE">
        <w:t>)—(iv), on the basis that the capex is required to maintain safety</w:t>
      </w:r>
      <w:r w:rsidR="00497DD0">
        <w:t xml:space="preserve"> and</w:t>
      </w:r>
      <w:r w:rsidR="00497DD0" w:rsidRPr="005E29EE">
        <w:t xml:space="preserve"> </w:t>
      </w:r>
      <w:r w:rsidRPr="005E29EE">
        <w:t>reliability, to meet minimum pressure obligations, and to be able to meet existing levels of demand.</w:t>
      </w:r>
    </w:p>
    <w:p w:rsidR="00123034" w:rsidRDefault="00123034" w:rsidP="00B433E3">
      <w:pPr>
        <w:numPr>
          <w:ilvl w:val="0"/>
          <w:numId w:val="25"/>
        </w:numPr>
      </w:pPr>
      <w:r w:rsidRPr="00517910">
        <w:rPr>
          <w:rStyle w:val="AERbody"/>
        </w:rPr>
        <w:t xml:space="preserve">We have </w:t>
      </w:r>
      <w:r w:rsidR="00B433E3">
        <w:rPr>
          <w:rStyle w:val="AERbody"/>
        </w:rPr>
        <w:t>accepted JGN's revised proposal of</w:t>
      </w:r>
      <w:r w:rsidRPr="00517910">
        <w:rPr>
          <w:rStyle w:val="AERbody"/>
        </w:rPr>
        <w:t xml:space="preserve"> $</w:t>
      </w:r>
      <w:r>
        <w:rPr>
          <w:rStyle w:val="AERbody"/>
        </w:rPr>
        <w:t>5</w:t>
      </w:r>
      <w:r w:rsidR="003766BF">
        <w:rPr>
          <w:rStyle w:val="AERbody"/>
        </w:rPr>
        <w:t>7</w:t>
      </w:r>
      <w:r w:rsidR="00B433E3">
        <w:rPr>
          <w:rStyle w:val="AERbody"/>
        </w:rPr>
        <w:t>.5</w:t>
      </w:r>
      <w:r w:rsidRPr="00517910">
        <w:rPr>
          <w:rStyle w:val="AERbody"/>
        </w:rPr>
        <w:t xml:space="preserve"> million ($2015, </w:t>
      </w:r>
      <w:proofErr w:type="spellStart"/>
      <w:r w:rsidRPr="00517910">
        <w:rPr>
          <w:rStyle w:val="AERbody"/>
        </w:rPr>
        <w:t>unescalated</w:t>
      </w:r>
      <w:proofErr w:type="spellEnd"/>
      <w:r w:rsidRPr="00517910">
        <w:rPr>
          <w:rStyle w:val="AERbody"/>
        </w:rPr>
        <w:t xml:space="preserve"> direct costs, excluding overheads) of </w:t>
      </w:r>
      <w:r>
        <w:rPr>
          <w:rStyle w:val="AERbody"/>
        </w:rPr>
        <w:t>mains and service</w:t>
      </w:r>
      <w:r w:rsidRPr="00517910">
        <w:rPr>
          <w:rStyle w:val="AERbody"/>
        </w:rPr>
        <w:t xml:space="preserve"> renewal expenditure in our capex forecast</w:t>
      </w:r>
      <w:r w:rsidR="00387284" w:rsidRPr="00387284">
        <w:rPr>
          <w:rStyle w:val="AERbody"/>
        </w:rPr>
        <w:t xml:space="preserve"> </w:t>
      </w:r>
      <w:r w:rsidR="00387284">
        <w:rPr>
          <w:rStyle w:val="AERbody"/>
        </w:rPr>
        <w:t>for our final decision</w:t>
      </w:r>
      <w:r w:rsidRPr="00517910">
        <w:rPr>
          <w:rStyle w:val="AERbody"/>
        </w:rPr>
        <w:t xml:space="preserve">. </w:t>
      </w:r>
      <w:r w:rsidR="00B433E3">
        <w:t>W</w:t>
      </w:r>
      <w:r>
        <w:t xml:space="preserve">e consider that this </w:t>
      </w:r>
      <w:r w:rsidR="00B433E3">
        <w:t xml:space="preserve">is conforming </w:t>
      </w:r>
      <w:r>
        <w:t xml:space="preserve">capex </w:t>
      </w:r>
      <w:r w:rsidRPr="00F75FD3">
        <w:t>for the following reasons:</w:t>
      </w:r>
    </w:p>
    <w:p w:rsidR="00EA51EF" w:rsidRDefault="002E5F69" w:rsidP="00AF753E">
      <w:pPr>
        <w:pStyle w:val="AERbulletlistfirststyle"/>
      </w:pPr>
      <w:r>
        <w:t xml:space="preserve">The amount includes </w:t>
      </w:r>
      <w:r w:rsidR="00EA0969">
        <w:t>twelve</w:t>
      </w:r>
      <w:r w:rsidR="00123034">
        <w:t xml:space="preserve"> projects </w:t>
      </w:r>
      <w:r>
        <w:t>that we accepted</w:t>
      </w:r>
      <w:r w:rsidR="00EA51EF">
        <w:t xml:space="preserve"> </w:t>
      </w:r>
      <w:r w:rsidR="00EA0969">
        <w:t>in our draft decision. This was on the basis that they either</w:t>
      </w:r>
      <w:r w:rsidR="00123034" w:rsidRPr="00123034">
        <w:t xml:space="preserve"> have </w:t>
      </w:r>
      <w:r w:rsidR="00A82883">
        <w:t xml:space="preserve">potential </w:t>
      </w:r>
      <w:r w:rsidR="00123034" w:rsidRPr="00123034">
        <w:t>public safety implications if not completed in a timely fashion</w:t>
      </w:r>
      <w:r w:rsidR="00B10BEB">
        <w:t>,</w:t>
      </w:r>
      <w:r w:rsidR="00EA0969">
        <w:t xml:space="preserve"> or were</w:t>
      </w:r>
      <w:r w:rsidR="00123034">
        <w:t xml:space="preserve"> justified as</w:t>
      </w:r>
      <w:r w:rsidR="00EA0969">
        <w:t xml:space="preserve"> mains condition indicators </w:t>
      </w:r>
      <w:r w:rsidR="00193356">
        <w:t>showed</w:t>
      </w:r>
      <w:r w:rsidR="00123034">
        <w:t xml:space="preserve"> the need for replacement</w:t>
      </w:r>
      <w:r w:rsidR="00EA0969">
        <w:t>.</w:t>
      </w:r>
    </w:p>
    <w:p w:rsidR="008607BA" w:rsidRDefault="002E5F69" w:rsidP="00AF753E">
      <w:pPr>
        <w:pStyle w:val="AERbulletlistfirststyle"/>
      </w:pPr>
      <w:r>
        <w:t>For five Wollongong/Coniston projects, w</w:t>
      </w:r>
      <w:r w:rsidR="00EA51EF">
        <w:t>e con</w:t>
      </w:r>
      <w:r>
        <w:t xml:space="preserve">sidered </w:t>
      </w:r>
      <w:proofErr w:type="spellStart"/>
      <w:r>
        <w:t>Sleeman</w:t>
      </w:r>
      <w:proofErr w:type="spellEnd"/>
      <w:r>
        <w:t xml:space="preserve"> Consulting's advice that </w:t>
      </w:r>
      <w:r w:rsidR="00123034" w:rsidRPr="00123034">
        <w:t xml:space="preserve">the proposed costs </w:t>
      </w:r>
      <w:r>
        <w:t>are</w:t>
      </w:r>
      <w:r w:rsidR="00E92D2B">
        <w:t xml:space="preserve"> </w:t>
      </w:r>
      <w:r>
        <w:t>in</w:t>
      </w:r>
      <w:r w:rsidR="00E92D2B">
        <w:t>efficient</w:t>
      </w:r>
      <w:r w:rsidR="00123034" w:rsidRPr="00123034">
        <w:t xml:space="preserve">. </w:t>
      </w:r>
      <w:proofErr w:type="spellStart"/>
      <w:r w:rsidR="00E90945">
        <w:t>Sleeman</w:t>
      </w:r>
      <w:proofErr w:type="spellEnd"/>
      <w:r w:rsidR="00E90945">
        <w:t xml:space="preserve"> Consulting</w:t>
      </w:r>
      <w:r>
        <w:t xml:space="preserve"> advised </w:t>
      </w:r>
      <w:r w:rsidR="00981A15">
        <w:t>that the expenditure per kilometre should be toward the lower end of the presented range of project per kilometre costs.</w:t>
      </w:r>
      <w:r w:rsidR="0090148E">
        <w:rPr>
          <w:rStyle w:val="FootnoteReference"/>
        </w:rPr>
        <w:footnoteReference w:id="67"/>
      </w:r>
      <w:r w:rsidR="00032BEF" w:rsidRPr="00032BEF">
        <w:rPr>
          <w:rStyle w:val="FootnoteReference"/>
        </w:rPr>
        <w:t xml:space="preserve"> </w:t>
      </w:r>
      <w:r w:rsidR="00981A15">
        <w:t xml:space="preserve">This is because the project will be carried out </w:t>
      </w:r>
      <w:r w:rsidR="00981A15">
        <w:lastRenderedPageBreak/>
        <w:t xml:space="preserve">almost entirely by mains insertion rather than new mains </w:t>
      </w:r>
      <w:proofErr w:type="gramStart"/>
      <w:r w:rsidR="00981A15">
        <w:t>laying</w:t>
      </w:r>
      <w:proofErr w:type="gramEnd"/>
      <w:r w:rsidR="00981A15">
        <w:t xml:space="preserve"> and the customer density is low.</w:t>
      </w:r>
      <w:r w:rsidR="00262CCD">
        <w:t xml:space="preserve"> </w:t>
      </w:r>
      <w:r w:rsidR="00000CC3">
        <w:t>Between only 0.5 to 2.2 per cent of total project length is expected to be new mains lay.</w:t>
      </w:r>
      <w:r w:rsidR="00512968">
        <w:t xml:space="preserve"> </w:t>
      </w:r>
      <w:r>
        <w:t>However, on applying</w:t>
      </w:r>
      <w:r w:rsidR="00512968">
        <w:t xml:space="preserve"> </w:t>
      </w:r>
      <w:proofErr w:type="spellStart"/>
      <w:r w:rsidR="00512968">
        <w:t>Sleeman</w:t>
      </w:r>
      <w:proofErr w:type="spellEnd"/>
      <w:r w:rsidR="00512968">
        <w:t xml:space="preserve"> Consulting</w:t>
      </w:r>
      <w:r>
        <w:t>'s</w:t>
      </w:r>
      <w:r w:rsidR="00512968">
        <w:t xml:space="preserve"> $200,000 per kilo</w:t>
      </w:r>
      <w:r w:rsidR="00387284">
        <w:t>metre cost</w:t>
      </w:r>
      <w:r>
        <w:t xml:space="preserve"> we found that the cost differential </w:t>
      </w:r>
      <w:r w:rsidR="00AF753E">
        <w:t>was $0.8 million</w:t>
      </w:r>
      <w:r w:rsidR="00387284">
        <w:t>.</w:t>
      </w:r>
      <w:r w:rsidR="0090148E">
        <w:rPr>
          <w:rStyle w:val="FootnoteReference"/>
        </w:rPr>
        <w:footnoteReference w:id="68"/>
      </w:r>
      <w:r w:rsidR="00AF753E">
        <w:t xml:space="preserve"> Due to the immaterial difference between our forecast and JGN's we have accepted the proposed expenditure.</w:t>
      </w:r>
    </w:p>
    <w:p w:rsidR="00123034" w:rsidRDefault="00123034" w:rsidP="00C102FE">
      <w:pPr>
        <w:pStyle w:val="Heading4"/>
        <w:keepNext/>
      </w:pPr>
      <w:r w:rsidRPr="00275734">
        <w:t>Mines subsidence</w:t>
      </w:r>
    </w:p>
    <w:p w:rsidR="00123034" w:rsidRPr="005E29EE" w:rsidRDefault="00123034" w:rsidP="00C102FE">
      <w:pPr>
        <w:keepNext/>
        <w:numPr>
          <w:ilvl w:val="0"/>
          <w:numId w:val="25"/>
        </w:numPr>
      </w:pPr>
      <w:r w:rsidRPr="00840B04">
        <w:t>Expenditure in this category is required to manage and mitigate the effects on network assets of ground</w:t>
      </w:r>
      <w:r>
        <w:t xml:space="preserve"> </w:t>
      </w:r>
      <w:r w:rsidRPr="00840B04">
        <w:t>subsidence that can occur when mining takes place beneath or in the vicinity of those assets. It also includes</w:t>
      </w:r>
      <w:r>
        <w:t xml:space="preserve"> </w:t>
      </w:r>
      <w:r w:rsidRPr="00840B04">
        <w:t>the cost of monitoring the asset’s condition where subsidence is anticipated and the monitoring leads to capital</w:t>
      </w:r>
      <w:r>
        <w:t xml:space="preserve"> </w:t>
      </w:r>
      <w:r w:rsidRPr="00840B04">
        <w:t>works.</w:t>
      </w:r>
      <w:r w:rsidRPr="005E29EE">
        <w:t xml:space="preserve"> We </w:t>
      </w:r>
      <w:r>
        <w:t>are satisfied</w:t>
      </w:r>
      <w:r w:rsidRPr="005E29EE">
        <w:t xml:space="preserve"> that mines subsidence expenditure</w:t>
      </w:r>
      <w:r w:rsidR="00193356">
        <w:t>s</w:t>
      </w:r>
      <w:r w:rsidRPr="005E29EE">
        <w:t xml:space="preserve"> </w:t>
      </w:r>
      <w:r w:rsidR="00193356">
        <w:t>are</w:t>
      </w:r>
      <w:r w:rsidRPr="005E29EE">
        <w:t xml:space="preserve"> justified under rules 79(2</w:t>
      </w:r>
      <w:proofErr w:type="gramStart"/>
      <w:r w:rsidRPr="005E29EE">
        <w:t>)(</w:t>
      </w:r>
      <w:proofErr w:type="gramEnd"/>
      <w:r w:rsidRPr="005E29EE">
        <w:t>c)(</w:t>
      </w:r>
      <w:proofErr w:type="spellStart"/>
      <w:r w:rsidRPr="005E29EE">
        <w:t>i</w:t>
      </w:r>
      <w:proofErr w:type="spellEnd"/>
      <w:r w:rsidRPr="005E29EE">
        <w:t>) and (ii) on the basis that it is necessary to maintain the safety and integrity of gas services.</w:t>
      </w:r>
    </w:p>
    <w:p w:rsidR="001E22D7" w:rsidRDefault="001E22D7" w:rsidP="00123034">
      <w:pPr>
        <w:numPr>
          <w:ilvl w:val="0"/>
          <w:numId w:val="25"/>
        </w:numPr>
        <w:rPr>
          <w:rStyle w:val="AERbody"/>
        </w:rPr>
      </w:pPr>
      <w:r>
        <w:rPr>
          <w:rStyle w:val="AERbody"/>
        </w:rPr>
        <w:t>JGN claimed confidentiality over</w:t>
      </w:r>
      <w:r w:rsidR="006F7333">
        <w:rPr>
          <w:rStyle w:val="AERbody"/>
        </w:rPr>
        <w:t xml:space="preserve"> </w:t>
      </w:r>
      <w:r>
        <w:rPr>
          <w:rStyle w:val="AERbody"/>
        </w:rPr>
        <w:t xml:space="preserve">the amount of mines subsidence expenditure it has proposed. </w:t>
      </w:r>
    </w:p>
    <w:p w:rsidR="001E22D7" w:rsidRDefault="001E22D7" w:rsidP="00123034">
      <w:pPr>
        <w:numPr>
          <w:ilvl w:val="0"/>
          <w:numId w:val="25"/>
        </w:numPr>
        <w:rPr>
          <w:rStyle w:val="AERbody"/>
        </w:rPr>
      </w:pPr>
      <w:r>
        <w:rPr>
          <w:rStyle w:val="AERbody"/>
        </w:rPr>
        <w:t>Our final decision is unchanged from our draft decision, where w</w:t>
      </w:r>
      <w:r w:rsidR="00123034" w:rsidRPr="00517910">
        <w:rPr>
          <w:rStyle w:val="AERbody"/>
        </w:rPr>
        <w:t xml:space="preserve">e included </w:t>
      </w:r>
      <w:r w:rsidR="00123034">
        <w:rPr>
          <w:rStyle w:val="AERbody"/>
        </w:rPr>
        <w:t>JGN's proposed amount</w:t>
      </w:r>
      <w:r w:rsidR="00123034" w:rsidRPr="00517910">
        <w:rPr>
          <w:rStyle w:val="AERbody"/>
        </w:rPr>
        <w:t xml:space="preserve"> of </w:t>
      </w:r>
      <w:r w:rsidR="00123034">
        <w:rPr>
          <w:rStyle w:val="AERbody"/>
        </w:rPr>
        <w:t>mines subsidence</w:t>
      </w:r>
      <w:r w:rsidR="00123034" w:rsidRPr="00517910">
        <w:rPr>
          <w:rStyle w:val="AERbody"/>
        </w:rPr>
        <w:t xml:space="preserve"> expenditure</w:t>
      </w:r>
      <w:r w:rsidR="00123034">
        <w:rPr>
          <w:rStyle w:val="AERbody"/>
        </w:rPr>
        <w:t xml:space="preserve"> </w:t>
      </w:r>
      <w:r w:rsidR="00123034" w:rsidRPr="00517910">
        <w:rPr>
          <w:rStyle w:val="AERbody"/>
        </w:rPr>
        <w:t xml:space="preserve">in our capex forecast. </w:t>
      </w:r>
      <w:r w:rsidR="00123034" w:rsidRPr="005E29EE">
        <w:rPr>
          <w:rStyle w:val="AERbody"/>
        </w:rPr>
        <w:t xml:space="preserve">JGN's proposed mines subsidence capex is for monitoring and rehabilitation of gas pipelines in the vicinity of </w:t>
      </w:r>
      <w:proofErr w:type="spellStart"/>
      <w:r w:rsidR="00123034" w:rsidRPr="005E29EE">
        <w:rPr>
          <w:rStyle w:val="AERbody"/>
        </w:rPr>
        <w:t>Mallaty</w:t>
      </w:r>
      <w:proofErr w:type="spellEnd"/>
      <w:r w:rsidR="00123034" w:rsidRPr="005E29EE">
        <w:rPr>
          <w:rStyle w:val="AERbody"/>
        </w:rPr>
        <w:t xml:space="preserve"> Creek Mines</w:t>
      </w:r>
      <w:r w:rsidR="00123034" w:rsidRPr="005E29EE">
        <w:t xml:space="preserve"> </w:t>
      </w:r>
      <w:r w:rsidR="00123034" w:rsidRPr="005E29EE">
        <w:rPr>
          <w:rStyle w:val="AERbody"/>
        </w:rPr>
        <w:t xml:space="preserve">at </w:t>
      </w:r>
      <w:proofErr w:type="spellStart"/>
      <w:r w:rsidR="00123034" w:rsidRPr="005E29EE">
        <w:rPr>
          <w:rStyle w:val="AERbody"/>
        </w:rPr>
        <w:t>Mallaty</w:t>
      </w:r>
      <w:proofErr w:type="spellEnd"/>
      <w:r w:rsidR="00123034" w:rsidRPr="005E29EE">
        <w:rPr>
          <w:rStyle w:val="AERbody"/>
        </w:rPr>
        <w:t xml:space="preserve"> Creek, Appin.</w:t>
      </w:r>
    </w:p>
    <w:p w:rsidR="0008525F" w:rsidRPr="005E29EE" w:rsidRDefault="0008525F" w:rsidP="00123034">
      <w:pPr>
        <w:numPr>
          <w:ilvl w:val="0"/>
          <w:numId w:val="25"/>
        </w:numPr>
      </w:pPr>
      <w:r>
        <w:rPr>
          <w:rStyle w:val="AERbody"/>
        </w:rPr>
        <w:t xml:space="preserve">In its revised proposal JGN submitted that it </w:t>
      </w:r>
      <w:r w:rsidRPr="0008525F">
        <w:rPr>
          <w:rStyle w:val="AERbody"/>
        </w:rPr>
        <w:t xml:space="preserve">does not accept </w:t>
      </w:r>
      <w:r>
        <w:rPr>
          <w:rStyle w:val="AERbody"/>
        </w:rPr>
        <w:t>the contribution</w:t>
      </w:r>
      <w:r w:rsidRPr="0008525F">
        <w:rPr>
          <w:rStyle w:val="AERbody"/>
        </w:rPr>
        <w:t xml:space="preserve"> rate</w:t>
      </w:r>
      <w:r>
        <w:rPr>
          <w:rStyle w:val="AERbody"/>
        </w:rPr>
        <w:t xml:space="preserve"> we applied in our draft decision</w:t>
      </w:r>
      <w:r w:rsidRPr="0008525F">
        <w:rPr>
          <w:rStyle w:val="AERbody"/>
        </w:rPr>
        <w:t xml:space="preserve"> for mine</w:t>
      </w:r>
      <w:r w:rsidR="00203BF0">
        <w:rPr>
          <w:rStyle w:val="AERbody"/>
        </w:rPr>
        <w:t>s</w:t>
      </w:r>
      <w:r w:rsidRPr="0008525F">
        <w:rPr>
          <w:rStyle w:val="AERbody"/>
        </w:rPr>
        <w:t xml:space="preserve"> subsidence expenditure.</w:t>
      </w:r>
      <w:r>
        <w:rPr>
          <w:rStyle w:val="FootnoteReference"/>
        </w:rPr>
        <w:footnoteReference w:id="69"/>
      </w:r>
      <w:r>
        <w:rPr>
          <w:rStyle w:val="AERbody"/>
        </w:rPr>
        <w:t xml:space="preserve"> In the draft decision we </w:t>
      </w:r>
      <w:r w:rsidR="00081F02">
        <w:rPr>
          <w:rStyle w:val="AERbody"/>
        </w:rPr>
        <w:t>appli</w:t>
      </w:r>
      <w:r w:rsidR="00081F02" w:rsidRPr="00081F02">
        <w:rPr>
          <w:rStyle w:val="AERbody"/>
        </w:rPr>
        <w:t xml:space="preserve">ed the 2005-15 contribution </w:t>
      </w:r>
      <w:proofErr w:type="gramStart"/>
      <w:r w:rsidR="00081F02" w:rsidRPr="00081F02">
        <w:rPr>
          <w:rStyle w:val="AERbody"/>
        </w:rPr>
        <w:t>rate</w:t>
      </w:r>
      <w:proofErr w:type="gramEnd"/>
      <w:r w:rsidR="00081F02" w:rsidRPr="00081F02">
        <w:rPr>
          <w:rStyle w:val="AERbody"/>
        </w:rPr>
        <w:t xml:space="preserve"> to the forecast mines subsidence expenditure.</w:t>
      </w:r>
      <w:r w:rsidR="00081F02">
        <w:rPr>
          <w:rStyle w:val="FootnoteReference"/>
        </w:rPr>
        <w:footnoteReference w:id="70"/>
      </w:r>
      <w:r w:rsidR="00081F02">
        <w:rPr>
          <w:rStyle w:val="AERbody"/>
        </w:rPr>
        <w:t xml:space="preserve"> JGN did not set out its proposed contribution rate in its proposal, but for the contribution rate it included in its capex model.</w:t>
      </w:r>
      <w:r w:rsidR="00203BF0">
        <w:rPr>
          <w:rStyle w:val="FootnoteReference"/>
        </w:rPr>
        <w:footnoteReference w:id="71"/>
      </w:r>
      <w:r w:rsidR="00203BF0">
        <w:rPr>
          <w:rStyle w:val="AERbody"/>
        </w:rPr>
        <w:t xml:space="preserve"> The rate it included was equal to the rate we applied in our draft decision. We have applied this rate in our final decision.</w:t>
      </w:r>
    </w:p>
    <w:p w:rsidR="00123034" w:rsidRDefault="00123034" w:rsidP="00524245">
      <w:pPr>
        <w:pStyle w:val="Heading4"/>
      </w:pPr>
      <w:r w:rsidRPr="00275734">
        <w:t>Facilities renewal and upgrade</w:t>
      </w:r>
    </w:p>
    <w:p w:rsidR="006F7333" w:rsidRDefault="00123034" w:rsidP="00123034">
      <w:pPr>
        <w:numPr>
          <w:ilvl w:val="0"/>
          <w:numId w:val="25"/>
        </w:numPr>
      </w:pPr>
      <w:r>
        <w:rPr>
          <w:rStyle w:val="AERbody"/>
        </w:rPr>
        <w:t>Facilities renewal and upgrade expenditure is required to renew or upgrade facilities that pose integrity, workplace health and safety, capacity, regulatory compliance or similar issues or have reached the end of their economic lives.</w:t>
      </w:r>
      <w:r>
        <w:rPr>
          <w:rStyle w:val="FootnoteReference"/>
        </w:rPr>
        <w:footnoteReference w:id="72"/>
      </w:r>
      <w:r w:rsidRPr="00D024AF">
        <w:t xml:space="preserve"> </w:t>
      </w:r>
    </w:p>
    <w:p w:rsidR="009D6025" w:rsidRDefault="00AF753E" w:rsidP="008F5B8A">
      <w:r>
        <w:t xml:space="preserve">We do not accept JGN's revised facilities renewal and upgrade expenditure. We assess that the proposed expenditure is not justified. </w:t>
      </w:r>
      <w:r w:rsidR="006F7333" w:rsidRPr="006F7333">
        <w:t>We have included $</w:t>
      </w:r>
      <w:r w:rsidR="004B0232">
        <w:t>95.2</w:t>
      </w:r>
      <w:r w:rsidR="006F7333" w:rsidRPr="006F7333">
        <w:t xml:space="preserve"> million </w:t>
      </w:r>
      <w:r w:rsidR="006F7333" w:rsidRPr="006F7333">
        <w:lastRenderedPageBreak/>
        <w:t xml:space="preserve">($2015, </w:t>
      </w:r>
      <w:proofErr w:type="spellStart"/>
      <w:r w:rsidR="006F7333" w:rsidRPr="006F7333">
        <w:t>unescalated</w:t>
      </w:r>
      <w:proofErr w:type="spellEnd"/>
      <w:r w:rsidR="006F7333" w:rsidRPr="006F7333">
        <w:t xml:space="preserve"> direct costs, excluding overheads) of facilities</w:t>
      </w:r>
      <w:r w:rsidR="006F7333">
        <w:t xml:space="preserve"> </w:t>
      </w:r>
      <w:r w:rsidR="006F7333" w:rsidRPr="006F7333">
        <w:t xml:space="preserve">renewal and upgrade expenditure in our </w:t>
      </w:r>
      <w:r w:rsidR="006F7333">
        <w:t>capex final decision</w:t>
      </w:r>
      <w:r w:rsidR="006F7333" w:rsidRPr="006F7333">
        <w:t>.</w:t>
      </w:r>
      <w:r w:rsidR="004B0232">
        <w:rPr>
          <w:rStyle w:val="FootnoteReference"/>
        </w:rPr>
        <w:footnoteReference w:id="73"/>
      </w:r>
      <w:r w:rsidR="00C800FF">
        <w:t xml:space="preserve"> </w:t>
      </w:r>
      <w:r w:rsidR="00484FB3">
        <w:t>We had regard to confidential material in coming to our position. This confidential material is set out in Appendix B.</w:t>
      </w:r>
    </w:p>
    <w:p w:rsidR="00C800FF" w:rsidRDefault="00C800FF" w:rsidP="008F5B8A">
      <w:r>
        <w:rPr>
          <w:rStyle w:val="AERbody"/>
        </w:rPr>
        <w:t>In our draft decision w</w:t>
      </w:r>
      <w:r w:rsidRPr="00517910">
        <w:rPr>
          <w:rStyle w:val="AERbody"/>
        </w:rPr>
        <w:t>e included $</w:t>
      </w:r>
      <w:r>
        <w:rPr>
          <w:rStyle w:val="AERbody"/>
        </w:rPr>
        <w:t>95.3</w:t>
      </w:r>
      <w:r w:rsidRPr="00517910">
        <w:rPr>
          <w:rStyle w:val="AERbody"/>
        </w:rPr>
        <w:t xml:space="preserve"> million ($2015, </w:t>
      </w:r>
      <w:proofErr w:type="spellStart"/>
      <w:r w:rsidRPr="00517910">
        <w:rPr>
          <w:rStyle w:val="AERbody"/>
        </w:rPr>
        <w:t>unescalated</w:t>
      </w:r>
      <w:proofErr w:type="spellEnd"/>
      <w:r w:rsidRPr="00517910">
        <w:rPr>
          <w:rStyle w:val="AERbody"/>
        </w:rPr>
        <w:t xml:space="preserve"> direct costs, excluding overheads)</w:t>
      </w:r>
      <w:r w:rsidRPr="00641212">
        <w:rPr>
          <w:rStyle w:val="FootnoteReference"/>
        </w:rPr>
        <w:t xml:space="preserve"> </w:t>
      </w:r>
      <w:r>
        <w:rPr>
          <w:rStyle w:val="FootnoteReference"/>
        </w:rPr>
        <w:footnoteReference w:id="74"/>
      </w:r>
      <w:r w:rsidRPr="00517910">
        <w:rPr>
          <w:rStyle w:val="AERbody"/>
        </w:rPr>
        <w:t xml:space="preserve"> </w:t>
      </w:r>
      <w:proofErr w:type="gramStart"/>
      <w:r w:rsidRPr="00517910">
        <w:rPr>
          <w:rStyle w:val="AERbody"/>
        </w:rPr>
        <w:t>We</w:t>
      </w:r>
      <w:proofErr w:type="gramEnd"/>
      <w:r w:rsidRPr="00517910">
        <w:rPr>
          <w:rStyle w:val="AERbody"/>
        </w:rPr>
        <w:t xml:space="preserve"> </w:t>
      </w:r>
      <w:r>
        <w:rPr>
          <w:rStyle w:val="AERbody"/>
        </w:rPr>
        <w:t>were not satisfied</w:t>
      </w:r>
      <w:r w:rsidRPr="00517910">
        <w:rPr>
          <w:rStyle w:val="AERbody"/>
        </w:rPr>
        <w:t xml:space="preserve"> </w:t>
      </w:r>
      <w:r>
        <w:rPr>
          <w:rStyle w:val="AERbody"/>
        </w:rPr>
        <w:t>that eight of the 90 projects were justified</w:t>
      </w:r>
      <w:r w:rsidRPr="00517910">
        <w:rPr>
          <w:rStyle w:val="AERbody"/>
        </w:rPr>
        <w:t>.</w:t>
      </w:r>
      <w:r>
        <w:rPr>
          <w:rStyle w:val="AERbody"/>
        </w:rPr>
        <w:t xml:space="preserve"> The eight projects consisted of expenditure for </w:t>
      </w:r>
      <w:proofErr w:type="spellStart"/>
      <w:r>
        <w:rPr>
          <w:rStyle w:val="AERbody"/>
        </w:rPr>
        <w:t>Zentec</w:t>
      </w:r>
      <w:proofErr w:type="spellEnd"/>
      <w:r>
        <w:rPr>
          <w:rStyle w:val="AERbody"/>
        </w:rPr>
        <w:t xml:space="preserve"> designs, in-line inspection costs for the Wilton to Horsley Park trunk pipeline and six projects on the Northern Trunk. The upgrade to the Northern Trunk depends on AGL's Gloucester Gas Project coming online</w:t>
      </w:r>
      <w:r w:rsidRPr="004B6446">
        <w:t xml:space="preserve"> </w:t>
      </w:r>
      <w:r>
        <w:rPr>
          <w:rStyle w:val="AERbody"/>
        </w:rPr>
        <w:t>leading to an</w:t>
      </w:r>
      <w:r w:rsidRPr="004B6446">
        <w:rPr>
          <w:rStyle w:val="AERbody"/>
        </w:rPr>
        <w:t xml:space="preserve"> increas</w:t>
      </w:r>
      <w:r>
        <w:rPr>
          <w:rStyle w:val="AERbody"/>
        </w:rPr>
        <w:t>e in</w:t>
      </w:r>
      <w:r w:rsidRPr="004B6446">
        <w:rPr>
          <w:rStyle w:val="AERbody"/>
        </w:rPr>
        <w:t xml:space="preserve"> the operating pressure at the Newcastle end of JGN's Northern Trunk</w:t>
      </w:r>
      <w:r>
        <w:rPr>
          <w:rStyle w:val="AERbody"/>
        </w:rPr>
        <w:t>.</w:t>
      </w:r>
      <w:r>
        <w:rPr>
          <w:rStyle w:val="FootnoteReference"/>
        </w:rPr>
        <w:footnoteReference w:id="75"/>
      </w:r>
    </w:p>
    <w:p w:rsidR="00AF753E" w:rsidRDefault="008F5B8A" w:rsidP="008F5B8A">
      <w:r>
        <w:rPr>
          <w:rStyle w:val="AERbody"/>
        </w:rPr>
        <w:t xml:space="preserve">In its revised proposal, JGN included $106.6 million </w:t>
      </w:r>
      <w:r w:rsidRPr="00517910">
        <w:rPr>
          <w:rStyle w:val="AERbody"/>
        </w:rPr>
        <w:t xml:space="preserve">($2015, </w:t>
      </w:r>
      <w:proofErr w:type="spellStart"/>
      <w:r w:rsidRPr="00517910">
        <w:rPr>
          <w:rStyle w:val="AERbody"/>
        </w:rPr>
        <w:t>unescalated</w:t>
      </w:r>
      <w:proofErr w:type="spellEnd"/>
      <w:r w:rsidRPr="00517910">
        <w:rPr>
          <w:rStyle w:val="AERbody"/>
        </w:rPr>
        <w:t xml:space="preserve"> direct costs, excluding overheads)</w:t>
      </w:r>
      <w:r>
        <w:rPr>
          <w:rStyle w:val="AERbody"/>
        </w:rPr>
        <w:t xml:space="preserve"> in facilities renewal and upgrade expenditure.</w:t>
      </w:r>
      <w:r w:rsidR="00C800FF">
        <w:rPr>
          <w:rStyle w:val="AERbody"/>
        </w:rPr>
        <w:t xml:space="preserve"> This reflects a decrease from </w:t>
      </w:r>
      <w:r w:rsidR="008839BF">
        <w:rPr>
          <w:rStyle w:val="AERbody"/>
        </w:rPr>
        <w:t xml:space="preserve">its </w:t>
      </w:r>
      <w:r w:rsidR="00C800FF">
        <w:rPr>
          <w:rStyle w:val="AERbody"/>
        </w:rPr>
        <w:t>initial proposal of</w:t>
      </w:r>
      <w:r>
        <w:rPr>
          <w:rStyle w:val="AERbody"/>
        </w:rPr>
        <w:t xml:space="preserve"> </w:t>
      </w:r>
      <w:r w:rsidR="00C800FF" w:rsidRPr="00517910">
        <w:rPr>
          <w:rStyle w:val="AERbody"/>
        </w:rPr>
        <w:t>$</w:t>
      </w:r>
      <w:r w:rsidR="00C800FF">
        <w:rPr>
          <w:rStyle w:val="AERbody"/>
        </w:rPr>
        <w:t>11</w:t>
      </w:r>
      <w:r w:rsidR="00C800FF" w:rsidRPr="00517910">
        <w:rPr>
          <w:rStyle w:val="AERbody"/>
        </w:rPr>
        <w:t>5</w:t>
      </w:r>
      <w:r w:rsidR="00C800FF">
        <w:rPr>
          <w:rStyle w:val="AERbody"/>
        </w:rPr>
        <w:t>.0</w:t>
      </w:r>
      <w:r w:rsidR="00C800FF" w:rsidRPr="00517910">
        <w:rPr>
          <w:rStyle w:val="AERbody"/>
        </w:rPr>
        <w:t xml:space="preserve"> million ($2015, </w:t>
      </w:r>
      <w:proofErr w:type="spellStart"/>
      <w:r w:rsidR="00C800FF" w:rsidRPr="00517910">
        <w:rPr>
          <w:rStyle w:val="AERbody"/>
        </w:rPr>
        <w:t>unescalated</w:t>
      </w:r>
      <w:proofErr w:type="spellEnd"/>
      <w:r w:rsidR="00C800FF">
        <w:rPr>
          <w:rStyle w:val="AERbody"/>
        </w:rPr>
        <w:t xml:space="preserve"> </w:t>
      </w:r>
      <w:r w:rsidR="00C800FF" w:rsidRPr="00517910">
        <w:rPr>
          <w:rStyle w:val="AERbody"/>
        </w:rPr>
        <w:t>direct costs, excluding overheads)</w:t>
      </w:r>
      <w:r w:rsidR="00C800FF">
        <w:rPr>
          <w:rStyle w:val="AERbody"/>
        </w:rPr>
        <w:t xml:space="preserve">. </w:t>
      </w:r>
      <w:r>
        <w:rPr>
          <w:rStyle w:val="AERbody"/>
        </w:rPr>
        <w:t>It did not re</w:t>
      </w:r>
      <w:r w:rsidR="008839BF">
        <w:rPr>
          <w:rStyle w:val="AERbody"/>
        </w:rPr>
        <w:t>-</w:t>
      </w:r>
      <w:r>
        <w:rPr>
          <w:rStyle w:val="AERbody"/>
        </w:rPr>
        <w:t xml:space="preserve">propose the </w:t>
      </w:r>
      <w:proofErr w:type="spellStart"/>
      <w:r>
        <w:rPr>
          <w:rStyle w:val="AERbody"/>
        </w:rPr>
        <w:t>Zentec</w:t>
      </w:r>
      <w:proofErr w:type="spellEnd"/>
      <w:r>
        <w:rPr>
          <w:rStyle w:val="AERbody"/>
        </w:rPr>
        <w:t xml:space="preserve"> design expenditure, submitting that</w:t>
      </w:r>
      <w:r w:rsidRPr="006F7333">
        <w:t xml:space="preserve"> </w:t>
      </w:r>
      <w:r>
        <w:rPr>
          <w:rStyle w:val="AERbody"/>
        </w:rPr>
        <w:t>it</w:t>
      </w:r>
      <w:r w:rsidRPr="006F7333">
        <w:rPr>
          <w:rStyle w:val="AERbody"/>
        </w:rPr>
        <w:t xml:space="preserve"> ha</w:t>
      </w:r>
      <w:r>
        <w:rPr>
          <w:rStyle w:val="AERbody"/>
        </w:rPr>
        <w:t>d</w:t>
      </w:r>
      <w:r w:rsidRPr="006F7333">
        <w:rPr>
          <w:rStyle w:val="AERbody"/>
        </w:rPr>
        <w:t xml:space="preserve"> now determined that the </w:t>
      </w:r>
      <w:r>
        <w:rPr>
          <w:rStyle w:val="AERbody"/>
        </w:rPr>
        <w:t>works are</w:t>
      </w:r>
      <w:r w:rsidRPr="006F7333">
        <w:rPr>
          <w:rStyle w:val="AERbody"/>
        </w:rPr>
        <w:t xml:space="preserve"> no longer required</w:t>
      </w:r>
      <w:r w:rsidR="009D6025">
        <w:rPr>
          <w:rStyle w:val="AERbody"/>
        </w:rPr>
        <w:t>.</w:t>
      </w:r>
      <w:r w:rsidR="00193356">
        <w:rPr>
          <w:rStyle w:val="AERbody"/>
        </w:rPr>
        <w:t xml:space="preserve"> However, JGN maintained that the </w:t>
      </w:r>
      <w:r w:rsidR="00C800FF">
        <w:rPr>
          <w:rStyle w:val="AERbody"/>
        </w:rPr>
        <w:t>other seven projects</w:t>
      </w:r>
      <w:r w:rsidR="00193356">
        <w:rPr>
          <w:rStyle w:val="AERbody"/>
        </w:rPr>
        <w:t xml:space="preserve"> were still required.</w:t>
      </w:r>
      <w:r>
        <w:rPr>
          <w:rStyle w:val="FootnoteReference"/>
        </w:rPr>
        <w:footnoteReference w:id="76"/>
      </w:r>
      <w:r w:rsidRPr="006F7333">
        <w:rPr>
          <w:rStyle w:val="AERbody"/>
        </w:rPr>
        <w:t xml:space="preserve"> </w:t>
      </w:r>
    </w:p>
    <w:p w:rsidR="00C800FF" w:rsidRPr="00123034" w:rsidRDefault="00C800FF" w:rsidP="00AF753E">
      <w:pPr>
        <w:numPr>
          <w:ilvl w:val="0"/>
          <w:numId w:val="25"/>
        </w:numPr>
        <w:rPr>
          <w:rStyle w:val="AERbody"/>
        </w:rPr>
      </w:pPr>
      <w:r>
        <w:t xml:space="preserve">Of the </w:t>
      </w:r>
      <w:r w:rsidR="009D6025">
        <w:t>p</w:t>
      </w:r>
      <w:r>
        <w:t>rojects we have accepted, based o</w:t>
      </w:r>
      <w:r w:rsidRPr="00D024AF">
        <w:t xml:space="preserve">n the advice provided by </w:t>
      </w:r>
      <w:proofErr w:type="spellStart"/>
      <w:r w:rsidRPr="00D024AF">
        <w:t>Sleeman</w:t>
      </w:r>
      <w:proofErr w:type="spellEnd"/>
      <w:r w:rsidRPr="00D024AF">
        <w:t xml:space="preserve"> Consulting</w:t>
      </w:r>
      <w:r w:rsidRPr="007956FF">
        <w:rPr>
          <w:rStyle w:val="FootnoteReference"/>
        </w:rPr>
        <w:footnoteReference w:id="77"/>
      </w:r>
      <w:r w:rsidRPr="00D024AF">
        <w:t xml:space="preserve">, we </w:t>
      </w:r>
      <w:r>
        <w:t>are satisfied</w:t>
      </w:r>
      <w:r w:rsidRPr="00D024AF">
        <w:t xml:space="preserve"> </w:t>
      </w:r>
      <w:r>
        <w:t>these</w:t>
      </w:r>
      <w:r w:rsidRPr="00D024AF">
        <w:t xml:space="preserve"> projects are justified under rules 79(2)(c)(</w:t>
      </w:r>
      <w:proofErr w:type="spellStart"/>
      <w:r w:rsidRPr="00D024AF">
        <w:t>i</w:t>
      </w:r>
      <w:proofErr w:type="spellEnd"/>
      <w:r w:rsidRPr="00D024AF">
        <w:t>)—(iv). This is on the basis that the capex is required to maintain safety, reliability, to meet minimum pressure obligations, and to be able to meet existing levels of demand.</w:t>
      </w:r>
    </w:p>
    <w:p w:rsidR="00AF753E" w:rsidRDefault="00AF753E" w:rsidP="00AF753E">
      <w:pPr>
        <w:rPr>
          <w:rStyle w:val="AERbody"/>
        </w:rPr>
      </w:pPr>
      <w:r>
        <w:rPr>
          <w:rStyle w:val="AERbody"/>
        </w:rPr>
        <w:t xml:space="preserve">In response to JGN's revised proposal, we assess that the in-line inspection costs for the Wilton to Horsley Park trunk pipeline is justified. On the basis of the advice from </w:t>
      </w:r>
      <w:proofErr w:type="spellStart"/>
      <w:r>
        <w:rPr>
          <w:rStyle w:val="AERbody"/>
        </w:rPr>
        <w:t>Sleeman</w:t>
      </w:r>
      <w:proofErr w:type="spellEnd"/>
      <w:r>
        <w:rPr>
          <w:rStyle w:val="AERbody"/>
        </w:rPr>
        <w:t xml:space="preserve"> Consulting we consider that</w:t>
      </w:r>
      <w:r w:rsidR="008839BF">
        <w:rPr>
          <w:rStyle w:val="AERbody"/>
        </w:rPr>
        <w:t>,</w:t>
      </w:r>
      <w:r>
        <w:rPr>
          <w:rStyle w:val="AERbody"/>
        </w:rPr>
        <w:t xml:space="preserve"> while unlikely, the possibility </w:t>
      </w:r>
      <w:r w:rsidR="003C28E1">
        <w:rPr>
          <w:rStyle w:val="AERbody"/>
        </w:rPr>
        <w:t xml:space="preserve">of </w:t>
      </w:r>
      <w:r>
        <w:rPr>
          <w:rStyle w:val="AERbody"/>
        </w:rPr>
        <w:t>stress corrosion conditions cannot be categorically discounted.</w:t>
      </w:r>
      <w:r w:rsidRPr="007956FF">
        <w:rPr>
          <w:rStyle w:val="FootnoteReference"/>
        </w:rPr>
        <w:footnoteReference w:id="78"/>
      </w:r>
      <w:r>
        <w:rPr>
          <w:rStyle w:val="AERbody"/>
        </w:rPr>
        <w:t xml:space="preserve"> We therefore accept that it is prudent to carry out the in-line inspection work and that the proposed costs are efficient. </w:t>
      </w:r>
    </w:p>
    <w:p w:rsidR="0055613D" w:rsidRPr="009C6FC4" w:rsidRDefault="00AF753E" w:rsidP="009C6FC4">
      <w:pPr>
        <w:numPr>
          <w:ilvl w:val="0"/>
          <w:numId w:val="25"/>
        </w:numPr>
        <w:rPr>
          <w:rStyle w:val="AERbody"/>
        </w:rPr>
      </w:pPr>
      <w:r>
        <w:rPr>
          <w:rStyle w:val="AERbody"/>
        </w:rPr>
        <w:t>We have not included JGN's proposed expenditure for the six projects on the Northern Trunk.</w:t>
      </w:r>
      <w:r w:rsidR="0055613D" w:rsidRPr="0055613D">
        <w:t xml:space="preserve"> </w:t>
      </w:r>
      <w:r w:rsidR="0055613D" w:rsidRPr="0055613D">
        <w:rPr>
          <w:rStyle w:val="AERbody"/>
        </w:rPr>
        <w:t>This is because we consider that the expenditure is</w:t>
      </w:r>
      <w:r w:rsidR="0055613D">
        <w:rPr>
          <w:rStyle w:val="AERbody"/>
        </w:rPr>
        <w:t xml:space="preserve"> not</w:t>
      </w:r>
      <w:r w:rsidR="0055613D" w:rsidRPr="0055613D">
        <w:rPr>
          <w:rStyle w:val="AERbody"/>
        </w:rPr>
        <w:t xml:space="preserve"> justified due to the lack </w:t>
      </w:r>
      <w:r w:rsidR="0055613D" w:rsidRPr="0055613D">
        <w:rPr>
          <w:rStyle w:val="AERbody"/>
        </w:rPr>
        <w:lastRenderedPageBreak/>
        <w:t>of certainty that the increased pressures will eventuate such that the proposed expenditure will be required.</w:t>
      </w:r>
    </w:p>
    <w:p w:rsidR="00123034" w:rsidRDefault="00123034" w:rsidP="00524245">
      <w:pPr>
        <w:pStyle w:val="Heading4"/>
      </w:pPr>
      <w:r w:rsidRPr="00275734">
        <w:t>SCADA</w:t>
      </w:r>
    </w:p>
    <w:p w:rsidR="00123034" w:rsidRDefault="00123034" w:rsidP="00123034">
      <w:pPr>
        <w:numPr>
          <w:ilvl w:val="0"/>
          <w:numId w:val="25"/>
        </w:numPr>
      </w:pPr>
      <w:r>
        <w:t xml:space="preserve">This capex category includes </w:t>
      </w:r>
      <w:r w:rsidRPr="00123034">
        <w:t xml:space="preserve">SCADA and network control hardware and IT. SCADA systems are used to control and monitor station plant remotely via Remote Telemetry Units (RTUs). The monitoring includes instrumentation, pressure, temperature, flow, environmental monitoring and other event data. </w:t>
      </w:r>
      <w:r w:rsidRPr="004F02AC">
        <w:t>Facilities in this category monitor and control network assets, and contribute to the performance of core</w:t>
      </w:r>
      <w:r>
        <w:t xml:space="preserve"> </w:t>
      </w:r>
      <w:r w:rsidRPr="004F02AC">
        <w:t>business functions including billing, gas despatch and distribution, and demand management.</w:t>
      </w:r>
      <w:r>
        <w:rPr>
          <w:rStyle w:val="FootnoteReference"/>
        </w:rPr>
        <w:footnoteReference w:id="79"/>
      </w:r>
      <w:r w:rsidRPr="00FC2047">
        <w:t xml:space="preserve"> </w:t>
      </w:r>
    </w:p>
    <w:p w:rsidR="009D6025" w:rsidRDefault="00641212" w:rsidP="00641212">
      <w:pPr>
        <w:numPr>
          <w:ilvl w:val="0"/>
          <w:numId w:val="25"/>
        </w:numPr>
        <w:rPr>
          <w:rStyle w:val="AERbody"/>
        </w:rPr>
      </w:pPr>
      <w:r w:rsidRPr="001D1E87">
        <w:rPr>
          <w:rStyle w:val="AERbody"/>
        </w:rPr>
        <w:t xml:space="preserve">We </w:t>
      </w:r>
      <w:r w:rsidR="00193356">
        <w:rPr>
          <w:rStyle w:val="AERbody"/>
        </w:rPr>
        <w:t>accept</w:t>
      </w:r>
      <w:r>
        <w:rPr>
          <w:rStyle w:val="AERbody"/>
        </w:rPr>
        <w:t xml:space="preserve"> JGN's expenditure of</w:t>
      </w:r>
      <w:r w:rsidRPr="001D1E87">
        <w:rPr>
          <w:rStyle w:val="AERbody"/>
        </w:rPr>
        <w:t xml:space="preserve"> $</w:t>
      </w:r>
      <w:r>
        <w:rPr>
          <w:rStyle w:val="AERbody"/>
        </w:rPr>
        <w:t>9.5</w:t>
      </w:r>
      <w:r w:rsidRPr="001D1E87">
        <w:rPr>
          <w:rStyle w:val="AERbody"/>
        </w:rPr>
        <w:t xml:space="preserve"> million ($2015, </w:t>
      </w:r>
      <w:proofErr w:type="spellStart"/>
      <w:r w:rsidRPr="001D1E87">
        <w:rPr>
          <w:rStyle w:val="AERbody"/>
        </w:rPr>
        <w:t>unescalated</w:t>
      </w:r>
      <w:proofErr w:type="spellEnd"/>
      <w:r w:rsidRPr="001D1E87">
        <w:rPr>
          <w:rStyle w:val="AERbody"/>
        </w:rPr>
        <w:t xml:space="preserve"> direct costs, excluding overheads) </w:t>
      </w:r>
      <w:r>
        <w:rPr>
          <w:rStyle w:val="AERbody"/>
        </w:rPr>
        <w:t>for</w:t>
      </w:r>
      <w:r w:rsidRPr="001D1E87">
        <w:rPr>
          <w:rStyle w:val="AERbody"/>
        </w:rPr>
        <w:t xml:space="preserve"> </w:t>
      </w:r>
      <w:r>
        <w:rPr>
          <w:rStyle w:val="AERbody"/>
        </w:rPr>
        <w:t>SCADA</w:t>
      </w:r>
      <w:r w:rsidR="009D6025">
        <w:rPr>
          <w:rStyle w:val="AERbody"/>
        </w:rPr>
        <w:t xml:space="preserve">.  We did not accept JGN's proposed total SCADA amount in our draft decision </w:t>
      </w:r>
      <w:r w:rsidR="00193356">
        <w:rPr>
          <w:rStyle w:val="AERbody"/>
        </w:rPr>
        <w:t>but replaced it with</w:t>
      </w:r>
      <w:r w:rsidR="009D6025" w:rsidRPr="001D1E87">
        <w:rPr>
          <w:rStyle w:val="AERbody"/>
        </w:rPr>
        <w:t xml:space="preserve"> $</w:t>
      </w:r>
      <w:r w:rsidR="009D6025">
        <w:rPr>
          <w:rStyle w:val="AERbody"/>
        </w:rPr>
        <w:t>3.2</w:t>
      </w:r>
      <w:r w:rsidR="009D6025" w:rsidRPr="001D1E87">
        <w:rPr>
          <w:rStyle w:val="AERbody"/>
        </w:rPr>
        <w:t xml:space="preserve"> million ($2015, </w:t>
      </w:r>
      <w:proofErr w:type="spellStart"/>
      <w:r w:rsidR="009D6025" w:rsidRPr="001D1E87">
        <w:rPr>
          <w:rStyle w:val="AERbody"/>
        </w:rPr>
        <w:t>unescalated</w:t>
      </w:r>
      <w:proofErr w:type="spellEnd"/>
      <w:r w:rsidR="009D6025" w:rsidRPr="001D1E87">
        <w:rPr>
          <w:rStyle w:val="AERbody"/>
        </w:rPr>
        <w:t xml:space="preserve"> direct costs, excluding overheads). </w:t>
      </w:r>
      <w:r w:rsidR="009D6025">
        <w:rPr>
          <w:rStyle w:val="AERbody"/>
        </w:rPr>
        <w:t>At that time, w</w:t>
      </w:r>
      <w:r w:rsidR="009D6025" w:rsidRPr="001D1E87">
        <w:rPr>
          <w:rStyle w:val="AERbody"/>
        </w:rPr>
        <w:t xml:space="preserve">e </w:t>
      </w:r>
      <w:r w:rsidR="009D6025">
        <w:rPr>
          <w:rStyle w:val="AERbody"/>
        </w:rPr>
        <w:t>were not satisfied</w:t>
      </w:r>
      <w:r w:rsidR="009D6025" w:rsidRPr="001D1E87">
        <w:rPr>
          <w:rStyle w:val="AERbody"/>
        </w:rPr>
        <w:t xml:space="preserve"> that </w:t>
      </w:r>
      <w:r w:rsidR="009D6025">
        <w:rPr>
          <w:rStyle w:val="AERbody"/>
        </w:rPr>
        <w:t xml:space="preserve">the </w:t>
      </w:r>
      <w:proofErr w:type="spellStart"/>
      <w:r w:rsidR="009D6025">
        <w:rPr>
          <w:rStyle w:val="AERbody"/>
        </w:rPr>
        <w:t>GENe</w:t>
      </w:r>
      <w:proofErr w:type="spellEnd"/>
      <w:r w:rsidR="009D6025">
        <w:rPr>
          <w:rStyle w:val="AERbody"/>
        </w:rPr>
        <w:t xml:space="preserve"> SCADA projects was justified and </w:t>
      </w:r>
      <w:r w:rsidR="00193356">
        <w:rPr>
          <w:rStyle w:val="AERbody"/>
        </w:rPr>
        <w:t xml:space="preserve">therefore </w:t>
      </w:r>
      <w:r w:rsidR="009D6025">
        <w:rPr>
          <w:rStyle w:val="AERbody"/>
        </w:rPr>
        <w:t xml:space="preserve">did not include </w:t>
      </w:r>
      <w:r w:rsidR="009D6025" w:rsidRPr="001D1E87">
        <w:rPr>
          <w:rStyle w:val="AERbody"/>
        </w:rPr>
        <w:t xml:space="preserve">JGN's proposed </w:t>
      </w:r>
      <w:r w:rsidR="009D6025">
        <w:rPr>
          <w:rStyle w:val="AERbody"/>
        </w:rPr>
        <w:t>expenditure in our capex forecast</w:t>
      </w:r>
      <w:r w:rsidR="009D6025" w:rsidRPr="001D1E87">
        <w:rPr>
          <w:rStyle w:val="AERbody"/>
        </w:rPr>
        <w:t>.</w:t>
      </w:r>
    </w:p>
    <w:p w:rsidR="008F5B8A" w:rsidRDefault="008F5B8A" w:rsidP="008F5B8A">
      <w:pPr>
        <w:numPr>
          <w:ilvl w:val="0"/>
          <w:numId w:val="25"/>
        </w:numPr>
        <w:rPr>
          <w:rStyle w:val="AERbody"/>
        </w:rPr>
      </w:pPr>
      <w:r>
        <w:rPr>
          <w:rStyle w:val="AERbody"/>
        </w:rPr>
        <w:t>In its revised proposal JGN re</w:t>
      </w:r>
      <w:r w:rsidR="003C28E1">
        <w:rPr>
          <w:rStyle w:val="AERbody"/>
        </w:rPr>
        <w:t>-</w:t>
      </w:r>
      <w:r>
        <w:rPr>
          <w:rStyle w:val="AERbody"/>
        </w:rPr>
        <w:t xml:space="preserve">proposed its initial SCADA expenditure, including the </w:t>
      </w:r>
      <w:proofErr w:type="spellStart"/>
      <w:r>
        <w:rPr>
          <w:rStyle w:val="AERbody"/>
        </w:rPr>
        <w:t>GENe</w:t>
      </w:r>
      <w:proofErr w:type="spellEnd"/>
      <w:r>
        <w:rPr>
          <w:rStyle w:val="AERbody"/>
        </w:rPr>
        <w:t xml:space="preserve"> projects.</w:t>
      </w:r>
      <w:r>
        <w:rPr>
          <w:rStyle w:val="FootnoteReference"/>
        </w:rPr>
        <w:footnoteReference w:id="80"/>
      </w:r>
      <w:r>
        <w:rPr>
          <w:rStyle w:val="AERbody"/>
        </w:rPr>
        <w:t xml:space="preserve"> It submitted further information from the </w:t>
      </w:r>
      <w:proofErr w:type="spellStart"/>
      <w:r>
        <w:rPr>
          <w:rStyle w:val="AERbody"/>
        </w:rPr>
        <w:t>GENe</w:t>
      </w:r>
      <w:proofErr w:type="spellEnd"/>
      <w:r>
        <w:rPr>
          <w:rStyle w:val="AERbody"/>
        </w:rPr>
        <w:t xml:space="preserve"> system supplier in support of its proposed expenditure.</w:t>
      </w:r>
      <w:r>
        <w:rPr>
          <w:rStyle w:val="FootnoteReference"/>
        </w:rPr>
        <w:footnoteReference w:id="81"/>
      </w:r>
      <w:r>
        <w:rPr>
          <w:rStyle w:val="AERbody"/>
        </w:rPr>
        <w:t xml:space="preserve"> </w:t>
      </w:r>
    </w:p>
    <w:p w:rsidR="009D6025" w:rsidRPr="001D1E87" w:rsidRDefault="009D6025" w:rsidP="009D6025">
      <w:pPr>
        <w:numPr>
          <w:ilvl w:val="0"/>
          <w:numId w:val="25"/>
        </w:numPr>
      </w:pPr>
      <w:r>
        <w:rPr>
          <w:rStyle w:val="AERbody"/>
        </w:rPr>
        <w:t xml:space="preserve">We reviewed </w:t>
      </w:r>
      <w:proofErr w:type="spellStart"/>
      <w:r>
        <w:rPr>
          <w:rStyle w:val="AERbody"/>
        </w:rPr>
        <w:t>Sleeman</w:t>
      </w:r>
      <w:proofErr w:type="spellEnd"/>
      <w:r>
        <w:rPr>
          <w:rStyle w:val="AERbody"/>
        </w:rPr>
        <w:t xml:space="preserve"> Consulting's advice and </w:t>
      </w:r>
      <w:r w:rsidR="00193356">
        <w:rPr>
          <w:rStyle w:val="AERbody"/>
        </w:rPr>
        <w:t xml:space="preserve">agree with </w:t>
      </w:r>
      <w:proofErr w:type="spellStart"/>
      <w:r w:rsidR="00193356">
        <w:rPr>
          <w:rStyle w:val="AERbody"/>
        </w:rPr>
        <w:t>Sleeman</w:t>
      </w:r>
      <w:proofErr w:type="spellEnd"/>
      <w:r w:rsidR="00520384">
        <w:rPr>
          <w:rStyle w:val="AERbody"/>
        </w:rPr>
        <w:t xml:space="preserve"> Consulting</w:t>
      </w:r>
      <w:r w:rsidR="00193356">
        <w:rPr>
          <w:rStyle w:val="AERbody"/>
        </w:rPr>
        <w:t xml:space="preserve"> that </w:t>
      </w:r>
      <w:r>
        <w:rPr>
          <w:rStyle w:val="AERbody"/>
        </w:rPr>
        <w:t xml:space="preserve">replacement of the </w:t>
      </w:r>
      <w:proofErr w:type="spellStart"/>
      <w:r>
        <w:rPr>
          <w:rStyle w:val="AERbody"/>
        </w:rPr>
        <w:t>GENe</w:t>
      </w:r>
      <w:proofErr w:type="spellEnd"/>
      <w:r>
        <w:rPr>
          <w:rStyle w:val="AERbody"/>
        </w:rPr>
        <w:t xml:space="preserve"> system is prudent.</w:t>
      </w:r>
      <w:r w:rsidRPr="007956FF">
        <w:rPr>
          <w:rStyle w:val="FootnoteReference"/>
        </w:rPr>
        <w:footnoteReference w:id="82"/>
      </w:r>
      <w:r>
        <w:rPr>
          <w:rStyle w:val="AERbody"/>
        </w:rPr>
        <w:t xml:space="preserve"> We assess that the proposed costs are efficient.</w:t>
      </w:r>
      <w:r w:rsidRPr="007956FF">
        <w:rPr>
          <w:rStyle w:val="FootnoteReference"/>
        </w:rPr>
        <w:footnoteReference w:id="83"/>
      </w:r>
      <w:r w:rsidR="00A82883">
        <w:rPr>
          <w:rStyle w:val="AERbody"/>
        </w:rPr>
        <w:t xml:space="preserve"> </w:t>
      </w:r>
      <w:r>
        <w:t>We</w:t>
      </w:r>
      <w:r w:rsidRPr="001D1E87">
        <w:t xml:space="preserve"> consider that </w:t>
      </w:r>
      <w:r>
        <w:t>these SCADA</w:t>
      </w:r>
      <w:r w:rsidRPr="001D1E87">
        <w:t xml:space="preserve"> </w:t>
      </w:r>
      <w:r>
        <w:t>projects are</w:t>
      </w:r>
      <w:r w:rsidRPr="001D1E87">
        <w:t xml:space="preserve"> justified under rules 79(2</w:t>
      </w:r>
      <w:proofErr w:type="gramStart"/>
      <w:r w:rsidRPr="001D1E87">
        <w:t>)(</w:t>
      </w:r>
      <w:proofErr w:type="gramEnd"/>
      <w:r w:rsidRPr="001D1E87">
        <w:t>c)(</w:t>
      </w:r>
      <w:proofErr w:type="spellStart"/>
      <w:r w:rsidRPr="001D1E87">
        <w:t>i</w:t>
      </w:r>
      <w:proofErr w:type="spellEnd"/>
      <w:r w:rsidRPr="001D1E87">
        <w:t>)—(iv), on the basis that the capex is required to maintain safety, reliability, to meet minimum pressure obligations, and to be able to meet existing levels of demand.</w:t>
      </w:r>
    </w:p>
    <w:p w:rsidR="00123034" w:rsidRDefault="00123034" w:rsidP="00524245">
      <w:pPr>
        <w:pStyle w:val="Heading4"/>
      </w:pPr>
      <w:r w:rsidRPr="00275734">
        <w:t>Meter renewal and upgrade</w:t>
      </w:r>
    </w:p>
    <w:p w:rsidR="00641212" w:rsidRPr="00641212" w:rsidRDefault="00641212" w:rsidP="00641212">
      <w:pPr>
        <w:numPr>
          <w:ilvl w:val="0"/>
          <w:numId w:val="25"/>
        </w:numPr>
      </w:pPr>
      <w:r w:rsidRPr="001D1E87">
        <w:rPr>
          <w:rStyle w:val="AERbody"/>
        </w:rPr>
        <w:t>We have</w:t>
      </w:r>
      <w:r>
        <w:rPr>
          <w:rStyle w:val="AERbody"/>
        </w:rPr>
        <w:t xml:space="preserve"> accepted JGN's revised expenditure of</w:t>
      </w:r>
      <w:r w:rsidRPr="00641212">
        <w:t xml:space="preserve"> $1</w:t>
      </w:r>
      <w:r>
        <w:t>48.4</w:t>
      </w:r>
      <w:r w:rsidRPr="00641212">
        <w:t xml:space="preserve"> million ($2015, </w:t>
      </w:r>
      <w:proofErr w:type="spellStart"/>
      <w:r w:rsidRPr="00641212">
        <w:t>unescalated</w:t>
      </w:r>
      <w:proofErr w:type="spellEnd"/>
      <w:r w:rsidRPr="00641212">
        <w:t xml:space="preserve"> direct costs, excluding overheads) of meter renewal and upgrade expenditure in our final capex decision. We are satisfied that this meter renewal and upgrade capex complies with r. 79(2</w:t>
      </w:r>
      <w:proofErr w:type="gramStart"/>
      <w:r w:rsidRPr="00641212">
        <w:t>)(</w:t>
      </w:r>
      <w:proofErr w:type="gramEnd"/>
      <w:r w:rsidRPr="00641212">
        <w:t xml:space="preserve">c)(ii) and (iii) of the NGR as it is required to maintain the integrity of gas services and meet the AS4944 regulatory requirements. </w:t>
      </w:r>
    </w:p>
    <w:p w:rsidR="001D52D0" w:rsidRDefault="00641212" w:rsidP="001D52D0">
      <w:pPr>
        <w:rPr>
          <w:rStyle w:val="AERbody"/>
        </w:rPr>
      </w:pPr>
      <w:r w:rsidRPr="00641212">
        <w:t xml:space="preserve">JGN initially proposed $150.2 million ($2015, </w:t>
      </w:r>
      <w:proofErr w:type="spellStart"/>
      <w:r w:rsidRPr="00641212">
        <w:t>unescalated</w:t>
      </w:r>
      <w:proofErr w:type="spellEnd"/>
      <w:r w:rsidRPr="00641212">
        <w:t xml:space="preserve"> direct costs, excluding overheads) of meter renewal and upgrade expenditure. In our draft decision we </w:t>
      </w:r>
      <w:r w:rsidRPr="00641212">
        <w:lastRenderedPageBreak/>
        <w:t xml:space="preserve">included $124.5 million ($2015, </w:t>
      </w:r>
      <w:proofErr w:type="spellStart"/>
      <w:r w:rsidRPr="00641212">
        <w:t>unescalated</w:t>
      </w:r>
      <w:proofErr w:type="spellEnd"/>
      <w:r w:rsidRPr="00641212">
        <w:t xml:space="preserve"> direct costs, excluding overheads) of</w:t>
      </w:r>
      <w:r w:rsidR="001D52D0">
        <w:t xml:space="preserve"> </w:t>
      </w:r>
      <w:r w:rsidR="001D52D0">
        <w:rPr>
          <w:rStyle w:val="AERbody"/>
        </w:rPr>
        <w:t>meter renewal and upgrade expenditure.</w:t>
      </w:r>
      <w:r w:rsidR="001D52D0" w:rsidRPr="00C720B9">
        <w:rPr>
          <w:rStyle w:val="FootnoteReference"/>
        </w:rPr>
        <w:t xml:space="preserve"> </w:t>
      </w:r>
      <w:r w:rsidR="001D52D0">
        <w:rPr>
          <w:rStyle w:val="FootnoteReference"/>
        </w:rPr>
        <w:footnoteReference w:id="84"/>
      </w:r>
      <w:r w:rsidR="001D52D0">
        <w:rPr>
          <w:rStyle w:val="AERbody"/>
        </w:rPr>
        <w:t xml:space="preserve"> We assessed that four projects were not prudent </w:t>
      </w:r>
      <w:r w:rsidR="00967B59">
        <w:rPr>
          <w:rStyle w:val="AERbody"/>
        </w:rPr>
        <w:t xml:space="preserve">— </w:t>
      </w:r>
      <w:r w:rsidR="001D52D0">
        <w:rPr>
          <w:rStyle w:val="AERbody"/>
        </w:rPr>
        <w:t xml:space="preserve">planned replacement of the </w:t>
      </w:r>
      <w:proofErr w:type="spellStart"/>
      <w:r w:rsidR="001D52D0">
        <w:rPr>
          <w:rStyle w:val="AERbody"/>
        </w:rPr>
        <w:t>Metretek</w:t>
      </w:r>
      <w:proofErr w:type="spellEnd"/>
      <w:r w:rsidR="001D52D0">
        <w:rPr>
          <w:rStyle w:val="AERbody"/>
        </w:rPr>
        <w:t xml:space="preserve"> system, planned replacement of </w:t>
      </w:r>
      <w:proofErr w:type="spellStart"/>
      <w:r w:rsidR="001D52D0">
        <w:rPr>
          <w:rStyle w:val="AERbody"/>
        </w:rPr>
        <w:t>Metretek</w:t>
      </w:r>
      <w:proofErr w:type="spellEnd"/>
      <w:r w:rsidR="009822E2">
        <w:rPr>
          <w:rStyle w:val="AERbody"/>
        </w:rPr>
        <w:t xml:space="preserve"> device</w:t>
      </w:r>
      <w:r w:rsidR="001D52D0">
        <w:rPr>
          <w:rStyle w:val="AERbody"/>
        </w:rPr>
        <w:t xml:space="preserve">s, planned replacement of MDL equipment, and upgrade of MDL modems due to NBN rollout. We also assessed that two projects were not efficient </w:t>
      </w:r>
      <w:r w:rsidR="00967B59">
        <w:rPr>
          <w:rStyle w:val="AERbody"/>
        </w:rPr>
        <w:t xml:space="preserve">– </w:t>
      </w:r>
      <w:r w:rsidR="001D52D0">
        <w:rPr>
          <w:rStyle w:val="AERbody"/>
        </w:rPr>
        <w:t>d</w:t>
      </w:r>
      <w:r w:rsidR="001D52D0" w:rsidRPr="00472376">
        <w:rPr>
          <w:rStyle w:val="AERbody"/>
        </w:rPr>
        <w:t>efective replacement of I&amp;C gas meters</w:t>
      </w:r>
      <w:r w:rsidR="001D52D0">
        <w:rPr>
          <w:rStyle w:val="AERbody"/>
        </w:rPr>
        <w:t xml:space="preserve"> and defective replacement of Mercury/</w:t>
      </w:r>
      <w:proofErr w:type="spellStart"/>
      <w:r w:rsidR="001D52D0">
        <w:rPr>
          <w:rStyle w:val="AERbody"/>
        </w:rPr>
        <w:t>Metretek</w:t>
      </w:r>
      <w:proofErr w:type="spellEnd"/>
      <w:r w:rsidR="001D52D0">
        <w:rPr>
          <w:rStyle w:val="AERbody"/>
        </w:rPr>
        <w:t xml:space="preserve"> equipment.</w:t>
      </w:r>
      <w:r w:rsidR="001D52D0">
        <w:rPr>
          <w:rStyle w:val="FootnoteReference"/>
        </w:rPr>
        <w:footnoteReference w:id="85"/>
      </w:r>
    </w:p>
    <w:p w:rsidR="009822E2" w:rsidRDefault="009822E2" w:rsidP="009822E2">
      <w:pPr>
        <w:rPr>
          <w:rStyle w:val="AERbody"/>
        </w:rPr>
      </w:pPr>
      <w:r>
        <w:rPr>
          <w:rStyle w:val="AERbody"/>
        </w:rPr>
        <w:t xml:space="preserve">In support of the replacement of the </w:t>
      </w:r>
      <w:proofErr w:type="spellStart"/>
      <w:r w:rsidR="00EE065D">
        <w:rPr>
          <w:rStyle w:val="AERbody"/>
        </w:rPr>
        <w:t>M</w:t>
      </w:r>
      <w:r>
        <w:rPr>
          <w:rStyle w:val="AERbody"/>
        </w:rPr>
        <w:t>etretek</w:t>
      </w:r>
      <w:proofErr w:type="spellEnd"/>
      <w:r>
        <w:rPr>
          <w:rStyle w:val="AERbody"/>
        </w:rPr>
        <w:t xml:space="preserve"> central data collection system, JGN provided further information. We considered advice from </w:t>
      </w:r>
      <w:proofErr w:type="spellStart"/>
      <w:r>
        <w:rPr>
          <w:rStyle w:val="AERbody"/>
        </w:rPr>
        <w:t>Sleeman</w:t>
      </w:r>
      <w:proofErr w:type="spellEnd"/>
      <w:r>
        <w:rPr>
          <w:rStyle w:val="AERbody"/>
        </w:rPr>
        <w:t xml:space="preserve"> Consulting and assessed that the proposed replacement is prudent and efficient.</w:t>
      </w:r>
      <w:r w:rsidRPr="007956FF">
        <w:rPr>
          <w:rStyle w:val="FootnoteReference"/>
        </w:rPr>
        <w:footnoteReference w:id="86"/>
      </w:r>
      <w:r>
        <w:rPr>
          <w:rStyle w:val="AERbody"/>
        </w:rPr>
        <w:t xml:space="preserve"> This is because</w:t>
      </w:r>
      <w:r w:rsidR="00A82883">
        <w:rPr>
          <w:rStyle w:val="AERbody"/>
        </w:rPr>
        <w:t xml:space="preserve"> we consider</w:t>
      </w:r>
      <w:r>
        <w:rPr>
          <w:rStyle w:val="AERbody"/>
        </w:rPr>
        <w:t xml:space="preserve"> it is prudent to upgrade the "Power Spring" data management software within the 2015-20 access arrangement </w:t>
      </w:r>
      <w:proofErr w:type="gramStart"/>
      <w:r>
        <w:rPr>
          <w:rStyle w:val="AERbody"/>
        </w:rPr>
        <w:t>period</w:t>
      </w:r>
      <w:proofErr w:type="gramEnd"/>
      <w:r>
        <w:rPr>
          <w:rStyle w:val="AERbody"/>
        </w:rPr>
        <w:t xml:space="preserve"> due to the DC2009 data management software being unsupported from 2016.</w:t>
      </w:r>
    </w:p>
    <w:p w:rsidR="00B969E9" w:rsidRDefault="00D53A08" w:rsidP="00B969E9">
      <w:pPr>
        <w:rPr>
          <w:rStyle w:val="AERbody"/>
        </w:rPr>
      </w:pPr>
      <w:r>
        <w:rPr>
          <w:rStyle w:val="AERbody"/>
        </w:rPr>
        <w:t xml:space="preserve">For the planned replacement of </w:t>
      </w:r>
      <w:proofErr w:type="spellStart"/>
      <w:r>
        <w:rPr>
          <w:rStyle w:val="AERbody"/>
        </w:rPr>
        <w:t>Metretek</w:t>
      </w:r>
      <w:proofErr w:type="spellEnd"/>
      <w:r>
        <w:rPr>
          <w:rStyle w:val="AERbody"/>
        </w:rPr>
        <w:t xml:space="preserve"> devices, </w:t>
      </w:r>
      <w:r w:rsidR="00B969E9">
        <w:rPr>
          <w:rStyle w:val="AERbody"/>
        </w:rPr>
        <w:t xml:space="preserve">we considered and accepted advice from </w:t>
      </w:r>
      <w:proofErr w:type="spellStart"/>
      <w:r w:rsidR="00B969E9">
        <w:rPr>
          <w:rStyle w:val="AERbody"/>
        </w:rPr>
        <w:t>Sleeman</w:t>
      </w:r>
      <w:proofErr w:type="spellEnd"/>
      <w:r w:rsidR="00B969E9">
        <w:rPr>
          <w:rStyle w:val="AERbody"/>
        </w:rPr>
        <w:t xml:space="preserve"> Consulting that </w:t>
      </w:r>
      <w:r>
        <w:rPr>
          <w:rStyle w:val="AERbody"/>
        </w:rPr>
        <w:t xml:space="preserve">while the two versions of </w:t>
      </w:r>
      <w:proofErr w:type="spellStart"/>
      <w:r>
        <w:rPr>
          <w:rStyle w:val="AERbody"/>
        </w:rPr>
        <w:t>Metretek</w:t>
      </w:r>
      <w:proofErr w:type="spellEnd"/>
      <w:r>
        <w:rPr>
          <w:rStyle w:val="AERbody"/>
        </w:rPr>
        <w:t xml:space="preserve"> devices are not directly compatible with the NBN, </w:t>
      </w:r>
      <w:r w:rsidR="00B969E9">
        <w:rPr>
          <w:rStyle w:val="AERbody"/>
        </w:rPr>
        <w:t xml:space="preserve">an alternative to the replacement of the existing </w:t>
      </w:r>
      <w:proofErr w:type="spellStart"/>
      <w:r w:rsidR="00B969E9">
        <w:rPr>
          <w:rStyle w:val="AERbody"/>
        </w:rPr>
        <w:t>Metretek</w:t>
      </w:r>
      <w:proofErr w:type="spellEnd"/>
      <w:r w:rsidR="00B969E9">
        <w:rPr>
          <w:rStyle w:val="AERbody"/>
        </w:rPr>
        <w:t xml:space="preserve"> with an NBN compatible one, is the installation of an analogue telephone adapter.</w:t>
      </w:r>
      <w:r w:rsidR="00B969E9" w:rsidRPr="007956FF">
        <w:rPr>
          <w:rStyle w:val="FootnoteReference"/>
        </w:rPr>
        <w:footnoteReference w:id="87"/>
      </w:r>
      <w:r w:rsidR="00B969E9">
        <w:rPr>
          <w:rStyle w:val="AERbody"/>
        </w:rPr>
        <w:t xml:space="preserve"> </w:t>
      </w:r>
      <w:proofErr w:type="spellStart"/>
      <w:r w:rsidR="00B969E9">
        <w:rPr>
          <w:rStyle w:val="AERbody"/>
        </w:rPr>
        <w:t>Sleeman</w:t>
      </w:r>
      <w:proofErr w:type="spellEnd"/>
      <w:r w:rsidR="00B969E9">
        <w:rPr>
          <w:rStyle w:val="AERbody"/>
        </w:rPr>
        <w:t xml:space="preserve"> Consulting advise</w:t>
      </w:r>
      <w:r w:rsidR="00840943">
        <w:rPr>
          <w:rStyle w:val="AERbody"/>
        </w:rPr>
        <w:t>d</w:t>
      </w:r>
      <w:r w:rsidR="00B969E9">
        <w:rPr>
          <w:rStyle w:val="AERbody"/>
        </w:rPr>
        <w:t xml:space="preserve"> that this alternative would not unnecessarily compromise JGN's historic 'run to failure' strategy.</w:t>
      </w:r>
      <w:r w:rsidR="00B969E9" w:rsidRPr="007956FF">
        <w:rPr>
          <w:rStyle w:val="FootnoteReference"/>
        </w:rPr>
        <w:footnoteReference w:id="88"/>
      </w:r>
      <w:r w:rsidR="00B969E9">
        <w:rPr>
          <w:rStyle w:val="AERbody"/>
        </w:rPr>
        <w:t xml:space="preserve"> </w:t>
      </w:r>
      <w:r w:rsidR="00B969E9">
        <w:t xml:space="preserve">However, on applying the adjustment suggested by </w:t>
      </w:r>
      <w:proofErr w:type="spellStart"/>
      <w:r w:rsidR="00B969E9">
        <w:t>Sleeman</w:t>
      </w:r>
      <w:proofErr w:type="spellEnd"/>
      <w:r w:rsidR="00B969E9">
        <w:t xml:space="preserve"> Consulting we found that the cost differential was </w:t>
      </w:r>
      <w:r w:rsidR="00840943">
        <w:t>negligible</w:t>
      </w:r>
      <w:r w:rsidR="00B969E9">
        <w:t>. Due to the immaterial difference between our forecast and JGN's we have accepted the proposed expenditure.</w:t>
      </w:r>
    </w:p>
    <w:p w:rsidR="009822E2" w:rsidRDefault="00840943" w:rsidP="001D52D0">
      <w:pPr>
        <w:numPr>
          <w:ilvl w:val="0"/>
          <w:numId w:val="25"/>
        </w:numPr>
        <w:rPr>
          <w:rStyle w:val="AERbody"/>
        </w:rPr>
      </w:pPr>
      <w:r>
        <w:rPr>
          <w:rStyle w:val="AERbody"/>
        </w:rPr>
        <w:t xml:space="preserve">For the upgrade of MDL modems due to NBN rollout, we considered and accepted </w:t>
      </w:r>
      <w:proofErr w:type="spellStart"/>
      <w:r w:rsidR="009822E2">
        <w:rPr>
          <w:rStyle w:val="AERbody"/>
        </w:rPr>
        <w:t>Sleeman</w:t>
      </w:r>
      <w:proofErr w:type="spellEnd"/>
      <w:r w:rsidR="009822E2">
        <w:rPr>
          <w:rStyle w:val="AERbody"/>
        </w:rPr>
        <w:t xml:space="preserve"> Consulting</w:t>
      </w:r>
      <w:r>
        <w:rPr>
          <w:rStyle w:val="AERbody"/>
        </w:rPr>
        <w:t>'s</w:t>
      </w:r>
      <w:r w:rsidR="009822E2">
        <w:rPr>
          <w:rStyle w:val="AERbody"/>
        </w:rPr>
        <w:t xml:space="preserve"> advice</w:t>
      </w:r>
      <w:r>
        <w:rPr>
          <w:rStyle w:val="AERbody"/>
        </w:rPr>
        <w:t xml:space="preserve"> </w:t>
      </w:r>
      <w:r w:rsidR="009822E2">
        <w:rPr>
          <w:rStyle w:val="AERbody"/>
        </w:rPr>
        <w:t>that JGN's proposed expenditure for the upgrade of MDL modems to ensure NBN compatibility is prudent and efficient.</w:t>
      </w:r>
      <w:r w:rsidR="009822E2" w:rsidRPr="00DF047A">
        <w:rPr>
          <w:rStyle w:val="FootnoteReference"/>
        </w:rPr>
        <w:t xml:space="preserve"> </w:t>
      </w:r>
      <w:r w:rsidR="009822E2" w:rsidRPr="007956FF">
        <w:rPr>
          <w:rStyle w:val="FootnoteReference"/>
        </w:rPr>
        <w:footnoteReference w:id="89"/>
      </w:r>
    </w:p>
    <w:p w:rsidR="001D52D0" w:rsidRDefault="001D52D0" w:rsidP="001D52D0">
      <w:r>
        <w:rPr>
          <w:rStyle w:val="AERbody"/>
        </w:rPr>
        <w:t>In relation to the d</w:t>
      </w:r>
      <w:r w:rsidRPr="00472376">
        <w:rPr>
          <w:rStyle w:val="AERbody"/>
        </w:rPr>
        <w:t>efective replacement of I&amp;C gas meters</w:t>
      </w:r>
      <w:r>
        <w:rPr>
          <w:rStyle w:val="AERbody"/>
        </w:rPr>
        <w:t xml:space="preserve"> project, JGN proposed an increase in the volume of meters to be replaced</w:t>
      </w:r>
      <w:r w:rsidR="00A54004">
        <w:rPr>
          <w:rStyle w:val="AERbody"/>
        </w:rPr>
        <w:t>. This wa</w:t>
      </w:r>
      <w:r>
        <w:rPr>
          <w:rStyle w:val="AERbody"/>
        </w:rPr>
        <w:t>s based on a forecast of 5.5 per cent compounding growth. This is notwithstanding that the rate of replacement dropped off considerably following a large increase between 2010 and 2012.</w:t>
      </w:r>
      <w:r w:rsidRPr="007956FF">
        <w:rPr>
          <w:rStyle w:val="FootnoteReference"/>
        </w:rPr>
        <w:footnoteReference w:id="90"/>
      </w:r>
      <w:r>
        <w:rPr>
          <w:rStyle w:val="AERbody"/>
        </w:rPr>
        <w:t xml:space="preserve"> We </w:t>
      </w:r>
      <w:r>
        <w:rPr>
          <w:rStyle w:val="AERbody"/>
        </w:rPr>
        <w:lastRenderedPageBreak/>
        <w:t xml:space="preserve">considered </w:t>
      </w:r>
      <w:proofErr w:type="spellStart"/>
      <w:r>
        <w:rPr>
          <w:rStyle w:val="AERbody"/>
        </w:rPr>
        <w:t>Sleeman</w:t>
      </w:r>
      <w:proofErr w:type="spellEnd"/>
      <w:r>
        <w:rPr>
          <w:rStyle w:val="AERbody"/>
        </w:rPr>
        <w:t xml:space="preserve"> Consulting's advice </w:t>
      </w:r>
      <w:r w:rsidR="00A54004">
        <w:rPr>
          <w:rStyle w:val="AERbody"/>
        </w:rPr>
        <w:t xml:space="preserve">regarding </w:t>
      </w:r>
      <w:r>
        <w:rPr>
          <w:rStyle w:val="AERbody"/>
        </w:rPr>
        <w:t>th</w:t>
      </w:r>
      <w:r w:rsidR="00A54004">
        <w:rPr>
          <w:rStyle w:val="AERbody"/>
        </w:rPr>
        <w:t xml:space="preserve">e </w:t>
      </w:r>
      <w:r>
        <w:rPr>
          <w:rStyle w:val="AERbody"/>
        </w:rPr>
        <w:t>prudent and efficient volume of meters. This is based on fitting a logarithmic trend line which is a better fit than the linear trend line applied by JGN.</w:t>
      </w:r>
      <w:r w:rsidRPr="007956FF">
        <w:rPr>
          <w:rStyle w:val="FootnoteReference"/>
        </w:rPr>
        <w:footnoteReference w:id="91"/>
      </w:r>
      <w:r w:rsidR="00C42021">
        <w:rPr>
          <w:rStyle w:val="AERbody"/>
        </w:rPr>
        <w:t xml:space="preserve"> </w:t>
      </w:r>
      <w:r w:rsidR="00C42021">
        <w:t xml:space="preserve">However, on applying the adjustment suggested by </w:t>
      </w:r>
      <w:proofErr w:type="spellStart"/>
      <w:r w:rsidR="00C42021">
        <w:t>Sleeman</w:t>
      </w:r>
      <w:proofErr w:type="spellEnd"/>
      <w:r w:rsidR="00C42021">
        <w:t xml:space="preserve"> Consulting we found that the cost differential </w:t>
      </w:r>
      <w:r w:rsidR="00A54004">
        <w:t>was $0.</w:t>
      </w:r>
      <w:r w:rsidR="000D553F">
        <w:t>1</w:t>
      </w:r>
      <w:r w:rsidR="00C42021">
        <w:t xml:space="preserve"> million. Due to the immaterial difference between our forecast and JGN's we have accepted the proposed expenditure.</w:t>
      </w:r>
    </w:p>
    <w:p w:rsidR="00E25580" w:rsidDel="00F84A23" w:rsidRDefault="00B969E9" w:rsidP="000860BD">
      <w:pPr>
        <w:rPr>
          <w:rStyle w:val="AERbody"/>
        </w:rPr>
      </w:pPr>
      <w:r>
        <w:rPr>
          <w:rStyle w:val="AERbody"/>
        </w:rPr>
        <w:t>With respect to the defective replacement of Mercury/</w:t>
      </w:r>
      <w:proofErr w:type="spellStart"/>
      <w:r>
        <w:rPr>
          <w:rStyle w:val="AERbody"/>
        </w:rPr>
        <w:t>Metretek</w:t>
      </w:r>
      <w:proofErr w:type="spellEnd"/>
      <w:r>
        <w:rPr>
          <w:rStyle w:val="AERbody"/>
        </w:rPr>
        <w:t xml:space="preserve"> devices, JGN provided further information which indicates that full replacement of a </w:t>
      </w:r>
      <w:proofErr w:type="spellStart"/>
      <w:r>
        <w:rPr>
          <w:rStyle w:val="AERbody"/>
        </w:rPr>
        <w:t>Metretek</w:t>
      </w:r>
      <w:proofErr w:type="spellEnd"/>
      <w:r>
        <w:rPr>
          <w:rStyle w:val="AERbody"/>
        </w:rPr>
        <w:t xml:space="preserve"> device is required when a component fails. We considered and accepted </w:t>
      </w:r>
      <w:proofErr w:type="spellStart"/>
      <w:r>
        <w:rPr>
          <w:rStyle w:val="AERbody"/>
        </w:rPr>
        <w:t>Sleeman</w:t>
      </w:r>
      <w:proofErr w:type="spellEnd"/>
      <w:r w:rsidR="00520384">
        <w:rPr>
          <w:rStyle w:val="AERbody"/>
        </w:rPr>
        <w:t xml:space="preserve"> Consulting</w:t>
      </w:r>
      <w:r>
        <w:rPr>
          <w:rStyle w:val="AERbody"/>
        </w:rPr>
        <w:t>'s advice that this was prudent and efficient expenditure.</w:t>
      </w:r>
    </w:p>
    <w:p w:rsidR="00123034" w:rsidRDefault="00123034" w:rsidP="00524245">
      <w:pPr>
        <w:pStyle w:val="Heading4"/>
      </w:pPr>
      <w:r w:rsidRPr="00275734">
        <w:t>Government authority work</w:t>
      </w:r>
    </w:p>
    <w:p w:rsidR="00123034" w:rsidRPr="003F23E4" w:rsidRDefault="00123034" w:rsidP="00123034">
      <w:pPr>
        <w:numPr>
          <w:ilvl w:val="0"/>
          <w:numId w:val="25"/>
        </w:numPr>
      </w:pPr>
      <w:r>
        <w:t xml:space="preserve">Government authority work (GAW) is expenditure for relocating gas mains or facilities on government or private property. </w:t>
      </w:r>
    </w:p>
    <w:p w:rsidR="009E579A" w:rsidRDefault="009E579A" w:rsidP="009E579A">
      <w:pPr>
        <w:numPr>
          <w:ilvl w:val="0"/>
          <w:numId w:val="25"/>
        </w:numPr>
        <w:rPr>
          <w:rStyle w:val="AERbody"/>
        </w:rPr>
      </w:pPr>
      <w:r>
        <w:rPr>
          <w:rStyle w:val="AERbody"/>
        </w:rPr>
        <w:t xml:space="preserve">We have </w:t>
      </w:r>
      <w:r w:rsidR="00F6567F">
        <w:rPr>
          <w:rStyle w:val="AERbody"/>
        </w:rPr>
        <w:t>accepted JGN's revised expenditure of</w:t>
      </w:r>
      <w:r>
        <w:rPr>
          <w:rStyle w:val="AERbody"/>
        </w:rPr>
        <w:t xml:space="preserve"> $</w:t>
      </w:r>
      <w:r w:rsidR="00F6567F">
        <w:rPr>
          <w:rStyle w:val="AERbody"/>
        </w:rPr>
        <w:t>2</w:t>
      </w:r>
      <w:r>
        <w:rPr>
          <w:rStyle w:val="AERbody"/>
        </w:rPr>
        <w:t xml:space="preserve">.5 million </w:t>
      </w:r>
      <w:r w:rsidRPr="00DD5172">
        <w:rPr>
          <w:rStyle w:val="AERbody"/>
        </w:rPr>
        <w:t xml:space="preserve">($2015, </w:t>
      </w:r>
      <w:proofErr w:type="spellStart"/>
      <w:r w:rsidRPr="00847A6C">
        <w:rPr>
          <w:rStyle w:val="AERbody"/>
        </w:rPr>
        <w:t>unescalated</w:t>
      </w:r>
      <w:proofErr w:type="spellEnd"/>
      <w:r w:rsidRPr="00847A6C">
        <w:rPr>
          <w:rStyle w:val="AERbody"/>
        </w:rPr>
        <w:t xml:space="preserve"> direct costs, excluding overheads</w:t>
      </w:r>
      <w:r w:rsidRPr="00DD5172">
        <w:rPr>
          <w:rStyle w:val="AERbody"/>
        </w:rPr>
        <w:t>)</w:t>
      </w:r>
      <w:r>
        <w:rPr>
          <w:rStyle w:val="AERbody"/>
        </w:rPr>
        <w:t xml:space="preserve"> of GAW expenditure in our capex forecast. </w:t>
      </w:r>
      <w:r w:rsidRPr="003F23E4">
        <w:t xml:space="preserve">We </w:t>
      </w:r>
      <w:r>
        <w:t>are satisfied</w:t>
      </w:r>
      <w:r w:rsidRPr="003F23E4">
        <w:t xml:space="preserve"> that GAW is justified on the basis of rule 79(2)(c)(iv), that is, to maintain the service provider's capacity to meet levels of demand for services existing at the time the capex is incurred.</w:t>
      </w:r>
    </w:p>
    <w:p w:rsidR="007666D9" w:rsidRPr="007666D9" w:rsidRDefault="007666D9" w:rsidP="007666D9">
      <w:pPr>
        <w:pStyle w:val="ListParagraph"/>
        <w:numPr>
          <w:ilvl w:val="0"/>
          <w:numId w:val="25"/>
        </w:numPr>
        <w:rPr>
          <w:rStyle w:val="AERbody"/>
        </w:rPr>
      </w:pPr>
      <w:r w:rsidRPr="007666D9">
        <w:rPr>
          <w:rStyle w:val="AERbody"/>
        </w:rPr>
        <w:t>In its revised proposal JGN proposed GAW capex of $0.5 million per year. JGN submitted that 'while not stated explicitly in our initial proposal, JGN’s proposed forecast of capex for GAW is in fact net of contributions'.</w:t>
      </w:r>
      <w:r w:rsidRPr="007666D9">
        <w:rPr>
          <w:rStyle w:val="FootnoteReference"/>
        </w:rPr>
        <w:footnoteReference w:id="92"/>
      </w:r>
      <w:r w:rsidRPr="007666D9">
        <w:rPr>
          <w:rStyle w:val="AERbody"/>
        </w:rPr>
        <w:t xml:space="preserve"> </w:t>
      </w:r>
    </w:p>
    <w:p w:rsidR="007666D9" w:rsidRDefault="007666D9" w:rsidP="007666D9">
      <w:pPr>
        <w:numPr>
          <w:ilvl w:val="0"/>
          <w:numId w:val="25"/>
        </w:numPr>
        <w:rPr>
          <w:rStyle w:val="AERbody"/>
        </w:rPr>
      </w:pPr>
      <w:r>
        <w:rPr>
          <w:rStyle w:val="AERbody"/>
        </w:rPr>
        <w:t>JGN's response to an information request indicated that the larger projects involving asset relocation on a third party's property is fully cost recovered. JGN submitted that there are legacy issues, where some assets are located on private property and are required to be moved at JGN's expense at the request of the property owner.</w:t>
      </w:r>
      <w:r>
        <w:rPr>
          <w:rStyle w:val="FootnoteReference"/>
        </w:rPr>
        <w:footnoteReference w:id="93"/>
      </w:r>
      <w:r>
        <w:rPr>
          <w:rStyle w:val="AERbody"/>
        </w:rPr>
        <w:t xml:space="preserve"> JGN provided data on these smaller JGN-funded relocations for regulatory years 2010 to 2015. We took an average of the amounts over the six years to arrive at our forecast of $0.3 million per year. </w:t>
      </w:r>
      <w:r w:rsidR="009D6025">
        <w:t>D</w:t>
      </w:r>
      <w:r>
        <w:t>ue to the immaterial difference between our forecast and JGN's we have accepted the proposed expenditure.</w:t>
      </w:r>
    </w:p>
    <w:p w:rsidR="007666D9" w:rsidRDefault="007666D9" w:rsidP="007666D9">
      <w:pPr>
        <w:numPr>
          <w:ilvl w:val="0"/>
          <w:numId w:val="25"/>
        </w:numPr>
        <w:rPr>
          <w:rStyle w:val="AERbody"/>
        </w:rPr>
      </w:pPr>
      <w:r>
        <w:rPr>
          <w:rStyle w:val="AERbody"/>
        </w:rPr>
        <w:t xml:space="preserve">In our draft decision we included $1.8 million </w:t>
      </w:r>
      <w:r w:rsidRPr="00DD5172">
        <w:rPr>
          <w:rStyle w:val="AERbody"/>
        </w:rPr>
        <w:t xml:space="preserve">($2015, </w:t>
      </w:r>
      <w:proofErr w:type="spellStart"/>
      <w:r w:rsidRPr="00847A6C">
        <w:rPr>
          <w:rStyle w:val="AERbody"/>
        </w:rPr>
        <w:t>unescalated</w:t>
      </w:r>
      <w:proofErr w:type="spellEnd"/>
      <w:r w:rsidRPr="00847A6C">
        <w:rPr>
          <w:rStyle w:val="AERbody"/>
        </w:rPr>
        <w:t xml:space="preserve"> direct costs, excluding overheads</w:t>
      </w:r>
      <w:r w:rsidRPr="00DD5172">
        <w:rPr>
          <w:rStyle w:val="AERbody"/>
        </w:rPr>
        <w:t>)</w:t>
      </w:r>
      <w:r>
        <w:rPr>
          <w:rStyle w:val="AERbody"/>
        </w:rPr>
        <w:t xml:space="preserve">, in response to JGN's initial proposal of $2.5 million </w:t>
      </w:r>
      <w:r w:rsidRPr="00DD5172">
        <w:rPr>
          <w:rStyle w:val="AERbody"/>
        </w:rPr>
        <w:t xml:space="preserve">($2015, </w:t>
      </w:r>
      <w:proofErr w:type="spellStart"/>
      <w:r w:rsidRPr="00DD5172">
        <w:rPr>
          <w:rStyle w:val="AERbody"/>
        </w:rPr>
        <w:t>unescalated</w:t>
      </w:r>
      <w:proofErr w:type="spellEnd"/>
      <w:r w:rsidRPr="00DD5172">
        <w:rPr>
          <w:rStyle w:val="AERbody"/>
        </w:rPr>
        <w:t xml:space="preserve"> direct costs, excluding overheads)</w:t>
      </w:r>
      <w:r>
        <w:rPr>
          <w:rStyle w:val="AERbody"/>
        </w:rPr>
        <w:t xml:space="preserve"> in GAW expenditure. This was because we were not satisfied that JGN's proposed amount of $2.5 million </w:t>
      </w:r>
      <w:r w:rsidRPr="00DD5172">
        <w:rPr>
          <w:rStyle w:val="AERbody"/>
        </w:rPr>
        <w:t xml:space="preserve">($2015, </w:t>
      </w:r>
      <w:proofErr w:type="spellStart"/>
      <w:r w:rsidRPr="00DD5172">
        <w:rPr>
          <w:rStyle w:val="AERbody"/>
        </w:rPr>
        <w:t>unescalated</w:t>
      </w:r>
      <w:proofErr w:type="spellEnd"/>
      <w:r w:rsidRPr="00DD5172">
        <w:rPr>
          <w:rStyle w:val="AERbody"/>
        </w:rPr>
        <w:t xml:space="preserve"> direct costs, excluding overheads)</w:t>
      </w:r>
      <w:r>
        <w:rPr>
          <w:rStyle w:val="AERbody"/>
        </w:rPr>
        <w:t xml:space="preserve"> was prudent and efficient because we were not satisfied that it is arrived at on a reasonable basis.</w:t>
      </w:r>
      <w:r>
        <w:rPr>
          <w:rStyle w:val="FootnoteReference"/>
        </w:rPr>
        <w:footnoteReference w:id="94"/>
      </w:r>
      <w:r>
        <w:rPr>
          <w:rStyle w:val="AERbody"/>
        </w:rPr>
        <w:t xml:space="preserve"> This is because JGN </w:t>
      </w:r>
      <w:r>
        <w:rPr>
          <w:rStyle w:val="AERbody"/>
        </w:rPr>
        <w:lastRenderedPageBreak/>
        <w:t>applied an upward trend in GAW costs but had not provided reasons for assuming that GAW would increase over the 2016-20 access arrangement period.</w:t>
      </w:r>
    </w:p>
    <w:p w:rsidR="00123034" w:rsidRDefault="00123034" w:rsidP="00C102FE">
      <w:pPr>
        <w:pStyle w:val="Heading4"/>
        <w:keepNext/>
      </w:pPr>
      <w:r w:rsidRPr="00275734">
        <w:t>IT</w:t>
      </w:r>
    </w:p>
    <w:p w:rsidR="0035714F" w:rsidRDefault="00123034" w:rsidP="00C102FE">
      <w:pPr>
        <w:keepNext/>
      </w:pPr>
      <w:r>
        <w:t xml:space="preserve">IT capex includes projects to maintain and develop IT capacity and deliver improved IT capabilities to support business operations, including </w:t>
      </w:r>
      <w:proofErr w:type="gramStart"/>
      <w:r>
        <w:t>to achieve</w:t>
      </w:r>
      <w:proofErr w:type="gramEnd"/>
      <w:r>
        <w:t xml:space="preserve"> compliance with regulatory obligations.</w:t>
      </w:r>
      <w:r w:rsidRPr="00FB2461">
        <w:t xml:space="preserve"> </w:t>
      </w:r>
      <w:r>
        <w:t>IT capex is required to support the operation of the network and associated business activities, such as billing an</w:t>
      </w:r>
      <w:r w:rsidR="00716844">
        <w:t>d</w:t>
      </w:r>
      <w:r>
        <w:t xml:space="preserve"> accounting.</w:t>
      </w:r>
      <w:r>
        <w:rPr>
          <w:rStyle w:val="FootnoteReference"/>
        </w:rPr>
        <w:footnoteReference w:id="95"/>
      </w:r>
      <w:r w:rsidRPr="003F23E4">
        <w:t xml:space="preserve"> </w:t>
      </w:r>
    </w:p>
    <w:p w:rsidR="00F6567F" w:rsidRDefault="00F6567F" w:rsidP="00F6567F">
      <w:r w:rsidRPr="003F23E4">
        <w:t xml:space="preserve">We </w:t>
      </w:r>
      <w:r>
        <w:t xml:space="preserve">accept JGN's revised expenditure of $131.6 million </w:t>
      </w:r>
      <w:r w:rsidRPr="00DD5172">
        <w:rPr>
          <w:rStyle w:val="AERbody"/>
        </w:rPr>
        <w:t xml:space="preserve">($2015, </w:t>
      </w:r>
      <w:proofErr w:type="spellStart"/>
      <w:r w:rsidRPr="00DD5172">
        <w:rPr>
          <w:rStyle w:val="AERbody"/>
        </w:rPr>
        <w:t>unescalated</w:t>
      </w:r>
      <w:proofErr w:type="spellEnd"/>
      <w:r w:rsidRPr="00DD5172">
        <w:rPr>
          <w:rStyle w:val="AERbody"/>
        </w:rPr>
        <w:t xml:space="preserve"> direct costs, excluding overheads)</w:t>
      </w:r>
      <w:r>
        <w:t xml:space="preserve">. </w:t>
      </w:r>
      <w:r w:rsidRPr="0035714F">
        <w:t>We accept that JGN's forecast of this</w:t>
      </w:r>
      <w:r>
        <w:t xml:space="preserve"> </w:t>
      </w:r>
      <w:r w:rsidRPr="0035714F">
        <w:t xml:space="preserve">amount has been arrived at on a reasonable basis. </w:t>
      </w:r>
    </w:p>
    <w:p w:rsidR="00B022DA" w:rsidRPr="00B022DA" w:rsidRDefault="00B022DA" w:rsidP="00B022DA">
      <w:r w:rsidRPr="00B022DA">
        <w:t>In its revised proposal JGN submitted a further IT project to undertake the systems modifications required to undertake the AEMO approved B2B harmonisation project. As this is a regulatory obligation, we consider that the expenditure is justified.</w:t>
      </w:r>
      <w:r w:rsidRPr="00B022DA">
        <w:rPr>
          <w:rStyle w:val="FootnoteReference"/>
        </w:rPr>
        <w:footnoteReference w:id="96"/>
      </w:r>
      <w:r w:rsidRPr="00B022DA">
        <w:t xml:space="preserve"> We assess that it is efficient.</w:t>
      </w:r>
    </w:p>
    <w:p w:rsidR="00123034" w:rsidRDefault="00123034" w:rsidP="00524245">
      <w:pPr>
        <w:pStyle w:val="Heading4"/>
      </w:pPr>
      <w:r w:rsidRPr="00275734">
        <w:t>Other - non-</w:t>
      </w:r>
      <w:r w:rsidR="00520384">
        <w:t>network</w:t>
      </w:r>
    </w:p>
    <w:p w:rsidR="00123034" w:rsidRPr="003F23E4" w:rsidRDefault="00123034" w:rsidP="00123034">
      <w:pPr>
        <w:numPr>
          <w:ilvl w:val="0"/>
          <w:numId w:val="25"/>
        </w:numPr>
      </w:pPr>
      <w:r>
        <w:t xml:space="preserve">This category includes expenditure for motor vehicles, property and other non-network capital items such as tools, furniture and office equipment. Non-network capex of this nature is required in order for JGN to efficiently manage and operate its network. </w:t>
      </w:r>
      <w:r w:rsidRPr="003F23E4">
        <w:t xml:space="preserve">We </w:t>
      </w:r>
      <w:r>
        <w:t>are satisfied</w:t>
      </w:r>
      <w:r w:rsidRPr="003F23E4">
        <w:t xml:space="preserve"> that non-network capex is justified on the basis of rule 79(2</w:t>
      </w:r>
      <w:proofErr w:type="gramStart"/>
      <w:r w:rsidRPr="003F23E4">
        <w:t>)(</w:t>
      </w:r>
      <w:proofErr w:type="gramEnd"/>
      <w:r w:rsidRPr="003F23E4">
        <w:t>c)(iv) of the NGR. It is necessary to maintain the service provider's capacity to meet levels of demand for services existing at the time the capex is incurred.</w:t>
      </w:r>
    </w:p>
    <w:p w:rsidR="00123034" w:rsidRDefault="00123034" w:rsidP="00123034">
      <w:pPr>
        <w:rPr>
          <w:rStyle w:val="AERbody"/>
        </w:rPr>
      </w:pPr>
      <w:r>
        <w:rPr>
          <w:rStyle w:val="AERbody"/>
        </w:rPr>
        <w:t xml:space="preserve">We have </w:t>
      </w:r>
      <w:r w:rsidR="00F6567F">
        <w:rPr>
          <w:rStyle w:val="AERbody"/>
        </w:rPr>
        <w:t>accept</w:t>
      </w:r>
      <w:r>
        <w:rPr>
          <w:rStyle w:val="AERbody"/>
        </w:rPr>
        <w:t xml:space="preserve">ed JGN's </w:t>
      </w:r>
      <w:r w:rsidR="00F6567F">
        <w:rPr>
          <w:rStyle w:val="AERbody"/>
        </w:rPr>
        <w:t>revised expenditure</w:t>
      </w:r>
      <w:r>
        <w:rPr>
          <w:rStyle w:val="AERbody"/>
        </w:rPr>
        <w:t xml:space="preserve"> of $</w:t>
      </w:r>
      <w:r w:rsidRPr="000003DE">
        <w:t>26.</w:t>
      </w:r>
      <w:r w:rsidR="00BA7545">
        <w:t>4</w:t>
      </w:r>
      <w:r>
        <w:rPr>
          <w:rStyle w:val="AERbody"/>
        </w:rPr>
        <w:t xml:space="preserve"> million </w:t>
      </w:r>
      <w:r w:rsidRPr="00DD5172">
        <w:rPr>
          <w:rStyle w:val="AERbody"/>
        </w:rPr>
        <w:t xml:space="preserve">($2015, </w:t>
      </w:r>
      <w:proofErr w:type="spellStart"/>
      <w:r w:rsidRPr="00DD5172">
        <w:rPr>
          <w:rStyle w:val="AERbody"/>
        </w:rPr>
        <w:t>unescalated</w:t>
      </w:r>
      <w:proofErr w:type="spellEnd"/>
      <w:r w:rsidRPr="00DD5172">
        <w:rPr>
          <w:rStyle w:val="AERbody"/>
        </w:rPr>
        <w:t xml:space="preserve"> direct costs, excluding overheads)</w:t>
      </w:r>
      <w:r>
        <w:rPr>
          <w:rStyle w:val="AERbody"/>
        </w:rPr>
        <w:t xml:space="preserve"> for other non-network capex in our capex forecast.</w:t>
      </w:r>
      <w:r w:rsidR="00BA7545">
        <w:rPr>
          <w:rStyle w:val="FootnoteReference"/>
        </w:rPr>
        <w:footnoteReference w:id="97"/>
      </w:r>
      <w:r>
        <w:rPr>
          <w:rStyle w:val="AERbody"/>
        </w:rPr>
        <w:t xml:space="preserve"> </w:t>
      </w:r>
    </w:p>
    <w:p w:rsidR="00BA7545" w:rsidRDefault="00BA7545" w:rsidP="00BA7545">
      <w:r>
        <w:rPr>
          <w:rStyle w:val="AERbody"/>
        </w:rPr>
        <w:t>In its initial proposal JGN included $26.7 million (</w:t>
      </w:r>
      <w:r w:rsidRPr="00DD5172">
        <w:rPr>
          <w:rStyle w:val="AERbody"/>
        </w:rPr>
        <w:t xml:space="preserve">$2015, </w:t>
      </w:r>
      <w:proofErr w:type="spellStart"/>
      <w:r w:rsidRPr="00DD5172">
        <w:rPr>
          <w:rStyle w:val="AERbody"/>
        </w:rPr>
        <w:t>unescalated</w:t>
      </w:r>
      <w:proofErr w:type="spellEnd"/>
      <w:r w:rsidRPr="00DD5172">
        <w:rPr>
          <w:rStyle w:val="AERbody"/>
        </w:rPr>
        <w:t xml:space="preserve"> direct costs, excluding overheads)</w:t>
      </w:r>
      <w:r>
        <w:rPr>
          <w:rStyle w:val="AERbody"/>
        </w:rPr>
        <w:t xml:space="preserve"> for </w:t>
      </w:r>
      <w:r w:rsidR="00B2556E">
        <w:rPr>
          <w:rStyle w:val="AERbody"/>
        </w:rPr>
        <w:t>'</w:t>
      </w:r>
      <w:r>
        <w:rPr>
          <w:rStyle w:val="AERbody"/>
        </w:rPr>
        <w:t>other - non-distribution</w:t>
      </w:r>
      <w:r w:rsidR="00B2556E">
        <w:rPr>
          <w:rStyle w:val="AERbody"/>
        </w:rPr>
        <w:t>'</w:t>
      </w:r>
      <w:r>
        <w:rPr>
          <w:rStyle w:val="AERbody"/>
        </w:rPr>
        <w:t xml:space="preserve">. We accepted this amount in our draft decision. We considered that it was prudent and efficient as it </w:t>
      </w:r>
      <w:r w:rsidRPr="00BA7545">
        <w:rPr>
          <w:rStyle w:val="AERbody"/>
        </w:rPr>
        <w:t>represent</w:t>
      </w:r>
      <w:r>
        <w:rPr>
          <w:rStyle w:val="AERbody"/>
        </w:rPr>
        <w:t>ed</w:t>
      </w:r>
      <w:r w:rsidRPr="00BA7545">
        <w:rPr>
          <w:rStyle w:val="AERbody"/>
        </w:rPr>
        <w:t xml:space="preserve"> a 70 per cent decrease in</w:t>
      </w:r>
      <w:r>
        <w:rPr>
          <w:rStyle w:val="AERbody"/>
        </w:rPr>
        <w:t xml:space="preserve"> </w:t>
      </w:r>
      <w:r w:rsidRPr="00BA7545">
        <w:rPr>
          <w:rStyle w:val="AERbody"/>
        </w:rPr>
        <w:t>expenditure compared with the current access arrangement period.</w:t>
      </w:r>
    </w:p>
    <w:p w:rsidR="00745CED" w:rsidRDefault="00745CED" w:rsidP="008B39D1">
      <w:pPr>
        <w:pStyle w:val="Heading4"/>
        <w:keepNext/>
      </w:pPr>
      <w:r>
        <w:lastRenderedPageBreak/>
        <w:t>Total planning costs (TPC)/Front end engineering design (FEED)</w:t>
      </w:r>
      <w:r w:rsidR="00A66A88">
        <w:t xml:space="preserve"> and related costs</w:t>
      </w:r>
    </w:p>
    <w:p w:rsidR="001A48AB" w:rsidRDefault="001A48AB" w:rsidP="008B39D1">
      <w:pPr>
        <w:keepNext/>
      </w:pPr>
      <w:r>
        <w:t xml:space="preserve">Based on information provided by JGN, its proposed </w:t>
      </w:r>
      <w:r w:rsidRPr="00745CED">
        <w:t>TPC</w:t>
      </w:r>
      <w:r>
        <w:t xml:space="preserve">/ FEED and related costs of $5.0 million </w:t>
      </w:r>
      <w:r w:rsidRPr="00015BA5">
        <w:t>($</w:t>
      </w:r>
      <w:r>
        <w:t xml:space="preserve">2015, </w:t>
      </w:r>
      <w:proofErr w:type="spellStart"/>
      <w:r>
        <w:t>unescalated</w:t>
      </w:r>
      <w:proofErr w:type="spellEnd"/>
      <w:r>
        <w:t xml:space="preserve"> direct costs, </w:t>
      </w:r>
      <w:r w:rsidRPr="00015BA5">
        <w:t>excluding overheads)</w:t>
      </w:r>
      <w:r>
        <w:t xml:space="preserve"> </w:t>
      </w:r>
      <w:r w:rsidRPr="00745CED">
        <w:t xml:space="preserve">include the </w:t>
      </w:r>
      <w:r>
        <w:t xml:space="preserve">following </w:t>
      </w:r>
      <w:r w:rsidRPr="00745CED">
        <w:t>costs</w:t>
      </w:r>
      <w:r>
        <w:t>:</w:t>
      </w:r>
      <w:r>
        <w:rPr>
          <w:rStyle w:val="FootnoteReference"/>
        </w:rPr>
        <w:footnoteReference w:id="98"/>
      </w:r>
    </w:p>
    <w:p w:rsidR="001A48AB" w:rsidRPr="00A34DCE" w:rsidRDefault="001A48AB" w:rsidP="001A48AB">
      <w:pPr>
        <w:pStyle w:val="AERbulletlistfirststyle"/>
      </w:pPr>
      <w:r w:rsidRPr="00A34DCE">
        <w:t>front end engineering and design (FEED) costs, including both internal Jemena and external design engineers and drafting resources</w:t>
      </w:r>
    </w:p>
    <w:p w:rsidR="001A48AB" w:rsidRPr="00A34DCE" w:rsidRDefault="001A48AB" w:rsidP="001A48AB">
      <w:pPr>
        <w:pStyle w:val="AERbulletlistfirststyle"/>
      </w:pPr>
      <w:r w:rsidRPr="00A34DCE">
        <w:t>site investigation costs, including geotechnical costs, pot-holing, survey</w:t>
      </w:r>
    </w:p>
    <w:p w:rsidR="001A48AB" w:rsidRPr="00A34DCE" w:rsidRDefault="001A48AB" w:rsidP="001A48AB">
      <w:pPr>
        <w:pStyle w:val="AERbulletlistfirststyle"/>
      </w:pPr>
      <w:proofErr w:type="gramStart"/>
      <w:r w:rsidRPr="00A34DCE">
        <w:t>project</w:t>
      </w:r>
      <w:proofErr w:type="gramEnd"/>
      <w:r w:rsidRPr="00A34DCE">
        <w:t xml:space="preserve"> establishment costs, development of detailed project plans, schedules, risk assessments, etc.</w:t>
      </w:r>
    </w:p>
    <w:p w:rsidR="001A48AB" w:rsidRPr="00A34DCE" w:rsidRDefault="001A48AB" w:rsidP="001A48AB">
      <w:pPr>
        <w:pStyle w:val="AERbulletlistfirststyle"/>
      </w:pPr>
      <w:r w:rsidRPr="00A34DCE">
        <w:t>long lead item specifications, produced by design engineers (internal and/or external)</w:t>
      </w:r>
    </w:p>
    <w:p w:rsidR="001A48AB" w:rsidRPr="00A34DCE" w:rsidRDefault="001A48AB" w:rsidP="001A48AB">
      <w:pPr>
        <w:pStyle w:val="AERbulletlistfirststyle"/>
      </w:pPr>
      <w:r w:rsidRPr="00A34DCE">
        <w:t>tender documentation preparation, for detailed design, fabrication, construction and commissioning (either as separable or combined tenders)</w:t>
      </w:r>
    </w:p>
    <w:p w:rsidR="001A48AB" w:rsidRDefault="001A48AB" w:rsidP="001A48AB">
      <w:pPr>
        <w:pStyle w:val="AERbulletlistfirststyle"/>
      </w:pPr>
      <w:proofErr w:type="gramStart"/>
      <w:r w:rsidRPr="00A34DCE">
        <w:t>tender</w:t>
      </w:r>
      <w:proofErr w:type="gramEnd"/>
      <w:r w:rsidRPr="00A34DCE">
        <w:t xml:space="preserve"> processes, including issuing and reviewing tenders</w:t>
      </w:r>
      <w:r>
        <w:t>.</w:t>
      </w:r>
    </w:p>
    <w:p w:rsidR="001A48AB" w:rsidRDefault="001A48AB" w:rsidP="001A48AB">
      <w:r>
        <w:t xml:space="preserve">We have not included this proposed expenditure for TPC/FEED costs and related costs in our capex forecast. This is because we consider that JGN has not provided evidence that the expenditure meets the capex criteria.  In addition, based on the limited information available to us, there is some evidence that the expenditure for TPC/FEED is already included in JGN's proposal in other capex amounts which we have accepted. To include these direct costs therefore would result in double counting. For these reasons we consider that JGN's proposed TPC/FEED </w:t>
      </w:r>
      <w:r w:rsidRPr="00A66A88">
        <w:t xml:space="preserve">capital expenditure </w:t>
      </w:r>
      <w:r>
        <w:t>is not</w:t>
      </w:r>
      <w:r w:rsidRPr="00A66A88">
        <w:t xml:space="preserve"> as would be incurred by a prudent service provider acting efficiently, in accordance with accepted good industry practice, to achieve the lowest sustainable cost of providing services</w:t>
      </w:r>
      <w:r>
        <w:t>.</w:t>
      </w:r>
      <w:r>
        <w:rPr>
          <w:rStyle w:val="FootnoteReference"/>
        </w:rPr>
        <w:footnoteReference w:id="99"/>
      </w:r>
    </w:p>
    <w:p w:rsidR="001A48AB" w:rsidRDefault="001A48AB" w:rsidP="001A48AB">
      <w:r>
        <w:t>In its initial proposal JGN proposed $</w:t>
      </w:r>
      <w:r w:rsidRPr="00015BA5">
        <w:t>5.6 million ($</w:t>
      </w:r>
      <w:r>
        <w:t xml:space="preserve">2015, </w:t>
      </w:r>
      <w:proofErr w:type="spellStart"/>
      <w:r>
        <w:t>unescalated</w:t>
      </w:r>
      <w:proofErr w:type="spellEnd"/>
      <w:r>
        <w:t xml:space="preserve"> direct costs, </w:t>
      </w:r>
      <w:r w:rsidRPr="00015BA5">
        <w:t xml:space="preserve">excluding overheads) </w:t>
      </w:r>
      <w:r>
        <w:t>in its facilities renewal and upgrade category.</w:t>
      </w:r>
      <w:r w:rsidRPr="00015BA5">
        <w:t xml:space="preserve"> </w:t>
      </w:r>
      <w:r>
        <w:t>JGN did not provide information on these costs in its initial proposal other than to describe them as planning costs. Based on this limited information at that time, w</w:t>
      </w:r>
      <w:r w:rsidRPr="00015BA5">
        <w:t xml:space="preserve">e </w:t>
      </w:r>
      <w:r>
        <w:t>we</w:t>
      </w:r>
      <w:r w:rsidRPr="00015BA5">
        <w:t>re not satisfied that th</w:t>
      </w:r>
      <w:r>
        <w:t xml:space="preserve">ese were a </w:t>
      </w:r>
      <w:r w:rsidRPr="00015BA5">
        <w:t>direct cost incurred in relation to facilities renewal and upgrade</w:t>
      </w:r>
      <w:r>
        <w:t xml:space="preserve"> expenditure</w:t>
      </w:r>
      <w:r w:rsidRPr="00015BA5">
        <w:t xml:space="preserve">. We </w:t>
      </w:r>
      <w:r>
        <w:t>took the approach that these costs should be assessed in association with the planning costs proposed in the</w:t>
      </w:r>
      <w:r w:rsidRPr="00015BA5">
        <w:t xml:space="preserve"> </w:t>
      </w:r>
      <w:r>
        <w:t xml:space="preserve">total </w:t>
      </w:r>
      <w:r w:rsidRPr="00015BA5">
        <w:t>overhead</w:t>
      </w:r>
      <w:r>
        <w:t>s build up</w:t>
      </w:r>
      <w:r w:rsidRPr="00015BA5">
        <w:t>.</w:t>
      </w:r>
      <w:r>
        <w:t xml:space="preserve"> This was on the understanding that total overheads were apportioned between capex and </w:t>
      </w:r>
      <w:proofErr w:type="spellStart"/>
      <w:r>
        <w:t>opex</w:t>
      </w:r>
      <w:proofErr w:type="spellEnd"/>
      <w:r>
        <w:t xml:space="preserve">.  Therefore, it followed that a proportion of the planning costs included in total overheads would be included in the capex overheads. </w:t>
      </w:r>
    </w:p>
    <w:p w:rsidR="001A48AB" w:rsidRDefault="001A48AB" w:rsidP="001A48AB">
      <w:r>
        <w:lastRenderedPageBreak/>
        <w:t xml:space="preserve">Our approach was premised on our understanding that total overheads were apportioned between capex and </w:t>
      </w:r>
      <w:proofErr w:type="spellStart"/>
      <w:r>
        <w:t>opex</w:t>
      </w:r>
      <w:proofErr w:type="spellEnd"/>
      <w:r>
        <w:t>.  This was because:</w:t>
      </w:r>
    </w:p>
    <w:p w:rsidR="001A48AB" w:rsidRDefault="001A48AB" w:rsidP="001A48AB">
      <w:pPr>
        <w:pStyle w:val="AERbulletlistfirststyle"/>
      </w:pPr>
      <w:r>
        <w:t xml:space="preserve">In developing the draft RIN templates, including the overheads template, in consultation with JGN, JGN indicated that it would be applying the same method to forecast capex overheads which it had in the 2010-15 access arrangement </w:t>
      </w:r>
      <w:proofErr w:type="gramStart"/>
      <w:r>
        <w:t>proposal</w:t>
      </w:r>
      <w:proofErr w:type="gramEnd"/>
      <w:r>
        <w:t>.</w:t>
      </w:r>
    </w:p>
    <w:p w:rsidR="001A48AB" w:rsidRDefault="001A48AB" w:rsidP="001A48AB">
      <w:pPr>
        <w:pStyle w:val="AERbulletlistfirststyle"/>
      </w:pPr>
      <w:r>
        <w:t>The overheads template agreed to and issued as the final RIN template reflected the methodology which JGN applied for forecasting capex overheads in its 2005-16 access arrangement proposal.</w:t>
      </w:r>
    </w:p>
    <w:p w:rsidR="001A48AB" w:rsidRDefault="001A48AB" w:rsidP="001A48AB">
      <w:pPr>
        <w:pStyle w:val="AERbulletlistfirststyle"/>
      </w:pPr>
      <w:r>
        <w:t>In its initial proposal, J</w:t>
      </w:r>
      <w:r w:rsidRPr="0041553B">
        <w:t>GN indicated</w:t>
      </w:r>
      <w:r>
        <w:t xml:space="preserve"> </w:t>
      </w:r>
      <w:r w:rsidRPr="0041553B">
        <w:t>that its treatment of overhead</w:t>
      </w:r>
      <w:r>
        <w:t xml:space="preserve"> allocation and capitalisation wa</w:t>
      </w:r>
      <w:r w:rsidRPr="0041553B">
        <w:t>s detailed in its Access Arrangement RIN</w:t>
      </w:r>
      <w:r>
        <w:t xml:space="preserve"> </w:t>
      </w:r>
      <w:r w:rsidRPr="0041553B">
        <w:t>response.</w:t>
      </w:r>
      <w:r>
        <w:rPr>
          <w:rStyle w:val="FootnoteReference"/>
        </w:rPr>
        <w:footnoteReference w:id="100"/>
      </w:r>
      <w:r>
        <w:t xml:space="preserve"> The A</w:t>
      </w:r>
      <w:r w:rsidR="00520384">
        <w:t xml:space="preserve">ccess </w:t>
      </w:r>
      <w:r>
        <w:t>A</w:t>
      </w:r>
      <w:r w:rsidR="00520384">
        <w:t>rrangement</w:t>
      </w:r>
      <w:r>
        <w:t xml:space="preserve"> RIN response setting out the flow of the apportionment of total overheads to capex and </w:t>
      </w:r>
      <w:proofErr w:type="spellStart"/>
      <w:r>
        <w:t>opex</w:t>
      </w:r>
      <w:proofErr w:type="spellEnd"/>
      <w:r>
        <w:t xml:space="preserve"> was unchanged from that issued in the final RIN.</w:t>
      </w:r>
      <w:r w:rsidRPr="00770AA1">
        <w:t xml:space="preserve"> </w:t>
      </w:r>
      <w:r w:rsidRPr="0041553B">
        <w:t xml:space="preserve">JGN did not set out </w:t>
      </w:r>
      <w:r>
        <w:t>any alternative</w:t>
      </w:r>
      <w:r w:rsidRPr="0041553B">
        <w:t xml:space="preserve"> forecast method for its overhead expenditure</w:t>
      </w:r>
      <w:r>
        <w:t xml:space="preserve"> in its initial proposal. </w:t>
      </w:r>
    </w:p>
    <w:p w:rsidR="001A48AB" w:rsidRDefault="001A48AB" w:rsidP="001A48AB">
      <w:r>
        <w:t>We</w:t>
      </w:r>
      <w:r w:rsidRPr="00BF57A8">
        <w:t xml:space="preserve"> assess</w:t>
      </w:r>
      <w:r>
        <w:t>ed</w:t>
      </w:r>
      <w:r w:rsidRPr="00BF57A8">
        <w:t xml:space="preserve"> the</w:t>
      </w:r>
      <w:r>
        <w:t xml:space="preserve"> </w:t>
      </w:r>
      <w:r w:rsidRPr="00BF57A8">
        <w:t>total proposed planning costs, that is, the amounts included in overheads plus the amounts proposed</w:t>
      </w:r>
      <w:r>
        <w:t xml:space="preserve"> </w:t>
      </w:r>
      <w:r w:rsidRPr="00BF57A8">
        <w:t>to be included in the facilities renewal and upgrade category</w:t>
      </w:r>
      <w:r>
        <w:t>. W</w:t>
      </w:r>
      <w:r w:rsidRPr="00BF57A8">
        <w:t>e r</w:t>
      </w:r>
      <w:r>
        <w:t>eview</w:t>
      </w:r>
      <w:r w:rsidRPr="00BF57A8">
        <w:t>ed the forecast trend in</w:t>
      </w:r>
      <w:r>
        <w:t xml:space="preserve"> </w:t>
      </w:r>
      <w:r w:rsidRPr="00BF57A8">
        <w:t xml:space="preserve">expenditure against the historical trend </w:t>
      </w:r>
      <w:r>
        <w:t>and observed that</w:t>
      </w:r>
      <w:r w:rsidRPr="00BF57A8">
        <w:t xml:space="preserve"> </w:t>
      </w:r>
      <w:r>
        <w:t>p</w:t>
      </w:r>
      <w:r w:rsidRPr="00BF57A8">
        <w:t xml:space="preserve">lanning costs </w:t>
      </w:r>
      <w:r>
        <w:t>wer</w:t>
      </w:r>
      <w:r w:rsidRPr="00BF57A8">
        <w:t>e relatively stable</w:t>
      </w:r>
      <w:r>
        <w:t xml:space="preserve"> </w:t>
      </w:r>
      <w:r w:rsidRPr="00BF57A8">
        <w:t xml:space="preserve">over the 2007-13 </w:t>
      </w:r>
      <w:proofErr w:type="gramStart"/>
      <w:r w:rsidRPr="00BF57A8">
        <w:t>period</w:t>
      </w:r>
      <w:proofErr w:type="gramEnd"/>
      <w:r>
        <w:t>, which was the period of data available</w:t>
      </w:r>
      <w:r w:rsidRPr="00BF57A8">
        <w:t xml:space="preserve">. </w:t>
      </w:r>
    </w:p>
    <w:p w:rsidR="001A48AB" w:rsidRDefault="001A48AB" w:rsidP="001A48AB">
      <w:r>
        <w:t xml:space="preserve">Our assessment revealed that the $5.6 million of planning costs proposed under facilities renewal and upgrade expenditure for the 2015-2020 access arrangement </w:t>
      </w:r>
      <w:proofErr w:type="gramStart"/>
      <w:r>
        <w:t>period</w:t>
      </w:r>
      <w:proofErr w:type="gramEnd"/>
      <w:r>
        <w:t xml:space="preserve"> would be </w:t>
      </w:r>
      <w:r w:rsidRPr="00BF57A8">
        <w:t>a 66 per cent increase in planning costs. We</w:t>
      </w:r>
      <w:r>
        <w:t xml:space="preserve"> </w:t>
      </w:r>
      <w:r w:rsidRPr="00BF57A8">
        <w:t>consider</w:t>
      </w:r>
      <w:r>
        <w:t>ed</w:t>
      </w:r>
      <w:r w:rsidRPr="00BF57A8">
        <w:t xml:space="preserve"> that </w:t>
      </w:r>
      <w:r>
        <w:t>this increase was not consistent with the</w:t>
      </w:r>
      <w:r w:rsidRPr="00BF57A8">
        <w:t xml:space="preserve"> only incremental changes in the size and complexity of the JGN network</w:t>
      </w:r>
      <w:r>
        <w:t xml:space="preserve"> and we had</w:t>
      </w:r>
      <w:r w:rsidRPr="00BF57A8">
        <w:t xml:space="preserve"> no evidence </w:t>
      </w:r>
      <w:r>
        <w:t>before</w:t>
      </w:r>
      <w:r w:rsidRPr="00BF57A8">
        <w:t xml:space="preserve"> us t</w:t>
      </w:r>
      <w:r>
        <w:t>o suggest</w:t>
      </w:r>
      <w:r w:rsidRPr="00BF57A8">
        <w:t xml:space="preserve"> that there </w:t>
      </w:r>
      <w:r>
        <w:t>we</w:t>
      </w:r>
      <w:r w:rsidRPr="00BF57A8">
        <w:t>re any changes in obligations which would</w:t>
      </w:r>
      <w:r>
        <w:t xml:space="preserve"> </w:t>
      </w:r>
      <w:r w:rsidRPr="00BF57A8">
        <w:t xml:space="preserve">impact planning requirements. </w:t>
      </w:r>
      <w:r>
        <w:t>As a result,</w:t>
      </w:r>
      <w:r w:rsidRPr="00BF57A8">
        <w:t xml:space="preserve"> </w:t>
      </w:r>
      <w:r>
        <w:t xml:space="preserve">in our draft decision </w:t>
      </w:r>
      <w:r w:rsidRPr="00BF57A8">
        <w:t xml:space="preserve">we </w:t>
      </w:r>
      <w:r>
        <w:t xml:space="preserve">did </w:t>
      </w:r>
      <w:r w:rsidRPr="00BF57A8">
        <w:t>not include the increase in forecast</w:t>
      </w:r>
      <w:r>
        <w:t xml:space="preserve"> </w:t>
      </w:r>
      <w:r w:rsidRPr="00BF57A8">
        <w:t>planning costs, which JGN proposed to include in the facilities renewal and upgrade category.</w:t>
      </w:r>
    </w:p>
    <w:p w:rsidR="001A48AB" w:rsidRDefault="001A48AB" w:rsidP="001A48AB">
      <w:r>
        <w:t xml:space="preserve">On meeting with JGN following our draft decision JGN informed us that it did not forecast overheads by applying a proportional allocation of total overheads to capex. JGN indicated that the network planning and </w:t>
      </w:r>
      <w:r w:rsidRPr="00F20FDF">
        <w:t>network control and operational switching (system planning)</w:t>
      </w:r>
      <w:r>
        <w:t xml:space="preserve"> expenditure lines in the total overheads build up were allocated entirely to </w:t>
      </w:r>
      <w:proofErr w:type="spellStart"/>
      <w:r>
        <w:t>opex</w:t>
      </w:r>
      <w:proofErr w:type="spellEnd"/>
      <w:r>
        <w:t>.</w:t>
      </w:r>
      <w:r>
        <w:rPr>
          <w:rStyle w:val="FootnoteReference"/>
        </w:rPr>
        <w:footnoteReference w:id="101"/>
      </w:r>
      <w:r>
        <w:t xml:space="preserve"> Further assessment by us also revealed that the </w:t>
      </w:r>
      <w:r w:rsidRPr="00745CED">
        <w:t>TPC</w:t>
      </w:r>
      <w:r>
        <w:t>/ FEED and related costs</w:t>
      </w:r>
      <w:r w:rsidDel="007D5920">
        <w:t xml:space="preserve"> </w:t>
      </w:r>
      <w:r>
        <w:t xml:space="preserve">were project specific costs for front end planning, engineering design and costs associated with tendering projects. </w:t>
      </w:r>
      <w:r w:rsidRPr="00022C1B">
        <w:t xml:space="preserve">JGN </w:t>
      </w:r>
      <w:r>
        <w:t xml:space="preserve">indicated that it </w:t>
      </w:r>
      <w:r w:rsidRPr="00022C1B">
        <w:t>collects</w:t>
      </w:r>
      <w:r>
        <w:t xml:space="preserve"> these</w:t>
      </w:r>
      <w:r w:rsidRPr="00022C1B">
        <w:t xml:space="preserve"> F</w:t>
      </w:r>
      <w:r>
        <w:t xml:space="preserve">EED and related costs together rather than </w:t>
      </w:r>
      <w:r w:rsidRPr="00022C1B">
        <w:t>charging the costs directly to individual projects</w:t>
      </w:r>
      <w:r>
        <w:t>.</w:t>
      </w:r>
      <w:r>
        <w:rPr>
          <w:rStyle w:val="FootnoteReference"/>
        </w:rPr>
        <w:footnoteReference w:id="102"/>
      </w:r>
      <w:r>
        <w:t xml:space="preserve"> It </w:t>
      </w:r>
      <w:r>
        <w:lastRenderedPageBreak/>
        <w:t>submitted that t</w:t>
      </w:r>
      <w:r w:rsidRPr="00022C1B">
        <w:t>he steel and facilities components relate primarily to moderate and high complexity</w:t>
      </w:r>
      <w:r>
        <w:t xml:space="preserve"> </w:t>
      </w:r>
      <w:r w:rsidRPr="00022C1B">
        <w:t>facilities renewal and refurbishment projects while the plastic component relates primarily to rehabilitation projects in the mains and services renewal category.</w:t>
      </w:r>
      <w:r>
        <w:rPr>
          <w:rStyle w:val="FootnoteReference"/>
        </w:rPr>
        <w:footnoteReference w:id="103"/>
      </w:r>
      <w:r>
        <w:t xml:space="preserve"> </w:t>
      </w:r>
    </w:p>
    <w:p w:rsidR="001A48AB" w:rsidRDefault="001A48AB" w:rsidP="001A48AB">
      <w:r>
        <w:t>This new information required us to reconsider the approach we had taken in our draft decision to assessing these costs.  Accordingly, we informed JGN that if these costs are direct costs then they needed to be included in the project cost build ups for assessment,</w:t>
      </w:r>
      <w:r w:rsidRPr="001A48AB">
        <w:t xml:space="preserve"> consistent with the RIN template</w:t>
      </w:r>
      <w:r w:rsidR="007D7626">
        <w:t xml:space="preserve"> requirements</w:t>
      </w:r>
      <w:r>
        <w:t>.</w:t>
      </w:r>
      <w:r>
        <w:rPr>
          <w:rStyle w:val="FootnoteReference"/>
        </w:rPr>
        <w:footnoteReference w:id="104"/>
      </w:r>
      <w:r>
        <w:t xml:space="preserve"> This is because as a direct cost, these costs would vary with the complexity of the project and in some instances constitute a significant proportion of total direct costs. If they are not presented in the direct costs of the project cost build up, the project costs are necessarily downwardly biased.  This has implications for any assessment of the efficiency of a project.  A project may appear to be efficient without these costs being included but inefficient if they are included. When assessing efficiency all direct costs associated with the project need to be taken into account.</w:t>
      </w:r>
    </w:p>
    <w:p w:rsidR="001A48AB" w:rsidRDefault="001A48AB" w:rsidP="001A48AB">
      <w:r>
        <w:t>In its revised proposal JGN included $</w:t>
      </w:r>
      <w:r w:rsidR="00732F4B">
        <w:t>5.0</w:t>
      </w:r>
      <w:r>
        <w:t xml:space="preserve"> million </w:t>
      </w:r>
      <w:r w:rsidRPr="00015BA5">
        <w:t>($</w:t>
      </w:r>
      <w:r>
        <w:t xml:space="preserve">2015, </w:t>
      </w:r>
      <w:proofErr w:type="spellStart"/>
      <w:r>
        <w:t>unescalated</w:t>
      </w:r>
      <w:proofErr w:type="spellEnd"/>
      <w:r>
        <w:t xml:space="preserve"> direct costs, </w:t>
      </w:r>
      <w:r w:rsidRPr="00015BA5">
        <w:t>excluding overheads)</w:t>
      </w:r>
      <w:r>
        <w:t xml:space="preserve"> for TPC/FEED and related costs. </w:t>
      </w:r>
    </w:p>
    <w:p w:rsidR="001A48AB" w:rsidRDefault="001A48AB" w:rsidP="001A48AB">
      <w:r>
        <w:t>JGN was required</w:t>
      </w:r>
      <w:r w:rsidR="00732F4B">
        <w:t xml:space="preserve"> to provide these costs in the RIN</w:t>
      </w:r>
      <w:r>
        <w:t xml:space="preserve"> in order for these direct costs to be assessed for efficiency.  Specifically, it did not submit information on the projects to which the FEED and related costs pertain and the associated quantum of FEED and related costs for that project. As a result, JGN in its revised proposal did not provide evidence to support the efficiency of the total proposed</w:t>
      </w:r>
      <w:r w:rsidR="00732F4B">
        <w:t xml:space="preserve"> expenditure</w:t>
      </w:r>
      <w:r>
        <w:t>.</w:t>
      </w:r>
    </w:p>
    <w:p w:rsidR="001A48AB" w:rsidRDefault="001A48AB" w:rsidP="001A48AB">
      <w:r>
        <w:t>We reviewed the information available to us to assess whether there was any evidence other than that provided in the revised proposal on which we could reach a conclusion that this proposed expenditure, now identified as direct costs, might be efficient and prudent.  In its initial proposal, JGN had provided opportunity briefs and feasibility estimates in support of its proposed project costs which variously included engineering assessment, FEED and related costs and detailed design costs.</w:t>
      </w:r>
      <w:r>
        <w:rPr>
          <w:rStyle w:val="FootnoteReference"/>
        </w:rPr>
        <w:footnoteReference w:id="105"/>
      </w:r>
      <w:r>
        <w:t xml:space="preserve"> In some instances these costs are clearly included in the amounts entered into the capex model.</w:t>
      </w:r>
    </w:p>
    <w:p w:rsidR="001A48AB" w:rsidRDefault="001A48AB" w:rsidP="001A48AB">
      <w:r>
        <w:t xml:space="preserve">Our assessment of this information revealed some evidence that these costs are captured already in other parts of </w:t>
      </w:r>
      <w:proofErr w:type="spellStart"/>
      <w:r>
        <w:t>opex</w:t>
      </w:r>
      <w:proofErr w:type="spellEnd"/>
      <w:r>
        <w:t xml:space="preserve"> and capex:</w:t>
      </w:r>
    </w:p>
    <w:p w:rsidR="001A48AB" w:rsidRDefault="001A48AB" w:rsidP="0093535D">
      <w:pPr>
        <w:pStyle w:val="AERbulletlistfirststyle"/>
      </w:pPr>
      <w:proofErr w:type="gramStart"/>
      <w:r>
        <w:t>in</w:t>
      </w:r>
      <w:proofErr w:type="gramEnd"/>
      <w:r>
        <w:t xml:space="preserve"> discussions with JGN, it indicated that engineering design costs are one of the costs captured in its 'non-labour recoveries' direct overheads.</w:t>
      </w:r>
      <w:r w:rsidR="00BB375B">
        <w:rPr>
          <w:rStyle w:val="FootnoteReference"/>
        </w:rPr>
        <w:footnoteReference w:id="106"/>
      </w:r>
      <w:r>
        <w:t xml:space="preserve"> </w:t>
      </w:r>
    </w:p>
    <w:p w:rsidR="001A48AB" w:rsidRDefault="0093535D" w:rsidP="0093535D">
      <w:pPr>
        <w:pStyle w:val="AERbulletlistfirststyle"/>
      </w:pPr>
      <w:proofErr w:type="gramStart"/>
      <w:r>
        <w:lastRenderedPageBreak/>
        <w:t>i</w:t>
      </w:r>
      <w:r w:rsidR="001A48AB">
        <w:t>n</w:t>
      </w:r>
      <w:proofErr w:type="gramEnd"/>
      <w:r w:rsidR="001A48AB">
        <w:t xml:space="preserve"> some FEED and related costs sections JGN includes a reference to 'AMP Planned Maintenance'.</w:t>
      </w:r>
      <w:r w:rsidR="001A48AB">
        <w:rPr>
          <w:rStyle w:val="FootnoteReference"/>
        </w:rPr>
        <w:footnoteReference w:id="107"/>
      </w:r>
      <w:r w:rsidR="001A48AB">
        <w:t xml:space="preserve"> </w:t>
      </w:r>
      <w:r>
        <w:t xml:space="preserve"> The</w:t>
      </w:r>
      <w:r w:rsidR="001A48AB">
        <w:t xml:space="preserve"> costs of asset management plans (AMPs) </w:t>
      </w:r>
      <w:r w:rsidR="00DB24F8">
        <w:t xml:space="preserve">are </w:t>
      </w:r>
      <w:r w:rsidR="001A48AB">
        <w:t xml:space="preserve">included in </w:t>
      </w:r>
      <w:proofErr w:type="spellStart"/>
      <w:r w:rsidR="001A48AB">
        <w:t>opex</w:t>
      </w:r>
      <w:proofErr w:type="spellEnd"/>
      <w:r w:rsidR="001A48AB">
        <w:t>.</w:t>
      </w:r>
      <w:r w:rsidR="001A48AB">
        <w:rPr>
          <w:rStyle w:val="FootnoteReference"/>
        </w:rPr>
        <w:footnoteReference w:id="108"/>
      </w:r>
      <w:r w:rsidR="001A48AB">
        <w:t xml:space="preserve"> </w:t>
      </w:r>
    </w:p>
    <w:p w:rsidR="0093535D" w:rsidRDefault="0093535D" w:rsidP="0093535D">
      <w:pPr>
        <w:pStyle w:val="AERbulletlistfirststyle"/>
      </w:pPr>
      <w:r>
        <w:t xml:space="preserve">the management fee paid to </w:t>
      </w:r>
      <w:proofErr w:type="spellStart"/>
      <w:r>
        <w:t>Zinfra</w:t>
      </w:r>
      <w:proofErr w:type="spellEnd"/>
      <w:r>
        <w:t xml:space="preserve"> is for management services including </w:t>
      </w:r>
      <w:r w:rsidRPr="009768FE">
        <w:t>scoping, estimating and</w:t>
      </w:r>
      <w:r>
        <w:t xml:space="preserve"> </w:t>
      </w:r>
      <w:r w:rsidRPr="009768FE">
        <w:t>scheduling; procurement and logistics; contract management; subcontractor management; quality management; risk management;</w:t>
      </w:r>
      <w:r>
        <w:t xml:space="preserve"> </w:t>
      </w:r>
      <w:r w:rsidRPr="009768FE">
        <w:t>environmental management; health and safety management; reporting, record keeping and record management; emergency</w:t>
      </w:r>
      <w:r>
        <w:t xml:space="preserve"> </w:t>
      </w:r>
      <w:r w:rsidRPr="009768FE">
        <w:t>response management and incident investigations; and any other management services required to complete the contract work.</w:t>
      </w:r>
      <w:r>
        <w:rPr>
          <w:rStyle w:val="FootnoteReference"/>
        </w:rPr>
        <w:footnoteReference w:id="109"/>
      </w:r>
    </w:p>
    <w:p w:rsidR="001A48AB" w:rsidRDefault="001A48AB" w:rsidP="001A48AB">
      <w:r>
        <w:t xml:space="preserve">Our assessment reveals that it is likely that the FEED and related costs being proposed are being recovered in other parts of its capex and </w:t>
      </w:r>
      <w:proofErr w:type="spellStart"/>
      <w:r>
        <w:t>opex</w:t>
      </w:r>
      <w:proofErr w:type="spellEnd"/>
      <w:r>
        <w:t xml:space="preserve"> proposal. To include these direct costs therefore would result in double counting.</w:t>
      </w:r>
    </w:p>
    <w:p w:rsidR="001A48AB" w:rsidRDefault="00520384" w:rsidP="001A48AB">
      <w:r>
        <w:t>We further note that JGN mad</w:t>
      </w:r>
      <w:r w:rsidR="001A48AB">
        <w:t xml:space="preserve">e clear that FEED and related costs do not apply </w:t>
      </w:r>
      <w:r w:rsidR="0093535D">
        <w:t>for</w:t>
      </w:r>
      <w:r w:rsidR="001A48AB">
        <w:t xml:space="preserve"> some </w:t>
      </w:r>
      <w:r w:rsidR="0093535D">
        <w:t>project</w:t>
      </w:r>
      <w:r w:rsidR="001A48AB">
        <w:t>s. For example, in the section for FEE</w:t>
      </w:r>
      <w:r>
        <w:t>D and related costs JGN included</w:t>
      </w:r>
      <w:r w:rsidR="001A48AB">
        <w:t xml:space="preserve"> the following:</w:t>
      </w:r>
    </w:p>
    <w:p w:rsidR="001A48AB" w:rsidRDefault="001A48AB" w:rsidP="001A48AB">
      <w:pPr>
        <w:pStyle w:val="AERbulletlistfirststyle"/>
      </w:pPr>
      <w:r>
        <w:t>FEED N/A for medium pressure main</w:t>
      </w:r>
      <w:r>
        <w:rPr>
          <w:rStyle w:val="FootnoteReference"/>
        </w:rPr>
        <w:footnoteReference w:id="110"/>
      </w:r>
    </w:p>
    <w:p w:rsidR="001A48AB" w:rsidRDefault="001A48AB" w:rsidP="001A48AB">
      <w:pPr>
        <w:pStyle w:val="AERbulletlistfirststyle"/>
      </w:pPr>
      <w:r>
        <w:t>FEED N/A for secondary main</w:t>
      </w:r>
      <w:r>
        <w:rPr>
          <w:rStyle w:val="FootnoteReference"/>
        </w:rPr>
        <w:footnoteReference w:id="111"/>
      </w:r>
      <w:r>
        <w:t>.</w:t>
      </w:r>
    </w:p>
    <w:p w:rsidR="005A3F20" w:rsidRDefault="001A48AB" w:rsidP="0093535D">
      <w:r>
        <w:t xml:space="preserve">Accordingly, we </w:t>
      </w:r>
      <w:r w:rsidRPr="001A48AB">
        <w:t>are not satisfied that these proposed costs meet the capex criteria and have not included them in our capex forecast.</w:t>
      </w:r>
    </w:p>
    <w:p w:rsidR="00683087" w:rsidRDefault="00683087" w:rsidP="00524245">
      <w:pPr>
        <w:pStyle w:val="Heading4"/>
      </w:pPr>
      <w:r w:rsidRPr="00275734">
        <w:t>Overheads</w:t>
      </w:r>
    </w:p>
    <w:p w:rsidR="00683087" w:rsidRDefault="00683087" w:rsidP="00683087">
      <w:pPr>
        <w:numPr>
          <w:ilvl w:val="0"/>
          <w:numId w:val="25"/>
        </w:numPr>
      </w:pPr>
      <w:r w:rsidRPr="001D2957">
        <w:t>Overheads are costs which are not directly attributable to the distribution businesses output but are necessary to support the businesses operations. Examples of overhead costs include network planning, procurement and human resources.</w:t>
      </w:r>
    </w:p>
    <w:p w:rsidR="007F57C1" w:rsidRPr="001362D9" w:rsidRDefault="007F57C1" w:rsidP="007F57C1">
      <w:r w:rsidRPr="001362D9">
        <w:t xml:space="preserve">We have not included </w:t>
      </w:r>
      <w:r>
        <w:t>JGN</w:t>
      </w:r>
      <w:r w:rsidRPr="001362D9">
        <w:t xml:space="preserve">'s proposed </w:t>
      </w:r>
      <w:r>
        <w:t>overheads</w:t>
      </w:r>
      <w:r w:rsidRPr="001362D9">
        <w:t xml:space="preserve"> expenditure </w:t>
      </w:r>
      <w:r w:rsidR="00CA2E75">
        <w:t xml:space="preserve">of $125.7 million </w:t>
      </w:r>
      <w:r w:rsidR="00CA2E75" w:rsidRPr="00015BA5">
        <w:t>($</w:t>
      </w:r>
      <w:r w:rsidR="00CA2E75">
        <w:t xml:space="preserve">2015, </w:t>
      </w:r>
      <w:proofErr w:type="spellStart"/>
      <w:r w:rsidR="00CA2E75">
        <w:t>unescalated</w:t>
      </w:r>
      <w:proofErr w:type="spellEnd"/>
      <w:r w:rsidR="00CA2E75">
        <w:t xml:space="preserve"> costs</w:t>
      </w:r>
      <w:r w:rsidR="00CA2E75" w:rsidRPr="001362D9">
        <w:t>)</w:t>
      </w:r>
      <w:r w:rsidR="00CA2E75">
        <w:t xml:space="preserve"> </w:t>
      </w:r>
      <w:r w:rsidRPr="001362D9">
        <w:t xml:space="preserve">in our alternative forecast of total </w:t>
      </w:r>
      <w:r>
        <w:t>ca</w:t>
      </w:r>
      <w:r w:rsidRPr="001362D9">
        <w:t xml:space="preserve">pex. This is because we consider that it does not represent the efficient costs that a prudent operator would require to achieve the </w:t>
      </w:r>
      <w:r>
        <w:t>capex</w:t>
      </w:r>
      <w:r w:rsidRPr="001362D9">
        <w:t xml:space="preserve"> </w:t>
      </w:r>
      <w:r>
        <w:t>criteria</w:t>
      </w:r>
      <w:r w:rsidRPr="001362D9">
        <w:t>.</w:t>
      </w:r>
      <w:r w:rsidRPr="001362D9">
        <w:rPr>
          <w:rStyle w:val="FootnoteReference"/>
        </w:rPr>
        <w:footnoteReference w:id="112"/>
      </w:r>
      <w:r w:rsidRPr="001362D9">
        <w:t xml:space="preserve"> Instead we have included $</w:t>
      </w:r>
      <w:r w:rsidR="00831C7D">
        <w:t>1</w:t>
      </w:r>
      <w:r w:rsidR="002A79CC">
        <w:t>15</w:t>
      </w:r>
      <w:r w:rsidR="00831C7D">
        <w:t>.</w:t>
      </w:r>
      <w:r w:rsidR="00253E57">
        <w:t>2</w:t>
      </w:r>
      <w:r w:rsidRPr="001362D9">
        <w:t xml:space="preserve"> million </w:t>
      </w:r>
      <w:r w:rsidR="00253E57" w:rsidRPr="00015BA5">
        <w:t>($</w:t>
      </w:r>
      <w:r w:rsidR="00253E57">
        <w:t xml:space="preserve">2015, </w:t>
      </w:r>
      <w:proofErr w:type="spellStart"/>
      <w:r w:rsidR="00253E57">
        <w:t>unescalated</w:t>
      </w:r>
      <w:proofErr w:type="spellEnd"/>
      <w:r w:rsidR="00253E57">
        <w:t xml:space="preserve"> costs</w:t>
      </w:r>
      <w:r w:rsidRPr="001362D9">
        <w:t xml:space="preserve">) for </w:t>
      </w:r>
      <w:r w:rsidR="00831C7D">
        <w:t xml:space="preserve">overheads in our alternative capex forecast for </w:t>
      </w:r>
      <w:r w:rsidRPr="001362D9">
        <w:t xml:space="preserve">the </w:t>
      </w:r>
      <w:r w:rsidRPr="001362D9">
        <w:lastRenderedPageBreak/>
        <w:t>201</w:t>
      </w:r>
      <w:r w:rsidR="00831C7D">
        <w:t>5</w:t>
      </w:r>
      <w:r w:rsidRPr="001362D9">
        <w:t xml:space="preserve">-20 </w:t>
      </w:r>
      <w:r>
        <w:t>access arrangement</w:t>
      </w:r>
      <w:r w:rsidRPr="001362D9">
        <w:t xml:space="preserve"> period (see </w:t>
      </w:r>
      <w:r w:rsidRPr="001362D9">
        <w:fldChar w:fldCharType="begin"/>
      </w:r>
      <w:r w:rsidRPr="001362D9">
        <w:instrText xml:space="preserve"> REF  _Ref401134843 \* Lower \h  \* MERGEFORMAT </w:instrText>
      </w:r>
      <w:r w:rsidRPr="001362D9">
        <w:fldChar w:fldCharType="separate"/>
      </w:r>
      <w:r w:rsidR="00D51AD6" w:rsidRPr="001362D9">
        <w:t xml:space="preserve">table </w:t>
      </w:r>
      <w:r w:rsidR="00D51AD6">
        <w:t>6.9</w:t>
      </w:r>
      <w:r w:rsidRPr="001362D9">
        <w:fldChar w:fldCharType="end"/>
      </w:r>
      <w:r w:rsidRPr="001362D9">
        <w:t>).</w:t>
      </w:r>
      <w:r w:rsidR="00484FB3">
        <w:t xml:space="preserve"> We had regard to confidential material in coming to our position. This confidential material is set out in Appendix B.</w:t>
      </w:r>
    </w:p>
    <w:p w:rsidR="007F57C1" w:rsidRPr="001362D9" w:rsidRDefault="007F57C1" w:rsidP="007F57C1">
      <w:pPr>
        <w:pStyle w:val="Caption"/>
      </w:pPr>
      <w:bookmarkStart w:id="52" w:name="_Ref401134843"/>
      <w:proofErr w:type="gramStart"/>
      <w:r w:rsidRPr="001362D9">
        <w:t xml:space="preserve">Table </w:t>
      </w:r>
      <w:r w:rsidR="00C62F3B">
        <w:fldChar w:fldCharType="begin"/>
      </w:r>
      <w:r w:rsidR="00C62F3B">
        <w:instrText xml:space="preserve"> STYLEREF 1 \s </w:instrText>
      </w:r>
      <w:r w:rsidR="00C62F3B">
        <w:fldChar w:fldCharType="separate"/>
      </w:r>
      <w:r w:rsidR="00D51AD6">
        <w:rPr>
          <w:noProof/>
        </w:rPr>
        <w:t>6</w:t>
      </w:r>
      <w:r w:rsidR="00C62F3B">
        <w:rPr>
          <w:noProof/>
        </w:rPr>
        <w:fldChar w:fldCharType="end"/>
      </w:r>
      <w:r w:rsidR="007E5469">
        <w:t>.</w:t>
      </w:r>
      <w:proofErr w:type="gramEnd"/>
      <w:r w:rsidR="00C62F3B">
        <w:fldChar w:fldCharType="begin"/>
      </w:r>
      <w:r w:rsidR="00C62F3B">
        <w:instrText xml:space="preserve"> SEQ Table \* ARABIC \s 1 </w:instrText>
      </w:r>
      <w:r w:rsidR="00C62F3B">
        <w:fldChar w:fldCharType="separate"/>
      </w:r>
      <w:r w:rsidR="00D51AD6">
        <w:rPr>
          <w:noProof/>
        </w:rPr>
        <w:t>9</w:t>
      </w:r>
      <w:r w:rsidR="00C62F3B">
        <w:rPr>
          <w:noProof/>
        </w:rPr>
        <w:fldChar w:fldCharType="end"/>
      </w:r>
      <w:bookmarkEnd w:id="52"/>
      <w:r w:rsidRPr="001362D9">
        <w:tab/>
        <w:t xml:space="preserve">AER </w:t>
      </w:r>
      <w:r>
        <w:t>capitalised overheads</w:t>
      </w:r>
      <w:r w:rsidRPr="001362D9">
        <w:t xml:space="preserve"> expenditure included in alternative </w:t>
      </w:r>
      <w:r>
        <w:t>ca</w:t>
      </w:r>
      <w:r w:rsidRPr="001362D9">
        <w:t>pex estimate ($000s, real 2014-15)</w:t>
      </w:r>
    </w:p>
    <w:tbl>
      <w:tblPr>
        <w:tblStyle w:val="AERtable-numbers"/>
        <w:tblW w:w="0" w:type="auto"/>
        <w:tblLook w:val="04A0" w:firstRow="1" w:lastRow="0" w:firstColumn="1" w:lastColumn="0" w:noHBand="0" w:noVBand="1"/>
      </w:tblPr>
      <w:tblGrid>
        <w:gridCol w:w="1833"/>
        <w:gridCol w:w="1144"/>
        <w:gridCol w:w="1144"/>
        <w:gridCol w:w="1144"/>
        <w:gridCol w:w="1144"/>
        <w:gridCol w:w="1144"/>
        <w:gridCol w:w="1140"/>
      </w:tblGrid>
      <w:tr w:rsidR="007F57C1" w:rsidTr="00C102F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3" w:type="dxa"/>
          </w:tcPr>
          <w:p w:rsidR="007F57C1" w:rsidRPr="001362D9" w:rsidRDefault="007F57C1" w:rsidP="007F57C1">
            <w:pPr>
              <w:numPr>
                <w:ilvl w:val="0"/>
                <w:numId w:val="25"/>
              </w:numPr>
            </w:pPr>
          </w:p>
        </w:tc>
        <w:tc>
          <w:tcPr>
            <w:tcW w:w="1144" w:type="dxa"/>
          </w:tcPr>
          <w:p w:rsidR="007F57C1" w:rsidRPr="007F57C1" w:rsidRDefault="007F57C1" w:rsidP="007F57C1">
            <w:pPr>
              <w:pStyle w:val="AERtabletextright"/>
              <w:cnfStyle w:val="100000000000" w:firstRow="1" w:lastRow="0" w:firstColumn="0" w:lastColumn="0" w:oddVBand="0" w:evenVBand="0" w:oddHBand="0" w:evenHBand="0" w:firstRowFirstColumn="0" w:firstRowLastColumn="0" w:lastRowFirstColumn="0" w:lastRowLastColumn="0"/>
            </w:pPr>
            <w:r w:rsidRPr="001362D9">
              <w:t>2015-16</w:t>
            </w:r>
          </w:p>
        </w:tc>
        <w:tc>
          <w:tcPr>
            <w:tcW w:w="1144" w:type="dxa"/>
          </w:tcPr>
          <w:p w:rsidR="007F57C1" w:rsidRPr="007F57C1" w:rsidRDefault="007F57C1" w:rsidP="007F57C1">
            <w:pPr>
              <w:pStyle w:val="AERtabletextright"/>
              <w:cnfStyle w:val="100000000000" w:firstRow="1" w:lastRow="0" w:firstColumn="0" w:lastColumn="0" w:oddVBand="0" w:evenVBand="0" w:oddHBand="0" w:evenHBand="0" w:firstRowFirstColumn="0" w:firstRowLastColumn="0" w:lastRowFirstColumn="0" w:lastRowLastColumn="0"/>
            </w:pPr>
            <w:r w:rsidRPr="001362D9">
              <w:t>2016-17</w:t>
            </w:r>
          </w:p>
        </w:tc>
        <w:tc>
          <w:tcPr>
            <w:tcW w:w="1144" w:type="dxa"/>
          </w:tcPr>
          <w:p w:rsidR="007F57C1" w:rsidRPr="007F57C1" w:rsidRDefault="007F57C1" w:rsidP="007F57C1">
            <w:pPr>
              <w:pStyle w:val="AERtabletextright"/>
              <w:cnfStyle w:val="100000000000" w:firstRow="1" w:lastRow="0" w:firstColumn="0" w:lastColumn="0" w:oddVBand="0" w:evenVBand="0" w:oddHBand="0" w:evenHBand="0" w:firstRowFirstColumn="0" w:firstRowLastColumn="0" w:lastRowFirstColumn="0" w:lastRowLastColumn="0"/>
            </w:pPr>
            <w:r w:rsidRPr="001362D9">
              <w:t>2017-18</w:t>
            </w:r>
          </w:p>
        </w:tc>
        <w:tc>
          <w:tcPr>
            <w:tcW w:w="1144" w:type="dxa"/>
          </w:tcPr>
          <w:p w:rsidR="007F57C1" w:rsidRPr="007F57C1" w:rsidRDefault="007F57C1" w:rsidP="007F57C1">
            <w:pPr>
              <w:pStyle w:val="AERtabletextright"/>
              <w:cnfStyle w:val="100000000000" w:firstRow="1" w:lastRow="0" w:firstColumn="0" w:lastColumn="0" w:oddVBand="0" w:evenVBand="0" w:oddHBand="0" w:evenHBand="0" w:firstRowFirstColumn="0" w:firstRowLastColumn="0" w:lastRowFirstColumn="0" w:lastRowLastColumn="0"/>
            </w:pPr>
            <w:r w:rsidRPr="001362D9">
              <w:t>2018-19</w:t>
            </w:r>
          </w:p>
        </w:tc>
        <w:tc>
          <w:tcPr>
            <w:tcW w:w="1144" w:type="dxa"/>
          </w:tcPr>
          <w:p w:rsidR="007F57C1" w:rsidRPr="007F57C1" w:rsidRDefault="007F57C1" w:rsidP="007F57C1">
            <w:pPr>
              <w:pStyle w:val="AERtabletextright"/>
              <w:cnfStyle w:val="100000000000" w:firstRow="1" w:lastRow="0" w:firstColumn="0" w:lastColumn="0" w:oddVBand="0" w:evenVBand="0" w:oddHBand="0" w:evenHBand="0" w:firstRowFirstColumn="0" w:firstRowLastColumn="0" w:lastRowFirstColumn="0" w:lastRowLastColumn="0"/>
            </w:pPr>
            <w:r w:rsidRPr="001362D9">
              <w:t>2019-20</w:t>
            </w:r>
          </w:p>
        </w:tc>
        <w:tc>
          <w:tcPr>
            <w:tcW w:w="1140" w:type="dxa"/>
          </w:tcPr>
          <w:p w:rsidR="007F57C1" w:rsidRPr="007F57C1" w:rsidRDefault="007F57C1" w:rsidP="007F57C1">
            <w:pPr>
              <w:pStyle w:val="AERtabletextright"/>
              <w:cnfStyle w:val="100000000000" w:firstRow="1" w:lastRow="0" w:firstColumn="0" w:lastColumn="0" w:oddVBand="0" w:evenVBand="0" w:oddHBand="0" w:evenHBand="0" w:firstRowFirstColumn="0" w:firstRowLastColumn="0" w:lastRowFirstColumn="0" w:lastRowLastColumn="0"/>
            </w:pPr>
            <w:r w:rsidRPr="001362D9">
              <w:t>Total</w:t>
            </w:r>
          </w:p>
        </w:tc>
      </w:tr>
      <w:tr w:rsidR="002A79CC" w:rsidTr="007F57C1">
        <w:tc>
          <w:tcPr>
            <w:cnfStyle w:val="001000000000" w:firstRow="0" w:lastRow="0" w:firstColumn="1" w:lastColumn="0" w:oddVBand="0" w:evenVBand="0" w:oddHBand="0" w:evenHBand="0" w:firstRowFirstColumn="0" w:firstRowLastColumn="0" w:lastRowFirstColumn="0" w:lastRowLastColumn="0"/>
            <w:tcW w:w="1833" w:type="dxa"/>
            <w:vAlign w:val="top"/>
          </w:tcPr>
          <w:p w:rsidR="002A79CC" w:rsidRPr="002A79CC" w:rsidRDefault="002A79CC" w:rsidP="002A79CC">
            <w:r w:rsidRPr="002A79CC">
              <w:t>Direct overheads</w:t>
            </w:r>
          </w:p>
        </w:tc>
        <w:tc>
          <w:tcPr>
            <w:tcW w:w="1144" w:type="dxa"/>
            <w:vAlign w:val="top"/>
          </w:tcPr>
          <w:p w:rsidR="002A79CC" w:rsidRPr="002A79CC" w:rsidRDefault="002A79CC" w:rsidP="00FA4F6D">
            <w:pPr>
              <w:cnfStyle w:val="000000000000" w:firstRow="0" w:lastRow="0" w:firstColumn="0" w:lastColumn="0" w:oddVBand="0" w:evenVBand="0" w:oddHBand="0" w:evenHBand="0" w:firstRowFirstColumn="0" w:firstRowLastColumn="0" w:lastRowFirstColumn="0" w:lastRowLastColumn="0"/>
            </w:pPr>
            <w:r w:rsidRPr="002A79CC">
              <w:t xml:space="preserve"> 7.5 </w:t>
            </w:r>
          </w:p>
        </w:tc>
        <w:tc>
          <w:tcPr>
            <w:tcW w:w="1144" w:type="dxa"/>
            <w:vAlign w:val="top"/>
          </w:tcPr>
          <w:p w:rsidR="002A79CC" w:rsidRPr="002A79CC" w:rsidRDefault="002A79CC" w:rsidP="00FA4F6D">
            <w:pPr>
              <w:cnfStyle w:val="000000000000" w:firstRow="0" w:lastRow="0" w:firstColumn="0" w:lastColumn="0" w:oddVBand="0" w:evenVBand="0" w:oddHBand="0" w:evenHBand="0" w:firstRowFirstColumn="0" w:firstRowLastColumn="0" w:lastRowFirstColumn="0" w:lastRowLastColumn="0"/>
            </w:pPr>
            <w:r w:rsidRPr="002A79CC">
              <w:t xml:space="preserve"> 7.1 </w:t>
            </w:r>
          </w:p>
        </w:tc>
        <w:tc>
          <w:tcPr>
            <w:tcW w:w="1144" w:type="dxa"/>
            <w:vAlign w:val="top"/>
          </w:tcPr>
          <w:p w:rsidR="002A79CC" w:rsidRPr="002A79CC" w:rsidRDefault="002A79CC" w:rsidP="00FA4F6D">
            <w:pPr>
              <w:cnfStyle w:val="000000000000" w:firstRow="0" w:lastRow="0" w:firstColumn="0" w:lastColumn="0" w:oddVBand="0" w:evenVBand="0" w:oddHBand="0" w:evenHBand="0" w:firstRowFirstColumn="0" w:firstRowLastColumn="0" w:lastRowFirstColumn="0" w:lastRowLastColumn="0"/>
            </w:pPr>
            <w:r w:rsidRPr="002A79CC">
              <w:t xml:space="preserve"> 7.1 </w:t>
            </w:r>
          </w:p>
        </w:tc>
        <w:tc>
          <w:tcPr>
            <w:tcW w:w="1144" w:type="dxa"/>
            <w:vAlign w:val="top"/>
          </w:tcPr>
          <w:p w:rsidR="002A79CC" w:rsidRPr="002A79CC" w:rsidRDefault="002A79CC" w:rsidP="00FA4F6D">
            <w:pPr>
              <w:cnfStyle w:val="000000000000" w:firstRow="0" w:lastRow="0" w:firstColumn="0" w:lastColumn="0" w:oddVBand="0" w:evenVBand="0" w:oddHBand="0" w:evenHBand="0" w:firstRowFirstColumn="0" w:firstRowLastColumn="0" w:lastRowFirstColumn="0" w:lastRowLastColumn="0"/>
            </w:pPr>
            <w:r w:rsidRPr="002A79CC">
              <w:t xml:space="preserve"> 6.6 </w:t>
            </w:r>
          </w:p>
        </w:tc>
        <w:tc>
          <w:tcPr>
            <w:tcW w:w="1144" w:type="dxa"/>
            <w:vAlign w:val="top"/>
          </w:tcPr>
          <w:p w:rsidR="002A79CC" w:rsidRPr="002A79CC" w:rsidRDefault="002A79CC" w:rsidP="00FA4F6D">
            <w:pPr>
              <w:cnfStyle w:val="000000000000" w:firstRow="0" w:lastRow="0" w:firstColumn="0" w:lastColumn="0" w:oddVBand="0" w:evenVBand="0" w:oddHBand="0" w:evenHBand="0" w:firstRowFirstColumn="0" w:firstRowLastColumn="0" w:lastRowFirstColumn="0" w:lastRowLastColumn="0"/>
            </w:pPr>
            <w:r w:rsidRPr="002A79CC">
              <w:t xml:space="preserve"> 6.1 </w:t>
            </w:r>
          </w:p>
        </w:tc>
        <w:tc>
          <w:tcPr>
            <w:tcW w:w="1140" w:type="dxa"/>
            <w:vAlign w:val="top"/>
          </w:tcPr>
          <w:p w:rsidR="002A79CC" w:rsidRPr="002A79CC" w:rsidRDefault="002A79CC" w:rsidP="00FA4F6D">
            <w:pPr>
              <w:cnfStyle w:val="000000000000" w:firstRow="0" w:lastRow="0" w:firstColumn="0" w:lastColumn="0" w:oddVBand="0" w:evenVBand="0" w:oddHBand="0" w:evenHBand="0" w:firstRowFirstColumn="0" w:firstRowLastColumn="0" w:lastRowFirstColumn="0" w:lastRowLastColumn="0"/>
            </w:pPr>
            <w:r w:rsidRPr="002A79CC">
              <w:t xml:space="preserve"> 34.4 </w:t>
            </w:r>
          </w:p>
        </w:tc>
      </w:tr>
      <w:tr w:rsidR="002A79CC" w:rsidTr="007F57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vAlign w:val="top"/>
          </w:tcPr>
          <w:p w:rsidR="002A79CC" w:rsidRPr="002A79CC" w:rsidRDefault="002A79CC" w:rsidP="002A79CC">
            <w:r w:rsidRPr="002A79CC">
              <w:t>Network overheads</w:t>
            </w:r>
          </w:p>
        </w:tc>
        <w:tc>
          <w:tcPr>
            <w:tcW w:w="1144" w:type="dxa"/>
            <w:vAlign w:val="top"/>
          </w:tcPr>
          <w:p w:rsidR="002A79CC" w:rsidRPr="002A79CC" w:rsidRDefault="002A79CC" w:rsidP="00FA4F6D">
            <w:pPr>
              <w:cnfStyle w:val="000000010000" w:firstRow="0" w:lastRow="0" w:firstColumn="0" w:lastColumn="0" w:oddVBand="0" w:evenVBand="0" w:oddHBand="0" w:evenHBand="1" w:firstRowFirstColumn="0" w:firstRowLastColumn="0" w:lastRowFirstColumn="0" w:lastRowLastColumn="0"/>
            </w:pPr>
            <w:r w:rsidRPr="002A79CC">
              <w:t xml:space="preserve"> 15.4 </w:t>
            </w:r>
          </w:p>
        </w:tc>
        <w:tc>
          <w:tcPr>
            <w:tcW w:w="1144" w:type="dxa"/>
            <w:vAlign w:val="top"/>
          </w:tcPr>
          <w:p w:rsidR="002A79CC" w:rsidRPr="002A79CC" w:rsidRDefault="002A79CC" w:rsidP="00FA4F6D">
            <w:pPr>
              <w:cnfStyle w:val="000000010000" w:firstRow="0" w:lastRow="0" w:firstColumn="0" w:lastColumn="0" w:oddVBand="0" w:evenVBand="0" w:oddHBand="0" w:evenHBand="1" w:firstRowFirstColumn="0" w:firstRowLastColumn="0" w:lastRowFirstColumn="0" w:lastRowLastColumn="0"/>
            </w:pPr>
            <w:r w:rsidRPr="002A79CC">
              <w:t xml:space="preserve"> 15.2 </w:t>
            </w:r>
          </w:p>
        </w:tc>
        <w:tc>
          <w:tcPr>
            <w:tcW w:w="1144" w:type="dxa"/>
            <w:vAlign w:val="top"/>
          </w:tcPr>
          <w:p w:rsidR="002A79CC" w:rsidRPr="002A79CC" w:rsidRDefault="002A79CC" w:rsidP="00FA4F6D">
            <w:pPr>
              <w:cnfStyle w:val="000000010000" w:firstRow="0" w:lastRow="0" w:firstColumn="0" w:lastColumn="0" w:oddVBand="0" w:evenVBand="0" w:oddHBand="0" w:evenHBand="1" w:firstRowFirstColumn="0" w:firstRowLastColumn="0" w:lastRowFirstColumn="0" w:lastRowLastColumn="0"/>
            </w:pPr>
            <w:r w:rsidRPr="002A79CC">
              <w:t xml:space="preserve"> 15.3 </w:t>
            </w:r>
          </w:p>
        </w:tc>
        <w:tc>
          <w:tcPr>
            <w:tcW w:w="1144" w:type="dxa"/>
            <w:vAlign w:val="top"/>
          </w:tcPr>
          <w:p w:rsidR="002A79CC" w:rsidRPr="002A79CC" w:rsidRDefault="002A79CC" w:rsidP="00FA4F6D">
            <w:pPr>
              <w:cnfStyle w:val="000000010000" w:firstRow="0" w:lastRow="0" w:firstColumn="0" w:lastColumn="0" w:oddVBand="0" w:evenVBand="0" w:oddHBand="0" w:evenHBand="1" w:firstRowFirstColumn="0" w:firstRowLastColumn="0" w:lastRowFirstColumn="0" w:lastRowLastColumn="0"/>
            </w:pPr>
            <w:r w:rsidRPr="002A79CC">
              <w:t xml:space="preserve"> 15.0 </w:t>
            </w:r>
          </w:p>
        </w:tc>
        <w:tc>
          <w:tcPr>
            <w:tcW w:w="1144" w:type="dxa"/>
            <w:vAlign w:val="top"/>
          </w:tcPr>
          <w:p w:rsidR="002A79CC" w:rsidRPr="002A79CC" w:rsidRDefault="002A79CC" w:rsidP="00FA4F6D">
            <w:pPr>
              <w:cnfStyle w:val="000000010000" w:firstRow="0" w:lastRow="0" w:firstColumn="0" w:lastColumn="0" w:oddVBand="0" w:evenVBand="0" w:oddHBand="0" w:evenHBand="1" w:firstRowFirstColumn="0" w:firstRowLastColumn="0" w:lastRowFirstColumn="0" w:lastRowLastColumn="0"/>
            </w:pPr>
            <w:r w:rsidRPr="002A79CC">
              <w:t xml:space="preserve"> 14.6 </w:t>
            </w:r>
          </w:p>
        </w:tc>
        <w:tc>
          <w:tcPr>
            <w:tcW w:w="1140" w:type="dxa"/>
            <w:vAlign w:val="top"/>
          </w:tcPr>
          <w:p w:rsidR="002A79CC" w:rsidRPr="002A79CC" w:rsidRDefault="002A79CC" w:rsidP="00FA4F6D">
            <w:pPr>
              <w:cnfStyle w:val="000000010000" w:firstRow="0" w:lastRow="0" w:firstColumn="0" w:lastColumn="0" w:oddVBand="0" w:evenVBand="0" w:oddHBand="0" w:evenHBand="1" w:firstRowFirstColumn="0" w:firstRowLastColumn="0" w:lastRowFirstColumn="0" w:lastRowLastColumn="0"/>
            </w:pPr>
            <w:r w:rsidRPr="002A79CC">
              <w:t xml:space="preserve"> 75.5 </w:t>
            </w:r>
          </w:p>
        </w:tc>
      </w:tr>
      <w:tr w:rsidR="002A79CC" w:rsidTr="007F57C1">
        <w:tc>
          <w:tcPr>
            <w:cnfStyle w:val="001000000000" w:firstRow="0" w:lastRow="0" w:firstColumn="1" w:lastColumn="0" w:oddVBand="0" w:evenVBand="0" w:oddHBand="0" w:evenHBand="0" w:firstRowFirstColumn="0" w:firstRowLastColumn="0" w:lastRowFirstColumn="0" w:lastRowLastColumn="0"/>
            <w:tcW w:w="1833" w:type="dxa"/>
            <w:vAlign w:val="top"/>
          </w:tcPr>
          <w:p w:rsidR="002A79CC" w:rsidRPr="002A79CC" w:rsidRDefault="002A79CC" w:rsidP="002A79CC">
            <w:r w:rsidRPr="002A79CC">
              <w:t>Corporate overheads</w:t>
            </w:r>
          </w:p>
        </w:tc>
        <w:tc>
          <w:tcPr>
            <w:tcW w:w="1144" w:type="dxa"/>
            <w:vAlign w:val="top"/>
          </w:tcPr>
          <w:p w:rsidR="002A79CC" w:rsidRPr="002A79CC" w:rsidRDefault="002A79CC" w:rsidP="00FA4F6D">
            <w:pPr>
              <w:cnfStyle w:val="000000000000" w:firstRow="0" w:lastRow="0" w:firstColumn="0" w:lastColumn="0" w:oddVBand="0" w:evenVBand="0" w:oddHBand="0" w:evenHBand="0" w:firstRowFirstColumn="0" w:firstRowLastColumn="0" w:lastRowFirstColumn="0" w:lastRowLastColumn="0"/>
            </w:pPr>
            <w:r w:rsidRPr="002A79CC">
              <w:t xml:space="preserve"> 1.1 </w:t>
            </w:r>
          </w:p>
        </w:tc>
        <w:tc>
          <w:tcPr>
            <w:tcW w:w="1144" w:type="dxa"/>
            <w:vAlign w:val="top"/>
          </w:tcPr>
          <w:p w:rsidR="002A79CC" w:rsidRPr="002A79CC" w:rsidRDefault="002A79CC" w:rsidP="00FA4F6D">
            <w:pPr>
              <w:cnfStyle w:val="000000000000" w:firstRow="0" w:lastRow="0" w:firstColumn="0" w:lastColumn="0" w:oddVBand="0" w:evenVBand="0" w:oddHBand="0" w:evenHBand="0" w:firstRowFirstColumn="0" w:firstRowLastColumn="0" w:lastRowFirstColumn="0" w:lastRowLastColumn="0"/>
            </w:pPr>
            <w:r w:rsidRPr="002A79CC">
              <w:t xml:space="preserve"> 1.1 </w:t>
            </w:r>
          </w:p>
        </w:tc>
        <w:tc>
          <w:tcPr>
            <w:tcW w:w="1144" w:type="dxa"/>
            <w:vAlign w:val="top"/>
          </w:tcPr>
          <w:p w:rsidR="002A79CC" w:rsidRPr="002A79CC" w:rsidRDefault="002A79CC" w:rsidP="00FA4F6D">
            <w:pPr>
              <w:cnfStyle w:val="000000000000" w:firstRow="0" w:lastRow="0" w:firstColumn="0" w:lastColumn="0" w:oddVBand="0" w:evenVBand="0" w:oddHBand="0" w:evenHBand="0" w:firstRowFirstColumn="0" w:firstRowLastColumn="0" w:lastRowFirstColumn="0" w:lastRowLastColumn="0"/>
            </w:pPr>
            <w:r w:rsidRPr="002A79CC">
              <w:t xml:space="preserve"> 1.1 </w:t>
            </w:r>
          </w:p>
        </w:tc>
        <w:tc>
          <w:tcPr>
            <w:tcW w:w="1144" w:type="dxa"/>
            <w:vAlign w:val="top"/>
          </w:tcPr>
          <w:p w:rsidR="002A79CC" w:rsidRPr="002A79CC" w:rsidRDefault="002A79CC" w:rsidP="00FA4F6D">
            <w:pPr>
              <w:cnfStyle w:val="000000000000" w:firstRow="0" w:lastRow="0" w:firstColumn="0" w:lastColumn="0" w:oddVBand="0" w:evenVBand="0" w:oddHBand="0" w:evenHBand="0" w:firstRowFirstColumn="0" w:firstRowLastColumn="0" w:lastRowFirstColumn="0" w:lastRowLastColumn="0"/>
            </w:pPr>
            <w:r w:rsidRPr="002A79CC">
              <w:t xml:space="preserve"> 1.1 </w:t>
            </w:r>
          </w:p>
        </w:tc>
        <w:tc>
          <w:tcPr>
            <w:tcW w:w="1144" w:type="dxa"/>
            <w:vAlign w:val="top"/>
          </w:tcPr>
          <w:p w:rsidR="002A79CC" w:rsidRPr="002A79CC" w:rsidRDefault="002A79CC" w:rsidP="00FA4F6D">
            <w:pPr>
              <w:cnfStyle w:val="000000000000" w:firstRow="0" w:lastRow="0" w:firstColumn="0" w:lastColumn="0" w:oddVBand="0" w:evenVBand="0" w:oddHBand="0" w:evenHBand="0" w:firstRowFirstColumn="0" w:firstRowLastColumn="0" w:lastRowFirstColumn="0" w:lastRowLastColumn="0"/>
            </w:pPr>
            <w:r w:rsidRPr="002A79CC">
              <w:t xml:space="preserve"> 1.1 </w:t>
            </w:r>
          </w:p>
        </w:tc>
        <w:tc>
          <w:tcPr>
            <w:tcW w:w="1140" w:type="dxa"/>
            <w:vAlign w:val="top"/>
          </w:tcPr>
          <w:p w:rsidR="002A79CC" w:rsidRPr="002A79CC" w:rsidRDefault="002A79CC" w:rsidP="00FA4F6D">
            <w:pPr>
              <w:cnfStyle w:val="000000000000" w:firstRow="0" w:lastRow="0" w:firstColumn="0" w:lastColumn="0" w:oddVBand="0" w:evenVBand="0" w:oddHBand="0" w:evenHBand="0" w:firstRowFirstColumn="0" w:firstRowLastColumn="0" w:lastRowFirstColumn="0" w:lastRowLastColumn="0"/>
            </w:pPr>
            <w:r w:rsidRPr="002A79CC">
              <w:t xml:space="preserve"> 5.4 </w:t>
            </w:r>
          </w:p>
        </w:tc>
      </w:tr>
      <w:tr w:rsidR="002A79CC" w:rsidTr="007F57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vAlign w:val="top"/>
          </w:tcPr>
          <w:p w:rsidR="002A79CC" w:rsidRPr="002A79CC" w:rsidRDefault="002A79CC" w:rsidP="002A79CC">
            <w:r w:rsidRPr="002A79CC">
              <w:t>Total overheads</w:t>
            </w:r>
          </w:p>
        </w:tc>
        <w:tc>
          <w:tcPr>
            <w:tcW w:w="1144" w:type="dxa"/>
            <w:vAlign w:val="top"/>
          </w:tcPr>
          <w:p w:rsidR="002A79CC" w:rsidRPr="002A79CC" w:rsidRDefault="002A79CC" w:rsidP="00FA4F6D">
            <w:pPr>
              <w:cnfStyle w:val="000000010000" w:firstRow="0" w:lastRow="0" w:firstColumn="0" w:lastColumn="0" w:oddVBand="0" w:evenVBand="0" w:oddHBand="0" w:evenHBand="1" w:firstRowFirstColumn="0" w:firstRowLastColumn="0" w:lastRowFirstColumn="0" w:lastRowLastColumn="0"/>
            </w:pPr>
            <w:r w:rsidRPr="002A79CC">
              <w:t xml:space="preserve"> 24.0 </w:t>
            </w:r>
          </w:p>
        </w:tc>
        <w:tc>
          <w:tcPr>
            <w:tcW w:w="1144" w:type="dxa"/>
            <w:vAlign w:val="top"/>
          </w:tcPr>
          <w:p w:rsidR="002A79CC" w:rsidRPr="002A79CC" w:rsidRDefault="002A79CC" w:rsidP="00FA4F6D">
            <w:pPr>
              <w:cnfStyle w:val="000000010000" w:firstRow="0" w:lastRow="0" w:firstColumn="0" w:lastColumn="0" w:oddVBand="0" w:evenVBand="0" w:oddHBand="0" w:evenHBand="1" w:firstRowFirstColumn="0" w:firstRowLastColumn="0" w:lastRowFirstColumn="0" w:lastRowLastColumn="0"/>
            </w:pPr>
            <w:r w:rsidRPr="002A79CC">
              <w:t xml:space="preserve"> 23.4 </w:t>
            </w:r>
          </w:p>
        </w:tc>
        <w:tc>
          <w:tcPr>
            <w:tcW w:w="1144" w:type="dxa"/>
            <w:vAlign w:val="top"/>
          </w:tcPr>
          <w:p w:rsidR="002A79CC" w:rsidRPr="002A79CC" w:rsidRDefault="002A79CC" w:rsidP="00FA4F6D">
            <w:pPr>
              <w:cnfStyle w:val="000000010000" w:firstRow="0" w:lastRow="0" w:firstColumn="0" w:lastColumn="0" w:oddVBand="0" w:evenVBand="0" w:oddHBand="0" w:evenHBand="1" w:firstRowFirstColumn="0" w:firstRowLastColumn="0" w:lastRowFirstColumn="0" w:lastRowLastColumn="0"/>
            </w:pPr>
            <w:r w:rsidRPr="002A79CC">
              <w:t xml:space="preserve"> 23.5 </w:t>
            </w:r>
          </w:p>
        </w:tc>
        <w:tc>
          <w:tcPr>
            <w:tcW w:w="1144" w:type="dxa"/>
            <w:vAlign w:val="top"/>
          </w:tcPr>
          <w:p w:rsidR="002A79CC" w:rsidRPr="002A79CC" w:rsidRDefault="002A79CC" w:rsidP="00FA4F6D">
            <w:pPr>
              <w:cnfStyle w:val="000000010000" w:firstRow="0" w:lastRow="0" w:firstColumn="0" w:lastColumn="0" w:oddVBand="0" w:evenVBand="0" w:oddHBand="0" w:evenHBand="1" w:firstRowFirstColumn="0" w:firstRowLastColumn="0" w:lastRowFirstColumn="0" w:lastRowLastColumn="0"/>
            </w:pPr>
            <w:r w:rsidRPr="002A79CC">
              <w:t xml:space="preserve"> 22.6 </w:t>
            </w:r>
          </w:p>
        </w:tc>
        <w:tc>
          <w:tcPr>
            <w:tcW w:w="1144" w:type="dxa"/>
            <w:vAlign w:val="top"/>
          </w:tcPr>
          <w:p w:rsidR="002A79CC" w:rsidRPr="002A79CC" w:rsidRDefault="002A79CC" w:rsidP="00FA4F6D">
            <w:pPr>
              <w:cnfStyle w:val="000000010000" w:firstRow="0" w:lastRow="0" w:firstColumn="0" w:lastColumn="0" w:oddVBand="0" w:evenVBand="0" w:oddHBand="0" w:evenHBand="1" w:firstRowFirstColumn="0" w:firstRowLastColumn="0" w:lastRowFirstColumn="0" w:lastRowLastColumn="0"/>
            </w:pPr>
            <w:r w:rsidRPr="002A79CC">
              <w:t xml:space="preserve"> 21.8 </w:t>
            </w:r>
          </w:p>
        </w:tc>
        <w:tc>
          <w:tcPr>
            <w:tcW w:w="1140" w:type="dxa"/>
            <w:vAlign w:val="top"/>
          </w:tcPr>
          <w:p w:rsidR="002A79CC" w:rsidRPr="002A79CC" w:rsidRDefault="002A79CC" w:rsidP="00FA4F6D">
            <w:pPr>
              <w:cnfStyle w:val="000000010000" w:firstRow="0" w:lastRow="0" w:firstColumn="0" w:lastColumn="0" w:oddVBand="0" w:evenVBand="0" w:oddHBand="0" w:evenHBand="1" w:firstRowFirstColumn="0" w:firstRowLastColumn="0" w:lastRowFirstColumn="0" w:lastRowLastColumn="0"/>
            </w:pPr>
            <w:r w:rsidRPr="002A79CC">
              <w:t xml:space="preserve"> 115.2 </w:t>
            </w:r>
          </w:p>
        </w:tc>
      </w:tr>
    </w:tbl>
    <w:p w:rsidR="007F57C1" w:rsidRPr="001362D9" w:rsidRDefault="007F57C1" w:rsidP="007F57C1">
      <w:pPr>
        <w:pStyle w:val="AERtablesource"/>
      </w:pPr>
      <w:r w:rsidRPr="001362D9">
        <w:t>Source: AER analysis.</w:t>
      </w:r>
    </w:p>
    <w:p w:rsidR="004152F8" w:rsidRPr="004152F8" w:rsidRDefault="004152F8" w:rsidP="004152F8">
      <w:pPr>
        <w:rPr>
          <w:rStyle w:val="AERtextbolditalics"/>
        </w:rPr>
      </w:pPr>
      <w:r w:rsidRPr="004152F8">
        <w:rPr>
          <w:rStyle w:val="AERtextbolditalics"/>
        </w:rPr>
        <w:t>Network and corporate overheads</w:t>
      </w:r>
    </w:p>
    <w:p w:rsidR="00CC062C" w:rsidRDefault="00CC062C" w:rsidP="004152F8">
      <w:r>
        <w:t>We d</w:t>
      </w:r>
      <w:r w:rsidR="001062EC">
        <w:t>o</w:t>
      </w:r>
      <w:r w:rsidR="00EE065D">
        <w:t xml:space="preserve"> </w:t>
      </w:r>
      <w:r>
        <w:t xml:space="preserve">not accept JGN's revised expenditure of $89.7 million </w:t>
      </w:r>
      <w:r w:rsidRPr="00015BA5">
        <w:t>($</w:t>
      </w:r>
      <w:r>
        <w:t xml:space="preserve">2015, </w:t>
      </w:r>
      <w:proofErr w:type="spellStart"/>
      <w:r>
        <w:t>unescalated</w:t>
      </w:r>
      <w:proofErr w:type="spellEnd"/>
      <w:r>
        <w:t xml:space="preserve"> costs</w:t>
      </w:r>
      <w:r w:rsidRPr="001362D9">
        <w:t>)</w:t>
      </w:r>
      <w:r>
        <w:t xml:space="preserve">. We have included $80.9 million </w:t>
      </w:r>
      <w:r w:rsidRPr="00015BA5">
        <w:t>($</w:t>
      </w:r>
      <w:r>
        <w:t xml:space="preserve">2015, </w:t>
      </w:r>
      <w:proofErr w:type="spellStart"/>
      <w:r>
        <w:t>unescalated</w:t>
      </w:r>
      <w:proofErr w:type="spellEnd"/>
      <w:r>
        <w:t xml:space="preserve"> costs</w:t>
      </w:r>
      <w:r w:rsidRPr="001362D9">
        <w:t>)</w:t>
      </w:r>
      <w:r>
        <w:t xml:space="preserve"> for network and corporate overheads in our </w:t>
      </w:r>
      <w:r w:rsidR="001062EC">
        <w:t xml:space="preserve">alternate </w:t>
      </w:r>
      <w:r>
        <w:t>capex forecast.</w:t>
      </w:r>
    </w:p>
    <w:p w:rsidR="004152F8" w:rsidRPr="004152F8" w:rsidRDefault="004152F8" w:rsidP="004152F8">
      <w:r w:rsidRPr="004152F8">
        <w:t xml:space="preserve">Our final decision on capitalised network and corporate overheads applies a </w:t>
      </w:r>
      <w:r w:rsidR="00642A53">
        <w:t xml:space="preserve">modified </w:t>
      </w:r>
      <w:r w:rsidRPr="004152F8">
        <w:t xml:space="preserve">base-step-trend approach, similar to what </w:t>
      </w:r>
      <w:r w:rsidR="00CA2E75">
        <w:t xml:space="preserve">was </w:t>
      </w:r>
      <w:r w:rsidRPr="004152F8">
        <w:t xml:space="preserve">applied </w:t>
      </w:r>
      <w:r w:rsidR="00CA2E75">
        <w:t>in the Victorian Gas Access Arrangement Review 2013-17</w:t>
      </w:r>
      <w:r w:rsidR="00677114">
        <w:t>, specifically for Envestra and SP</w:t>
      </w:r>
      <w:r w:rsidR="00A06610">
        <w:t xml:space="preserve"> </w:t>
      </w:r>
      <w:proofErr w:type="gramStart"/>
      <w:r w:rsidR="00677114">
        <w:t xml:space="preserve">AusNet </w:t>
      </w:r>
      <w:r w:rsidRPr="004152F8">
        <w:t>.</w:t>
      </w:r>
      <w:proofErr w:type="gramEnd"/>
      <w:r w:rsidR="00CA2E75">
        <w:rPr>
          <w:rStyle w:val="FootnoteReference"/>
        </w:rPr>
        <w:footnoteReference w:id="113"/>
      </w:r>
      <w:r w:rsidRPr="004152F8">
        <w:t xml:space="preserve">  In this decision, we have taken an average of the past three years of network and </w:t>
      </w:r>
      <w:r>
        <w:t xml:space="preserve">the past four years of </w:t>
      </w:r>
      <w:r w:rsidRPr="004152F8">
        <w:t>corporate overheads data to derive a base year</w:t>
      </w:r>
      <w:r w:rsidR="00CE122E">
        <w:t>. F</w:t>
      </w:r>
      <w:r w:rsidR="00CA2E75">
        <w:t>or each forecast year</w:t>
      </w:r>
      <w:r w:rsidR="004E640F">
        <w:t xml:space="preserve"> o</w:t>
      </w:r>
      <w:r w:rsidR="001A6F3F">
        <w:t>f</w:t>
      </w:r>
      <w:r w:rsidR="004E640F">
        <w:t xml:space="preserve"> the </w:t>
      </w:r>
      <w:r w:rsidR="001A6F3F">
        <w:t xml:space="preserve">access arrangement </w:t>
      </w:r>
      <w:r w:rsidR="004E640F">
        <w:t>p</w:t>
      </w:r>
      <w:r w:rsidR="00CA2E75">
        <w:t>e</w:t>
      </w:r>
      <w:r w:rsidR="004E640F">
        <w:t>r</w:t>
      </w:r>
      <w:r w:rsidR="00CA2E75">
        <w:t xml:space="preserve">iod, </w:t>
      </w:r>
      <w:r w:rsidR="00CE122E">
        <w:t xml:space="preserve">we </w:t>
      </w:r>
      <w:r w:rsidR="00CA2E75">
        <w:t xml:space="preserve">have </w:t>
      </w:r>
      <w:r w:rsidRPr="004152F8">
        <w:t xml:space="preserve">scaled the variable component of these overheads by the size of the capex program and then applied a real cost escalation </w:t>
      </w:r>
      <w:r w:rsidR="00CE122E">
        <w:t>to</w:t>
      </w:r>
      <w:r w:rsidR="004E640F">
        <w:t xml:space="preserve"> the total overhead amount. </w:t>
      </w:r>
      <w:r w:rsidRPr="004152F8">
        <w:t>We consider that the estimate of $8</w:t>
      </w:r>
      <w:r w:rsidR="00CE122E">
        <w:t>0</w:t>
      </w:r>
      <w:r w:rsidRPr="004152F8">
        <w:t>.</w:t>
      </w:r>
      <w:r w:rsidR="00CE122E">
        <w:t xml:space="preserve">9 million </w:t>
      </w:r>
      <w:r w:rsidR="00CE122E" w:rsidRPr="00015BA5">
        <w:t>($</w:t>
      </w:r>
      <w:r w:rsidR="00CE122E">
        <w:t xml:space="preserve">2015, </w:t>
      </w:r>
      <w:proofErr w:type="spellStart"/>
      <w:r w:rsidR="00CE122E">
        <w:t>unescalated</w:t>
      </w:r>
      <w:proofErr w:type="spellEnd"/>
      <w:r w:rsidR="00CE122E">
        <w:t xml:space="preserve"> costs</w:t>
      </w:r>
      <w:r w:rsidR="00CE122E" w:rsidRPr="001362D9">
        <w:t>)</w:t>
      </w:r>
      <w:r w:rsidRPr="004152F8">
        <w:t xml:space="preserve"> was arrived at on a reasonable basis and represents the best estimate in the circumstances. This reflects a reduction in our draft decision where we included $90.3 million in network and corporate overheads.</w:t>
      </w:r>
      <w:r w:rsidR="003349B1">
        <w:rPr>
          <w:rStyle w:val="FootnoteReference"/>
        </w:rPr>
        <w:footnoteReference w:id="114"/>
      </w:r>
    </w:p>
    <w:p w:rsidR="004152F8" w:rsidRPr="004152F8" w:rsidRDefault="004152F8" w:rsidP="004152F8">
      <w:r w:rsidRPr="004152F8">
        <w:t xml:space="preserve">The </w:t>
      </w:r>
      <w:r w:rsidR="00CA2E75" w:rsidRPr="004152F8">
        <w:t>reaso</w:t>
      </w:r>
      <w:r w:rsidR="00CA2E75">
        <w:t xml:space="preserve">n for our change in position is </w:t>
      </w:r>
      <w:r w:rsidRPr="004152F8">
        <w:t xml:space="preserve">that our draft decision was based on the understanding that </w:t>
      </w:r>
      <w:r w:rsidR="00CE122E">
        <w:t>total overhead</w:t>
      </w:r>
      <w:r w:rsidRPr="004152F8">
        <w:t xml:space="preserve">s were apportioned between capex and </w:t>
      </w:r>
      <w:proofErr w:type="spellStart"/>
      <w:r w:rsidRPr="004152F8">
        <w:t>opex</w:t>
      </w:r>
      <w:proofErr w:type="spellEnd"/>
      <w:r w:rsidRPr="004152F8">
        <w:t xml:space="preserve">. It was on this basis that we accepted JGN’s choice of 2013-14 base </w:t>
      </w:r>
      <w:proofErr w:type="gramStart"/>
      <w:r w:rsidRPr="004152F8">
        <w:t>year</w:t>
      </w:r>
      <w:proofErr w:type="gramEnd"/>
      <w:r w:rsidRPr="004152F8">
        <w:t xml:space="preserve"> from which to forecast network and corporate </w:t>
      </w:r>
      <w:r w:rsidR="00CE122E">
        <w:t>overhead</w:t>
      </w:r>
      <w:r w:rsidRPr="004152F8">
        <w:t xml:space="preserve">s. Based on the historical trend for these </w:t>
      </w:r>
      <w:r w:rsidR="00CE122E">
        <w:t>of total</w:t>
      </w:r>
      <w:r w:rsidRPr="004152F8">
        <w:t xml:space="preserve"> overheads, a 2013-14 base year seemed reflective of the general trend for these overheads overtime.</w:t>
      </w:r>
    </w:p>
    <w:p w:rsidR="004152F8" w:rsidRPr="004152F8" w:rsidRDefault="00A06610" w:rsidP="004152F8">
      <w:r>
        <w:lastRenderedPageBreak/>
        <w:t>In our draft decision</w:t>
      </w:r>
      <w:r w:rsidR="004152F8" w:rsidRPr="004152F8">
        <w:t xml:space="preserve">, we also found that network and corporate overheads amount of $144.4 million allocated across the capex driver categories did not reconcile with the $93.1 million category build up for capex network and corporate overheads. It was unclear to us what the additional $51.3 million allocated across capex driver categories represented as the </w:t>
      </w:r>
      <w:r w:rsidR="00CA2E75" w:rsidRPr="004152F8">
        <w:t>linkage between key spreadsheets was</w:t>
      </w:r>
      <w:r w:rsidR="00CA2E75">
        <w:t xml:space="preserve"> hardcoded.</w:t>
      </w:r>
      <w:r w:rsidR="004E640F" w:rsidRPr="004E640F">
        <w:rPr>
          <w:rStyle w:val="FootnoteReference"/>
        </w:rPr>
        <w:t xml:space="preserve"> </w:t>
      </w:r>
      <w:r w:rsidR="004E640F">
        <w:rPr>
          <w:rStyle w:val="FootnoteReference"/>
        </w:rPr>
        <w:footnoteReference w:id="115"/>
      </w:r>
      <w:r w:rsidR="00CA2E75">
        <w:t xml:space="preserve"> </w:t>
      </w:r>
      <w:r w:rsidR="004152F8" w:rsidRPr="004152F8">
        <w:t>JGN submitted that the $51.3 mil</w:t>
      </w:r>
      <w:r w:rsidR="00642A53">
        <w:t xml:space="preserve">lion was for direct overheads. </w:t>
      </w:r>
      <w:r w:rsidR="004152F8" w:rsidRPr="004152F8">
        <w:t>In our draft decision we included $18.7 million in direct overheads (based on an average of 2012-13 and 2013-14 years) in recognition that JGN may have incurred these overheads.</w:t>
      </w:r>
      <w:r w:rsidR="003349B1" w:rsidRPr="003349B1">
        <w:rPr>
          <w:rStyle w:val="FootnoteReference"/>
        </w:rPr>
        <w:t xml:space="preserve"> </w:t>
      </w:r>
      <w:r w:rsidR="003349B1">
        <w:rPr>
          <w:rStyle w:val="FootnoteReference"/>
        </w:rPr>
        <w:footnoteReference w:id="116"/>
      </w:r>
    </w:p>
    <w:p w:rsidR="00677114" w:rsidRDefault="004152F8" w:rsidP="004152F8">
      <w:r w:rsidRPr="004152F8">
        <w:t xml:space="preserve">In </w:t>
      </w:r>
      <w:r w:rsidR="001A6F3F">
        <w:t>its</w:t>
      </w:r>
      <w:r w:rsidR="001A6F3F" w:rsidRPr="004152F8">
        <w:t xml:space="preserve"> </w:t>
      </w:r>
      <w:r w:rsidRPr="004152F8">
        <w:t xml:space="preserve">revised proposal, JGN reproposed 2013-14 as a base year from which to apply their modified base step and trend method of estimating network and corporate overheads over the regulatory period. Further, after the draft decision, based on correspondence with JGN, we were alerted to the fact that JGN had changed their overhead allocation methodology </w:t>
      </w:r>
      <w:r w:rsidR="00CE122E">
        <w:t xml:space="preserve">from the method which we understood was being applied by JGN when we were developing </w:t>
      </w:r>
      <w:r w:rsidR="007D7626">
        <w:t xml:space="preserve">its </w:t>
      </w:r>
      <w:r w:rsidRPr="004152F8">
        <w:t>RIN</w:t>
      </w:r>
      <w:r w:rsidR="001A6F3F">
        <w:t>s</w:t>
      </w:r>
      <w:r w:rsidRPr="004152F8">
        <w:t xml:space="preserve"> </w:t>
      </w:r>
      <w:r w:rsidR="00CE122E">
        <w:t xml:space="preserve">in consultation with </w:t>
      </w:r>
      <w:r w:rsidR="007D7626">
        <w:t>JGN</w:t>
      </w:r>
      <w:r w:rsidRPr="004152F8">
        <w:t>.</w:t>
      </w:r>
      <w:r w:rsidR="002C5666">
        <w:rPr>
          <w:rStyle w:val="FootnoteReference"/>
        </w:rPr>
        <w:footnoteReference w:id="117"/>
      </w:r>
      <w:r w:rsidR="002C5666">
        <w:t xml:space="preserve"> T</w:t>
      </w:r>
      <w:r w:rsidRPr="004152F8">
        <w:t xml:space="preserve">his had not been conveyed </w:t>
      </w:r>
      <w:r w:rsidR="001A6F3F">
        <w:t>in its</w:t>
      </w:r>
      <w:r w:rsidRPr="004152F8">
        <w:t xml:space="preserve"> initial proposal.  In particular, JGN did not convey that they now did not apportion network and corporate overheads between capex and </w:t>
      </w:r>
      <w:proofErr w:type="spellStart"/>
      <w:r w:rsidRPr="004152F8">
        <w:t>opex</w:t>
      </w:r>
      <w:proofErr w:type="spellEnd"/>
      <w:r w:rsidRPr="004152F8">
        <w:t xml:space="preserve"> but instead had specific overhead cost builds up for capex and </w:t>
      </w:r>
      <w:proofErr w:type="spellStart"/>
      <w:r w:rsidRPr="004152F8">
        <w:t>opex</w:t>
      </w:r>
      <w:proofErr w:type="spellEnd"/>
      <w:r w:rsidRPr="004152F8">
        <w:t xml:space="preserve">. </w:t>
      </w:r>
    </w:p>
    <w:p w:rsidR="004152F8" w:rsidRPr="004152F8" w:rsidRDefault="004152F8" w:rsidP="004152F8">
      <w:r w:rsidRPr="004152F8">
        <w:t>This new information necessarily required a reassessment of JGN’s revised proposal for network and corporate overheads. To assess the efficiency of JGN’s proposed network and corporate overheads amount, we had to come to the amount that is specific to capex.  We verified the capex network and corporate overheads</w:t>
      </w:r>
      <w:r w:rsidR="005B5570">
        <w:t xml:space="preserve"> for regulatory years 2010-11 to 2013-14</w:t>
      </w:r>
      <w:r w:rsidRPr="004152F8">
        <w:t xml:space="preserve">, </w:t>
      </w:r>
      <w:r w:rsidR="00CE122E">
        <w:t>as well as direct costs for regulatory years 201</w:t>
      </w:r>
      <w:r w:rsidR="00380F33">
        <w:t>2-13</w:t>
      </w:r>
      <w:r w:rsidR="00CE122E">
        <w:t xml:space="preserve"> to 201</w:t>
      </w:r>
      <w:r w:rsidR="00380F33">
        <w:t>3-1</w:t>
      </w:r>
      <w:r w:rsidR="00CE122E">
        <w:t>4.</w:t>
      </w:r>
      <w:r w:rsidR="00CE122E">
        <w:rPr>
          <w:rStyle w:val="FootnoteReference"/>
        </w:rPr>
        <w:footnoteReference w:id="118"/>
      </w:r>
      <w:r w:rsidR="00677114">
        <w:t xml:space="preserve"> </w:t>
      </w:r>
      <w:r w:rsidRPr="004152F8">
        <w:t>The historical trend using these verified overhead amounts showed that 2013-14 was not a representative year</w:t>
      </w:r>
      <w:r w:rsidR="008A6591">
        <w:t>.</w:t>
      </w:r>
      <w:r w:rsidR="00C21EC6">
        <w:rPr>
          <w:rStyle w:val="FootnoteReference"/>
        </w:rPr>
        <w:footnoteReference w:id="119"/>
      </w:r>
      <w:r w:rsidR="008A6591">
        <w:t xml:space="preserve"> O</w:t>
      </w:r>
      <w:r w:rsidRPr="004152F8">
        <w:t>verheads w</w:t>
      </w:r>
      <w:r w:rsidR="008A6591">
        <w:t>ere</w:t>
      </w:r>
      <w:r w:rsidRPr="004152F8">
        <w:t xml:space="preserve"> significantly higher in that year compared to all others.</w:t>
      </w:r>
      <w:r w:rsidR="00C21EC6">
        <w:rPr>
          <w:rStyle w:val="FootnoteReference"/>
        </w:rPr>
        <w:footnoteReference w:id="120"/>
      </w:r>
      <w:r w:rsidR="00C21EC6">
        <w:t xml:space="preserve"> </w:t>
      </w:r>
      <w:r w:rsidRPr="004152F8">
        <w:t xml:space="preserve">We note a decrease in overheads would be </w:t>
      </w:r>
      <w:r w:rsidRPr="004152F8">
        <w:lastRenderedPageBreak/>
        <w:t xml:space="preserve">expected over the regulatory period due to </w:t>
      </w:r>
      <w:proofErr w:type="spellStart"/>
      <w:r w:rsidRPr="004152F8">
        <w:t>Zinfra’s</w:t>
      </w:r>
      <w:proofErr w:type="spellEnd"/>
      <w:r w:rsidRPr="004152F8">
        <w:t xml:space="preserve"> management costs benchmarking favourably against those of JAM, and cost shifting from overheads to direct costs (under the management arrangement,  </w:t>
      </w:r>
      <w:proofErr w:type="spellStart"/>
      <w:r w:rsidRPr="004152F8">
        <w:t>Zinfra’s</w:t>
      </w:r>
      <w:proofErr w:type="spellEnd"/>
      <w:r w:rsidRPr="004152F8">
        <w:t xml:space="preserve"> costs </w:t>
      </w:r>
      <w:r w:rsidR="00C21EC6">
        <w:t xml:space="preserve">are </w:t>
      </w:r>
      <w:r w:rsidRPr="004152F8">
        <w:t>defined as direct costs (contractor costs).</w:t>
      </w:r>
    </w:p>
    <w:p w:rsidR="004152F8" w:rsidRPr="004152F8" w:rsidRDefault="004152F8" w:rsidP="004152F8">
      <w:r w:rsidRPr="004152F8">
        <w:t>We informed JGN of our position (</w:t>
      </w:r>
      <w:r w:rsidR="008A6591">
        <w:t xml:space="preserve">that is, </w:t>
      </w:r>
      <w:r w:rsidR="001A6F3F">
        <w:t xml:space="preserve">to </w:t>
      </w:r>
      <w:r w:rsidRPr="004152F8">
        <w:t>not us</w:t>
      </w:r>
      <w:r w:rsidR="001A6F3F">
        <w:t>e</w:t>
      </w:r>
      <w:r w:rsidRPr="004152F8">
        <w:t xml:space="preserve"> 2013-14 as the base year), and indicated that we will be applying the approach used in the Victorian Gas Access Arrangements Review</w:t>
      </w:r>
      <w:r w:rsidR="008A6591">
        <w:t>.</w:t>
      </w:r>
      <w:r w:rsidR="001E473C">
        <w:rPr>
          <w:rStyle w:val="FootnoteReference"/>
        </w:rPr>
        <w:footnoteReference w:id="121"/>
      </w:r>
      <w:r w:rsidR="008A6591">
        <w:t xml:space="preserve"> In the Victorian Gas Access Arrangement Review we calculated</w:t>
      </w:r>
      <w:r w:rsidRPr="004152F8">
        <w:t xml:space="preserve"> the base year</w:t>
      </w:r>
      <w:r w:rsidR="008A6591">
        <w:t xml:space="preserve"> by </w:t>
      </w:r>
      <w:r w:rsidRPr="004152F8">
        <w:t>appl</w:t>
      </w:r>
      <w:r w:rsidR="008A6591">
        <w:t xml:space="preserve">ying the </w:t>
      </w:r>
      <w:r w:rsidRPr="004152F8">
        <w:t>average over the previous years.</w:t>
      </w:r>
      <w:r w:rsidR="004E640F">
        <w:rPr>
          <w:rStyle w:val="FootnoteReference"/>
        </w:rPr>
        <w:footnoteReference w:id="122"/>
      </w:r>
      <w:r w:rsidRPr="004152F8">
        <w:t xml:space="preserve"> In response JGN indicated that 2013-14 </w:t>
      </w:r>
      <w:r w:rsidR="008A6591">
        <w:t xml:space="preserve">should be the base year used, </w:t>
      </w:r>
      <w:r w:rsidR="00CB2989">
        <w:t>rather than averaging</w:t>
      </w:r>
      <w:r w:rsidR="008A6591">
        <w:t xml:space="preserve"> using </w:t>
      </w:r>
      <w:r w:rsidR="006F2BFC">
        <w:t xml:space="preserve">2011-12 </w:t>
      </w:r>
      <w:r w:rsidR="00CB2989">
        <w:t>to</w:t>
      </w:r>
      <w:r w:rsidR="006F2BFC">
        <w:t xml:space="preserve"> </w:t>
      </w:r>
      <w:r w:rsidR="008A6591">
        <w:t>20</w:t>
      </w:r>
      <w:r w:rsidR="006F2BFC">
        <w:t>1</w:t>
      </w:r>
      <w:r w:rsidR="00CB2989">
        <w:t>3</w:t>
      </w:r>
      <w:r w:rsidR="008A6591">
        <w:t>-1</w:t>
      </w:r>
      <w:r w:rsidR="00CB2989">
        <w:t>4</w:t>
      </w:r>
      <w:r w:rsidR="008A6591">
        <w:t>.</w:t>
      </w:r>
      <w:r w:rsidR="006F2BFC">
        <w:rPr>
          <w:rStyle w:val="FootnoteReference"/>
        </w:rPr>
        <w:footnoteReference w:id="123"/>
      </w:r>
      <w:r w:rsidR="008A6591">
        <w:t xml:space="preserve"> This was on the basis that </w:t>
      </w:r>
      <w:r w:rsidR="002A6C5E">
        <w:t>2011-12 was under a different organisation</w:t>
      </w:r>
      <w:r w:rsidR="00C3512A">
        <w:t>al</w:t>
      </w:r>
      <w:r w:rsidR="002A6C5E">
        <w:t xml:space="preserve"> structure and that 2012-13 wa</w:t>
      </w:r>
      <w:r w:rsidR="002A6C5E" w:rsidRPr="002A6C5E">
        <w:t>s a transition year to the new organisation</w:t>
      </w:r>
      <w:r w:rsidR="00C3512A">
        <w:t>al</w:t>
      </w:r>
      <w:r w:rsidR="002A6C5E" w:rsidRPr="002A6C5E">
        <w:t xml:space="preserve"> structure</w:t>
      </w:r>
      <w:r w:rsidR="002A6C5E">
        <w:t>.</w:t>
      </w:r>
      <w:r w:rsidR="00CB2989">
        <w:rPr>
          <w:rStyle w:val="FootnoteReference"/>
        </w:rPr>
        <w:footnoteReference w:id="124"/>
      </w:r>
      <w:r w:rsidR="002A6C5E">
        <w:t xml:space="preserve"> </w:t>
      </w:r>
      <w:r w:rsidR="00C3512A">
        <w:t xml:space="preserve">On the basis of the information we have before us we consider that overheads should be lower rather than higher under the new organisational structure. One of the reasons for this is that where JAM was managing the network under the previous organisational structure, under the new organisational structure </w:t>
      </w:r>
      <w:proofErr w:type="spellStart"/>
      <w:r w:rsidR="00C3512A">
        <w:t>Zinfra</w:t>
      </w:r>
      <w:proofErr w:type="spellEnd"/>
      <w:r w:rsidR="00C3512A">
        <w:t xml:space="preserve"> is managing the Southern Region. </w:t>
      </w:r>
      <w:proofErr w:type="spellStart"/>
      <w:r w:rsidR="00C3512A">
        <w:t>Zinfra</w:t>
      </w:r>
      <w:proofErr w:type="spellEnd"/>
      <w:r w:rsidR="00C3512A">
        <w:t xml:space="preserve"> is treated as an independent contractor and so its costs are captured in direct costs.</w:t>
      </w:r>
      <w:r w:rsidR="00BA2F5F">
        <w:rPr>
          <w:rStyle w:val="FootnoteReference"/>
        </w:rPr>
        <w:footnoteReference w:id="125"/>
      </w:r>
      <w:r w:rsidR="00C3512A">
        <w:t xml:space="preserve"> This represents a shift of costs previously classified as overhead costs to direct costs. </w:t>
      </w:r>
      <w:r w:rsidR="00CB2989">
        <w:t xml:space="preserve">JGN also submitted that </w:t>
      </w:r>
      <w:r w:rsidR="00CB2989" w:rsidRPr="00CB2989">
        <w:t>2013-14 is likely to be a more representative year</w:t>
      </w:r>
      <w:r w:rsidR="00CB2989">
        <w:t xml:space="preserve"> </w:t>
      </w:r>
      <w:r w:rsidRPr="004152F8">
        <w:t xml:space="preserve">as there may </w:t>
      </w:r>
      <w:r w:rsidR="00CB2989">
        <w:t xml:space="preserve">have </w:t>
      </w:r>
      <w:r w:rsidRPr="004152F8">
        <w:t>be</w:t>
      </w:r>
      <w:r w:rsidR="00CB2989">
        <w:t>en</w:t>
      </w:r>
      <w:r w:rsidRPr="004152F8">
        <w:t xml:space="preserve"> a misallocation of costs due to 2012-13 being the first year that their accounting systems </w:t>
      </w:r>
      <w:r w:rsidR="0083561E">
        <w:t>were</w:t>
      </w:r>
      <w:r w:rsidR="0083561E" w:rsidRPr="004152F8">
        <w:t xml:space="preserve"> </w:t>
      </w:r>
      <w:r w:rsidRPr="004152F8">
        <w:t>in place.</w:t>
      </w:r>
      <w:r w:rsidR="00CB2989">
        <w:rPr>
          <w:rStyle w:val="FootnoteReference"/>
        </w:rPr>
        <w:footnoteReference w:id="126"/>
      </w:r>
      <w:r w:rsidRPr="004152F8">
        <w:t xml:space="preserve"> We do not agree with JGN’s view as </w:t>
      </w:r>
      <w:r w:rsidR="00C3512A">
        <w:t xml:space="preserve">the </w:t>
      </w:r>
      <w:r w:rsidRPr="004152F8">
        <w:t xml:space="preserve">system of cost allocation was introduced much earlier than 2012-13 (in 2009), and no changes in </w:t>
      </w:r>
      <w:r w:rsidR="00642A53">
        <w:t>the system</w:t>
      </w:r>
      <w:r w:rsidRPr="004152F8">
        <w:t xml:space="preserve"> allocation of overheads would be expected based on their outsourcing arrangements.</w:t>
      </w:r>
      <w:r w:rsidR="00BA2F5F" w:rsidRPr="00BA2F5F">
        <w:rPr>
          <w:rStyle w:val="FootnoteReference"/>
        </w:rPr>
        <w:footnoteReference w:id="127"/>
      </w:r>
    </w:p>
    <w:p w:rsidR="004152F8" w:rsidRPr="004152F8" w:rsidRDefault="004152F8" w:rsidP="004152F8">
      <w:r w:rsidRPr="004152F8">
        <w:t>Therefore, we have forecast capitalised network and corporate overheads over the regulatory period by:</w:t>
      </w:r>
    </w:p>
    <w:p w:rsidR="004152F8" w:rsidRPr="004152F8" w:rsidRDefault="008A6591" w:rsidP="008A6591">
      <w:pPr>
        <w:pStyle w:val="AERbulletlistfirststyle"/>
      </w:pPr>
      <w:r>
        <w:t>separately forecasting network and corporate overheads</w:t>
      </w:r>
    </w:p>
    <w:p w:rsidR="004152F8" w:rsidRPr="004152F8" w:rsidRDefault="008A6591" w:rsidP="008A6591">
      <w:pPr>
        <w:pStyle w:val="AERbulletlistfirststyle"/>
      </w:pPr>
      <w:r>
        <w:lastRenderedPageBreak/>
        <w:t>a</w:t>
      </w:r>
      <w:r w:rsidR="004152F8" w:rsidRPr="004152F8">
        <w:t xml:space="preserve">veraging overheads over the three years of past overheads data </w:t>
      </w:r>
      <w:r>
        <w:t xml:space="preserve">for network overheads and four years of data for corporate overheads to derive the respective network and corporate overheads </w:t>
      </w:r>
      <w:r w:rsidR="004152F8" w:rsidRPr="004152F8">
        <w:t xml:space="preserve">to derive </w:t>
      </w:r>
      <w:r>
        <w:t xml:space="preserve">the respective network and corporate overhead </w:t>
      </w:r>
      <w:r w:rsidR="004152F8" w:rsidRPr="004152F8">
        <w:t>base year</w:t>
      </w:r>
      <w:r>
        <w:t>s</w:t>
      </w:r>
      <w:r w:rsidR="004152F8" w:rsidRPr="004152F8">
        <w:t>;</w:t>
      </w:r>
    </w:p>
    <w:p w:rsidR="004152F8" w:rsidRPr="004152F8" w:rsidRDefault="007B7BDC" w:rsidP="008A6591">
      <w:pPr>
        <w:pStyle w:val="AERbulletlistfirststyle"/>
      </w:pPr>
      <w:r>
        <w:t>i</w:t>
      </w:r>
      <w:r w:rsidR="004152F8" w:rsidRPr="004152F8">
        <w:t xml:space="preserve">dentifying the variable and fixed overhead amounts by applying JGN’s nominated  variable fixed split </w:t>
      </w:r>
      <w:r>
        <w:t>for network and corporate overheads</w:t>
      </w:r>
      <w:r w:rsidR="004152F8" w:rsidRPr="004152F8">
        <w:t>;</w:t>
      </w:r>
    </w:p>
    <w:p w:rsidR="004152F8" w:rsidRPr="004152F8" w:rsidRDefault="007B7BDC" w:rsidP="008A6591">
      <w:pPr>
        <w:pStyle w:val="AERbulletlistfirststyle"/>
      </w:pPr>
      <w:r>
        <w:t>s</w:t>
      </w:r>
      <w:r w:rsidR="004152F8" w:rsidRPr="004152F8">
        <w:t>caling the variable components by the forecast change in the size of the capex program from year to year;</w:t>
      </w:r>
    </w:p>
    <w:p w:rsidR="004152F8" w:rsidRPr="004152F8" w:rsidRDefault="0083561E" w:rsidP="008A6591">
      <w:pPr>
        <w:pStyle w:val="AERbulletlistfirststyle"/>
      </w:pPr>
      <w:proofErr w:type="gramStart"/>
      <w:r>
        <w:t>applying</w:t>
      </w:r>
      <w:proofErr w:type="gramEnd"/>
      <w:r>
        <w:t xml:space="preserve"> </w:t>
      </w:r>
      <w:r w:rsidR="007B7BDC">
        <w:t>t</w:t>
      </w:r>
      <w:r w:rsidR="004152F8" w:rsidRPr="004152F8">
        <w:t xml:space="preserve">o the total amount (base and variable component) </w:t>
      </w:r>
      <w:r w:rsidR="007B7BDC">
        <w:t>our</w:t>
      </w:r>
      <w:r w:rsidR="004152F8" w:rsidRPr="004152F8">
        <w:t xml:space="preserve"> </w:t>
      </w:r>
      <w:r w:rsidR="004E640F">
        <w:t xml:space="preserve">forecast of </w:t>
      </w:r>
      <w:r w:rsidR="004152F8" w:rsidRPr="004152F8">
        <w:t>real cost escalation.</w:t>
      </w:r>
    </w:p>
    <w:p w:rsidR="004152F8" w:rsidRPr="007B7BDC" w:rsidRDefault="004152F8" w:rsidP="004152F8">
      <w:pPr>
        <w:rPr>
          <w:rStyle w:val="AERtextbolditalics"/>
        </w:rPr>
      </w:pPr>
      <w:r w:rsidRPr="007B7BDC">
        <w:rPr>
          <w:rStyle w:val="AERtextbolditalics"/>
        </w:rPr>
        <w:t>Direct overheads</w:t>
      </w:r>
    </w:p>
    <w:p w:rsidR="00CC062C" w:rsidRDefault="00A06610" w:rsidP="00CC062C">
      <w:r>
        <w:t>We do</w:t>
      </w:r>
      <w:r w:rsidR="00CC062C">
        <w:t xml:space="preserve"> not accept JGN's revised expenditure of $36.0 million </w:t>
      </w:r>
      <w:r w:rsidR="00CC062C" w:rsidRPr="00015BA5">
        <w:t>($</w:t>
      </w:r>
      <w:r w:rsidR="00CC062C">
        <w:t xml:space="preserve">2015, </w:t>
      </w:r>
      <w:proofErr w:type="spellStart"/>
      <w:r w:rsidR="00CC062C">
        <w:t>unescalated</w:t>
      </w:r>
      <w:proofErr w:type="spellEnd"/>
      <w:r w:rsidR="00CC062C">
        <w:t xml:space="preserve"> costs</w:t>
      </w:r>
      <w:r w:rsidR="00CC062C" w:rsidRPr="001362D9">
        <w:t>)</w:t>
      </w:r>
      <w:r w:rsidR="00CC062C">
        <w:t xml:space="preserve">. This is because we do not consider that JGN's choice of base year produces the best estimate in the circumstances and is not efficient. We have included $34.4 million </w:t>
      </w:r>
      <w:r w:rsidR="00CC062C" w:rsidRPr="00015BA5">
        <w:t>($</w:t>
      </w:r>
      <w:r w:rsidR="00CC062C">
        <w:t xml:space="preserve">2015, </w:t>
      </w:r>
      <w:proofErr w:type="spellStart"/>
      <w:r w:rsidR="00CC062C">
        <w:t>unescalated</w:t>
      </w:r>
      <w:proofErr w:type="spellEnd"/>
      <w:r w:rsidR="00CC062C">
        <w:t xml:space="preserve"> costs</w:t>
      </w:r>
      <w:r w:rsidR="00CC062C" w:rsidRPr="001362D9">
        <w:t>)</w:t>
      </w:r>
      <w:r w:rsidR="00CC062C">
        <w:t xml:space="preserve"> for network and corporate overheads in our capex forecast.</w:t>
      </w:r>
    </w:p>
    <w:p w:rsidR="004152F8" w:rsidRPr="004152F8" w:rsidRDefault="00CC062C" w:rsidP="004152F8">
      <w:r>
        <w:t xml:space="preserve">Our estimate of </w:t>
      </w:r>
      <w:r w:rsidR="004152F8" w:rsidRPr="004152F8">
        <w:t xml:space="preserve">direct overheads is </w:t>
      </w:r>
      <w:r>
        <w:t>forecast by applying the same modified ba</w:t>
      </w:r>
      <w:r w:rsidR="00642A53">
        <w:t>s</w:t>
      </w:r>
      <w:r>
        <w:t>e</w:t>
      </w:r>
      <w:r w:rsidR="00A5351A">
        <w:t>-</w:t>
      </w:r>
      <w:r>
        <w:t>step</w:t>
      </w:r>
      <w:r w:rsidR="00A5351A">
        <w:t>-</w:t>
      </w:r>
      <w:r>
        <w:t xml:space="preserve">trend approach that we used to forecast network and corporate overheads. It uses </w:t>
      </w:r>
      <w:r w:rsidR="004152F8" w:rsidRPr="004152F8">
        <w:t xml:space="preserve">2013 and 2014 direct overheads </w:t>
      </w:r>
      <w:r>
        <w:t>data</w:t>
      </w:r>
      <w:r w:rsidR="004152F8" w:rsidRPr="004152F8">
        <w:t xml:space="preserve"> provided by JGN.  JGN indicated that they were unable to provide any other historical data based on system limitations.</w:t>
      </w:r>
      <w:r w:rsidR="00677114">
        <w:rPr>
          <w:rStyle w:val="FootnoteReference"/>
        </w:rPr>
        <w:footnoteReference w:id="128"/>
      </w:r>
      <w:r w:rsidR="004152F8" w:rsidRPr="004152F8">
        <w:t xml:space="preserve"> It is relevant to note that JGN did not explicitly propose direct overheads in its initial proposal.  As </w:t>
      </w:r>
      <w:r w:rsidR="00056D55">
        <w:t>sta</w:t>
      </w:r>
      <w:r w:rsidR="004152F8" w:rsidRPr="004152F8">
        <w:t xml:space="preserve">ted above, JGN submitted that the $51.3 million discrepancy between network and corporate overheads across capex drivers and the category build up for capex network and corporate overheads was due to direct overheads. </w:t>
      </w:r>
    </w:p>
    <w:p w:rsidR="00056D55" w:rsidRDefault="00056D55" w:rsidP="004152F8">
      <w:r>
        <w:t>In response to AER inquiries</w:t>
      </w:r>
      <w:r w:rsidR="004152F8" w:rsidRPr="004152F8">
        <w:t>, JGN indicated that forecast direct overheads was derived by applying the share of direct overheads in the Singaporean financial year 2013 by the direct capex in financial year 2013</w:t>
      </w:r>
      <w:r>
        <w:t>.</w:t>
      </w:r>
      <w:r w:rsidR="00677114">
        <w:rPr>
          <w:rStyle w:val="FootnoteReference"/>
        </w:rPr>
        <w:footnoteReference w:id="129"/>
      </w:r>
    </w:p>
    <w:p w:rsidR="004152F8" w:rsidRPr="004152F8" w:rsidRDefault="004152F8" w:rsidP="004152F8">
      <w:r w:rsidRPr="004152F8">
        <w:t>I</w:t>
      </w:r>
      <w:r w:rsidR="00056D55">
        <w:t xml:space="preserve">n its revised proposal </w:t>
      </w:r>
      <w:r w:rsidRPr="004152F8">
        <w:t>JGN applied the same base</w:t>
      </w:r>
      <w:r w:rsidR="00A5351A">
        <w:t>-</w:t>
      </w:r>
      <w:r w:rsidRPr="004152F8">
        <w:t>step</w:t>
      </w:r>
      <w:r w:rsidR="00A5351A">
        <w:t>-</w:t>
      </w:r>
      <w:r w:rsidRPr="004152F8">
        <w:t>trend approach used to forecast network and corporate overheads (proposing 2013-14 as a base year and then applying real cost escalation).</w:t>
      </w:r>
      <w:r w:rsidR="00EA7AE1">
        <w:rPr>
          <w:rStyle w:val="FootnoteReference"/>
        </w:rPr>
        <w:footnoteReference w:id="130"/>
      </w:r>
      <w:r w:rsidRPr="004152F8">
        <w:t xml:space="preserve"> We do not consider that applying this method to forecast direct overheads for the regulatory period would result in the best estimate in the circumstances.  In particular:</w:t>
      </w:r>
    </w:p>
    <w:p w:rsidR="004152F8" w:rsidRPr="004152F8" w:rsidRDefault="00056D55" w:rsidP="00056D55">
      <w:pPr>
        <w:pStyle w:val="AERbulletlistfirststyle"/>
      </w:pPr>
      <w:r>
        <w:t>we</w:t>
      </w:r>
      <w:r w:rsidR="004152F8" w:rsidRPr="004152F8">
        <w:t xml:space="preserve"> do not consider costs (which include depot costs</w:t>
      </w:r>
      <w:r w:rsidR="00A5351A">
        <w:t xml:space="preserve"> and</w:t>
      </w:r>
      <w:r w:rsidR="004152F8" w:rsidRPr="004152F8">
        <w:t xml:space="preserve"> warehousing costs) scale in proportion with direct capex;</w:t>
      </w:r>
    </w:p>
    <w:p w:rsidR="004152F8" w:rsidRPr="004152F8" w:rsidRDefault="00056D55" w:rsidP="00056D55">
      <w:pPr>
        <w:pStyle w:val="AERbulletlistfirststyle"/>
      </w:pPr>
      <w:proofErr w:type="gramStart"/>
      <w:r>
        <w:lastRenderedPageBreak/>
        <w:t>we</w:t>
      </w:r>
      <w:proofErr w:type="gramEnd"/>
      <w:r w:rsidR="004152F8" w:rsidRPr="004152F8">
        <w:t xml:space="preserve"> are not satisfied that using the further data  provided by JGN after the draft decision would result in a sufficiently robust estimate. Upon requesting previous years</w:t>
      </w:r>
      <w:r w:rsidR="00A06610">
        <w:t>'</w:t>
      </w:r>
      <w:r w:rsidR="004152F8" w:rsidRPr="004152F8">
        <w:t xml:space="preserve"> data to assess the trend in direct overheads, JGN provided budget data fo</w:t>
      </w:r>
      <w:r w:rsidR="00A06610">
        <w:t>r April 2011 to March 2012 and nine</w:t>
      </w:r>
      <w:r w:rsidR="004152F8" w:rsidRPr="004152F8">
        <w:t xml:space="preserve"> month</w:t>
      </w:r>
      <w:r w:rsidR="00EE065D">
        <w:t>s</w:t>
      </w:r>
      <w:r w:rsidR="004152F8" w:rsidRPr="004152F8">
        <w:t xml:space="preserve"> of data for</w:t>
      </w:r>
      <w:r>
        <w:t xml:space="preserve"> unaudited 2014-15.</w:t>
      </w:r>
      <w:r w:rsidR="00EE252E">
        <w:rPr>
          <w:rStyle w:val="FootnoteReference"/>
        </w:rPr>
        <w:footnoteReference w:id="131"/>
      </w:r>
    </w:p>
    <w:p w:rsidR="0017132F" w:rsidRDefault="004152F8" w:rsidP="00C102FE">
      <w:r w:rsidRPr="004152F8">
        <w:t xml:space="preserve">Based on the information available to us, we consider that our alternate estimate </w:t>
      </w:r>
      <w:r w:rsidR="00056D55">
        <w:t xml:space="preserve">of applying the same modified base step trend approach that we used to forecast network and corporate overheads </w:t>
      </w:r>
      <w:r w:rsidRPr="004152F8">
        <w:t>based on an average of 2013 and 2014 direct overheads, which is based on actual audited expenditure amounts for 2013 and 2014, is the best estimate in the circumstances.</w:t>
      </w:r>
      <w:bookmarkStart w:id="53" w:name="_Toc404676551"/>
      <w:bookmarkStart w:id="54" w:name="_Toc404676601"/>
    </w:p>
    <w:p w:rsidR="00683087" w:rsidRDefault="00683087" w:rsidP="001F621C">
      <w:pPr>
        <w:pStyle w:val="Heading3"/>
      </w:pPr>
      <w:bookmarkStart w:id="55" w:name="_Toc420943874"/>
      <w:r>
        <w:t>Adjustments to labour and material escalation</w:t>
      </w:r>
      <w:bookmarkEnd w:id="53"/>
      <w:bookmarkEnd w:id="54"/>
      <w:bookmarkEnd w:id="55"/>
    </w:p>
    <w:p w:rsidR="00B502D9" w:rsidRDefault="000C2F15" w:rsidP="00664208">
      <w:pPr>
        <w:numPr>
          <w:ilvl w:val="0"/>
          <w:numId w:val="25"/>
        </w:numPr>
      </w:pPr>
      <w:r>
        <w:t>We have</w:t>
      </w:r>
      <w:r w:rsidRPr="002D30B0">
        <w:t xml:space="preserve"> </w:t>
      </w:r>
      <w:r>
        <w:t>substitut</w:t>
      </w:r>
      <w:r w:rsidRPr="002D30B0">
        <w:t xml:space="preserve">ed </w:t>
      </w:r>
      <w:r>
        <w:t xml:space="preserve">our estimate of </w:t>
      </w:r>
      <w:r w:rsidRPr="002D30B0">
        <w:t xml:space="preserve">the labour and material escalation </w:t>
      </w:r>
      <w:r>
        <w:t xml:space="preserve">in place of </w:t>
      </w:r>
      <w:r w:rsidRPr="002D30B0">
        <w:t xml:space="preserve">that proposed by </w:t>
      </w:r>
      <w:r>
        <w:t>JGN</w:t>
      </w:r>
      <w:r w:rsidRPr="002D30B0">
        <w:t>.</w:t>
      </w:r>
    </w:p>
    <w:p w:rsidR="00B502D9" w:rsidRPr="00B502D9" w:rsidRDefault="00B502D9" w:rsidP="00B502D9">
      <w:pPr>
        <w:pStyle w:val="ListParagraph"/>
        <w:numPr>
          <w:ilvl w:val="0"/>
          <w:numId w:val="25"/>
        </w:numPr>
      </w:pPr>
      <w:r>
        <w:t>With respect to labour escalation, o</w:t>
      </w:r>
      <w:r w:rsidRPr="00B502D9">
        <w:t xml:space="preserve">n review of our draft decision, we have identified that applying the </w:t>
      </w:r>
      <w:proofErr w:type="spellStart"/>
      <w:r w:rsidRPr="00B502D9">
        <w:t>opex</w:t>
      </w:r>
      <w:proofErr w:type="spellEnd"/>
      <w:r w:rsidRPr="00B502D9">
        <w:t xml:space="preserve"> rate of change to escalate the labour component of approved capex, is not the best estimate in the circumstances. We consider that an average of Deloitte Access Economics (DAE) and BIS Shrapnel's utilities WPI labour forecasts represents the best forecast of the labour price.</w:t>
      </w:r>
      <w:r w:rsidRPr="00B502D9">
        <w:rPr>
          <w:rStyle w:val="FootnoteReference"/>
        </w:rPr>
        <w:footnoteReference w:id="132"/>
      </w:r>
      <w:r w:rsidRPr="00B502D9">
        <w:t xml:space="preserve"> The reasons for this are set out in Attachment 7 of this decision and also in our Draft Decision.</w:t>
      </w:r>
      <w:r w:rsidRPr="00B502D9">
        <w:rPr>
          <w:rStyle w:val="FootnoteReference"/>
        </w:rPr>
        <w:footnoteReference w:id="133"/>
      </w:r>
      <w:r w:rsidRPr="00B502D9">
        <w:t xml:space="preserve"> </w:t>
      </w:r>
    </w:p>
    <w:p w:rsidR="00B502D9" w:rsidRPr="00B502D9" w:rsidRDefault="00B502D9" w:rsidP="00B502D9">
      <w:pPr>
        <w:pStyle w:val="ListParagraph"/>
        <w:numPr>
          <w:ilvl w:val="0"/>
          <w:numId w:val="25"/>
        </w:numPr>
      </w:pPr>
      <w:r w:rsidRPr="00B502D9">
        <w:t xml:space="preserve">We conveyed our intention to JGN of escalating the labour component of approved capex by the average of DAE and BIS Shrapnel’s labour price rather than the </w:t>
      </w:r>
      <w:proofErr w:type="spellStart"/>
      <w:r w:rsidRPr="00B502D9">
        <w:t>opex</w:t>
      </w:r>
      <w:proofErr w:type="spellEnd"/>
      <w:r w:rsidRPr="00B502D9">
        <w:t xml:space="preserve"> rate of change. In response, JGN maintained its initial position that labour escalation should be based on BIS Shrapnel forecast of the labour price. They also queried our discretion under rule 91 and 76 of the NGR. </w:t>
      </w:r>
      <w:r w:rsidRPr="00B502D9">
        <w:rPr>
          <w:rStyle w:val="FootnoteReference"/>
        </w:rPr>
        <w:footnoteReference w:id="134"/>
      </w:r>
    </w:p>
    <w:p w:rsidR="00B502D9" w:rsidRPr="00B502D9" w:rsidRDefault="00B502D9" w:rsidP="00B502D9">
      <w:pPr>
        <w:pStyle w:val="ListParagraph"/>
        <w:numPr>
          <w:ilvl w:val="0"/>
          <w:numId w:val="25"/>
        </w:numPr>
      </w:pPr>
      <w:r w:rsidRPr="00B502D9">
        <w:t>We do not consider that a labour escalation based on BIS Shrapnel’s forecast is the best estimate of the labour price in the circumstances. We consider our alternate estimate of Deloitte Access Economics (DAE) and BIS Shrapnel's utilities sector is the best forecast of the labour price.</w:t>
      </w:r>
      <w:r w:rsidRPr="00B502D9">
        <w:rPr>
          <w:rStyle w:val="FootnoteReference"/>
        </w:rPr>
        <w:footnoteReference w:id="135"/>
      </w:r>
      <w:r w:rsidRPr="00B502D9">
        <w:t xml:space="preserve"> We consider it is within our discretion to choose this alternative estimate. This approach is consistent with the labour escalation we applied in our Final Decision on TransGrid’s transmission determination for 2015-16 to 2017-</w:t>
      </w:r>
      <w:r w:rsidRPr="00B502D9">
        <w:lastRenderedPageBreak/>
        <w:t>18.</w:t>
      </w:r>
      <w:r w:rsidRPr="00B502D9">
        <w:rPr>
          <w:rStyle w:val="FootnoteReference"/>
        </w:rPr>
        <w:footnoteReference w:id="136"/>
      </w:r>
      <w:r w:rsidRPr="00B502D9">
        <w:t xml:space="preserve"> We note that adopting the average of DAE and BIS’s labour price will provide for a higher escalation compared to applying the </w:t>
      </w:r>
      <w:proofErr w:type="spellStart"/>
      <w:r w:rsidRPr="00B502D9">
        <w:t>opex</w:t>
      </w:r>
      <w:proofErr w:type="spellEnd"/>
      <w:r w:rsidRPr="00B502D9">
        <w:t xml:space="preserve"> rate of change.</w:t>
      </w:r>
    </w:p>
    <w:p w:rsidR="000C2F15" w:rsidRDefault="00B502D9" w:rsidP="00B502D9">
      <w:pPr>
        <w:numPr>
          <w:ilvl w:val="0"/>
          <w:numId w:val="25"/>
        </w:numPr>
      </w:pPr>
      <w:r>
        <w:t>With respect to materials escalation, we have revised JGN's proposed</w:t>
      </w:r>
      <w:r w:rsidR="000C2F15">
        <w:t xml:space="preserve"> </w:t>
      </w:r>
      <w:r>
        <w:t>m</w:t>
      </w:r>
      <w:r w:rsidR="000C2F15" w:rsidRPr="002D30B0">
        <w:t>aterials escalation to nil real.</w:t>
      </w:r>
      <w:r w:rsidR="000C2F15">
        <w:t xml:space="preserve"> This is discussed in the capex attachment at appendix A.6 of the AER's draft decision.</w:t>
      </w:r>
    </w:p>
    <w:p w:rsidR="00683087" w:rsidRPr="00683087" w:rsidRDefault="00683087" w:rsidP="00683087">
      <w:r>
        <w:br w:type="page"/>
      </w:r>
    </w:p>
    <w:p w:rsidR="00683087" w:rsidRDefault="00683087" w:rsidP="00683087">
      <w:pPr>
        <w:pStyle w:val="Heading7"/>
      </w:pPr>
      <w:bookmarkStart w:id="56" w:name="_Toc404676603"/>
      <w:bookmarkStart w:id="57" w:name="_Ref420408269"/>
      <w:bookmarkStart w:id="58" w:name="_Toc420943875"/>
      <w:r>
        <w:lastRenderedPageBreak/>
        <w:t>Appendix: Real material cost escalation</w:t>
      </w:r>
      <w:bookmarkEnd w:id="56"/>
      <w:bookmarkEnd w:id="57"/>
      <w:bookmarkEnd w:id="58"/>
    </w:p>
    <w:p w:rsidR="000C2F15" w:rsidRDefault="000C2F15" w:rsidP="000C2F15">
      <w:r w:rsidRPr="00E4650C">
        <w:t xml:space="preserve">Real </w:t>
      </w:r>
      <w:r>
        <w:t xml:space="preserve">material </w:t>
      </w:r>
      <w:r w:rsidRPr="00E4650C">
        <w:t xml:space="preserve">cost escalation is a method </w:t>
      </w:r>
      <w:r w:rsidRPr="0070452C">
        <w:t xml:space="preserve">for accounting for expected changes in the costs of key material inputs to forecast capex. The materials input cost model submitted by </w:t>
      </w:r>
      <w:r>
        <w:t>JGN</w:t>
      </w:r>
      <w:r w:rsidRPr="0070452C">
        <w:t xml:space="preserve"> includes forecasts for changes in the prices of commodities such as aluminium, </w:t>
      </w:r>
      <w:r>
        <w:t xml:space="preserve">brass, concrete, plastic and </w:t>
      </w:r>
      <w:r w:rsidRPr="0070452C">
        <w:t xml:space="preserve">steel, rather than the prices of </w:t>
      </w:r>
      <w:r>
        <w:t xml:space="preserve">physical inputs </w:t>
      </w:r>
      <w:r w:rsidRPr="0070452C">
        <w:t>themselves</w:t>
      </w:r>
      <w:r>
        <w:t xml:space="preserve"> </w:t>
      </w:r>
      <w:r w:rsidRPr="0070452C">
        <w:t>(</w:t>
      </w:r>
      <w:r w:rsidR="000D1214">
        <w:t>for example,</w:t>
      </w:r>
      <w:r w:rsidRPr="0070452C">
        <w:t xml:space="preserve"> </w:t>
      </w:r>
      <w:r>
        <w:t>pipes and meters</w:t>
      </w:r>
      <w:r w:rsidRPr="0070452C">
        <w:t xml:space="preserve">) which are the inputs directly sourced by </w:t>
      </w:r>
      <w:r>
        <w:t>JGN</w:t>
      </w:r>
      <w:r w:rsidRPr="0070452C">
        <w:t xml:space="preserve"> in the</w:t>
      </w:r>
      <w:r w:rsidRPr="00CA6A4C">
        <w:t xml:space="preserve"> provision of its network services.</w:t>
      </w:r>
    </w:p>
    <w:p w:rsidR="000C2F15" w:rsidRPr="002015AA" w:rsidRDefault="000C2F15" w:rsidP="000C2F15">
      <w:pPr>
        <w:pStyle w:val="Heading8"/>
      </w:pPr>
      <w:bookmarkStart w:id="59" w:name="_Toc417735958"/>
      <w:bookmarkStart w:id="60" w:name="_Toc418859337"/>
      <w:bookmarkStart w:id="61" w:name="_Toc420943876"/>
      <w:r w:rsidRPr="001B5D6C">
        <w:t>Position</w:t>
      </w:r>
      <w:bookmarkEnd w:id="59"/>
      <w:bookmarkEnd w:id="60"/>
      <w:bookmarkEnd w:id="61"/>
    </w:p>
    <w:p w:rsidR="000C2F15" w:rsidRPr="001B5D6C" w:rsidRDefault="000C2F15" w:rsidP="000C2F15">
      <w:r w:rsidRPr="001B5D6C">
        <w:t xml:space="preserve">We are not satisfied that </w:t>
      </w:r>
      <w:r>
        <w:t>JGN</w:t>
      </w:r>
      <w:r w:rsidRPr="001B5D6C">
        <w:t xml:space="preserve">'s revised proposed real material cost escalators (leading to cost increases above CPI) which form part of its total forecast capex </w:t>
      </w:r>
      <w:r w:rsidRPr="00BF0C4A">
        <w:t>are arrived at on a reasonable basis, and are the best forecast possible in the circumstances</w:t>
      </w:r>
      <w:r>
        <w:t>.</w:t>
      </w:r>
      <w:r w:rsidRPr="001B5D6C">
        <w:t xml:space="preserve"> </w:t>
      </w:r>
      <w:r>
        <w:rPr>
          <w:rStyle w:val="AERbody"/>
        </w:rPr>
        <w:t>We therefore do not consider that the forecast capex meets the capital expenditure criteria of clause 79(1) of the NGR.</w:t>
      </w:r>
      <w:r>
        <w:t xml:space="preserve"> </w:t>
      </w:r>
      <w:r w:rsidRPr="001B5D6C">
        <w:t>We maintain our view, as set out in our draft decision, that zero per cent real cost escalation</w:t>
      </w:r>
      <w:r w:rsidRPr="00B02E14">
        <w:t xml:space="preserve"> </w:t>
      </w:r>
      <w:r>
        <w:t>is more likely to be consistent with the capex criteria, which requires capital expenditure be such as would be incurred by a prudent service provider, acting efficiently, to achieve the lowest sustainable cost of providing services.</w:t>
      </w:r>
      <w:r w:rsidRPr="00BF0C4A">
        <w:rPr>
          <w:rStyle w:val="AERsuperscript"/>
        </w:rPr>
        <w:footnoteReference w:id="137"/>
      </w:r>
      <w:r w:rsidRPr="001B5D6C">
        <w:t xml:space="preserve"> </w:t>
      </w:r>
    </w:p>
    <w:p w:rsidR="000C2F15" w:rsidRPr="001B5D6C" w:rsidRDefault="000C2F15" w:rsidP="000C2F15">
      <w:pPr>
        <w:numPr>
          <w:ilvl w:val="0"/>
          <w:numId w:val="25"/>
        </w:numPr>
      </w:pPr>
      <w:r w:rsidRPr="001B5D6C">
        <w:t>Consistent with our position in the draft decision, our approach to real materials cost escalation does not affect the proposed application of labour</w:t>
      </w:r>
      <w:r>
        <w:t xml:space="preserve"> </w:t>
      </w:r>
      <w:r w:rsidRPr="001B5D6C">
        <w:t xml:space="preserve">escalators which apply to </w:t>
      </w:r>
      <w:r>
        <w:t xml:space="preserve">JGN's </w:t>
      </w:r>
      <w:r w:rsidRPr="001B5D6C">
        <w:t>forecast cap</w:t>
      </w:r>
      <w:r>
        <w:t xml:space="preserve">ital </w:t>
      </w:r>
      <w:r w:rsidRPr="001B5D6C">
        <w:t>ex</w:t>
      </w:r>
      <w:r>
        <w:t>penditure</w:t>
      </w:r>
      <w:r w:rsidRPr="001B5D6C">
        <w:t xml:space="preserve">. </w:t>
      </w:r>
    </w:p>
    <w:p w:rsidR="000C2F15" w:rsidRPr="002015AA" w:rsidRDefault="000C2F15" w:rsidP="000C2F15">
      <w:pPr>
        <w:pStyle w:val="Heading8"/>
      </w:pPr>
      <w:bookmarkStart w:id="62" w:name="_Toc417735959"/>
      <w:bookmarkStart w:id="63" w:name="_Toc418859338"/>
      <w:bookmarkStart w:id="64" w:name="_Toc420943877"/>
      <w:r>
        <w:t>JGN’s</w:t>
      </w:r>
      <w:r w:rsidRPr="001B5D6C">
        <w:t xml:space="preserve"> revised proposal</w:t>
      </w:r>
      <w:bookmarkEnd w:id="62"/>
      <w:bookmarkEnd w:id="63"/>
      <w:bookmarkEnd w:id="64"/>
    </w:p>
    <w:p w:rsidR="000C2F15" w:rsidRPr="001B5D6C" w:rsidRDefault="000C2F15" w:rsidP="000C2F15">
      <w:pPr>
        <w:numPr>
          <w:ilvl w:val="0"/>
          <w:numId w:val="25"/>
        </w:numPr>
      </w:pPr>
      <w:r w:rsidRPr="001B5D6C">
        <w:t xml:space="preserve">In its revised proposal, </w:t>
      </w:r>
      <w:r>
        <w:t xml:space="preserve">JGN </w:t>
      </w:r>
      <w:r w:rsidRPr="001B5D6C">
        <w:t>has applied the same material cost escalators to various asset classes proposed in its initial regulatory proposal submitted in June 2014.</w:t>
      </w:r>
      <w:r w:rsidRPr="00FD08E5">
        <w:rPr>
          <w:rStyle w:val="AERsuperscript"/>
        </w:rPr>
        <w:footnoteReference w:id="138"/>
      </w:r>
      <w:r w:rsidRPr="001B5D6C">
        <w:t xml:space="preserve"> Table </w:t>
      </w:r>
      <w:r>
        <w:t>A</w:t>
      </w:r>
      <w:r w:rsidRPr="001B5D6C">
        <w:t xml:space="preserve">-1 shows the revised material cost escalators calculated for </w:t>
      </w:r>
      <w:r>
        <w:t xml:space="preserve">JGN </w:t>
      </w:r>
      <w:r w:rsidRPr="001B5D6C">
        <w:t xml:space="preserve">by </w:t>
      </w:r>
      <w:r>
        <w:t>BIS Shrapnel</w:t>
      </w:r>
      <w:r w:rsidRPr="00BA5068">
        <w:rPr>
          <w:rStyle w:val="AERsuperscript"/>
        </w:rPr>
        <w:footnoteReference w:id="139"/>
      </w:r>
      <w:r w:rsidRPr="001B5D6C">
        <w:t>.</w:t>
      </w:r>
    </w:p>
    <w:p w:rsidR="000C2F15" w:rsidRDefault="000C2F15" w:rsidP="000C2F15">
      <w:pPr>
        <w:pStyle w:val="Caption"/>
      </w:pPr>
      <w:r>
        <w:t>Table A</w:t>
      </w:r>
      <w:r>
        <w:noBreakHyphen/>
      </w:r>
      <w:r w:rsidRPr="002015AA">
        <w:fldChar w:fldCharType="begin"/>
      </w:r>
      <w:r>
        <w:instrText xml:space="preserve"> SEQ ATable \* ARABIC \s 7 </w:instrText>
      </w:r>
      <w:r w:rsidRPr="002015AA">
        <w:fldChar w:fldCharType="separate"/>
      </w:r>
      <w:r w:rsidR="00D51AD6">
        <w:rPr>
          <w:noProof/>
        </w:rPr>
        <w:t>1</w:t>
      </w:r>
      <w:r w:rsidRPr="002015AA">
        <w:fldChar w:fldCharType="end"/>
      </w:r>
      <w:r w:rsidRPr="001B5D6C">
        <w:tab/>
      </w:r>
      <w:r>
        <w:t>JGN's</w:t>
      </w:r>
      <w:r w:rsidRPr="001B5D6C">
        <w:t xml:space="preserve"> revised real materials cost escalation forecast—inputs (per cent)</w:t>
      </w:r>
    </w:p>
    <w:tbl>
      <w:tblPr>
        <w:tblStyle w:val="AERtable-numbers"/>
        <w:tblW w:w="0" w:type="auto"/>
        <w:tblLook w:val="04A0" w:firstRow="1" w:lastRow="0" w:firstColumn="1" w:lastColumn="0" w:noHBand="0" w:noVBand="1"/>
      </w:tblPr>
      <w:tblGrid>
        <w:gridCol w:w="1476"/>
        <w:gridCol w:w="1443"/>
        <w:gridCol w:w="1443"/>
        <w:gridCol w:w="1443"/>
        <w:gridCol w:w="1444"/>
        <w:gridCol w:w="1444"/>
      </w:tblGrid>
      <w:tr w:rsidR="000C2F15" w:rsidRPr="003E7F76" w:rsidTr="00C102F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40" w:type="dxa"/>
          </w:tcPr>
          <w:p w:rsidR="000C2F15" w:rsidRPr="00341230" w:rsidRDefault="000C2F15" w:rsidP="000C2F15">
            <w:pPr>
              <w:numPr>
                <w:ilvl w:val="0"/>
                <w:numId w:val="25"/>
              </w:numPr>
            </w:pPr>
          </w:p>
        </w:tc>
        <w:tc>
          <w:tcPr>
            <w:tcW w:w="1540" w:type="dxa"/>
          </w:tcPr>
          <w:p w:rsidR="000C2F15" w:rsidRPr="000C2F15" w:rsidRDefault="000C2F15" w:rsidP="000C2F15">
            <w:pPr>
              <w:cnfStyle w:val="100000000000" w:firstRow="1" w:lastRow="0" w:firstColumn="0" w:lastColumn="0" w:oddVBand="0" w:evenVBand="0" w:oddHBand="0" w:evenHBand="0" w:firstRowFirstColumn="0" w:firstRowLastColumn="0" w:lastRowFirstColumn="0" w:lastRowLastColumn="0"/>
            </w:pPr>
            <w:r w:rsidRPr="003E7F76">
              <w:t>201</w:t>
            </w:r>
            <w:r w:rsidRPr="000C2F15">
              <w:t>5–16</w:t>
            </w:r>
          </w:p>
        </w:tc>
        <w:tc>
          <w:tcPr>
            <w:tcW w:w="1540" w:type="dxa"/>
          </w:tcPr>
          <w:p w:rsidR="000C2F15" w:rsidRPr="000C2F15" w:rsidRDefault="000C2F15" w:rsidP="000C2F15">
            <w:pPr>
              <w:cnfStyle w:val="100000000000" w:firstRow="1" w:lastRow="0" w:firstColumn="0" w:lastColumn="0" w:oddVBand="0" w:evenVBand="0" w:oddHBand="0" w:evenHBand="0" w:firstRowFirstColumn="0" w:firstRowLastColumn="0" w:lastRowFirstColumn="0" w:lastRowLastColumn="0"/>
            </w:pPr>
            <w:r w:rsidRPr="003E7F76">
              <w:t>201</w:t>
            </w:r>
            <w:r w:rsidRPr="000C2F15">
              <w:t>6–17</w:t>
            </w:r>
          </w:p>
        </w:tc>
        <w:tc>
          <w:tcPr>
            <w:tcW w:w="1540" w:type="dxa"/>
          </w:tcPr>
          <w:p w:rsidR="000C2F15" w:rsidRPr="000C2F15" w:rsidRDefault="000C2F15" w:rsidP="000C2F15">
            <w:pPr>
              <w:cnfStyle w:val="100000000000" w:firstRow="1" w:lastRow="0" w:firstColumn="0" w:lastColumn="0" w:oddVBand="0" w:evenVBand="0" w:oddHBand="0" w:evenHBand="0" w:firstRowFirstColumn="0" w:firstRowLastColumn="0" w:lastRowFirstColumn="0" w:lastRowLastColumn="0"/>
            </w:pPr>
            <w:r w:rsidRPr="003E7F76">
              <w:t>201</w:t>
            </w:r>
            <w:r w:rsidRPr="000C2F15">
              <w:t>7–18</w:t>
            </w:r>
          </w:p>
        </w:tc>
        <w:tc>
          <w:tcPr>
            <w:tcW w:w="1541" w:type="dxa"/>
          </w:tcPr>
          <w:p w:rsidR="000C2F15" w:rsidRPr="000C2F15" w:rsidRDefault="000C2F15" w:rsidP="000C2F15">
            <w:pPr>
              <w:cnfStyle w:val="100000000000" w:firstRow="1" w:lastRow="0" w:firstColumn="0" w:lastColumn="0" w:oddVBand="0" w:evenVBand="0" w:oddHBand="0" w:evenHBand="0" w:firstRowFirstColumn="0" w:firstRowLastColumn="0" w:lastRowFirstColumn="0" w:lastRowLastColumn="0"/>
            </w:pPr>
            <w:r w:rsidRPr="003E7F76">
              <w:t>201</w:t>
            </w:r>
            <w:r w:rsidRPr="000C2F15">
              <w:t>8–19</w:t>
            </w:r>
          </w:p>
        </w:tc>
        <w:tc>
          <w:tcPr>
            <w:tcW w:w="1541" w:type="dxa"/>
          </w:tcPr>
          <w:p w:rsidR="000C2F15" w:rsidRPr="000C2F15" w:rsidRDefault="000C2F15" w:rsidP="000C2F15">
            <w:pPr>
              <w:cnfStyle w:val="100000000000" w:firstRow="1" w:lastRow="0" w:firstColumn="0" w:lastColumn="0" w:oddVBand="0" w:evenVBand="0" w:oddHBand="0" w:evenHBand="0" w:firstRowFirstColumn="0" w:firstRowLastColumn="0" w:lastRowFirstColumn="0" w:lastRowLastColumn="0"/>
            </w:pPr>
            <w:r w:rsidRPr="003E7F76">
              <w:t>201</w:t>
            </w:r>
            <w:r w:rsidRPr="000C2F15">
              <w:t>9–20</w:t>
            </w:r>
          </w:p>
        </w:tc>
      </w:tr>
      <w:tr w:rsidR="000C2F15" w:rsidRPr="003E7F76" w:rsidTr="000C2F15">
        <w:tc>
          <w:tcPr>
            <w:cnfStyle w:val="001000000000" w:firstRow="0" w:lastRow="0" w:firstColumn="1" w:lastColumn="0" w:oddVBand="0" w:evenVBand="0" w:oddHBand="0" w:evenHBand="0" w:firstRowFirstColumn="0" w:firstRowLastColumn="0" w:lastRowFirstColumn="0" w:lastRowLastColumn="0"/>
            <w:tcW w:w="1540" w:type="dxa"/>
          </w:tcPr>
          <w:p w:rsidR="000C2F15" w:rsidRPr="000C2F15" w:rsidRDefault="000C2F15" w:rsidP="000C2F15">
            <w:r w:rsidRPr="003E7F76">
              <w:t>Aluminium</w:t>
            </w:r>
          </w:p>
        </w:tc>
        <w:tc>
          <w:tcPr>
            <w:tcW w:w="1540" w:type="dxa"/>
          </w:tcPr>
          <w:p w:rsidR="000C2F15" w:rsidRPr="000C2F15" w:rsidRDefault="000C2F15" w:rsidP="000C2F15">
            <w:pPr>
              <w:cnfStyle w:val="000000000000" w:firstRow="0" w:lastRow="0" w:firstColumn="0" w:lastColumn="0" w:oddVBand="0" w:evenVBand="0" w:oddHBand="0" w:evenHBand="0" w:firstRowFirstColumn="0" w:firstRowLastColumn="0" w:lastRowFirstColumn="0" w:lastRowLastColumn="0"/>
            </w:pPr>
            <w:r>
              <w:t>16.6</w:t>
            </w:r>
          </w:p>
        </w:tc>
        <w:tc>
          <w:tcPr>
            <w:tcW w:w="1540" w:type="dxa"/>
          </w:tcPr>
          <w:p w:rsidR="000C2F15" w:rsidRPr="000C2F15" w:rsidRDefault="000C2F15" w:rsidP="000C2F15">
            <w:pPr>
              <w:cnfStyle w:val="000000000000" w:firstRow="0" w:lastRow="0" w:firstColumn="0" w:lastColumn="0" w:oddVBand="0" w:evenVBand="0" w:oddHBand="0" w:evenHBand="0" w:firstRowFirstColumn="0" w:firstRowLastColumn="0" w:lastRowFirstColumn="0" w:lastRowLastColumn="0"/>
            </w:pPr>
            <w:r>
              <w:t>1.9</w:t>
            </w:r>
          </w:p>
        </w:tc>
        <w:tc>
          <w:tcPr>
            <w:tcW w:w="1540" w:type="dxa"/>
          </w:tcPr>
          <w:p w:rsidR="000C2F15" w:rsidRPr="000C2F15" w:rsidRDefault="000C2F15" w:rsidP="000C2F15">
            <w:pPr>
              <w:cnfStyle w:val="000000000000" w:firstRow="0" w:lastRow="0" w:firstColumn="0" w:lastColumn="0" w:oddVBand="0" w:evenVBand="0" w:oddHBand="0" w:evenHBand="0" w:firstRowFirstColumn="0" w:firstRowLastColumn="0" w:lastRowFirstColumn="0" w:lastRowLastColumn="0"/>
            </w:pPr>
            <w:r>
              <w:t>5.1</w:t>
            </w:r>
          </w:p>
        </w:tc>
        <w:tc>
          <w:tcPr>
            <w:tcW w:w="1541" w:type="dxa"/>
          </w:tcPr>
          <w:p w:rsidR="000C2F15" w:rsidRPr="000C2F15" w:rsidRDefault="000C2F15" w:rsidP="000C2F15">
            <w:pPr>
              <w:cnfStyle w:val="000000000000" w:firstRow="0" w:lastRow="0" w:firstColumn="0" w:lastColumn="0" w:oddVBand="0" w:evenVBand="0" w:oddHBand="0" w:evenHBand="0" w:firstRowFirstColumn="0" w:firstRowLastColumn="0" w:lastRowFirstColumn="0" w:lastRowLastColumn="0"/>
            </w:pPr>
            <w:r>
              <w:t>3.7</w:t>
            </w:r>
          </w:p>
        </w:tc>
        <w:tc>
          <w:tcPr>
            <w:tcW w:w="1541" w:type="dxa"/>
          </w:tcPr>
          <w:p w:rsidR="000C2F15" w:rsidRPr="000C2F15" w:rsidRDefault="000C2F15" w:rsidP="000C2F15">
            <w:pPr>
              <w:cnfStyle w:val="000000000000" w:firstRow="0" w:lastRow="0" w:firstColumn="0" w:lastColumn="0" w:oddVBand="0" w:evenVBand="0" w:oddHBand="0" w:evenHBand="0" w:firstRowFirstColumn="0" w:firstRowLastColumn="0" w:lastRowFirstColumn="0" w:lastRowLastColumn="0"/>
            </w:pPr>
            <w:r>
              <w:t>-</w:t>
            </w:r>
            <w:r w:rsidRPr="000C2F15">
              <w:t>11.0</w:t>
            </w:r>
          </w:p>
        </w:tc>
      </w:tr>
      <w:tr w:rsidR="000C2F15" w:rsidRPr="003E7F76" w:rsidTr="000C2F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0C2F15" w:rsidRPr="000C2F15" w:rsidRDefault="000C2F15" w:rsidP="000C2F15">
            <w:r>
              <w:t>Brass</w:t>
            </w:r>
          </w:p>
        </w:tc>
        <w:tc>
          <w:tcPr>
            <w:tcW w:w="1540" w:type="dxa"/>
          </w:tcPr>
          <w:p w:rsidR="000C2F15" w:rsidRPr="000C2F15" w:rsidRDefault="000C2F15" w:rsidP="000C2F15">
            <w:pPr>
              <w:cnfStyle w:val="000000010000" w:firstRow="0" w:lastRow="0" w:firstColumn="0" w:lastColumn="0" w:oddVBand="0" w:evenVBand="0" w:oddHBand="0" w:evenHBand="1" w:firstRowFirstColumn="0" w:firstRowLastColumn="0" w:lastRowFirstColumn="0" w:lastRowLastColumn="0"/>
            </w:pPr>
            <w:r>
              <w:t>12.7</w:t>
            </w:r>
          </w:p>
        </w:tc>
        <w:tc>
          <w:tcPr>
            <w:tcW w:w="1540" w:type="dxa"/>
          </w:tcPr>
          <w:p w:rsidR="000C2F15" w:rsidRPr="000C2F15" w:rsidRDefault="000C2F15" w:rsidP="000C2F15">
            <w:pPr>
              <w:cnfStyle w:val="000000010000" w:firstRow="0" w:lastRow="0" w:firstColumn="0" w:lastColumn="0" w:oddVBand="0" w:evenVBand="0" w:oddHBand="0" w:evenHBand="1" w:firstRowFirstColumn="0" w:firstRowLastColumn="0" w:lastRowFirstColumn="0" w:lastRowLastColumn="0"/>
            </w:pPr>
            <w:r>
              <w:t>0.5</w:t>
            </w:r>
          </w:p>
        </w:tc>
        <w:tc>
          <w:tcPr>
            <w:tcW w:w="1540" w:type="dxa"/>
          </w:tcPr>
          <w:p w:rsidR="000C2F15" w:rsidRPr="000C2F15" w:rsidRDefault="000C2F15" w:rsidP="000C2F15">
            <w:pPr>
              <w:cnfStyle w:val="000000010000" w:firstRow="0" w:lastRow="0" w:firstColumn="0" w:lastColumn="0" w:oddVBand="0" w:evenVBand="0" w:oddHBand="0" w:evenHBand="1" w:firstRowFirstColumn="0" w:firstRowLastColumn="0" w:lastRowFirstColumn="0" w:lastRowLastColumn="0"/>
            </w:pPr>
            <w:r>
              <w:t>2.9</w:t>
            </w:r>
          </w:p>
        </w:tc>
        <w:tc>
          <w:tcPr>
            <w:tcW w:w="1541" w:type="dxa"/>
          </w:tcPr>
          <w:p w:rsidR="000C2F15" w:rsidRPr="000C2F15" w:rsidRDefault="000C2F15" w:rsidP="000C2F15">
            <w:pPr>
              <w:cnfStyle w:val="000000010000" w:firstRow="0" w:lastRow="0" w:firstColumn="0" w:lastColumn="0" w:oddVBand="0" w:evenVBand="0" w:oddHBand="0" w:evenHBand="1" w:firstRowFirstColumn="0" w:firstRowLastColumn="0" w:lastRowFirstColumn="0" w:lastRowLastColumn="0"/>
            </w:pPr>
            <w:r>
              <w:t>2.0</w:t>
            </w:r>
          </w:p>
        </w:tc>
        <w:tc>
          <w:tcPr>
            <w:tcW w:w="1541" w:type="dxa"/>
          </w:tcPr>
          <w:p w:rsidR="000C2F15" w:rsidRPr="000C2F15" w:rsidRDefault="000C2F15" w:rsidP="000C2F15">
            <w:pPr>
              <w:cnfStyle w:val="000000010000" w:firstRow="0" w:lastRow="0" w:firstColumn="0" w:lastColumn="0" w:oddVBand="0" w:evenVBand="0" w:oddHBand="0" w:evenHBand="1" w:firstRowFirstColumn="0" w:firstRowLastColumn="0" w:lastRowFirstColumn="0" w:lastRowLastColumn="0"/>
            </w:pPr>
            <w:r>
              <w:t>-</w:t>
            </w:r>
            <w:r w:rsidRPr="000C2F15">
              <w:t>12.0</w:t>
            </w:r>
          </w:p>
        </w:tc>
      </w:tr>
      <w:tr w:rsidR="000C2F15" w:rsidRPr="003E7F76" w:rsidTr="000C2F15">
        <w:tc>
          <w:tcPr>
            <w:cnfStyle w:val="001000000000" w:firstRow="0" w:lastRow="0" w:firstColumn="1" w:lastColumn="0" w:oddVBand="0" w:evenVBand="0" w:oddHBand="0" w:evenHBand="0" w:firstRowFirstColumn="0" w:firstRowLastColumn="0" w:lastRowFirstColumn="0" w:lastRowLastColumn="0"/>
            <w:tcW w:w="1540" w:type="dxa"/>
          </w:tcPr>
          <w:p w:rsidR="000C2F15" w:rsidRPr="000C2F15" w:rsidRDefault="000C2F15" w:rsidP="000C2F15">
            <w:r w:rsidRPr="003E7F76">
              <w:t>Steel</w:t>
            </w:r>
          </w:p>
        </w:tc>
        <w:tc>
          <w:tcPr>
            <w:tcW w:w="1540" w:type="dxa"/>
          </w:tcPr>
          <w:p w:rsidR="000C2F15" w:rsidRPr="000C2F15" w:rsidRDefault="000C2F15" w:rsidP="000C2F15">
            <w:pPr>
              <w:cnfStyle w:val="000000000000" w:firstRow="0" w:lastRow="0" w:firstColumn="0" w:lastColumn="0" w:oddVBand="0" w:evenVBand="0" w:oddHBand="0" w:evenHBand="0" w:firstRowFirstColumn="0" w:firstRowLastColumn="0" w:lastRowFirstColumn="0" w:lastRowLastColumn="0"/>
            </w:pPr>
            <w:r>
              <w:t>9.2</w:t>
            </w:r>
          </w:p>
        </w:tc>
        <w:tc>
          <w:tcPr>
            <w:tcW w:w="1540" w:type="dxa"/>
          </w:tcPr>
          <w:p w:rsidR="000C2F15" w:rsidRPr="000C2F15" w:rsidRDefault="000C2F15" w:rsidP="000C2F15">
            <w:pPr>
              <w:cnfStyle w:val="000000000000" w:firstRow="0" w:lastRow="0" w:firstColumn="0" w:lastColumn="0" w:oddVBand="0" w:evenVBand="0" w:oddHBand="0" w:evenHBand="0" w:firstRowFirstColumn="0" w:firstRowLastColumn="0" w:lastRowFirstColumn="0" w:lastRowLastColumn="0"/>
            </w:pPr>
            <w:r>
              <w:t>-1.3</w:t>
            </w:r>
          </w:p>
        </w:tc>
        <w:tc>
          <w:tcPr>
            <w:tcW w:w="1540" w:type="dxa"/>
          </w:tcPr>
          <w:p w:rsidR="000C2F15" w:rsidRPr="000C2F15" w:rsidRDefault="000C2F15" w:rsidP="000C2F15">
            <w:pPr>
              <w:cnfStyle w:val="000000000000" w:firstRow="0" w:lastRow="0" w:firstColumn="0" w:lastColumn="0" w:oddVBand="0" w:evenVBand="0" w:oddHBand="0" w:evenHBand="0" w:firstRowFirstColumn="0" w:firstRowLastColumn="0" w:lastRowFirstColumn="0" w:lastRowLastColumn="0"/>
            </w:pPr>
            <w:r>
              <w:t>3.7</w:t>
            </w:r>
          </w:p>
        </w:tc>
        <w:tc>
          <w:tcPr>
            <w:tcW w:w="1541" w:type="dxa"/>
          </w:tcPr>
          <w:p w:rsidR="000C2F15" w:rsidRPr="000C2F15" w:rsidRDefault="000C2F15" w:rsidP="000C2F15">
            <w:pPr>
              <w:cnfStyle w:val="000000000000" w:firstRow="0" w:lastRow="0" w:firstColumn="0" w:lastColumn="0" w:oddVBand="0" w:evenVBand="0" w:oddHBand="0" w:evenHBand="0" w:firstRowFirstColumn="0" w:firstRowLastColumn="0" w:lastRowFirstColumn="0" w:lastRowLastColumn="0"/>
            </w:pPr>
            <w:r>
              <w:t>3.7</w:t>
            </w:r>
          </w:p>
        </w:tc>
        <w:tc>
          <w:tcPr>
            <w:tcW w:w="1541" w:type="dxa"/>
          </w:tcPr>
          <w:p w:rsidR="000C2F15" w:rsidRPr="000C2F15" w:rsidRDefault="000C2F15" w:rsidP="000C2F15">
            <w:pPr>
              <w:cnfStyle w:val="000000000000" w:firstRow="0" w:lastRow="0" w:firstColumn="0" w:lastColumn="0" w:oddVBand="0" w:evenVBand="0" w:oddHBand="0" w:evenHBand="0" w:firstRowFirstColumn="0" w:firstRowLastColumn="0" w:lastRowFirstColumn="0" w:lastRowLastColumn="0"/>
            </w:pPr>
            <w:r>
              <w:t>-11.1</w:t>
            </w:r>
          </w:p>
        </w:tc>
      </w:tr>
      <w:tr w:rsidR="000C2F15" w:rsidRPr="003E7F76" w:rsidTr="000C2F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0C2F15" w:rsidRPr="000C2F15" w:rsidRDefault="000C2F15" w:rsidP="000C2F15">
            <w:r>
              <w:lastRenderedPageBreak/>
              <w:t>Plastic</w:t>
            </w:r>
          </w:p>
        </w:tc>
        <w:tc>
          <w:tcPr>
            <w:tcW w:w="1540" w:type="dxa"/>
          </w:tcPr>
          <w:p w:rsidR="000C2F15" w:rsidRPr="000C2F15" w:rsidRDefault="000C2F15" w:rsidP="000C2F15">
            <w:pPr>
              <w:cnfStyle w:val="000000010000" w:firstRow="0" w:lastRow="0" w:firstColumn="0" w:lastColumn="0" w:oddVBand="0" w:evenVBand="0" w:oddHBand="0" w:evenHBand="1" w:firstRowFirstColumn="0" w:firstRowLastColumn="0" w:lastRowFirstColumn="0" w:lastRowLastColumn="0"/>
            </w:pPr>
            <w:r>
              <w:t>0.2</w:t>
            </w:r>
          </w:p>
        </w:tc>
        <w:tc>
          <w:tcPr>
            <w:tcW w:w="1540" w:type="dxa"/>
          </w:tcPr>
          <w:p w:rsidR="000C2F15" w:rsidRPr="000C2F15" w:rsidRDefault="000C2F15" w:rsidP="000C2F15">
            <w:pPr>
              <w:cnfStyle w:val="000000010000" w:firstRow="0" w:lastRow="0" w:firstColumn="0" w:lastColumn="0" w:oddVBand="0" w:evenVBand="0" w:oddHBand="0" w:evenHBand="1" w:firstRowFirstColumn="0" w:firstRowLastColumn="0" w:lastRowFirstColumn="0" w:lastRowLastColumn="0"/>
            </w:pPr>
            <w:r>
              <w:t>1.4</w:t>
            </w:r>
          </w:p>
        </w:tc>
        <w:tc>
          <w:tcPr>
            <w:tcW w:w="1540" w:type="dxa"/>
          </w:tcPr>
          <w:p w:rsidR="000C2F15" w:rsidRPr="000C2F15" w:rsidRDefault="000C2F15" w:rsidP="000C2F15">
            <w:pPr>
              <w:cnfStyle w:val="000000010000" w:firstRow="0" w:lastRow="0" w:firstColumn="0" w:lastColumn="0" w:oddVBand="0" w:evenVBand="0" w:oddHBand="0" w:evenHBand="1" w:firstRowFirstColumn="0" w:firstRowLastColumn="0" w:lastRowFirstColumn="0" w:lastRowLastColumn="0"/>
            </w:pPr>
            <w:r>
              <w:t>4.2</w:t>
            </w:r>
          </w:p>
        </w:tc>
        <w:tc>
          <w:tcPr>
            <w:tcW w:w="1541" w:type="dxa"/>
          </w:tcPr>
          <w:p w:rsidR="000C2F15" w:rsidRPr="000C2F15" w:rsidRDefault="000C2F15" w:rsidP="000C2F15">
            <w:pPr>
              <w:cnfStyle w:val="000000010000" w:firstRow="0" w:lastRow="0" w:firstColumn="0" w:lastColumn="0" w:oddVBand="0" w:evenVBand="0" w:oddHBand="0" w:evenHBand="1" w:firstRowFirstColumn="0" w:firstRowLastColumn="0" w:lastRowFirstColumn="0" w:lastRowLastColumn="0"/>
            </w:pPr>
            <w:r>
              <w:t>3.1</w:t>
            </w:r>
          </w:p>
        </w:tc>
        <w:tc>
          <w:tcPr>
            <w:tcW w:w="1541" w:type="dxa"/>
          </w:tcPr>
          <w:p w:rsidR="000C2F15" w:rsidRPr="000C2F15" w:rsidRDefault="000C2F15" w:rsidP="000C2F15">
            <w:pPr>
              <w:cnfStyle w:val="000000010000" w:firstRow="0" w:lastRow="0" w:firstColumn="0" w:lastColumn="0" w:oddVBand="0" w:evenVBand="0" w:oddHBand="0" w:evenHBand="1" w:firstRowFirstColumn="0" w:firstRowLastColumn="0" w:lastRowFirstColumn="0" w:lastRowLastColumn="0"/>
            </w:pPr>
            <w:r>
              <w:t>-7.6</w:t>
            </w:r>
          </w:p>
        </w:tc>
      </w:tr>
      <w:tr w:rsidR="000C2F15" w:rsidRPr="003E7F76" w:rsidTr="000C2F15">
        <w:tc>
          <w:tcPr>
            <w:cnfStyle w:val="001000000000" w:firstRow="0" w:lastRow="0" w:firstColumn="1" w:lastColumn="0" w:oddVBand="0" w:evenVBand="0" w:oddHBand="0" w:evenHBand="0" w:firstRowFirstColumn="0" w:firstRowLastColumn="0" w:lastRowFirstColumn="0" w:lastRowLastColumn="0"/>
            <w:tcW w:w="1540" w:type="dxa"/>
          </w:tcPr>
          <w:p w:rsidR="000C2F15" w:rsidRPr="000C2F15" w:rsidRDefault="000C2F15" w:rsidP="000C2F15">
            <w:r>
              <w:t>Concrete</w:t>
            </w:r>
          </w:p>
        </w:tc>
        <w:tc>
          <w:tcPr>
            <w:tcW w:w="1540" w:type="dxa"/>
          </w:tcPr>
          <w:p w:rsidR="000C2F15" w:rsidRPr="000C2F15" w:rsidRDefault="000C2F15" w:rsidP="000C2F15">
            <w:pPr>
              <w:cnfStyle w:val="000000000000" w:firstRow="0" w:lastRow="0" w:firstColumn="0" w:lastColumn="0" w:oddVBand="0" w:evenVBand="0" w:oddHBand="0" w:evenHBand="0" w:firstRowFirstColumn="0" w:firstRowLastColumn="0" w:lastRowFirstColumn="0" w:lastRowLastColumn="0"/>
            </w:pPr>
            <w:r>
              <w:t>1.9</w:t>
            </w:r>
          </w:p>
        </w:tc>
        <w:tc>
          <w:tcPr>
            <w:tcW w:w="1540" w:type="dxa"/>
          </w:tcPr>
          <w:p w:rsidR="000C2F15" w:rsidRPr="000C2F15" w:rsidRDefault="000C2F15" w:rsidP="000C2F15">
            <w:pPr>
              <w:cnfStyle w:val="000000000000" w:firstRow="0" w:lastRow="0" w:firstColumn="0" w:lastColumn="0" w:oddVBand="0" w:evenVBand="0" w:oddHBand="0" w:evenHBand="0" w:firstRowFirstColumn="0" w:firstRowLastColumn="0" w:lastRowFirstColumn="0" w:lastRowLastColumn="0"/>
            </w:pPr>
            <w:r>
              <w:t>2.6</w:t>
            </w:r>
          </w:p>
        </w:tc>
        <w:tc>
          <w:tcPr>
            <w:tcW w:w="1540" w:type="dxa"/>
          </w:tcPr>
          <w:p w:rsidR="000C2F15" w:rsidRPr="000C2F15" w:rsidRDefault="000C2F15" w:rsidP="000C2F15">
            <w:pPr>
              <w:cnfStyle w:val="000000000000" w:firstRow="0" w:lastRow="0" w:firstColumn="0" w:lastColumn="0" w:oddVBand="0" w:evenVBand="0" w:oddHBand="0" w:evenHBand="0" w:firstRowFirstColumn="0" w:firstRowLastColumn="0" w:lastRowFirstColumn="0" w:lastRowLastColumn="0"/>
            </w:pPr>
            <w:r>
              <w:t>-0.7</w:t>
            </w:r>
          </w:p>
        </w:tc>
        <w:tc>
          <w:tcPr>
            <w:tcW w:w="1541" w:type="dxa"/>
          </w:tcPr>
          <w:p w:rsidR="000C2F15" w:rsidRPr="000C2F15" w:rsidRDefault="000C2F15" w:rsidP="000C2F15">
            <w:pPr>
              <w:cnfStyle w:val="000000000000" w:firstRow="0" w:lastRow="0" w:firstColumn="0" w:lastColumn="0" w:oddVBand="0" w:evenVBand="0" w:oddHBand="0" w:evenHBand="0" w:firstRowFirstColumn="0" w:firstRowLastColumn="0" w:lastRowFirstColumn="0" w:lastRowLastColumn="0"/>
            </w:pPr>
            <w:r>
              <w:t>-2.0</w:t>
            </w:r>
          </w:p>
        </w:tc>
        <w:tc>
          <w:tcPr>
            <w:tcW w:w="1541" w:type="dxa"/>
          </w:tcPr>
          <w:p w:rsidR="000C2F15" w:rsidRPr="000C2F15" w:rsidRDefault="000C2F15" w:rsidP="000C2F15">
            <w:pPr>
              <w:cnfStyle w:val="000000000000" w:firstRow="0" w:lastRow="0" w:firstColumn="0" w:lastColumn="0" w:oddVBand="0" w:evenVBand="0" w:oddHBand="0" w:evenHBand="0" w:firstRowFirstColumn="0" w:firstRowLastColumn="0" w:lastRowFirstColumn="0" w:lastRowLastColumn="0"/>
            </w:pPr>
            <w:r>
              <w:t>-1.3</w:t>
            </w:r>
          </w:p>
        </w:tc>
      </w:tr>
    </w:tbl>
    <w:p w:rsidR="000C2F15" w:rsidRPr="000C2F15" w:rsidRDefault="000C2F15" w:rsidP="000C2F15">
      <w:pPr>
        <w:pStyle w:val="AERtablesource"/>
      </w:pPr>
      <w:r w:rsidRPr="001B5D6C">
        <w:t>Source:</w:t>
      </w:r>
      <w:r w:rsidRPr="001B5D6C">
        <w:tab/>
      </w:r>
      <w:r w:rsidRPr="000C2F15">
        <w:t xml:space="preserve">JGN, </w:t>
      </w:r>
      <w:r w:rsidRPr="000C2F15">
        <w:rPr>
          <w:rStyle w:val="AERtextitalic"/>
        </w:rPr>
        <w:t>Revised Access Arrangement Proposal,</w:t>
      </w:r>
      <w:r w:rsidRPr="000C2F15">
        <w:t xml:space="preserve"> </w:t>
      </w:r>
      <w:r w:rsidRPr="000C2F15">
        <w:rPr>
          <w:rStyle w:val="AERtextitalic"/>
        </w:rPr>
        <w:t xml:space="preserve">Appendix 5.1 BIS Shrapnel Updated cost escalators for JGN (Public), </w:t>
      </w:r>
      <w:r w:rsidRPr="000C2F15">
        <w:t>February 2015.</w:t>
      </w:r>
    </w:p>
    <w:p w:rsidR="000C2F15" w:rsidRDefault="000C2F15" w:rsidP="000C2F15">
      <w:r w:rsidRPr="00341230">
        <w:t>BIS Shrapnel commodity forecasts are converted into Australian dollars using its own in-house methodology based on three key drivers; commodity price forecasts, interest rate differentials between Australia and the United States and the VIX volatility index.</w:t>
      </w:r>
      <w:r w:rsidRPr="00341230">
        <w:rPr>
          <w:rStyle w:val="AERsuperscript"/>
        </w:rPr>
        <w:footnoteReference w:id="140"/>
      </w:r>
    </w:p>
    <w:p w:rsidR="000C2F15" w:rsidRPr="00BB79DB" w:rsidRDefault="000C2F15" w:rsidP="000C2F15">
      <w:r w:rsidRPr="00BB79DB">
        <w:t xml:space="preserve">Details of </w:t>
      </w:r>
      <w:r>
        <w:t>JGN's</w:t>
      </w:r>
      <w:r w:rsidRPr="00BB79DB">
        <w:t xml:space="preserve"> approach to forecasting escalation are </w:t>
      </w:r>
      <w:r>
        <w:t>set out</w:t>
      </w:r>
      <w:r w:rsidRPr="00BB79DB">
        <w:t xml:space="preserve"> in our draft decision.</w:t>
      </w:r>
      <w:r w:rsidRPr="00BB79DB">
        <w:rPr>
          <w:rStyle w:val="AERsuperscript"/>
        </w:rPr>
        <w:footnoteReference w:id="141"/>
      </w:r>
      <w:r w:rsidRPr="00BB79DB">
        <w:t xml:space="preserve"> </w:t>
      </w:r>
      <w:r>
        <w:t>T</w:t>
      </w:r>
      <w:r w:rsidRPr="00341230">
        <w:t>he weight applied to each escalator in each distribution capex category was derived from an analysis of the actual split for JGN’s financial year ending 31 March 2013 in consultation with project managers and key personnel</w:t>
      </w:r>
      <w:r>
        <w:t>.</w:t>
      </w:r>
      <w:r w:rsidRPr="00712A76">
        <w:rPr>
          <w:rStyle w:val="AERsuperscript"/>
        </w:rPr>
        <w:footnoteReference w:id="142"/>
      </w:r>
      <w:r>
        <w:t xml:space="preserve"> </w:t>
      </w:r>
    </w:p>
    <w:p w:rsidR="000C2F15" w:rsidRDefault="000C2F15" w:rsidP="000C2F15">
      <w:r w:rsidRPr="00C27842">
        <w:t xml:space="preserve">In its revised proposal, </w:t>
      </w:r>
      <w:r>
        <w:t xml:space="preserve">JGN </w:t>
      </w:r>
      <w:r w:rsidRPr="00C27842">
        <w:t xml:space="preserve">rejected the AER's findings on material cost escalation </w:t>
      </w:r>
      <w:r>
        <w:t>because</w:t>
      </w:r>
      <w:r w:rsidRPr="00C27842">
        <w:t>:</w:t>
      </w:r>
      <w:r>
        <w:rPr>
          <w:rStyle w:val="FootnoteReference"/>
        </w:rPr>
        <w:footnoteReference w:id="143"/>
      </w:r>
    </w:p>
    <w:p w:rsidR="000C2F15" w:rsidRPr="00C27842" w:rsidRDefault="000C2F15" w:rsidP="000C2F15">
      <w:pPr>
        <w:pStyle w:val="AERbulletlistfirststyle"/>
      </w:pPr>
      <w:r>
        <w:t>it considers its consultant BIS Shrapnel to be a respected economic forecaster and that their updated forecasts are best estimates in the circumstances in accordance with NGR 74(2)</w:t>
      </w:r>
    </w:p>
    <w:p w:rsidR="000C2F15" w:rsidRDefault="000C2F15" w:rsidP="000C2F15">
      <w:pPr>
        <w:pStyle w:val="AERbulletlistfirststyle"/>
      </w:pPr>
      <w:proofErr w:type="gramStart"/>
      <w:r w:rsidRPr="006E0949">
        <w:t>quantifying</w:t>
      </w:r>
      <w:proofErr w:type="gramEnd"/>
      <w:r w:rsidRPr="006E0949">
        <w:t xml:space="preserve"> the relationship between final prices and the underlying inputs is not practical. </w:t>
      </w:r>
      <w:r>
        <w:t>JGN stated that p</w:t>
      </w:r>
      <w:r w:rsidRPr="006E0949">
        <w:t>utting together a long enough time series of prices of physical assets to make it amenable to econometric modelling</w:t>
      </w:r>
      <w:r>
        <w:t>,</w:t>
      </w:r>
      <w:r w:rsidRPr="006E0949">
        <w:t xml:space="preserve"> in order to numerically estimate the relationship</w:t>
      </w:r>
      <w:r>
        <w:t>,</w:t>
      </w:r>
      <w:r w:rsidRPr="006E0949">
        <w:t xml:space="preserve"> is almost impossible</w:t>
      </w:r>
      <w:r>
        <w:t>, and</w:t>
      </w:r>
    </w:p>
    <w:p w:rsidR="000C2F15" w:rsidRPr="006E0949" w:rsidRDefault="000C2F15" w:rsidP="000C2F15">
      <w:pPr>
        <w:pStyle w:val="AERbulletlistfirststyle"/>
      </w:pPr>
      <w:proofErr w:type="gramStart"/>
      <w:r>
        <w:t>the</w:t>
      </w:r>
      <w:proofErr w:type="gramEnd"/>
      <w:r w:rsidRPr="006E0949">
        <w:t xml:space="preserve"> methodology based on weighted average of input costs has previously been accepted by the AER</w:t>
      </w:r>
      <w:r>
        <w:rPr>
          <w:rStyle w:val="FootnoteReference"/>
        </w:rPr>
        <w:footnoteReference w:id="144"/>
      </w:r>
      <w:r w:rsidRPr="006E0949">
        <w:t xml:space="preserve">. </w:t>
      </w:r>
      <w:r>
        <w:t xml:space="preserve">JGN stated that it believes that the AER should be consistent in applying its approach and approve its input cost methodology for deriving material cost escalation forecasts. </w:t>
      </w:r>
    </w:p>
    <w:p w:rsidR="000C2F15" w:rsidRPr="00261232" w:rsidRDefault="000C2F15" w:rsidP="000C2F15">
      <w:r>
        <w:t xml:space="preserve">In </w:t>
      </w:r>
      <w:r w:rsidRPr="00261232">
        <w:t xml:space="preserve">its report to JGN, </w:t>
      </w:r>
      <w:r>
        <w:t>BIS Shrapnel stated that its</w:t>
      </w:r>
      <w:r w:rsidRPr="00261232">
        <w:t xml:space="preserve"> forecasts of the relevant inputs (commodities) are based on Consensus Economics forecasts</w:t>
      </w:r>
      <w:r>
        <w:t xml:space="preserve"> and therefore</w:t>
      </w:r>
      <w:r w:rsidRPr="00261232">
        <w:t xml:space="preserve"> </w:t>
      </w:r>
      <w:r>
        <w:t xml:space="preserve">it </w:t>
      </w:r>
      <w:r w:rsidRPr="00261232">
        <w:t>consider</w:t>
      </w:r>
      <w:r>
        <w:t>s</w:t>
      </w:r>
      <w:r w:rsidRPr="00261232">
        <w:t xml:space="preserve"> them to be robust. </w:t>
      </w:r>
      <w:r>
        <w:t xml:space="preserve">BIS Shrapnel also stated that </w:t>
      </w:r>
      <w:r w:rsidRPr="00261232">
        <w:t xml:space="preserve">Consensus Economics </w:t>
      </w:r>
      <w:r w:rsidRPr="00261232">
        <w:lastRenderedPageBreak/>
        <w:t>forecasts are effectively an average of a number of independent forecasts</w:t>
      </w:r>
      <w:r>
        <w:t xml:space="preserve"> and c</w:t>
      </w:r>
      <w:r w:rsidRPr="00261232">
        <w:t>onsequently represent the most reliable forecasts.</w:t>
      </w:r>
      <w:r>
        <w:rPr>
          <w:rStyle w:val="FootnoteReference"/>
        </w:rPr>
        <w:footnoteReference w:id="145"/>
      </w:r>
    </w:p>
    <w:p w:rsidR="000C2F15" w:rsidRPr="00261232" w:rsidRDefault="000C2F15" w:rsidP="000C2F15">
      <w:r>
        <w:t xml:space="preserve">BIS Shrapnel's report also stated that </w:t>
      </w:r>
      <w:r w:rsidRPr="00A53DA6">
        <w:t xml:space="preserve">quantifying the relationship between final prices and the underlying inputs is not practical. </w:t>
      </w:r>
      <w:r>
        <w:t>BIS Shrapnel considered that constructing</w:t>
      </w:r>
      <w:r w:rsidRPr="00A53DA6">
        <w:t xml:space="preserve"> a long enough time series of prices of physical assets to make it amenable to econometric modelling</w:t>
      </w:r>
      <w:r>
        <w:t>,</w:t>
      </w:r>
      <w:r w:rsidRPr="00A53DA6">
        <w:t xml:space="preserve"> in order to numerically estimate the relationship</w:t>
      </w:r>
      <w:r>
        <w:t>,</w:t>
      </w:r>
      <w:r w:rsidRPr="00A53DA6">
        <w:t xml:space="preserve"> is almost impossible. </w:t>
      </w:r>
      <w:r>
        <w:t xml:space="preserve">BIS Shrapnel stated that </w:t>
      </w:r>
      <w:r w:rsidRPr="00A53DA6">
        <w:t xml:space="preserve">to the best of </w:t>
      </w:r>
      <w:r>
        <w:t>its</w:t>
      </w:r>
      <w:r w:rsidRPr="00A53DA6">
        <w:t xml:space="preserve"> knowledge, there </w:t>
      </w:r>
      <w:r>
        <w:t>are</w:t>
      </w:r>
      <w:r w:rsidRPr="00A53DA6">
        <w:t xml:space="preserve"> no published data on polyethylene pipe prices. </w:t>
      </w:r>
      <w:r>
        <w:t>BIS Shrapnel submits that the l</w:t>
      </w:r>
      <w:r w:rsidRPr="00A53DA6">
        <w:t xml:space="preserve">ack of readily available historical data combined with an absence of </w:t>
      </w:r>
      <w:r>
        <w:t xml:space="preserve">a </w:t>
      </w:r>
      <w:r w:rsidRPr="00A53DA6">
        <w:t xml:space="preserve">futures market for equipment typically installed on a gas distribution network compelled </w:t>
      </w:r>
      <w:r>
        <w:t>it</w:t>
      </w:r>
      <w:r w:rsidRPr="00A53DA6">
        <w:t xml:space="preserve"> to use an input cost model to generate forecasts of polyethylene pipe prices.</w:t>
      </w:r>
      <w:r>
        <w:rPr>
          <w:rStyle w:val="FootnoteReference"/>
        </w:rPr>
        <w:footnoteReference w:id="146"/>
      </w:r>
    </w:p>
    <w:p w:rsidR="000C2F15" w:rsidRPr="0042631E" w:rsidRDefault="000C2F15" w:rsidP="000C2F15">
      <w:pPr>
        <w:pStyle w:val="Heading8"/>
      </w:pPr>
      <w:bookmarkStart w:id="65" w:name="_Toc417638545"/>
      <w:bookmarkStart w:id="66" w:name="_Toc418859339"/>
      <w:bookmarkStart w:id="67" w:name="_Toc420943878"/>
      <w:r w:rsidRPr="0042631E">
        <w:t>Reasons</w:t>
      </w:r>
      <w:bookmarkEnd w:id="65"/>
      <w:bookmarkEnd w:id="66"/>
      <w:bookmarkEnd w:id="67"/>
    </w:p>
    <w:p w:rsidR="000C2F15" w:rsidRDefault="000C2F15" w:rsidP="000C2F15">
      <w:r w:rsidRPr="00D57C31">
        <w:t xml:space="preserve">We must be satisfied that a forecast is based on a sound and robust methodology in order to accept that JGN's proposed total capex </w:t>
      </w:r>
      <w:r>
        <w:t>conforms with</w:t>
      </w:r>
      <w:r w:rsidRPr="00D57C31">
        <w:t xml:space="preserve"> the capex criteria</w:t>
      </w:r>
      <w:r>
        <w:rPr>
          <w:rStyle w:val="FootnoteReference"/>
        </w:rPr>
        <w:footnoteReference w:id="147"/>
      </w:r>
      <w:r w:rsidRPr="00D57C31">
        <w:t xml:space="preserve"> and are arrived at on a reasonable basis, and are the best forecast possible in the circumstances.</w:t>
      </w:r>
      <w:r>
        <w:rPr>
          <w:rStyle w:val="FootnoteReference"/>
        </w:rPr>
        <w:footnoteReference w:id="148"/>
      </w:r>
      <w:r w:rsidRPr="00D57C31">
        <w:t xml:space="preserve"> </w:t>
      </w:r>
      <w:r>
        <w:t>F</w:t>
      </w:r>
      <w:r w:rsidRPr="0087601C">
        <w:t>urther detail</w:t>
      </w:r>
      <w:r>
        <w:t>s</w:t>
      </w:r>
      <w:r w:rsidRPr="0087601C">
        <w:t xml:space="preserve"> about our assessment approach were set </w:t>
      </w:r>
      <w:r>
        <w:t xml:space="preserve">out </w:t>
      </w:r>
      <w:r w:rsidRPr="0087601C">
        <w:t>in the draft decision</w:t>
      </w:r>
      <w:r>
        <w:t>.</w:t>
      </w:r>
      <w:r>
        <w:rPr>
          <w:rStyle w:val="FootnoteReference"/>
        </w:rPr>
        <w:footnoteReference w:id="149"/>
      </w:r>
      <w:r>
        <w:t xml:space="preserve"> </w:t>
      </w:r>
      <w:r w:rsidRPr="00D57C31">
        <w:t xml:space="preserve">In making our assessment, we do recognise that predicting future materials costs for gas service providers involves a degree of uncertainty. However, for the reasons set out below, we are not satisfied that the materials forecasts provided by JGN satisfy the requirements of the NGR. Accordingly, we have not accepted it as part of our substitute estimate in our </w:t>
      </w:r>
      <w:r>
        <w:t>final</w:t>
      </w:r>
      <w:r w:rsidRPr="00D57C31">
        <w:t xml:space="preserve"> decision on total forecast capex. We are satisfied that zero per cent real cost escalation is </w:t>
      </w:r>
      <w:r>
        <w:t>consistent with</w:t>
      </w:r>
      <w:r w:rsidRPr="00D57C31">
        <w:t xml:space="preserve"> the capex criteria and this has been taken into account into our substitute estimate</w:t>
      </w:r>
      <w:r>
        <w:t>.</w:t>
      </w:r>
    </w:p>
    <w:p w:rsidR="000C2F15" w:rsidRPr="004032C3" w:rsidRDefault="000C2F15" w:rsidP="000C2F15">
      <w:pPr>
        <w:numPr>
          <w:ilvl w:val="0"/>
          <w:numId w:val="25"/>
        </w:numPr>
      </w:pPr>
      <w:r w:rsidRPr="004032C3">
        <w:t>This conclusion is based on the following:</w:t>
      </w:r>
    </w:p>
    <w:p w:rsidR="000C2F15" w:rsidRPr="004032C3" w:rsidRDefault="000C2F15" w:rsidP="000C2F15">
      <w:pPr>
        <w:pStyle w:val="AERbulletlistfirststyle"/>
      </w:pPr>
      <w:r w:rsidRPr="004032C3">
        <w:t>the degree of potential inaccuracy</w:t>
      </w:r>
      <w:r>
        <w:t xml:space="preserve"> </w:t>
      </w:r>
      <w:r w:rsidRPr="004032C3">
        <w:t>of commodities forecasts</w:t>
      </w:r>
    </w:p>
    <w:p w:rsidR="000C2F15" w:rsidRPr="004032C3" w:rsidRDefault="000C2F15" w:rsidP="000C2F15">
      <w:pPr>
        <w:pStyle w:val="AERbulletlistfirststyle"/>
      </w:pPr>
      <w:r w:rsidRPr="004032C3">
        <w:t xml:space="preserve">there is little evidence to support how accurately </w:t>
      </w:r>
      <w:r>
        <w:t>JGN's</w:t>
      </w:r>
      <w:r w:rsidRPr="004032C3">
        <w:t xml:space="preserve"> materials escalation model forecasts reasonably reflect changes in prices paid by </w:t>
      </w:r>
      <w:r>
        <w:t xml:space="preserve">JGN </w:t>
      </w:r>
      <w:r w:rsidRPr="004032C3">
        <w:t>for physical assets in the past and by which we can assess the reliability and accuracy of its materials model forecasts; and</w:t>
      </w:r>
    </w:p>
    <w:p w:rsidR="000C2F15" w:rsidRPr="004032C3" w:rsidRDefault="000C2F15" w:rsidP="000C2F15">
      <w:pPr>
        <w:pStyle w:val="AERbulletlistfirststyle"/>
      </w:pPr>
      <w:proofErr w:type="gramStart"/>
      <w:r w:rsidRPr="004032C3">
        <w:t>there</w:t>
      </w:r>
      <w:proofErr w:type="gramEnd"/>
      <w:r w:rsidRPr="004032C3">
        <w:t xml:space="preserve"> is insufficient supporting evidence to show that </w:t>
      </w:r>
      <w:r>
        <w:t xml:space="preserve">JGN </w:t>
      </w:r>
      <w:r w:rsidRPr="004032C3">
        <w:t>has considered whether there may be some material exogenous factors that impact on the cost of physical inputs.</w:t>
      </w:r>
    </w:p>
    <w:p w:rsidR="000C2F15" w:rsidRPr="004032C3" w:rsidRDefault="000C2F15" w:rsidP="000C2F15">
      <w:r w:rsidRPr="004032C3">
        <w:lastRenderedPageBreak/>
        <w:t xml:space="preserve">The weight of the information clearly evidences that there is a real potential for inaccuracy in commodity forecasts. This possibility in conjunction with the lack of evidence in support of </w:t>
      </w:r>
      <w:r>
        <w:t>JGN's</w:t>
      </w:r>
      <w:r w:rsidRPr="004032C3">
        <w:t xml:space="preserve"> forecasts is such that we cannot conclude with a sufficient degree of certainty that commodity forecasts are either accurate or likely to be accurate. We associate this possibility with a real risk that consumers would pay more than </w:t>
      </w:r>
      <w:r>
        <w:t>JGN's</w:t>
      </w:r>
      <w:r w:rsidRPr="004032C3">
        <w:t xml:space="preserve"> costs for its physical assets if we were to accept its material cost escalation. </w:t>
      </w:r>
    </w:p>
    <w:p w:rsidR="000C2F15" w:rsidRDefault="000C2F15" w:rsidP="000C2F15">
      <w:r w:rsidRPr="004032C3">
        <w:t xml:space="preserve">Our decision not to accept </w:t>
      </w:r>
      <w:r>
        <w:t>JGN's</w:t>
      </w:r>
      <w:r w:rsidRPr="004032C3">
        <w:t xml:space="preserve"> material cost escalation means that </w:t>
      </w:r>
      <w:r>
        <w:t>JGN's</w:t>
      </w:r>
      <w:r w:rsidRPr="004032C3">
        <w:t xml:space="preserve"> real costs will be escalated annually by no more than CPI under its tariff variation mechanism. As part of its tariff variation mechanism, by default CPI ensures that </w:t>
      </w:r>
      <w:r>
        <w:t>JGN's</w:t>
      </w:r>
      <w:r w:rsidRPr="004032C3">
        <w:t xml:space="preserve"> increased costs generally will be taken into account. This is not to suggest that CPI measures </w:t>
      </w:r>
      <w:r>
        <w:t xml:space="preserve">are </w:t>
      </w:r>
      <w:r w:rsidRPr="004032C3">
        <w:t xml:space="preserve">a proxy for the movement in the prices of </w:t>
      </w:r>
      <w:r>
        <w:t>JGN's</w:t>
      </w:r>
      <w:r w:rsidRPr="004032C3">
        <w:t xml:space="preserve"> physical assets. We acknowledge that CPI is directed at measuring changes in the price of a basket of goods and services which account for a high proportion of expenditure by the CPI population group (</w:t>
      </w:r>
      <w:r>
        <w:t>that is,</w:t>
      </w:r>
      <w:r w:rsidRPr="004032C3">
        <w:t xml:space="preserve"> metropolitan households); it does not measure the movement in the prices paid for the physical assets purchased by network service providers. However, the CPI provides for a necessary degree of certainty for </w:t>
      </w:r>
      <w:r>
        <w:t xml:space="preserve">JGN </w:t>
      </w:r>
      <w:r w:rsidRPr="004032C3">
        <w:t xml:space="preserve">and consumers that a measured and well understood basis for increasing </w:t>
      </w:r>
      <w:r>
        <w:t>JGN's</w:t>
      </w:r>
      <w:r w:rsidRPr="004032C3">
        <w:t xml:space="preserve"> costs is reflected in its revenue and prices. By contrast, the degree of possible inaccuracy of commodities' forecasts is such that it is not reasonable to use commodities' forecasts, in addition to CPI, to reflect changes in the prices paid by </w:t>
      </w:r>
      <w:r>
        <w:t xml:space="preserve">JGN </w:t>
      </w:r>
      <w:r w:rsidRPr="004032C3">
        <w:t xml:space="preserve">for assets. Commodities' forecasts do not display the same level of rigour as CPI to satisfy us that consumers should incur additional costs above CPI. In reaching this conclusion, we have had regard to the </w:t>
      </w:r>
      <w:r>
        <w:t xml:space="preserve">capital expenditure criteria of the NGR </w:t>
      </w:r>
      <w:r w:rsidRPr="004032C3">
        <w:t xml:space="preserve">that </w:t>
      </w:r>
      <w:r>
        <w:t>JGN's capital expenditure must be such as would be incurred by a prudent service provider acting efficiently to achieve the lowest sustainable cost of providing services.</w:t>
      </w:r>
      <w:r>
        <w:rPr>
          <w:rStyle w:val="FootnoteReference"/>
        </w:rPr>
        <w:footnoteReference w:id="150"/>
      </w:r>
      <w:r w:rsidRPr="004032C3">
        <w:t xml:space="preserve"> We consider that if we were to apply </w:t>
      </w:r>
      <w:r>
        <w:t>JGN's</w:t>
      </w:r>
      <w:r w:rsidRPr="004032C3">
        <w:t xml:space="preserve"> material costs escalation, there is </w:t>
      </w:r>
      <w:r>
        <w:t xml:space="preserve">a </w:t>
      </w:r>
      <w:r w:rsidRPr="004032C3">
        <w:t>possibility that it will recover in excess of its efficient costs. This, combined with an absence of evidence to support a conclusion that it would be in the long term interests of consumers to incur prices that reflected more than the CPI, were fundamental to our conclusion</w:t>
      </w:r>
      <w:r>
        <w:t>.</w:t>
      </w:r>
    </w:p>
    <w:p w:rsidR="000C2F15" w:rsidRPr="008C71FD" w:rsidRDefault="000C2F15" w:rsidP="000C2F15">
      <w:r>
        <w:t xml:space="preserve">We received a submission from the Energy Markets Reform Forum (EMRF) which stated that it </w:t>
      </w:r>
      <w:r w:rsidRPr="008C71FD">
        <w:t>does not support JGN’s forecast of real increases in</w:t>
      </w:r>
      <w:r>
        <w:t xml:space="preserve"> </w:t>
      </w:r>
      <w:r w:rsidRPr="008C71FD">
        <w:t>costs for materials</w:t>
      </w:r>
      <w:r>
        <w:t xml:space="preserve"> and considers </w:t>
      </w:r>
      <w:r w:rsidRPr="008C71FD">
        <w:t>the AER’s</w:t>
      </w:r>
      <w:r>
        <w:t xml:space="preserve"> </w:t>
      </w:r>
      <w:r w:rsidRPr="008C71FD">
        <w:t xml:space="preserve">assumption of a CPI increase </w:t>
      </w:r>
      <w:r>
        <w:t>in the cost of materials is</w:t>
      </w:r>
      <w:r w:rsidRPr="008C71FD">
        <w:t xml:space="preserve"> reasonable</w:t>
      </w:r>
      <w:r>
        <w:t>.</w:t>
      </w:r>
      <w:r>
        <w:rPr>
          <w:rStyle w:val="FootnoteReference"/>
        </w:rPr>
        <w:footnoteReference w:id="151"/>
      </w:r>
      <w:r>
        <w:t xml:space="preserve"> In its submission, t</w:t>
      </w:r>
      <w:r w:rsidRPr="004E085B">
        <w:t>he EMRF also reject</w:t>
      </w:r>
      <w:r>
        <w:t>ed</w:t>
      </w:r>
      <w:r w:rsidRPr="004E085B">
        <w:t xml:space="preserve"> JGN’s comments about currency</w:t>
      </w:r>
      <w:r>
        <w:t xml:space="preserve"> </w:t>
      </w:r>
      <w:r w:rsidRPr="004E085B">
        <w:t>movements and the effect this has on commodity costs for the</w:t>
      </w:r>
      <w:r>
        <w:t xml:space="preserve"> </w:t>
      </w:r>
      <w:r w:rsidRPr="004E085B">
        <w:t xml:space="preserve">network. </w:t>
      </w:r>
      <w:r>
        <w:t xml:space="preserve">The EMRF submitted that </w:t>
      </w:r>
      <w:r w:rsidRPr="004E085B">
        <w:t>a prudent</w:t>
      </w:r>
      <w:r>
        <w:t xml:space="preserve"> </w:t>
      </w:r>
      <w:r w:rsidRPr="004E085B">
        <w:t>network would be expected to hedge its exposures to currency</w:t>
      </w:r>
      <w:r>
        <w:t xml:space="preserve"> </w:t>
      </w:r>
      <w:r w:rsidRPr="004E085B">
        <w:t>movements</w:t>
      </w:r>
      <w:r>
        <w:t>, and given that</w:t>
      </w:r>
      <w:r w:rsidRPr="004E085B">
        <w:t xml:space="preserve"> the movements in commodity prices are</w:t>
      </w:r>
      <w:r>
        <w:t xml:space="preserve"> </w:t>
      </w:r>
      <w:r w:rsidRPr="004E085B">
        <w:t xml:space="preserve">very </w:t>
      </w:r>
      <w:r w:rsidRPr="004E085B">
        <w:lastRenderedPageBreak/>
        <w:t>substantial, an assumption of no real price</w:t>
      </w:r>
      <w:r>
        <w:t xml:space="preserve"> </w:t>
      </w:r>
      <w:r w:rsidRPr="004E085B">
        <w:t>increases is not only more preferable but also a more realistic</w:t>
      </w:r>
      <w:r>
        <w:t xml:space="preserve"> </w:t>
      </w:r>
      <w:r w:rsidRPr="004E085B">
        <w:t>forecast.</w:t>
      </w:r>
      <w:r>
        <w:rPr>
          <w:rStyle w:val="FootnoteReference"/>
        </w:rPr>
        <w:footnoteReference w:id="152"/>
      </w:r>
    </w:p>
    <w:p w:rsidR="000C2F15" w:rsidRDefault="000C2F15" w:rsidP="000C2F15">
      <w:r>
        <w:t>In the following discussion, w</w:t>
      </w:r>
      <w:r w:rsidRPr="00A26706">
        <w:t xml:space="preserve">e have addressed </w:t>
      </w:r>
      <w:r>
        <w:t xml:space="preserve">the points </w:t>
      </w:r>
      <w:r w:rsidRPr="00A26706">
        <w:t xml:space="preserve">raised by </w:t>
      </w:r>
      <w:r>
        <w:t xml:space="preserve">JGN </w:t>
      </w:r>
      <w:r w:rsidRPr="00A26706">
        <w:t xml:space="preserve">in its revised </w:t>
      </w:r>
      <w:r>
        <w:t xml:space="preserve">regulatory </w:t>
      </w:r>
      <w:r w:rsidRPr="00A26706">
        <w:t>proposal.</w:t>
      </w:r>
      <w:r>
        <w:rPr>
          <w:rStyle w:val="FootnoteReference"/>
        </w:rPr>
        <w:footnoteReference w:id="153"/>
      </w:r>
      <w:r>
        <w:t xml:space="preserve"> </w:t>
      </w:r>
    </w:p>
    <w:p w:rsidR="000C2F15" w:rsidRPr="009854B7" w:rsidRDefault="000C2F15" w:rsidP="000C2F15">
      <w:pPr>
        <w:rPr>
          <w:rStyle w:val="AERtextitalic"/>
        </w:rPr>
      </w:pPr>
      <w:r w:rsidRPr="009854B7">
        <w:rPr>
          <w:rStyle w:val="AERtextitalic"/>
        </w:rPr>
        <w:t>Robust real materials cost escalation</w:t>
      </w:r>
    </w:p>
    <w:p w:rsidR="000C2F15" w:rsidRPr="001B5D6C" w:rsidRDefault="000C2F15" w:rsidP="000C2F15">
      <w:r w:rsidRPr="001B5D6C">
        <w:t xml:space="preserve">We acknowledge that businesses use forecasts for planning and budgeting purposes. </w:t>
      </w:r>
      <w:r>
        <w:t>However, w</w:t>
      </w:r>
      <w:r w:rsidRPr="001B5D6C">
        <w:t xml:space="preserve">e </w:t>
      </w:r>
      <w:r>
        <w:t>are not</w:t>
      </w:r>
      <w:r w:rsidRPr="001B5D6C">
        <w:t xml:space="preserve"> satisfied that </w:t>
      </w:r>
      <w:r>
        <w:t>JGN's proposed</w:t>
      </w:r>
      <w:r w:rsidRPr="001B5D6C">
        <w:t xml:space="preserve"> </w:t>
      </w:r>
      <w:r>
        <w:t xml:space="preserve">materials </w:t>
      </w:r>
      <w:r w:rsidRPr="001B5D6C">
        <w:t>forecast</w:t>
      </w:r>
      <w:r>
        <w:t>s</w:t>
      </w:r>
      <w:r w:rsidRPr="001B5D6C">
        <w:t xml:space="preserve"> </w:t>
      </w:r>
      <w:r>
        <w:t>are</w:t>
      </w:r>
      <w:r w:rsidRPr="001B5D6C">
        <w:t xml:space="preserve"> based on a sound and robust methodology</w:t>
      </w:r>
      <w:r>
        <w:t>,</w:t>
      </w:r>
      <w:r w:rsidRPr="001B5D6C">
        <w:t xml:space="preserve"> </w:t>
      </w:r>
      <w:r>
        <w:t>and accordingly, consider that it does not</w:t>
      </w:r>
      <w:r w:rsidRPr="001B5D6C">
        <w:t xml:space="preserve"> </w:t>
      </w:r>
      <w:r>
        <w:t>conform to</w:t>
      </w:r>
      <w:r w:rsidRPr="001B5D6C">
        <w:t xml:space="preserve"> the capex criteria.</w:t>
      </w:r>
      <w:r w:rsidRPr="0073543F">
        <w:rPr>
          <w:rStyle w:val="AERsuperscript"/>
        </w:rPr>
        <w:footnoteReference w:id="154"/>
      </w:r>
      <w:r w:rsidRPr="001B5D6C">
        <w:t xml:space="preserve"> </w:t>
      </w:r>
      <w:r>
        <w:t>Our conclusion is based on</w:t>
      </w:r>
      <w:r w:rsidRPr="001B5D6C">
        <w:t xml:space="preserve"> the degree of potential inaccuracy of commodities forecasts and the paucity of evidence to support how accurately </w:t>
      </w:r>
      <w:r>
        <w:t>JGN's</w:t>
      </w:r>
      <w:r w:rsidRPr="001B5D6C">
        <w:t xml:space="preserve"> materials escalation model forecasts reasonably reflect changes in prices paid by </w:t>
      </w:r>
      <w:r>
        <w:t xml:space="preserve">JGN </w:t>
      </w:r>
      <w:r w:rsidRPr="001B5D6C">
        <w:t xml:space="preserve">for physical assets in the past. </w:t>
      </w:r>
    </w:p>
    <w:p w:rsidR="000C2F15" w:rsidRPr="001B5D6C" w:rsidRDefault="000C2F15" w:rsidP="000C2F15">
      <w:r w:rsidRPr="001B5D6C">
        <w:t>As we stated in our draft decision, our view on the potential inaccuracy of commodities forecasts is informed by:</w:t>
      </w:r>
      <w:r w:rsidRPr="009854B7">
        <w:rPr>
          <w:rStyle w:val="AERsuperscript"/>
        </w:rPr>
        <w:footnoteReference w:id="155"/>
      </w:r>
    </w:p>
    <w:p w:rsidR="000C2F15" w:rsidRPr="001B5D6C" w:rsidRDefault="000C2F15" w:rsidP="000C2F15">
      <w:pPr>
        <w:pStyle w:val="AERbulletlistfirststyle"/>
      </w:pPr>
      <w:r w:rsidRPr="001B5D6C">
        <w:t>recent studies which show that forecasts of crude oil spot prices based on futures prices do not provide a significant improvement compared to a ‘no-change’ forecast for most forecast horizons, and sometimes perform worse</w:t>
      </w:r>
      <w:r>
        <w:rPr>
          <w:rStyle w:val="FootnoteReference"/>
        </w:rPr>
        <w:footnoteReference w:id="156"/>
      </w:r>
    </w:p>
    <w:p w:rsidR="000C2F15" w:rsidRPr="001B5D6C" w:rsidRDefault="000C2F15" w:rsidP="000C2F15">
      <w:pPr>
        <w:pStyle w:val="AERbulletlistfirststyle"/>
      </w:pPr>
      <w:proofErr w:type="gramStart"/>
      <w:r w:rsidRPr="001B5D6C">
        <w:t>evidence</w:t>
      </w:r>
      <w:proofErr w:type="gramEnd"/>
      <w:r w:rsidRPr="001B5D6C">
        <w:t xml:space="preserve"> in the economic literature on the usefulness of commodities futures prices in forecasting spot prices is somewhat mixed. Only for some commodities and for some forecast horizons do futures prices perform better than ‘no change’ forecasts;</w:t>
      </w:r>
      <w:r>
        <w:rPr>
          <w:rStyle w:val="FootnoteReference"/>
        </w:rPr>
        <w:footnoteReference w:id="157"/>
      </w:r>
      <w:r w:rsidRPr="001B5D6C">
        <w:t xml:space="preserve"> and</w:t>
      </w:r>
    </w:p>
    <w:p w:rsidR="000C2F15" w:rsidRPr="001B5D6C" w:rsidRDefault="000C2F15" w:rsidP="000C2F15">
      <w:pPr>
        <w:pStyle w:val="AERbulletlistfirststyle"/>
      </w:pPr>
      <w:proofErr w:type="gramStart"/>
      <w:r w:rsidRPr="001B5D6C">
        <w:t>the</w:t>
      </w:r>
      <w:proofErr w:type="gramEnd"/>
      <w:r w:rsidRPr="001B5D6C">
        <w:t xml:space="preserve"> difficulty in forecasting nominal exchange rates (used to convert most materials which are priced in $US to $AUS). A review of the economic literature of exchange </w:t>
      </w:r>
      <w:r w:rsidRPr="001B5D6C">
        <w:lastRenderedPageBreak/>
        <w:t>rate forecast models suggests a “no change” forecasting approach may be preferable to the forward exchange rate produced by these forecasting models.</w:t>
      </w:r>
      <w:r>
        <w:rPr>
          <w:rStyle w:val="FootnoteReference"/>
        </w:rPr>
        <w:footnoteReference w:id="158"/>
      </w:r>
    </w:p>
    <w:p w:rsidR="000C2F15" w:rsidRPr="001B5D6C" w:rsidRDefault="000C2F15" w:rsidP="000C2F15">
      <w:r w:rsidRPr="001B5D6C">
        <w:t xml:space="preserve">In our draft decision we reviewed the </w:t>
      </w:r>
      <w:r>
        <w:t>material cost escalation report submitted by BIS Shrapnel as well as the Competition Economics Group (</w:t>
      </w:r>
      <w:r w:rsidRPr="001B5D6C">
        <w:t>CEG</w:t>
      </w:r>
      <w:r>
        <w:t>)</w:t>
      </w:r>
      <w:r w:rsidRPr="001B5D6C">
        <w:t xml:space="preserve"> report commissioned by </w:t>
      </w:r>
      <w:r>
        <w:t xml:space="preserve">a number of energy service providers and the </w:t>
      </w:r>
      <w:r w:rsidRPr="001B5D6C">
        <w:t xml:space="preserve">Sinclair Knight Mertz (SKM) </w:t>
      </w:r>
      <w:r>
        <w:t xml:space="preserve">report </w:t>
      </w:r>
      <w:r w:rsidRPr="001B5D6C">
        <w:t>submitted by TransGrid as part of their revenue proposals.</w:t>
      </w:r>
      <w:r w:rsidRPr="002466EC">
        <w:rPr>
          <w:rStyle w:val="AERsuperscript"/>
        </w:rPr>
        <w:footnoteReference w:id="159"/>
      </w:r>
      <w:r w:rsidRPr="001B5D6C">
        <w:t xml:space="preserve"> The</w:t>
      </w:r>
      <w:r>
        <w:t>se</w:t>
      </w:r>
      <w:r w:rsidRPr="001B5D6C">
        <w:t xml:space="preserve"> report</w:t>
      </w:r>
      <w:r>
        <w:t>s</w:t>
      </w:r>
      <w:r w:rsidRPr="001B5D6C">
        <w:t xml:space="preserve"> included a number of statements and information which support our view on the potential inaccuracy of commodities forecasts, including:</w:t>
      </w:r>
    </w:p>
    <w:p w:rsidR="000C2F15" w:rsidRPr="001B5D6C" w:rsidRDefault="000C2F15" w:rsidP="000C2F15">
      <w:pPr>
        <w:pStyle w:val="AERbulletlistfirststyle"/>
      </w:pPr>
      <w:r w:rsidRPr="001B5D6C">
        <w:t>futures prices will be very unlikely to exactly predict future spot prices given that all manner of unexpected events can occur</w:t>
      </w:r>
      <w:r>
        <w:rPr>
          <w:rStyle w:val="FootnoteReference"/>
        </w:rPr>
        <w:footnoteReference w:id="160"/>
      </w:r>
    </w:p>
    <w:p w:rsidR="000C2F15" w:rsidRPr="001B5D6C" w:rsidRDefault="000C2F15" w:rsidP="000C2F15">
      <w:pPr>
        <w:pStyle w:val="AERbulletlistfirststyle"/>
      </w:pPr>
      <w:r w:rsidRPr="001B5D6C">
        <w:t>the view expressed by the International Monetary Fund:</w:t>
      </w:r>
      <w:r>
        <w:rPr>
          <w:rStyle w:val="FootnoteReference"/>
        </w:rPr>
        <w:footnoteReference w:id="161"/>
      </w:r>
    </w:p>
    <w:p w:rsidR="000C2F15" w:rsidRPr="004D45D3" w:rsidRDefault="000C2F15" w:rsidP="000C2F15">
      <w:pPr>
        <w:pStyle w:val="ListContinue2"/>
        <w:rPr>
          <w:rStyle w:val="AERtextsize8"/>
        </w:rPr>
      </w:pPr>
      <w:r w:rsidRPr="004D45D3">
        <w:rPr>
          <w:rStyle w:val="AERtextsize8"/>
        </w:rPr>
        <w:t>While futures prices are not accurate predictors of future spot prices, they nevertheless reflect current beliefs of market participants about forthcoming price developments.</w:t>
      </w:r>
    </w:p>
    <w:p w:rsidR="000C2F15" w:rsidRPr="001B5D6C" w:rsidRDefault="000C2F15" w:rsidP="000C2F15">
      <w:pPr>
        <w:pStyle w:val="AERbulletlistfirststyle"/>
      </w:pPr>
      <w:proofErr w:type="gramStart"/>
      <w:r w:rsidRPr="001B5D6C">
        <w:t>analysis</w:t>
      </w:r>
      <w:proofErr w:type="gramEnd"/>
      <w:r w:rsidRPr="001B5D6C">
        <w:t xml:space="preserve"> of </w:t>
      </w:r>
      <w:r>
        <w:t>London Metals Exchange (</w:t>
      </w:r>
      <w:r w:rsidRPr="001B5D6C">
        <w:t>LME</w:t>
      </w:r>
      <w:r>
        <w:t>)</w:t>
      </w:r>
      <w:r w:rsidRPr="001B5D6C">
        <w:t xml:space="preserve"> three</w:t>
      </w:r>
      <w:r w:rsidR="00924729">
        <w:t>-</w:t>
      </w:r>
      <w:r w:rsidRPr="001B5D6C">
        <w:t>month, 15</w:t>
      </w:r>
      <w:r w:rsidR="00924729">
        <w:t>-</w:t>
      </w:r>
      <w:r w:rsidRPr="001B5D6C">
        <w:t>month and 27</w:t>
      </w:r>
      <w:r w:rsidR="00924729">
        <w:t>-</w:t>
      </w:r>
      <w:r w:rsidRPr="001B5D6C">
        <w:t>month aluminium and copper futures data shows that the longer the futures projection period, the less accurate are LME futures in predicting actual commodity prices. Futures forecasts also have a greater tendency towards over-estimating of actual aluminium and copper prices over the 20</w:t>
      </w:r>
      <w:r w:rsidR="00924729">
        <w:t>-</w:t>
      </w:r>
      <w:r w:rsidRPr="001B5D6C">
        <w:t>year period (particularly for aluminium)</w:t>
      </w:r>
    </w:p>
    <w:p w:rsidR="000C2F15" w:rsidRPr="001B5D6C" w:rsidRDefault="000C2F15" w:rsidP="000C2F15">
      <w:pPr>
        <w:pStyle w:val="AERbulletlistfirststyle"/>
      </w:pPr>
      <w:proofErr w:type="gramStart"/>
      <w:r w:rsidRPr="001B5D6C">
        <w:t>there</w:t>
      </w:r>
      <w:proofErr w:type="gramEnd"/>
      <w:r w:rsidRPr="001B5D6C">
        <w:t xml:space="preserve"> is always a high degree of uncertainty associated with predicting the future. Although CEG consider that it obtained the best possible estimates of the NSPs’ future costs at the present time, the actual magnitude of these costs at the time that they are incurred may well be considerably higher or lower than we have estimated in this report. This is a reflection of the fact that while futures prices and forecasts today may well be a very precise estimate of current expectations of the future, they are at best an imprecise estimate of future values</w:t>
      </w:r>
    </w:p>
    <w:p w:rsidR="000C2F15" w:rsidRPr="001B5D6C" w:rsidRDefault="000C2F15" w:rsidP="000C2F15">
      <w:pPr>
        <w:pStyle w:val="AERbulletlistfirststyle"/>
      </w:pPr>
      <w:r>
        <w:t xml:space="preserve">CEG </w:t>
      </w:r>
      <w:r w:rsidRPr="001B5D6C">
        <w:t>acknowledge</w:t>
      </w:r>
      <w:r>
        <w:t>d</w:t>
      </w:r>
      <w:r w:rsidRPr="001B5D6C">
        <w:t xml:space="preserve"> that its escalation of aluminium prices are not necessarily the prices paid for aluminium equipment by manufacturers.</w:t>
      </w:r>
      <w:r>
        <w:rPr>
          <w:rStyle w:val="FootnoteReference"/>
        </w:rPr>
        <w:footnoteReference w:id="162"/>
      </w:r>
      <w:r w:rsidRPr="001B5D6C">
        <w:t xml:space="preserve"> CEG provided the example of producers of electrical cable who purchase fabricated aluminium which has gone through further stages of production than the refined aluminium that is traded on the LME</w:t>
      </w:r>
    </w:p>
    <w:p w:rsidR="000C2F15" w:rsidRPr="001B5D6C" w:rsidRDefault="000C2F15" w:rsidP="000C2F15">
      <w:pPr>
        <w:pStyle w:val="AERbulletlistfirststyle"/>
      </w:pPr>
      <w:r w:rsidRPr="001B5D6C">
        <w:lastRenderedPageBreak/>
        <w:t>CEG forecast indexed real aluminium, copper, steel and crude oil real prices which showed a trend of higher prices c</w:t>
      </w:r>
      <w:r>
        <w:t>ompared to the historical trend</w:t>
      </w:r>
    </w:p>
    <w:p w:rsidR="000C2F15" w:rsidRPr="001B5D6C" w:rsidRDefault="000C2F15" w:rsidP="000C2F15">
      <w:pPr>
        <w:pStyle w:val="AERbulletlistfirststyle"/>
      </w:pPr>
      <w:r w:rsidRPr="001B5D6C">
        <w:t>SKM caution that there are a variety of factors that could cause business conditions and results to differ materially from what is contained in</w:t>
      </w:r>
      <w:r>
        <w:t xml:space="preserve"> its forward</w:t>
      </w:r>
      <w:r w:rsidR="00924729">
        <w:t>-</w:t>
      </w:r>
      <w:r>
        <w:t>looking statements</w:t>
      </w:r>
    </w:p>
    <w:p w:rsidR="000C2F15" w:rsidRPr="001B5D6C" w:rsidRDefault="000C2F15" w:rsidP="000C2F15">
      <w:pPr>
        <w:pStyle w:val="AERbulletlistfirststyle"/>
      </w:pPr>
      <w:r w:rsidRPr="001B5D6C">
        <w:t>in modelling the exchange rate, SKM in part adopted the longer term historical average of $0.80 USD/AUD as the long term forecast going forward consistent with our view that longer term historical commodity prices should be considered when reviewin</w:t>
      </w:r>
      <w:r>
        <w:t>g and forecasting future prices</w:t>
      </w:r>
      <w:r>
        <w:rPr>
          <w:rStyle w:val="FootnoteReference"/>
        </w:rPr>
        <w:footnoteReference w:id="163"/>
      </w:r>
    </w:p>
    <w:p w:rsidR="000C2F15" w:rsidRPr="001B5D6C" w:rsidRDefault="000C2F15" w:rsidP="000C2F15">
      <w:pPr>
        <w:pStyle w:val="AERbulletlistfirststyle"/>
      </w:pPr>
      <w:r>
        <w:t xml:space="preserve">SKM stated that </w:t>
      </w:r>
      <w:r w:rsidRPr="001B5D6C">
        <w:t>LME futures contracts for copper and aluminium are only available for three years out to December 2016 and that in order to estimate prices beyond this data point, it is necessary to revert to economic forecasts as the most robust sour</w:t>
      </w:r>
      <w:r>
        <w:t>ce of future price expectations</w:t>
      </w:r>
      <w:r>
        <w:rPr>
          <w:rStyle w:val="FootnoteReference"/>
        </w:rPr>
        <w:footnoteReference w:id="164"/>
      </w:r>
    </w:p>
    <w:p w:rsidR="000C2F15" w:rsidRPr="001B5D6C" w:rsidRDefault="000C2F15" w:rsidP="000C2F15">
      <w:pPr>
        <w:pStyle w:val="AERbulletlistfirststyle"/>
      </w:pPr>
      <w:r>
        <w:t xml:space="preserve">SKM also stated that </w:t>
      </w:r>
      <w:r w:rsidRPr="001B5D6C">
        <w:t>LME steel futures are still not yet sufficiently liquid to</w:t>
      </w:r>
      <w:r>
        <w:t xml:space="preserve"> provide a robust price outlook</w:t>
      </w:r>
      <w:r>
        <w:rPr>
          <w:rStyle w:val="FootnoteReference"/>
        </w:rPr>
        <w:footnoteReference w:id="165"/>
      </w:r>
    </w:p>
    <w:p w:rsidR="000C2F15" w:rsidRPr="001B5D6C" w:rsidRDefault="000C2F15" w:rsidP="000C2F15">
      <w:pPr>
        <w:pStyle w:val="AERbulletlistfirststyle"/>
      </w:pPr>
      <w:r>
        <w:t xml:space="preserve">SKM commented that </w:t>
      </w:r>
      <w:r w:rsidRPr="001B5D6C">
        <w:t>in respect to the reliability of oil future contracts as a predictor of actual oil prices, futures markets solely are not a reliable predictor or robust foundation for future price forecasts;</w:t>
      </w:r>
      <w:r>
        <w:rPr>
          <w:rStyle w:val="FootnoteReference"/>
        </w:rPr>
        <w:footnoteReference w:id="166"/>
      </w:r>
      <w:r w:rsidRPr="001B5D6C">
        <w:t xml:space="preserve"> and</w:t>
      </w:r>
    </w:p>
    <w:p w:rsidR="000C2F15" w:rsidRPr="001B5D6C" w:rsidRDefault="000C2F15" w:rsidP="000C2F15">
      <w:pPr>
        <w:pStyle w:val="AERbulletlistfirststyle"/>
      </w:pPr>
      <w:r w:rsidRPr="001B5D6C">
        <w:t xml:space="preserve">BIS Shrapnel forecasted the Australian dollar to fall to US$0.77 from mid-2016 to mid-2018 which is significantly lower than the exchange rate forecasts by SKM of </w:t>
      </w:r>
      <w:proofErr w:type="gramStart"/>
      <w:r w:rsidRPr="001B5D6C">
        <w:t>between US$0.91 to US$0.85 from</w:t>
      </w:r>
      <w:proofErr w:type="gramEnd"/>
      <w:r w:rsidRPr="001B5D6C">
        <w:t xml:space="preserve"> 2014-15 to 2018-19.</w:t>
      </w:r>
      <w:r>
        <w:rPr>
          <w:rStyle w:val="FootnoteReference"/>
        </w:rPr>
        <w:footnoteReference w:id="167"/>
      </w:r>
      <w:r w:rsidRPr="001B5D6C">
        <w:t xml:space="preserve"> BIS Shrapnel stated that exchange rate forecasts are not authoritative over the long term.</w:t>
      </w:r>
      <w:r>
        <w:rPr>
          <w:rStyle w:val="FootnoteReference"/>
        </w:rPr>
        <w:footnoteReference w:id="168"/>
      </w:r>
    </w:p>
    <w:p w:rsidR="000C2F15" w:rsidRPr="001B5D6C" w:rsidRDefault="000C2F15" w:rsidP="000C2F15">
      <w:r w:rsidRPr="001B5D6C">
        <w:t>In our draft decision we also compared the material cost escalation forecasts derived by the three consultants.</w:t>
      </w:r>
      <w:r w:rsidRPr="002466EC">
        <w:rPr>
          <w:rStyle w:val="AERsuperscript"/>
        </w:rPr>
        <w:footnoteReference w:id="169"/>
      </w:r>
      <w:r w:rsidRPr="001B5D6C">
        <w:t xml:space="preserve"> Our review showed that there is considerable variation between the consultant</w:t>
      </w:r>
      <w:r>
        <w:t>s'</w:t>
      </w:r>
      <w:r w:rsidRPr="001B5D6C">
        <w:t xml:space="preserve"> commodities escalation forecasts. We concluded in our draft decision that these forecast divergences between consultants further demonstrate the significant uncertainty in the modelling of material input cost escalators to reliably and accurately estimate the prices of intermediate outputs used by service providers to provide network services.</w:t>
      </w:r>
      <w:r w:rsidRPr="002466EC">
        <w:rPr>
          <w:rStyle w:val="AERsuperscript"/>
        </w:rPr>
        <w:footnoteReference w:id="170"/>
      </w:r>
      <w:r w:rsidRPr="001B5D6C">
        <w:t xml:space="preserve"> This conclusion is further supported by our </w:t>
      </w:r>
      <w:r>
        <w:t>comparison o</w:t>
      </w:r>
      <w:r w:rsidRPr="001B5D6C">
        <w:t xml:space="preserve">f </w:t>
      </w:r>
      <w:r>
        <w:lastRenderedPageBreak/>
        <w:t xml:space="preserve">updated </w:t>
      </w:r>
      <w:r w:rsidRPr="001B5D6C">
        <w:t xml:space="preserve">commodity forecasts provided by </w:t>
      </w:r>
      <w:r>
        <w:t>BIS Shrapnel between</w:t>
      </w:r>
      <w:r w:rsidRPr="001B5D6C">
        <w:t xml:space="preserve"> </w:t>
      </w:r>
      <w:r>
        <w:t>April 2014 and February</w:t>
      </w:r>
      <w:r w:rsidRPr="001B5D6C">
        <w:t xml:space="preserve"> 201</w:t>
      </w:r>
      <w:r>
        <w:t>5, a relatively short period of 10 months.</w:t>
      </w:r>
    </w:p>
    <w:p w:rsidR="000C2F15" w:rsidRDefault="000C2F15" w:rsidP="000C2F15">
      <w:pPr>
        <w:pStyle w:val="Caption"/>
      </w:pPr>
      <w:r>
        <w:t>Table A</w:t>
      </w:r>
      <w:r>
        <w:noBreakHyphen/>
        <w:t>2</w:t>
      </w:r>
      <w:r>
        <w:tab/>
        <w:t xml:space="preserve">BIS Shrapnel </w:t>
      </w:r>
      <w:r w:rsidRPr="00780029">
        <w:t>real materials cost escalation forecast</w:t>
      </w:r>
      <w:r>
        <w:t xml:space="preserve"> April 2014 and February 2015</w:t>
      </w:r>
      <w:r w:rsidRPr="00780029">
        <w:t>—inputs (per cent)</w:t>
      </w:r>
    </w:p>
    <w:tbl>
      <w:tblPr>
        <w:tblStyle w:val="AERtable-numbers"/>
        <w:tblW w:w="0" w:type="auto"/>
        <w:tblLook w:val="04A0" w:firstRow="1" w:lastRow="0" w:firstColumn="1" w:lastColumn="0" w:noHBand="0" w:noVBand="1"/>
      </w:tblPr>
      <w:tblGrid>
        <w:gridCol w:w="1668"/>
        <w:gridCol w:w="1259"/>
        <w:gridCol w:w="1441"/>
        <w:gridCol w:w="1441"/>
        <w:gridCol w:w="1442"/>
        <w:gridCol w:w="1442"/>
      </w:tblGrid>
      <w:tr w:rsidR="000C2F15" w:rsidRPr="001B5D6C" w:rsidTr="000C2F1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8" w:type="dxa"/>
          </w:tcPr>
          <w:p w:rsidR="000C2F15" w:rsidRPr="00E55B9A" w:rsidRDefault="000C2F15" w:rsidP="000C2F15">
            <w:pPr>
              <w:numPr>
                <w:ilvl w:val="0"/>
                <w:numId w:val="25"/>
              </w:numPr>
            </w:pPr>
          </w:p>
        </w:tc>
        <w:tc>
          <w:tcPr>
            <w:tcW w:w="1259" w:type="dxa"/>
          </w:tcPr>
          <w:p w:rsidR="000C2F15" w:rsidRPr="00E55B9A" w:rsidRDefault="000C2F15" w:rsidP="000C2F15">
            <w:pPr>
              <w:numPr>
                <w:ilvl w:val="0"/>
                <w:numId w:val="25"/>
              </w:numPr>
              <w:cnfStyle w:val="100000000000" w:firstRow="1" w:lastRow="0" w:firstColumn="0" w:lastColumn="0" w:oddVBand="0" w:evenVBand="0" w:oddHBand="0" w:evenHBand="0" w:firstRowFirstColumn="0" w:firstRowLastColumn="0" w:lastRowFirstColumn="0" w:lastRowLastColumn="0"/>
            </w:pPr>
            <w:r w:rsidRPr="00E55B9A">
              <w:t>201</w:t>
            </w:r>
            <w:r>
              <w:t>5</w:t>
            </w:r>
            <w:r w:rsidRPr="00E55B9A">
              <w:t>–1</w:t>
            </w:r>
            <w:r>
              <w:t>6</w:t>
            </w:r>
          </w:p>
        </w:tc>
        <w:tc>
          <w:tcPr>
            <w:tcW w:w="1441" w:type="dxa"/>
          </w:tcPr>
          <w:p w:rsidR="000C2F15" w:rsidRPr="00E55B9A" w:rsidRDefault="000C2F15" w:rsidP="000C2F15">
            <w:pPr>
              <w:numPr>
                <w:ilvl w:val="0"/>
                <w:numId w:val="25"/>
              </w:numPr>
              <w:cnfStyle w:val="100000000000" w:firstRow="1" w:lastRow="0" w:firstColumn="0" w:lastColumn="0" w:oddVBand="0" w:evenVBand="0" w:oddHBand="0" w:evenHBand="0" w:firstRowFirstColumn="0" w:firstRowLastColumn="0" w:lastRowFirstColumn="0" w:lastRowLastColumn="0"/>
            </w:pPr>
            <w:r w:rsidRPr="00E55B9A">
              <w:t>201</w:t>
            </w:r>
            <w:r>
              <w:t>6</w:t>
            </w:r>
            <w:r w:rsidRPr="00E55B9A">
              <w:t>–1</w:t>
            </w:r>
            <w:r>
              <w:t>7</w:t>
            </w:r>
          </w:p>
        </w:tc>
        <w:tc>
          <w:tcPr>
            <w:tcW w:w="1441" w:type="dxa"/>
          </w:tcPr>
          <w:p w:rsidR="000C2F15" w:rsidRPr="00E55B9A" w:rsidRDefault="000C2F15" w:rsidP="000C2F15">
            <w:pPr>
              <w:numPr>
                <w:ilvl w:val="0"/>
                <w:numId w:val="25"/>
              </w:numPr>
              <w:cnfStyle w:val="100000000000" w:firstRow="1" w:lastRow="0" w:firstColumn="0" w:lastColumn="0" w:oddVBand="0" w:evenVBand="0" w:oddHBand="0" w:evenHBand="0" w:firstRowFirstColumn="0" w:firstRowLastColumn="0" w:lastRowFirstColumn="0" w:lastRowLastColumn="0"/>
            </w:pPr>
            <w:r w:rsidRPr="00E55B9A">
              <w:t>201</w:t>
            </w:r>
            <w:r>
              <w:t>7</w:t>
            </w:r>
            <w:r w:rsidRPr="00E55B9A">
              <w:t>–1</w:t>
            </w:r>
            <w:r>
              <w:t>8</w:t>
            </w:r>
          </w:p>
        </w:tc>
        <w:tc>
          <w:tcPr>
            <w:tcW w:w="1442" w:type="dxa"/>
          </w:tcPr>
          <w:p w:rsidR="000C2F15" w:rsidRPr="00E55B9A" w:rsidRDefault="000C2F15" w:rsidP="000C2F15">
            <w:pPr>
              <w:numPr>
                <w:ilvl w:val="0"/>
                <w:numId w:val="25"/>
              </w:numPr>
              <w:cnfStyle w:val="100000000000" w:firstRow="1" w:lastRow="0" w:firstColumn="0" w:lastColumn="0" w:oddVBand="0" w:evenVBand="0" w:oddHBand="0" w:evenHBand="0" w:firstRowFirstColumn="0" w:firstRowLastColumn="0" w:lastRowFirstColumn="0" w:lastRowLastColumn="0"/>
            </w:pPr>
            <w:r>
              <w:t>2018</w:t>
            </w:r>
            <w:r w:rsidRPr="00E55B9A">
              <w:t>–1</w:t>
            </w:r>
            <w:r>
              <w:t>9</w:t>
            </w:r>
          </w:p>
        </w:tc>
        <w:tc>
          <w:tcPr>
            <w:tcW w:w="1442" w:type="dxa"/>
          </w:tcPr>
          <w:p w:rsidR="000C2F15" w:rsidRPr="00E55B9A" w:rsidRDefault="000C2F15" w:rsidP="000C2F15">
            <w:pPr>
              <w:numPr>
                <w:ilvl w:val="0"/>
                <w:numId w:val="25"/>
              </w:numPr>
              <w:cnfStyle w:val="100000000000" w:firstRow="1" w:lastRow="0" w:firstColumn="0" w:lastColumn="0" w:oddVBand="0" w:evenVBand="0" w:oddHBand="0" w:evenHBand="0" w:firstRowFirstColumn="0" w:firstRowLastColumn="0" w:lastRowFirstColumn="0" w:lastRowLastColumn="0"/>
            </w:pPr>
            <w:r w:rsidRPr="00E55B9A">
              <w:t>201</w:t>
            </w:r>
            <w:r>
              <w:t>9</w:t>
            </w:r>
            <w:r w:rsidRPr="00E55B9A">
              <w:t>–</w:t>
            </w:r>
            <w:r>
              <w:t>20</w:t>
            </w:r>
          </w:p>
        </w:tc>
      </w:tr>
      <w:tr w:rsidR="000C2F15" w:rsidRPr="001B5D6C" w:rsidTr="000C2F15">
        <w:trPr>
          <w:trHeight w:val="1519"/>
        </w:trPr>
        <w:tc>
          <w:tcPr>
            <w:cnfStyle w:val="001000000000" w:firstRow="0" w:lastRow="0" w:firstColumn="1" w:lastColumn="0" w:oddVBand="0" w:evenVBand="0" w:oddHBand="0" w:evenHBand="0" w:firstRowFirstColumn="0" w:firstRowLastColumn="0" w:lastRowFirstColumn="0" w:lastRowLastColumn="0"/>
            <w:tcW w:w="1668" w:type="dxa"/>
          </w:tcPr>
          <w:p w:rsidR="000C2F15" w:rsidRPr="00E55B9A" w:rsidRDefault="000C2F15" w:rsidP="000C2F15">
            <w:pPr>
              <w:numPr>
                <w:ilvl w:val="0"/>
                <w:numId w:val="25"/>
              </w:numPr>
            </w:pPr>
            <w:r w:rsidRPr="00E55B9A">
              <w:t>Aluminium</w:t>
            </w:r>
          </w:p>
          <w:p w:rsidR="000C2F15" w:rsidRPr="00E55B9A" w:rsidRDefault="000C2F15" w:rsidP="000C2F15">
            <w:pPr>
              <w:numPr>
                <w:ilvl w:val="0"/>
                <w:numId w:val="25"/>
              </w:numPr>
            </w:pPr>
            <w:r>
              <w:t>April 2014</w:t>
            </w:r>
          </w:p>
          <w:p w:rsidR="000C2F15" w:rsidRPr="00E55B9A" w:rsidRDefault="000C2F15" w:rsidP="000C2F15">
            <w:pPr>
              <w:numPr>
                <w:ilvl w:val="0"/>
                <w:numId w:val="25"/>
              </w:numPr>
            </w:pPr>
            <w:r>
              <w:t xml:space="preserve">February </w:t>
            </w:r>
            <w:r w:rsidRPr="00E55B9A">
              <w:t>201</w:t>
            </w:r>
            <w:r>
              <w:t>5</w:t>
            </w:r>
          </w:p>
          <w:p w:rsidR="000C2F15" w:rsidRPr="00E55B9A" w:rsidRDefault="000C2F15" w:rsidP="000C2F15">
            <w:pPr>
              <w:numPr>
                <w:ilvl w:val="0"/>
                <w:numId w:val="25"/>
              </w:numPr>
            </w:pPr>
            <w:r w:rsidRPr="00E55B9A">
              <w:t>Difference (actual)</w:t>
            </w:r>
          </w:p>
          <w:p w:rsidR="000C2F15" w:rsidRPr="00E55B9A" w:rsidRDefault="000C2F15" w:rsidP="000C2F15">
            <w:pPr>
              <w:numPr>
                <w:ilvl w:val="0"/>
                <w:numId w:val="25"/>
              </w:numPr>
            </w:pPr>
            <w:r w:rsidRPr="00E55B9A">
              <w:t>Difference (%)</w:t>
            </w:r>
          </w:p>
        </w:tc>
        <w:tc>
          <w:tcPr>
            <w:tcW w:w="1259" w:type="dxa"/>
            <w:vAlign w:val="top"/>
          </w:tcPr>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5.56</w:t>
            </w: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16.6</w:t>
            </w: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11.04</w:t>
            </w: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198.6</w:t>
            </w:r>
            <w:r w:rsidRPr="00E55B9A">
              <w:t>%</w:t>
            </w:r>
          </w:p>
        </w:tc>
        <w:tc>
          <w:tcPr>
            <w:tcW w:w="1441" w:type="dxa"/>
            <w:vAlign w:val="top"/>
          </w:tcPr>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3.86</w:t>
            </w: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1.9</w:t>
            </w: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-1.96</w:t>
            </w: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-50.8</w:t>
            </w:r>
            <w:r w:rsidRPr="00E55B9A">
              <w:t>%</w:t>
            </w:r>
          </w:p>
        </w:tc>
        <w:tc>
          <w:tcPr>
            <w:tcW w:w="1441" w:type="dxa"/>
            <w:vAlign w:val="top"/>
          </w:tcPr>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11.00</w:t>
            </w: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5.1</w:t>
            </w: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-5.9</w:t>
            </w: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-53.6</w:t>
            </w:r>
            <w:r w:rsidRPr="00E55B9A">
              <w:t>%</w:t>
            </w:r>
          </w:p>
        </w:tc>
        <w:tc>
          <w:tcPr>
            <w:tcW w:w="1442" w:type="dxa"/>
            <w:vAlign w:val="top"/>
          </w:tcPr>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-6.53</w:t>
            </w: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3.7</w:t>
            </w: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10.23</w:t>
            </w: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-156.7</w:t>
            </w:r>
            <w:r w:rsidRPr="00E55B9A">
              <w:t>%</w:t>
            </w:r>
          </w:p>
        </w:tc>
        <w:tc>
          <w:tcPr>
            <w:tcW w:w="1442" w:type="dxa"/>
            <w:vAlign w:val="top"/>
          </w:tcPr>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-2.44</w:t>
            </w: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-11.0</w:t>
            </w: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-8.56</w:t>
            </w: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350.8</w:t>
            </w:r>
            <w:r w:rsidRPr="00E55B9A">
              <w:t>%</w:t>
            </w:r>
          </w:p>
        </w:tc>
      </w:tr>
      <w:tr w:rsidR="000C2F15" w:rsidRPr="001B5D6C" w:rsidTr="000C2F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0C2F15" w:rsidRPr="00E55B9A" w:rsidRDefault="000C2F15" w:rsidP="000C2F15">
            <w:pPr>
              <w:numPr>
                <w:ilvl w:val="0"/>
                <w:numId w:val="25"/>
              </w:numPr>
            </w:pPr>
            <w:r>
              <w:t>Brass</w:t>
            </w:r>
          </w:p>
          <w:p w:rsidR="000C2F15" w:rsidRPr="00E55B9A" w:rsidRDefault="000C2F15" w:rsidP="000C2F15">
            <w:pPr>
              <w:numPr>
                <w:ilvl w:val="0"/>
                <w:numId w:val="25"/>
              </w:numPr>
            </w:pPr>
            <w:r>
              <w:t>April 2014</w:t>
            </w:r>
          </w:p>
          <w:p w:rsidR="000C2F15" w:rsidRPr="00E55B9A" w:rsidRDefault="000C2F15" w:rsidP="000C2F15">
            <w:pPr>
              <w:numPr>
                <w:ilvl w:val="0"/>
                <w:numId w:val="25"/>
              </w:numPr>
            </w:pPr>
            <w:r>
              <w:t xml:space="preserve">February </w:t>
            </w:r>
            <w:r w:rsidRPr="00E55B9A">
              <w:t>201</w:t>
            </w:r>
            <w:r>
              <w:t>5</w:t>
            </w:r>
          </w:p>
          <w:p w:rsidR="000C2F15" w:rsidRPr="00E55B9A" w:rsidRDefault="000C2F15" w:rsidP="000C2F15">
            <w:pPr>
              <w:numPr>
                <w:ilvl w:val="0"/>
                <w:numId w:val="25"/>
              </w:numPr>
            </w:pPr>
            <w:r w:rsidRPr="00E55B9A">
              <w:t>Difference (actual)</w:t>
            </w:r>
          </w:p>
          <w:p w:rsidR="000C2F15" w:rsidRPr="00E55B9A" w:rsidRDefault="000C2F15" w:rsidP="000C2F15">
            <w:pPr>
              <w:numPr>
                <w:ilvl w:val="0"/>
                <w:numId w:val="25"/>
              </w:numPr>
            </w:pPr>
            <w:r w:rsidRPr="00E55B9A">
              <w:t>Difference (%)</w:t>
            </w:r>
          </w:p>
        </w:tc>
        <w:tc>
          <w:tcPr>
            <w:tcW w:w="1259" w:type="dxa"/>
            <w:vAlign w:val="top"/>
          </w:tcPr>
          <w:p w:rsidR="000C2F15" w:rsidRPr="00E55B9A" w:rsidRDefault="000C2F15" w:rsidP="000C2F15">
            <w:pPr>
              <w:numPr>
                <w:ilvl w:val="0"/>
                <w:numId w:val="25"/>
              </w:numPr>
              <w:cnfStyle w:val="000000010000" w:firstRow="0" w:lastRow="0" w:firstColumn="0" w:lastColumn="0" w:oddVBand="0" w:evenVBand="0" w:oddHBand="0" w:evenHBand="1" w:firstRowFirstColumn="0" w:firstRowLastColumn="0" w:lastRowFirstColumn="0" w:lastRowLastColumn="0"/>
            </w:pPr>
          </w:p>
          <w:p w:rsidR="000C2F15" w:rsidRPr="00E55B9A" w:rsidRDefault="000C2F15" w:rsidP="000C2F15">
            <w:pPr>
              <w:numPr>
                <w:ilvl w:val="0"/>
                <w:numId w:val="25"/>
              </w:numPr>
              <w:cnfStyle w:val="000000010000" w:firstRow="0" w:lastRow="0" w:firstColumn="0" w:lastColumn="0" w:oddVBand="0" w:evenVBand="0" w:oddHBand="0" w:evenHBand="1" w:firstRowFirstColumn="0" w:firstRowLastColumn="0" w:lastRowFirstColumn="0" w:lastRowLastColumn="0"/>
            </w:pPr>
            <w:r>
              <w:t>1.94</w:t>
            </w:r>
          </w:p>
          <w:p w:rsidR="000C2F15" w:rsidRPr="00E55B9A" w:rsidRDefault="000C2F15" w:rsidP="000C2F15">
            <w:pPr>
              <w:numPr>
                <w:ilvl w:val="0"/>
                <w:numId w:val="25"/>
              </w:numPr>
              <w:cnfStyle w:val="000000010000" w:firstRow="0" w:lastRow="0" w:firstColumn="0" w:lastColumn="0" w:oddVBand="0" w:evenVBand="0" w:oddHBand="0" w:evenHBand="1" w:firstRowFirstColumn="0" w:firstRowLastColumn="0" w:lastRowFirstColumn="0" w:lastRowLastColumn="0"/>
            </w:pPr>
            <w:r>
              <w:t>12.7</w:t>
            </w:r>
          </w:p>
          <w:p w:rsidR="000C2F15" w:rsidRPr="00E55B9A" w:rsidRDefault="000C2F15" w:rsidP="000C2F15">
            <w:pPr>
              <w:numPr>
                <w:ilvl w:val="0"/>
                <w:numId w:val="25"/>
              </w:numPr>
              <w:cnfStyle w:val="000000010000" w:firstRow="0" w:lastRow="0" w:firstColumn="0" w:lastColumn="0" w:oddVBand="0" w:evenVBand="0" w:oddHBand="0" w:evenHBand="1" w:firstRowFirstColumn="0" w:firstRowLastColumn="0" w:lastRowFirstColumn="0" w:lastRowLastColumn="0"/>
            </w:pPr>
            <w:r>
              <w:t>10.76</w:t>
            </w:r>
          </w:p>
          <w:p w:rsidR="000C2F15" w:rsidRPr="00E55B9A" w:rsidRDefault="000C2F15" w:rsidP="000C2F15">
            <w:pPr>
              <w:numPr>
                <w:ilvl w:val="0"/>
                <w:numId w:val="25"/>
              </w:numPr>
              <w:cnfStyle w:val="000000010000" w:firstRow="0" w:lastRow="0" w:firstColumn="0" w:lastColumn="0" w:oddVBand="0" w:evenVBand="0" w:oddHBand="0" w:evenHBand="1" w:firstRowFirstColumn="0" w:firstRowLastColumn="0" w:lastRowFirstColumn="0" w:lastRowLastColumn="0"/>
            </w:pPr>
            <w:r>
              <w:t>554.6</w:t>
            </w:r>
            <w:r w:rsidRPr="00E55B9A">
              <w:t>%</w:t>
            </w:r>
          </w:p>
        </w:tc>
        <w:tc>
          <w:tcPr>
            <w:tcW w:w="1441" w:type="dxa"/>
            <w:vAlign w:val="top"/>
          </w:tcPr>
          <w:p w:rsidR="000C2F15" w:rsidRPr="00E55B9A" w:rsidRDefault="000C2F15" w:rsidP="000C2F15">
            <w:pPr>
              <w:numPr>
                <w:ilvl w:val="0"/>
                <w:numId w:val="25"/>
              </w:numPr>
              <w:cnfStyle w:val="000000010000" w:firstRow="0" w:lastRow="0" w:firstColumn="0" w:lastColumn="0" w:oddVBand="0" w:evenVBand="0" w:oddHBand="0" w:evenHBand="1" w:firstRowFirstColumn="0" w:firstRowLastColumn="0" w:lastRowFirstColumn="0" w:lastRowLastColumn="0"/>
            </w:pPr>
          </w:p>
          <w:p w:rsidR="000C2F15" w:rsidRPr="00E55B9A" w:rsidRDefault="000C2F15" w:rsidP="000C2F15">
            <w:pPr>
              <w:numPr>
                <w:ilvl w:val="0"/>
                <w:numId w:val="25"/>
              </w:numPr>
              <w:cnfStyle w:val="000000010000" w:firstRow="0" w:lastRow="0" w:firstColumn="0" w:lastColumn="0" w:oddVBand="0" w:evenVBand="0" w:oddHBand="0" w:evenHBand="1" w:firstRowFirstColumn="0" w:firstRowLastColumn="0" w:lastRowFirstColumn="0" w:lastRowLastColumn="0"/>
            </w:pPr>
            <w:r>
              <w:t>2.13</w:t>
            </w:r>
          </w:p>
          <w:p w:rsidR="000C2F15" w:rsidRPr="00E55B9A" w:rsidRDefault="000C2F15" w:rsidP="000C2F15">
            <w:pPr>
              <w:numPr>
                <w:ilvl w:val="0"/>
                <w:numId w:val="25"/>
              </w:numPr>
              <w:cnfStyle w:val="000000010000" w:firstRow="0" w:lastRow="0" w:firstColumn="0" w:lastColumn="0" w:oddVBand="0" w:evenVBand="0" w:oddHBand="0" w:evenHBand="1" w:firstRowFirstColumn="0" w:firstRowLastColumn="0" w:lastRowFirstColumn="0" w:lastRowLastColumn="0"/>
            </w:pPr>
            <w:r>
              <w:t>0.5</w:t>
            </w:r>
          </w:p>
          <w:p w:rsidR="000C2F15" w:rsidRPr="00E55B9A" w:rsidRDefault="000C2F15" w:rsidP="000C2F15">
            <w:pPr>
              <w:numPr>
                <w:ilvl w:val="0"/>
                <w:numId w:val="25"/>
              </w:numPr>
              <w:cnfStyle w:val="000000010000" w:firstRow="0" w:lastRow="0" w:firstColumn="0" w:lastColumn="0" w:oddVBand="0" w:evenVBand="0" w:oddHBand="0" w:evenHBand="1" w:firstRowFirstColumn="0" w:firstRowLastColumn="0" w:lastRowFirstColumn="0" w:lastRowLastColumn="0"/>
            </w:pPr>
            <w:r>
              <w:t>-1.63</w:t>
            </w:r>
          </w:p>
          <w:p w:rsidR="000C2F15" w:rsidRPr="00E55B9A" w:rsidRDefault="000C2F15" w:rsidP="000C2F15">
            <w:pPr>
              <w:numPr>
                <w:ilvl w:val="0"/>
                <w:numId w:val="25"/>
              </w:numPr>
              <w:cnfStyle w:val="000000010000" w:firstRow="0" w:lastRow="0" w:firstColumn="0" w:lastColumn="0" w:oddVBand="0" w:evenVBand="0" w:oddHBand="0" w:evenHBand="1" w:firstRowFirstColumn="0" w:firstRowLastColumn="0" w:lastRowFirstColumn="0" w:lastRowLastColumn="0"/>
            </w:pPr>
            <w:r>
              <w:t>-76.5</w:t>
            </w:r>
            <w:r w:rsidRPr="00E55B9A">
              <w:t>%</w:t>
            </w:r>
          </w:p>
        </w:tc>
        <w:tc>
          <w:tcPr>
            <w:tcW w:w="1441" w:type="dxa"/>
            <w:vAlign w:val="top"/>
          </w:tcPr>
          <w:p w:rsidR="000C2F15" w:rsidRPr="00E55B9A" w:rsidRDefault="000C2F15" w:rsidP="000C2F15">
            <w:pPr>
              <w:numPr>
                <w:ilvl w:val="0"/>
                <w:numId w:val="25"/>
              </w:numPr>
              <w:cnfStyle w:val="000000010000" w:firstRow="0" w:lastRow="0" w:firstColumn="0" w:lastColumn="0" w:oddVBand="0" w:evenVBand="0" w:oddHBand="0" w:evenHBand="1" w:firstRowFirstColumn="0" w:firstRowLastColumn="0" w:lastRowFirstColumn="0" w:lastRowLastColumn="0"/>
            </w:pPr>
          </w:p>
          <w:p w:rsidR="000C2F15" w:rsidRPr="00E55B9A" w:rsidRDefault="000C2F15" w:rsidP="000C2F15">
            <w:pPr>
              <w:numPr>
                <w:ilvl w:val="0"/>
                <w:numId w:val="25"/>
              </w:numPr>
              <w:cnfStyle w:val="000000010000" w:firstRow="0" w:lastRow="0" w:firstColumn="0" w:lastColumn="0" w:oddVBand="0" w:evenVBand="0" w:oddHBand="0" w:evenHBand="1" w:firstRowFirstColumn="0" w:firstRowLastColumn="0" w:lastRowFirstColumn="0" w:lastRowLastColumn="0"/>
            </w:pPr>
            <w:r>
              <w:t>9.53</w:t>
            </w:r>
          </w:p>
          <w:p w:rsidR="000C2F15" w:rsidRPr="00E55B9A" w:rsidRDefault="000C2F15" w:rsidP="000C2F15">
            <w:pPr>
              <w:numPr>
                <w:ilvl w:val="0"/>
                <w:numId w:val="25"/>
              </w:numPr>
              <w:cnfStyle w:val="000000010000" w:firstRow="0" w:lastRow="0" w:firstColumn="0" w:lastColumn="0" w:oddVBand="0" w:evenVBand="0" w:oddHBand="0" w:evenHBand="1" w:firstRowFirstColumn="0" w:firstRowLastColumn="0" w:lastRowFirstColumn="0" w:lastRowLastColumn="0"/>
            </w:pPr>
            <w:r>
              <w:t>2.9</w:t>
            </w:r>
          </w:p>
          <w:p w:rsidR="000C2F15" w:rsidRPr="00E55B9A" w:rsidRDefault="000C2F15" w:rsidP="000C2F15">
            <w:pPr>
              <w:numPr>
                <w:ilvl w:val="0"/>
                <w:numId w:val="25"/>
              </w:numPr>
              <w:cnfStyle w:val="000000010000" w:firstRow="0" w:lastRow="0" w:firstColumn="0" w:lastColumn="0" w:oddVBand="0" w:evenVBand="0" w:oddHBand="0" w:evenHBand="1" w:firstRowFirstColumn="0" w:firstRowLastColumn="0" w:lastRowFirstColumn="0" w:lastRowLastColumn="0"/>
            </w:pPr>
            <w:r>
              <w:t>-6.63</w:t>
            </w:r>
          </w:p>
          <w:p w:rsidR="000C2F15" w:rsidRPr="00E55B9A" w:rsidRDefault="000C2F15" w:rsidP="000C2F15">
            <w:pPr>
              <w:numPr>
                <w:ilvl w:val="0"/>
                <w:numId w:val="25"/>
              </w:numPr>
              <w:cnfStyle w:val="000000010000" w:firstRow="0" w:lastRow="0" w:firstColumn="0" w:lastColumn="0" w:oddVBand="0" w:evenVBand="0" w:oddHBand="0" w:evenHBand="1" w:firstRowFirstColumn="0" w:firstRowLastColumn="0" w:lastRowFirstColumn="0" w:lastRowLastColumn="0"/>
            </w:pPr>
            <w:r>
              <w:t>-69.6</w:t>
            </w:r>
            <w:r w:rsidRPr="00E55B9A">
              <w:t>%</w:t>
            </w:r>
          </w:p>
        </w:tc>
        <w:tc>
          <w:tcPr>
            <w:tcW w:w="1442" w:type="dxa"/>
            <w:vAlign w:val="top"/>
          </w:tcPr>
          <w:p w:rsidR="000C2F15" w:rsidRPr="00E55B9A" w:rsidRDefault="000C2F15" w:rsidP="000C2F15">
            <w:pPr>
              <w:numPr>
                <w:ilvl w:val="0"/>
                <w:numId w:val="25"/>
              </w:numPr>
              <w:cnfStyle w:val="000000010000" w:firstRow="0" w:lastRow="0" w:firstColumn="0" w:lastColumn="0" w:oddVBand="0" w:evenVBand="0" w:oddHBand="0" w:evenHBand="1" w:firstRowFirstColumn="0" w:firstRowLastColumn="0" w:lastRowFirstColumn="0" w:lastRowLastColumn="0"/>
            </w:pPr>
          </w:p>
          <w:p w:rsidR="000C2F15" w:rsidRPr="00E55B9A" w:rsidRDefault="000C2F15" w:rsidP="000C2F15">
            <w:pPr>
              <w:numPr>
                <w:ilvl w:val="0"/>
                <w:numId w:val="25"/>
              </w:numPr>
              <w:cnfStyle w:val="000000010000" w:firstRow="0" w:lastRow="0" w:firstColumn="0" w:lastColumn="0" w:oddVBand="0" w:evenVBand="0" w:oddHBand="0" w:evenHBand="1" w:firstRowFirstColumn="0" w:firstRowLastColumn="0" w:lastRowFirstColumn="0" w:lastRowLastColumn="0"/>
            </w:pPr>
            <w:r>
              <w:t>-8.84</w:t>
            </w:r>
          </w:p>
          <w:p w:rsidR="000C2F15" w:rsidRPr="00E55B9A" w:rsidRDefault="000C2F15" w:rsidP="000C2F15">
            <w:pPr>
              <w:numPr>
                <w:ilvl w:val="0"/>
                <w:numId w:val="25"/>
              </w:numPr>
              <w:cnfStyle w:val="000000010000" w:firstRow="0" w:lastRow="0" w:firstColumn="0" w:lastColumn="0" w:oddVBand="0" w:evenVBand="0" w:oddHBand="0" w:evenHBand="1" w:firstRowFirstColumn="0" w:firstRowLastColumn="0" w:lastRowFirstColumn="0" w:lastRowLastColumn="0"/>
            </w:pPr>
            <w:r>
              <w:t>2.0</w:t>
            </w:r>
          </w:p>
          <w:p w:rsidR="000C2F15" w:rsidRPr="00E55B9A" w:rsidRDefault="000C2F15" w:rsidP="000C2F15">
            <w:pPr>
              <w:numPr>
                <w:ilvl w:val="0"/>
                <w:numId w:val="25"/>
              </w:numPr>
              <w:cnfStyle w:val="000000010000" w:firstRow="0" w:lastRow="0" w:firstColumn="0" w:lastColumn="0" w:oddVBand="0" w:evenVBand="0" w:oddHBand="0" w:evenHBand="1" w:firstRowFirstColumn="0" w:firstRowLastColumn="0" w:lastRowFirstColumn="0" w:lastRowLastColumn="0"/>
            </w:pPr>
            <w:r>
              <w:t>10.84</w:t>
            </w:r>
          </w:p>
          <w:p w:rsidR="000C2F15" w:rsidRPr="00E55B9A" w:rsidRDefault="000C2F15" w:rsidP="000C2F15">
            <w:pPr>
              <w:numPr>
                <w:ilvl w:val="0"/>
                <w:numId w:val="25"/>
              </w:numPr>
              <w:cnfStyle w:val="000000010000" w:firstRow="0" w:lastRow="0" w:firstColumn="0" w:lastColumn="0" w:oddVBand="0" w:evenVBand="0" w:oddHBand="0" w:evenHBand="1" w:firstRowFirstColumn="0" w:firstRowLastColumn="0" w:lastRowFirstColumn="0" w:lastRowLastColumn="0"/>
            </w:pPr>
            <w:r>
              <w:t>-122.6</w:t>
            </w:r>
            <w:r w:rsidRPr="00E55B9A">
              <w:t>%</w:t>
            </w:r>
          </w:p>
        </w:tc>
        <w:tc>
          <w:tcPr>
            <w:tcW w:w="1442" w:type="dxa"/>
            <w:vAlign w:val="top"/>
          </w:tcPr>
          <w:p w:rsidR="000C2F15" w:rsidRPr="00E55B9A" w:rsidRDefault="000C2F15" w:rsidP="000C2F15">
            <w:pPr>
              <w:numPr>
                <w:ilvl w:val="0"/>
                <w:numId w:val="25"/>
              </w:numPr>
              <w:cnfStyle w:val="000000010000" w:firstRow="0" w:lastRow="0" w:firstColumn="0" w:lastColumn="0" w:oddVBand="0" w:evenVBand="0" w:oddHBand="0" w:evenHBand="1" w:firstRowFirstColumn="0" w:firstRowLastColumn="0" w:lastRowFirstColumn="0" w:lastRowLastColumn="0"/>
            </w:pPr>
          </w:p>
          <w:p w:rsidR="000C2F15" w:rsidRPr="00E55B9A" w:rsidRDefault="000C2F15" w:rsidP="000C2F15">
            <w:pPr>
              <w:numPr>
                <w:ilvl w:val="0"/>
                <w:numId w:val="25"/>
              </w:numPr>
              <w:cnfStyle w:val="000000010000" w:firstRow="0" w:lastRow="0" w:firstColumn="0" w:lastColumn="0" w:oddVBand="0" w:evenVBand="0" w:oddHBand="0" w:evenHBand="1" w:firstRowFirstColumn="0" w:firstRowLastColumn="0" w:lastRowFirstColumn="0" w:lastRowLastColumn="0"/>
            </w:pPr>
            <w:r>
              <w:t>-5.31</w:t>
            </w:r>
          </w:p>
          <w:p w:rsidR="000C2F15" w:rsidRPr="00E55B9A" w:rsidRDefault="000C2F15" w:rsidP="000C2F15">
            <w:pPr>
              <w:numPr>
                <w:ilvl w:val="0"/>
                <w:numId w:val="25"/>
              </w:numPr>
              <w:cnfStyle w:val="000000010000" w:firstRow="0" w:lastRow="0" w:firstColumn="0" w:lastColumn="0" w:oddVBand="0" w:evenVBand="0" w:oddHBand="0" w:evenHBand="1" w:firstRowFirstColumn="0" w:firstRowLastColumn="0" w:lastRowFirstColumn="0" w:lastRowLastColumn="0"/>
            </w:pPr>
            <w:r>
              <w:t>-12.0</w:t>
            </w:r>
          </w:p>
          <w:p w:rsidR="000C2F15" w:rsidRPr="00E55B9A" w:rsidRDefault="000C2F15" w:rsidP="000C2F15">
            <w:pPr>
              <w:numPr>
                <w:ilvl w:val="0"/>
                <w:numId w:val="25"/>
              </w:numPr>
              <w:cnfStyle w:val="000000010000" w:firstRow="0" w:lastRow="0" w:firstColumn="0" w:lastColumn="0" w:oddVBand="0" w:evenVBand="0" w:oddHBand="0" w:evenHBand="1" w:firstRowFirstColumn="0" w:firstRowLastColumn="0" w:lastRowFirstColumn="0" w:lastRowLastColumn="0"/>
            </w:pPr>
            <w:r>
              <w:t>-6.69</w:t>
            </w:r>
          </w:p>
          <w:p w:rsidR="000C2F15" w:rsidRPr="00E55B9A" w:rsidRDefault="000C2F15" w:rsidP="000C2F15">
            <w:pPr>
              <w:numPr>
                <w:ilvl w:val="0"/>
                <w:numId w:val="25"/>
              </w:numPr>
              <w:cnfStyle w:val="000000010000" w:firstRow="0" w:lastRow="0" w:firstColumn="0" w:lastColumn="0" w:oddVBand="0" w:evenVBand="0" w:oddHBand="0" w:evenHBand="1" w:firstRowFirstColumn="0" w:firstRowLastColumn="0" w:lastRowFirstColumn="0" w:lastRowLastColumn="0"/>
            </w:pPr>
            <w:r>
              <w:t>126.0</w:t>
            </w:r>
            <w:r w:rsidRPr="00E55B9A">
              <w:t>%</w:t>
            </w:r>
          </w:p>
        </w:tc>
      </w:tr>
      <w:tr w:rsidR="000C2F15" w:rsidRPr="001B5D6C" w:rsidTr="000C2F15">
        <w:tc>
          <w:tcPr>
            <w:cnfStyle w:val="001000000000" w:firstRow="0" w:lastRow="0" w:firstColumn="1" w:lastColumn="0" w:oddVBand="0" w:evenVBand="0" w:oddHBand="0" w:evenHBand="0" w:firstRowFirstColumn="0" w:firstRowLastColumn="0" w:lastRowFirstColumn="0" w:lastRowLastColumn="0"/>
            <w:tcW w:w="1668" w:type="dxa"/>
          </w:tcPr>
          <w:p w:rsidR="000C2F15" w:rsidRPr="00E55B9A" w:rsidRDefault="000C2F15" w:rsidP="000C2F15">
            <w:pPr>
              <w:numPr>
                <w:ilvl w:val="0"/>
                <w:numId w:val="25"/>
              </w:numPr>
            </w:pPr>
            <w:r>
              <w:t>Steel</w:t>
            </w:r>
          </w:p>
          <w:p w:rsidR="000C2F15" w:rsidRPr="00E55B9A" w:rsidRDefault="000C2F15" w:rsidP="000C2F15">
            <w:pPr>
              <w:numPr>
                <w:ilvl w:val="0"/>
                <w:numId w:val="25"/>
              </w:numPr>
            </w:pPr>
            <w:r>
              <w:t>April 2014</w:t>
            </w:r>
          </w:p>
          <w:p w:rsidR="000C2F15" w:rsidRPr="00E55B9A" w:rsidRDefault="000C2F15" w:rsidP="000C2F15">
            <w:pPr>
              <w:numPr>
                <w:ilvl w:val="0"/>
                <w:numId w:val="25"/>
              </w:numPr>
            </w:pPr>
            <w:r>
              <w:t xml:space="preserve">February </w:t>
            </w:r>
            <w:r w:rsidRPr="00E55B9A">
              <w:t>201</w:t>
            </w:r>
            <w:r>
              <w:t>5</w:t>
            </w:r>
          </w:p>
          <w:p w:rsidR="000C2F15" w:rsidRPr="00E55B9A" w:rsidRDefault="000C2F15" w:rsidP="000C2F15">
            <w:pPr>
              <w:numPr>
                <w:ilvl w:val="0"/>
                <w:numId w:val="25"/>
              </w:numPr>
            </w:pPr>
            <w:r w:rsidRPr="00E55B9A">
              <w:t>Difference (actual)</w:t>
            </w:r>
          </w:p>
          <w:p w:rsidR="000C2F15" w:rsidRPr="00E55B9A" w:rsidRDefault="000C2F15" w:rsidP="000C2F15">
            <w:pPr>
              <w:numPr>
                <w:ilvl w:val="0"/>
                <w:numId w:val="25"/>
              </w:numPr>
            </w:pPr>
            <w:r w:rsidRPr="00E55B9A">
              <w:t>Difference (%)</w:t>
            </w:r>
          </w:p>
        </w:tc>
        <w:tc>
          <w:tcPr>
            <w:tcW w:w="1259" w:type="dxa"/>
            <w:vAlign w:val="top"/>
          </w:tcPr>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0.98</w:t>
            </w: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9.2</w:t>
            </w: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8.22</w:t>
            </w: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838.8</w:t>
            </w:r>
            <w:r w:rsidRPr="00E55B9A">
              <w:t>%</w:t>
            </w:r>
          </w:p>
        </w:tc>
        <w:tc>
          <w:tcPr>
            <w:tcW w:w="1441" w:type="dxa"/>
            <w:vAlign w:val="top"/>
          </w:tcPr>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-0.20</w:t>
            </w: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-1.3</w:t>
            </w: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-1.1</w:t>
            </w: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550.0</w:t>
            </w:r>
            <w:r w:rsidRPr="00E55B9A">
              <w:t>%</w:t>
            </w:r>
          </w:p>
        </w:tc>
        <w:tc>
          <w:tcPr>
            <w:tcW w:w="1441" w:type="dxa"/>
            <w:vAlign w:val="top"/>
          </w:tcPr>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7.96</w:t>
            </w: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3.7</w:t>
            </w: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-4.26</w:t>
            </w: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-53.5</w:t>
            </w:r>
            <w:r w:rsidRPr="00E55B9A">
              <w:t>%</w:t>
            </w:r>
          </w:p>
        </w:tc>
        <w:tc>
          <w:tcPr>
            <w:tcW w:w="1442" w:type="dxa"/>
            <w:vAlign w:val="top"/>
          </w:tcPr>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-8.87</w:t>
            </w: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3.7</w:t>
            </w: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12.57</w:t>
            </w: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-141.7</w:t>
            </w:r>
            <w:r w:rsidRPr="00E55B9A">
              <w:t>%</w:t>
            </w:r>
          </w:p>
        </w:tc>
        <w:tc>
          <w:tcPr>
            <w:tcW w:w="1442" w:type="dxa"/>
            <w:vAlign w:val="top"/>
          </w:tcPr>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-5.11</w:t>
            </w: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-11.1</w:t>
            </w: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-5.99</w:t>
            </w: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117.2</w:t>
            </w:r>
            <w:r w:rsidRPr="00E55B9A">
              <w:t>%</w:t>
            </w:r>
          </w:p>
        </w:tc>
      </w:tr>
      <w:tr w:rsidR="000C2F15" w:rsidRPr="001B5D6C" w:rsidTr="000C2F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0C2F15" w:rsidRDefault="000C2F15" w:rsidP="000C2F15">
            <w:pPr>
              <w:numPr>
                <w:ilvl w:val="0"/>
                <w:numId w:val="25"/>
              </w:numPr>
            </w:pPr>
            <w:r>
              <w:t>Plastic</w:t>
            </w:r>
          </w:p>
          <w:p w:rsidR="000C2F15" w:rsidRPr="00E55B9A" w:rsidRDefault="000C2F15" w:rsidP="000C2F15">
            <w:pPr>
              <w:numPr>
                <w:ilvl w:val="0"/>
                <w:numId w:val="25"/>
              </w:numPr>
            </w:pPr>
            <w:r>
              <w:t>April 2014</w:t>
            </w:r>
          </w:p>
          <w:p w:rsidR="000C2F15" w:rsidRPr="00E55B9A" w:rsidRDefault="000C2F15" w:rsidP="000C2F15">
            <w:pPr>
              <w:numPr>
                <w:ilvl w:val="0"/>
                <w:numId w:val="25"/>
              </w:numPr>
            </w:pPr>
            <w:r>
              <w:t xml:space="preserve">February </w:t>
            </w:r>
            <w:r w:rsidRPr="00E55B9A">
              <w:t>201</w:t>
            </w:r>
            <w:r>
              <w:t>5</w:t>
            </w:r>
          </w:p>
          <w:p w:rsidR="000C2F15" w:rsidRPr="00E55B9A" w:rsidRDefault="000C2F15" w:rsidP="000C2F15">
            <w:pPr>
              <w:numPr>
                <w:ilvl w:val="0"/>
                <w:numId w:val="25"/>
              </w:numPr>
            </w:pPr>
            <w:r w:rsidRPr="00E55B9A">
              <w:t>Difference (actual)</w:t>
            </w:r>
          </w:p>
          <w:p w:rsidR="000C2F15" w:rsidRPr="00E55B9A" w:rsidRDefault="000C2F15" w:rsidP="000C2F15">
            <w:pPr>
              <w:numPr>
                <w:ilvl w:val="0"/>
                <w:numId w:val="25"/>
              </w:numPr>
            </w:pPr>
            <w:r w:rsidRPr="00E55B9A">
              <w:t>Difference (%)</w:t>
            </w:r>
          </w:p>
        </w:tc>
        <w:tc>
          <w:tcPr>
            <w:tcW w:w="1259" w:type="dxa"/>
            <w:vAlign w:val="top"/>
          </w:tcPr>
          <w:p w:rsidR="000C2F15" w:rsidRPr="00E55B9A" w:rsidRDefault="000C2F15" w:rsidP="000C2F15">
            <w:pPr>
              <w:numPr>
                <w:ilvl w:val="0"/>
                <w:numId w:val="25"/>
              </w:numPr>
              <w:cnfStyle w:val="000000010000" w:firstRow="0" w:lastRow="0" w:firstColumn="0" w:lastColumn="0" w:oddVBand="0" w:evenVBand="0" w:oddHBand="0" w:evenHBand="1" w:firstRowFirstColumn="0" w:firstRowLastColumn="0" w:lastRowFirstColumn="0" w:lastRowLastColumn="0"/>
            </w:pPr>
          </w:p>
          <w:p w:rsidR="000C2F15" w:rsidRPr="00E55B9A" w:rsidRDefault="000C2F15" w:rsidP="000C2F15">
            <w:pPr>
              <w:numPr>
                <w:ilvl w:val="0"/>
                <w:numId w:val="25"/>
              </w:numPr>
              <w:cnfStyle w:val="000000010000" w:firstRow="0" w:lastRow="0" w:firstColumn="0" w:lastColumn="0" w:oddVBand="0" w:evenVBand="0" w:oddHBand="0" w:evenHBand="1" w:firstRowFirstColumn="0" w:firstRowLastColumn="0" w:lastRowFirstColumn="0" w:lastRowLastColumn="0"/>
            </w:pPr>
            <w:r>
              <w:t>-1.08</w:t>
            </w:r>
          </w:p>
          <w:p w:rsidR="000C2F15" w:rsidRPr="00E55B9A" w:rsidRDefault="000C2F15" w:rsidP="000C2F15">
            <w:pPr>
              <w:numPr>
                <w:ilvl w:val="0"/>
                <w:numId w:val="25"/>
              </w:numPr>
              <w:cnfStyle w:val="000000010000" w:firstRow="0" w:lastRow="0" w:firstColumn="0" w:lastColumn="0" w:oddVBand="0" w:evenVBand="0" w:oddHBand="0" w:evenHBand="1" w:firstRowFirstColumn="0" w:firstRowLastColumn="0" w:lastRowFirstColumn="0" w:lastRowLastColumn="0"/>
            </w:pPr>
            <w:r>
              <w:t>0.2</w:t>
            </w:r>
          </w:p>
          <w:p w:rsidR="000C2F15" w:rsidRPr="00E55B9A" w:rsidRDefault="000C2F15" w:rsidP="000C2F15">
            <w:pPr>
              <w:numPr>
                <w:ilvl w:val="0"/>
                <w:numId w:val="25"/>
              </w:numPr>
              <w:cnfStyle w:val="000000010000" w:firstRow="0" w:lastRow="0" w:firstColumn="0" w:lastColumn="0" w:oddVBand="0" w:evenVBand="0" w:oddHBand="0" w:evenHBand="1" w:firstRowFirstColumn="0" w:firstRowLastColumn="0" w:lastRowFirstColumn="0" w:lastRowLastColumn="0"/>
            </w:pPr>
            <w:r>
              <w:t>1.28</w:t>
            </w:r>
          </w:p>
          <w:p w:rsidR="000C2F15" w:rsidRPr="00E55B9A" w:rsidRDefault="000C2F15" w:rsidP="000C2F15">
            <w:pPr>
              <w:numPr>
                <w:ilvl w:val="0"/>
                <w:numId w:val="25"/>
              </w:numPr>
              <w:cnfStyle w:val="000000010000" w:firstRow="0" w:lastRow="0" w:firstColumn="0" w:lastColumn="0" w:oddVBand="0" w:evenVBand="0" w:oddHBand="0" w:evenHBand="1" w:firstRowFirstColumn="0" w:firstRowLastColumn="0" w:lastRowFirstColumn="0" w:lastRowLastColumn="0"/>
            </w:pPr>
            <w:r>
              <w:t>-118.5</w:t>
            </w:r>
            <w:r w:rsidRPr="00E55B9A">
              <w:t>%</w:t>
            </w:r>
          </w:p>
        </w:tc>
        <w:tc>
          <w:tcPr>
            <w:tcW w:w="1441" w:type="dxa"/>
            <w:vAlign w:val="top"/>
          </w:tcPr>
          <w:p w:rsidR="000C2F15" w:rsidRPr="00E55B9A" w:rsidRDefault="000C2F15" w:rsidP="000C2F15">
            <w:pPr>
              <w:numPr>
                <w:ilvl w:val="0"/>
                <w:numId w:val="25"/>
              </w:numPr>
              <w:cnfStyle w:val="000000010000" w:firstRow="0" w:lastRow="0" w:firstColumn="0" w:lastColumn="0" w:oddVBand="0" w:evenVBand="0" w:oddHBand="0" w:evenHBand="1" w:firstRowFirstColumn="0" w:firstRowLastColumn="0" w:lastRowFirstColumn="0" w:lastRowLastColumn="0"/>
            </w:pPr>
          </w:p>
          <w:p w:rsidR="000C2F15" w:rsidRPr="00E55B9A" w:rsidRDefault="000C2F15" w:rsidP="000C2F15">
            <w:pPr>
              <w:numPr>
                <w:ilvl w:val="0"/>
                <w:numId w:val="25"/>
              </w:numPr>
              <w:cnfStyle w:val="000000010000" w:firstRow="0" w:lastRow="0" w:firstColumn="0" w:lastColumn="0" w:oddVBand="0" w:evenVBand="0" w:oddHBand="0" w:evenHBand="1" w:firstRowFirstColumn="0" w:firstRowLastColumn="0" w:lastRowFirstColumn="0" w:lastRowLastColumn="0"/>
            </w:pPr>
            <w:r>
              <w:t>-0.22</w:t>
            </w:r>
          </w:p>
          <w:p w:rsidR="000C2F15" w:rsidRPr="00E55B9A" w:rsidRDefault="000C2F15" w:rsidP="000C2F15">
            <w:pPr>
              <w:numPr>
                <w:ilvl w:val="0"/>
                <w:numId w:val="25"/>
              </w:numPr>
              <w:cnfStyle w:val="000000010000" w:firstRow="0" w:lastRow="0" w:firstColumn="0" w:lastColumn="0" w:oddVBand="0" w:evenVBand="0" w:oddHBand="0" w:evenHBand="1" w:firstRowFirstColumn="0" w:firstRowLastColumn="0" w:lastRowFirstColumn="0" w:lastRowLastColumn="0"/>
            </w:pPr>
            <w:r>
              <w:t>1.4</w:t>
            </w:r>
          </w:p>
          <w:p w:rsidR="000C2F15" w:rsidRPr="00E55B9A" w:rsidRDefault="000C2F15" w:rsidP="000C2F15">
            <w:pPr>
              <w:numPr>
                <w:ilvl w:val="0"/>
                <w:numId w:val="25"/>
              </w:numPr>
              <w:cnfStyle w:val="000000010000" w:firstRow="0" w:lastRow="0" w:firstColumn="0" w:lastColumn="0" w:oddVBand="0" w:evenVBand="0" w:oddHBand="0" w:evenHBand="1" w:firstRowFirstColumn="0" w:firstRowLastColumn="0" w:lastRowFirstColumn="0" w:lastRowLastColumn="0"/>
            </w:pPr>
            <w:r>
              <w:t>1.62</w:t>
            </w:r>
          </w:p>
          <w:p w:rsidR="000C2F15" w:rsidRPr="00E55B9A" w:rsidRDefault="000C2F15" w:rsidP="000C2F15">
            <w:pPr>
              <w:numPr>
                <w:ilvl w:val="0"/>
                <w:numId w:val="25"/>
              </w:numPr>
              <w:cnfStyle w:val="000000010000" w:firstRow="0" w:lastRow="0" w:firstColumn="0" w:lastColumn="0" w:oddVBand="0" w:evenVBand="0" w:oddHBand="0" w:evenHBand="1" w:firstRowFirstColumn="0" w:firstRowLastColumn="0" w:lastRowFirstColumn="0" w:lastRowLastColumn="0"/>
            </w:pPr>
            <w:r>
              <w:t>-736.4</w:t>
            </w:r>
            <w:r w:rsidRPr="00E55B9A">
              <w:t>%</w:t>
            </w:r>
          </w:p>
        </w:tc>
        <w:tc>
          <w:tcPr>
            <w:tcW w:w="1441" w:type="dxa"/>
            <w:vAlign w:val="top"/>
          </w:tcPr>
          <w:p w:rsidR="000C2F15" w:rsidRPr="00E55B9A" w:rsidRDefault="000C2F15" w:rsidP="000C2F15">
            <w:pPr>
              <w:numPr>
                <w:ilvl w:val="0"/>
                <w:numId w:val="25"/>
              </w:numPr>
              <w:cnfStyle w:val="000000010000" w:firstRow="0" w:lastRow="0" w:firstColumn="0" w:lastColumn="0" w:oddVBand="0" w:evenVBand="0" w:oddHBand="0" w:evenHBand="1" w:firstRowFirstColumn="0" w:firstRowLastColumn="0" w:lastRowFirstColumn="0" w:lastRowLastColumn="0"/>
            </w:pPr>
          </w:p>
          <w:p w:rsidR="000C2F15" w:rsidRPr="00E55B9A" w:rsidRDefault="000C2F15" w:rsidP="000C2F15">
            <w:pPr>
              <w:numPr>
                <w:ilvl w:val="0"/>
                <w:numId w:val="25"/>
              </w:numPr>
              <w:cnfStyle w:val="000000010000" w:firstRow="0" w:lastRow="0" w:firstColumn="0" w:lastColumn="0" w:oddVBand="0" w:evenVBand="0" w:oddHBand="0" w:evenHBand="1" w:firstRowFirstColumn="0" w:firstRowLastColumn="0" w:lastRowFirstColumn="0" w:lastRowLastColumn="0"/>
            </w:pPr>
            <w:r>
              <w:t>6.49</w:t>
            </w:r>
          </w:p>
          <w:p w:rsidR="000C2F15" w:rsidRPr="00E55B9A" w:rsidRDefault="000C2F15" w:rsidP="000C2F15">
            <w:pPr>
              <w:numPr>
                <w:ilvl w:val="0"/>
                <w:numId w:val="25"/>
              </w:numPr>
              <w:cnfStyle w:val="000000010000" w:firstRow="0" w:lastRow="0" w:firstColumn="0" w:lastColumn="0" w:oddVBand="0" w:evenVBand="0" w:oddHBand="0" w:evenHBand="1" w:firstRowFirstColumn="0" w:firstRowLastColumn="0" w:lastRowFirstColumn="0" w:lastRowLastColumn="0"/>
            </w:pPr>
            <w:r>
              <w:t>4.2</w:t>
            </w:r>
          </w:p>
          <w:p w:rsidR="000C2F15" w:rsidRPr="00E55B9A" w:rsidRDefault="000C2F15" w:rsidP="000C2F15">
            <w:pPr>
              <w:numPr>
                <w:ilvl w:val="0"/>
                <w:numId w:val="25"/>
              </w:numPr>
              <w:cnfStyle w:val="000000010000" w:firstRow="0" w:lastRow="0" w:firstColumn="0" w:lastColumn="0" w:oddVBand="0" w:evenVBand="0" w:oddHBand="0" w:evenHBand="1" w:firstRowFirstColumn="0" w:firstRowLastColumn="0" w:lastRowFirstColumn="0" w:lastRowLastColumn="0"/>
            </w:pPr>
            <w:r>
              <w:t>-2.29</w:t>
            </w:r>
          </w:p>
          <w:p w:rsidR="000C2F15" w:rsidRPr="00E55B9A" w:rsidRDefault="000C2F15" w:rsidP="000C2F15">
            <w:pPr>
              <w:numPr>
                <w:ilvl w:val="0"/>
                <w:numId w:val="25"/>
              </w:numPr>
              <w:cnfStyle w:val="000000010000" w:firstRow="0" w:lastRow="0" w:firstColumn="0" w:lastColumn="0" w:oddVBand="0" w:evenVBand="0" w:oddHBand="0" w:evenHBand="1" w:firstRowFirstColumn="0" w:firstRowLastColumn="0" w:lastRowFirstColumn="0" w:lastRowLastColumn="0"/>
            </w:pPr>
            <w:r>
              <w:t>-35.3</w:t>
            </w:r>
            <w:r w:rsidRPr="00E55B9A">
              <w:t>%</w:t>
            </w:r>
          </w:p>
        </w:tc>
        <w:tc>
          <w:tcPr>
            <w:tcW w:w="1442" w:type="dxa"/>
            <w:vAlign w:val="top"/>
          </w:tcPr>
          <w:p w:rsidR="000C2F15" w:rsidRPr="00E55B9A" w:rsidRDefault="000C2F15" w:rsidP="000C2F15">
            <w:pPr>
              <w:numPr>
                <w:ilvl w:val="0"/>
                <w:numId w:val="25"/>
              </w:numPr>
              <w:cnfStyle w:val="000000010000" w:firstRow="0" w:lastRow="0" w:firstColumn="0" w:lastColumn="0" w:oddVBand="0" w:evenVBand="0" w:oddHBand="0" w:evenHBand="1" w:firstRowFirstColumn="0" w:firstRowLastColumn="0" w:lastRowFirstColumn="0" w:lastRowLastColumn="0"/>
            </w:pPr>
          </w:p>
          <w:p w:rsidR="000C2F15" w:rsidRPr="00E55B9A" w:rsidRDefault="000C2F15" w:rsidP="000C2F15">
            <w:pPr>
              <w:numPr>
                <w:ilvl w:val="0"/>
                <w:numId w:val="25"/>
              </w:numPr>
              <w:cnfStyle w:val="000000010000" w:firstRow="0" w:lastRow="0" w:firstColumn="0" w:lastColumn="0" w:oddVBand="0" w:evenVBand="0" w:oddHBand="0" w:evenHBand="1" w:firstRowFirstColumn="0" w:firstRowLastColumn="0" w:lastRowFirstColumn="0" w:lastRowLastColumn="0"/>
            </w:pPr>
            <w:r>
              <w:t>-6.21</w:t>
            </w:r>
          </w:p>
          <w:p w:rsidR="000C2F15" w:rsidRPr="00E55B9A" w:rsidRDefault="000C2F15" w:rsidP="000C2F15">
            <w:pPr>
              <w:numPr>
                <w:ilvl w:val="0"/>
                <w:numId w:val="25"/>
              </w:numPr>
              <w:cnfStyle w:val="000000010000" w:firstRow="0" w:lastRow="0" w:firstColumn="0" w:lastColumn="0" w:oddVBand="0" w:evenVBand="0" w:oddHBand="0" w:evenHBand="1" w:firstRowFirstColumn="0" w:firstRowLastColumn="0" w:lastRowFirstColumn="0" w:lastRowLastColumn="0"/>
            </w:pPr>
            <w:r>
              <w:t>3.1</w:t>
            </w:r>
          </w:p>
          <w:p w:rsidR="000C2F15" w:rsidRPr="00E55B9A" w:rsidRDefault="000C2F15" w:rsidP="000C2F15">
            <w:pPr>
              <w:numPr>
                <w:ilvl w:val="0"/>
                <w:numId w:val="25"/>
              </w:numPr>
              <w:cnfStyle w:val="000000010000" w:firstRow="0" w:lastRow="0" w:firstColumn="0" w:lastColumn="0" w:oddVBand="0" w:evenVBand="0" w:oddHBand="0" w:evenHBand="1" w:firstRowFirstColumn="0" w:firstRowLastColumn="0" w:lastRowFirstColumn="0" w:lastRowLastColumn="0"/>
            </w:pPr>
            <w:r>
              <w:t>9.31</w:t>
            </w:r>
          </w:p>
          <w:p w:rsidR="000C2F15" w:rsidRPr="00E55B9A" w:rsidRDefault="000C2F15" w:rsidP="000C2F15">
            <w:pPr>
              <w:numPr>
                <w:ilvl w:val="0"/>
                <w:numId w:val="25"/>
              </w:numPr>
              <w:cnfStyle w:val="000000010000" w:firstRow="0" w:lastRow="0" w:firstColumn="0" w:lastColumn="0" w:oddVBand="0" w:evenVBand="0" w:oddHBand="0" w:evenHBand="1" w:firstRowFirstColumn="0" w:firstRowLastColumn="0" w:lastRowFirstColumn="0" w:lastRowLastColumn="0"/>
            </w:pPr>
            <w:r>
              <w:t>-149.9</w:t>
            </w:r>
            <w:r w:rsidRPr="00E55B9A">
              <w:t>%</w:t>
            </w:r>
          </w:p>
        </w:tc>
        <w:tc>
          <w:tcPr>
            <w:tcW w:w="1442" w:type="dxa"/>
            <w:vAlign w:val="top"/>
          </w:tcPr>
          <w:p w:rsidR="000C2F15" w:rsidRPr="00E55B9A" w:rsidRDefault="000C2F15" w:rsidP="000C2F15">
            <w:pPr>
              <w:numPr>
                <w:ilvl w:val="0"/>
                <w:numId w:val="25"/>
              </w:numPr>
              <w:cnfStyle w:val="000000010000" w:firstRow="0" w:lastRow="0" w:firstColumn="0" w:lastColumn="0" w:oddVBand="0" w:evenVBand="0" w:oddHBand="0" w:evenHBand="1" w:firstRowFirstColumn="0" w:firstRowLastColumn="0" w:lastRowFirstColumn="0" w:lastRowLastColumn="0"/>
            </w:pPr>
          </w:p>
          <w:p w:rsidR="000C2F15" w:rsidRPr="00E55B9A" w:rsidRDefault="000C2F15" w:rsidP="000C2F15">
            <w:pPr>
              <w:numPr>
                <w:ilvl w:val="0"/>
                <w:numId w:val="25"/>
              </w:numPr>
              <w:cnfStyle w:val="000000010000" w:firstRow="0" w:lastRow="0" w:firstColumn="0" w:lastColumn="0" w:oddVBand="0" w:evenVBand="0" w:oddHBand="0" w:evenHBand="1" w:firstRowFirstColumn="0" w:firstRowLastColumn="0" w:lastRowFirstColumn="0" w:lastRowLastColumn="0"/>
            </w:pPr>
            <w:r>
              <w:t>-3.56</w:t>
            </w:r>
          </w:p>
          <w:p w:rsidR="000C2F15" w:rsidRPr="00E55B9A" w:rsidRDefault="000C2F15" w:rsidP="000C2F15">
            <w:pPr>
              <w:numPr>
                <w:ilvl w:val="0"/>
                <w:numId w:val="25"/>
              </w:numPr>
              <w:cnfStyle w:val="000000010000" w:firstRow="0" w:lastRow="0" w:firstColumn="0" w:lastColumn="0" w:oddVBand="0" w:evenVBand="0" w:oddHBand="0" w:evenHBand="1" w:firstRowFirstColumn="0" w:firstRowLastColumn="0" w:lastRowFirstColumn="0" w:lastRowLastColumn="0"/>
            </w:pPr>
            <w:r>
              <w:t>-7.6</w:t>
            </w:r>
          </w:p>
          <w:p w:rsidR="000C2F15" w:rsidRPr="00E55B9A" w:rsidRDefault="000C2F15" w:rsidP="000C2F15">
            <w:pPr>
              <w:numPr>
                <w:ilvl w:val="0"/>
                <w:numId w:val="25"/>
              </w:numPr>
              <w:cnfStyle w:val="000000010000" w:firstRow="0" w:lastRow="0" w:firstColumn="0" w:lastColumn="0" w:oddVBand="0" w:evenVBand="0" w:oddHBand="0" w:evenHBand="1" w:firstRowFirstColumn="0" w:firstRowLastColumn="0" w:lastRowFirstColumn="0" w:lastRowLastColumn="0"/>
            </w:pPr>
            <w:r>
              <w:t>-4.04</w:t>
            </w:r>
          </w:p>
          <w:p w:rsidR="000C2F15" w:rsidRPr="00E55B9A" w:rsidRDefault="000C2F15" w:rsidP="000C2F15">
            <w:pPr>
              <w:numPr>
                <w:ilvl w:val="0"/>
                <w:numId w:val="25"/>
              </w:numPr>
              <w:cnfStyle w:val="000000010000" w:firstRow="0" w:lastRow="0" w:firstColumn="0" w:lastColumn="0" w:oddVBand="0" w:evenVBand="0" w:oddHBand="0" w:evenHBand="1" w:firstRowFirstColumn="0" w:firstRowLastColumn="0" w:lastRowFirstColumn="0" w:lastRowLastColumn="0"/>
            </w:pPr>
            <w:r>
              <w:t>113.5</w:t>
            </w:r>
            <w:r w:rsidRPr="00E55B9A">
              <w:t>%</w:t>
            </w:r>
          </w:p>
        </w:tc>
      </w:tr>
      <w:tr w:rsidR="000C2F15" w:rsidRPr="001B5D6C" w:rsidTr="000C2F15">
        <w:tc>
          <w:tcPr>
            <w:cnfStyle w:val="001000000000" w:firstRow="0" w:lastRow="0" w:firstColumn="1" w:lastColumn="0" w:oddVBand="0" w:evenVBand="0" w:oddHBand="0" w:evenHBand="0" w:firstRowFirstColumn="0" w:firstRowLastColumn="0" w:lastRowFirstColumn="0" w:lastRowLastColumn="0"/>
            <w:tcW w:w="1668" w:type="dxa"/>
          </w:tcPr>
          <w:p w:rsidR="000C2F15" w:rsidRPr="00E55B9A" w:rsidRDefault="000C2F15" w:rsidP="000C2F15">
            <w:pPr>
              <w:numPr>
                <w:ilvl w:val="0"/>
                <w:numId w:val="25"/>
              </w:numPr>
            </w:pPr>
            <w:r>
              <w:t>Concrete</w:t>
            </w:r>
          </w:p>
          <w:p w:rsidR="000C2F15" w:rsidRPr="00E55B9A" w:rsidRDefault="000C2F15" w:rsidP="000C2F15">
            <w:pPr>
              <w:numPr>
                <w:ilvl w:val="0"/>
                <w:numId w:val="25"/>
              </w:numPr>
            </w:pPr>
            <w:r>
              <w:t>April 2014</w:t>
            </w:r>
          </w:p>
          <w:p w:rsidR="000C2F15" w:rsidRPr="00E55B9A" w:rsidRDefault="000C2F15" w:rsidP="000C2F15">
            <w:pPr>
              <w:numPr>
                <w:ilvl w:val="0"/>
                <w:numId w:val="25"/>
              </w:numPr>
            </w:pPr>
            <w:r>
              <w:t xml:space="preserve">February </w:t>
            </w:r>
            <w:r w:rsidRPr="00E55B9A">
              <w:t>201</w:t>
            </w:r>
            <w:r>
              <w:t>5</w:t>
            </w:r>
          </w:p>
          <w:p w:rsidR="000C2F15" w:rsidRPr="00E55B9A" w:rsidRDefault="000C2F15" w:rsidP="000C2F15">
            <w:pPr>
              <w:numPr>
                <w:ilvl w:val="0"/>
                <w:numId w:val="25"/>
              </w:numPr>
            </w:pPr>
            <w:r w:rsidRPr="00E55B9A">
              <w:t>Difference (actual)</w:t>
            </w:r>
          </w:p>
          <w:p w:rsidR="000C2F15" w:rsidRPr="00E55B9A" w:rsidRDefault="000C2F15" w:rsidP="000C2F15">
            <w:pPr>
              <w:numPr>
                <w:ilvl w:val="0"/>
                <w:numId w:val="25"/>
              </w:numPr>
            </w:pPr>
            <w:r w:rsidRPr="00E55B9A">
              <w:t>Difference (%)</w:t>
            </w:r>
          </w:p>
        </w:tc>
        <w:tc>
          <w:tcPr>
            <w:tcW w:w="1259" w:type="dxa"/>
            <w:vAlign w:val="top"/>
          </w:tcPr>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4.5</w:t>
            </w: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1.9</w:t>
            </w: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-2.6</w:t>
            </w: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-57.8</w:t>
            </w:r>
            <w:r w:rsidRPr="00E55B9A">
              <w:t>%</w:t>
            </w:r>
          </w:p>
        </w:tc>
        <w:tc>
          <w:tcPr>
            <w:tcW w:w="1441" w:type="dxa"/>
            <w:vAlign w:val="top"/>
          </w:tcPr>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-0.5</w:t>
            </w: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2.6</w:t>
            </w: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3.1</w:t>
            </w: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-620.0</w:t>
            </w:r>
            <w:r w:rsidRPr="00E55B9A">
              <w:t>%</w:t>
            </w:r>
          </w:p>
        </w:tc>
        <w:tc>
          <w:tcPr>
            <w:tcW w:w="1441" w:type="dxa"/>
            <w:vAlign w:val="top"/>
          </w:tcPr>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-2.0</w:t>
            </w: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-0.7</w:t>
            </w: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1.3</w:t>
            </w: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-65.0</w:t>
            </w:r>
            <w:r w:rsidRPr="00E55B9A">
              <w:t>%</w:t>
            </w:r>
          </w:p>
        </w:tc>
        <w:tc>
          <w:tcPr>
            <w:tcW w:w="1442" w:type="dxa"/>
            <w:vAlign w:val="top"/>
          </w:tcPr>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-1.1</w:t>
            </w: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-2.0</w:t>
            </w: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-0.9</w:t>
            </w: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81.8</w:t>
            </w:r>
            <w:r w:rsidRPr="00E55B9A">
              <w:t>%</w:t>
            </w:r>
          </w:p>
        </w:tc>
        <w:tc>
          <w:tcPr>
            <w:tcW w:w="1442" w:type="dxa"/>
            <w:vAlign w:val="top"/>
          </w:tcPr>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0.5</w:t>
            </w: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-1.3</w:t>
            </w: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-1.8</w:t>
            </w:r>
          </w:p>
          <w:p w:rsidR="000C2F15" w:rsidRPr="00E55B9A" w:rsidRDefault="000C2F15" w:rsidP="000C2F15">
            <w:pPr>
              <w:numPr>
                <w:ilvl w:val="0"/>
                <w:numId w:val="25"/>
              </w:numPr>
              <w:cnfStyle w:val="000000000000" w:firstRow="0" w:lastRow="0" w:firstColumn="0" w:lastColumn="0" w:oddVBand="0" w:evenVBand="0" w:oddHBand="0" w:evenHBand="0" w:firstRowFirstColumn="0" w:firstRowLastColumn="0" w:lastRowFirstColumn="0" w:lastRowLastColumn="0"/>
            </w:pPr>
            <w:r>
              <w:t>-360.0</w:t>
            </w:r>
            <w:r w:rsidRPr="00E55B9A">
              <w:t>%</w:t>
            </w:r>
          </w:p>
        </w:tc>
      </w:tr>
    </w:tbl>
    <w:p w:rsidR="000C2F15" w:rsidRPr="000C2F15" w:rsidRDefault="000C2F15" w:rsidP="000C2F15">
      <w:pPr>
        <w:pStyle w:val="AERtablesource"/>
      </w:pPr>
      <w:r w:rsidRPr="00E55B9A">
        <w:t>Source:</w:t>
      </w:r>
      <w:r w:rsidRPr="00E55B9A">
        <w:tab/>
      </w:r>
      <w:r w:rsidRPr="000C2F15">
        <w:t xml:space="preserve">JGN, </w:t>
      </w:r>
      <w:r w:rsidRPr="000C2F15">
        <w:rPr>
          <w:rStyle w:val="AERtextitalic"/>
        </w:rPr>
        <w:t>2015-20 Access Arrangement Information (Public)</w:t>
      </w:r>
      <w:r w:rsidRPr="000C2F15">
        <w:t xml:space="preserve">, 30 June 2014, p. 68 and JGN, </w:t>
      </w:r>
      <w:r w:rsidRPr="000C2F15">
        <w:rPr>
          <w:rStyle w:val="AERtextitalic"/>
        </w:rPr>
        <w:t>Revised Access Arrangement Proposal,</w:t>
      </w:r>
      <w:r w:rsidRPr="000C2F15">
        <w:t xml:space="preserve"> </w:t>
      </w:r>
      <w:r w:rsidRPr="000C2F15">
        <w:rPr>
          <w:rStyle w:val="AERtextitalic"/>
        </w:rPr>
        <w:t xml:space="preserve">Appendix 5.1 BIS Shrapnel Updated cost escalators for JGN (Public), </w:t>
      </w:r>
      <w:r w:rsidRPr="000C2F15">
        <w:t xml:space="preserve">February 2015, p. </w:t>
      </w:r>
      <w:proofErr w:type="gramStart"/>
      <w:r w:rsidRPr="000C2F15">
        <w:t>iv</w:t>
      </w:r>
      <w:proofErr w:type="gramEnd"/>
      <w:r w:rsidRPr="000C2F15">
        <w:t>.</w:t>
      </w:r>
    </w:p>
    <w:p w:rsidR="000C2F15" w:rsidRDefault="000C2F15" w:rsidP="000C2F15">
      <w:r w:rsidRPr="00363CC8">
        <w:t xml:space="preserve">As table </w:t>
      </w:r>
      <w:r>
        <w:t>A</w:t>
      </w:r>
      <w:r w:rsidRPr="00363CC8">
        <w:t>-</w:t>
      </w:r>
      <w:r>
        <w:t>2</w:t>
      </w:r>
      <w:r w:rsidRPr="00363CC8">
        <w:t xml:space="preserve"> shows, there is considerable variation between </w:t>
      </w:r>
      <w:r>
        <w:t>BIS Shrapnel's</w:t>
      </w:r>
      <w:r w:rsidRPr="00363CC8">
        <w:t xml:space="preserve"> commodity cost escalation forecasts between </w:t>
      </w:r>
      <w:r>
        <w:t>its</w:t>
      </w:r>
      <w:r w:rsidRPr="00363CC8">
        <w:t xml:space="preserve"> </w:t>
      </w:r>
      <w:r>
        <w:t xml:space="preserve">April 2014 </w:t>
      </w:r>
      <w:r w:rsidRPr="00363CC8">
        <w:t xml:space="preserve">and </w:t>
      </w:r>
      <w:r>
        <w:t>February</w:t>
      </w:r>
      <w:r w:rsidRPr="00363CC8">
        <w:t xml:space="preserve"> 201</w:t>
      </w:r>
      <w:r>
        <w:t>5</w:t>
      </w:r>
      <w:r w:rsidRPr="00363CC8">
        <w:t xml:space="preserve"> reports. </w:t>
      </w:r>
      <w:r>
        <w:t>All materials</w:t>
      </w:r>
      <w:r w:rsidRPr="00363CC8">
        <w:t xml:space="preserve"> showed </w:t>
      </w:r>
      <w:r>
        <w:t xml:space="preserve">very </w:t>
      </w:r>
      <w:r w:rsidRPr="00363CC8">
        <w:t xml:space="preserve">significant forecast variation between the two periods. </w:t>
      </w:r>
    </w:p>
    <w:p w:rsidR="000C2F15" w:rsidRPr="00363CC8" w:rsidRDefault="000C2F15" w:rsidP="000C2F15">
      <w:r w:rsidRPr="00363CC8">
        <w:t xml:space="preserve">The variation in </w:t>
      </w:r>
      <w:r>
        <w:t>BIS Shrapnel's</w:t>
      </w:r>
      <w:r w:rsidRPr="00363CC8">
        <w:t xml:space="preserve"> commodity cost escalation forecasts between </w:t>
      </w:r>
      <w:r>
        <w:t>April 2014</w:t>
      </w:r>
      <w:r w:rsidRPr="00363CC8">
        <w:t xml:space="preserve"> and </w:t>
      </w:r>
      <w:r>
        <w:t>February</w:t>
      </w:r>
      <w:r w:rsidRPr="00363CC8">
        <w:t xml:space="preserve"> 201</w:t>
      </w:r>
      <w:r>
        <w:t>5</w:t>
      </w:r>
      <w:r w:rsidRPr="00363CC8">
        <w:t xml:space="preserve"> demonstrates the </w:t>
      </w:r>
      <w:r>
        <w:t xml:space="preserve">significant </w:t>
      </w:r>
      <w:r w:rsidRPr="00363CC8">
        <w:t xml:space="preserve">uncertainty in the modelling of </w:t>
      </w:r>
      <w:r w:rsidRPr="00363CC8">
        <w:lastRenderedPageBreak/>
        <w:t xml:space="preserve">material input cost escalators to reliably and accurately estimate the prices of intermediate outputs used by service providers to provide network services. </w:t>
      </w:r>
      <w:r>
        <w:t xml:space="preserve">This supports our view that JGN's </w:t>
      </w:r>
      <w:r>
        <w:rPr>
          <w:rStyle w:val="AERbody"/>
        </w:rPr>
        <w:t>forecast</w:t>
      </w:r>
      <w:r w:rsidRPr="00D434F1">
        <w:rPr>
          <w:rStyle w:val="AERbody"/>
        </w:rPr>
        <w:t xml:space="preserve"> real material cost escalators </w:t>
      </w:r>
      <w:r w:rsidRPr="003B6C74">
        <w:t xml:space="preserve">are </w:t>
      </w:r>
      <w:r>
        <w:t xml:space="preserve">not </w:t>
      </w:r>
      <w:r w:rsidRPr="003B6C74">
        <w:t xml:space="preserve">arrived at on a reasonable basis, and are </w:t>
      </w:r>
      <w:r>
        <w:t xml:space="preserve">not </w:t>
      </w:r>
      <w:r w:rsidRPr="003B6C74">
        <w:t>the best forecast possible in the circumstances</w:t>
      </w:r>
      <w:r w:rsidRPr="003B6C74">
        <w:rPr>
          <w:rStyle w:val="AERsuperscript"/>
        </w:rPr>
        <w:footnoteReference w:id="171"/>
      </w:r>
      <w:r w:rsidRPr="003B6C74">
        <w:t xml:space="preserve"> </w:t>
      </w:r>
      <w:r>
        <w:t xml:space="preserve">and do not </w:t>
      </w:r>
      <w:r>
        <w:rPr>
          <w:rStyle w:val="AERbody"/>
        </w:rPr>
        <w:t>meet the capital expenditure criteria</w:t>
      </w:r>
      <w:r w:rsidRPr="00D434F1">
        <w:rPr>
          <w:rStyle w:val="AERbody"/>
        </w:rPr>
        <w:t>.</w:t>
      </w:r>
      <w:r w:rsidRPr="00D434F1">
        <w:rPr>
          <w:rStyle w:val="AERsuperscript"/>
        </w:rPr>
        <w:footnoteReference w:id="172"/>
      </w:r>
      <w:r>
        <w:t xml:space="preserve"> </w:t>
      </w:r>
      <w:r w:rsidRPr="00363CC8">
        <w:t>Also, the commodity cost escalation forecasts would apply for the duration of the regulatory period, further amplifying the risk of commodity forecast error and subsequent impact on the accuracy of estimating the prices of network assets.</w:t>
      </w:r>
    </w:p>
    <w:p w:rsidR="000C2F15" w:rsidRPr="004146DB" w:rsidRDefault="000C2F15" w:rsidP="000C2F15">
      <w:pPr>
        <w:rPr>
          <w:rStyle w:val="AERtextitalic"/>
        </w:rPr>
      </w:pPr>
      <w:r>
        <w:rPr>
          <w:rStyle w:val="AERtextitalic"/>
        </w:rPr>
        <w:t>Link between forecast prices of commodities and asset prices</w:t>
      </w:r>
    </w:p>
    <w:p w:rsidR="000C2F15" w:rsidRPr="001B5D6C" w:rsidRDefault="000C2F15" w:rsidP="000C2F15">
      <w:r>
        <w:t xml:space="preserve">We consider that JGN has not provided </w:t>
      </w:r>
      <w:r w:rsidRPr="001B5D6C">
        <w:t xml:space="preserve">sufficient evidence to support how accurately </w:t>
      </w:r>
      <w:r>
        <w:t>its</w:t>
      </w:r>
      <w:r w:rsidRPr="001B5D6C">
        <w:t xml:space="preserve"> materials escalation model forecasts reflect changes in prices paid by </w:t>
      </w:r>
      <w:r>
        <w:t>JGN for its physical assets</w:t>
      </w:r>
      <w:r w:rsidRPr="001B5D6C">
        <w:t xml:space="preserve">. </w:t>
      </w:r>
    </w:p>
    <w:p w:rsidR="000C2F15" w:rsidRDefault="000C2F15" w:rsidP="000C2F15">
      <w:r>
        <w:t>As we stated in our draft decision, w</w:t>
      </w:r>
      <w:r w:rsidRPr="001B5D6C">
        <w:t xml:space="preserve">e </w:t>
      </w:r>
      <w:r>
        <w:t>consider</w:t>
      </w:r>
      <w:r w:rsidRPr="001B5D6C">
        <w:t xml:space="preserve"> that </w:t>
      </w:r>
      <w:r>
        <w:t>JGN's</w:t>
      </w:r>
      <w:r w:rsidRPr="001B5D6C">
        <w:t xml:space="preserve"> material input escalation model may not be representative of the full set of inputs or input choices impacting on changes in the prices of assets purchased by </w:t>
      </w:r>
      <w:r>
        <w:t xml:space="preserve">JGN </w:t>
      </w:r>
      <w:r w:rsidRPr="001B5D6C">
        <w:t>and may also be biased to the extent that it may include a selective subset of commodities that are forecast to increase in price during the 201</w:t>
      </w:r>
      <w:r>
        <w:t>5</w:t>
      </w:r>
      <w:r w:rsidRPr="001B5D6C">
        <w:t>-20</w:t>
      </w:r>
      <w:r>
        <w:t>20</w:t>
      </w:r>
      <w:r w:rsidRPr="001B5D6C">
        <w:t xml:space="preserve"> period.</w:t>
      </w:r>
      <w:r>
        <w:rPr>
          <w:rStyle w:val="FootnoteReference"/>
        </w:rPr>
        <w:footnoteReference w:id="173"/>
      </w:r>
      <w:r w:rsidRPr="001B5D6C">
        <w:t xml:space="preserve"> </w:t>
      </w:r>
      <w:r>
        <w:t>Therefore</w:t>
      </w:r>
      <w:r w:rsidRPr="001B5D6C">
        <w:t xml:space="preserve"> there may be some inputs which impact on the price of assets purchased by </w:t>
      </w:r>
      <w:r>
        <w:t xml:space="preserve">JGN </w:t>
      </w:r>
      <w:r w:rsidRPr="001B5D6C">
        <w:t xml:space="preserve">for its network business that are not included in </w:t>
      </w:r>
      <w:r>
        <w:t>its escalation</w:t>
      </w:r>
      <w:r w:rsidRPr="001B5D6C">
        <w:t xml:space="preserve"> model. One example of such an input may be the impact of design changes or components that are superseded and perform better or cost less through technological advances.</w:t>
      </w:r>
    </w:p>
    <w:p w:rsidR="000C2F15" w:rsidRPr="001B5D6C" w:rsidRDefault="000C2F15" w:rsidP="000C2F15">
      <w:r>
        <w:t>We also consider that</w:t>
      </w:r>
      <w:r w:rsidRPr="001B5D6C">
        <w:t xml:space="preserve"> the escalation of commodities such as aluminium are not necessarily the prices paid for aluminium equipment by manufacturers where the fabricated aluminium has gone through further stages of production than the refined aluminium that is traded on the LME. The value of the input escalation model is diminished by the extent that these value adding processes for each commodity are not captured by the model. </w:t>
      </w:r>
    </w:p>
    <w:p w:rsidR="000C2F15" w:rsidRPr="006C390E" w:rsidRDefault="000C2F15" w:rsidP="000C2F15">
      <w:pPr>
        <w:rPr>
          <w:rStyle w:val="AERtextitalic"/>
        </w:rPr>
      </w:pPr>
      <w:r w:rsidRPr="006C390E">
        <w:rPr>
          <w:rStyle w:val="AERtextitalic"/>
        </w:rPr>
        <w:t>Past practice</w:t>
      </w:r>
    </w:p>
    <w:p w:rsidR="000C2F15" w:rsidRPr="0027155C" w:rsidRDefault="000C2F15" w:rsidP="000C2F15">
      <w:r>
        <w:t>We recognise that our approach differs in some respects to our past practice. This</w:t>
      </w:r>
      <w:r w:rsidRPr="005E6281">
        <w:t xml:space="preserve"> is as a result </w:t>
      </w:r>
      <w:r>
        <w:t xml:space="preserve">of the development of our </w:t>
      </w:r>
      <w:r w:rsidRPr="001B5D6C">
        <w:t>Expenditure Forecast Assessment Guideline (Expenditure Guideline)</w:t>
      </w:r>
      <w:r>
        <w:t xml:space="preserve">. </w:t>
      </w:r>
      <w:r w:rsidRPr="0027155C">
        <w:t xml:space="preserve">As stated in our draft decision, we assessed </w:t>
      </w:r>
      <w:r>
        <w:t>JGN's</w:t>
      </w:r>
      <w:r w:rsidRPr="0027155C">
        <w:t xml:space="preserve"> proposed real material cost escalation based on our approach as set out in our Expenditure Guideline to assessing the input price modelling approach to forecast materials cost.</w:t>
      </w:r>
      <w:r w:rsidRPr="0027155C">
        <w:rPr>
          <w:rStyle w:val="AERsuperscript"/>
        </w:rPr>
        <w:footnoteReference w:id="174"/>
      </w:r>
      <w:r w:rsidRPr="0027155C">
        <w:t xml:space="preserve"> </w:t>
      </w:r>
      <w:r>
        <w:t>The Guideline was a result of changes made by the AEMC i</w:t>
      </w:r>
      <w:r w:rsidRPr="001B5D6C">
        <w:t>n 2012</w:t>
      </w:r>
      <w:r>
        <w:t xml:space="preserve"> as to</w:t>
      </w:r>
      <w:r w:rsidRPr="001B5D6C">
        <w:t xml:space="preserve"> how we </w:t>
      </w:r>
      <w:r>
        <w:t xml:space="preserve">are to </w:t>
      </w:r>
      <w:r w:rsidRPr="001B5D6C">
        <w:t xml:space="preserve">determine the total amount of revenue each electricity and gas network business can </w:t>
      </w:r>
      <w:r w:rsidRPr="001B5D6C">
        <w:lastRenderedPageBreak/>
        <w:t xml:space="preserve">earn. </w:t>
      </w:r>
      <w:r>
        <w:t>After extensive consultation with stakeholders in the development of the Expenditure Guideline, w</w:t>
      </w:r>
      <w:r w:rsidRPr="001B5D6C">
        <w:t xml:space="preserve">e consider that </w:t>
      </w:r>
      <w:r>
        <w:t>it</w:t>
      </w:r>
      <w:r w:rsidRPr="0027155C">
        <w:t xml:space="preserve"> marks a significant improvement in our approach to expenditure assessment. It reflects both a review of assessment techniques employed throughout our first round of network determinations and how these can be improved (</w:t>
      </w:r>
      <w:r>
        <w:t>for example,</w:t>
      </w:r>
      <w:r w:rsidRPr="0027155C">
        <w:t xml:space="preserve"> materials cost escalation). Most importantly, it also sets out a number of new assessment techniques</w:t>
      </w:r>
      <w:r>
        <w:t>.</w:t>
      </w:r>
      <w:r w:rsidRPr="0027155C">
        <w:t xml:space="preserve"> </w:t>
      </w:r>
    </w:p>
    <w:p w:rsidR="000C2F15" w:rsidRDefault="000C2F15" w:rsidP="000C2F15">
      <w:r w:rsidRPr="0027155C">
        <w:t xml:space="preserve">As we </w:t>
      </w:r>
      <w:r>
        <w:t>concluded</w:t>
      </w:r>
      <w:r w:rsidRPr="0027155C">
        <w:t xml:space="preserve"> in our draft decision, we considered that we had seen limited evidence to demonstrate that the commodity input weightings used by service providers to generate a forecast of the cost of material inputs have produced unbiased forecasts of the costs the service providers paid for manufactured materials.</w:t>
      </w:r>
      <w:r w:rsidRPr="0027155C">
        <w:rPr>
          <w:rStyle w:val="AERsuperscript"/>
        </w:rPr>
        <w:footnoteReference w:id="175"/>
      </w:r>
      <w:r w:rsidRPr="0027155C">
        <w:t xml:space="preserve"> We considered it important that such evidence be provided because the changes in the prices of manufactured materials are not solely influenced by the changes in the raw materials that are used. </w:t>
      </w:r>
    </w:p>
    <w:p w:rsidR="000C2F15" w:rsidRDefault="000C2F15" w:rsidP="000C2F15">
      <w:r>
        <w:t>We acknowledge JGN's concerns with respect to the difficulty in quantifying the relationship between final prices and the underlying inputs. However, the NGR require us to be satisfied that JGN's total forecast capex is arrived at on a reasonable basis and is the best possible forecast in the circumstances and that</w:t>
      </w:r>
      <w:r w:rsidRPr="004032C3">
        <w:t xml:space="preserve"> </w:t>
      </w:r>
      <w:r>
        <w:t>JGN's capital expenditure must be such as would be incurred by a prudent service provider acting efficiently to achieve the lowest sustainable cost of providing services.</w:t>
      </w:r>
      <w:r>
        <w:rPr>
          <w:rStyle w:val="FootnoteReference"/>
        </w:rPr>
        <w:footnoteReference w:id="176"/>
      </w:r>
      <w:r w:rsidRPr="0027155C">
        <w:t xml:space="preserve"> </w:t>
      </w:r>
      <w:r>
        <w:t>We consider that JGN's</w:t>
      </w:r>
      <w:r w:rsidRPr="0027155C">
        <w:t xml:space="preserve"> revised regulatory proposal does not include supporting data or information which demonstrates movements or inter</w:t>
      </w:r>
      <w:r>
        <w:t>-</w:t>
      </w:r>
      <w:r w:rsidRPr="0027155C">
        <w:t xml:space="preserve">linkages between changes in the input prices of commodities and the prices </w:t>
      </w:r>
      <w:r>
        <w:t xml:space="preserve">JGN </w:t>
      </w:r>
      <w:r w:rsidRPr="0027155C">
        <w:t xml:space="preserve">paid for physical inputs. </w:t>
      </w:r>
      <w:r>
        <w:t>JGN's</w:t>
      </w:r>
      <w:r w:rsidRPr="0027155C">
        <w:t xml:space="preserve"> </w:t>
      </w:r>
      <w:r>
        <w:t>capex input escalation</w:t>
      </w:r>
      <w:r w:rsidRPr="0027155C">
        <w:t xml:space="preserve"> model assumes a weighting of commodity inputs for each asset class but does not provide information which explains the basis for the weightings or that the weightings applied have produced unbiased forecasts of the costs of </w:t>
      </w:r>
      <w:r>
        <w:t xml:space="preserve">JGN's </w:t>
      </w:r>
      <w:r w:rsidRPr="0027155C">
        <w:t xml:space="preserve">assets. </w:t>
      </w:r>
      <w:r>
        <w:t xml:space="preserve">We consider it important that such evidence be provided because the changes in the prices of manufactured materials are not solely influenced by the changes in the raw materials that are used. </w:t>
      </w:r>
      <w:r w:rsidRPr="0027155C">
        <w:t>For these reasons, there is no basis on which we can conclude that the forecasts are</w:t>
      </w:r>
      <w:r>
        <w:t xml:space="preserve"> reliable and consistent with the requirements of the NGR</w:t>
      </w:r>
      <w:r w:rsidRPr="0027155C">
        <w:t xml:space="preserve">. </w:t>
      </w:r>
    </w:p>
    <w:p w:rsidR="000C2F15" w:rsidRPr="008111C7" w:rsidRDefault="000C2F15" w:rsidP="000C2F15">
      <w:pPr>
        <w:rPr>
          <w:rStyle w:val="Strong"/>
        </w:rPr>
      </w:pPr>
      <w:r w:rsidRPr="008111C7">
        <w:rPr>
          <w:rStyle w:val="Strong"/>
        </w:rPr>
        <w:t>Other factors affecting input cost prices</w:t>
      </w:r>
    </w:p>
    <w:p w:rsidR="000C2F15" w:rsidRDefault="000C2F15" w:rsidP="000C2F15">
      <w:r>
        <w:t>Consistent with o</w:t>
      </w:r>
      <w:r w:rsidRPr="008111C7">
        <w:t>ur draft decision</w:t>
      </w:r>
      <w:r>
        <w:t xml:space="preserve">, we consider </w:t>
      </w:r>
      <w:r w:rsidRPr="008111C7">
        <w:t xml:space="preserve">a number of factors impact on </w:t>
      </w:r>
      <w:r>
        <w:t>JGN's</w:t>
      </w:r>
      <w:r w:rsidRPr="008111C7">
        <w:t xml:space="preserve"> input costs, namely:</w:t>
      </w:r>
      <w:r w:rsidRPr="008111C7">
        <w:rPr>
          <w:rStyle w:val="AERsuperscript"/>
        </w:rPr>
        <w:footnoteReference w:id="177"/>
      </w:r>
    </w:p>
    <w:p w:rsidR="000C2F15" w:rsidRPr="00E508E8" w:rsidRDefault="000C2F15" w:rsidP="000C2F15">
      <w:pPr>
        <w:pStyle w:val="ListNumber"/>
      </w:pPr>
      <w:proofErr w:type="gramStart"/>
      <w:r w:rsidRPr="008111C7">
        <w:t>exogenous</w:t>
      </w:r>
      <w:proofErr w:type="gramEnd"/>
      <w:r w:rsidRPr="008111C7">
        <w:t xml:space="preserve"> factors which may impact on the accuracy and reliability of using commodity forecasts to predict input costs. Such factors include changes in technolog</w:t>
      </w:r>
      <w:r>
        <w:t>y</w:t>
      </w:r>
      <w:r w:rsidRPr="008111C7">
        <w:t xml:space="preserve"> which affect the weighting of commodity inputs, suppliers of the physical </w:t>
      </w:r>
      <w:r w:rsidRPr="008111C7">
        <w:lastRenderedPageBreak/>
        <w:t>assets changing their sourcing for the commodity inputs and the general volatility of exchange rates</w:t>
      </w:r>
    </w:p>
    <w:p w:rsidR="000C2F15" w:rsidRPr="00E508E8" w:rsidRDefault="000C2F15" w:rsidP="000C2F15">
      <w:pPr>
        <w:pStyle w:val="ListNumber"/>
      </w:pPr>
      <w:r w:rsidRPr="008111C7">
        <w:t>input cost mitigation, including</w:t>
      </w:r>
      <w:r w:rsidRPr="00E508E8">
        <w:t>:</w:t>
      </w:r>
    </w:p>
    <w:p w:rsidR="000C2F15" w:rsidRPr="008111C7" w:rsidRDefault="000C2F15" w:rsidP="000C2F15">
      <w:pPr>
        <w:pStyle w:val="AERbulletlistsecondstyle"/>
      </w:pPr>
      <w:r w:rsidRPr="008111C7">
        <w:t>potential commodity input substitution as the price of a commodity increases relative to other commodities</w:t>
      </w:r>
    </w:p>
    <w:p w:rsidR="000C2F15" w:rsidRPr="008111C7" w:rsidRDefault="000C2F15" w:rsidP="000C2F15">
      <w:pPr>
        <w:pStyle w:val="AERbulletlistsecondstyle"/>
      </w:pPr>
      <w:r w:rsidRPr="008111C7">
        <w:t xml:space="preserve">the substitution potential between </w:t>
      </w:r>
      <w:proofErr w:type="spellStart"/>
      <w:r w:rsidRPr="008111C7">
        <w:t>opex</w:t>
      </w:r>
      <w:proofErr w:type="spellEnd"/>
      <w:r w:rsidRPr="008111C7">
        <w:t xml:space="preserve"> and capex when the relative prices of operating and capital inputs change</w:t>
      </w:r>
    </w:p>
    <w:p w:rsidR="000C2F15" w:rsidRPr="008111C7" w:rsidRDefault="000C2F15" w:rsidP="000C2F15">
      <w:pPr>
        <w:pStyle w:val="AERbulletlistsecondstyle"/>
      </w:pPr>
      <w:r w:rsidRPr="008111C7">
        <w:t xml:space="preserve">the scale of any operation change to the </w:t>
      </w:r>
      <w:r>
        <w:t>energy</w:t>
      </w:r>
      <w:r w:rsidRPr="008111C7">
        <w:t xml:space="preserve"> service provider's business that may impact on its capex requirements, including an increase in capex efficiency, and</w:t>
      </w:r>
    </w:p>
    <w:p w:rsidR="000C2F15" w:rsidRDefault="000C2F15" w:rsidP="000C2F15">
      <w:pPr>
        <w:pStyle w:val="AERbulletlistsecondstyle"/>
      </w:pPr>
      <w:r w:rsidRPr="008111C7">
        <w:t xml:space="preserve">increases in productivity that have not been taken into account by </w:t>
      </w:r>
      <w:r>
        <w:t xml:space="preserve">JGN </w:t>
      </w:r>
      <w:r w:rsidRPr="008111C7">
        <w:t>in forecasting its capex requirements</w:t>
      </w:r>
    </w:p>
    <w:p w:rsidR="000C2F15" w:rsidRPr="00E508E8" w:rsidRDefault="000C2F15" w:rsidP="000C2F15">
      <w:pPr>
        <w:pStyle w:val="ListNumber"/>
      </w:pPr>
      <w:r w:rsidRPr="001B5D6C">
        <w:t>strategic contracts with suppliers to mitigate the risks associated with changes in material input costs</w:t>
      </w:r>
    </w:p>
    <w:p w:rsidR="000C2F15" w:rsidRPr="00E508E8" w:rsidRDefault="000C2F15" w:rsidP="000C2F15">
      <w:pPr>
        <w:pStyle w:val="ListNumber"/>
      </w:pPr>
      <w:r w:rsidRPr="008111C7">
        <w:t xml:space="preserve">the impact that material input cost escalation has on reducing the incentives for </w:t>
      </w:r>
      <w:r>
        <w:t>energy</w:t>
      </w:r>
      <w:r w:rsidRPr="008111C7">
        <w:t xml:space="preserve"> service providers to manage their capex efficiently, and</w:t>
      </w:r>
    </w:p>
    <w:p w:rsidR="000C2F15" w:rsidRPr="00E508E8" w:rsidRDefault="000C2F15" w:rsidP="000C2F15">
      <w:pPr>
        <w:pStyle w:val="ListNumber"/>
      </w:pPr>
      <w:proofErr w:type="gramStart"/>
      <w:r w:rsidRPr="008111C7">
        <w:t>the</w:t>
      </w:r>
      <w:proofErr w:type="gramEnd"/>
      <w:r w:rsidRPr="008111C7">
        <w:t xml:space="preserve"> relevance of material input cost escalation post the 2009 commodities boom experienced in Australia.</w:t>
      </w:r>
    </w:p>
    <w:p w:rsidR="000C2F15" w:rsidRPr="008111C7" w:rsidRDefault="000C2F15" w:rsidP="000C2F15">
      <w:r w:rsidRPr="001B5D6C">
        <w:t xml:space="preserve">We consider that these factors lend further support to our conclusion that </w:t>
      </w:r>
      <w:r>
        <w:t xml:space="preserve">JGN's </w:t>
      </w:r>
      <w:r w:rsidRPr="001B5D6C">
        <w:t xml:space="preserve">revised regulatory proposal real material cost escalators </w:t>
      </w:r>
      <w:r>
        <w:t>are</w:t>
      </w:r>
      <w:r w:rsidRPr="001B5D6C">
        <w:t xml:space="preserve"> not</w:t>
      </w:r>
      <w:r w:rsidRPr="00BF0C4A">
        <w:t xml:space="preserve"> arrived at on a reasonable basis, and are the best forecast possible in the circumstances</w:t>
      </w:r>
      <w:r>
        <w:t>.</w:t>
      </w:r>
      <w:r w:rsidRPr="001B5D6C">
        <w:t xml:space="preserve"> </w:t>
      </w:r>
      <w:r>
        <w:rPr>
          <w:rStyle w:val="AERbody"/>
        </w:rPr>
        <w:t>We therefore do not consider that the forecast capex meets the capital expenditure criteria of clause 79(1) of the NGR.</w:t>
      </w:r>
      <w:r>
        <w:t xml:space="preserve"> JGN did not </w:t>
      </w:r>
      <w:r w:rsidRPr="001B5D6C">
        <w:t xml:space="preserve">address </w:t>
      </w:r>
      <w:r>
        <w:t xml:space="preserve">any of </w:t>
      </w:r>
      <w:r w:rsidRPr="001B5D6C">
        <w:t>the</w:t>
      </w:r>
      <w:r>
        <w:t xml:space="preserve"> other factors listed above</w:t>
      </w:r>
      <w:r w:rsidRPr="001B5D6C">
        <w:t xml:space="preserve"> in its revised regulatory proposal.</w:t>
      </w:r>
    </w:p>
    <w:p w:rsidR="000C2F15" w:rsidRPr="001A32E2" w:rsidRDefault="000C2F15" w:rsidP="000C2F15">
      <w:pPr>
        <w:pStyle w:val="Heading8"/>
      </w:pPr>
      <w:bookmarkStart w:id="68" w:name="_Toc404676610"/>
      <w:bookmarkStart w:id="69" w:name="_Toc418859340"/>
      <w:bookmarkStart w:id="70" w:name="_Toc420943879"/>
      <w:r>
        <w:t>Labour escalators</w:t>
      </w:r>
      <w:bookmarkEnd w:id="68"/>
      <w:bookmarkEnd w:id="69"/>
      <w:bookmarkEnd w:id="70"/>
    </w:p>
    <w:p w:rsidR="000C2F15" w:rsidRPr="002B17C5" w:rsidRDefault="000C2F15" w:rsidP="000C2F15">
      <w:pPr>
        <w:numPr>
          <w:ilvl w:val="0"/>
          <w:numId w:val="25"/>
        </w:numPr>
      </w:pPr>
      <w:r>
        <w:t xml:space="preserve">Our </w:t>
      </w:r>
      <w:r w:rsidRPr="002B17C5">
        <w:t xml:space="preserve">approach to real materials cost escalation does not affect the application of labour cost escalators, which will continue to apply to </w:t>
      </w:r>
      <w:r>
        <w:t>reference</w:t>
      </w:r>
      <w:r w:rsidRPr="002B17C5">
        <w:t xml:space="preserve"> services capital and operating expenditure. </w:t>
      </w:r>
    </w:p>
    <w:p w:rsidR="000C2F15" w:rsidRPr="00290C63" w:rsidRDefault="000C2F15" w:rsidP="000C2F15">
      <w:r>
        <w:t>We</w:t>
      </w:r>
      <w:r w:rsidRPr="002B17C5">
        <w:t xml:space="preserve"> consider that labour cost escal</w:t>
      </w:r>
      <w:r>
        <w:t xml:space="preserve">ation more reasonably reflects </w:t>
      </w:r>
      <w:r w:rsidRPr="0067597D">
        <w:t>the capex criteria, which requires capital expenditure be such as would be incurred by a prudent service provider, acting efficiently, to achieve the lowest sustainable cost of providing services.</w:t>
      </w:r>
      <w:r w:rsidRPr="0067597D">
        <w:rPr>
          <w:rStyle w:val="AERsuperscript"/>
        </w:rPr>
        <w:footnoteReference w:id="178"/>
      </w:r>
      <w:r w:rsidRPr="002B17C5">
        <w:t xml:space="preserve"> </w:t>
      </w:r>
      <w:r>
        <w:t>We</w:t>
      </w:r>
      <w:r w:rsidRPr="002B17C5">
        <w:t xml:space="preserve"> consider that real labour cost escalators can be more reliably and robustly forecast than material input cost escalators, in part because these are not intermediate inputs</w:t>
      </w:r>
      <w:r w:rsidRPr="009212B3">
        <w:t xml:space="preserve">. </w:t>
      </w:r>
    </w:p>
    <w:p w:rsidR="005D7BA2" w:rsidRDefault="005D7BA2" w:rsidP="00DB5074"/>
    <w:sectPr w:rsidR="005D7BA2" w:rsidSect="007B49E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7B5" w:rsidRPr="00290C63" w:rsidRDefault="004147B5" w:rsidP="00290C63">
      <w:r>
        <w:separator/>
      </w:r>
    </w:p>
    <w:p w:rsidR="004147B5" w:rsidRDefault="004147B5"/>
  </w:endnote>
  <w:endnote w:type="continuationSeparator" w:id="0">
    <w:p w:rsidR="004147B5" w:rsidRPr="00290C63" w:rsidRDefault="004147B5" w:rsidP="00290C63">
      <w:r>
        <w:continuationSeparator/>
      </w:r>
    </w:p>
    <w:p w:rsidR="004147B5" w:rsidRDefault="004147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7B5" w:rsidRPr="00290C63" w:rsidRDefault="004147B5"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4147B5" w:rsidRDefault="004147B5"/>
  <w:p w:rsidR="004147B5" w:rsidRDefault="004147B5"/>
  <w:p w:rsidR="004147B5" w:rsidRDefault="004147B5"/>
  <w:p w:rsidR="004147B5" w:rsidRDefault="004147B5"/>
  <w:p w:rsidR="004147B5" w:rsidRDefault="004147B5"/>
  <w:p w:rsidR="004147B5" w:rsidRDefault="004147B5"/>
  <w:p w:rsidR="004147B5" w:rsidRDefault="004147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4147B5" w:rsidRDefault="004147B5">
        <w:pPr>
          <w:pStyle w:val="Footer"/>
        </w:pPr>
        <w:r>
          <w:fldChar w:fldCharType="begin"/>
        </w:r>
        <w:r>
          <w:instrText xml:space="preserve"> PAGE   \* MERGEFORMAT </w:instrText>
        </w:r>
        <w:r>
          <w:fldChar w:fldCharType="separate"/>
        </w:r>
        <w:r w:rsidR="00C62F3B">
          <w:rPr>
            <w:noProof/>
          </w:rPr>
          <w:t>6-60</w:t>
        </w:r>
        <w:r>
          <w:rPr>
            <w:noProof/>
          </w:rPr>
          <w:fldChar w:fldCharType="end"/>
        </w:r>
        <w:r>
          <w:rPr>
            <w:noProof/>
          </w:rPr>
          <w:t xml:space="preserve">      </w:t>
        </w:r>
        <w:r>
          <w:t xml:space="preserve">         6 </w:t>
        </w:r>
        <w:r>
          <w:rPr>
            <w:rFonts w:cs="Gautami"/>
            <w:noProof/>
          </w:rPr>
          <w:t>–</w:t>
        </w:r>
        <w:r>
          <w:t xml:space="preserve"> Capital expenditure</w:t>
        </w:r>
        <w:r>
          <w:rPr>
            <w:rFonts w:cs="Gautami"/>
            <w:noProof/>
          </w:rPr>
          <w:t xml:space="preserve"> | </w:t>
        </w:r>
        <w:r>
          <w:t>Final decision: Jemena Gas Networks</w:t>
        </w:r>
        <w:r>
          <w:rPr>
            <w:rFonts w:cs="Gautami"/>
            <w:noProof/>
          </w:rPr>
          <w:t xml:space="preserve"> 2015–20</w:t>
        </w:r>
      </w:p>
    </w:sdtContent>
  </w:sdt>
  <w:p w:rsidR="004147B5" w:rsidRDefault="004147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7B5" w:rsidRPr="00290C63" w:rsidRDefault="004147B5"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4147B5" w:rsidRDefault="004147B5">
    <w:pPr>
      <w:pStyle w:val="Footer"/>
    </w:pPr>
  </w:p>
  <w:p w:rsidR="004147B5" w:rsidRDefault="004147B5"/>
  <w:p w:rsidR="004147B5" w:rsidRDefault="004147B5"/>
  <w:p w:rsidR="004147B5" w:rsidRDefault="004147B5"/>
  <w:p w:rsidR="004147B5" w:rsidRDefault="004147B5"/>
  <w:p w:rsidR="004147B5" w:rsidRDefault="004147B5"/>
  <w:p w:rsidR="004147B5" w:rsidRDefault="004147B5"/>
  <w:p w:rsidR="004147B5" w:rsidRDefault="004147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7B5" w:rsidRPr="00290C63" w:rsidRDefault="004147B5" w:rsidP="00290C63">
      <w:r>
        <w:separator/>
      </w:r>
    </w:p>
    <w:p w:rsidR="004147B5" w:rsidRDefault="004147B5"/>
  </w:footnote>
  <w:footnote w:type="continuationSeparator" w:id="0">
    <w:p w:rsidR="004147B5" w:rsidRPr="00290C63" w:rsidRDefault="004147B5" w:rsidP="00290C63">
      <w:r>
        <w:continuationSeparator/>
      </w:r>
    </w:p>
    <w:p w:rsidR="004147B5" w:rsidRDefault="004147B5"/>
  </w:footnote>
  <w:footnote w:id="1">
    <w:p w:rsidR="004147B5" w:rsidRDefault="004147B5" w:rsidP="00BC65D5">
      <w:pPr>
        <w:pStyle w:val="FootnoteText"/>
      </w:pPr>
      <w:r>
        <w:rPr>
          <w:rStyle w:val="FootnoteReference"/>
        </w:rPr>
        <w:footnoteRef/>
      </w:r>
      <w:r>
        <w:t xml:space="preserve"> </w:t>
      </w:r>
      <w:r>
        <w:tab/>
        <w:t xml:space="preserve">NGR, </w:t>
      </w:r>
      <w:proofErr w:type="spellStart"/>
      <w:proofErr w:type="gramStart"/>
      <w:r>
        <w:t>rr</w:t>
      </w:r>
      <w:proofErr w:type="spellEnd"/>
      <w:proofErr w:type="gramEnd"/>
      <w:r>
        <w:t>. 64(1) &amp; (5)</w:t>
      </w:r>
    </w:p>
  </w:footnote>
  <w:footnote w:id="2">
    <w:p w:rsidR="004147B5" w:rsidRDefault="004147B5" w:rsidP="00C80B5F">
      <w:pPr>
        <w:pStyle w:val="FootnoteText"/>
      </w:pPr>
      <w:r>
        <w:rPr>
          <w:rStyle w:val="FootnoteReference"/>
        </w:rPr>
        <w:footnoteRef/>
      </w:r>
      <w:r>
        <w:t xml:space="preserve"> </w:t>
      </w:r>
      <w:r>
        <w:tab/>
        <w:t xml:space="preserve">NGR, </w:t>
      </w:r>
      <w:proofErr w:type="spellStart"/>
      <w:proofErr w:type="gramStart"/>
      <w:r>
        <w:t>rr</w:t>
      </w:r>
      <w:proofErr w:type="spellEnd"/>
      <w:proofErr w:type="gramEnd"/>
      <w:r>
        <w:t>. 64(1) &amp; (5)</w:t>
      </w:r>
    </w:p>
  </w:footnote>
  <w:footnote w:id="3">
    <w:p w:rsidR="004147B5" w:rsidRDefault="004147B5">
      <w:pPr>
        <w:pStyle w:val="FootnoteText"/>
      </w:pPr>
      <w:r>
        <w:rPr>
          <w:rStyle w:val="FootnoteReference"/>
        </w:rPr>
        <w:footnoteRef/>
      </w:r>
      <w:r>
        <w:t xml:space="preserve"> </w:t>
      </w:r>
      <w:r>
        <w:tab/>
      </w:r>
      <w:proofErr w:type="gramStart"/>
      <w:r>
        <w:t>Via inclusion of 'quoted works' costs.</w:t>
      </w:r>
      <w:proofErr w:type="gramEnd"/>
    </w:p>
  </w:footnote>
  <w:footnote w:id="4">
    <w:p w:rsidR="004147B5" w:rsidRDefault="004147B5" w:rsidP="00123034">
      <w:pPr>
        <w:pStyle w:val="FootnoteText"/>
      </w:pPr>
      <w:r>
        <w:rPr>
          <w:rStyle w:val="FootnoteReference"/>
        </w:rPr>
        <w:footnoteRef/>
      </w:r>
      <w:r>
        <w:t xml:space="preserve"> </w:t>
      </w:r>
      <w:r>
        <w:tab/>
        <w:t>NGR, r. 77(2</w:t>
      </w:r>
      <w:proofErr w:type="gramStart"/>
      <w:r>
        <w:t>)(</w:t>
      </w:r>
      <w:proofErr w:type="gramEnd"/>
      <w:r>
        <w:t>b).</w:t>
      </w:r>
    </w:p>
  </w:footnote>
  <w:footnote w:id="5">
    <w:p w:rsidR="004147B5" w:rsidRDefault="004147B5" w:rsidP="00123034">
      <w:pPr>
        <w:pStyle w:val="FootnoteText"/>
      </w:pPr>
      <w:r>
        <w:rPr>
          <w:rStyle w:val="FootnoteReference"/>
        </w:rPr>
        <w:footnoteRef/>
      </w:r>
      <w:r>
        <w:t xml:space="preserve"> </w:t>
      </w:r>
      <w:r>
        <w:tab/>
      </w:r>
      <w:proofErr w:type="gramStart"/>
      <w:r>
        <w:t>NGR, r. 79.</w:t>
      </w:r>
      <w:proofErr w:type="gramEnd"/>
    </w:p>
  </w:footnote>
  <w:footnote w:id="6">
    <w:p w:rsidR="004147B5" w:rsidRDefault="004147B5" w:rsidP="00123034">
      <w:pPr>
        <w:pStyle w:val="FootnoteText"/>
      </w:pPr>
      <w:r>
        <w:rPr>
          <w:rStyle w:val="FootnoteReference"/>
        </w:rPr>
        <w:footnoteRef/>
      </w:r>
      <w:r>
        <w:t xml:space="preserve"> </w:t>
      </w:r>
      <w:r>
        <w:tab/>
      </w:r>
      <w:proofErr w:type="gramStart"/>
      <w:r>
        <w:rPr>
          <w:rFonts w:eastAsia="Calibri"/>
        </w:rPr>
        <w:t>NGR, r. 74(2).</w:t>
      </w:r>
      <w:proofErr w:type="gramEnd"/>
    </w:p>
  </w:footnote>
  <w:footnote w:id="7">
    <w:p w:rsidR="004147B5" w:rsidRDefault="004147B5" w:rsidP="00123034">
      <w:pPr>
        <w:pStyle w:val="FootnoteText"/>
      </w:pPr>
      <w:r>
        <w:rPr>
          <w:rStyle w:val="FootnoteReference"/>
        </w:rPr>
        <w:footnoteRef/>
      </w:r>
      <w:r>
        <w:t xml:space="preserve"> </w:t>
      </w:r>
      <w:r>
        <w:tab/>
      </w:r>
      <w:proofErr w:type="gramStart"/>
      <w:r>
        <w:t>NGR, r. 79(6).</w:t>
      </w:r>
      <w:proofErr w:type="gramEnd"/>
    </w:p>
  </w:footnote>
  <w:footnote w:id="8">
    <w:p w:rsidR="004147B5" w:rsidRDefault="004147B5" w:rsidP="00123034">
      <w:pPr>
        <w:pStyle w:val="FootnoteText"/>
      </w:pPr>
      <w:r>
        <w:rPr>
          <w:rStyle w:val="FootnoteReference"/>
        </w:rPr>
        <w:footnoteRef/>
      </w:r>
      <w:r>
        <w:t xml:space="preserve"> </w:t>
      </w:r>
      <w:r>
        <w:tab/>
      </w:r>
      <w:proofErr w:type="gramStart"/>
      <w:r>
        <w:t>NGR, r. 40(2).</w:t>
      </w:r>
      <w:proofErr w:type="gramEnd"/>
    </w:p>
  </w:footnote>
  <w:footnote w:id="9">
    <w:p w:rsidR="004147B5" w:rsidRDefault="004147B5" w:rsidP="00123034">
      <w:pPr>
        <w:pStyle w:val="FootnoteText"/>
        <w:rPr>
          <w:rFonts w:eastAsia="Calibri"/>
        </w:rPr>
      </w:pPr>
      <w:r>
        <w:rPr>
          <w:rStyle w:val="FootnoteReference"/>
        </w:rPr>
        <w:footnoteRef/>
      </w:r>
      <w:r>
        <w:t xml:space="preserve"> </w:t>
      </w:r>
      <w:r>
        <w:tab/>
      </w:r>
      <w:r>
        <w:rPr>
          <w:rFonts w:eastAsia="Calibri"/>
        </w:rPr>
        <w:t>For instance, r. 74 of the NGR requires estimates and forecasts to be made on a reasonable basis, amongst</w:t>
      </w:r>
    </w:p>
    <w:p w:rsidR="004147B5" w:rsidRDefault="004147B5" w:rsidP="00123034">
      <w:pPr>
        <w:pStyle w:val="FootnoteText"/>
      </w:pPr>
      <w:r>
        <w:rPr>
          <w:rFonts w:eastAsia="Calibri"/>
        </w:rPr>
        <w:tab/>
      </w:r>
      <w:proofErr w:type="gramStart"/>
      <w:r>
        <w:rPr>
          <w:rFonts w:eastAsia="Calibri"/>
        </w:rPr>
        <w:t>other</w:t>
      </w:r>
      <w:proofErr w:type="gramEnd"/>
      <w:r>
        <w:rPr>
          <w:rFonts w:eastAsia="Calibri"/>
        </w:rPr>
        <w:t xml:space="preserve"> things.</w:t>
      </w:r>
    </w:p>
  </w:footnote>
  <w:footnote w:id="10">
    <w:p w:rsidR="004147B5" w:rsidRDefault="004147B5" w:rsidP="00123034">
      <w:pPr>
        <w:pStyle w:val="FootnoteText"/>
      </w:pPr>
      <w:r>
        <w:rPr>
          <w:rStyle w:val="FootnoteReference"/>
        </w:rPr>
        <w:footnoteRef/>
      </w:r>
      <w:r>
        <w:t xml:space="preserve"> </w:t>
      </w:r>
      <w:r>
        <w:tab/>
      </w:r>
      <w:proofErr w:type="gramStart"/>
      <w:r>
        <w:rPr>
          <w:rFonts w:eastAsia="Calibri"/>
        </w:rPr>
        <w:t>NGL, s. 28(1).</w:t>
      </w:r>
      <w:proofErr w:type="gramEnd"/>
    </w:p>
  </w:footnote>
  <w:footnote w:id="11">
    <w:p w:rsidR="004147B5" w:rsidRDefault="004147B5" w:rsidP="00123034">
      <w:pPr>
        <w:pStyle w:val="FootnoteText"/>
      </w:pPr>
      <w:r>
        <w:rPr>
          <w:rStyle w:val="FootnoteReference"/>
        </w:rPr>
        <w:footnoteRef/>
      </w:r>
      <w:r>
        <w:t xml:space="preserve"> </w:t>
      </w:r>
      <w:r>
        <w:tab/>
        <w:t>NGR, r. 77(2</w:t>
      </w:r>
      <w:proofErr w:type="gramStart"/>
      <w:r>
        <w:t>)(</w:t>
      </w:r>
      <w:proofErr w:type="gramEnd"/>
      <w:r>
        <w:t>a).</w:t>
      </w:r>
    </w:p>
  </w:footnote>
  <w:footnote w:id="12">
    <w:p w:rsidR="004147B5" w:rsidRDefault="004147B5" w:rsidP="00123034">
      <w:pPr>
        <w:pStyle w:val="FootnoteText"/>
      </w:pPr>
      <w:r>
        <w:rPr>
          <w:rStyle w:val="FootnoteReference"/>
        </w:rPr>
        <w:footnoteRef/>
      </w:r>
      <w:r>
        <w:t xml:space="preserve"> </w:t>
      </w:r>
      <w:r>
        <w:tab/>
      </w:r>
      <w:proofErr w:type="gramStart"/>
      <w:r>
        <w:t>NGR, r. 79.</w:t>
      </w:r>
      <w:proofErr w:type="gramEnd"/>
    </w:p>
  </w:footnote>
  <w:footnote w:id="13">
    <w:p w:rsidR="004147B5" w:rsidRDefault="004147B5" w:rsidP="00123034">
      <w:pPr>
        <w:pStyle w:val="FootnoteText"/>
      </w:pPr>
      <w:r>
        <w:rPr>
          <w:rStyle w:val="FootnoteReference"/>
        </w:rPr>
        <w:footnoteRef/>
      </w:r>
      <w:r>
        <w:t xml:space="preserve"> </w:t>
      </w:r>
      <w:r>
        <w:tab/>
        <w:t>NGR, r. 77(2</w:t>
      </w:r>
      <w:proofErr w:type="gramStart"/>
      <w:r>
        <w:t>)(</w:t>
      </w:r>
      <w:proofErr w:type="gramEnd"/>
      <w:r>
        <w:t>b).</w:t>
      </w:r>
    </w:p>
  </w:footnote>
  <w:footnote w:id="14">
    <w:p w:rsidR="004147B5" w:rsidRDefault="004147B5" w:rsidP="00123034">
      <w:pPr>
        <w:pStyle w:val="FootnoteText"/>
      </w:pPr>
      <w:r>
        <w:rPr>
          <w:rStyle w:val="FootnoteReference"/>
        </w:rPr>
        <w:footnoteRef/>
      </w:r>
      <w:r>
        <w:t xml:space="preserve"> </w:t>
      </w:r>
      <w:r>
        <w:tab/>
        <w:t>NGR, r. 79 and r. 77(2</w:t>
      </w:r>
      <w:proofErr w:type="gramStart"/>
      <w:r>
        <w:t>)(</w:t>
      </w:r>
      <w:proofErr w:type="gramEnd"/>
      <w:r>
        <w:t>b).</w:t>
      </w:r>
    </w:p>
  </w:footnote>
  <w:footnote w:id="15">
    <w:p w:rsidR="004147B5" w:rsidRDefault="004147B5" w:rsidP="00123034">
      <w:pPr>
        <w:pStyle w:val="FootnoteText"/>
      </w:pPr>
      <w:r>
        <w:rPr>
          <w:rStyle w:val="FootnoteReference"/>
        </w:rPr>
        <w:footnoteRef/>
      </w:r>
      <w:r>
        <w:t xml:space="preserve"> </w:t>
      </w:r>
      <w:r>
        <w:tab/>
      </w:r>
      <w:proofErr w:type="gramStart"/>
      <w:r>
        <w:t>NGR, r. 79.</w:t>
      </w:r>
      <w:proofErr w:type="gramEnd"/>
    </w:p>
  </w:footnote>
  <w:footnote w:id="16">
    <w:p w:rsidR="004147B5" w:rsidRDefault="004147B5" w:rsidP="00123034">
      <w:pPr>
        <w:pStyle w:val="FootnoteText"/>
      </w:pPr>
      <w:r>
        <w:rPr>
          <w:rStyle w:val="FootnoteReference"/>
        </w:rPr>
        <w:footnoteRef/>
      </w:r>
      <w:r>
        <w:t xml:space="preserve"> </w:t>
      </w:r>
      <w:r>
        <w:tab/>
        <w:t xml:space="preserve">JGN, </w:t>
      </w:r>
      <w:r>
        <w:rPr>
          <w:rStyle w:val="AERtextitalic"/>
        </w:rPr>
        <w:t>2015-20 Access Arrangement Information</w:t>
      </w:r>
      <w:r>
        <w:t>, 30 June 2014.</w:t>
      </w:r>
    </w:p>
  </w:footnote>
  <w:footnote w:id="17">
    <w:p w:rsidR="004147B5" w:rsidRDefault="004147B5" w:rsidP="00123034">
      <w:pPr>
        <w:pStyle w:val="FootnoteText"/>
      </w:pPr>
      <w:r>
        <w:rPr>
          <w:rStyle w:val="FootnoteReference"/>
        </w:rPr>
        <w:footnoteRef/>
      </w:r>
      <w:r>
        <w:t xml:space="preserve"> </w:t>
      </w:r>
      <w:r>
        <w:tab/>
        <w:t xml:space="preserve">JGN, </w:t>
      </w:r>
      <w:r>
        <w:rPr>
          <w:rStyle w:val="AERtextitalic"/>
        </w:rPr>
        <w:t>2015-20 Access Arrangement Information</w:t>
      </w:r>
      <w:r>
        <w:t>, 30 June 2014</w:t>
      </w:r>
      <w:r>
        <w:rPr>
          <w:rStyle w:val="AERtextitalic"/>
        </w:rPr>
        <w:t>:</w:t>
      </w:r>
      <w:r>
        <w:t xml:space="preserve"> Appendices 6.1, 6.2, 6.3, 6.5, 6.6, 6.7, 6.8, 6.9</w:t>
      </w:r>
      <w:r>
        <w:rPr>
          <w:rStyle w:val="AERtextitalic"/>
        </w:rPr>
        <w:t>.</w:t>
      </w:r>
    </w:p>
  </w:footnote>
  <w:footnote w:id="18">
    <w:p w:rsidR="004147B5" w:rsidRDefault="004147B5" w:rsidP="00123034">
      <w:pPr>
        <w:pStyle w:val="FootnoteText"/>
      </w:pPr>
      <w:r>
        <w:rPr>
          <w:rStyle w:val="FootnoteReference"/>
        </w:rPr>
        <w:footnoteRef/>
      </w:r>
      <w:r>
        <w:t xml:space="preserve"> </w:t>
      </w:r>
      <w:r>
        <w:tab/>
        <w:t xml:space="preserve">JGN, </w:t>
      </w:r>
      <w:r>
        <w:rPr>
          <w:rStyle w:val="AERtextitalic"/>
        </w:rPr>
        <w:t>2015-20 Access Arrangement Information</w:t>
      </w:r>
      <w:r>
        <w:t>, 30 June 2014</w:t>
      </w:r>
      <w:r>
        <w:rPr>
          <w:rStyle w:val="AERtextitalic"/>
        </w:rPr>
        <w:t>:</w:t>
      </w:r>
      <w:r>
        <w:t xml:space="preserve"> </w:t>
      </w:r>
      <w:r>
        <w:rPr>
          <w:rStyle w:val="AERtextitalic"/>
        </w:rPr>
        <w:t xml:space="preserve">Appendix A to the </w:t>
      </w:r>
      <w:r w:rsidRPr="00DD4387">
        <w:t>A</w:t>
      </w:r>
      <w:r>
        <w:t xml:space="preserve">ccess </w:t>
      </w:r>
      <w:r w:rsidRPr="00DD4387">
        <w:t>A</w:t>
      </w:r>
      <w:r>
        <w:t>rrangement</w:t>
      </w:r>
      <w:r>
        <w:rPr>
          <w:rStyle w:val="AERtextitalic"/>
        </w:rPr>
        <w:t xml:space="preserve"> RIN response - Regulatory templates (CONFIDENTIAL) [UPDATE].XLSM, Appendix B to the </w:t>
      </w:r>
      <w:r w:rsidRPr="00DD4387">
        <w:t>A</w:t>
      </w:r>
      <w:r>
        <w:t xml:space="preserve">ccess </w:t>
      </w:r>
      <w:r w:rsidRPr="00DD4387">
        <w:t>A</w:t>
      </w:r>
      <w:r>
        <w:t>rrangement</w:t>
      </w:r>
      <w:r>
        <w:rPr>
          <w:rStyle w:val="AERtextitalic"/>
        </w:rPr>
        <w:t xml:space="preserve"> RIN response - Basis of preparation - CONFIDENTIAL.</w:t>
      </w:r>
    </w:p>
  </w:footnote>
  <w:footnote w:id="19">
    <w:p w:rsidR="004147B5" w:rsidRDefault="004147B5" w:rsidP="00123034">
      <w:pPr>
        <w:pStyle w:val="FootnoteText"/>
      </w:pPr>
      <w:r>
        <w:rPr>
          <w:rStyle w:val="FootnoteReference"/>
        </w:rPr>
        <w:footnoteRef/>
      </w:r>
      <w:r>
        <w:t xml:space="preserve"> </w:t>
      </w:r>
      <w:r>
        <w:tab/>
        <w:t xml:space="preserve">JGN, </w:t>
      </w:r>
      <w:r>
        <w:rPr>
          <w:rStyle w:val="AERtextitalic"/>
        </w:rPr>
        <w:t>2015-20 Access Arrangement Information</w:t>
      </w:r>
      <w:r>
        <w:t>, 30 June 2014.</w:t>
      </w:r>
    </w:p>
  </w:footnote>
  <w:footnote w:id="20">
    <w:p w:rsidR="004147B5" w:rsidRDefault="004147B5" w:rsidP="00123034">
      <w:pPr>
        <w:pStyle w:val="FootnoteText"/>
      </w:pPr>
      <w:r>
        <w:rPr>
          <w:rStyle w:val="FootnoteReference"/>
        </w:rPr>
        <w:footnoteRef/>
      </w:r>
      <w:r>
        <w:t xml:space="preserve"> </w:t>
      </w:r>
      <w:r>
        <w:tab/>
        <w:t xml:space="preserve">JGN, </w:t>
      </w:r>
      <w:r>
        <w:rPr>
          <w:rStyle w:val="AERtextitalic"/>
        </w:rPr>
        <w:t>2015-20 Access Arrangement Information</w:t>
      </w:r>
      <w:r>
        <w:t>, 30 June 2014: Appendix 9 Related party transactions, supporting documentation [CONFIDENTIAL].</w:t>
      </w:r>
    </w:p>
  </w:footnote>
  <w:footnote w:id="21">
    <w:p w:rsidR="004147B5" w:rsidRDefault="004147B5" w:rsidP="00123034">
      <w:pPr>
        <w:pStyle w:val="FootnoteText"/>
      </w:pPr>
      <w:r>
        <w:rPr>
          <w:rStyle w:val="FootnoteReference"/>
        </w:rPr>
        <w:footnoteRef/>
      </w:r>
      <w:r>
        <w:t xml:space="preserve"> </w:t>
      </w:r>
      <w:r>
        <w:tab/>
        <w:t xml:space="preserve">JGN, </w:t>
      </w:r>
      <w:r>
        <w:rPr>
          <w:rStyle w:val="AERtextitalic"/>
        </w:rPr>
        <w:t>2015-20 Access Arrangement Information</w:t>
      </w:r>
      <w:r>
        <w:t>, 30 June 2014, Appendix 6.4.</w:t>
      </w:r>
    </w:p>
  </w:footnote>
  <w:footnote w:id="22">
    <w:p w:rsidR="004147B5" w:rsidRDefault="004147B5" w:rsidP="00123034">
      <w:pPr>
        <w:pStyle w:val="FootnoteText"/>
      </w:pPr>
      <w:r>
        <w:rPr>
          <w:rStyle w:val="FootnoteReference"/>
        </w:rPr>
        <w:footnoteRef/>
      </w:r>
      <w:r>
        <w:t xml:space="preserve"> </w:t>
      </w:r>
      <w:r>
        <w:tab/>
        <w:t xml:space="preserve">AER, </w:t>
      </w:r>
      <w:r w:rsidRPr="00963704">
        <w:rPr>
          <w:rStyle w:val="AERtextitalic"/>
        </w:rPr>
        <w:t>Better Regulation: Expenditure Forecast Assessment Guideline for Electricity Distribution</w:t>
      </w:r>
      <w:r>
        <w:t xml:space="preserve">, </w:t>
      </w:r>
      <w:r w:rsidRPr="000D0C7C">
        <w:t>November 2013</w:t>
      </w:r>
      <w:r>
        <w:t>, pp. 9-10.</w:t>
      </w:r>
    </w:p>
  </w:footnote>
  <w:footnote w:id="23">
    <w:p w:rsidR="004147B5" w:rsidRDefault="004147B5" w:rsidP="00123034">
      <w:pPr>
        <w:pStyle w:val="FootnoteText"/>
      </w:pPr>
      <w:r>
        <w:rPr>
          <w:rStyle w:val="FootnoteReference"/>
        </w:rPr>
        <w:footnoteRef/>
      </w:r>
      <w:r>
        <w:t xml:space="preserve"> </w:t>
      </w:r>
      <w:r>
        <w:tab/>
      </w:r>
      <w:proofErr w:type="gramStart"/>
      <w:r>
        <w:t>NGR r. 71(1).</w:t>
      </w:r>
      <w:proofErr w:type="gramEnd"/>
    </w:p>
  </w:footnote>
  <w:footnote w:id="24">
    <w:p w:rsidR="004147B5" w:rsidRDefault="004147B5" w:rsidP="00123034">
      <w:pPr>
        <w:pStyle w:val="FootnoteText"/>
      </w:pPr>
      <w:r>
        <w:rPr>
          <w:rStyle w:val="FootnoteReference"/>
        </w:rPr>
        <w:footnoteRef/>
      </w:r>
      <w:r>
        <w:t xml:space="preserve"> </w:t>
      </w:r>
      <w:r>
        <w:tab/>
      </w:r>
      <w:proofErr w:type="gramStart"/>
      <w:r>
        <w:t>NGR r. 71(1).</w:t>
      </w:r>
      <w:proofErr w:type="gramEnd"/>
    </w:p>
  </w:footnote>
  <w:footnote w:id="25">
    <w:p w:rsidR="004147B5" w:rsidRDefault="004147B5" w:rsidP="00123034">
      <w:pPr>
        <w:pStyle w:val="FootnoteText"/>
      </w:pPr>
      <w:r>
        <w:rPr>
          <w:rStyle w:val="FootnoteReference"/>
        </w:rPr>
        <w:footnoteRef/>
      </w:r>
      <w:r>
        <w:t xml:space="preserve"> </w:t>
      </w:r>
      <w:r>
        <w:tab/>
      </w:r>
      <w:proofErr w:type="spellStart"/>
      <w:r>
        <w:t>Sleeman</w:t>
      </w:r>
      <w:proofErr w:type="spellEnd"/>
      <w:r>
        <w:t xml:space="preserve"> Consulting, </w:t>
      </w:r>
      <w:r>
        <w:rPr>
          <w:rStyle w:val="AERtextitalic"/>
        </w:rPr>
        <w:t>Jemena Gas Networks 2015 Access Arrangement Submission, Review of Capex Forecasts for Capacity Development and Facilities Renewal and Replacement, Report to Australian Energy Regulator</w:t>
      </w:r>
      <w:r>
        <w:t>, September 2014</w:t>
      </w:r>
      <w:r w:rsidR="00AA0AE9">
        <w:t>.</w:t>
      </w:r>
    </w:p>
  </w:footnote>
  <w:footnote w:id="26">
    <w:p w:rsidR="004147B5" w:rsidRDefault="004147B5" w:rsidP="007A3968">
      <w:pPr>
        <w:pStyle w:val="FootnoteText"/>
      </w:pPr>
      <w:r>
        <w:rPr>
          <w:rStyle w:val="FootnoteReference"/>
        </w:rPr>
        <w:footnoteRef/>
      </w:r>
      <w:r>
        <w:t xml:space="preserve"> </w:t>
      </w:r>
      <w:r>
        <w:tab/>
        <w:t>Only the 2010-14 period comparison by category has been presented as the IPART decision was not made on the same category basis and was not in the same level of detail as the AER 2010-15 Access Arrangement Decision.</w:t>
      </w:r>
    </w:p>
  </w:footnote>
  <w:footnote w:id="27">
    <w:p w:rsidR="004147B5" w:rsidRDefault="004147B5" w:rsidP="007A3968">
      <w:pPr>
        <w:pStyle w:val="FootnoteText"/>
      </w:pPr>
      <w:r>
        <w:rPr>
          <w:rStyle w:val="FootnoteReference"/>
        </w:rPr>
        <w:footnoteRef/>
      </w:r>
      <w:r>
        <w:t xml:space="preserve"> </w:t>
      </w:r>
      <w:r>
        <w:tab/>
      </w:r>
      <w:proofErr w:type="gramStart"/>
      <w:r>
        <w:t>JGN, Revenue proposal, June 2014, p. 29.</w:t>
      </w:r>
      <w:proofErr w:type="gramEnd"/>
    </w:p>
  </w:footnote>
  <w:footnote w:id="28">
    <w:p w:rsidR="004147B5" w:rsidRDefault="004147B5" w:rsidP="007A3968">
      <w:pPr>
        <w:pStyle w:val="FootnoteText"/>
      </w:pPr>
      <w:r>
        <w:rPr>
          <w:rStyle w:val="FootnoteReference"/>
        </w:rPr>
        <w:footnoteRef/>
      </w:r>
      <w:r>
        <w:t xml:space="preserve"> </w:t>
      </w:r>
      <w:r>
        <w:tab/>
      </w:r>
      <w:proofErr w:type="gramStart"/>
      <w:r>
        <w:t>JGN, Revenue proposal, June 2014, p. 29.</w:t>
      </w:r>
      <w:proofErr w:type="gramEnd"/>
    </w:p>
  </w:footnote>
  <w:footnote w:id="29">
    <w:p w:rsidR="004147B5" w:rsidRDefault="004147B5" w:rsidP="007A3968">
      <w:pPr>
        <w:pStyle w:val="FootnoteText"/>
      </w:pPr>
      <w:r>
        <w:rPr>
          <w:rStyle w:val="FootnoteReference"/>
        </w:rPr>
        <w:footnoteRef/>
      </w:r>
      <w:r>
        <w:t xml:space="preserve"> </w:t>
      </w:r>
      <w:r>
        <w:tab/>
      </w:r>
      <w:proofErr w:type="gramStart"/>
      <w:r>
        <w:t>JGN, Revenue proposal, June 2014, p. 29.</w:t>
      </w:r>
      <w:proofErr w:type="gramEnd"/>
    </w:p>
  </w:footnote>
  <w:footnote w:id="30">
    <w:p w:rsidR="004147B5" w:rsidRDefault="004147B5" w:rsidP="007A3968">
      <w:pPr>
        <w:pStyle w:val="FootnoteText"/>
      </w:pPr>
      <w:r>
        <w:rPr>
          <w:rStyle w:val="FootnoteReference"/>
        </w:rPr>
        <w:footnoteRef/>
      </w:r>
      <w:r>
        <w:t xml:space="preserve"> </w:t>
      </w:r>
      <w:r>
        <w:tab/>
      </w:r>
      <w:proofErr w:type="gramStart"/>
      <w:r>
        <w:t>JGN, Revenue proposal, June 2014, p. 29.</w:t>
      </w:r>
      <w:proofErr w:type="gramEnd"/>
    </w:p>
  </w:footnote>
  <w:footnote w:id="31">
    <w:p w:rsidR="004147B5" w:rsidRDefault="004147B5" w:rsidP="007A3968">
      <w:pPr>
        <w:pStyle w:val="FootnoteText"/>
      </w:pPr>
      <w:r>
        <w:rPr>
          <w:rStyle w:val="FootnoteReference"/>
        </w:rPr>
        <w:footnoteRef/>
      </w:r>
      <w:r>
        <w:t xml:space="preserve"> </w:t>
      </w:r>
      <w:r>
        <w:tab/>
      </w:r>
      <w:proofErr w:type="gramStart"/>
      <w:r>
        <w:t xml:space="preserve">JGN, </w:t>
      </w:r>
      <w:r w:rsidRPr="00C117EC">
        <w:rPr>
          <w:rStyle w:val="AERtextitalic"/>
        </w:rPr>
        <w:t>2015–20 Access arrangement information</w:t>
      </w:r>
      <w:r>
        <w:t>, June 2014, p. 29.</w:t>
      </w:r>
      <w:proofErr w:type="gramEnd"/>
    </w:p>
  </w:footnote>
  <w:footnote w:id="32">
    <w:p w:rsidR="004147B5" w:rsidRDefault="004147B5" w:rsidP="00123034">
      <w:pPr>
        <w:pStyle w:val="FootnoteText"/>
      </w:pPr>
      <w:r>
        <w:rPr>
          <w:rStyle w:val="FootnoteReference"/>
        </w:rPr>
        <w:footnoteRef/>
      </w:r>
      <w:r>
        <w:t xml:space="preserve"> </w:t>
      </w:r>
      <w:r>
        <w:tab/>
      </w:r>
      <w:proofErr w:type="gramStart"/>
      <w:r>
        <w:t>Excluding AER adjustment for material and labour escalation.</w:t>
      </w:r>
      <w:proofErr w:type="gramEnd"/>
    </w:p>
  </w:footnote>
  <w:footnote w:id="33">
    <w:p w:rsidR="004147B5" w:rsidRDefault="004147B5">
      <w:pPr>
        <w:pStyle w:val="FootnoteText"/>
      </w:pPr>
      <w:r>
        <w:rPr>
          <w:rStyle w:val="FootnoteReference"/>
        </w:rPr>
        <w:footnoteRef/>
      </w:r>
      <w:r>
        <w:t xml:space="preserve"> </w:t>
      </w:r>
      <w:r>
        <w:tab/>
        <w:t xml:space="preserve">JGN, Response to the draft decision, February 2015, </w:t>
      </w:r>
      <w:r w:rsidRPr="00B35B25">
        <w:t>Appendix 4.1 - JGN capex forecast model - updated - CONFIDENTIAL</w:t>
      </w:r>
      <w:r>
        <w:t>.xlsm</w:t>
      </w:r>
    </w:p>
  </w:footnote>
  <w:footnote w:id="34">
    <w:p w:rsidR="004147B5" w:rsidRDefault="004147B5">
      <w:pPr>
        <w:pStyle w:val="FootnoteText"/>
      </w:pPr>
      <w:r>
        <w:rPr>
          <w:rStyle w:val="FootnoteReference"/>
        </w:rPr>
        <w:footnoteRef/>
      </w:r>
      <w:r>
        <w:t xml:space="preserve"> JGN, 2015-20 Access Arrangement Information, June 2014, Appendix A to the AA RIN response - Regulatory templates (PUBLIC) [UPDATE].XLSM</w:t>
      </w:r>
    </w:p>
  </w:footnote>
  <w:footnote w:id="35">
    <w:p w:rsidR="004147B5" w:rsidRDefault="004147B5">
      <w:pPr>
        <w:pStyle w:val="FootnoteText"/>
      </w:pPr>
      <w:r>
        <w:rPr>
          <w:rStyle w:val="FootnoteReference"/>
        </w:rPr>
        <w:footnoteRef/>
      </w:r>
      <w:r>
        <w:t xml:space="preserve"> JGN, Response to the draft decision, February 2015.</w:t>
      </w:r>
    </w:p>
  </w:footnote>
  <w:footnote w:id="36">
    <w:p w:rsidR="004147B5" w:rsidRDefault="004147B5">
      <w:pPr>
        <w:pStyle w:val="FootnoteText"/>
      </w:pPr>
      <w:r>
        <w:rPr>
          <w:rStyle w:val="FootnoteReference"/>
        </w:rPr>
        <w:footnoteRef/>
      </w:r>
      <w:r>
        <w:t xml:space="preserve"> </w:t>
      </w:r>
      <w:r>
        <w:tab/>
      </w:r>
      <w:proofErr w:type="gramStart"/>
      <w:r w:rsidRPr="00252768">
        <w:t>JGN, 2015-20 Access Arrangement Information – Public, 30 June 2014, Appendix 6.7, Table 4-2, pp.13-14.</w:t>
      </w:r>
      <w:proofErr w:type="gramEnd"/>
    </w:p>
  </w:footnote>
  <w:footnote w:id="37">
    <w:p w:rsidR="004147B5" w:rsidRDefault="004147B5" w:rsidP="00D56FAD">
      <w:pPr>
        <w:pStyle w:val="FootnoteText"/>
      </w:pPr>
      <w:r>
        <w:rPr>
          <w:rStyle w:val="FootnoteReference"/>
        </w:rPr>
        <w:footnoteRef/>
      </w:r>
      <w:r>
        <w:t xml:space="preserve"> </w:t>
      </w:r>
      <w:r>
        <w:tab/>
      </w:r>
      <w:proofErr w:type="gramStart"/>
      <w:r>
        <w:t xml:space="preserve">JGN, Revised Proposal, February 2015, </w:t>
      </w:r>
      <w:r w:rsidRPr="004D566C">
        <w:t>Appendix 4.2 - JGN market expansion unit rate derivation model - CONFIDENTIAL</w:t>
      </w:r>
      <w:r>
        <w:t>.xls.</w:t>
      </w:r>
      <w:proofErr w:type="gramEnd"/>
    </w:p>
  </w:footnote>
  <w:footnote w:id="38">
    <w:p w:rsidR="004147B5" w:rsidRDefault="004147B5" w:rsidP="00D17CB4">
      <w:pPr>
        <w:pStyle w:val="FootnoteText"/>
      </w:pPr>
      <w:r>
        <w:rPr>
          <w:rStyle w:val="FootnoteReference"/>
        </w:rPr>
        <w:footnoteRef/>
      </w:r>
      <w:r>
        <w:t xml:space="preserve"> </w:t>
      </w:r>
      <w:r>
        <w:tab/>
        <w:t>JGN, Response to AER information request AER059, question 2, p.2.</w:t>
      </w:r>
    </w:p>
  </w:footnote>
  <w:footnote w:id="39">
    <w:p w:rsidR="004147B5" w:rsidRDefault="004147B5" w:rsidP="00564A7B">
      <w:pPr>
        <w:pStyle w:val="FootnoteText"/>
      </w:pPr>
      <w:r>
        <w:rPr>
          <w:rStyle w:val="FootnoteReference"/>
        </w:rPr>
        <w:footnoteRef/>
      </w:r>
      <w:r>
        <w:t xml:space="preserve"> </w:t>
      </w:r>
      <w:r>
        <w:tab/>
      </w:r>
      <w:proofErr w:type="gramStart"/>
      <w:r>
        <w:t>JGN, Revised proposal, February 2015, p.52.</w:t>
      </w:r>
      <w:proofErr w:type="gramEnd"/>
    </w:p>
  </w:footnote>
  <w:footnote w:id="40">
    <w:p w:rsidR="004147B5" w:rsidRDefault="004147B5" w:rsidP="00D17CB4">
      <w:pPr>
        <w:pStyle w:val="FootnoteText"/>
      </w:pPr>
      <w:r>
        <w:rPr>
          <w:rStyle w:val="FootnoteReference"/>
        </w:rPr>
        <w:footnoteRef/>
      </w:r>
      <w:r>
        <w:t xml:space="preserve"> </w:t>
      </w:r>
      <w:r>
        <w:tab/>
        <w:t>JGN, Response to AER information request AER059, question 2, p.2.</w:t>
      </w:r>
    </w:p>
  </w:footnote>
  <w:footnote w:id="41">
    <w:p w:rsidR="004147B5" w:rsidRDefault="004147B5" w:rsidP="00D17CB4">
      <w:pPr>
        <w:pStyle w:val="FootnoteText"/>
      </w:pPr>
      <w:r>
        <w:rPr>
          <w:rStyle w:val="FootnoteReference"/>
        </w:rPr>
        <w:footnoteRef/>
      </w:r>
      <w:r>
        <w:t xml:space="preserve"> </w:t>
      </w:r>
      <w:r>
        <w:tab/>
        <w:t>JGN, Response to AER information request AER059, question 2, p.2.</w:t>
      </w:r>
    </w:p>
  </w:footnote>
  <w:footnote w:id="42">
    <w:p w:rsidR="004147B5" w:rsidRDefault="004147B5" w:rsidP="00D17CB4">
      <w:pPr>
        <w:pStyle w:val="FootnoteText"/>
      </w:pPr>
      <w:r>
        <w:rPr>
          <w:rStyle w:val="FootnoteReference"/>
        </w:rPr>
        <w:footnoteRef/>
      </w:r>
      <w:r>
        <w:t xml:space="preserve"> </w:t>
      </w:r>
      <w:r>
        <w:tab/>
      </w:r>
      <w:proofErr w:type="gramStart"/>
      <w:r>
        <w:t>JGN, Revised proposal, February 2015, p.52.</w:t>
      </w:r>
      <w:proofErr w:type="gramEnd"/>
    </w:p>
  </w:footnote>
  <w:footnote w:id="43">
    <w:p w:rsidR="004147B5" w:rsidRDefault="004147B5">
      <w:pPr>
        <w:pStyle w:val="FootnoteText"/>
      </w:pPr>
      <w:r>
        <w:rPr>
          <w:rStyle w:val="FootnoteReference"/>
        </w:rPr>
        <w:footnoteRef/>
      </w:r>
      <w:r>
        <w:t xml:space="preserve"> </w:t>
      </w:r>
      <w:r>
        <w:tab/>
      </w:r>
      <w:proofErr w:type="gramStart"/>
      <w:r>
        <w:t>NERL s.54.</w:t>
      </w:r>
      <w:proofErr w:type="gramEnd"/>
    </w:p>
  </w:footnote>
  <w:footnote w:id="44">
    <w:p w:rsidR="004147B5" w:rsidRDefault="004147B5">
      <w:pPr>
        <w:pStyle w:val="FootnoteText"/>
      </w:pPr>
      <w:r>
        <w:rPr>
          <w:rStyle w:val="FootnoteReference"/>
        </w:rPr>
        <w:footnoteRef/>
      </w:r>
      <w:r>
        <w:t xml:space="preserve"> </w:t>
      </w:r>
      <w:r>
        <w:tab/>
      </w:r>
      <w:proofErr w:type="gramStart"/>
      <w:r>
        <w:t>NGR r.</w:t>
      </w:r>
      <w:r w:rsidRPr="008828D3">
        <w:t xml:space="preserve"> </w:t>
      </w:r>
      <w:r w:rsidRPr="00641F11">
        <w:t>119XX</w:t>
      </w:r>
      <w:r>
        <w:t>.</w:t>
      </w:r>
      <w:proofErr w:type="gramEnd"/>
      <w:r w:rsidRPr="00F83435">
        <w:t xml:space="preserve"> </w:t>
      </w:r>
      <w:r w:rsidRPr="00641F11">
        <w:t>JGN is not required to energise a new connection unless a request to energise a new connection is submitted by a retailer or the distributor is otherwise satisfied that there is a relevant contract with a retailer in relation to the premises.</w:t>
      </w:r>
    </w:p>
  </w:footnote>
  <w:footnote w:id="45">
    <w:p w:rsidR="004147B5" w:rsidRDefault="004147B5" w:rsidP="00564A7B">
      <w:pPr>
        <w:pStyle w:val="FootnoteText"/>
      </w:pPr>
      <w:r>
        <w:rPr>
          <w:rStyle w:val="FootnoteReference"/>
        </w:rPr>
        <w:footnoteRef/>
      </w:r>
      <w:r>
        <w:t xml:space="preserve"> </w:t>
      </w:r>
      <w:r>
        <w:tab/>
      </w:r>
      <w:proofErr w:type="gramStart"/>
      <w:r>
        <w:t>JGN, Revised proposal, February 2015, fn. 172, p.50.</w:t>
      </w:r>
      <w:proofErr w:type="gramEnd"/>
    </w:p>
  </w:footnote>
  <w:footnote w:id="46">
    <w:p w:rsidR="004147B5" w:rsidRDefault="004147B5" w:rsidP="003B4223">
      <w:pPr>
        <w:pStyle w:val="FootnoteText"/>
      </w:pPr>
      <w:r>
        <w:rPr>
          <w:rStyle w:val="FootnoteReference"/>
        </w:rPr>
        <w:footnoteRef/>
      </w:r>
      <w:r>
        <w:t xml:space="preserve"> </w:t>
      </w:r>
      <w:r>
        <w:tab/>
      </w:r>
      <w:r w:rsidRPr="00484FB3">
        <w:t>JGN, Differentiating between Basic, Standard, and Negotiated Services, &lt;</w:t>
      </w:r>
      <w:hyperlink r:id="rId1" w:history="1">
        <w:r w:rsidRPr="00484FB3">
          <w:rPr>
            <w:rStyle w:val="Hyperlink"/>
            <w:color w:val="auto"/>
            <w:sz w:val="16"/>
            <w:u w:val="none"/>
          </w:rPr>
          <w:t>http://jemena.com.au/documents/gas/distinguishing-basic-and-standard.aspx</w:t>
        </w:r>
      </w:hyperlink>
      <w:r w:rsidRPr="00484FB3">
        <w:t>&gt;, and JGN, Residential Connection Application.pdf, &lt;</w:t>
      </w:r>
      <w:hyperlink r:id="rId2" w:history="1">
        <w:r w:rsidRPr="00484FB3">
          <w:rPr>
            <w:rStyle w:val="Hyperlink"/>
            <w:color w:val="auto"/>
            <w:sz w:val="16"/>
            <w:u w:val="none"/>
          </w:rPr>
          <w:t>http://jemena.com.au/getattachment/1b097646-422c-458a-b0dc-de11c212304a/Residential-Connection-Application.aspx</w:t>
        </w:r>
      </w:hyperlink>
      <w:r w:rsidRPr="00484FB3">
        <w:t>&gt;  accessed 1 June 2015, p.2</w:t>
      </w:r>
    </w:p>
  </w:footnote>
  <w:footnote w:id="47">
    <w:p w:rsidR="004147B5" w:rsidRDefault="004147B5" w:rsidP="00A507C0">
      <w:pPr>
        <w:pStyle w:val="FootnoteText"/>
      </w:pPr>
      <w:r>
        <w:rPr>
          <w:rStyle w:val="FootnoteReference"/>
        </w:rPr>
        <w:footnoteRef/>
      </w:r>
      <w:r>
        <w:t xml:space="preserve"> </w:t>
      </w:r>
      <w:r>
        <w:tab/>
        <w:t>JGN, Response to AER information request 040 - Connections, received 22 October 2014, p.1.</w:t>
      </w:r>
    </w:p>
  </w:footnote>
  <w:footnote w:id="48">
    <w:p w:rsidR="00FD3067" w:rsidRDefault="00FD3067" w:rsidP="00FD3067">
      <w:pPr>
        <w:pStyle w:val="FootnoteText"/>
      </w:pPr>
      <w:r>
        <w:rPr>
          <w:rStyle w:val="FootnoteReference"/>
        </w:rPr>
        <w:footnoteRef/>
      </w:r>
      <w:r>
        <w:t xml:space="preserve"> </w:t>
      </w:r>
      <w:r>
        <w:tab/>
      </w:r>
      <w:proofErr w:type="gramStart"/>
      <w:r>
        <w:t>NGR, r. 119M.</w:t>
      </w:r>
      <w:proofErr w:type="gramEnd"/>
    </w:p>
  </w:footnote>
  <w:footnote w:id="49">
    <w:p w:rsidR="004147B5" w:rsidRDefault="004147B5" w:rsidP="00463EA7">
      <w:pPr>
        <w:pStyle w:val="FootnoteText"/>
      </w:pPr>
      <w:r>
        <w:rPr>
          <w:rStyle w:val="FootnoteReference"/>
        </w:rPr>
        <w:footnoteRef/>
      </w:r>
      <w:r>
        <w:t xml:space="preserve"> </w:t>
      </w:r>
      <w:r>
        <w:tab/>
        <w:t xml:space="preserve">JGN, </w:t>
      </w:r>
      <w:proofErr w:type="gramStart"/>
      <w:r w:rsidRPr="00B02D47">
        <w:rPr>
          <w:rStyle w:val="AERtextitalic"/>
        </w:rPr>
        <w:t>2015-20 Access Arrangement Information</w:t>
      </w:r>
      <w:r w:rsidRPr="00B02D47">
        <w:t>, June 2014,</w:t>
      </w:r>
      <w:proofErr w:type="gramEnd"/>
      <w:r w:rsidRPr="00C97BCC">
        <w:t xml:space="preserve"> Appendix 6.7</w:t>
      </w:r>
      <w:r>
        <w:t xml:space="preserve"> </w:t>
      </w:r>
      <w:r w:rsidRPr="00C97BCC">
        <w:t>Forecast capital expenditure report</w:t>
      </w:r>
      <w:r>
        <w:t>, p.14.</w:t>
      </w:r>
    </w:p>
  </w:footnote>
  <w:footnote w:id="50">
    <w:p w:rsidR="004147B5" w:rsidRDefault="004147B5">
      <w:pPr>
        <w:pStyle w:val="FootnoteText"/>
      </w:pPr>
      <w:r>
        <w:rPr>
          <w:rStyle w:val="FootnoteReference"/>
        </w:rPr>
        <w:footnoteRef/>
      </w:r>
      <w:r>
        <w:t xml:space="preserve"> </w:t>
      </w:r>
      <w:r>
        <w:tab/>
      </w:r>
      <w:r w:rsidRPr="00121F1B">
        <w:t>AER, Draft decision, Jemena Gas Networks (NSW) Ltd Access arrangements 2015-20, November 2014, p. 6-25</w:t>
      </w:r>
      <w:r>
        <w:t>.</w:t>
      </w:r>
    </w:p>
  </w:footnote>
  <w:footnote w:id="51">
    <w:p w:rsidR="004147B5" w:rsidRDefault="004147B5" w:rsidP="00BD2A54">
      <w:pPr>
        <w:pStyle w:val="FootnoteText"/>
      </w:pPr>
      <w:r>
        <w:rPr>
          <w:rStyle w:val="FootnoteReference"/>
        </w:rPr>
        <w:footnoteRef/>
      </w:r>
      <w:r>
        <w:t xml:space="preserve"> </w:t>
      </w:r>
      <w:r>
        <w:tab/>
        <w:t xml:space="preserve">See AER, Draft decision, Jemena Gas Networks (NSW) Ltd Access arrangements 2015-20, November 2014, p. 6-25. </w:t>
      </w:r>
      <w:r w:rsidRPr="008E5CE3" w:rsidDel="00C72F8F">
        <w:t xml:space="preserve">For our draft decision we forecast I&amp;C demand connections by applying an average of the 2009–13 actual expenditure. This was based on the most recent four years of actual data that JGN provided in the RIN template. We excluded the 2008-09 data point as it appeared to be inconsistent with the trend over the last </w:t>
      </w:r>
      <w:r>
        <w:t xml:space="preserve">four years of actual data.  </w:t>
      </w:r>
    </w:p>
  </w:footnote>
  <w:footnote w:id="52">
    <w:p w:rsidR="004147B5" w:rsidRDefault="004147B5" w:rsidP="00BD2A54">
      <w:pPr>
        <w:pStyle w:val="FootnoteText"/>
      </w:pPr>
      <w:r>
        <w:rPr>
          <w:rStyle w:val="FootnoteReference"/>
        </w:rPr>
        <w:footnoteRef/>
      </w:r>
      <w:r>
        <w:t xml:space="preserve"> </w:t>
      </w:r>
      <w:r>
        <w:tab/>
      </w:r>
      <w:r w:rsidRPr="0050684D">
        <w:t>AER, Draft decision, Jemena Gas Networks (NSW) Ltd Access arrangements 2015-20, November 2014, p. 6-25.</w:t>
      </w:r>
    </w:p>
  </w:footnote>
  <w:footnote w:id="53">
    <w:p w:rsidR="004147B5" w:rsidRDefault="004147B5" w:rsidP="00533EA1">
      <w:pPr>
        <w:pStyle w:val="FootnoteText"/>
      </w:pPr>
      <w:r>
        <w:rPr>
          <w:rStyle w:val="FootnoteReference"/>
        </w:rPr>
        <w:footnoteRef/>
      </w:r>
      <w:r>
        <w:t xml:space="preserve"> </w:t>
      </w:r>
      <w:r>
        <w:tab/>
        <w:t xml:space="preserve">JGN, </w:t>
      </w:r>
      <w:r w:rsidRPr="00055795">
        <w:t>2015-20 Access Arrangement</w:t>
      </w:r>
      <w:r>
        <w:t xml:space="preserve"> </w:t>
      </w:r>
      <w:r w:rsidRPr="00055795">
        <w:t>Response to the AER's draft decision &amp; revised proposal</w:t>
      </w:r>
      <w:r>
        <w:t>, February 2015</w:t>
      </w:r>
      <w:proofErr w:type="gramStart"/>
      <w:r>
        <w:t>,para</w:t>
      </w:r>
      <w:proofErr w:type="gramEnd"/>
      <w:r>
        <w:t xml:space="preserve"> 290, p.55.</w:t>
      </w:r>
    </w:p>
  </w:footnote>
  <w:footnote w:id="54">
    <w:p w:rsidR="004147B5" w:rsidRDefault="004147B5" w:rsidP="00BD2A54">
      <w:pPr>
        <w:pStyle w:val="FootnoteText"/>
      </w:pPr>
      <w:r>
        <w:rPr>
          <w:rStyle w:val="FootnoteReference"/>
        </w:rPr>
        <w:footnoteRef/>
      </w:r>
      <w:r>
        <w:t xml:space="preserve"> </w:t>
      </w:r>
      <w:r>
        <w:tab/>
        <w:t xml:space="preserve">JGN, </w:t>
      </w:r>
      <w:proofErr w:type="gramStart"/>
      <w:r w:rsidRPr="00C72F8F">
        <w:rPr>
          <w:rStyle w:val="AERtextitalic"/>
        </w:rPr>
        <w:t>2015-20 Access Arrangement Information</w:t>
      </w:r>
      <w:r w:rsidRPr="00C72F8F">
        <w:t xml:space="preserve">, June 2014, </w:t>
      </w:r>
      <w:r w:rsidRPr="002E13F8">
        <w:t xml:space="preserve">Appendix B to the </w:t>
      </w:r>
      <w:r>
        <w:t>Access Arrangement</w:t>
      </w:r>
      <w:r w:rsidRPr="002E13F8">
        <w:t xml:space="preserve"> RIN response - Basis of preparation - CONFIDENTIAL</w:t>
      </w:r>
      <w:r>
        <w:t>, p.5</w:t>
      </w:r>
      <w:proofErr w:type="gramEnd"/>
      <w:r>
        <w:t>.</w:t>
      </w:r>
    </w:p>
  </w:footnote>
  <w:footnote w:id="55">
    <w:p w:rsidR="004147B5" w:rsidRDefault="004147B5" w:rsidP="0090029D">
      <w:pPr>
        <w:pStyle w:val="FootnoteText"/>
      </w:pPr>
      <w:r>
        <w:rPr>
          <w:rStyle w:val="FootnoteReference"/>
        </w:rPr>
        <w:footnoteRef/>
      </w:r>
      <w:r>
        <w:t xml:space="preserve"> </w:t>
      </w:r>
      <w:r>
        <w:tab/>
      </w:r>
      <w:r w:rsidRPr="0050684D">
        <w:t xml:space="preserve">AER, Draft decision, Jemena Gas Networks (NSW) Ltd Access arrangements 2015-20, November 2014, </w:t>
      </w:r>
      <w:r>
        <w:t>p</w:t>
      </w:r>
      <w:r w:rsidRPr="0050684D">
        <w:t>p.</w:t>
      </w:r>
      <w:r>
        <w:t>6-25-26</w:t>
      </w:r>
      <w:r w:rsidR="00AA0AE9">
        <w:t>.</w:t>
      </w:r>
    </w:p>
  </w:footnote>
  <w:footnote w:id="56">
    <w:p w:rsidR="004147B5" w:rsidRDefault="004147B5" w:rsidP="008E5CE3">
      <w:pPr>
        <w:pStyle w:val="FootnoteText"/>
      </w:pPr>
      <w:r>
        <w:rPr>
          <w:rStyle w:val="FootnoteReference"/>
        </w:rPr>
        <w:footnoteRef/>
      </w:r>
      <w:r>
        <w:t xml:space="preserve"> </w:t>
      </w:r>
      <w:r>
        <w:tab/>
        <w:t xml:space="preserve">JGN, </w:t>
      </w:r>
      <w:proofErr w:type="gramStart"/>
      <w:r w:rsidRPr="00390641">
        <w:rPr>
          <w:rStyle w:val="AERtextitalic"/>
        </w:rPr>
        <w:t>2015-20 Access Arrangement Information</w:t>
      </w:r>
      <w:r>
        <w:t>, June 2014</w:t>
      </w:r>
      <w:proofErr w:type="gramEnd"/>
      <w:r>
        <w:t xml:space="preserve">, </w:t>
      </w:r>
      <w:r w:rsidRPr="00923933">
        <w:t xml:space="preserve">Appendix A to the </w:t>
      </w:r>
      <w:r>
        <w:t>Access Arrangement</w:t>
      </w:r>
      <w:r w:rsidRPr="00923933">
        <w:t xml:space="preserve"> RIN response - Regulatory templates (CONFIDENTIAL) [UPDATE].XLSM</w:t>
      </w:r>
      <w:r>
        <w:t>.</w:t>
      </w:r>
    </w:p>
  </w:footnote>
  <w:footnote w:id="57">
    <w:p w:rsidR="004147B5" w:rsidRDefault="004147B5" w:rsidP="008E5CE3">
      <w:pPr>
        <w:pStyle w:val="FootnoteText"/>
      </w:pPr>
      <w:r>
        <w:rPr>
          <w:rStyle w:val="FootnoteReference"/>
        </w:rPr>
        <w:footnoteRef/>
      </w:r>
      <w:r>
        <w:t xml:space="preserve"> </w:t>
      </w:r>
      <w:r>
        <w:tab/>
        <w:t>JGN, Response to information request 40, received 22 October 2014, p.9.</w:t>
      </w:r>
    </w:p>
  </w:footnote>
  <w:footnote w:id="58">
    <w:p w:rsidR="004147B5" w:rsidRDefault="004147B5" w:rsidP="00D47522">
      <w:pPr>
        <w:pStyle w:val="FootnoteText"/>
      </w:pPr>
      <w:r>
        <w:rPr>
          <w:rStyle w:val="FootnoteReference"/>
        </w:rPr>
        <w:footnoteRef/>
      </w:r>
      <w:r>
        <w:t xml:space="preserve"> </w:t>
      </w:r>
      <w:r>
        <w:tab/>
        <w:t xml:space="preserve">NGL, Part 12A, Part 21; JGN, </w:t>
      </w:r>
      <w:r w:rsidRPr="00390641">
        <w:rPr>
          <w:rStyle w:val="AERtextitalic"/>
        </w:rPr>
        <w:t>2015-20 Access Arrangement Information</w:t>
      </w:r>
      <w:r>
        <w:t xml:space="preserve">, June 2014: 2015 Access Arrangement, Schedule 4 Reference Service Agreement; JGN, 2015 Reference </w:t>
      </w:r>
      <w:proofErr w:type="gramStart"/>
      <w:r>
        <w:t>Service  Agreement</w:t>
      </w:r>
      <w:proofErr w:type="gramEnd"/>
      <w:r>
        <w:t>, cl. 11.3(</w:t>
      </w:r>
      <w:proofErr w:type="spellStart"/>
      <w:r>
        <w:t>i</w:t>
      </w:r>
      <w:proofErr w:type="spellEnd"/>
      <w:r>
        <w:t>) and (j).</w:t>
      </w:r>
    </w:p>
  </w:footnote>
  <w:footnote w:id="59">
    <w:p w:rsidR="004147B5" w:rsidRDefault="004147B5" w:rsidP="00D47522">
      <w:pPr>
        <w:pStyle w:val="FootnoteText"/>
      </w:pPr>
      <w:r>
        <w:rPr>
          <w:rStyle w:val="FootnoteReference"/>
        </w:rPr>
        <w:footnoteRef/>
      </w:r>
      <w:r>
        <w:t xml:space="preserve"> </w:t>
      </w:r>
      <w:r>
        <w:tab/>
        <w:t xml:space="preserve">JGN, </w:t>
      </w:r>
      <w:proofErr w:type="gramStart"/>
      <w:r w:rsidRPr="00390641">
        <w:rPr>
          <w:rStyle w:val="AERtextitalic"/>
        </w:rPr>
        <w:t>2015-20 Access Arrangement Information</w:t>
      </w:r>
      <w:r>
        <w:t xml:space="preserve">, June 2014, </w:t>
      </w:r>
      <w:r w:rsidRPr="00132966">
        <w:t>Appendix B to the A</w:t>
      </w:r>
      <w:r>
        <w:t xml:space="preserve">ccess </w:t>
      </w:r>
      <w:r w:rsidRPr="00132966">
        <w:t>A</w:t>
      </w:r>
      <w:r>
        <w:t>rrangement</w:t>
      </w:r>
      <w:r w:rsidRPr="00132966">
        <w:t xml:space="preserve"> RIN response - Basis of preparation - CONFIDENTIAL</w:t>
      </w:r>
      <w:r>
        <w:t>, p. 37</w:t>
      </w:r>
      <w:proofErr w:type="gramEnd"/>
      <w:r>
        <w:t>.</w:t>
      </w:r>
    </w:p>
  </w:footnote>
  <w:footnote w:id="60">
    <w:p w:rsidR="004147B5" w:rsidRDefault="004147B5" w:rsidP="0090029D">
      <w:pPr>
        <w:pStyle w:val="FootnoteText"/>
      </w:pPr>
      <w:r>
        <w:rPr>
          <w:rStyle w:val="FootnoteReference"/>
        </w:rPr>
        <w:footnoteRef/>
      </w:r>
      <w:r>
        <w:t xml:space="preserve"> </w:t>
      </w:r>
      <w:r>
        <w:tab/>
      </w:r>
      <w:r w:rsidRPr="0050684D">
        <w:t xml:space="preserve">AER, Draft decision, Jemena Gas Networks (NSW) Ltd Access arrangements 2015-20, November 2014, </w:t>
      </w:r>
      <w:r>
        <w:t>p</w:t>
      </w:r>
      <w:r w:rsidRPr="0050684D">
        <w:t>.</w:t>
      </w:r>
      <w:r>
        <w:t>6-26.</w:t>
      </w:r>
    </w:p>
  </w:footnote>
  <w:footnote w:id="61">
    <w:p w:rsidR="004147B5" w:rsidRDefault="004147B5">
      <w:pPr>
        <w:pStyle w:val="FootnoteText"/>
      </w:pPr>
      <w:r>
        <w:rPr>
          <w:rStyle w:val="FootnoteReference"/>
        </w:rPr>
        <w:footnoteRef/>
      </w:r>
      <w:r>
        <w:t xml:space="preserve"> </w:t>
      </w:r>
      <w:r>
        <w:tab/>
      </w:r>
      <w:proofErr w:type="gramStart"/>
      <w:r>
        <w:t>JGN, Revised proposal, p.76.</w:t>
      </w:r>
      <w:proofErr w:type="gramEnd"/>
    </w:p>
  </w:footnote>
  <w:footnote w:id="62">
    <w:p w:rsidR="004147B5" w:rsidRDefault="004147B5">
      <w:pPr>
        <w:pStyle w:val="FootnoteText"/>
      </w:pPr>
      <w:r>
        <w:rPr>
          <w:rStyle w:val="FootnoteReference"/>
        </w:rPr>
        <w:footnoteRef/>
      </w:r>
      <w:r>
        <w:t xml:space="preserve"> </w:t>
      </w:r>
      <w:r>
        <w:tab/>
        <w:t xml:space="preserve">AER, Draft decision, </w:t>
      </w:r>
      <w:r w:rsidRPr="0050684D">
        <w:t xml:space="preserve">Jemena Gas Networks (NSW) Ltd Access arrangements 2015-20, November 2014, </w:t>
      </w:r>
      <w:r>
        <w:t>p</w:t>
      </w:r>
      <w:r w:rsidRPr="0050684D">
        <w:t>.</w:t>
      </w:r>
      <w:r>
        <w:t>6-26.</w:t>
      </w:r>
    </w:p>
  </w:footnote>
  <w:footnote w:id="63">
    <w:p w:rsidR="004147B5" w:rsidRDefault="004147B5">
      <w:pPr>
        <w:pStyle w:val="FootnoteText"/>
      </w:pPr>
      <w:r>
        <w:rPr>
          <w:rStyle w:val="FootnoteReference"/>
        </w:rPr>
        <w:footnoteRef/>
      </w:r>
      <w:r>
        <w:t xml:space="preserve"> </w:t>
      </w:r>
      <w:r>
        <w:tab/>
      </w:r>
      <w:r w:rsidRPr="000B3157">
        <w:t xml:space="preserve">NGR </w:t>
      </w:r>
      <w:r>
        <w:t>r. 79(2)(c)(</w:t>
      </w:r>
      <w:proofErr w:type="spellStart"/>
      <w:r>
        <w:t>i</w:t>
      </w:r>
      <w:proofErr w:type="spellEnd"/>
      <w:r>
        <w:t>)-(iii)</w:t>
      </w:r>
    </w:p>
  </w:footnote>
  <w:footnote w:id="64">
    <w:p w:rsidR="004147B5" w:rsidRDefault="004147B5">
      <w:pPr>
        <w:pStyle w:val="FootnoteText"/>
      </w:pPr>
      <w:r>
        <w:rPr>
          <w:rStyle w:val="FootnoteReference"/>
        </w:rPr>
        <w:footnoteRef/>
      </w:r>
      <w:r>
        <w:t xml:space="preserve"> </w:t>
      </w:r>
      <w:r>
        <w:tab/>
      </w:r>
      <w:proofErr w:type="spellStart"/>
      <w:r>
        <w:t>Sleeman</w:t>
      </w:r>
      <w:proofErr w:type="spellEnd"/>
      <w:r>
        <w:t xml:space="preserve"> Consulting, Jemena Gas Networks, Revised 2015 Access Arrangement Submission, Review of Capex Forecasts for Selected Projects, Report to Australian Energy Regulator, April 2015, pp.3-8.</w:t>
      </w:r>
    </w:p>
  </w:footnote>
  <w:footnote w:id="65">
    <w:p w:rsidR="004147B5" w:rsidRDefault="004147B5" w:rsidP="00B76AEC">
      <w:pPr>
        <w:pStyle w:val="FootnoteText"/>
      </w:pPr>
      <w:r>
        <w:rPr>
          <w:rStyle w:val="FootnoteReference"/>
        </w:rPr>
        <w:footnoteRef/>
      </w:r>
      <w:r>
        <w:t xml:space="preserve"> </w:t>
      </w:r>
      <w:r>
        <w:tab/>
      </w:r>
      <w:proofErr w:type="spellStart"/>
      <w:r>
        <w:t>Sleeman</w:t>
      </w:r>
      <w:proofErr w:type="spellEnd"/>
      <w:r>
        <w:t xml:space="preserve"> Consulting, Jemena Gas Networks, Revised 2015 Access Arrangement Submission, Review of Capex Forecasts for Selected Projects, Report to Australian Energy Regulator, April 2015, pp.3-8.</w:t>
      </w:r>
    </w:p>
  </w:footnote>
  <w:footnote w:id="66">
    <w:p w:rsidR="004147B5" w:rsidRDefault="004147B5" w:rsidP="00123034">
      <w:pPr>
        <w:pStyle w:val="FootnoteText"/>
      </w:pPr>
      <w:r>
        <w:rPr>
          <w:rStyle w:val="FootnoteReference"/>
        </w:rPr>
        <w:footnoteRef/>
      </w:r>
      <w:r>
        <w:t xml:space="preserve"> </w:t>
      </w:r>
      <w:r>
        <w:tab/>
      </w:r>
      <w:proofErr w:type="gramStart"/>
      <w:r w:rsidRPr="00F061DA">
        <w:t xml:space="preserve">JGN, </w:t>
      </w:r>
      <w:r w:rsidRPr="00F061DA">
        <w:rPr>
          <w:rStyle w:val="AERtextitalic"/>
        </w:rPr>
        <w:t xml:space="preserve">2015-20 Access Arrangement Information – </w:t>
      </w:r>
      <w:r>
        <w:rPr>
          <w:rStyle w:val="AERtextitalic"/>
        </w:rPr>
        <w:t>Public,</w:t>
      </w:r>
      <w:r w:rsidRPr="00F061DA">
        <w:t xml:space="preserve"> 30 June 2014,</w:t>
      </w:r>
      <w:r>
        <w:t xml:space="preserve"> </w:t>
      </w:r>
      <w:r w:rsidRPr="008907A4">
        <w:t>Appendix 06.07 Forecast capital expenditure report - PUBLIC</w:t>
      </w:r>
      <w:r>
        <w:t>, p. 20.</w:t>
      </w:r>
      <w:proofErr w:type="gramEnd"/>
    </w:p>
  </w:footnote>
  <w:footnote w:id="67">
    <w:p w:rsidR="004147B5" w:rsidRDefault="004147B5">
      <w:pPr>
        <w:pStyle w:val="FootnoteText"/>
      </w:pPr>
      <w:r>
        <w:rPr>
          <w:rStyle w:val="FootnoteReference"/>
        </w:rPr>
        <w:footnoteRef/>
      </w:r>
      <w:r>
        <w:t xml:space="preserve"> </w:t>
      </w:r>
      <w:r>
        <w:tab/>
      </w:r>
      <w:proofErr w:type="spellStart"/>
      <w:r w:rsidRPr="0090148E">
        <w:t>Sleeman</w:t>
      </w:r>
      <w:proofErr w:type="spellEnd"/>
      <w:r w:rsidRPr="0090148E">
        <w:t xml:space="preserve"> Consulting, Jemena Gas Networks, Revised 2015 Access Arrangement Submission, Review of Capex Forecasts for Selected Projects, Report to Australian Energy Regulator, April 2015</w:t>
      </w:r>
      <w:r>
        <w:t>, pp. 18-9.</w:t>
      </w:r>
    </w:p>
  </w:footnote>
  <w:footnote w:id="68">
    <w:p w:rsidR="004147B5" w:rsidRDefault="004147B5">
      <w:pPr>
        <w:pStyle w:val="FootnoteText"/>
      </w:pPr>
      <w:r>
        <w:rPr>
          <w:rStyle w:val="FootnoteReference"/>
        </w:rPr>
        <w:footnoteRef/>
      </w:r>
      <w:r>
        <w:t xml:space="preserve"> </w:t>
      </w:r>
      <w:r>
        <w:tab/>
      </w:r>
      <w:proofErr w:type="spellStart"/>
      <w:r w:rsidRPr="0090148E">
        <w:t>Sleeman</w:t>
      </w:r>
      <w:proofErr w:type="spellEnd"/>
      <w:r w:rsidRPr="0090148E">
        <w:t xml:space="preserve"> Consulting, Jemena Gas Networks, Revised 2015 Access Arrangement Submission, Review of Capex Forecasts for Selected Projects, Report to Australian Energy Regulator, April 2015</w:t>
      </w:r>
      <w:r>
        <w:t>, pp.18-9.</w:t>
      </w:r>
    </w:p>
  </w:footnote>
  <w:footnote w:id="69">
    <w:p w:rsidR="004147B5" w:rsidRDefault="004147B5">
      <w:pPr>
        <w:pStyle w:val="FootnoteText"/>
      </w:pPr>
      <w:r>
        <w:rPr>
          <w:rStyle w:val="FootnoteReference"/>
        </w:rPr>
        <w:footnoteRef/>
      </w:r>
      <w:r>
        <w:t xml:space="preserve"> </w:t>
      </w:r>
      <w:r>
        <w:tab/>
      </w:r>
      <w:proofErr w:type="gramStart"/>
      <w:r>
        <w:t>JGN, revised proposal, February 2015, p.76.</w:t>
      </w:r>
      <w:proofErr w:type="gramEnd"/>
    </w:p>
  </w:footnote>
  <w:footnote w:id="70">
    <w:p w:rsidR="004147B5" w:rsidRDefault="004147B5">
      <w:pPr>
        <w:pStyle w:val="FootnoteText"/>
      </w:pPr>
      <w:r>
        <w:rPr>
          <w:rStyle w:val="FootnoteReference"/>
        </w:rPr>
        <w:footnoteRef/>
      </w:r>
      <w:r>
        <w:t xml:space="preserve"> </w:t>
      </w:r>
      <w:r>
        <w:tab/>
      </w:r>
      <w:proofErr w:type="gramStart"/>
      <w:r>
        <w:t>AER, Draft decision, p.33.</w:t>
      </w:r>
      <w:proofErr w:type="gramEnd"/>
    </w:p>
  </w:footnote>
  <w:footnote w:id="71">
    <w:p w:rsidR="004147B5" w:rsidRDefault="004147B5">
      <w:pPr>
        <w:pStyle w:val="FootnoteText"/>
      </w:pPr>
      <w:r>
        <w:rPr>
          <w:rStyle w:val="FootnoteReference"/>
        </w:rPr>
        <w:footnoteRef/>
      </w:r>
      <w:r>
        <w:t xml:space="preserve"> </w:t>
      </w:r>
      <w:r>
        <w:tab/>
        <w:t xml:space="preserve">JGN, </w:t>
      </w:r>
      <w:r w:rsidRPr="00923935">
        <w:t>Submission on JGN 2015-20 access arrangement draft decision</w:t>
      </w:r>
      <w:r>
        <w:t xml:space="preserve">, 27 March 2015, </w:t>
      </w:r>
      <w:r w:rsidRPr="00203BF0">
        <w:t>Attachment K - updated appendix 4.1 - capex forecast model [CONFIDENTIAL]</w:t>
      </w:r>
      <w:r>
        <w:t>.</w:t>
      </w:r>
      <w:proofErr w:type="spellStart"/>
      <w:r>
        <w:t>xls</w:t>
      </w:r>
      <w:proofErr w:type="spellEnd"/>
      <w:r>
        <w:t>, tab '</w:t>
      </w:r>
      <w:r w:rsidRPr="00203BF0">
        <w:t xml:space="preserve"> </w:t>
      </w:r>
      <w:proofErr w:type="spellStart"/>
      <w:r w:rsidRPr="00203BF0">
        <w:t>Calc|Capex</w:t>
      </w:r>
      <w:proofErr w:type="spellEnd"/>
      <w:r w:rsidRPr="00203BF0">
        <w:t xml:space="preserve"> (RY)</w:t>
      </w:r>
      <w:r>
        <w:t>', cells U587:U590.</w:t>
      </w:r>
    </w:p>
  </w:footnote>
  <w:footnote w:id="72">
    <w:p w:rsidR="004147B5" w:rsidRDefault="004147B5" w:rsidP="00123034">
      <w:pPr>
        <w:pStyle w:val="FootnoteText"/>
      </w:pPr>
      <w:r>
        <w:rPr>
          <w:rStyle w:val="FootnoteReference"/>
        </w:rPr>
        <w:footnoteRef/>
      </w:r>
      <w:r>
        <w:t xml:space="preserve"> </w:t>
      </w:r>
      <w:r>
        <w:tab/>
      </w:r>
      <w:r w:rsidRPr="00331E90">
        <w:t xml:space="preserve">JGN, </w:t>
      </w:r>
      <w:r w:rsidRPr="00331E90">
        <w:rPr>
          <w:rStyle w:val="AERtextitalic"/>
        </w:rPr>
        <w:t>2015-20 Access Arrangement Information – Public,</w:t>
      </w:r>
      <w:r w:rsidRPr="00331E90">
        <w:t xml:space="preserve"> 30 June 2014, Appendix 06.07 Forecast capital expenditure report - PUBLIC, </w:t>
      </w:r>
      <w:r>
        <w:t xml:space="preserve">para 240, </w:t>
      </w:r>
      <w:r w:rsidRPr="00331E90">
        <w:t xml:space="preserve">p. </w:t>
      </w:r>
      <w:r>
        <w:t>57</w:t>
      </w:r>
      <w:r w:rsidRPr="00331E90">
        <w:t>.</w:t>
      </w:r>
    </w:p>
  </w:footnote>
  <w:footnote w:id="73">
    <w:p w:rsidR="004147B5" w:rsidRDefault="004147B5" w:rsidP="004B0232">
      <w:pPr>
        <w:pStyle w:val="FootnoteText"/>
      </w:pPr>
      <w:r>
        <w:rPr>
          <w:rStyle w:val="FootnoteReference"/>
        </w:rPr>
        <w:footnoteRef/>
      </w:r>
      <w:r>
        <w:t xml:space="preserve"> </w:t>
      </w:r>
      <w:r>
        <w:tab/>
      </w:r>
      <w:r w:rsidRPr="005E1394">
        <w:t>The project amounts that we have approved in real $2013 terms are unchanged</w:t>
      </w:r>
      <w:r>
        <w:t xml:space="preserve"> from our draft decision</w:t>
      </w:r>
      <w:r w:rsidRPr="005E1394">
        <w:t>. The amount we have approved in the final decision in real $2015 terms is lower than the amount we approved in the draft decision. This is because we are applying inflation on JGN's regulatory year basis in the final decision rather than inflation on a financial year basis which applied in error in the draft decision.</w:t>
      </w:r>
    </w:p>
  </w:footnote>
  <w:footnote w:id="74">
    <w:p w:rsidR="004147B5" w:rsidRDefault="004147B5" w:rsidP="00C800FF">
      <w:pPr>
        <w:pStyle w:val="FootnoteText"/>
      </w:pPr>
      <w:r>
        <w:rPr>
          <w:rStyle w:val="FootnoteReference"/>
        </w:rPr>
        <w:footnoteRef/>
      </w:r>
      <w:r>
        <w:t xml:space="preserve"> </w:t>
      </w:r>
      <w:r>
        <w:tab/>
      </w:r>
      <w:r w:rsidRPr="005E1394">
        <w:t>The project amounts that we have approved in real $2013 terms are unchanged</w:t>
      </w:r>
      <w:r>
        <w:t xml:space="preserve"> from our draft decision</w:t>
      </w:r>
      <w:r w:rsidRPr="005E1394">
        <w:t>. The amount we have approved in the final decision in real $2015 terms is lower than the amount we approved in the draft decision. This is because we are applying inflation on JGN's regulatory year basis in the final decision rather than inflation on a financial year basis which applied in error in the draft decision.</w:t>
      </w:r>
    </w:p>
  </w:footnote>
  <w:footnote w:id="75">
    <w:p w:rsidR="004147B5" w:rsidRDefault="004147B5" w:rsidP="00C800FF">
      <w:pPr>
        <w:pStyle w:val="FootnoteText"/>
      </w:pPr>
      <w:r>
        <w:rPr>
          <w:rStyle w:val="FootnoteReference"/>
        </w:rPr>
        <w:footnoteRef/>
      </w:r>
      <w:r>
        <w:t xml:space="preserve"> </w:t>
      </w:r>
      <w:r>
        <w:tab/>
        <w:t xml:space="preserve">AER, Draft decision, </w:t>
      </w:r>
      <w:r w:rsidRPr="008F4810">
        <w:t>Jemena Gas Networks 2015-20</w:t>
      </w:r>
      <w:r>
        <w:t xml:space="preserve">, November 2014, </w:t>
      </w:r>
      <w:r w:rsidRPr="008F4810">
        <w:t>Attachment 6 Capital expenditure</w:t>
      </w:r>
      <w:r>
        <w:t>, pp. 34-35.</w:t>
      </w:r>
    </w:p>
  </w:footnote>
  <w:footnote w:id="76">
    <w:p w:rsidR="004147B5" w:rsidRDefault="004147B5" w:rsidP="008F5B8A">
      <w:pPr>
        <w:pStyle w:val="FootnoteText"/>
      </w:pPr>
      <w:r>
        <w:rPr>
          <w:rStyle w:val="FootnoteReference"/>
        </w:rPr>
        <w:footnoteRef/>
      </w:r>
      <w:r>
        <w:t xml:space="preserve"> </w:t>
      </w:r>
      <w:r>
        <w:tab/>
        <w:t>JGN, JGN response to the draft decision, February 2014, p.61.</w:t>
      </w:r>
    </w:p>
  </w:footnote>
  <w:footnote w:id="77">
    <w:p w:rsidR="004147B5" w:rsidRDefault="004147B5" w:rsidP="00C800FF">
      <w:pPr>
        <w:pStyle w:val="FootnoteText"/>
      </w:pPr>
      <w:r>
        <w:rPr>
          <w:rStyle w:val="FootnoteReference"/>
        </w:rPr>
        <w:footnoteRef/>
      </w:r>
      <w:r>
        <w:t xml:space="preserve"> </w:t>
      </w:r>
      <w:r>
        <w:tab/>
      </w:r>
      <w:proofErr w:type="spellStart"/>
      <w:r>
        <w:t>Sleeman</w:t>
      </w:r>
      <w:proofErr w:type="spellEnd"/>
      <w:r>
        <w:t xml:space="preserve"> Consulting, Jemena Gas Networks, Revised 2015 Access Arrangement Submission, Review of Capex Forecasts for Selected Projects, Report to Australian Energy Regulator, April 2015, pp.9-10.</w:t>
      </w:r>
    </w:p>
  </w:footnote>
  <w:footnote w:id="78">
    <w:p w:rsidR="004147B5" w:rsidRDefault="004147B5" w:rsidP="00AF753E">
      <w:pPr>
        <w:pStyle w:val="FootnoteText"/>
      </w:pPr>
      <w:r>
        <w:rPr>
          <w:rStyle w:val="FootnoteReference"/>
        </w:rPr>
        <w:footnoteRef/>
      </w:r>
      <w:r>
        <w:t xml:space="preserve"> </w:t>
      </w:r>
      <w:r>
        <w:tab/>
      </w:r>
      <w:proofErr w:type="spellStart"/>
      <w:r>
        <w:t>Sleeman</w:t>
      </w:r>
      <w:proofErr w:type="spellEnd"/>
      <w:r>
        <w:t xml:space="preserve"> Consulting, Jemena Gas Networks, Revised 2015 Access Arrangement Submission, Review of Capex Forecasts for Selected Projects, Report to Australian Energy Regulator, April 2015, p.9.</w:t>
      </w:r>
    </w:p>
  </w:footnote>
  <w:footnote w:id="79">
    <w:p w:rsidR="004147B5" w:rsidRDefault="004147B5" w:rsidP="00123034">
      <w:pPr>
        <w:pStyle w:val="FootnoteText"/>
      </w:pPr>
      <w:r>
        <w:rPr>
          <w:rStyle w:val="FootnoteReference"/>
        </w:rPr>
        <w:footnoteRef/>
      </w:r>
      <w:r>
        <w:t xml:space="preserve"> </w:t>
      </w:r>
      <w:r>
        <w:tab/>
      </w:r>
      <w:proofErr w:type="gramStart"/>
      <w:r w:rsidRPr="00927678">
        <w:t xml:space="preserve">JGN, </w:t>
      </w:r>
      <w:r w:rsidRPr="00927678">
        <w:rPr>
          <w:rStyle w:val="AERtextitalic"/>
        </w:rPr>
        <w:t>2015-20 Access Arrangement Information – Public</w:t>
      </w:r>
      <w:r w:rsidRPr="00927678">
        <w:t>, 30 June 2014, Appendix 06.07 Forecast capital expenditure report - PUBLIC, p.</w:t>
      </w:r>
      <w:r>
        <w:t xml:space="preserve"> 64</w:t>
      </w:r>
      <w:r w:rsidRPr="00927678">
        <w:t>.</w:t>
      </w:r>
      <w:proofErr w:type="gramEnd"/>
    </w:p>
  </w:footnote>
  <w:footnote w:id="80">
    <w:p w:rsidR="004147B5" w:rsidRDefault="004147B5" w:rsidP="008F5B8A">
      <w:pPr>
        <w:pStyle w:val="FootnoteText"/>
      </w:pPr>
      <w:r>
        <w:rPr>
          <w:rStyle w:val="FootnoteReference"/>
        </w:rPr>
        <w:footnoteRef/>
      </w:r>
      <w:r>
        <w:t xml:space="preserve"> </w:t>
      </w:r>
      <w:r>
        <w:tab/>
        <w:t>JGN, JGN response to the draft decision, February 2014, p.74.</w:t>
      </w:r>
    </w:p>
  </w:footnote>
  <w:footnote w:id="81">
    <w:p w:rsidR="004147B5" w:rsidRDefault="004147B5" w:rsidP="008F5B8A">
      <w:pPr>
        <w:pStyle w:val="FootnoteText"/>
      </w:pPr>
      <w:r>
        <w:rPr>
          <w:rStyle w:val="FootnoteReference"/>
        </w:rPr>
        <w:footnoteRef/>
      </w:r>
      <w:r>
        <w:t xml:space="preserve"> </w:t>
      </w:r>
      <w:r>
        <w:tab/>
      </w:r>
      <w:proofErr w:type="gramStart"/>
      <w:r>
        <w:t>JGN, JGN response to the draft decision [CONFIDENTIAL], February 2014, pp.74-75.</w:t>
      </w:r>
      <w:proofErr w:type="gramEnd"/>
    </w:p>
  </w:footnote>
  <w:footnote w:id="82">
    <w:p w:rsidR="004147B5" w:rsidRDefault="004147B5" w:rsidP="009D6025">
      <w:pPr>
        <w:pStyle w:val="FootnoteText"/>
      </w:pPr>
      <w:r>
        <w:rPr>
          <w:rStyle w:val="FootnoteReference"/>
        </w:rPr>
        <w:footnoteRef/>
      </w:r>
      <w:r>
        <w:t xml:space="preserve"> </w:t>
      </w:r>
      <w:r>
        <w:tab/>
      </w:r>
      <w:proofErr w:type="spellStart"/>
      <w:r>
        <w:t>Sleeman</w:t>
      </w:r>
      <w:proofErr w:type="spellEnd"/>
      <w:r>
        <w:t xml:space="preserve"> Consulting, Jemena Gas Networks, Revised 2015 Access Arrangement Submission, Review of Capex Forecasts for Selected Projects, Report to Australian Energy Regulator, April 2015, p.17.</w:t>
      </w:r>
    </w:p>
  </w:footnote>
  <w:footnote w:id="83">
    <w:p w:rsidR="004147B5" w:rsidRDefault="004147B5" w:rsidP="009D6025">
      <w:pPr>
        <w:pStyle w:val="FootnoteText"/>
      </w:pPr>
      <w:r>
        <w:rPr>
          <w:rStyle w:val="FootnoteReference"/>
        </w:rPr>
        <w:footnoteRef/>
      </w:r>
      <w:r>
        <w:t xml:space="preserve"> </w:t>
      </w:r>
      <w:r>
        <w:tab/>
      </w:r>
      <w:proofErr w:type="spellStart"/>
      <w:r>
        <w:t>Sleeman</w:t>
      </w:r>
      <w:proofErr w:type="spellEnd"/>
      <w:r>
        <w:t xml:space="preserve"> Consulting, Jemena Gas Networks, Revised 2015 Access Arrangement Submission, Review of Capex Forecasts for Selected Projects, Report to Australian Energy Regulator, April 2015, p.17.</w:t>
      </w:r>
    </w:p>
  </w:footnote>
  <w:footnote w:id="84">
    <w:p w:rsidR="004147B5" w:rsidRDefault="004147B5" w:rsidP="001D52D0">
      <w:pPr>
        <w:pStyle w:val="FootnoteText"/>
      </w:pPr>
      <w:r>
        <w:rPr>
          <w:rStyle w:val="FootnoteReference"/>
        </w:rPr>
        <w:footnoteRef/>
      </w:r>
      <w:r>
        <w:t xml:space="preserve"> </w:t>
      </w:r>
      <w:r>
        <w:tab/>
        <w:t xml:space="preserve">AER, Draft decision, </w:t>
      </w:r>
      <w:r w:rsidRPr="008F4810">
        <w:t>Jemena Gas Networks 2015-20</w:t>
      </w:r>
      <w:r>
        <w:t xml:space="preserve">, November 2014, </w:t>
      </w:r>
      <w:r w:rsidRPr="008F4810">
        <w:t>Attachment 6 Capital expenditure</w:t>
      </w:r>
      <w:r>
        <w:t>, pp. 34-39.</w:t>
      </w:r>
    </w:p>
  </w:footnote>
  <w:footnote w:id="85">
    <w:p w:rsidR="004147B5" w:rsidRDefault="004147B5" w:rsidP="001D52D0">
      <w:pPr>
        <w:pStyle w:val="FootnoteText"/>
      </w:pPr>
      <w:r>
        <w:rPr>
          <w:rStyle w:val="FootnoteReference"/>
        </w:rPr>
        <w:footnoteRef/>
      </w:r>
      <w:r>
        <w:t xml:space="preserve"> </w:t>
      </w:r>
      <w:r>
        <w:tab/>
        <w:t xml:space="preserve">AER, Draft decision, </w:t>
      </w:r>
      <w:r w:rsidRPr="008F4810">
        <w:t>Jemena Gas Networks 2015-20</w:t>
      </w:r>
      <w:r>
        <w:t xml:space="preserve">, November 2014, </w:t>
      </w:r>
      <w:r w:rsidRPr="008F4810">
        <w:t>Attachment 6 Capital expenditure</w:t>
      </w:r>
      <w:r>
        <w:t>, pp. 34-39.</w:t>
      </w:r>
    </w:p>
  </w:footnote>
  <w:footnote w:id="86">
    <w:p w:rsidR="004147B5" w:rsidRDefault="004147B5" w:rsidP="009822E2">
      <w:pPr>
        <w:pStyle w:val="FootnoteText"/>
      </w:pPr>
      <w:r>
        <w:rPr>
          <w:rStyle w:val="FootnoteReference"/>
        </w:rPr>
        <w:footnoteRef/>
      </w:r>
      <w:r>
        <w:t xml:space="preserve"> </w:t>
      </w:r>
      <w:r>
        <w:tab/>
      </w:r>
      <w:proofErr w:type="spellStart"/>
      <w:r>
        <w:t>Sleeman</w:t>
      </w:r>
      <w:proofErr w:type="spellEnd"/>
      <w:r>
        <w:t xml:space="preserve"> Consulting, Jemena Gas Networks, Revised 2015 Access Arrangement Submission, Review of Capex Forecasts for Selected Projects, Report to Australian Energy Regulator, April 2015, p.14.</w:t>
      </w:r>
    </w:p>
  </w:footnote>
  <w:footnote w:id="87">
    <w:p w:rsidR="004147B5" w:rsidRDefault="004147B5" w:rsidP="00B969E9">
      <w:pPr>
        <w:pStyle w:val="FootnoteText"/>
      </w:pPr>
      <w:r>
        <w:rPr>
          <w:rStyle w:val="FootnoteReference"/>
        </w:rPr>
        <w:footnoteRef/>
      </w:r>
      <w:r>
        <w:t xml:space="preserve"> </w:t>
      </w:r>
      <w:r>
        <w:tab/>
      </w:r>
      <w:proofErr w:type="spellStart"/>
      <w:r>
        <w:t>Sleeman</w:t>
      </w:r>
      <w:proofErr w:type="spellEnd"/>
      <w:r>
        <w:t xml:space="preserve"> Consulting, Jemena Gas Networks, Revised 2015 Access Arrangement Submission, Review of Capex Forecasts for Selected Projects, Report to Australian Energy Regulator, April 2015, pp.12-13.</w:t>
      </w:r>
    </w:p>
  </w:footnote>
  <w:footnote w:id="88">
    <w:p w:rsidR="004147B5" w:rsidRDefault="004147B5" w:rsidP="00B969E9">
      <w:pPr>
        <w:pStyle w:val="FootnoteText"/>
      </w:pPr>
      <w:r>
        <w:rPr>
          <w:rStyle w:val="FootnoteReference"/>
        </w:rPr>
        <w:footnoteRef/>
      </w:r>
      <w:r>
        <w:t xml:space="preserve"> </w:t>
      </w:r>
      <w:r>
        <w:tab/>
      </w:r>
      <w:proofErr w:type="spellStart"/>
      <w:r>
        <w:t>Sleeman</w:t>
      </w:r>
      <w:proofErr w:type="spellEnd"/>
      <w:r>
        <w:t xml:space="preserve"> Consulting, Jemena Gas Networks, Revised 2015 Access Arrangement Submission, Review of Capex Forecasts for Selected Projects, Report to Australian Energy Regulator, April 2015, pp.13-14.</w:t>
      </w:r>
    </w:p>
  </w:footnote>
  <w:footnote w:id="89">
    <w:p w:rsidR="004147B5" w:rsidRDefault="004147B5" w:rsidP="009822E2">
      <w:pPr>
        <w:pStyle w:val="FootnoteText"/>
      </w:pPr>
      <w:r>
        <w:rPr>
          <w:rStyle w:val="FootnoteReference"/>
        </w:rPr>
        <w:footnoteRef/>
      </w:r>
      <w:r>
        <w:t xml:space="preserve"> </w:t>
      </w:r>
      <w:r>
        <w:tab/>
      </w:r>
      <w:proofErr w:type="spellStart"/>
      <w:r>
        <w:t>Sleeman</w:t>
      </w:r>
      <w:proofErr w:type="spellEnd"/>
      <w:r>
        <w:t xml:space="preserve"> Consulting, Jemena Gas Networks, Revised 2015 Access Arrangement Submission, Review of Capex Forecasts for Selected Projects, Report to Australian Energy Regulator, April 2015, p.16.</w:t>
      </w:r>
    </w:p>
  </w:footnote>
  <w:footnote w:id="90">
    <w:p w:rsidR="004147B5" w:rsidRDefault="004147B5" w:rsidP="001D52D0">
      <w:pPr>
        <w:pStyle w:val="FootnoteText"/>
      </w:pPr>
      <w:r>
        <w:rPr>
          <w:rStyle w:val="FootnoteReference"/>
        </w:rPr>
        <w:footnoteRef/>
      </w:r>
      <w:r>
        <w:t xml:space="preserve"> </w:t>
      </w:r>
      <w:r>
        <w:tab/>
      </w:r>
      <w:proofErr w:type="spellStart"/>
      <w:r>
        <w:t>Sleeman</w:t>
      </w:r>
      <w:proofErr w:type="spellEnd"/>
      <w:r>
        <w:t xml:space="preserve"> Consulting, Jemena Gas Networks, Revised 2015 Access Arrangement Submission, Review of Capex Forecasts for Selected Projects, Report to Australian Energy Regulator, April 2015, p.11.</w:t>
      </w:r>
    </w:p>
  </w:footnote>
  <w:footnote w:id="91">
    <w:p w:rsidR="004147B5" w:rsidRDefault="004147B5" w:rsidP="001D52D0">
      <w:pPr>
        <w:pStyle w:val="FootnoteText"/>
      </w:pPr>
      <w:r>
        <w:rPr>
          <w:rStyle w:val="FootnoteReference"/>
        </w:rPr>
        <w:footnoteRef/>
      </w:r>
      <w:r>
        <w:t xml:space="preserve"> </w:t>
      </w:r>
      <w:r>
        <w:tab/>
      </w:r>
      <w:proofErr w:type="spellStart"/>
      <w:r>
        <w:t>Sleeman</w:t>
      </w:r>
      <w:proofErr w:type="spellEnd"/>
      <w:r>
        <w:t xml:space="preserve"> Consulting, Jemena Gas Networks, Revised 2015 Access Arrangement Submission, Review of Capex Forecasts for Selected Projects, Report to Australian Energy Regulator, April 2015, pp.11-12.</w:t>
      </w:r>
    </w:p>
  </w:footnote>
  <w:footnote w:id="92">
    <w:p w:rsidR="004147B5" w:rsidRDefault="004147B5" w:rsidP="007666D9">
      <w:pPr>
        <w:pStyle w:val="FootnoteText"/>
      </w:pPr>
      <w:r>
        <w:rPr>
          <w:rStyle w:val="FootnoteReference"/>
        </w:rPr>
        <w:footnoteRef/>
      </w:r>
      <w:r>
        <w:t xml:space="preserve"> </w:t>
      </w:r>
      <w:r>
        <w:tab/>
        <w:t>JGN, JGN response to the draft decision, February 2014, p.72.</w:t>
      </w:r>
    </w:p>
  </w:footnote>
  <w:footnote w:id="93">
    <w:p w:rsidR="004147B5" w:rsidRDefault="004147B5" w:rsidP="007666D9">
      <w:pPr>
        <w:pStyle w:val="FootnoteText"/>
      </w:pPr>
      <w:r>
        <w:rPr>
          <w:rStyle w:val="FootnoteReference"/>
        </w:rPr>
        <w:footnoteRef/>
      </w:r>
      <w:r>
        <w:t xml:space="preserve"> </w:t>
      </w:r>
      <w:r>
        <w:tab/>
        <w:t>JGN, JGN response to AER information request AER JGN 055, received 27 April 2015.</w:t>
      </w:r>
    </w:p>
  </w:footnote>
  <w:footnote w:id="94">
    <w:p w:rsidR="004147B5" w:rsidRDefault="004147B5" w:rsidP="007666D9">
      <w:pPr>
        <w:pStyle w:val="FootnoteText"/>
      </w:pPr>
      <w:r>
        <w:rPr>
          <w:rStyle w:val="FootnoteReference"/>
        </w:rPr>
        <w:footnoteRef/>
      </w:r>
      <w:r>
        <w:t xml:space="preserve"> </w:t>
      </w:r>
      <w:r>
        <w:tab/>
        <w:t xml:space="preserve">NGL, </w:t>
      </w:r>
      <w:proofErr w:type="gramStart"/>
      <w:r>
        <w:t>r.74(</w:t>
      </w:r>
      <w:proofErr w:type="gramEnd"/>
      <w:r>
        <w:t>2)(a).</w:t>
      </w:r>
    </w:p>
  </w:footnote>
  <w:footnote w:id="95">
    <w:p w:rsidR="004147B5" w:rsidRDefault="004147B5" w:rsidP="00123034">
      <w:pPr>
        <w:pStyle w:val="FootnoteText"/>
      </w:pPr>
      <w:r>
        <w:rPr>
          <w:rStyle w:val="FootnoteReference"/>
        </w:rPr>
        <w:footnoteRef/>
      </w:r>
      <w:r>
        <w:t xml:space="preserve"> </w:t>
      </w:r>
      <w:r>
        <w:tab/>
      </w:r>
      <w:r w:rsidRPr="00927678">
        <w:t xml:space="preserve">JGN, </w:t>
      </w:r>
      <w:r w:rsidRPr="00927678">
        <w:rPr>
          <w:rStyle w:val="AERtextitalic"/>
        </w:rPr>
        <w:t>2015-20 Access Arrangement Information – Public</w:t>
      </w:r>
      <w:r w:rsidRPr="00927678">
        <w:t>, 30 June 2014</w:t>
      </w:r>
      <w:r>
        <w:t>, pp. 62-63.</w:t>
      </w:r>
    </w:p>
  </w:footnote>
  <w:footnote w:id="96">
    <w:p w:rsidR="004147B5" w:rsidRDefault="004147B5" w:rsidP="00B022DA">
      <w:pPr>
        <w:pStyle w:val="FootnoteText"/>
      </w:pPr>
      <w:r>
        <w:rPr>
          <w:rStyle w:val="FootnoteReference"/>
        </w:rPr>
        <w:footnoteRef/>
      </w:r>
      <w:r>
        <w:t xml:space="preserve"> </w:t>
      </w:r>
      <w:r>
        <w:tab/>
      </w:r>
      <w:r w:rsidRPr="0035714F">
        <w:t xml:space="preserve">NGR, </w:t>
      </w:r>
      <w:proofErr w:type="gramStart"/>
      <w:r w:rsidRPr="0035714F">
        <w:t>r</w:t>
      </w:r>
      <w:r>
        <w:t>.</w:t>
      </w:r>
      <w:r w:rsidRPr="0035714F">
        <w:t>79</w:t>
      </w:r>
      <w:r>
        <w:t>(</w:t>
      </w:r>
      <w:proofErr w:type="gramEnd"/>
      <w:r>
        <w:t>2)(c)(iii)</w:t>
      </w:r>
      <w:r w:rsidRPr="0035714F">
        <w:t>.</w:t>
      </w:r>
    </w:p>
  </w:footnote>
  <w:footnote w:id="97">
    <w:p w:rsidR="004147B5" w:rsidRDefault="004147B5" w:rsidP="00BA7545">
      <w:pPr>
        <w:pStyle w:val="FootnoteText"/>
      </w:pPr>
      <w:r>
        <w:rPr>
          <w:rStyle w:val="FootnoteReference"/>
        </w:rPr>
        <w:footnoteRef/>
      </w:r>
      <w:r>
        <w:t xml:space="preserve"> </w:t>
      </w:r>
      <w:r>
        <w:tab/>
      </w:r>
      <w:r w:rsidRPr="005E1394">
        <w:t>The project amounts that we have approved in real $2013 terms are unchanged</w:t>
      </w:r>
      <w:r>
        <w:t xml:space="preserve"> from our draft decision</w:t>
      </w:r>
      <w:r w:rsidRPr="005E1394">
        <w:t>. The amount we have approved in the final decision in real $2015 terms is lower than the amount we approved in the draft decision. This is because we are applying inflation on JGN's regulatory year basis in the final decision rather than inflation on a financial year basis which applied in error in the draft decision.</w:t>
      </w:r>
    </w:p>
  </w:footnote>
  <w:footnote w:id="98">
    <w:p w:rsidR="004147B5" w:rsidRDefault="004147B5" w:rsidP="001A48AB">
      <w:pPr>
        <w:pStyle w:val="FootnoteText"/>
      </w:pPr>
      <w:r>
        <w:rPr>
          <w:rStyle w:val="FootnoteReference"/>
        </w:rPr>
        <w:footnoteRef/>
      </w:r>
      <w:r>
        <w:t xml:space="preserve"> </w:t>
      </w:r>
      <w:r>
        <w:tab/>
        <w:t>JGN response to the draft decision, February 2014, p.72.</w:t>
      </w:r>
    </w:p>
  </w:footnote>
  <w:footnote w:id="99">
    <w:p w:rsidR="004147B5" w:rsidRDefault="004147B5" w:rsidP="001A48AB">
      <w:pPr>
        <w:pStyle w:val="FootnoteText"/>
      </w:pPr>
      <w:r>
        <w:rPr>
          <w:rStyle w:val="FootnoteReference"/>
        </w:rPr>
        <w:footnoteRef/>
      </w:r>
      <w:r>
        <w:t xml:space="preserve"> </w:t>
      </w:r>
      <w:r>
        <w:tab/>
        <w:t>NGR r.79(1)(a)</w:t>
      </w:r>
    </w:p>
  </w:footnote>
  <w:footnote w:id="100">
    <w:p w:rsidR="004147B5" w:rsidRDefault="004147B5" w:rsidP="001A48AB">
      <w:pPr>
        <w:pStyle w:val="FootnoteText"/>
      </w:pPr>
      <w:r>
        <w:rPr>
          <w:rStyle w:val="FootnoteReference"/>
        </w:rPr>
        <w:footnoteRef/>
      </w:r>
      <w:r>
        <w:t xml:space="preserve"> </w:t>
      </w:r>
      <w:r>
        <w:tab/>
      </w:r>
      <w:proofErr w:type="gramStart"/>
      <w:r w:rsidRPr="00466753">
        <w:t>JGN, 2015-20 Access Arrangement Information – Public, 30 June 2014, Appendix 06.07 Forecast capital expenditure</w:t>
      </w:r>
      <w:r>
        <w:t xml:space="preserve"> </w:t>
      </w:r>
      <w:r w:rsidRPr="00466753">
        <w:t>report - PUBLIC, p.51.</w:t>
      </w:r>
      <w:proofErr w:type="gramEnd"/>
    </w:p>
  </w:footnote>
  <w:footnote w:id="101">
    <w:p w:rsidR="004147B5" w:rsidRDefault="004147B5" w:rsidP="001A48AB">
      <w:pPr>
        <w:pStyle w:val="FootnoteText"/>
      </w:pPr>
      <w:r>
        <w:rPr>
          <w:rStyle w:val="FootnoteReference"/>
        </w:rPr>
        <w:footnoteRef/>
      </w:r>
      <w:r>
        <w:t xml:space="preserve"> </w:t>
      </w:r>
      <w:r>
        <w:tab/>
        <w:t>JGN, Email '</w:t>
      </w:r>
      <w:r w:rsidRPr="00380F66">
        <w:t>JGN AA review: meetings scheduled for Jan/Feb 15</w:t>
      </w:r>
      <w:r>
        <w:t xml:space="preserve">', received 16 January 2015, </w:t>
      </w:r>
      <w:r w:rsidRPr="00380F66">
        <w:t>AER meeting 16 Jan 15 - Capex.pdf</w:t>
      </w:r>
      <w:r>
        <w:t>, p.18.</w:t>
      </w:r>
    </w:p>
  </w:footnote>
  <w:footnote w:id="102">
    <w:p w:rsidR="004147B5" w:rsidRDefault="004147B5" w:rsidP="001A48AB">
      <w:pPr>
        <w:pStyle w:val="FootnoteText"/>
      </w:pPr>
      <w:r>
        <w:rPr>
          <w:rStyle w:val="FootnoteReference"/>
        </w:rPr>
        <w:footnoteRef/>
      </w:r>
      <w:r>
        <w:t xml:space="preserve"> </w:t>
      </w:r>
      <w:r>
        <w:tab/>
      </w:r>
      <w:proofErr w:type="gramStart"/>
      <w:r>
        <w:t>JGN, Revised proposal, February 2015, p. 63.</w:t>
      </w:r>
      <w:proofErr w:type="gramEnd"/>
    </w:p>
  </w:footnote>
  <w:footnote w:id="103">
    <w:p w:rsidR="004147B5" w:rsidRDefault="004147B5" w:rsidP="001A48AB">
      <w:pPr>
        <w:pStyle w:val="FootnoteText"/>
      </w:pPr>
      <w:r>
        <w:rPr>
          <w:rStyle w:val="FootnoteReference"/>
        </w:rPr>
        <w:footnoteRef/>
      </w:r>
      <w:r>
        <w:t xml:space="preserve"> </w:t>
      </w:r>
      <w:r>
        <w:tab/>
      </w:r>
      <w:proofErr w:type="gramStart"/>
      <w:r>
        <w:t>JGN, Revised proposal, February 2015, p. 63.</w:t>
      </w:r>
      <w:proofErr w:type="gramEnd"/>
    </w:p>
  </w:footnote>
  <w:footnote w:id="104">
    <w:p w:rsidR="004147B5" w:rsidRDefault="004147B5" w:rsidP="001A48AB">
      <w:pPr>
        <w:pStyle w:val="FootnoteText"/>
      </w:pPr>
      <w:r>
        <w:rPr>
          <w:rStyle w:val="FootnoteReference"/>
        </w:rPr>
        <w:footnoteRef/>
      </w:r>
      <w:r>
        <w:t xml:space="preserve"> </w:t>
      </w:r>
      <w:r>
        <w:tab/>
        <w:t>AER, File Note: Jemena Gas 2014 - multiple issues addressed - other - Meeting with AER and JGN - 16 January 2015, January 2015 (</w:t>
      </w:r>
      <w:r w:rsidRPr="001748A4">
        <w:t>AER15/2781</w:t>
      </w:r>
      <w:r>
        <w:t>).</w:t>
      </w:r>
    </w:p>
  </w:footnote>
  <w:footnote w:id="105">
    <w:p w:rsidR="004147B5" w:rsidRDefault="004147B5" w:rsidP="001A48AB">
      <w:pPr>
        <w:pStyle w:val="FootnoteText"/>
      </w:pPr>
      <w:r>
        <w:rPr>
          <w:rStyle w:val="FootnoteReference"/>
        </w:rPr>
        <w:footnoteRef/>
      </w:r>
      <w:r>
        <w:t xml:space="preserve"> </w:t>
      </w:r>
      <w:r>
        <w:tab/>
        <w:t xml:space="preserve">For example see JGN, </w:t>
      </w:r>
      <w:proofErr w:type="gramStart"/>
      <w:r w:rsidRPr="004E289E">
        <w:t>2015-20 Access Arrangement Information – Public, 30 June 2014</w:t>
      </w:r>
      <w:proofErr w:type="gramEnd"/>
      <w:r>
        <w:t xml:space="preserve">: </w:t>
      </w:r>
      <w:r w:rsidRPr="008C7F3D">
        <w:t>C411 - 65 PPM Thin Wall Mitigation OB May 2013</w:t>
      </w:r>
      <w:r>
        <w:t xml:space="preserve">.pdf and </w:t>
      </w:r>
      <w:r w:rsidRPr="008134C1">
        <w:t>C424 - 37 Windsor TRS Upgrade OB May 2013</w:t>
      </w:r>
      <w:r>
        <w:t>.pdf.</w:t>
      </w:r>
    </w:p>
  </w:footnote>
  <w:footnote w:id="106">
    <w:p w:rsidR="004147B5" w:rsidRDefault="004147B5">
      <w:pPr>
        <w:pStyle w:val="FootnoteText"/>
      </w:pPr>
      <w:r>
        <w:rPr>
          <w:rStyle w:val="FootnoteReference"/>
        </w:rPr>
        <w:footnoteRef/>
      </w:r>
      <w:r>
        <w:t xml:space="preserve"> </w:t>
      </w:r>
      <w:r>
        <w:tab/>
      </w:r>
      <w:proofErr w:type="gramStart"/>
      <w:r>
        <w:t>AER, File Note '</w:t>
      </w:r>
      <w:hyperlink r:id="rId3" w:history="1">
        <w:r w:rsidRPr="002548B4">
          <w:t>Meeting with AER and JGN 28 April 2015</w:t>
        </w:r>
      </w:hyperlink>
      <w:r>
        <w:t xml:space="preserve">', 28 April 2015, </w:t>
      </w:r>
      <w:hyperlink r:id="rId4" w:history="1">
        <w:r w:rsidRPr="002548B4">
          <w:t>AER15/2804</w:t>
        </w:r>
      </w:hyperlink>
      <w:r>
        <w:t>.</w:t>
      </w:r>
      <w:proofErr w:type="gramEnd"/>
    </w:p>
  </w:footnote>
  <w:footnote w:id="107">
    <w:p w:rsidR="004147B5" w:rsidRDefault="004147B5" w:rsidP="001A48AB">
      <w:pPr>
        <w:pStyle w:val="FootnoteText"/>
      </w:pPr>
      <w:r>
        <w:rPr>
          <w:rStyle w:val="FootnoteReference"/>
        </w:rPr>
        <w:footnoteRef/>
      </w:r>
      <w:r>
        <w:t xml:space="preserve"> </w:t>
      </w:r>
      <w:r>
        <w:tab/>
        <w:t xml:space="preserve">JGN, </w:t>
      </w:r>
      <w:r w:rsidRPr="004E289E">
        <w:t>2015-20 Access Arrangement Information – Public, 30 June 2014</w:t>
      </w:r>
      <w:r>
        <w:t xml:space="preserve">: </w:t>
      </w:r>
      <w:r w:rsidRPr="005A3F20">
        <w:t>SCADA - 10 JGN OSI HW Rep OB May 20141</w:t>
      </w:r>
      <w:r>
        <w:t>.pdf</w:t>
      </w:r>
    </w:p>
  </w:footnote>
  <w:footnote w:id="108">
    <w:p w:rsidR="004147B5" w:rsidRDefault="004147B5" w:rsidP="001A48AB">
      <w:pPr>
        <w:pStyle w:val="FootnoteText"/>
      </w:pPr>
      <w:r>
        <w:rPr>
          <w:rStyle w:val="FootnoteReference"/>
        </w:rPr>
        <w:footnoteRef/>
      </w:r>
      <w:r>
        <w:t xml:space="preserve"> </w:t>
      </w:r>
      <w:r>
        <w:tab/>
        <w:t>JGN, Email '</w:t>
      </w:r>
      <w:r w:rsidRPr="00380F66">
        <w:t>JGN AA review: meetings scheduled for Jan/Feb 15</w:t>
      </w:r>
      <w:r>
        <w:t xml:space="preserve">', received 16 January 2015, </w:t>
      </w:r>
      <w:r w:rsidRPr="00380F66">
        <w:t>AER meeting 16 Jan 15 - Capex.pdf</w:t>
      </w:r>
      <w:r>
        <w:t>, p.18.</w:t>
      </w:r>
    </w:p>
  </w:footnote>
  <w:footnote w:id="109">
    <w:p w:rsidR="004147B5" w:rsidRDefault="004147B5" w:rsidP="0093535D">
      <w:pPr>
        <w:pStyle w:val="FootnoteText"/>
      </w:pPr>
      <w:r>
        <w:rPr>
          <w:rStyle w:val="FootnoteReference"/>
        </w:rPr>
        <w:footnoteRef/>
      </w:r>
      <w:r>
        <w:t xml:space="preserve"> </w:t>
      </w:r>
      <w:r>
        <w:tab/>
      </w:r>
      <w:proofErr w:type="gramStart"/>
      <w:r>
        <w:t xml:space="preserve">JGN, Access arrangement proposal, June 2014, </w:t>
      </w:r>
      <w:r w:rsidRPr="009768FE">
        <w:t>Appendix 04.1 JGN's pipeline service delivery model - CONFIDENTIAL</w:t>
      </w:r>
      <w:r>
        <w:t>.pdf, para 38.</w:t>
      </w:r>
      <w:proofErr w:type="gramEnd"/>
      <w:r>
        <w:t xml:space="preserve"> </w:t>
      </w:r>
      <w:proofErr w:type="spellStart"/>
      <w:r>
        <w:t>Fn</w:t>
      </w:r>
      <w:proofErr w:type="spellEnd"/>
      <w:r>
        <w:t xml:space="preserve"> 8</w:t>
      </w:r>
      <w:proofErr w:type="gramStart"/>
      <w:r>
        <w:t>,  p.9</w:t>
      </w:r>
      <w:proofErr w:type="gramEnd"/>
      <w:r>
        <w:t>.</w:t>
      </w:r>
    </w:p>
  </w:footnote>
  <w:footnote w:id="110">
    <w:p w:rsidR="004147B5" w:rsidRDefault="004147B5" w:rsidP="001A48AB">
      <w:pPr>
        <w:pStyle w:val="FootnoteText"/>
      </w:pPr>
      <w:r>
        <w:rPr>
          <w:rStyle w:val="FootnoteReference"/>
        </w:rPr>
        <w:footnoteRef/>
      </w:r>
      <w:r>
        <w:t xml:space="preserve"> </w:t>
      </w:r>
      <w:r>
        <w:tab/>
      </w:r>
      <w:r w:rsidRPr="005F35E6">
        <w:t>JGN, 2015-20 Access Arrangement Information – Public, 30 June 2014:</w:t>
      </w:r>
      <w:r>
        <w:t xml:space="preserve"> </w:t>
      </w:r>
      <w:r w:rsidRPr="00043D77">
        <w:t>C414 - 102 Ourimbah CDP OB Mar 2014</w:t>
      </w:r>
      <w:r>
        <w:t>.pdf.</w:t>
      </w:r>
    </w:p>
  </w:footnote>
  <w:footnote w:id="111">
    <w:p w:rsidR="004147B5" w:rsidRDefault="004147B5" w:rsidP="001A48AB">
      <w:pPr>
        <w:pStyle w:val="FootnoteText"/>
      </w:pPr>
      <w:r>
        <w:rPr>
          <w:rStyle w:val="FootnoteReference"/>
        </w:rPr>
        <w:footnoteRef/>
      </w:r>
      <w:r>
        <w:t xml:space="preserve"> </w:t>
      </w:r>
      <w:r>
        <w:tab/>
      </w:r>
      <w:r w:rsidRPr="005F35E6">
        <w:t>JGN, 2015-20 Access Arrangement Information – Public, 30 June 2014:</w:t>
      </w:r>
      <w:r>
        <w:t xml:space="preserve"> </w:t>
      </w:r>
      <w:r w:rsidRPr="00043D77">
        <w:t xml:space="preserve">C414 - 104 </w:t>
      </w:r>
      <w:proofErr w:type="spellStart"/>
      <w:r w:rsidRPr="00043D77">
        <w:t>Edmonston</w:t>
      </w:r>
      <w:proofErr w:type="spellEnd"/>
      <w:r w:rsidRPr="00043D77">
        <w:t xml:space="preserve"> Park 1B - OB Mar 2014</w:t>
      </w:r>
      <w:r>
        <w:t>.pdf.</w:t>
      </w:r>
    </w:p>
  </w:footnote>
  <w:footnote w:id="112">
    <w:p w:rsidR="004147B5" w:rsidRDefault="004147B5" w:rsidP="00117B3D">
      <w:pPr>
        <w:pStyle w:val="FootnoteText"/>
      </w:pPr>
      <w:r>
        <w:rPr>
          <w:rStyle w:val="FootnoteReference"/>
        </w:rPr>
        <w:footnoteRef/>
      </w:r>
      <w:r>
        <w:t xml:space="preserve"> </w:t>
      </w:r>
      <w:r>
        <w:tab/>
      </w:r>
      <w:proofErr w:type="gramStart"/>
      <w:r>
        <w:t>NGR.</w:t>
      </w:r>
      <w:proofErr w:type="gramEnd"/>
      <w:r w:rsidRPr="00117B3D">
        <w:t xml:space="preserve"> </w:t>
      </w:r>
      <w:proofErr w:type="gramStart"/>
      <w:r>
        <w:t>r</w:t>
      </w:r>
      <w:proofErr w:type="gramEnd"/>
      <w:r>
        <w:t>. 79(1)(a) and r. 74(2).</w:t>
      </w:r>
    </w:p>
  </w:footnote>
  <w:footnote w:id="113">
    <w:p w:rsidR="004147B5" w:rsidRDefault="004147B5">
      <w:pPr>
        <w:pStyle w:val="FootnoteText"/>
      </w:pPr>
      <w:r>
        <w:rPr>
          <w:rStyle w:val="FootnoteReference"/>
        </w:rPr>
        <w:footnoteRef/>
      </w:r>
      <w:r>
        <w:t xml:space="preserve"> </w:t>
      </w:r>
      <w:r>
        <w:tab/>
        <w:t>AER, Access Arrangement Final Decision, SPI Networks (Gas) Pty Ltd 2013-17, Part4: Confidential appendix, March 2013; AER, Access Arrangement Final Decision, Envestra (Gas) Networks 2013-17, Confidential appendix, March 2013.</w:t>
      </w:r>
    </w:p>
  </w:footnote>
  <w:footnote w:id="114">
    <w:p w:rsidR="004147B5" w:rsidRDefault="004147B5">
      <w:pPr>
        <w:pStyle w:val="FootnoteText"/>
      </w:pPr>
      <w:r>
        <w:rPr>
          <w:rStyle w:val="FootnoteReference"/>
        </w:rPr>
        <w:footnoteRef/>
      </w:r>
      <w:r>
        <w:t xml:space="preserve"> </w:t>
      </w:r>
      <w:r>
        <w:tab/>
        <w:t>AER, Draft decision, Jemena Gas Networks (NSW) Pty Ltd, Access arrangement 2015-20, Attachment 6: Capital Expenditure, November 2014, p. 6-44-5.</w:t>
      </w:r>
    </w:p>
  </w:footnote>
  <w:footnote w:id="115">
    <w:p w:rsidR="004147B5" w:rsidRDefault="004147B5" w:rsidP="004E640F">
      <w:pPr>
        <w:pStyle w:val="FootnoteText"/>
      </w:pPr>
      <w:r>
        <w:rPr>
          <w:rStyle w:val="FootnoteReference"/>
        </w:rPr>
        <w:footnoteRef/>
      </w:r>
      <w:r>
        <w:t xml:space="preserve"> </w:t>
      </w:r>
      <w:r>
        <w:tab/>
        <w:t>AER, Draft decision, Jemena Gas Networks (NSW) Pty Ltd, Access arrangement 2015-20, Attachment 6: Capital Expenditure, November 2014, p. 6-44-5.</w:t>
      </w:r>
    </w:p>
  </w:footnote>
  <w:footnote w:id="116">
    <w:p w:rsidR="004147B5" w:rsidRDefault="004147B5" w:rsidP="003349B1">
      <w:pPr>
        <w:pStyle w:val="FootnoteText"/>
      </w:pPr>
      <w:r>
        <w:rPr>
          <w:rStyle w:val="FootnoteReference"/>
        </w:rPr>
        <w:footnoteRef/>
      </w:r>
      <w:r>
        <w:t xml:space="preserve"> </w:t>
      </w:r>
      <w:r>
        <w:tab/>
        <w:t>AER, Draft decision, Jemena Gas Networks (NSW) Pty Ltd, Access arrangement 2015-20, Attachment 6: Capital Expenditure, November 2014, p. 6-44-5.</w:t>
      </w:r>
    </w:p>
  </w:footnote>
  <w:footnote w:id="117">
    <w:p w:rsidR="004147B5" w:rsidRDefault="004147B5" w:rsidP="002C5666">
      <w:pPr>
        <w:pStyle w:val="FootnoteText"/>
      </w:pPr>
      <w:r>
        <w:rPr>
          <w:rStyle w:val="FootnoteReference"/>
        </w:rPr>
        <w:footnoteRef/>
      </w:r>
      <w:r>
        <w:t xml:space="preserve"> </w:t>
      </w:r>
      <w:r>
        <w:tab/>
        <w:t>JGN, Email '</w:t>
      </w:r>
      <w:r w:rsidRPr="00380F66">
        <w:t>JGN AA review: meetings scheduled for Jan/Feb 15</w:t>
      </w:r>
      <w:r>
        <w:t xml:space="preserve">', received 16 January 2015, </w:t>
      </w:r>
      <w:r w:rsidRPr="00380F66">
        <w:t>AER meeting 16 Jan 15 - Capex.pdf</w:t>
      </w:r>
      <w:r>
        <w:t>, p.12.</w:t>
      </w:r>
    </w:p>
  </w:footnote>
  <w:footnote w:id="118">
    <w:p w:rsidR="004147B5" w:rsidRDefault="004147B5">
      <w:pPr>
        <w:pStyle w:val="FootnoteText"/>
      </w:pPr>
      <w:r>
        <w:rPr>
          <w:rStyle w:val="FootnoteReference"/>
        </w:rPr>
        <w:footnoteRef/>
      </w:r>
      <w:r>
        <w:t xml:space="preserve"> </w:t>
      </w:r>
      <w:r>
        <w:tab/>
      </w:r>
      <w:r w:rsidRPr="002C5666">
        <w:t>JGN</w:t>
      </w:r>
      <w:r>
        <w:t>, R</w:t>
      </w:r>
      <w:r w:rsidRPr="002C5666">
        <w:t>espon</w:t>
      </w:r>
      <w:r>
        <w:t>s</w:t>
      </w:r>
      <w:r w:rsidRPr="002C5666">
        <w:t>e to AER information request AER JGN 062, received 8 May 2015</w:t>
      </w:r>
      <w:r>
        <w:t xml:space="preserve">, </w:t>
      </w:r>
      <w:r w:rsidRPr="006F2BFC">
        <w:t xml:space="preserve">150505 AER information request to </w:t>
      </w:r>
      <w:proofErr w:type="gramStart"/>
      <w:r w:rsidRPr="006F2BFC">
        <w:t>JGN  AER</w:t>
      </w:r>
      <w:proofErr w:type="gramEnd"/>
      <w:r w:rsidRPr="006F2BFC">
        <w:t xml:space="preserve"> JGN 062  Network and Corporate - JGN edits</w:t>
      </w:r>
      <w:r>
        <w:t>.xls; JGN only provided two years of historical data to us.</w:t>
      </w:r>
    </w:p>
  </w:footnote>
  <w:footnote w:id="119">
    <w:p w:rsidR="004147B5" w:rsidRDefault="004147B5">
      <w:pPr>
        <w:pStyle w:val="FootnoteText"/>
      </w:pPr>
      <w:r>
        <w:rPr>
          <w:rStyle w:val="FootnoteReference"/>
        </w:rPr>
        <w:footnoteRef/>
      </w:r>
      <w:r>
        <w:t xml:space="preserve"> </w:t>
      </w:r>
      <w:r>
        <w:tab/>
      </w:r>
      <w:r w:rsidRPr="00363629">
        <w:t xml:space="preserve">In our expenditure forecasting assessment guideline </w:t>
      </w:r>
      <w:r w:rsidRPr="004C1E19">
        <w:t>(AER, Better Regulation, Explanatory Statement, Expenditure Forecast Assessment Guideline, November 2013, p.11) we set out that in applying the base-step-trend approach, we typically use the actual expenditure in a base year (usually the fourth year of the current regulatory period) as the starting point for base expenditure if the NSP was subject to an efficiency benefit sharing scheme (EBSS). However, if there was no efficiency sharing mechanism in place, we assess the components of a NSP's base expenditure in more detail. If necessary, we remove inefficiencies and non-recurrent costs from actual expenditure in the base year. We also use various forms of benchmarking, such as ratio and trend analysis, to inform our assessment of the expenditure forecasts.</w:t>
      </w:r>
    </w:p>
  </w:footnote>
  <w:footnote w:id="120">
    <w:p w:rsidR="004147B5" w:rsidRDefault="004147B5">
      <w:pPr>
        <w:pStyle w:val="FootnoteText"/>
      </w:pPr>
      <w:r>
        <w:rPr>
          <w:rStyle w:val="FootnoteReference"/>
        </w:rPr>
        <w:footnoteRef/>
      </w:r>
      <w:r>
        <w:t xml:space="preserve"> </w:t>
      </w:r>
      <w:r>
        <w:tab/>
      </w:r>
      <w:r w:rsidRPr="00363629">
        <w:t>We observe that there has been a stable horizontal trend in total capex overheads until regulatory year 2012. From regulatory years 2012 to 2014 there has been significant growth in total overheads. There is considerable variability in the four years of data available to us for JGN's network overheads. There is a significant step up in corporate overheads from 2013. There is a significant increase in direct overheads between the two years of data JGN made available to us for direct overheads</w:t>
      </w:r>
      <w:r>
        <w:t>.</w:t>
      </w:r>
    </w:p>
  </w:footnote>
  <w:footnote w:id="121">
    <w:p w:rsidR="004147B5" w:rsidRDefault="004147B5" w:rsidP="001E473C">
      <w:pPr>
        <w:pStyle w:val="FootnoteText"/>
      </w:pPr>
      <w:r>
        <w:rPr>
          <w:rStyle w:val="FootnoteReference"/>
        </w:rPr>
        <w:footnoteRef/>
      </w:r>
      <w:r>
        <w:t xml:space="preserve"> </w:t>
      </w:r>
      <w:r>
        <w:tab/>
        <w:t xml:space="preserve">AER, Email </w:t>
      </w:r>
      <w:proofErr w:type="gramStart"/>
      <w:r>
        <w:t>'</w:t>
      </w:r>
      <w:r w:rsidRPr="00D03EC4">
        <w:t xml:space="preserve"> RE</w:t>
      </w:r>
      <w:proofErr w:type="gramEnd"/>
      <w:r w:rsidRPr="00D03EC4">
        <w:t>: Information requests: AER JGN 061 - Connections and AER JGN 062 - Network and corporate overheads</w:t>
      </w:r>
      <w:r>
        <w:t>', sent 5 May 2015.</w:t>
      </w:r>
    </w:p>
  </w:footnote>
  <w:footnote w:id="122">
    <w:p w:rsidR="004147B5" w:rsidRDefault="004147B5">
      <w:pPr>
        <w:pStyle w:val="FootnoteText"/>
      </w:pPr>
      <w:r>
        <w:rPr>
          <w:rStyle w:val="FootnoteReference"/>
        </w:rPr>
        <w:footnoteRef/>
      </w:r>
      <w:r>
        <w:t xml:space="preserve"> AER, Access Arrangement Final Decision, SPI Networks (Gas) Pty Ltd 2013-17, Part4: Confidential appendix, March 2013; AER, Access Arrangement Final Decision, Envestra (Gas) Networks 2013-17, Confidential appendix, March 2013.</w:t>
      </w:r>
    </w:p>
  </w:footnote>
  <w:footnote w:id="123">
    <w:p w:rsidR="004147B5" w:rsidRDefault="004147B5" w:rsidP="006F2BFC">
      <w:pPr>
        <w:pStyle w:val="FootnoteText"/>
      </w:pPr>
      <w:r>
        <w:rPr>
          <w:rStyle w:val="FootnoteReference"/>
        </w:rPr>
        <w:footnoteRef/>
      </w:r>
      <w:r>
        <w:t xml:space="preserve"> </w:t>
      </w:r>
      <w:r>
        <w:tab/>
      </w:r>
      <w:proofErr w:type="gramStart"/>
      <w:r w:rsidRPr="002C5666">
        <w:t>JGN</w:t>
      </w:r>
      <w:r>
        <w:t>, R</w:t>
      </w:r>
      <w:r w:rsidRPr="002C5666">
        <w:t>espon</w:t>
      </w:r>
      <w:r>
        <w:t>s</w:t>
      </w:r>
      <w:r w:rsidRPr="002C5666">
        <w:t>e to AER information request AER JGN 062, received 8 May 2015</w:t>
      </w:r>
      <w:r>
        <w:t>, p.2.</w:t>
      </w:r>
      <w:proofErr w:type="gramEnd"/>
    </w:p>
  </w:footnote>
  <w:footnote w:id="124">
    <w:p w:rsidR="004147B5" w:rsidRDefault="004147B5" w:rsidP="00CB2989">
      <w:pPr>
        <w:pStyle w:val="FootnoteText"/>
      </w:pPr>
      <w:r>
        <w:rPr>
          <w:rStyle w:val="FootnoteReference"/>
        </w:rPr>
        <w:footnoteRef/>
      </w:r>
      <w:r>
        <w:t xml:space="preserve"> </w:t>
      </w:r>
      <w:r>
        <w:tab/>
      </w:r>
      <w:proofErr w:type="gramStart"/>
      <w:r w:rsidRPr="002C5666">
        <w:t>JGN</w:t>
      </w:r>
      <w:r>
        <w:t>, R</w:t>
      </w:r>
      <w:r w:rsidRPr="002C5666">
        <w:t>espon</w:t>
      </w:r>
      <w:r>
        <w:t>s</w:t>
      </w:r>
      <w:r w:rsidRPr="002C5666">
        <w:t>e to AER information request AER JGN 062, received 8 May 2015</w:t>
      </w:r>
      <w:r>
        <w:t>, p.2.</w:t>
      </w:r>
      <w:proofErr w:type="gramEnd"/>
    </w:p>
  </w:footnote>
  <w:footnote w:id="125">
    <w:p w:rsidR="004147B5" w:rsidRDefault="004147B5">
      <w:pPr>
        <w:pStyle w:val="FootnoteText"/>
      </w:pPr>
      <w:r>
        <w:rPr>
          <w:rStyle w:val="FootnoteReference"/>
        </w:rPr>
        <w:footnoteRef/>
      </w:r>
      <w:r>
        <w:t xml:space="preserve"> </w:t>
      </w:r>
      <w:r>
        <w:tab/>
      </w:r>
      <w:r w:rsidRPr="00BA2F5F">
        <w:t>See unit rate derivation for connections - JGN, Revised proposal, February 2015, Appendix 4.2 - JGN market expansion unit rate derivation model - CONFIDENTIAL, tab '</w:t>
      </w:r>
      <w:proofErr w:type="spellStart"/>
      <w:r w:rsidRPr="00BA2F5F">
        <w:t>Output|TCE</w:t>
      </w:r>
      <w:proofErr w:type="spellEnd"/>
      <w:r w:rsidRPr="00BA2F5F">
        <w:t xml:space="preserve">', which sets out the inclusion of the </w:t>
      </w:r>
      <w:proofErr w:type="spellStart"/>
      <w:r w:rsidRPr="00BA2F5F">
        <w:t>Zinfra</w:t>
      </w:r>
      <w:proofErr w:type="spellEnd"/>
      <w:r w:rsidRPr="00BA2F5F">
        <w:t xml:space="preserve"> management fee and margin in the unit rates, captured as direct costs in the capex model</w:t>
      </w:r>
      <w:r>
        <w:t>.</w:t>
      </w:r>
    </w:p>
  </w:footnote>
  <w:footnote w:id="126">
    <w:p w:rsidR="004147B5" w:rsidRDefault="004147B5">
      <w:pPr>
        <w:pStyle w:val="FootnoteText"/>
      </w:pPr>
      <w:r>
        <w:rPr>
          <w:rStyle w:val="FootnoteReference"/>
        </w:rPr>
        <w:footnoteRef/>
      </w:r>
      <w:r>
        <w:t xml:space="preserve"> </w:t>
      </w:r>
      <w:r>
        <w:tab/>
      </w:r>
      <w:proofErr w:type="gramStart"/>
      <w:r>
        <w:t xml:space="preserve">JGN, Revised proposal, February 2014, </w:t>
      </w:r>
      <w:r w:rsidRPr="00CB2989">
        <w:t>Appendix 04.10 Capitalised overheads [CONFIDENTIAL]</w:t>
      </w:r>
      <w:r>
        <w:t>.pdf, para 42, p.9.</w:t>
      </w:r>
      <w:proofErr w:type="gramEnd"/>
    </w:p>
  </w:footnote>
  <w:footnote w:id="127">
    <w:p w:rsidR="004147B5" w:rsidRDefault="004147B5" w:rsidP="00BA2F5F">
      <w:pPr>
        <w:pStyle w:val="FootnoteText"/>
      </w:pPr>
      <w:r>
        <w:rPr>
          <w:rStyle w:val="FootnoteReference"/>
        </w:rPr>
        <w:footnoteRef/>
      </w:r>
      <w:r>
        <w:t xml:space="preserve"> </w:t>
      </w:r>
      <w:r>
        <w:tab/>
      </w:r>
      <w:r w:rsidRPr="005F35E6">
        <w:t>JGN, 2015-20 Access Arrangement Information – Public, 30 June 2014</w:t>
      </w:r>
      <w:r>
        <w:t xml:space="preserve">, </w:t>
      </w:r>
      <w:r w:rsidRPr="005F35E6">
        <w:t>Appendix I to the AA RIN response - Jemena cost allocation policy and methodology CONFIDENTIAL</w:t>
      </w:r>
      <w:r>
        <w:t>, p.25.</w:t>
      </w:r>
    </w:p>
  </w:footnote>
  <w:footnote w:id="128">
    <w:p w:rsidR="004147B5" w:rsidRDefault="004147B5">
      <w:pPr>
        <w:pStyle w:val="FootnoteText"/>
      </w:pPr>
      <w:r>
        <w:rPr>
          <w:rStyle w:val="FootnoteReference"/>
        </w:rPr>
        <w:footnoteRef/>
      </w:r>
      <w:r>
        <w:t xml:space="preserve"> </w:t>
      </w:r>
      <w:r>
        <w:tab/>
        <w:t>JGN, Response to information request 43a, received 4 November 2014.</w:t>
      </w:r>
    </w:p>
  </w:footnote>
  <w:footnote w:id="129">
    <w:p w:rsidR="004147B5" w:rsidRDefault="004147B5">
      <w:pPr>
        <w:pStyle w:val="FootnoteText"/>
      </w:pPr>
      <w:r>
        <w:rPr>
          <w:rStyle w:val="FootnoteReference"/>
        </w:rPr>
        <w:footnoteRef/>
      </w:r>
      <w:r>
        <w:t xml:space="preserve"> </w:t>
      </w:r>
      <w:r>
        <w:tab/>
        <w:t xml:space="preserve">JGN, Response to </w:t>
      </w:r>
      <w:r w:rsidRPr="009A4EFA">
        <w:t>AER information request – AER JGN 056 – Overheads</w:t>
      </w:r>
      <w:r>
        <w:t>, received 8 May 2015, p.5.</w:t>
      </w:r>
    </w:p>
  </w:footnote>
  <w:footnote w:id="130">
    <w:p w:rsidR="004147B5" w:rsidRDefault="004147B5" w:rsidP="00EA7AE1">
      <w:pPr>
        <w:pStyle w:val="FootnoteText"/>
      </w:pPr>
      <w:r>
        <w:rPr>
          <w:rStyle w:val="FootnoteReference"/>
        </w:rPr>
        <w:footnoteRef/>
      </w:r>
      <w:r>
        <w:t xml:space="preserve"> </w:t>
      </w:r>
      <w:r>
        <w:tab/>
      </w:r>
      <w:r w:rsidRPr="00BF7D40">
        <w:t>JGN, Response to information request 43a, received 4 November 2014.</w:t>
      </w:r>
    </w:p>
  </w:footnote>
  <w:footnote w:id="131">
    <w:p w:rsidR="004147B5" w:rsidRDefault="004147B5" w:rsidP="00EE252E">
      <w:pPr>
        <w:pStyle w:val="FootnoteText"/>
      </w:pPr>
      <w:r>
        <w:rPr>
          <w:rStyle w:val="FootnoteReference"/>
        </w:rPr>
        <w:footnoteRef/>
      </w:r>
      <w:r>
        <w:t xml:space="preserve"> </w:t>
      </w:r>
      <w:r>
        <w:tab/>
        <w:t xml:space="preserve">JGN, Response to </w:t>
      </w:r>
      <w:r w:rsidRPr="009A4EFA">
        <w:t>AER information request – AER JGN 056 – Overheads</w:t>
      </w:r>
      <w:r>
        <w:t>, received 8 May 2015, p.5.</w:t>
      </w:r>
    </w:p>
  </w:footnote>
  <w:footnote w:id="132">
    <w:p w:rsidR="004147B5" w:rsidRPr="007A592D" w:rsidRDefault="004147B5" w:rsidP="00B502D9">
      <w:pPr>
        <w:rPr>
          <w:color w:val="1F497D"/>
        </w:rPr>
      </w:pPr>
      <w:r>
        <w:rPr>
          <w:rStyle w:val="FootnoteReference"/>
        </w:rPr>
        <w:footnoteRef/>
      </w:r>
      <w:r>
        <w:t xml:space="preserve"> </w:t>
      </w:r>
      <w:r w:rsidRPr="007A592D">
        <w:rPr>
          <w:sz w:val="16"/>
          <w:szCs w:val="20"/>
        </w:rPr>
        <w:t>BIS Shrapnel, Real labour and material cost escalation forecasts to 2019/20 – Australia and New South Wales, February 2015, p. iii</w:t>
      </w:r>
      <w:r>
        <w:rPr>
          <w:sz w:val="16"/>
          <w:szCs w:val="20"/>
        </w:rPr>
        <w:t xml:space="preserve">; </w:t>
      </w:r>
      <w:r w:rsidRPr="007A592D">
        <w:rPr>
          <w:sz w:val="16"/>
          <w:szCs w:val="20"/>
        </w:rPr>
        <w:t>Deloitte Access Economics, Forecast growth in labour costs in NEM regions of Australia, 23 February 2015, p. 9.</w:t>
      </w:r>
    </w:p>
  </w:footnote>
  <w:footnote w:id="133">
    <w:p w:rsidR="004147B5" w:rsidRDefault="004147B5" w:rsidP="00B502D9">
      <w:pPr>
        <w:pStyle w:val="FootnoteText"/>
      </w:pPr>
      <w:r>
        <w:rPr>
          <w:rStyle w:val="FootnoteReference"/>
        </w:rPr>
        <w:footnoteRef/>
      </w:r>
      <w:r>
        <w:t xml:space="preserve"> AER, JGN Draft Decision, p. 7-54.</w:t>
      </w:r>
    </w:p>
  </w:footnote>
  <w:footnote w:id="134">
    <w:p w:rsidR="004147B5" w:rsidRDefault="004147B5" w:rsidP="00B502D9">
      <w:pPr>
        <w:pStyle w:val="FootnoteText"/>
      </w:pPr>
      <w:r>
        <w:rPr>
          <w:rStyle w:val="FootnoteReference"/>
        </w:rPr>
        <w:footnoteRef/>
      </w:r>
      <w:r>
        <w:t xml:space="preserve"> AER JGN 057, Information request, 4 May 2015.</w:t>
      </w:r>
    </w:p>
  </w:footnote>
  <w:footnote w:id="135">
    <w:p w:rsidR="004147B5" w:rsidRPr="007A592D" w:rsidRDefault="004147B5" w:rsidP="00B502D9">
      <w:pPr>
        <w:rPr>
          <w:color w:val="1F497D"/>
        </w:rPr>
      </w:pPr>
      <w:r>
        <w:rPr>
          <w:rStyle w:val="FootnoteReference"/>
        </w:rPr>
        <w:footnoteRef/>
      </w:r>
      <w:r>
        <w:t xml:space="preserve"> </w:t>
      </w:r>
      <w:r w:rsidRPr="007A592D">
        <w:rPr>
          <w:sz w:val="16"/>
          <w:szCs w:val="20"/>
        </w:rPr>
        <w:t>BIS Shrapnel, Real labour and material cost escalation forecasts to 2019/20 – Australia and New South Wales, February 2015, p. iii</w:t>
      </w:r>
      <w:r>
        <w:rPr>
          <w:sz w:val="16"/>
          <w:szCs w:val="20"/>
        </w:rPr>
        <w:t xml:space="preserve">; </w:t>
      </w:r>
      <w:r w:rsidRPr="007A592D">
        <w:rPr>
          <w:sz w:val="16"/>
          <w:szCs w:val="20"/>
        </w:rPr>
        <w:t>Deloitte Access Economics, Forecast growth in labour costs in NEM regions of Australia, 23 February 2015, p. 9.</w:t>
      </w:r>
    </w:p>
  </w:footnote>
  <w:footnote w:id="136">
    <w:p w:rsidR="004147B5" w:rsidRDefault="004147B5" w:rsidP="00B502D9">
      <w:pPr>
        <w:pStyle w:val="FootnoteText"/>
      </w:pPr>
      <w:r>
        <w:rPr>
          <w:rStyle w:val="FootnoteReference"/>
        </w:rPr>
        <w:footnoteRef/>
      </w:r>
      <w:r>
        <w:t xml:space="preserve"> AER, Final Decision. </w:t>
      </w:r>
      <w:proofErr w:type="gramStart"/>
      <w:r>
        <w:t>TransGrid transmission determination 2015-16 and 2017-18, April 2015.</w:t>
      </w:r>
      <w:proofErr w:type="gramEnd"/>
    </w:p>
  </w:footnote>
  <w:footnote w:id="137">
    <w:p w:rsidR="004147B5" w:rsidRDefault="004147B5" w:rsidP="000C2F15">
      <w:pPr>
        <w:pStyle w:val="FootnoteText"/>
      </w:pPr>
      <w:r>
        <w:rPr>
          <w:rStyle w:val="FootnoteReference"/>
        </w:rPr>
        <w:footnoteRef/>
      </w:r>
      <w:r>
        <w:t xml:space="preserve"> </w:t>
      </w:r>
      <w:r>
        <w:tab/>
      </w:r>
      <w:proofErr w:type="gramStart"/>
      <w:r w:rsidRPr="00E416DD">
        <w:t>N</w:t>
      </w:r>
      <w:r>
        <w:t>G</w:t>
      </w:r>
      <w:r w:rsidRPr="00E416DD">
        <w:t xml:space="preserve">R, clause </w:t>
      </w:r>
      <w:r>
        <w:t>79</w:t>
      </w:r>
      <w:r w:rsidRPr="00E416DD">
        <w:t>.</w:t>
      </w:r>
      <w:proofErr w:type="gramEnd"/>
    </w:p>
  </w:footnote>
  <w:footnote w:id="138">
    <w:p w:rsidR="004147B5" w:rsidRDefault="004147B5" w:rsidP="000C2F15">
      <w:pPr>
        <w:pStyle w:val="FootnoteText"/>
      </w:pPr>
      <w:r>
        <w:rPr>
          <w:rStyle w:val="FootnoteReference"/>
        </w:rPr>
        <w:footnoteRef/>
      </w:r>
      <w:r>
        <w:t xml:space="preserve"> </w:t>
      </w:r>
      <w:r>
        <w:tab/>
        <w:t xml:space="preserve">JGN, </w:t>
      </w:r>
      <w:r>
        <w:rPr>
          <w:rStyle w:val="AERtextitalic"/>
        </w:rPr>
        <w:t>Revised A</w:t>
      </w:r>
      <w:r w:rsidRPr="00DF27C5">
        <w:rPr>
          <w:rStyle w:val="AERtextitalic"/>
        </w:rPr>
        <w:t>ccess Arrangement Proposal,</w:t>
      </w:r>
      <w:r>
        <w:t xml:space="preserve"> </w:t>
      </w:r>
      <w:r w:rsidRPr="00DF27C5">
        <w:rPr>
          <w:rStyle w:val="AERtextitalic"/>
        </w:rPr>
        <w:t xml:space="preserve">Appendix </w:t>
      </w:r>
      <w:r>
        <w:rPr>
          <w:rStyle w:val="AERtextitalic"/>
        </w:rPr>
        <w:t>5.1</w:t>
      </w:r>
      <w:r w:rsidRPr="00DF27C5">
        <w:rPr>
          <w:rStyle w:val="AERtextitalic"/>
        </w:rPr>
        <w:t xml:space="preserve"> </w:t>
      </w:r>
      <w:r w:rsidRPr="00E16C63">
        <w:rPr>
          <w:rStyle w:val="AERtextitalic"/>
        </w:rPr>
        <w:t xml:space="preserve">BIS Shrapnel Updated cost escalators for JGN </w:t>
      </w:r>
      <w:r>
        <w:rPr>
          <w:rStyle w:val="AERtextitalic"/>
        </w:rPr>
        <w:t xml:space="preserve">(Public), </w:t>
      </w:r>
      <w:r>
        <w:t>February 2015.</w:t>
      </w:r>
    </w:p>
  </w:footnote>
  <w:footnote w:id="139">
    <w:p w:rsidR="004147B5" w:rsidRDefault="004147B5" w:rsidP="000C2F15">
      <w:pPr>
        <w:pStyle w:val="FootnoteText"/>
      </w:pPr>
      <w:r>
        <w:rPr>
          <w:rStyle w:val="FootnoteReference"/>
        </w:rPr>
        <w:footnoteRef/>
      </w:r>
      <w:r>
        <w:t xml:space="preserve"> </w:t>
      </w:r>
      <w:r>
        <w:tab/>
        <w:t xml:space="preserve">BIS Shrapnel, </w:t>
      </w:r>
      <w:r w:rsidRPr="00E16C63">
        <w:rPr>
          <w:rStyle w:val="AERtextitalic"/>
        </w:rPr>
        <w:t xml:space="preserve">Updated cost escalators for JGN </w:t>
      </w:r>
      <w:r>
        <w:rPr>
          <w:rStyle w:val="AERtextitalic"/>
        </w:rPr>
        <w:t>(Public)</w:t>
      </w:r>
      <w:r>
        <w:t xml:space="preserve">, February 2015, p. </w:t>
      </w:r>
      <w:proofErr w:type="gramStart"/>
      <w:r>
        <w:t>iv</w:t>
      </w:r>
      <w:proofErr w:type="gramEnd"/>
      <w:r>
        <w:t>.</w:t>
      </w:r>
    </w:p>
  </w:footnote>
  <w:footnote w:id="140">
    <w:p w:rsidR="004147B5" w:rsidRDefault="004147B5" w:rsidP="000C2F15">
      <w:pPr>
        <w:pStyle w:val="FootnoteText"/>
      </w:pPr>
      <w:r>
        <w:rPr>
          <w:rStyle w:val="FootnoteReference"/>
        </w:rPr>
        <w:footnoteRef/>
      </w:r>
      <w:r>
        <w:t xml:space="preserve"> </w:t>
      </w:r>
      <w:r>
        <w:tab/>
        <w:t xml:space="preserve">JGN, </w:t>
      </w:r>
      <w:r>
        <w:rPr>
          <w:rStyle w:val="AERtextitalic"/>
        </w:rPr>
        <w:t>Revised A</w:t>
      </w:r>
      <w:r w:rsidRPr="00DF27C5">
        <w:rPr>
          <w:rStyle w:val="AERtextitalic"/>
        </w:rPr>
        <w:t>ccess Arrangement Proposal,</w:t>
      </w:r>
      <w:r>
        <w:t xml:space="preserve"> </w:t>
      </w:r>
      <w:r w:rsidRPr="00DF27C5">
        <w:rPr>
          <w:rStyle w:val="AERtextitalic"/>
        </w:rPr>
        <w:t>Appendix</w:t>
      </w:r>
      <w:r>
        <w:rPr>
          <w:rStyle w:val="AERtextitalic"/>
        </w:rPr>
        <w:t>5.1</w:t>
      </w:r>
      <w:r w:rsidRPr="00DF27C5">
        <w:rPr>
          <w:rStyle w:val="AERtextitalic"/>
        </w:rPr>
        <w:t xml:space="preserve"> </w:t>
      </w:r>
      <w:r>
        <w:rPr>
          <w:rStyle w:val="AERtextitalic"/>
        </w:rPr>
        <w:t xml:space="preserve">BIS Shrapnel </w:t>
      </w:r>
      <w:r w:rsidRPr="00E16C63">
        <w:rPr>
          <w:rStyle w:val="AERtextitalic"/>
        </w:rPr>
        <w:t xml:space="preserve">Updated cost escalators for JGN </w:t>
      </w:r>
      <w:r>
        <w:rPr>
          <w:rStyle w:val="AERtextitalic"/>
        </w:rPr>
        <w:t xml:space="preserve">(Public), </w:t>
      </w:r>
      <w:r>
        <w:t>February 2015, pp. A5-7.</w:t>
      </w:r>
    </w:p>
  </w:footnote>
  <w:footnote w:id="141">
    <w:p w:rsidR="004147B5" w:rsidRDefault="004147B5" w:rsidP="000C2F15">
      <w:pPr>
        <w:pStyle w:val="FootnoteText"/>
      </w:pPr>
      <w:r>
        <w:rPr>
          <w:rStyle w:val="FootnoteReference"/>
        </w:rPr>
        <w:footnoteRef/>
      </w:r>
      <w:r>
        <w:t xml:space="preserve"> </w:t>
      </w:r>
      <w:r>
        <w:tab/>
        <w:t xml:space="preserve">AER, </w:t>
      </w:r>
      <w:r w:rsidRPr="00BB79DB">
        <w:rPr>
          <w:rStyle w:val="AERtextitalic"/>
        </w:rPr>
        <w:t>Draft decision, Jemena Gas Networks 2015-20, November 2014, Attachment 6 Capital expenditure</w:t>
      </w:r>
      <w:r>
        <w:t>, November 2014, p. 6-49.</w:t>
      </w:r>
    </w:p>
  </w:footnote>
  <w:footnote w:id="142">
    <w:p w:rsidR="004147B5" w:rsidRDefault="004147B5" w:rsidP="000C2F15">
      <w:pPr>
        <w:pStyle w:val="FootnoteText"/>
      </w:pPr>
      <w:r>
        <w:rPr>
          <w:rStyle w:val="FootnoteReference"/>
        </w:rPr>
        <w:footnoteRef/>
      </w:r>
      <w:r>
        <w:t xml:space="preserve"> </w:t>
      </w:r>
      <w:r>
        <w:tab/>
        <w:t xml:space="preserve">JGN, </w:t>
      </w:r>
      <w:r>
        <w:rPr>
          <w:rStyle w:val="AERtextitalic"/>
        </w:rPr>
        <w:t>2015-20 Access Arrangement Information (Public)</w:t>
      </w:r>
      <w:r>
        <w:t>, 30 June 2014, p. 68.</w:t>
      </w:r>
    </w:p>
  </w:footnote>
  <w:footnote w:id="143">
    <w:p w:rsidR="004147B5" w:rsidRDefault="004147B5" w:rsidP="000C2F15">
      <w:pPr>
        <w:pStyle w:val="FootnoteText"/>
      </w:pPr>
      <w:r>
        <w:rPr>
          <w:rStyle w:val="FootnoteReference"/>
        </w:rPr>
        <w:footnoteRef/>
      </w:r>
      <w:r>
        <w:t xml:space="preserve"> </w:t>
      </w:r>
      <w:r>
        <w:tab/>
        <w:t xml:space="preserve">JGN, </w:t>
      </w:r>
      <w:r w:rsidRPr="006E0949">
        <w:rPr>
          <w:rStyle w:val="AERtextitalic"/>
        </w:rPr>
        <w:t>2015-20 Access Arrangement, Response to the AER's draft decision and revised proposal</w:t>
      </w:r>
      <w:r>
        <w:t>, February 2015, p. 85.</w:t>
      </w:r>
    </w:p>
  </w:footnote>
  <w:footnote w:id="144">
    <w:p w:rsidR="004147B5" w:rsidRDefault="004147B5" w:rsidP="000C2F15">
      <w:pPr>
        <w:pStyle w:val="FootnoteText"/>
      </w:pPr>
      <w:r>
        <w:rPr>
          <w:rStyle w:val="FootnoteReference"/>
        </w:rPr>
        <w:footnoteRef/>
      </w:r>
      <w:r>
        <w:t xml:space="preserve"> </w:t>
      </w:r>
      <w:r>
        <w:tab/>
      </w:r>
      <w:proofErr w:type="gramStart"/>
      <w:r w:rsidRPr="0012416C">
        <w:t xml:space="preserve">AER, </w:t>
      </w:r>
      <w:r w:rsidRPr="0012416C">
        <w:rPr>
          <w:rStyle w:val="AERtextitalic"/>
        </w:rPr>
        <w:t>Draft Decision, SP AusNet Transmission Determination 2014/15 to 2016/17</w:t>
      </w:r>
      <w:r>
        <w:t>, August 2013, p.67.</w:t>
      </w:r>
      <w:proofErr w:type="gramEnd"/>
    </w:p>
  </w:footnote>
  <w:footnote w:id="145">
    <w:p w:rsidR="004147B5" w:rsidRDefault="004147B5" w:rsidP="000C2F15">
      <w:pPr>
        <w:pStyle w:val="FootnoteText"/>
      </w:pPr>
      <w:r>
        <w:rPr>
          <w:rStyle w:val="FootnoteReference"/>
        </w:rPr>
        <w:footnoteRef/>
      </w:r>
      <w:r>
        <w:t xml:space="preserve"> </w:t>
      </w:r>
      <w:r>
        <w:tab/>
        <w:t xml:space="preserve">JGN, </w:t>
      </w:r>
      <w:r>
        <w:rPr>
          <w:rStyle w:val="AERtextitalic"/>
        </w:rPr>
        <w:t>Revised A</w:t>
      </w:r>
      <w:r w:rsidRPr="00DF27C5">
        <w:rPr>
          <w:rStyle w:val="AERtextitalic"/>
        </w:rPr>
        <w:t>ccess Arrangement Proposal,</w:t>
      </w:r>
      <w:r>
        <w:t xml:space="preserve"> </w:t>
      </w:r>
      <w:r w:rsidRPr="00DF27C5">
        <w:rPr>
          <w:rStyle w:val="AERtextitalic"/>
        </w:rPr>
        <w:t>Appendix</w:t>
      </w:r>
      <w:r>
        <w:rPr>
          <w:rStyle w:val="AERtextitalic"/>
        </w:rPr>
        <w:t>5.1</w:t>
      </w:r>
      <w:r w:rsidRPr="00DF27C5">
        <w:rPr>
          <w:rStyle w:val="AERtextitalic"/>
        </w:rPr>
        <w:t xml:space="preserve"> </w:t>
      </w:r>
      <w:r>
        <w:rPr>
          <w:rStyle w:val="AERtextitalic"/>
        </w:rPr>
        <w:t xml:space="preserve">BIS Shrapnel </w:t>
      </w:r>
      <w:r w:rsidRPr="00E16C63">
        <w:rPr>
          <w:rStyle w:val="AERtextitalic"/>
        </w:rPr>
        <w:t xml:space="preserve">Updated cost escalators for JGN </w:t>
      </w:r>
      <w:r>
        <w:rPr>
          <w:rStyle w:val="AERtextitalic"/>
        </w:rPr>
        <w:t xml:space="preserve">(Public), </w:t>
      </w:r>
      <w:r>
        <w:t>February 2015, p. ii.</w:t>
      </w:r>
    </w:p>
  </w:footnote>
  <w:footnote w:id="146">
    <w:p w:rsidR="004147B5" w:rsidRDefault="004147B5" w:rsidP="000C2F15">
      <w:pPr>
        <w:pStyle w:val="FootnoteText"/>
      </w:pPr>
      <w:r>
        <w:rPr>
          <w:rStyle w:val="FootnoteReference"/>
        </w:rPr>
        <w:footnoteRef/>
      </w:r>
      <w:r>
        <w:t xml:space="preserve"> </w:t>
      </w:r>
      <w:r>
        <w:tab/>
        <w:t xml:space="preserve">JGN, </w:t>
      </w:r>
      <w:r>
        <w:rPr>
          <w:rStyle w:val="AERtextitalic"/>
        </w:rPr>
        <w:t>Revised A</w:t>
      </w:r>
      <w:r w:rsidRPr="00DF27C5">
        <w:rPr>
          <w:rStyle w:val="AERtextitalic"/>
        </w:rPr>
        <w:t>ccess Arrangement Proposal,</w:t>
      </w:r>
      <w:r>
        <w:t xml:space="preserve"> </w:t>
      </w:r>
      <w:r w:rsidRPr="00DF27C5">
        <w:rPr>
          <w:rStyle w:val="AERtextitalic"/>
        </w:rPr>
        <w:t>Appendix</w:t>
      </w:r>
      <w:r>
        <w:rPr>
          <w:rStyle w:val="AERtextitalic"/>
        </w:rPr>
        <w:t>5.1</w:t>
      </w:r>
      <w:r w:rsidRPr="00DF27C5">
        <w:rPr>
          <w:rStyle w:val="AERtextitalic"/>
        </w:rPr>
        <w:t xml:space="preserve"> </w:t>
      </w:r>
      <w:r>
        <w:rPr>
          <w:rStyle w:val="AERtextitalic"/>
        </w:rPr>
        <w:t xml:space="preserve">BIS Shrapnel </w:t>
      </w:r>
      <w:r w:rsidRPr="00E16C63">
        <w:rPr>
          <w:rStyle w:val="AERtextitalic"/>
        </w:rPr>
        <w:t xml:space="preserve">Updated cost escalators for JGN </w:t>
      </w:r>
      <w:r>
        <w:rPr>
          <w:rStyle w:val="AERtextitalic"/>
        </w:rPr>
        <w:t xml:space="preserve">(Public), </w:t>
      </w:r>
      <w:r>
        <w:t>February 2015, p. ii.</w:t>
      </w:r>
    </w:p>
  </w:footnote>
  <w:footnote w:id="147">
    <w:p w:rsidR="004147B5" w:rsidRDefault="004147B5" w:rsidP="000C2F15">
      <w:pPr>
        <w:pStyle w:val="FootnoteText"/>
      </w:pPr>
      <w:r>
        <w:rPr>
          <w:rStyle w:val="FootnoteReference"/>
        </w:rPr>
        <w:footnoteRef/>
      </w:r>
      <w:r>
        <w:t xml:space="preserve"> </w:t>
      </w:r>
      <w:r>
        <w:tab/>
      </w:r>
      <w:proofErr w:type="gramStart"/>
      <w:r>
        <w:t>NGR, clause 79(1).</w:t>
      </w:r>
      <w:proofErr w:type="gramEnd"/>
    </w:p>
  </w:footnote>
  <w:footnote w:id="148">
    <w:p w:rsidR="004147B5" w:rsidRDefault="004147B5" w:rsidP="000C2F15">
      <w:pPr>
        <w:pStyle w:val="FootnoteText"/>
      </w:pPr>
      <w:r>
        <w:rPr>
          <w:rStyle w:val="FootnoteReference"/>
        </w:rPr>
        <w:footnoteRef/>
      </w:r>
      <w:r>
        <w:t xml:space="preserve"> </w:t>
      </w:r>
      <w:r>
        <w:tab/>
      </w:r>
      <w:proofErr w:type="gramStart"/>
      <w:r>
        <w:t>NGR, clause 74(2).</w:t>
      </w:r>
      <w:proofErr w:type="gramEnd"/>
    </w:p>
  </w:footnote>
  <w:footnote w:id="149">
    <w:p w:rsidR="004147B5" w:rsidRDefault="004147B5" w:rsidP="000C2F15">
      <w:pPr>
        <w:pStyle w:val="FootnoteText"/>
      </w:pPr>
      <w:r>
        <w:rPr>
          <w:rStyle w:val="FootnoteReference"/>
        </w:rPr>
        <w:footnoteRef/>
      </w:r>
      <w:r>
        <w:t xml:space="preserve"> </w:t>
      </w:r>
      <w:r>
        <w:tab/>
      </w:r>
      <w:r w:rsidRPr="0087601C">
        <w:t xml:space="preserve">AER, </w:t>
      </w:r>
      <w:r w:rsidRPr="0087601C">
        <w:rPr>
          <w:rStyle w:val="AERtextitalic"/>
        </w:rPr>
        <w:t>Draft decision, Jemena Gas Networks 2015-20, November 2014, Attachment 6 Capital expenditure</w:t>
      </w:r>
      <w:r w:rsidRPr="0087601C">
        <w:t>, November 2014, p</w:t>
      </w:r>
      <w:r>
        <w:t>p</w:t>
      </w:r>
      <w:r w:rsidRPr="0087601C">
        <w:t>. 6-49</w:t>
      </w:r>
      <w:r>
        <w:t>-50</w:t>
      </w:r>
      <w:r w:rsidRPr="0087601C">
        <w:t>.</w:t>
      </w:r>
    </w:p>
  </w:footnote>
  <w:footnote w:id="150">
    <w:p w:rsidR="004147B5" w:rsidRDefault="004147B5" w:rsidP="000C2F15">
      <w:pPr>
        <w:pStyle w:val="FootnoteText"/>
      </w:pPr>
      <w:r>
        <w:rPr>
          <w:rStyle w:val="FootnoteReference"/>
        </w:rPr>
        <w:footnoteRef/>
      </w:r>
      <w:r>
        <w:t xml:space="preserve"> </w:t>
      </w:r>
      <w:r>
        <w:tab/>
        <w:t>NGR, clause 79(1</w:t>
      </w:r>
      <w:proofErr w:type="gramStart"/>
      <w:r>
        <w:t>)(</w:t>
      </w:r>
      <w:proofErr w:type="gramEnd"/>
      <w:r>
        <w:t>a).</w:t>
      </w:r>
    </w:p>
  </w:footnote>
  <w:footnote w:id="151">
    <w:p w:rsidR="004147B5" w:rsidRDefault="004147B5" w:rsidP="000C2F15">
      <w:pPr>
        <w:pStyle w:val="FootnoteText"/>
      </w:pPr>
      <w:r>
        <w:rPr>
          <w:rStyle w:val="FootnoteReference"/>
        </w:rPr>
        <w:footnoteRef/>
      </w:r>
      <w:r>
        <w:t xml:space="preserve"> </w:t>
      </w:r>
      <w:r>
        <w:tab/>
      </w:r>
      <w:r w:rsidRPr="00DA087E">
        <w:t>The Energy Markets Reform Forum</w:t>
      </w:r>
      <w:r>
        <w:t xml:space="preserve">, </w:t>
      </w:r>
      <w:r w:rsidRPr="00897090">
        <w:rPr>
          <w:rStyle w:val="AERtextitalic"/>
        </w:rPr>
        <w:t xml:space="preserve">NSW Gas Distribution Revenue Reset Draft Decision by the Australian Energy Regulator on </w:t>
      </w:r>
      <w:proofErr w:type="spellStart"/>
      <w:r w:rsidRPr="00897090">
        <w:rPr>
          <w:rStyle w:val="AERtextitalic"/>
        </w:rPr>
        <w:t>Jemena’s</w:t>
      </w:r>
      <w:proofErr w:type="spellEnd"/>
      <w:r w:rsidRPr="00897090">
        <w:rPr>
          <w:rStyle w:val="AERtextitalic"/>
        </w:rPr>
        <w:t xml:space="preserve"> Gas Networks Access Arrangement </w:t>
      </w:r>
      <w:r>
        <w:rPr>
          <w:rStyle w:val="AERtextitalic"/>
        </w:rPr>
        <w:t xml:space="preserve">- </w:t>
      </w:r>
      <w:r w:rsidRPr="00897090">
        <w:rPr>
          <w:rStyle w:val="AERtextitalic"/>
        </w:rPr>
        <w:t>A response by The Energy Markets Reform Forum</w:t>
      </w:r>
      <w:r>
        <w:rPr>
          <w:rStyle w:val="AERtextitalic"/>
        </w:rPr>
        <w:t>,</w:t>
      </w:r>
      <w:r>
        <w:t xml:space="preserve"> </w:t>
      </w:r>
      <w:r w:rsidRPr="00897090">
        <w:t>March 2015</w:t>
      </w:r>
      <w:r>
        <w:t>, p. 51.</w:t>
      </w:r>
    </w:p>
  </w:footnote>
  <w:footnote w:id="152">
    <w:p w:rsidR="004147B5" w:rsidRDefault="004147B5" w:rsidP="000C2F15">
      <w:pPr>
        <w:pStyle w:val="FootnoteText"/>
      </w:pPr>
      <w:r>
        <w:rPr>
          <w:rStyle w:val="FootnoteReference"/>
        </w:rPr>
        <w:footnoteRef/>
      </w:r>
      <w:r>
        <w:t xml:space="preserve"> </w:t>
      </w:r>
      <w:r>
        <w:tab/>
      </w:r>
      <w:r w:rsidRPr="00DA087E">
        <w:t>The Energy Markets Reform Forum</w:t>
      </w:r>
      <w:r>
        <w:t xml:space="preserve">, </w:t>
      </w:r>
      <w:r w:rsidRPr="00897090">
        <w:rPr>
          <w:rStyle w:val="AERtextitalic"/>
        </w:rPr>
        <w:t xml:space="preserve">NSW Gas Distribution Revenue Reset Draft Decision by the Australian Energy Regulator on </w:t>
      </w:r>
      <w:proofErr w:type="spellStart"/>
      <w:r w:rsidRPr="00897090">
        <w:rPr>
          <w:rStyle w:val="AERtextitalic"/>
        </w:rPr>
        <w:t>Jemena’s</w:t>
      </w:r>
      <w:proofErr w:type="spellEnd"/>
      <w:r w:rsidRPr="00897090">
        <w:rPr>
          <w:rStyle w:val="AERtextitalic"/>
        </w:rPr>
        <w:t xml:space="preserve"> Gas Networks Access Arrangement </w:t>
      </w:r>
      <w:r>
        <w:rPr>
          <w:rStyle w:val="AERtextitalic"/>
        </w:rPr>
        <w:t xml:space="preserve">- </w:t>
      </w:r>
      <w:r w:rsidRPr="00897090">
        <w:rPr>
          <w:rStyle w:val="AERtextitalic"/>
        </w:rPr>
        <w:t>A response by The Energy Markets Reform Forum</w:t>
      </w:r>
      <w:r>
        <w:rPr>
          <w:rStyle w:val="AERtextitalic"/>
        </w:rPr>
        <w:t>,</w:t>
      </w:r>
      <w:r>
        <w:t xml:space="preserve"> </w:t>
      </w:r>
      <w:r w:rsidRPr="00897090">
        <w:t>March 2015</w:t>
      </w:r>
      <w:r>
        <w:t>, p. 51.</w:t>
      </w:r>
    </w:p>
  </w:footnote>
  <w:footnote w:id="153">
    <w:p w:rsidR="004147B5" w:rsidRDefault="004147B5" w:rsidP="000C2F15">
      <w:pPr>
        <w:pStyle w:val="FootnoteText"/>
      </w:pPr>
      <w:r>
        <w:rPr>
          <w:rStyle w:val="FootnoteReference"/>
        </w:rPr>
        <w:footnoteRef/>
      </w:r>
      <w:r>
        <w:t xml:space="preserve"> </w:t>
      </w:r>
      <w:r>
        <w:tab/>
        <w:t xml:space="preserve">JGN, </w:t>
      </w:r>
      <w:r w:rsidRPr="006E0949">
        <w:rPr>
          <w:rStyle w:val="AERtextitalic"/>
        </w:rPr>
        <w:t>2015-20 Access Arrangement, Response to the AER's draft decision and revised proposal</w:t>
      </w:r>
      <w:r>
        <w:t>, February 2015, p. 85.</w:t>
      </w:r>
    </w:p>
  </w:footnote>
  <w:footnote w:id="154">
    <w:p w:rsidR="004147B5" w:rsidRDefault="004147B5" w:rsidP="000C2F15">
      <w:pPr>
        <w:pStyle w:val="FootnoteText"/>
      </w:pPr>
      <w:r>
        <w:rPr>
          <w:rStyle w:val="FootnoteReference"/>
        </w:rPr>
        <w:footnoteRef/>
      </w:r>
      <w:r>
        <w:t xml:space="preserve"> </w:t>
      </w:r>
      <w:r>
        <w:tab/>
      </w:r>
      <w:proofErr w:type="gramStart"/>
      <w:r>
        <w:t>NGR, clause 79(1).</w:t>
      </w:r>
      <w:proofErr w:type="gramEnd"/>
      <w:r>
        <w:t xml:space="preserve"> </w:t>
      </w:r>
    </w:p>
  </w:footnote>
  <w:footnote w:id="155">
    <w:p w:rsidR="004147B5" w:rsidRDefault="004147B5" w:rsidP="000C2F15">
      <w:pPr>
        <w:pStyle w:val="FootnoteText"/>
      </w:pPr>
      <w:r>
        <w:rPr>
          <w:rStyle w:val="FootnoteReference"/>
        </w:rPr>
        <w:footnoteRef/>
      </w:r>
      <w:r>
        <w:t xml:space="preserve"> </w:t>
      </w:r>
      <w:r>
        <w:tab/>
        <w:t xml:space="preserve">AER, </w:t>
      </w:r>
      <w:r w:rsidRPr="00BB79DB">
        <w:rPr>
          <w:rStyle w:val="AERtextitalic"/>
        </w:rPr>
        <w:t>Draft decision, Jemena Gas Networks 2015-20, November 2014, Attachment 6 Capital expenditure</w:t>
      </w:r>
      <w:r>
        <w:t>, November 2014, pp. 6-50-58.</w:t>
      </w:r>
    </w:p>
  </w:footnote>
  <w:footnote w:id="156">
    <w:p w:rsidR="004147B5" w:rsidRDefault="004147B5" w:rsidP="000C2F15">
      <w:pPr>
        <w:pStyle w:val="FootnoteText"/>
      </w:pPr>
      <w:r>
        <w:rPr>
          <w:rStyle w:val="FootnoteReference"/>
        </w:rPr>
        <w:footnoteRef/>
      </w:r>
      <w:r>
        <w:t xml:space="preserve"> </w:t>
      </w:r>
      <w:r>
        <w:tab/>
      </w:r>
      <w:r w:rsidRPr="006B1495">
        <w:t xml:space="preserve">R. </w:t>
      </w:r>
      <w:proofErr w:type="spellStart"/>
      <w:r w:rsidRPr="006B1495">
        <w:t>Alquist</w:t>
      </w:r>
      <w:proofErr w:type="spellEnd"/>
      <w:r w:rsidRPr="006B1495">
        <w:t xml:space="preserve">, L. Kilian, R. </w:t>
      </w:r>
      <w:proofErr w:type="spellStart"/>
      <w:r w:rsidRPr="006B1495">
        <w:t>Vigfusson</w:t>
      </w:r>
      <w:proofErr w:type="spellEnd"/>
      <w:r w:rsidRPr="006B1495">
        <w:t xml:space="preserve">, </w:t>
      </w:r>
      <w:r w:rsidRPr="006B1495">
        <w:rPr>
          <w:rStyle w:val="AERtextitalic"/>
        </w:rPr>
        <w:t>Forecasting the Price of Oil</w:t>
      </w:r>
      <w:r w:rsidRPr="006B1495">
        <w:t xml:space="preserve">, Board of Governors of the Federal Reserve System, International Finance Discussion Papers, Number 1022, July 2011 (also published as </w:t>
      </w:r>
      <w:proofErr w:type="spellStart"/>
      <w:r w:rsidRPr="006B1495">
        <w:t>Alquist</w:t>
      </w:r>
      <w:proofErr w:type="spellEnd"/>
      <w:r w:rsidRPr="006B1495">
        <w:t xml:space="preserve">, Ron, Lutz Kilian, and Robert J. </w:t>
      </w:r>
      <w:proofErr w:type="spellStart"/>
      <w:r w:rsidRPr="006B1495">
        <w:t>Vigfusson</w:t>
      </w:r>
      <w:proofErr w:type="spellEnd"/>
      <w:r w:rsidRPr="006B1495">
        <w:t xml:space="preserve">, 2013, </w:t>
      </w:r>
      <w:r w:rsidRPr="006B1495">
        <w:rPr>
          <w:rStyle w:val="AERtextitalic"/>
        </w:rPr>
        <w:t>Forecasting the Price of Oil</w:t>
      </w:r>
      <w:r w:rsidRPr="006B1495">
        <w:t xml:space="preserve">, in Handbook of Economic Forecasting, Vol. 2, ed. by Graham Elliott and Allan </w:t>
      </w:r>
      <w:proofErr w:type="spellStart"/>
      <w:r w:rsidRPr="006B1495">
        <w:t>Timmermann</w:t>
      </w:r>
      <w:proofErr w:type="spellEnd"/>
      <w:r w:rsidRPr="006B1495">
        <w:t xml:space="preserve"> (Amsterdam: North Holland), pp. 68-69 and pp. 427–508) and International Monetary Fund, </w:t>
      </w:r>
      <w:r w:rsidRPr="006B1495">
        <w:rPr>
          <w:rStyle w:val="AERtextitalic"/>
        </w:rPr>
        <w:t>World Economic Outlook — Recovery Strengthens, Remains Uneven</w:t>
      </w:r>
      <w:r w:rsidRPr="006B1495">
        <w:t>, Washington, April 2014, pp. 25-31.</w:t>
      </w:r>
    </w:p>
  </w:footnote>
  <w:footnote w:id="157">
    <w:p w:rsidR="004147B5" w:rsidRDefault="004147B5" w:rsidP="000C2F15">
      <w:pPr>
        <w:pStyle w:val="FootnoteText"/>
      </w:pPr>
      <w:r>
        <w:rPr>
          <w:rStyle w:val="FootnoteReference"/>
        </w:rPr>
        <w:footnoteRef/>
      </w:r>
      <w:r>
        <w:t xml:space="preserve"> </w:t>
      </w:r>
      <w:r>
        <w:tab/>
      </w:r>
      <w:r w:rsidRPr="006B1495">
        <w:t xml:space="preserve">International Monetary Fund, </w:t>
      </w:r>
      <w:r w:rsidRPr="006B1495">
        <w:rPr>
          <w:rStyle w:val="AERtextitalic"/>
        </w:rPr>
        <w:t>World Economic Outlook — Recovery Strengthens, Remains Uneven</w:t>
      </w:r>
      <w:r w:rsidRPr="006B1495">
        <w:t xml:space="preserve">, Washington, April 2014, p. 27, Chinn, </w:t>
      </w:r>
      <w:proofErr w:type="spellStart"/>
      <w:r w:rsidRPr="006B1495">
        <w:t>Menzie</w:t>
      </w:r>
      <w:proofErr w:type="spellEnd"/>
      <w:r w:rsidRPr="006B1495">
        <w:t xml:space="preserve"> D., and Olivier </w:t>
      </w:r>
      <w:proofErr w:type="spellStart"/>
      <w:r w:rsidRPr="006B1495">
        <w:t>Coibion</w:t>
      </w:r>
      <w:proofErr w:type="spellEnd"/>
      <w:r w:rsidRPr="006B1495">
        <w:t xml:space="preserve">, </w:t>
      </w:r>
      <w:r w:rsidRPr="006B1495">
        <w:rPr>
          <w:rStyle w:val="AERtextitalic"/>
        </w:rPr>
        <w:t>The Predictive Content of Commodity Futures</w:t>
      </w:r>
      <w:r w:rsidRPr="006B1495">
        <w:t xml:space="preserve">, Journal of Futures Markets, 2014, Volume 34, Issue 7, p. 19 and pp. 607-636 and T. Reeve, R. </w:t>
      </w:r>
      <w:proofErr w:type="spellStart"/>
      <w:r w:rsidRPr="006B1495">
        <w:t>Vigfusson</w:t>
      </w:r>
      <w:proofErr w:type="spellEnd"/>
      <w:r w:rsidRPr="006B1495">
        <w:t xml:space="preserve">, </w:t>
      </w:r>
      <w:r w:rsidRPr="006B1495">
        <w:rPr>
          <w:rStyle w:val="AERtextitalic"/>
        </w:rPr>
        <w:t>Evaluating the Forecasting Performance of Commodity Futures Prices</w:t>
      </w:r>
      <w:r w:rsidRPr="006B1495">
        <w:t>, Board of Governors of the Federal Reserve System, International Finance Discussion Papers, Number 1025, August 2011, pp. 1 and 10.</w:t>
      </w:r>
    </w:p>
  </w:footnote>
  <w:footnote w:id="158">
    <w:p w:rsidR="004147B5" w:rsidRDefault="004147B5" w:rsidP="000C2F15">
      <w:pPr>
        <w:pStyle w:val="FootnoteText"/>
      </w:pPr>
      <w:r>
        <w:rPr>
          <w:rStyle w:val="FootnoteReference"/>
        </w:rPr>
        <w:footnoteRef/>
      </w:r>
      <w:r>
        <w:t xml:space="preserve"> </w:t>
      </w:r>
      <w:r>
        <w:tab/>
      </w:r>
      <w:r w:rsidRPr="006B1495">
        <w:t xml:space="preserve">R. Meese, K. </w:t>
      </w:r>
      <w:proofErr w:type="spellStart"/>
      <w:r w:rsidRPr="006B1495">
        <w:t>Rogoff</w:t>
      </w:r>
      <w:proofErr w:type="spellEnd"/>
      <w:r w:rsidRPr="006B1495">
        <w:t xml:space="preserve">, (1983), </w:t>
      </w:r>
      <w:r w:rsidRPr="006B1495">
        <w:rPr>
          <w:rStyle w:val="AERtextitalic"/>
        </w:rPr>
        <w:t>Empirical exchange rate models of the seventies: do they fit out of sample?</w:t>
      </w:r>
      <w:r w:rsidRPr="006B1495">
        <w:t xml:space="preserve">, Journal of International Economics, 14, B. Rossi, (2013), </w:t>
      </w:r>
      <w:r w:rsidRPr="006B1495">
        <w:rPr>
          <w:rStyle w:val="AERtextitalic"/>
        </w:rPr>
        <w:t>Exchange rate predictability</w:t>
      </w:r>
      <w:r w:rsidRPr="006B1495">
        <w:t xml:space="preserve">, Journal of Economic Literature, 51(4), E. Fama, (1984), </w:t>
      </w:r>
      <w:r w:rsidRPr="006B1495">
        <w:rPr>
          <w:rStyle w:val="AERtextitalic"/>
        </w:rPr>
        <w:t>Forward and spot exchange rates</w:t>
      </w:r>
      <w:r w:rsidRPr="006B1495">
        <w:t xml:space="preserve">, Journal of Monetary Economics, 14, K. </w:t>
      </w:r>
      <w:proofErr w:type="spellStart"/>
      <w:r w:rsidRPr="006B1495">
        <w:t>Froot</w:t>
      </w:r>
      <w:proofErr w:type="spellEnd"/>
      <w:r w:rsidRPr="006B1495">
        <w:t xml:space="preserve"> and R. </w:t>
      </w:r>
      <w:proofErr w:type="spellStart"/>
      <w:r w:rsidRPr="006B1495">
        <w:t>Thaler</w:t>
      </w:r>
      <w:proofErr w:type="spellEnd"/>
      <w:r w:rsidRPr="006B1495">
        <w:t xml:space="preserve">, (1990), Anomalies: Foreign exchange, the Journal of Economic Perspectives, Vol. 4, No. 3, CEG, </w:t>
      </w:r>
      <w:r w:rsidRPr="006B1495">
        <w:rPr>
          <w:rStyle w:val="AERtextitalic"/>
        </w:rPr>
        <w:t>Escalation factors affecting expenditure forecasts</w:t>
      </w:r>
      <w:r w:rsidRPr="006B1495">
        <w:t xml:space="preserve">, December 2013, and BIS Shrapnel, </w:t>
      </w:r>
      <w:r w:rsidRPr="00356D8A">
        <w:rPr>
          <w:rStyle w:val="AERtextitalic"/>
        </w:rPr>
        <w:t>Real labour and material cost escalation forecasts to 2019/20, Australia and New South Wales</w:t>
      </w:r>
      <w:r w:rsidRPr="006B1495">
        <w:t>, Final report, April 2014.</w:t>
      </w:r>
    </w:p>
  </w:footnote>
  <w:footnote w:id="159">
    <w:p w:rsidR="004147B5" w:rsidRDefault="004147B5" w:rsidP="000C2F15">
      <w:pPr>
        <w:pStyle w:val="FootnoteText"/>
      </w:pPr>
      <w:r>
        <w:rPr>
          <w:rStyle w:val="FootnoteReference"/>
        </w:rPr>
        <w:footnoteRef/>
      </w:r>
      <w:r>
        <w:t xml:space="preserve"> </w:t>
      </w:r>
      <w:r>
        <w:tab/>
        <w:t xml:space="preserve">BIS Shrapnel, </w:t>
      </w:r>
      <w:r w:rsidRPr="008D406C">
        <w:rPr>
          <w:rStyle w:val="AERtextitalic"/>
        </w:rPr>
        <w:t>Real Labour and Material Cost Escalation Forecasts to 2019/20 - Australia and New South Wales</w:t>
      </w:r>
      <w:r>
        <w:t>, April 2014,</w:t>
      </w:r>
      <w:r w:rsidRPr="00F842D3">
        <w:t xml:space="preserve"> </w:t>
      </w:r>
      <w:r>
        <w:t xml:space="preserve">SKM, </w:t>
      </w:r>
      <w:r w:rsidRPr="00306611">
        <w:rPr>
          <w:rStyle w:val="AERtextitalic"/>
        </w:rPr>
        <w:t xml:space="preserve">TransGrid 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orecast 2013/14 - 2018/19</w:t>
      </w:r>
      <w:r>
        <w:t xml:space="preserve">, 9 December 2013 and CEG, </w:t>
      </w:r>
      <w:r w:rsidRPr="00F842D3">
        <w:rPr>
          <w:rStyle w:val="AERtextitalic"/>
        </w:rPr>
        <w:t>Escalation factors affecting expenditure forecasts</w:t>
      </w:r>
      <w:r>
        <w:t>, December 2013.</w:t>
      </w:r>
    </w:p>
  </w:footnote>
  <w:footnote w:id="160">
    <w:p w:rsidR="004147B5" w:rsidRDefault="004147B5" w:rsidP="000C2F15">
      <w:pPr>
        <w:pStyle w:val="FootnoteText"/>
      </w:pPr>
      <w:r>
        <w:rPr>
          <w:rStyle w:val="FootnoteReference"/>
        </w:rPr>
        <w:footnoteRef/>
      </w:r>
      <w:r>
        <w:t xml:space="preserve"> </w:t>
      </w:r>
      <w:r>
        <w:tab/>
      </w:r>
      <w:r w:rsidRPr="00356D8A">
        <w:t xml:space="preserve">CEG, </w:t>
      </w:r>
      <w:r w:rsidRPr="00356D8A">
        <w:rPr>
          <w:rStyle w:val="AERtextitalic"/>
        </w:rPr>
        <w:t>Escalation factors affecting expenditure forecasts</w:t>
      </w:r>
      <w:r w:rsidRPr="00356D8A">
        <w:t>, December 2013, pp. 4-5.</w:t>
      </w:r>
    </w:p>
  </w:footnote>
  <w:footnote w:id="161">
    <w:p w:rsidR="004147B5" w:rsidRDefault="004147B5" w:rsidP="000C2F15">
      <w:pPr>
        <w:pStyle w:val="FootnoteText"/>
      </w:pPr>
      <w:r>
        <w:rPr>
          <w:rStyle w:val="FootnoteReference"/>
        </w:rPr>
        <w:footnoteRef/>
      </w:r>
      <w:r>
        <w:t xml:space="preserve"> </w:t>
      </w:r>
      <w:r>
        <w:tab/>
      </w:r>
      <w:r w:rsidRPr="00356D8A">
        <w:t xml:space="preserve">CEG, </w:t>
      </w:r>
      <w:r w:rsidRPr="00356D8A">
        <w:rPr>
          <w:rStyle w:val="AERtextitalic"/>
        </w:rPr>
        <w:t>Escalation factors affecting expenditure forecasts</w:t>
      </w:r>
      <w:r w:rsidRPr="00356D8A">
        <w:t>, December 2013, p. 5.</w:t>
      </w:r>
    </w:p>
  </w:footnote>
  <w:footnote w:id="162">
    <w:p w:rsidR="004147B5" w:rsidRDefault="004147B5" w:rsidP="000C2F15">
      <w:pPr>
        <w:pStyle w:val="FootnoteText"/>
      </w:pPr>
      <w:r>
        <w:rPr>
          <w:rStyle w:val="FootnoteReference"/>
        </w:rPr>
        <w:footnoteRef/>
      </w:r>
      <w:r>
        <w:t xml:space="preserve"> </w:t>
      </w:r>
      <w:r>
        <w:tab/>
      </w:r>
      <w:r w:rsidRPr="00356D8A">
        <w:t xml:space="preserve">CEG, </w:t>
      </w:r>
      <w:r w:rsidRPr="00356D8A">
        <w:rPr>
          <w:rStyle w:val="AERtextitalic"/>
        </w:rPr>
        <w:t>Escalation factors affecting expenditure forecasts</w:t>
      </w:r>
      <w:r w:rsidRPr="00356D8A">
        <w:t>, December 2013, p. 19.</w:t>
      </w:r>
    </w:p>
  </w:footnote>
  <w:footnote w:id="163">
    <w:p w:rsidR="004147B5" w:rsidRDefault="004147B5" w:rsidP="000C2F15">
      <w:pPr>
        <w:pStyle w:val="FootnoteText"/>
      </w:pPr>
      <w:r>
        <w:rPr>
          <w:rStyle w:val="FootnoteReference"/>
        </w:rPr>
        <w:footnoteRef/>
      </w:r>
      <w:r>
        <w:t xml:space="preserve"> </w:t>
      </w:r>
      <w:r>
        <w:tab/>
      </w:r>
      <w:r w:rsidRPr="001459BF">
        <w:t xml:space="preserve">SKM, </w:t>
      </w:r>
      <w:r w:rsidRPr="001459BF">
        <w:rPr>
          <w:rStyle w:val="AERtextitalic"/>
        </w:rPr>
        <w:t>TransGrid Commodity Price Escalation Forecast 2013/14 - 2018/19</w:t>
      </w:r>
      <w:r w:rsidRPr="001459BF">
        <w:t>, 9 December 2013, p. 9.</w:t>
      </w:r>
    </w:p>
  </w:footnote>
  <w:footnote w:id="164">
    <w:p w:rsidR="004147B5" w:rsidRDefault="004147B5" w:rsidP="000C2F15">
      <w:pPr>
        <w:pStyle w:val="FootnoteText"/>
      </w:pPr>
      <w:r>
        <w:rPr>
          <w:rStyle w:val="FootnoteReference"/>
        </w:rPr>
        <w:footnoteRef/>
      </w:r>
      <w:r>
        <w:t xml:space="preserve"> </w:t>
      </w:r>
      <w:r>
        <w:tab/>
      </w:r>
      <w:r w:rsidRPr="00E52EC1">
        <w:t xml:space="preserve">SKM, </w:t>
      </w:r>
      <w:r w:rsidRPr="00E52EC1">
        <w:rPr>
          <w:rStyle w:val="AERtextitalic"/>
        </w:rPr>
        <w:t>TransGrid Commodity Price Escalation Forecast 2013/14 - 2018/19</w:t>
      </w:r>
      <w:r w:rsidRPr="00E52EC1">
        <w:t>, 9 December 2013, p. 12.</w:t>
      </w:r>
    </w:p>
  </w:footnote>
  <w:footnote w:id="165">
    <w:p w:rsidR="004147B5" w:rsidRDefault="004147B5" w:rsidP="000C2F15">
      <w:pPr>
        <w:pStyle w:val="FootnoteText"/>
      </w:pPr>
      <w:r>
        <w:rPr>
          <w:rStyle w:val="FootnoteReference"/>
        </w:rPr>
        <w:footnoteRef/>
      </w:r>
      <w:r>
        <w:t xml:space="preserve"> </w:t>
      </w:r>
      <w:r>
        <w:tab/>
      </w:r>
      <w:r w:rsidRPr="00E52EC1">
        <w:t xml:space="preserve">SKM, </w:t>
      </w:r>
      <w:r w:rsidRPr="00E52EC1">
        <w:rPr>
          <w:rStyle w:val="AERtextitalic"/>
        </w:rPr>
        <w:t>TransGrid Commodity Price Escalation Forecast 2013/14 - 2018/19</w:t>
      </w:r>
      <w:r w:rsidRPr="00E52EC1">
        <w:t>, 9 December 2013, p.</w:t>
      </w:r>
      <w:r>
        <w:t xml:space="preserve"> </w:t>
      </w:r>
      <w:r w:rsidRPr="00E52EC1">
        <w:t>16.</w:t>
      </w:r>
    </w:p>
  </w:footnote>
  <w:footnote w:id="166">
    <w:p w:rsidR="004147B5" w:rsidRDefault="004147B5" w:rsidP="000C2F15">
      <w:pPr>
        <w:pStyle w:val="FootnoteText"/>
      </w:pPr>
      <w:r>
        <w:rPr>
          <w:rStyle w:val="FootnoteReference"/>
        </w:rPr>
        <w:footnoteRef/>
      </w:r>
      <w:r>
        <w:t xml:space="preserve"> </w:t>
      </w:r>
      <w:r>
        <w:tab/>
      </w:r>
      <w:r w:rsidRPr="00E52EC1">
        <w:t xml:space="preserve">SKM, </w:t>
      </w:r>
      <w:r w:rsidRPr="00E52EC1">
        <w:rPr>
          <w:rStyle w:val="AERtextitalic"/>
        </w:rPr>
        <w:t>TransGrid Commodity Price Escalation Forecast 2013/14 - 2018/19</w:t>
      </w:r>
      <w:r w:rsidRPr="00E52EC1">
        <w:t>, 9 December 2013, p. 18.</w:t>
      </w:r>
    </w:p>
  </w:footnote>
  <w:footnote w:id="167">
    <w:p w:rsidR="004147B5" w:rsidRDefault="004147B5" w:rsidP="000C2F15">
      <w:pPr>
        <w:pStyle w:val="FootnoteText"/>
      </w:pPr>
      <w:r>
        <w:rPr>
          <w:rStyle w:val="FootnoteReference"/>
        </w:rPr>
        <w:footnoteRef/>
      </w:r>
      <w:r>
        <w:t xml:space="preserve"> </w:t>
      </w:r>
      <w:r>
        <w:tab/>
      </w:r>
      <w:r w:rsidRPr="00E52EC1">
        <w:t xml:space="preserve">BIS Shrapnel, </w:t>
      </w:r>
      <w:r w:rsidRPr="00E52EC1">
        <w:rPr>
          <w:rStyle w:val="AERtextitalic"/>
        </w:rPr>
        <w:t>Real Labour and Material Cost Escalation Forecasts to 2019/20 - Australia and New South Wales</w:t>
      </w:r>
      <w:r w:rsidRPr="00E52EC1">
        <w:t>, April 2014, p. 6.</w:t>
      </w:r>
    </w:p>
  </w:footnote>
  <w:footnote w:id="168">
    <w:p w:rsidR="004147B5" w:rsidRDefault="004147B5" w:rsidP="000C2F15">
      <w:pPr>
        <w:pStyle w:val="FootnoteText"/>
      </w:pPr>
      <w:r>
        <w:rPr>
          <w:rStyle w:val="FootnoteReference"/>
        </w:rPr>
        <w:footnoteRef/>
      </w:r>
      <w:r>
        <w:t xml:space="preserve"> </w:t>
      </w:r>
      <w:r>
        <w:tab/>
      </w:r>
      <w:r w:rsidRPr="00E52EC1">
        <w:t xml:space="preserve">BIS Shrapnel, </w:t>
      </w:r>
      <w:r w:rsidRPr="00E52EC1">
        <w:rPr>
          <w:rStyle w:val="AERtextitalic"/>
        </w:rPr>
        <w:t>Real Labour and Material Cost Escalation Forecasts to 2019/20 - Australia and New South Wales</w:t>
      </w:r>
      <w:r w:rsidRPr="00E52EC1">
        <w:t>, April 2014, p. A-7.</w:t>
      </w:r>
    </w:p>
  </w:footnote>
  <w:footnote w:id="169">
    <w:p w:rsidR="004147B5" w:rsidRDefault="004147B5" w:rsidP="000C2F15">
      <w:pPr>
        <w:pStyle w:val="FootnoteText"/>
      </w:pPr>
      <w:r>
        <w:rPr>
          <w:rStyle w:val="FootnoteReference"/>
        </w:rPr>
        <w:footnoteRef/>
      </w:r>
      <w:r>
        <w:t xml:space="preserve"> </w:t>
      </w:r>
      <w:r>
        <w:tab/>
        <w:t xml:space="preserve">AER, </w:t>
      </w:r>
      <w:r w:rsidRPr="00BB79DB">
        <w:rPr>
          <w:rStyle w:val="AERtextitalic"/>
        </w:rPr>
        <w:t>Draft decision, Jemena Gas Networks 2015-20, November 2014, Attachment 6 Capital expenditure</w:t>
      </w:r>
      <w:r>
        <w:t>, November 2014, pp. 6-56-58.</w:t>
      </w:r>
    </w:p>
  </w:footnote>
  <w:footnote w:id="170">
    <w:p w:rsidR="004147B5" w:rsidRDefault="004147B5" w:rsidP="000C2F15">
      <w:pPr>
        <w:pStyle w:val="FootnoteText"/>
      </w:pPr>
      <w:r>
        <w:rPr>
          <w:rStyle w:val="FootnoteReference"/>
        </w:rPr>
        <w:footnoteRef/>
      </w:r>
      <w:r>
        <w:t xml:space="preserve"> </w:t>
      </w:r>
      <w:r>
        <w:tab/>
        <w:t xml:space="preserve">AER, </w:t>
      </w:r>
      <w:r w:rsidRPr="00BB79DB">
        <w:rPr>
          <w:rStyle w:val="AERtextitalic"/>
        </w:rPr>
        <w:t>Draft decision, Jemena Gas Networks 2015-20, November 2014, Attachment 6 Capital expenditure</w:t>
      </w:r>
      <w:r>
        <w:t>, November 2014, p. 6-58.</w:t>
      </w:r>
    </w:p>
  </w:footnote>
  <w:footnote w:id="171">
    <w:p w:rsidR="004147B5" w:rsidRDefault="004147B5" w:rsidP="000C2F15">
      <w:pPr>
        <w:pStyle w:val="FootnoteText"/>
      </w:pPr>
      <w:r>
        <w:rPr>
          <w:rStyle w:val="FootnoteReference"/>
        </w:rPr>
        <w:footnoteRef/>
      </w:r>
      <w:r>
        <w:t xml:space="preserve"> </w:t>
      </w:r>
      <w:r>
        <w:tab/>
      </w:r>
      <w:proofErr w:type="gramStart"/>
      <w:r>
        <w:t>NGR, clause 74(2).</w:t>
      </w:r>
      <w:proofErr w:type="gramEnd"/>
    </w:p>
  </w:footnote>
  <w:footnote w:id="172">
    <w:p w:rsidR="004147B5" w:rsidRDefault="004147B5" w:rsidP="000C2F15">
      <w:pPr>
        <w:pStyle w:val="FootnoteText"/>
      </w:pPr>
      <w:r>
        <w:rPr>
          <w:rStyle w:val="FootnoteReference"/>
        </w:rPr>
        <w:footnoteRef/>
      </w:r>
      <w:r>
        <w:t xml:space="preserve"> </w:t>
      </w:r>
      <w:r>
        <w:tab/>
      </w:r>
      <w:proofErr w:type="gramStart"/>
      <w:r>
        <w:t>NGR, clause 79(1).</w:t>
      </w:r>
      <w:proofErr w:type="gramEnd"/>
    </w:p>
  </w:footnote>
  <w:footnote w:id="173">
    <w:p w:rsidR="004147B5" w:rsidRDefault="004147B5" w:rsidP="000C2F15">
      <w:pPr>
        <w:pStyle w:val="FootnoteText"/>
      </w:pPr>
      <w:r>
        <w:rPr>
          <w:rStyle w:val="FootnoteReference"/>
        </w:rPr>
        <w:footnoteRef/>
      </w:r>
      <w:r>
        <w:t xml:space="preserve"> </w:t>
      </w:r>
      <w:r>
        <w:tab/>
        <w:t xml:space="preserve">AER, </w:t>
      </w:r>
      <w:r w:rsidRPr="00BB79DB">
        <w:rPr>
          <w:rStyle w:val="AERtextitalic"/>
        </w:rPr>
        <w:t>Draft decision, Jemena Gas Networks 2015-20, November 2014, Attachment 6 Capital expenditure</w:t>
      </w:r>
      <w:r>
        <w:t>, November 2014, p. 6-53.</w:t>
      </w:r>
    </w:p>
  </w:footnote>
  <w:footnote w:id="174">
    <w:p w:rsidR="004147B5" w:rsidRDefault="004147B5" w:rsidP="000C2F15">
      <w:pPr>
        <w:pStyle w:val="FootnoteText"/>
      </w:pPr>
      <w:r>
        <w:rPr>
          <w:rStyle w:val="FootnoteReference"/>
        </w:rPr>
        <w:footnoteRef/>
      </w:r>
      <w:r>
        <w:t xml:space="preserve"> </w:t>
      </w:r>
      <w:r>
        <w:tab/>
        <w:t xml:space="preserve">AER, </w:t>
      </w:r>
      <w:r w:rsidRPr="00BB79DB">
        <w:rPr>
          <w:rStyle w:val="AERtextitalic"/>
        </w:rPr>
        <w:t>Draft decision, Jemena Gas Networks 2015-20, November 2014, Attachment 6 Capital expenditure</w:t>
      </w:r>
      <w:r>
        <w:t>, November 2014, pp. 6-49-50.</w:t>
      </w:r>
    </w:p>
  </w:footnote>
  <w:footnote w:id="175">
    <w:p w:rsidR="004147B5" w:rsidRDefault="004147B5" w:rsidP="000C2F15">
      <w:pPr>
        <w:pStyle w:val="FootnoteText"/>
      </w:pPr>
      <w:r>
        <w:rPr>
          <w:rStyle w:val="FootnoteReference"/>
        </w:rPr>
        <w:footnoteRef/>
      </w:r>
      <w:r>
        <w:t xml:space="preserve"> </w:t>
      </w:r>
      <w:r>
        <w:tab/>
        <w:t xml:space="preserve">AER, </w:t>
      </w:r>
      <w:r w:rsidRPr="00BB79DB">
        <w:rPr>
          <w:rStyle w:val="AERtextitalic"/>
        </w:rPr>
        <w:t>Draft decision, Jemena Gas Networks 2015-20, November 2014, Attachment 6 Capital expenditure</w:t>
      </w:r>
      <w:r>
        <w:t>, November 2014, p. 6-51.</w:t>
      </w:r>
    </w:p>
  </w:footnote>
  <w:footnote w:id="176">
    <w:p w:rsidR="004147B5" w:rsidRDefault="004147B5" w:rsidP="000C2F15">
      <w:pPr>
        <w:pStyle w:val="FootnoteText"/>
      </w:pPr>
      <w:r>
        <w:rPr>
          <w:rStyle w:val="FootnoteReference"/>
        </w:rPr>
        <w:footnoteRef/>
      </w:r>
      <w:r>
        <w:t xml:space="preserve"> </w:t>
      </w:r>
      <w:r>
        <w:tab/>
      </w:r>
      <w:proofErr w:type="gramStart"/>
      <w:r>
        <w:t>NGR, clauses 74(2) and 79(1).</w:t>
      </w:r>
      <w:proofErr w:type="gramEnd"/>
    </w:p>
  </w:footnote>
  <w:footnote w:id="177">
    <w:p w:rsidR="004147B5" w:rsidRDefault="004147B5" w:rsidP="000C2F15">
      <w:pPr>
        <w:pStyle w:val="FootnoteText"/>
      </w:pPr>
      <w:r>
        <w:rPr>
          <w:rStyle w:val="FootnoteReference"/>
        </w:rPr>
        <w:footnoteRef/>
      </w:r>
      <w:r>
        <w:t xml:space="preserve"> </w:t>
      </w:r>
      <w:r>
        <w:tab/>
        <w:t xml:space="preserve">AER, </w:t>
      </w:r>
      <w:r w:rsidRPr="00BB79DB">
        <w:rPr>
          <w:rStyle w:val="AERtextitalic"/>
        </w:rPr>
        <w:t>Draft decision, Jemena Gas Networks 2015-20, November 2014, Attachment 6 Capital expenditure</w:t>
      </w:r>
      <w:r>
        <w:t>, November 2014, pp. 6-50-53.</w:t>
      </w:r>
    </w:p>
    <w:p w:rsidR="004147B5" w:rsidRDefault="004147B5" w:rsidP="000C2F15">
      <w:pPr>
        <w:pStyle w:val="FootnoteText"/>
      </w:pPr>
    </w:p>
  </w:footnote>
  <w:footnote w:id="178">
    <w:p w:rsidR="004147B5" w:rsidRDefault="004147B5" w:rsidP="000C2F15">
      <w:pPr>
        <w:pStyle w:val="FootnoteText"/>
      </w:pPr>
      <w:r>
        <w:rPr>
          <w:rStyle w:val="FootnoteReference"/>
        </w:rPr>
        <w:footnoteRef/>
      </w:r>
      <w:r>
        <w:t xml:space="preserve"> </w:t>
      </w:r>
      <w:r>
        <w:tab/>
      </w:r>
      <w:r w:rsidRPr="00E416DD">
        <w:t>N</w:t>
      </w:r>
      <w:r>
        <w:t>G</w:t>
      </w:r>
      <w:r w:rsidRPr="00E416DD">
        <w:t xml:space="preserve">R, clause </w:t>
      </w:r>
      <w:r>
        <w:t>79(1</w:t>
      </w:r>
      <w:proofErr w:type="gramStart"/>
      <w:r>
        <w:t>)(</w:t>
      </w:r>
      <w:proofErr w:type="gramEnd"/>
      <w:r>
        <w:t>a)</w:t>
      </w:r>
      <w:r w:rsidRPr="00E416DD">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DAD7A15"/>
    <w:multiLevelType w:val="hybridMultilevel"/>
    <w:tmpl w:val="805A85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2">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42784418"/>
    <w:multiLevelType w:val="multilevel"/>
    <w:tmpl w:val="950A1C52"/>
    <w:numStyleLink w:val="AERHeadings"/>
  </w:abstractNum>
  <w:abstractNum w:abstractNumId="2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3">
    <w:nsid w:val="5ECE4384"/>
    <w:multiLevelType w:val="multilevel"/>
    <w:tmpl w:val="280C9A96"/>
    <w:lvl w:ilvl="0">
      <w:start w:val="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5">
    <w:nsid w:val="6DE36827"/>
    <w:multiLevelType w:val="multilevel"/>
    <w:tmpl w:val="950A1C52"/>
    <w:numStyleLink w:val="AERHeadings"/>
  </w:abstractNum>
  <w:abstractNum w:abstractNumId="36">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AAC6DD7"/>
    <w:multiLevelType w:val="multilevel"/>
    <w:tmpl w:val="950A1C52"/>
    <w:lvl w:ilvl="0">
      <w:start w:val="1"/>
      <w:numFmt w:val="none"/>
      <w:lvlText w:val="%1"/>
      <w:lvlJc w:val="left"/>
      <w:pPr>
        <w:tabs>
          <w:tab w:val="num" w:pos="0"/>
        </w:tabs>
        <w:ind w:left="0" w:firstLine="0"/>
      </w:pPr>
      <w:rPr>
        <w:rFonts w:hint="default"/>
      </w:rPr>
    </w:lvl>
    <w:lvl w:ilvl="1">
      <w:start w:val="6"/>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9">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4"/>
  </w:num>
  <w:num w:numId="13">
    <w:abstractNumId w:val="24"/>
  </w:num>
  <w:num w:numId="14">
    <w:abstractNumId w:val="11"/>
  </w:num>
  <w:num w:numId="15">
    <w:abstractNumId w:val="14"/>
  </w:num>
  <w:num w:numId="16">
    <w:abstractNumId w:val="28"/>
  </w:num>
  <w:num w:numId="17">
    <w:abstractNumId w:val="10"/>
  </w:num>
  <w:num w:numId="18">
    <w:abstractNumId w:val="18"/>
  </w:num>
  <w:num w:numId="19">
    <w:abstractNumId w:val="29"/>
  </w:num>
  <w:num w:numId="20">
    <w:abstractNumId w:val="36"/>
  </w:num>
  <w:num w:numId="21">
    <w:abstractNumId w:val="15"/>
  </w:num>
  <w:num w:numId="22">
    <w:abstractNumId w:val="32"/>
  </w:num>
  <w:num w:numId="23">
    <w:abstractNumId w:val="30"/>
  </w:num>
  <w:num w:numId="24">
    <w:abstractNumId w:val="21"/>
  </w:num>
  <w:num w:numId="25">
    <w:abstractNumId w:val="31"/>
  </w:num>
  <w:num w:numId="26">
    <w:abstractNumId w:val="33"/>
  </w:num>
  <w:num w:numId="27">
    <w:abstractNumId w:val="23"/>
  </w:num>
  <w:num w:numId="28">
    <w:abstractNumId w:val="19"/>
  </w:num>
  <w:num w:numId="29">
    <w:abstractNumId w:val="17"/>
  </w:num>
  <w:num w:numId="30">
    <w:abstractNumId w:val="37"/>
  </w:num>
  <w:num w:numId="31">
    <w:abstractNumId w:val="16"/>
  </w:num>
  <w:num w:numId="32">
    <w:abstractNumId w:val="26"/>
  </w:num>
  <w:num w:numId="33">
    <w:abstractNumId w:val="21"/>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5"/>
  </w:num>
  <w:num w:numId="37">
    <w:abstractNumId w:val="27"/>
  </w:num>
  <w:num w:numId="38">
    <w:abstractNumId w:val="25"/>
  </w:num>
  <w:num w:numId="39">
    <w:abstractNumId w:val="22"/>
  </w:num>
  <w:num w:numId="40">
    <w:abstractNumId w:val="9"/>
  </w:num>
  <w:num w:numId="41">
    <w:abstractNumId w:val="38"/>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RO9btcVe9JdLoP857LYlAt+AsyMtCMc9Q5wIHnAJPjA=" w:saltValue="k2aMT+tAW9yq3AevmOxx2Q==" w:algorithmName="SHA-256"/>
  <w:defaultTabStop w:val="34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6836\AER15 2788  20150527 -  aer final decision - jgn nsw gaar 2015-20 - att 6 - capital expenditure - PUBLIC.DOCX"/>
  </w:docVars>
  <w:rsids>
    <w:rsidRoot w:val="00961A4A"/>
    <w:rsid w:val="00000CC3"/>
    <w:rsid w:val="00005202"/>
    <w:rsid w:val="00015BA5"/>
    <w:rsid w:val="000211D6"/>
    <w:rsid w:val="00021202"/>
    <w:rsid w:val="00022642"/>
    <w:rsid w:val="00022C1B"/>
    <w:rsid w:val="00023202"/>
    <w:rsid w:val="00024842"/>
    <w:rsid w:val="0002517F"/>
    <w:rsid w:val="000253BD"/>
    <w:rsid w:val="00032BEF"/>
    <w:rsid w:val="0003578C"/>
    <w:rsid w:val="00035812"/>
    <w:rsid w:val="00036005"/>
    <w:rsid w:val="0003793F"/>
    <w:rsid w:val="00040137"/>
    <w:rsid w:val="00040461"/>
    <w:rsid w:val="00042531"/>
    <w:rsid w:val="000429F7"/>
    <w:rsid w:val="00042F43"/>
    <w:rsid w:val="00043D77"/>
    <w:rsid w:val="000476F7"/>
    <w:rsid w:val="00050BD2"/>
    <w:rsid w:val="0005136B"/>
    <w:rsid w:val="00054D40"/>
    <w:rsid w:val="0005671C"/>
    <w:rsid w:val="00056D55"/>
    <w:rsid w:val="00060A48"/>
    <w:rsid w:val="00062744"/>
    <w:rsid w:val="00063247"/>
    <w:rsid w:val="00065EC3"/>
    <w:rsid w:val="000667D6"/>
    <w:rsid w:val="000704CD"/>
    <w:rsid w:val="00070F9F"/>
    <w:rsid w:val="0007137B"/>
    <w:rsid w:val="0007157F"/>
    <w:rsid w:val="00072793"/>
    <w:rsid w:val="00074285"/>
    <w:rsid w:val="000750B7"/>
    <w:rsid w:val="000817CA"/>
    <w:rsid w:val="0008187C"/>
    <w:rsid w:val="00081F02"/>
    <w:rsid w:val="0008525F"/>
    <w:rsid w:val="00085663"/>
    <w:rsid w:val="00085EBF"/>
    <w:rsid w:val="000860BD"/>
    <w:rsid w:val="00093742"/>
    <w:rsid w:val="00095F74"/>
    <w:rsid w:val="00096BA8"/>
    <w:rsid w:val="00097960"/>
    <w:rsid w:val="000A3020"/>
    <w:rsid w:val="000A33A4"/>
    <w:rsid w:val="000A33B8"/>
    <w:rsid w:val="000A6C7B"/>
    <w:rsid w:val="000A7100"/>
    <w:rsid w:val="000B236A"/>
    <w:rsid w:val="000B3157"/>
    <w:rsid w:val="000C2F15"/>
    <w:rsid w:val="000C3942"/>
    <w:rsid w:val="000C4B25"/>
    <w:rsid w:val="000D0D9F"/>
    <w:rsid w:val="000D0ECC"/>
    <w:rsid w:val="000D1214"/>
    <w:rsid w:val="000D122C"/>
    <w:rsid w:val="000D23F2"/>
    <w:rsid w:val="000D553F"/>
    <w:rsid w:val="000D6988"/>
    <w:rsid w:val="000D740D"/>
    <w:rsid w:val="000E0FAE"/>
    <w:rsid w:val="000E1819"/>
    <w:rsid w:val="000E4821"/>
    <w:rsid w:val="000E6C72"/>
    <w:rsid w:val="000F2033"/>
    <w:rsid w:val="000F23ED"/>
    <w:rsid w:val="000F3589"/>
    <w:rsid w:val="000F3998"/>
    <w:rsid w:val="000F5B8B"/>
    <w:rsid w:val="001062EC"/>
    <w:rsid w:val="00110984"/>
    <w:rsid w:val="00111D39"/>
    <w:rsid w:val="0011465B"/>
    <w:rsid w:val="00116EB2"/>
    <w:rsid w:val="00117B3D"/>
    <w:rsid w:val="00121F1B"/>
    <w:rsid w:val="00123034"/>
    <w:rsid w:val="00123652"/>
    <w:rsid w:val="00124262"/>
    <w:rsid w:val="00124609"/>
    <w:rsid w:val="00125B44"/>
    <w:rsid w:val="00126A4C"/>
    <w:rsid w:val="00130022"/>
    <w:rsid w:val="001342BE"/>
    <w:rsid w:val="00135875"/>
    <w:rsid w:val="001361ED"/>
    <w:rsid w:val="00136742"/>
    <w:rsid w:val="001377B0"/>
    <w:rsid w:val="00140D38"/>
    <w:rsid w:val="00141FFC"/>
    <w:rsid w:val="00142D98"/>
    <w:rsid w:val="0014573B"/>
    <w:rsid w:val="001517E1"/>
    <w:rsid w:val="00151D32"/>
    <w:rsid w:val="00152158"/>
    <w:rsid w:val="00153A08"/>
    <w:rsid w:val="00156D19"/>
    <w:rsid w:val="001573E4"/>
    <w:rsid w:val="00160756"/>
    <w:rsid w:val="001644BF"/>
    <w:rsid w:val="0016547A"/>
    <w:rsid w:val="00167825"/>
    <w:rsid w:val="001702F0"/>
    <w:rsid w:val="0017132F"/>
    <w:rsid w:val="0017232E"/>
    <w:rsid w:val="00174102"/>
    <w:rsid w:val="001748A4"/>
    <w:rsid w:val="00180157"/>
    <w:rsid w:val="00180DD9"/>
    <w:rsid w:val="0018481A"/>
    <w:rsid w:val="00185CB9"/>
    <w:rsid w:val="00186F77"/>
    <w:rsid w:val="001900BA"/>
    <w:rsid w:val="00190302"/>
    <w:rsid w:val="001926A4"/>
    <w:rsid w:val="00192AD5"/>
    <w:rsid w:val="00193356"/>
    <w:rsid w:val="00193D6A"/>
    <w:rsid w:val="001A21E4"/>
    <w:rsid w:val="001A3938"/>
    <w:rsid w:val="001A48AB"/>
    <w:rsid w:val="001A54CE"/>
    <w:rsid w:val="001A6D2F"/>
    <w:rsid w:val="001A6F3F"/>
    <w:rsid w:val="001B45A0"/>
    <w:rsid w:val="001B7A60"/>
    <w:rsid w:val="001B7ED5"/>
    <w:rsid w:val="001C3D84"/>
    <w:rsid w:val="001C5492"/>
    <w:rsid w:val="001D055E"/>
    <w:rsid w:val="001D52D0"/>
    <w:rsid w:val="001E0123"/>
    <w:rsid w:val="001E22D7"/>
    <w:rsid w:val="001E3A3D"/>
    <w:rsid w:val="001E449C"/>
    <w:rsid w:val="001E473C"/>
    <w:rsid w:val="001E758B"/>
    <w:rsid w:val="001F24C6"/>
    <w:rsid w:val="001F492E"/>
    <w:rsid w:val="001F621C"/>
    <w:rsid w:val="001F6DA3"/>
    <w:rsid w:val="001F7152"/>
    <w:rsid w:val="002010BC"/>
    <w:rsid w:val="00202E03"/>
    <w:rsid w:val="002033AB"/>
    <w:rsid w:val="00203BF0"/>
    <w:rsid w:val="0020492C"/>
    <w:rsid w:val="002115DB"/>
    <w:rsid w:val="0022223A"/>
    <w:rsid w:val="00224DB9"/>
    <w:rsid w:val="00233775"/>
    <w:rsid w:val="00236A6B"/>
    <w:rsid w:val="00237AC5"/>
    <w:rsid w:val="00241585"/>
    <w:rsid w:val="002434F5"/>
    <w:rsid w:val="00247AD3"/>
    <w:rsid w:val="002513FD"/>
    <w:rsid w:val="00251745"/>
    <w:rsid w:val="002522E7"/>
    <w:rsid w:val="00252768"/>
    <w:rsid w:val="00253AFF"/>
    <w:rsid w:val="00253E57"/>
    <w:rsid w:val="002548B4"/>
    <w:rsid w:val="00255BE8"/>
    <w:rsid w:val="00260F61"/>
    <w:rsid w:val="00261862"/>
    <w:rsid w:val="00262CCD"/>
    <w:rsid w:val="00263AC0"/>
    <w:rsid w:val="00263C04"/>
    <w:rsid w:val="00264264"/>
    <w:rsid w:val="0026772D"/>
    <w:rsid w:val="0027373D"/>
    <w:rsid w:val="00277401"/>
    <w:rsid w:val="002775E3"/>
    <w:rsid w:val="0028554D"/>
    <w:rsid w:val="00286874"/>
    <w:rsid w:val="00287ADD"/>
    <w:rsid w:val="00290C63"/>
    <w:rsid w:val="00296B65"/>
    <w:rsid w:val="002A465F"/>
    <w:rsid w:val="002A6C5E"/>
    <w:rsid w:val="002A79CC"/>
    <w:rsid w:val="002A7DEF"/>
    <w:rsid w:val="002B0E78"/>
    <w:rsid w:val="002B1550"/>
    <w:rsid w:val="002B3AA7"/>
    <w:rsid w:val="002B5881"/>
    <w:rsid w:val="002B6703"/>
    <w:rsid w:val="002C0DCC"/>
    <w:rsid w:val="002C16B8"/>
    <w:rsid w:val="002C372B"/>
    <w:rsid w:val="002C5666"/>
    <w:rsid w:val="002C5A7F"/>
    <w:rsid w:val="002D13C9"/>
    <w:rsid w:val="002D5196"/>
    <w:rsid w:val="002E13F8"/>
    <w:rsid w:val="002E5F69"/>
    <w:rsid w:val="002E77C2"/>
    <w:rsid w:val="002E7B22"/>
    <w:rsid w:val="002F04D9"/>
    <w:rsid w:val="002F0686"/>
    <w:rsid w:val="002F694C"/>
    <w:rsid w:val="002F7986"/>
    <w:rsid w:val="00300281"/>
    <w:rsid w:val="00300E77"/>
    <w:rsid w:val="00301B0E"/>
    <w:rsid w:val="00301B40"/>
    <w:rsid w:val="003029EE"/>
    <w:rsid w:val="00305CC8"/>
    <w:rsid w:val="00307F6D"/>
    <w:rsid w:val="003100CD"/>
    <w:rsid w:val="003127F9"/>
    <w:rsid w:val="00312E56"/>
    <w:rsid w:val="0031404D"/>
    <w:rsid w:val="003177A2"/>
    <w:rsid w:val="00317C60"/>
    <w:rsid w:val="00323DF6"/>
    <w:rsid w:val="003252F9"/>
    <w:rsid w:val="003271B5"/>
    <w:rsid w:val="00327A1E"/>
    <w:rsid w:val="00330AA9"/>
    <w:rsid w:val="00331047"/>
    <w:rsid w:val="00331264"/>
    <w:rsid w:val="00331F43"/>
    <w:rsid w:val="00332048"/>
    <w:rsid w:val="003349B1"/>
    <w:rsid w:val="00334C8D"/>
    <w:rsid w:val="00343110"/>
    <w:rsid w:val="00343A18"/>
    <w:rsid w:val="00350A21"/>
    <w:rsid w:val="00350A72"/>
    <w:rsid w:val="003518B3"/>
    <w:rsid w:val="0035236B"/>
    <w:rsid w:val="00355303"/>
    <w:rsid w:val="00355A65"/>
    <w:rsid w:val="0035714F"/>
    <w:rsid w:val="00362219"/>
    <w:rsid w:val="00365E1C"/>
    <w:rsid w:val="00370ABF"/>
    <w:rsid w:val="003766BF"/>
    <w:rsid w:val="00380F33"/>
    <w:rsid w:val="00380F66"/>
    <w:rsid w:val="003846F1"/>
    <w:rsid w:val="00387284"/>
    <w:rsid w:val="003919CD"/>
    <w:rsid w:val="00394D7F"/>
    <w:rsid w:val="003952FF"/>
    <w:rsid w:val="003A009C"/>
    <w:rsid w:val="003A475A"/>
    <w:rsid w:val="003B2F2C"/>
    <w:rsid w:val="003B4223"/>
    <w:rsid w:val="003B484F"/>
    <w:rsid w:val="003B611A"/>
    <w:rsid w:val="003B7572"/>
    <w:rsid w:val="003C03EE"/>
    <w:rsid w:val="003C1D2B"/>
    <w:rsid w:val="003C28E1"/>
    <w:rsid w:val="003C3E8E"/>
    <w:rsid w:val="003D53E7"/>
    <w:rsid w:val="003D5894"/>
    <w:rsid w:val="003E28B9"/>
    <w:rsid w:val="003E66FB"/>
    <w:rsid w:val="003F174D"/>
    <w:rsid w:val="003F1F40"/>
    <w:rsid w:val="003F26BE"/>
    <w:rsid w:val="003F6773"/>
    <w:rsid w:val="004020F7"/>
    <w:rsid w:val="004038D6"/>
    <w:rsid w:val="0040612C"/>
    <w:rsid w:val="00407522"/>
    <w:rsid w:val="0040798A"/>
    <w:rsid w:val="0041126D"/>
    <w:rsid w:val="0041206B"/>
    <w:rsid w:val="004140E5"/>
    <w:rsid w:val="004147B5"/>
    <w:rsid w:val="004152F8"/>
    <w:rsid w:val="0041553B"/>
    <w:rsid w:val="004302A7"/>
    <w:rsid w:val="00430427"/>
    <w:rsid w:val="00441000"/>
    <w:rsid w:val="0044716C"/>
    <w:rsid w:val="00450C89"/>
    <w:rsid w:val="00454774"/>
    <w:rsid w:val="00455D18"/>
    <w:rsid w:val="00456C6A"/>
    <w:rsid w:val="0045777E"/>
    <w:rsid w:val="00463EA7"/>
    <w:rsid w:val="00466753"/>
    <w:rsid w:val="00467389"/>
    <w:rsid w:val="00472376"/>
    <w:rsid w:val="004726E8"/>
    <w:rsid w:val="00472F58"/>
    <w:rsid w:val="0048048E"/>
    <w:rsid w:val="00480B4B"/>
    <w:rsid w:val="00484FB3"/>
    <w:rsid w:val="00485DC4"/>
    <w:rsid w:val="00486D62"/>
    <w:rsid w:val="00492047"/>
    <w:rsid w:val="00493AF7"/>
    <w:rsid w:val="004943EA"/>
    <w:rsid w:val="00497DD0"/>
    <w:rsid w:val="004A12F3"/>
    <w:rsid w:val="004A1E17"/>
    <w:rsid w:val="004A2384"/>
    <w:rsid w:val="004A2BC4"/>
    <w:rsid w:val="004A43D1"/>
    <w:rsid w:val="004A58D2"/>
    <w:rsid w:val="004A6A7A"/>
    <w:rsid w:val="004B0232"/>
    <w:rsid w:val="004B29DF"/>
    <w:rsid w:val="004B3D49"/>
    <w:rsid w:val="004B4412"/>
    <w:rsid w:val="004B62BE"/>
    <w:rsid w:val="004B6446"/>
    <w:rsid w:val="004B7A99"/>
    <w:rsid w:val="004C0A55"/>
    <w:rsid w:val="004C1001"/>
    <w:rsid w:val="004C348C"/>
    <w:rsid w:val="004C5F80"/>
    <w:rsid w:val="004D262F"/>
    <w:rsid w:val="004D3CE7"/>
    <w:rsid w:val="004D55BA"/>
    <w:rsid w:val="004D566C"/>
    <w:rsid w:val="004E22EC"/>
    <w:rsid w:val="004E289E"/>
    <w:rsid w:val="004E504B"/>
    <w:rsid w:val="004E640F"/>
    <w:rsid w:val="004F2AF5"/>
    <w:rsid w:val="004F2EAF"/>
    <w:rsid w:val="004F5E31"/>
    <w:rsid w:val="0050006E"/>
    <w:rsid w:val="00501925"/>
    <w:rsid w:val="0050398F"/>
    <w:rsid w:val="0050613C"/>
    <w:rsid w:val="0050684D"/>
    <w:rsid w:val="00510331"/>
    <w:rsid w:val="00511A43"/>
    <w:rsid w:val="005122DC"/>
    <w:rsid w:val="00512968"/>
    <w:rsid w:val="00514C91"/>
    <w:rsid w:val="00520384"/>
    <w:rsid w:val="00523377"/>
    <w:rsid w:val="00524245"/>
    <w:rsid w:val="005275E3"/>
    <w:rsid w:val="00530128"/>
    <w:rsid w:val="00530491"/>
    <w:rsid w:val="00532467"/>
    <w:rsid w:val="00533EA1"/>
    <w:rsid w:val="00535FB4"/>
    <w:rsid w:val="00544D63"/>
    <w:rsid w:val="0054664D"/>
    <w:rsid w:val="00552174"/>
    <w:rsid w:val="00552CFC"/>
    <w:rsid w:val="0055613D"/>
    <w:rsid w:val="00556182"/>
    <w:rsid w:val="005563DF"/>
    <w:rsid w:val="005570E4"/>
    <w:rsid w:val="00561888"/>
    <w:rsid w:val="00562A55"/>
    <w:rsid w:val="00562FE0"/>
    <w:rsid w:val="00564A4D"/>
    <w:rsid w:val="00564A7B"/>
    <w:rsid w:val="00565E88"/>
    <w:rsid w:val="005674C2"/>
    <w:rsid w:val="00567BA5"/>
    <w:rsid w:val="00570EA1"/>
    <w:rsid w:val="00571B35"/>
    <w:rsid w:val="00571D57"/>
    <w:rsid w:val="00577A09"/>
    <w:rsid w:val="005803D7"/>
    <w:rsid w:val="005829C2"/>
    <w:rsid w:val="00584D8F"/>
    <w:rsid w:val="00592FBF"/>
    <w:rsid w:val="005A3F20"/>
    <w:rsid w:val="005A404D"/>
    <w:rsid w:val="005A461E"/>
    <w:rsid w:val="005A6A46"/>
    <w:rsid w:val="005B10AD"/>
    <w:rsid w:val="005B1590"/>
    <w:rsid w:val="005B1E3C"/>
    <w:rsid w:val="005B3AE9"/>
    <w:rsid w:val="005B5570"/>
    <w:rsid w:val="005B57AA"/>
    <w:rsid w:val="005C1C65"/>
    <w:rsid w:val="005C26CC"/>
    <w:rsid w:val="005C2A5A"/>
    <w:rsid w:val="005C6355"/>
    <w:rsid w:val="005C639A"/>
    <w:rsid w:val="005D0B52"/>
    <w:rsid w:val="005D2965"/>
    <w:rsid w:val="005D543F"/>
    <w:rsid w:val="005D72C9"/>
    <w:rsid w:val="005D7BA2"/>
    <w:rsid w:val="005E1394"/>
    <w:rsid w:val="005E21D1"/>
    <w:rsid w:val="005E36C2"/>
    <w:rsid w:val="005E3ABD"/>
    <w:rsid w:val="005E5442"/>
    <w:rsid w:val="005E55E9"/>
    <w:rsid w:val="005E58B0"/>
    <w:rsid w:val="005F077B"/>
    <w:rsid w:val="005F35E6"/>
    <w:rsid w:val="005F4F4E"/>
    <w:rsid w:val="005F5AE8"/>
    <w:rsid w:val="0060349B"/>
    <w:rsid w:val="00607075"/>
    <w:rsid w:val="00615C6B"/>
    <w:rsid w:val="00616BB5"/>
    <w:rsid w:val="0061704F"/>
    <w:rsid w:val="0061705F"/>
    <w:rsid w:val="00617ADD"/>
    <w:rsid w:val="00621DCE"/>
    <w:rsid w:val="00622130"/>
    <w:rsid w:val="00627BA0"/>
    <w:rsid w:val="006322CA"/>
    <w:rsid w:val="00632326"/>
    <w:rsid w:val="00632D6D"/>
    <w:rsid w:val="0063465E"/>
    <w:rsid w:val="00641212"/>
    <w:rsid w:val="00641F11"/>
    <w:rsid w:val="00642A53"/>
    <w:rsid w:val="00642C3E"/>
    <w:rsid w:val="0064535D"/>
    <w:rsid w:val="00653208"/>
    <w:rsid w:val="00657F41"/>
    <w:rsid w:val="0066020D"/>
    <w:rsid w:val="0066104A"/>
    <w:rsid w:val="0066188C"/>
    <w:rsid w:val="00662172"/>
    <w:rsid w:val="006628A5"/>
    <w:rsid w:val="00663DAD"/>
    <w:rsid w:val="00664208"/>
    <w:rsid w:val="00673EA5"/>
    <w:rsid w:val="00675E20"/>
    <w:rsid w:val="00676679"/>
    <w:rsid w:val="00677114"/>
    <w:rsid w:val="00677BC7"/>
    <w:rsid w:val="00683087"/>
    <w:rsid w:val="00683C89"/>
    <w:rsid w:val="00684D94"/>
    <w:rsid w:val="0069387C"/>
    <w:rsid w:val="006977ED"/>
    <w:rsid w:val="006A21C4"/>
    <w:rsid w:val="006B0B32"/>
    <w:rsid w:val="006B2395"/>
    <w:rsid w:val="006B4BBD"/>
    <w:rsid w:val="006B4CF9"/>
    <w:rsid w:val="006B7AC8"/>
    <w:rsid w:val="006D550F"/>
    <w:rsid w:val="006D67C6"/>
    <w:rsid w:val="006E153F"/>
    <w:rsid w:val="006E6938"/>
    <w:rsid w:val="006F035E"/>
    <w:rsid w:val="006F0A64"/>
    <w:rsid w:val="006F2BFC"/>
    <w:rsid w:val="006F7333"/>
    <w:rsid w:val="00701CAB"/>
    <w:rsid w:val="007023A2"/>
    <w:rsid w:val="00702E77"/>
    <w:rsid w:val="00702EEA"/>
    <w:rsid w:val="007070C7"/>
    <w:rsid w:val="00707563"/>
    <w:rsid w:val="00710108"/>
    <w:rsid w:val="00715E1C"/>
    <w:rsid w:val="00716844"/>
    <w:rsid w:val="00717A91"/>
    <w:rsid w:val="00721442"/>
    <w:rsid w:val="00721FE5"/>
    <w:rsid w:val="00723470"/>
    <w:rsid w:val="0072348C"/>
    <w:rsid w:val="00724A37"/>
    <w:rsid w:val="00725ABE"/>
    <w:rsid w:val="007303C3"/>
    <w:rsid w:val="0073179C"/>
    <w:rsid w:val="00732F4B"/>
    <w:rsid w:val="00735391"/>
    <w:rsid w:val="007413AE"/>
    <w:rsid w:val="007429BE"/>
    <w:rsid w:val="00743223"/>
    <w:rsid w:val="00745CED"/>
    <w:rsid w:val="00746710"/>
    <w:rsid w:val="00746E01"/>
    <w:rsid w:val="007557A9"/>
    <w:rsid w:val="00757BDF"/>
    <w:rsid w:val="007622AD"/>
    <w:rsid w:val="0076389C"/>
    <w:rsid w:val="00763DBB"/>
    <w:rsid w:val="00763E5D"/>
    <w:rsid w:val="00764A6B"/>
    <w:rsid w:val="00765F59"/>
    <w:rsid w:val="007666D9"/>
    <w:rsid w:val="007668F5"/>
    <w:rsid w:val="00767740"/>
    <w:rsid w:val="00772CD5"/>
    <w:rsid w:val="0077362A"/>
    <w:rsid w:val="00773DA9"/>
    <w:rsid w:val="00777EE6"/>
    <w:rsid w:val="00782EEA"/>
    <w:rsid w:val="0078386D"/>
    <w:rsid w:val="00786E50"/>
    <w:rsid w:val="00792550"/>
    <w:rsid w:val="007933D6"/>
    <w:rsid w:val="007956FF"/>
    <w:rsid w:val="007A3968"/>
    <w:rsid w:val="007A4745"/>
    <w:rsid w:val="007A49B3"/>
    <w:rsid w:val="007A5C46"/>
    <w:rsid w:val="007A76D3"/>
    <w:rsid w:val="007B0E07"/>
    <w:rsid w:val="007B1A76"/>
    <w:rsid w:val="007B2C72"/>
    <w:rsid w:val="007B49E1"/>
    <w:rsid w:val="007B5DB5"/>
    <w:rsid w:val="007B7BDC"/>
    <w:rsid w:val="007C0756"/>
    <w:rsid w:val="007C100C"/>
    <w:rsid w:val="007C15D7"/>
    <w:rsid w:val="007C16C0"/>
    <w:rsid w:val="007C1C53"/>
    <w:rsid w:val="007C66F9"/>
    <w:rsid w:val="007C74BB"/>
    <w:rsid w:val="007C7728"/>
    <w:rsid w:val="007D073F"/>
    <w:rsid w:val="007D1079"/>
    <w:rsid w:val="007D5A0A"/>
    <w:rsid w:val="007D7626"/>
    <w:rsid w:val="007E0804"/>
    <w:rsid w:val="007E189B"/>
    <w:rsid w:val="007E4904"/>
    <w:rsid w:val="007E4CB5"/>
    <w:rsid w:val="007E5469"/>
    <w:rsid w:val="007E7D55"/>
    <w:rsid w:val="007F066B"/>
    <w:rsid w:val="007F2AAF"/>
    <w:rsid w:val="007F33E0"/>
    <w:rsid w:val="007F57C1"/>
    <w:rsid w:val="008004AD"/>
    <w:rsid w:val="008033C4"/>
    <w:rsid w:val="00804E3F"/>
    <w:rsid w:val="00806C88"/>
    <w:rsid w:val="00807C63"/>
    <w:rsid w:val="0081034E"/>
    <w:rsid w:val="008126CF"/>
    <w:rsid w:val="008134C1"/>
    <w:rsid w:val="00814AD2"/>
    <w:rsid w:val="00816187"/>
    <w:rsid w:val="00816273"/>
    <w:rsid w:val="008214AB"/>
    <w:rsid w:val="0082490C"/>
    <w:rsid w:val="00824FD7"/>
    <w:rsid w:val="0082643B"/>
    <w:rsid w:val="00827495"/>
    <w:rsid w:val="00831C7D"/>
    <w:rsid w:val="008344F6"/>
    <w:rsid w:val="0083510F"/>
    <w:rsid w:val="0083561E"/>
    <w:rsid w:val="00835711"/>
    <w:rsid w:val="00840943"/>
    <w:rsid w:val="0084471D"/>
    <w:rsid w:val="00846761"/>
    <w:rsid w:val="008476AB"/>
    <w:rsid w:val="00851209"/>
    <w:rsid w:val="008524CF"/>
    <w:rsid w:val="00852994"/>
    <w:rsid w:val="0085436D"/>
    <w:rsid w:val="008548EF"/>
    <w:rsid w:val="00855465"/>
    <w:rsid w:val="00855704"/>
    <w:rsid w:val="00856DD5"/>
    <w:rsid w:val="008607BA"/>
    <w:rsid w:val="00862204"/>
    <w:rsid w:val="0087037E"/>
    <w:rsid w:val="00875B7F"/>
    <w:rsid w:val="008775D4"/>
    <w:rsid w:val="00877A1E"/>
    <w:rsid w:val="008816D5"/>
    <w:rsid w:val="008828D3"/>
    <w:rsid w:val="008837AC"/>
    <w:rsid w:val="008839BF"/>
    <w:rsid w:val="008909AC"/>
    <w:rsid w:val="00892FB0"/>
    <w:rsid w:val="008932A8"/>
    <w:rsid w:val="00896652"/>
    <w:rsid w:val="008A3316"/>
    <w:rsid w:val="008A4BA2"/>
    <w:rsid w:val="008A587D"/>
    <w:rsid w:val="008A6591"/>
    <w:rsid w:val="008B0F02"/>
    <w:rsid w:val="008B35CD"/>
    <w:rsid w:val="008B39D1"/>
    <w:rsid w:val="008B5FCC"/>
    <w:rsid w:val="008C30FE"/>
    <w:rsid w:val="008C52E7"/>
    <w:rsid w:val="008C5486"/>
    <w:rsid w:val="008C7F3D"/>
    <w:rsid w:val="008D1661"/>
    <w:rsid w:val="008D5741"/>
    <w:rsid w:val="008E1952"/>
    <w:rsid w:val="008E27C2"/>
    <w:rsid w:val="008E5CE3"/>
    <w:rsid w:val="008E7031"/>
    <w:rsid w:val="008E77DE"/>
    <w:rsid w:val="008F07A3"/>
    <w:rsid w:val="008F2CF3"/>
    <w:rsid w:val="008F4810"/>
    <w:rsid w:val="008F5B8A"/>
    <w:rsid w:val="008F6DB7"/>
    <w:rsid w:val="008F7B6E"/>
    <w:rsid w:val="0090029D"/>
    <w:rsid w:val="00900E1B"/>
    <w:rsid w:val="0090148E"/>
    <w:rsid w:val="0090739C"/>
    <w:rsid w:val="009135C5"/>
    <w:rsid w:val="0091599D"/>
    <w:rsid w:val="00921C38"/>
    <w:rsid w:val="00922F72"/>
    <w:rsid w:val="009233EE"/>
    <w:rsid w:val="00923935"/>
    <w:rsid w:val="00924729"/>
    <w:rsid w:val="00925448"/>
    <w:rsid w:val="00925F53"/>
    <w:rsid w:val="0092699F"/>
    <w:rsid w:val="0093535D"/>
    <w:rsid w:val="00936195"/>
    <w:rsid w:val="00940E38"/>
    <w:rsid w:val="00941DA0"/>
    <w:rsid w:val="009460AA"/>
    <w:rsid w:val="0094732F"/>
    <w:rsid w:val="00951978"/>
    <w:rsid w:val="0095583E"/>
    <w:rsid w:val="00961A4A"/>
    <w:rsid w:val="009655D4"/>
    <w:rsid w:val="009661DE"/>
    <w:rsid w:val="00966A6C"/>
    <w:rsid w:val="00967B59"/>
    <w:rsid w:val="009768FE"/>
    <w:rsid w:val="00980D34"/>
    <w:rsid w:val="00981A15"/>
    <w:rsid w:val="009822E2"/>
    <w:rsid w:val="00982415"/>
    <w:rsid w:val="00983C25"/>
    <w:rsid w:val="009856B7"/>
    <w:rsid w:val="00985C86"/>
    <w:rsid w:val="00986B10"/>
    <w:rsid w:val="00986E34"/>
    <w:rsid w:val="009949B0"/>
    <w:rsid w:val="009950B6"/>
    <w:rsid w:val="009962DE"/>
    <w:rsid w:val="009A2355"/>
    <w:rsid w:val="009A4EFA"/>
    <w:rsid w:val="009A5FC3"/>
    <w:rsid w:val="009B05ED"/>
    <w:rsid w:val="009B2E68"/>
    <w:rsid w:val="009B640A"/>
    <w:rsid w:val="009B6D40"/>
    <w:rsid w:val="009B70AA"/>
    <w:rsid w:val="009B74B0"/>
    <w:rsid w:val="009C1E54"/>
    <w:rsid w:val="009C298E"/>
    <w:rsid w:val="009C5F78"/>
    <w:rsid w:val="009C6AA6"/>
    <w:rsid w:val="009C6FC4"/>
    <w:rsid w:val="009D0187"/>
    <w:rsid w:val="009D237B"/>
    <w:rsid w:val="009D577B"/>
    <w:rsid w:val="009D6025"/>
    <w:rsid w:val="009D6B46"/>
    <w:rsid w:val="009E579A"/>
    <w:rsid w:val="009E7F23"/>
    <w:rsid w:val="009F15D5"/>
    <w:rsid w:val="009F4940"/>
    <w:rsid w:val="009F4A7D"/>
    <w:rsid w:val="009F5BA1"/>
    <w:rsid w:val="00A02A88"/>
    <w:rsid w:val="00A03075"/>
    <w:rsid w:val="00A04A8A"/>
    <w:rsid w:val="00A0562E"/>
    <w:rsid w:val="00A06610"/>
    <w:rsid w:val="00A068E7"/>
    <w:rsid w:val="00A0726D"/>
    <w:rsid w:val="00A07F5C"/>
    <w:rsid w:val="00A12480"/>
    <w:rsid w:val="00A134C1"/>
    <w:rsid w:val="00A14FC9"/>
    <w:rsid w:val="00A15D90"/>
    <w:rsid w:val="00A173A1"/>
    <w:rsid w:val="00A21402"/>
    <w:rsid w:val="00A2199C"/>
    <w:rsid w:val="00A2268D"/>
    <w:rsid w:val="00A310C1"/>
    <w:rsid w:val="00A3174D"/>
    <w:rsid w:val="00A31EE0"/>
    <w:rsid w:val="00A32FBB"/>
    <w:rsid w:val="00A34091"/>
    <w:rsid w:val="00A34DCE"/>
    <w:rsid w:val="00A36A92"/>
    <w:rsid w:val="00A411E9"/>
    <w:rsid w:val="00A428EE"/>
    <w:rsid w:val="00A4478A"/>
    <w:rsid w:val="00A44852"/>
    <w:rsid w:val="00A46244"/>
    <w:rsid w:val="00A507C0"/>
    <w:rsid w:val="00A52D58"/>
    <w:rsid w:val="00A5351A"/>
    <w:rsid w:val="00A54004"/>
    <w:rsid w:val="00A553B0"/>
    <w:rsid w:val="00A57D04"/>
    <w:rsid w:val="00A60A26"/>
    <w:rsid w:val="00A614C7"/>
    <w:rsid w:val="00A61598"/>
    <w:rsid w:val="00A615AB"/>
    <w:rsid w:val="00A64D84"/>
    <w:rsid w:val="00A651CD"/>
    <w:rsid w:val="00A65A10"/>
    <w:rsid w:val="00A6688B"/>
    <w:rsid w:val="00A66A88"/>
    <w:rsid w:val="00A67B48"/>
    <w:rsid w:val="00A67FA7"/>
    <w:rsid w:val="00A80CA9"/>
    <w:rsid w:val="00A82883"/>
    <w:rsid w:val="00A82AD5"/>
    <w:rsid w:val="00A84A99"/>
    <w:rsid w:val="00A84F46"/>
    <w:rsid w:val="00A871F4"/>
    <w:rsid w:val="00A90B40"/>
    <w:rsid w:val="00A97C98"/>
    <w:rsid w:val="00AA0474"/>
    <w:rsid w:val="00AA0AE9"/>
    <w:rsid w:val="00AA779C"/>
    <w:rsid w:val="00AB45E0"/>
    <w:rsid w:val="00AB6942"/>
    <w:rsid w:val="00AB69C1"/>
    <w:rsid w:val="00AC137B"/>
    <w:rsid w:val="00AC1B2C"/>
    <w:rsid w:val="00AC3264"/>
    <w:rsid w:val="00AC5CCA"/>
    <w:rsid w:val="00AD1782"/>
    <w:rsid w:val="00AD2F65"/>
    <w:rsid w:val="00AD3454"/>
    <w:rsid w:val="00AD346B"/>
    <w:rsid w:val="00AD6D24"/>
    <w:rsid w:val="00AD76F3"/>
    <w:rsid w:val="00AE1BF1"/>
    <w:rsid w:val="00AE7166"/>
    <w:rsid w:val="00AF0DD2"/>
    <w:rsid w:val="00AF1F9E"/>
    <w:rsid w:val="00AF29C6"/>
    <w:rsid w:val="00AF753E"/>
    <w:rsid w:val="00B022DA"/>
    <w:rsid w:val="00B044F9"/>
    <w:rsid w:val="00B103BB"/>
    <w:rsid w:val="00B10BEB"/>
    <w:rsid w:val="00B13048"/>
    <w:rsid w:val="00B13E67"/>
    <w:rsid w:val="00B14173"/>
    <w:rsid w:val="00B15AC3"/>
    <w:rsid w:val="00B1716D"/>
    <w:rsid w:val="00B17A1D"/>
    <w:rsid w:val="00B207A0"/>
    <w:rsid w:val="00B20FAC"/>
    <w:rsid w:val="00B21B43"/>
    <w:rsid w:val="00B2266E"/>
    <w:rsid w:val="00B22DB5"/>
    <w:rsid w:val="00B244D9"/>
    <w:rsid w:val="00B2556E"/>
    <w:rsid w:val="00B27BB7"/>
    <w:rsid w:val="00B3003F"/>
    <w:rsid w:val="00B339E4"/>
    <w:rsid w:val="00B35B25"/>
    <w:rsid w:val="00B361A4"/>
    <w:rsid w:val="00B40717"/>
    <w:rsid w:val="00B40B28"/>
    <w:rsid w:val="00B433E3"/>
    <w:rsid w:val="00B502D9"/>
    <w:rsid w:val="00B50D5B"/>
    <w:rsid w:val="00B510AA"/>
    <w:rsid w:val="00B514DD"/>
    <w:rsid w:val="00B52AF0"/>
    <w:rsid w:val="00B5315B"/>
    <w:rsid w:val="00B561BD"/>
    <w:rsid w:val="00B56E03"/>
    <w:rsid w:val="00B72565"/>
    <w:rsid w:val="00B73207"/>
    <w:rsid w:val="00B76AEC"/>
    <w:rsid w:val="00B803A2"/>
    <w:rsid w:val="00B8080B"/>
    <w:rsid w:val="00B87BA5"/>
    <w:rsid w:val="00B87C39"/>
    <w:rsid w:val="00B93E9F"/>
    <w:rsid w:val="00B93F1D"/>
    <w:rsid w:val="00B96463"/>
    <w:rsid w:val="00B969E9"/>
    <w:rsid w:val="00B97065"/>
    <w:rsid w:val="00BA13C9"/>
    <w:rsid w:val="00BA2C70"/>
    <w:rsid w:val="00BA2F5F"/>
    <w:rsid w:val="00BA3645"/>
    <w:rsid w:val="00BA4665"/>
    <w:rsid w:val="00BA5123"/>
    <w:rsid w:val="00BA7545"/>
    <w:rsid w:val="00BB27AC"/>
    <w:rsid w:val="00BB2FB2"/>
    <w:rsid w:val="00BB3304"/>
    <w:rsid w:val="00BB375B"/>
    <w:rsid w:val="00BB6278"/>
    <w:rsid w:val="00BB744D"/>
    <w:rsid w:val="00BC65D5"/>
    <w:rsid w:val="00BD1A94"/>
    <w:rsid w:val="00BD2A54"/>
    <w:rsid w:val="00BD3446"/>
    <w:rsid w:val="00BE1F1B"/>
    <w:rsid w:val="00BE47B5"/>
    <w:rsid w:val="00BE5808"/>
    <w:rsid w:val="00BE6349"/>
    <w:rsid w:val="00BE7AE6"/>
    <w:rsid w:val="00BF57A8"/>
    <w:rsid w:val="00BF7D40"/>
    <w:rsid w:val="00C00A7C"/>
    <w:rsid w:val="00C024D9"/>
    <w:rsid w:val="00C036C5"/>
    <w:rsid w:val="00C06FE1"/>
    <w:rsid w:val="00C102FE"/>
    <w:rsid w:val="00C20ACF"/>
    <w:rsid w:val="00C21586"/>
    <w:rsid w:val="00C21EC6"/>
    <w:rsid w:val="00C23767"/>
    <w:rsid w:val="00C24CA0"/>
    <w:rsid w:val="00C25FA6"/>
    <w:rsid w:val="00C26021"/>
    <w:rsid w:val="00C3512A"/>
    <w:rsid w:val="00C356EA"/>
    <w:rsid w:val="00C3728D"/>
    <w:rsid w:val="00C373DF"/>
    <w:rsid w:val="00C37B77"/>
    <w:rsid w:val="00C40777"/>
    <w:rsid w:val="00C41D4D"/>
    <w:rsid w:val="00C42021"/>
    <w:rsid w:val="00C51C80"/>
    <w:rsid w:val="00C5257A"/>
    <w:rsid w:val="00C5304F"/>
    <w:rsid w:val="00C538A9"/>
    <w:rsid w:val="00C53B5A"/>
    <w:rsid w:val="00C53C9D"/>
    <w:rsid w:val="00C54F5A"/>
    <w:rsid w:val="00C560AB"/>
    <w:rsid w:val="00C569B4"/>
    <w:rsid w:val="00C60106"/>
    <w:rsid w:val="00C62F3B"/>
    <w:rsid w:val="00C63496"/>
    <w:rsid w:val="00C66428"/>
    <w:rsid w:val="00C67953"/>
    <w:rsid w:val="00C67A92"/>
    <w:rsid w:val="00C720B9"/>
    <w:rsid w:val="00C72F8F"/>
    <w:rsid w:val="00C764B0"/>
    <w:rsid w:val="00C7741A"/>
    <w:rsid w:val="00C800FF"/>
    <w:rsid w:val="00C80B5F"/>
    <w:rsid w:val="00C81393"/>
    <w:rsid w:val="00C830BA"/>
    <w:rsid w:val="00C8471B"/>
    <w:rsid w:val="00C84DB9"/>
    <w:rsid w:val="00C86679"/>
    <w:rsid w:val="00C86DF7"/>
    <w:rsid w:val="00C93D42"/>
    <w:rsid w:val="00CA13D4"/>
    <w:rsid w:val="00CA1D5E"/>
    <w:rsid w:val="00CA2E75"/>
    <w:rsid w:val="00CA489E"/>
    <w:rsid w:val="00CB0279"/>
    <w:rsid w:val="00CB2989"/>
    <w:rsid w:val="00CB666B"/>
    <w:rsid w:val="00CC062C"/>
    <w:rsid w:val="00CC32A0"/>
    <w:rsid w:val="00CC7F1D"/>
    <w:rsid w:val="00CD0EC4"/>
    <w:rsid w:val="00CD349F"/>
    <w:rsid w:val="00CD6F56"/>
    <w:rsid w:val="00CE122E"/>
    <w:rsid w:val="00CE1FA9"/>
    <w:rsid w:val="00CE2310"/>
    <w:rsid w:val="00CF1794"/>
    <w:rsid w:val="00D006AE"/>
    <w:rsid w:val="00D00F69"/>
    <w:rsid w:val="00D01CF0"/>
    <w:rsid w:val="00D021CE"/>
    <w:rsid w:val="00D028CC"/>
    <w:rsid w:val="00D03FFD"/>
    <w:rsid w:val="00D0442A"/>
    <w:rsid w:val="00D0577F"/>
    <w:rsid w:val="00D14DF4"/>
    <w:rsid w:val="00D17CB4"/>
    <w:rsid w:val="00D255D3"/>
    <w:rsid w:val="00D353AB"/>
    <w:rsid w:val="00D41DD7"/>
    <w:rsid w:val="00D424A5"/>
    <w:rsid w:val="00D43AB9"/>
    <w:rsid w:val="00D45159"/>
    <w:rsid w:val="00D4535F"/>
    <w:rsid w:val="00D45922"/>
    <w:rsid w:val="00D47522"/>
    <w:rsid w:val="00D47BEB"/>
    <w:rsid w:val="00D51AD6"/>
    <w:rsid w:val="00D53713"/>
    <w:rsid w:val="00D53A08"/>
    <w:rsid w:val="00D5410A"/>
    <w:rsid w:val="00D54A9C"/>
    <w:rsid w:val="00D55576"/>
    <w:rsid w:val="00D56FAD"/>
    <w:rsid w:val="00D61388"/>
    <w:rsid w:val="00D61960"/>
    <w:rsid w:val="00D61A54"/>
    <w:rsid w:val="00D6292C"/>
    <w:rsid w:val="00D62DB5"/>
    <w:rsid w:val="00D64DEA"/>
    <w:rsid w:val="00D7168E"/>
    <w:rsid w:val="00D71E57"/>
    <w:rsid w:val="00D73370"/>
    <w:rsid w:val="00D80893"/>
    <w:rsid w:val="00D84854"/>
    <w:rsid w:val="00D86274"/>
    <w:rsid w:val="00D90BDD"/>
    <w:rsid w:val="00D92CF1"/>
    <w:rsid w:val="00D92D38"/>
    <w:rsid w:val="00D9327D"/>
    <w:rsid w:val="00D94E8A"/>
    <w:rsid w:val="00D950F5"/>
    <w:rsid w:val="00D95385"/>
    <w:rsid w:val="00DA2964"/>
    <w:rsid w:val="00DA41D0"/>
    <w:rsid w:val="00DA4752"/>
    <w:rsid w:val="00DA5FA3"/>
    <w:rsid w:val="00DA61F3"/>
    <w:rsid w:val="00DB0F93"/>
    <w:rsid w:val="00DB1A67"/>
    <w:rsid w:val="00DB24F8"/>
    <w:rsid w:val="00DB31DC"/>
    <w:rsid w:val="00DB5074"/>
    <w:rsid w:val="00DB6221"/>
    <w:rsid w:val="00DB77B8"/>
    <w:rsid w:val="00DC06B8"/>
    <w:rsid w:val="00DC076E"/>
    <w:rsid w:val="00DC4AEE"/>
    <w:rsid w:val="00DC4AFB"/>
    <w:rsid w:val="00DC7981"/>
    <w:rsid w:val="00DD5364"/>
    <w:rsid w:val="00DD5477"/>
    <w:rsid w:val="00DD6975"/>
    <w:rsid w:val="00DD6E37"/>
    <w:rsid w:val="00DE1093"/>
    <w:rsid w:val="00DE4899"/>
    <w:rsid w:val="00DE4EFA"/>
    <w:rsid w:val="00DE5520"/>
    <w:rsid w:val="00DE563D"/>
    <w:rsid w:val="00DF047A"/>
    <w:rsid w:val="00DF1256"/>
    <w:rsid w:val="00E0217C"/>
    <w:rsid w:val="00E04818"/>
    <w:rsid w:val="00E06442"/>
    <w:rsid w:val="00E11C32"/>
    <w:rsid w:val="00E21115"/>
    <w:rsid w:val="00E2123A"/>
    <w:rsid w:val="00E23993"/>
    <w:rsid w:val="00E25580"/>
    <w:rsid w:val="00E25B8C"/>
    <w:rsid w:val="00E30519"/>
    <w:rsid w:val="00E31867"/>
    <w:rsid w:val="00E35D63"/>
    <w:rsid w:val="00E40F08"/>
    <w:rsid w:val="00E42BFD"/>
    <w:rsid w:val="00E52EBB"/>
    <w:rsid w:val="00E54971"/>
    <w:rsid w:val="00E605D0"/>
    <w:rsid w:val="00E61B4C"/>
    <w:rsid w:val="00E65C85"/>
    <w:rsid w:val="00E66199"/>
    <w:rsid w:val="00E71E5A"/>
    <w:rsid w:val="00E755EC"/>
    <w:rsid w:val="00E7624D"/>
    <w:rsid w:val="00E7719D"/>
    <w:rsid w:val="00E774FB"/>
    <w:rsid w:val="00E8024D"/>
    <w:rsid w:val="00E824A1"/>
    <w:rsid w:val="00E831FF"/>
    <w:rsid w:val="00E86944"/>
    <w:rsid w:val="00E87F80"/>
    <w:rsid w:val="00E9024F"/>
    <w:rsid w:val="00E9048F"/>
    <w:rsid w:val="00E90945"/>
    <w:rsid w:val="00E92D2B"/>
    <w:rsid w:val="00E97328"/>
    <w:rsid w:val="00EA0969"/>
    <w:rsid w:val="00EA0EE5"/>
    <w:rsid w:val="00EA3D42"/>
    <w:rsid w:val="00EA51EF"/>
    <w:rsid w:val="00EA6B1B"/>
    <w:rsid w:val="00EA7AE1"/>
    <w:rsid w:val="00EB020C"/>
    <w:rsid w:val="00EB0E98"/>
    <w:rsid w:val="00EB302E"/>
    <w:rsid w:val="00ED3FAE"/>
    <w:rsid w:val="00ED599D"/>
    <w:rsid w:val="00ED7323"/>
    <w:rsid w:val="00ED7B46"/>
    <w:rsid w:val="00EE065D"/>
    <w:rsid w:val="00EE252E"/>
    <w:rsid w:val="00EE28F3"/>
    <w:rsid w:val="00EF272B"/>
    <w:rsid w:val="00EF35EA"/>
    <w:rsid w:val="00EF5110"/>
    <w:rsid w:val="00F07DAE"/>
    <w:rsid w:val="00F10411"/>
    <w:rsid w:val="00F15882"/>
    <w:rsid w:val="00F15D74"/>
    <w:rsid w:val="00F171E0"/>
    <w:rsid w:val="00F20BD3"/>
    <w:rsid w:val="00F20FDF"/>
    <w:rsid w:val="00F2254A"/>
    <w:rsid w:val="00F2421F"/>
    <w:rsid w:val="00F27F3C"/>
    <w:rsid w:val="00F31B5C"/>
    <w:rsid w:val="00F31CD2"/>
    <w:rsid w:val="00F360AD"/>
    <w:rsid w:val="00F373A5"/>
    <w:rsid w:val="00F37DD8"/>
    <w:rsid w:val="00F37F83"/>
    <w:rsid w:val="00F40D2A"/>
    <w:rsid w:val="00F40EC9"/>
    <w:rsid w:val="00F4175E"/>
    <w:rsid w:val="00F435DE"/>
    <w:rsid w:val="00F467BD"/>
    <w:rsid w:val="00F46A5A"/>
    <w:rsid w:val="00F474F4"/>
    <w:rsid w:val="00F47559"/>
    <w:rsid w:val="00F52729"/>
    <w:rsid w:val="00F533F2"/>
    <w:rsid w:val="00F5385A"/>
    <w:rsid w:val="00F55BD2"/>
    <w:rsid w:val="00F563F8"/>
    <w:rsid w:val="00F5744C"/>
    <w:rsid w:val="00F64C7B"/>
    <w:rsid w:val="00F6567F"/>
    <w:rsid w:val="00F65A4A"/>
    <w:rsid w:val="00F676DD"/>
    <w:rsid w:val="00F7435A"/>
    <w:rsid w:val="00F74790"/>
    <w:rsid w:val="00F75742"/>
    <w:rsid w:val="00F75A26"/>
    <w:rsid w:val="00F76706"/>
    <w:rsid w:val="00F80404"/>
    <w:rsid w:val="00F83435"/>
    <w:rsid w:val="00F834E2"/>
    <w:rsid w:val="00F839BB"/>
    <w:rsid w:val="00F83FAD"/>
    <w:rsid w:val="00F84A23"/>
    <w:rsid w:val="00F91C17"/>
    <w:rsid w:val="00F952A0"/>
    <w:rsid w:val="00FA0B83"/>
    <w:rsid w:val="00FA3C7F"/>
    <w:rsid w:val="00FA4F32"/>
    <w:rsid w:val="00FA4F6D"/>
    <w:rsid w:val="00FB2539"/>
    <w:rsid w:val="00FB2C5B"/>
    <w:rsid w:val="00FB5826"/>
    <w:rsid w:val="00FB74E2"/>
    <w:rsid w:val="00FC0E2D"/>
    <w:rsid w:val="00FC10C4"/>
    <w:rsid w:val="00FC134D"/>
    <w:rsid w:val="00FC22DF"/>
    <w:rsid w:val="00FC4643"/>
    <w:rsid w:val="00FC6478"/>
    <w:rsid w:val="00FD0C59"/>
    <w:rsid w:val="00FD17C4"/>
    <w:rsid w:val="00FD3067"/>
    <w:rsid w:val="00FD5614"/>
    <w:rsid w:val="00FE0BE1"/>
    <w:rsid w:val="00FE1754"/>
    <w:rsid w:val="00FE1A39"/>
    <w:rsid w:val="00FE1DE9"/>
    <w:rsid w:val="00FE36AF"/>
    <w:rsid w:val="00FE39C2"/>
    <w:rsid w:val="00FE3C32"/>
    <w:rsid w:val="00FE4BBC"/>
    <w:rsid w:val="00FE64AE"/>
    <w:rsid w:val="00FF3800"/>
    <w:rsid w:val="00FF4F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E1FA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E1FA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16636">
      <w:bodyDiv w:val="1"/>
      <w:marLeft w:val="0"/>
      <w:marRight w:val="0"/>
      <w:marTop w:val="0"/>
      <w:marBottom w:val="0"/>
      <w:divBdr>
        <w:top w:val="none" w:sz="0" w:space="0" w:color="auto"/>
        <w:left w:val="none" w:sz="0" w:space="0" w:color="auto"/>
        <w:bottom w:val="none" w:sz="0" w:space="0" w:color="auto"/>
        <w:right w:val="none" w:sz="0" w:space="0" w:color="auto"/>
      </w:divBdr>
    </w:div>
    <w:div w:id="305857029">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678241656">
      <w:bodyDiv w:val="1"/>
      <w:marLeft w:val="0"/>
      <w:marRight w:val="0"/>
      <w:marTop w:val="0"/>
      <w:marBottom w:val="0"/>
      <w:divBdr>
        <w:top w:val="none" w:sz="0" w:space="0" w:color="auto"/>
        <w:left w:val="none" w:sz="0" w:space="0" w:color="auto"/>
        <w:bottom w:val="none" w:sz="0" w:space="0" w:color="auto"/>
        <w:right w:val="none" w:sz="0" w:space="0" w:color="auto"/>
      </w:divBdr>
    </w:div>
    <w:div w:id="827403325">
      <w:bodyDiv w:val="1"/>
      <w:marLeft w:val="0"/>
      <w:marRight w:val="0"/>
      <w:marTop w:val="0"/>
      <w:marBottom w:val="0"/>
      <w:divBdr>
        <w:top w:val="none" w:sz="0" w:space="0" w:color="auto"/>
        <w:left w:val="none" w:sz="0" w:space="0" w:color="auto"/>
        <w:bottom w:val="none" w:sz="0" w:space="0" w:color="auto"/>
        <w:right w:val="none" w:sz="0" w:space="0" w:color="auto"/>
      </w:divBdr>
    </w:div>
    <w:div w:id="951202609">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850555668">
      <w:bodyDiv w:val="1"/>
      <w:marLeft w:val="0"/>
      <w:marRight w:val="0"/>
      <w:marTop w:val="0"/>
      <w:marBottom w:val="0"/>
      <w:divBdr>
        <w:top w:val="none" w:sz="0" w:space="0" w:color="auto"/>
        <w:left w:val="none" w:sz="0" w:space="0" w:color="auto"/>
        <w:bottom w:val="none" w:sz="0" w:space="0" w:color="auto"/>
        <w:right w:val="none" w:sz="0" w:space="0" w:color="auto"/>
      </w:divBdr>
    </w:div>
    <w:div w:id="20902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javascript:void(0);" TargetMode="External"/><Relationship Id="rId2" Type="http://schemas.openxmlformats.org/officeDocument/2006/relationships/hyperlink" Target="http://jemena.com.au/getattachment/1b097646-422c-458a-b0dc-de11c212304a/Residential-Connection-Application.aspx" TargetMode="External"/><Relationship Id="rId1" Type="http://schemas.openxmlformats.org/officeDocument/2006/relationships/hyperlink" Target="http://jemena.com.au/documents/gas/distinguishing-basic-and-standard.aspx" TargetMode="External"/><Relationship Id="rId4" Type="http://schemas.openxmlformats.org/officeDocument/2006/relationships/hyperlink" Target="http://doris/Default.aspx?urilist=8449049,"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5C819ADB.dotm</Template>
  <TotalTime>0</TotalTime>
  <Pages>61</Pages>
  <Words>18898</Words>
  <Characters>107722</Characters>
  <Application>Microsoft Office Word</Application>
  <DocSecurity>0</DocSecurity>
  <Lines>897</Lines>
  <Paragraphs>252</Paragraphs>
  <ScaleCrop>false</ScaleCrop>
  <Company/>
  <LinksUpToDate>false</LinksUpToDate>
  <CharactersWithSpaces>126368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2015-06-01T23:03:00Z</dcterms:created>
  <dcterms:modified xsi:type="dcterms:W3CDTF">2015-06-01T23:04:00Z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