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displacedByCustomXml="next"/>
    <w:bookmarkEnd w:id="0" w:displacedByCustomXml="next"/>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0A6C7B" w:rsidP="00290C63">
          <w:r w:rsidRPr="00290C63">
            <w:rPr>
              <w:noProof/>
              <w:lang w:eastAsia="en-AU"/>
            </w:rPr>
            <w:drawing>
              <wp:anchor distT="0" distB="0" distL="114300" distR="114300" simplePos="0" relativeHeight="251659264" behindDoc="1" locked="0" layoutInCell="1" allowOverlap="1" wp14:anchorId="61B9D1CA" wp14:editId="30B20C39">
                <wp:simplePos x="0" y="0"/>
                <wp:positionH relativeFrom="column">
                  <wp:posOffset>-1104900</wp:posOffset>
                </wp:positionH>
                <wp:positionV relativeFrom="paragraph">
                  <wp:posOffset>-927735</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327A1E" w:rsidRDefault="00AF1F9E" w:rsidP="008F07A3">
          <w:pPr>
            <w:pStyle w:val="ReportSubtitle"/>
          </w:pPr>
          <w:r>
            <w:t>FINAL</w:t>
          </w:r>
          <w:r w:rsidR="00DA4752">
            <w:t xml:space="preserve"> DECISION</w:t>
          </w:r>
        </w:p>
        <w:p w:rsidR="00AF1F9E" w:rsidRDefault="00FB5826" w:rsidP="008F07A3">
          <w:pPr>
            <w:pStyle w:val="ReportSubtitle"/>
          </w:pPr>
          <w:r>
            <w:t>Jemena Gas Networks (NSW) Ltd</w:t>
          </w:r>
        </w:p>
        <w:p w:rsidR="00FB5826" w:rsidRDefault="00FB5826" w:rsidP="008F07A3">
          <w:pPr>
            <w:pStyle w:val="ReportSubtitle"/>
          </w:pPr>
          <w:r>
            <w:t>Access Arrangement 2015-20</w:t>
          </w:r>
        </w:p>
        <w:p w:rsidR="000A6C7B" w:rsidRDefault="000A6C7B" w:rsidP="008F07A3">
          <w:pPr>
            <w:pStyle w:val="ReportSubtitle"/>
          </w:pPr>
        </w:p>
        <w:p w:rsidR="008F07A3" w:rsidRPr="000A6C7B" w:rsidRDefault="008F07A3" w:rsidP="008F07A3">
          <w:pPr>
            <w:pStyle w:val="ReportSubtitle"/>
          </w:pPr>
        </w:p>
        <w:p w:rsidR="000A6C7B" w:rsidRPr="000A6C7B" w:rsidRDefault="00DA4752" w:rsidP="008F07A3">
          <w:pPr>
            <w:pStyle w:val="ReportSubtitle"/>
          </w:pPr>
          <w:r>
            <w:t xml:space="preserve">Attachment </w:t>
          </w:r>
          <w:r w:rsidR="00345E4F">
            <w:t>7</w:t>
          </w:r>
          <w:r>
            <w:t xml:space="preserve"> </w:t>
          </w:r>
          <w:r>
            <w:rPr>
              <w:rFonts w:cs="Arial"/>
            </w:rPr>
            <w:t>−</w:t>
          </w:r>
          <w:r>
            <w:t xml:space="preserve"> </w:t>
          </w:r>
          <w:r w:rsidR="00345E4F">
            <w:t>Operating</w:t>
          </w:r>
          <w:r w:rsidR="0082643B">
            <w:t xml:space="preserve"> expenditure</w:t>
          </w:r>
        </w:p>
        <w:p w:rsidR="000A6C7B" w:rsidRPr="00327A1E" w:rsidRDefault="00CE7D0C" w:rsidP="00327A1E">
          <w:pPr>
            <w:pStyle w:val="ReportDate"/>
          </w:pPr>
          <w:r>
            <w:t xml:space="preserve">June </w:t>
          </w:r>
          <w:r w:rsidR="00DA4752">
            <w:t>2015</w:t>
          </w:r>
        </w:p>
      </w:sdtContent>
    </w:sdt>
    <w:p w:rsidR="00327A1E" w:rsidRPr="00290C63" w:rsidRDefault="00327A1E" w:rsidP="00290C63">
      <w:r>
        <w:br w:type="page"/>
      </w:r>
    </w:p>
    <w:p w:rsidR="000A6C7B" w:rsidRDefault="008F07A3" w:rsidP="00961A4A">
      <w:pPr>
        <w:pStyle w:val="Copyright"/>
      </w:pPr>
      <w:r>
        <w:lastRenderedPageBreak/>
        <w:t>© Commonwealth of Australia 2015</w:t>
      </w:r>
    </w:p>
    <w:p w:rsidR="000A6C7B" w:rsidRDefault="000A6C7B" w:rsidP="000A6C7B">
      <w:pPr>
        <w:pStyle w:val="Copyright"/>
      </w:pPr>
      <w:r>
        <w:t>This work is copyright. In addition to any use permitted under the Copyright Act 1968, all material contained within this work is provided under a Creative Commons Attributions 3.0 Australia licence, with the exception of:</w:t>
      </w:r>
    </w:p>
    <w:p w:rsidR="000A6C7B" w:rsidRPr="00983C25" w:rsidRDefault="000A6C7B" w:rsidP="00983C25">
      <w:pPr>
        <w:pStyle w:val="AERbulletlistfirststyle"/>
        <w:rPr>
          <w:sz w:val="20"/>
          <w:szCs w:val="20"/>
        </w:rPr>
      </w:pPr>
      <w:r>
        <w:t xml:space="preserve">the </w:t>
      </w:r>
      <w:r w:rsidRPr="00983C25">
        <w:rPr>
          <w:sz w:val="20"/>
          <w:szCs w:val="20"/>
        </w:rPr>
        <w:t>Commonwealth Coat of Arms</w:t>
      </w:r>
    </w:p>
    <w:p w:rsidR="000A6C7B" w:rsidRPr="00983C25" w:rsidRDefault="000A6C7B" w:rsidP="00983C25">
      <w:pPr>
        <w:pStyle w:val="AERbulletlistfirststyle"/>
        <w:rPr>
          <w:sz w:val="20"/>
          <w:szCs w:val="20"/>
        </w:rPr>
      </w:pPr>
      <w:r w:rsidRPr="00983C25">
        <w:rPr>
          <w:sz w:val="20"/>
          <w:szCs w:val="20"/>
        </w:rPr>
        <w:t>the ACCC and AER logos</w:t>
      </w:r>
    </w:p>
    <w:p w:rsidR="000A6C7B" w:rsidRPr="00983C25" w:rsidRDefault="000A6C7B" w:rsidP="00983C25">
      <w:pPr>
        <w:pStyle w:val="AERbulletlistfirststyle"/>
        <w:rPr>
          <w:sz w:val="20"/>
        </w:rPr>
      </w:pPr>
      <w:r w:rsidRPr="00983C25">
        <w:rPr>
          <w:sz w:val="20"/>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0A6C7B" w:rsidRDefault="000A6C7B" w:rsidP="000A6C7B">
      <w:pPr>
        <w:pStyle w:val="Copyright"/>
      </w:pPr>
      <w:r>
        <w:t>Requests and inquiries concerning reproduction and rights should be addressed to the Director, Corporate Communications,</w:t>
      </w:r>
      <w:r w:rsidR="00983C25">
        <w:br/>
      </w:r>
      <w:r>
        <w:t xml:space="preserve">Australian Competition and Consumer Commission, </w:t>
      </w:r>
      <w:r w:rsidR="00983C25">
        <w:br/>
      </w:r>
      <w:r>
        <w:t>GPO Box 4141, Canberra ACT 2601</w:t>
      </w:r>
      <w:r w:rsidR="00983C25">
        <w:br/>
      </w:r>
      <w:r>
        <w:t>or publishing.unit@accc.gov.au.</w:t>
      </w:r>
    </w:p>
    <w:p w:rsidR="00951978" w:rsidRDefault="000A6C7B" w:rsidP="00961A4A">
      <w:pPr>
        <w:pStyle w:val="Copyright"/>
      </w:pPr>
      <w:r>
        <w:t>Inquiries about this publication should be addressed to:</w:t>
      </w:r>
    </w:p>
    <w:p w:rsidR="000A6C7B" w:rsidRDefault="000A6C7B" w:rsidP="000A6C7B">
      <w:pPr>
        <w:pStyle w:val="Copyright"/>
      </w:pPr>
      <w:r>
        <w:t xml:space="preserve">Australian Energy </w:t>
      </w:r>
      <w:r w:rsidRPr="00F171E0">
        <w:t>Regulator</w:t>
      </w:r>
      <w:r w:rsidR="00951978">
        <w:br/>
      </w:r>
      <w:r>
        <w:t>GPO Box 520</w:t>
      </w:r>
      <w:r w:rsidR="00951978">
        <w:br/>
      </w:r>
      <w:r>
        <w:t>Melbourne  Vic  3001</w:t>
      </w:r>
    </w:p>
    <w:p w:rsidR="000A6C7B" w:rsidRDefault="000A6C7B" w:rsidP="00961A4A">
      <w:pPr>
        <w:pStyle w:val="Copyright"/>
      </w:pPr>
      <w:r>
        <w:t>Tel: (03) 9290 1444</w:t>
      </w:r>
      <w:r w:rsidR="00951978">
        <w:br/>
      </w:r>
      <w:r>
        <w:t>Fax: (03) 9290 1457</w:t>
      </w:r>
    </w:p>
    <w:p w:rsidR="00AF1F9E" w:rsidRDefault="000A6C7B" w:rsidP="008F07A3">
      <w:pPr>
        <w:pStyle w:val="Copyright"/>
        <w:rPr>
          <w:rStyle w:val="Hyperlink"/>
        </w:rPr>
      </w:pPr>
      <w:r>
        <w:t xml:space="preserve">Email: </w:t>
      </w:r>
      <w:hyperlink r:id="rId10" w:history="1">
        <w:r w:rsidRPr="00D64888">
          <w:rPr>
            <w:rStyle w:val="Hyperlink"/>
          </w:rPr>
          <w:t>AERInquiry@aer.gov.au</w:t>
        </w:r>
      </w:hyperlink>
    </w:p>
    <w:p w:rsidR="005D7BA2" w:rsidRDefault="00AF1F9E" w:rsidP="008F07A3">
      <w:pPr>
        <w:pStyle w:val="Copyright"/>
      </w:pPr>
      <w:r w:rsidRPr="00AF1F9E">
        <w:t>AER reference: 5</w:t>
      </w:r>
      <w:r w:rsidR="00FB5826">
        <w:t>1741</w:t>
      </w:r>
      <w:r w:rsidR="00951978" w:rsidRPr="00AF1F9E">
        <w:br/>
      </w:r>
    </w:p>
    <w:p w:rsidR="00CE1FA9" w:rsidRDefault="00CE1FA9">
      <w:pPr>
        <w:spacing w:line="240" w:lineRule="auto"/>
      </w:pPr>
      <w:r>
        <w:br w:type="page"/>
      </w:r>
    </w:p>
    <w:p w:rsidR="008F07A3" w:rsidRDefault="00DA61F3" w:rsidP="008F07A3">
      <w:pPr>
        <w:pStyle w:val="UnnumberedHeading"/>
        <w:numPr>
          <w:ilvl w:val="0"/>
          <w:numId w:val="24"/>
        </w:numPr>
      </w:pPr>
      <w:bookmarkStart w:id="1" w:name="_Toc404354899"/>
      <w:bookmarkStart w:id="2" w:name="_Toc404353070"/>
      <w:bookmarkStart w:id="3" w:name="_Toc404684201"/>
      <w:bookmarkStart w:id="4" w:name="_Toc404700923"/>
      <w:bookmarkStart w:id="5" w:name="_Toc420325021"/>
      <w:r>
        <w:lastRenderedPageBreak/>
        <w:t>N</w:t>
      </w:r>
      <w:r w:rsidR="008F07A3">
        <w:t>ote</w:t>
      </w:r>
      <w:bookmarkEnd w:id="1"/>
      <w:bookmarkEnd w:id="2"/>
      <w:bookmarkEnd w:id="3"/>
      <w:bookmarkEnd w:id="4"/>
      <w:bookmarkEnd w:id="5"/>
    </w:p>
    <w:p w:rsidR="008F07A3" w:rsidRDefault="008F07A3" w:rsidP="008F07A3"/>
    <w:p w:rsidR="007F23BE" w:rsidRPr="007F23BE" w:rsidRDefault="007F23BE" w:rsidP="007F23BE">
      <w:r w:rsidRPr="007F23BE">
        <w:t>This attachment forms part of the AER's final decision on Jemena Gas Networks' 2015–20 access arrangement. It should be read with other parts of the final decision.</w:t>
      </w:r>
    </w:p>
    <w:p w:rsidR="007F23BE" w:rsidRPr="007F23BE" w:rsidRDefault="007F23BE" w:rsidP="007F23BE">
      <w:r w:rsidRPr="007F23BE">
        <w:t>The final decision includes the following documents:</w:t>
      </w:r>
    </w:p>
    <w:p w:rsidR="007F23BE" w:rsidRPr="007F23BE" w:rsidRDefault="007F23BE" w:rsidP="007F23BE">
      <w:r w:rsidRPr="007F23BE">
        <w:t>Overview</w:t>
      </w:r>
    </w:p>
    <w:p w:rsidR="007F23BE" w:rsidRPr="007F23BE" w:rsidRDefault="007F23BE" w:rsidP="007F23BE">
      <w:r w:rsidRPr="007F23BE">
        <w:t>Attachment 1 – services covered by the access arrangement</w:t>
      </w:r>
    </w:p>
    <w:p w:rsidR="007F23BE" w:rsidRPr="007F23BE" w:rsidRDefault="007F23BE" w:rsidP="007F23BE">
      <w:r w:rsidRPr="007F23BE">
        <w:t>Attachment 2 – capital base</w:t>
      </w:r>
    </w:p>
    <w:p w:rsidR="007F23BE" w:rsidRPr="007F23BE" w:rsidRDefault="007F23BE" w:rsidP="007F23BE">
      <w:r w:rsidRPr="007F23BE">
        <w:t>Attachment 3 – rate of return</w:t>
      </w:r>
    </w:p>
    <w:p w:rsidR="007F23BE" w:rsidRPr="007F23BE" w:rsidRDefault="007F23BE" w:rsidP="007F23BE">
      <w:r w:rsidRPr="007F23BE">
        <w:t>Attachment 4 – value of imputation credits</w:t>
      </w:r>
    </w:p>
    <w:p w:rsidR="007F23BE" w:rsidRPr="007F23BE" w:rsidRDefault="007F23BE" w:rsidP="007F23BE">
      <w:r w:rsidRPr="007F23BE">
        <w:t>Attachment 5 – regulatory depreciation</w:t>
      </w:r>
    </w:p>
    <w:p w:rsidR="007F23BE" w:rsidRPr="007F23BE" w:rsidRDefault="007F23BE" w:rsidP="007F23BE">
      <w:r w:rsidRPr="007F23BE">
        <w:t xml:space="preserve">Attachment 6 – capital expenditure </w:t>
      </w:r>
    </w:p>
    <w:p w:rsidR="007F23BE" w:rsidRPr="007F23BE" w:rsidRDefault="007F23BE" w:rsidP="007F23BE">
      <w:r w:rsidRPr="007F23BE">
        <w:t>Attachment 7 – operating expenditure</w:t>
      </w:r>
    </w:p>
    <w:p w:rsidR="007F23BE" w:rsidRPr="007F23BE" w:rsidRDefault="007F23BE" w:rsidP="007F23BE">
      <w:r w:rsidRPr="007F23BE">
        <w:t>Attachment 8 – corporate income tax</w:t>
      </w:r>
    </w:p>
    <w:p w:rsidR="007F23BE" w:rsidRPr="007F23BE" w:rsidRDefault="007F23BE" w:rsidP="007F23BE">
      <w:r w:rsidRPr="007F23BE">
        <w:t>Attachment 9 – efficiency carryover mechanism</w:t>
      </w:r>
    </w:p>
    <w:p w:rsidR="007F23BE" w:rsidRPr="007F23BE" w:rsidRDefault="007F23BE" w:rsidP="007F23BE">
      <w:r w:rsidRPr="007F23BE">
        <w:t>Attachment 10 – reference tariff setting</w:t>
      </w:r>
    </w:p>
    <w:p w:rsidR="007F23BE" w:rsidRPr="007F23BE" w:rsidRDefault="007F23BE" w:rsidP="007F23BE">
      <w:r w:rsidRPr="007F23BE">
        <w:t>Attachment 11 – reference tariff variation mechanism</w:t>
      </w:r>
    </w:p>
    <w:p w:rsidR="007F23BE" w:rsidRPr="007F23BE" w:rsidRDefault="007F23BE" w:rsidP="007F23BE">
      <w:r w:rsidRPr="007F23BE">
        <w:t>Attachment 12 – non-tariff components</w:t>
      </w:r>
    </w:p>
    <w:p w:rsidR="007F23BE" w:rsidRPr="007F23BE" w:rsidRDefault="007F23BE" w:rsidP="007F23BE">
      <w:r w:rsidRPr="007F23BE">
        <w:t xml:space="preserve">Attachment 13 – demand </w:t>
      </w:r>
    </w:p>
    <w:p w:rsidR="00FB5826" w:rsidRPr="00FB5826" w:rsidRDefault="00FB5826" w:rsidP="00FB5826"/>
    <w:p w:rsidR="00AF1F9E" w:rsidRPr="009134B1" w:rsidRDefault="00AF1F9E" w:rsidP="00AF1F9E">
      <w:pPr>
        <w:numPr>
          <w:ilvl w:val="0"/>
          <w:numId w:val="25"/>
        </w:numPr>
        <w:spacing w:before="0" w:after="240" w:line="288" w:lineRule="auto"/>
        <w:jc w:val="both"/>
      </w:pPr>
    </w:p>
    <w:p w:rsidR="00AF1F9E" w:rsidRPr="008F07A3" w:rsidRDefault="00AF1F9E" w:rsidP="008F07A3">
      <w:pPr>
        <w:sectPr w:rsidR="00AF1F9E" w:rsidRPr="008F07A3" w:rsidSect="00201296">
          <w:footerReference w:type="even" r:id="rId11"/>
          <w:footerReference w:type="default" r:id="rId12"/>
          <w:footerReference w:type="first" r:id="rId13"/>
          <w:pgSz w:w="11906" w:h="16838" w:code="9"/>
          <w:pgMar w:top="1440" w:right="1700" w:bottom="1582" w:left="1729" w:header="720" w:footer="0" w:gutter="0"/>
          <w:pgNumType w:start="0" w:chapStyle="1"/>
          <w:cols w:space="720"/>
          <w:docGrid w:linePitch="326"/>
        </w:sectPr>
      </w:pPr>
    </w:p>
    <w:p w:rsidR="00DE563D" w:rsidRPr="00A72B34" w:rsidRDefault="00DE563D" w:rsidP="00DE563D">
      <w:pPr>
        <w:pStyle w:val="UnnumberedHeading"/>
        <w:numPr>
          <w:ilvl w:val="0"/>
          <w:numId w:val="24"/>
        </w:numPr>
      </w:pPr>
      <w:bookmarkStart w:id="6" w:name="_Toc403144133"/>
      <w:bookmarkStart w:id="7" w:name="_Toc420325022"/>
      <w:r>
        <w:lastRenderedPageBreak/>
        <w:t>Contents</w:t>
      </w:r>
      <w:bookmarkEnd w:id="6"/>
      <w:bookmarkEnd w:id="7"/>
    </w:p>
    <w:p w:rsidR="005D7BA2" w:rsidRDefault="005D7BA2">
      <w:pPr>
        <w:spacing w:line="240" w:lineRule="auto"/>
      </w:pPr>
    </w:p>
    <w:sdt>
      <w:sdtPr>
        <w:rPr>
          <w:b w:val="0"/>
          <w:noProof w:val="0"/>
          <w:color w:val="auto"/>
          <w:sz w:val="22"/>
          <w:lang w:val="en-AU" w:eastAsia="en-US"/>
        </w:rPr>
        <w:id w:val="1269200322"/>
        <w:docPartObj>
          <w:docPartGallery w:val="Table of Contents"/>
          <w:docPartUnique/>
        </w:docPartObj>
      </w:sdtPr>
      <w:sdtEndPr>
        <w:rPr>
          <w:b/>
          <w:noProof/>
          <w:color w:val="70635A" w:themeColor="text2"/>
          <w:sz w:val="24"/>
          <w:lang w:val="en-US" w:eastAsia="ja-JP"/>
        </w:rPr>
      </w:sdtEndPr>
      <w:sdtContent>
        <w:p w:rsidR="00850C00" w:rsidRDefault="00C35FD6">
          <w:pPr>
            <w:pStyle w:val="TOC1"/>
            <w:rPr>
              <w:rFonts w:asciiTheme="minorHAnsi" w:eastAsiaTheme="minorEastAsia" w:hAnsiTheme="minorHAnsi"/>
              <w:b w:val="0"/>
              <w:color w:val="auto"/>
              <w:sz w:val="22"/>
              <w:lang w:val="en-AU" w:eastAsia="en-AU"/>
            </w:rPr>
          </w:pPr>
          <w:r>
            <w:rPr>
              <w:color w:val="auto"/>
              <w:sz w:val="22"/>
            </w:rPr>
            <w:fldChar w:fldCharType="begin"/>
          </w:r>
          <w:r>
            <w:rPr>
              <w:color w:val="auto"/>
              <w:sz w:val="22"/>
            </w:rPr>
            <w:instrText xml:space="preserve"> TOC \o "1-2" \h \z \t "Heading 3,3" </w:instrText>
          </w:r>
          <w:r>
            <w:rPr>
              <w:color w:val="auto"/>
              <w:sz w:val="22"/>
            </w:rPr>
            <w:fldChar w:fldCharType="separate"/>
          </w:r>
          <w:hyperlink w:anchor="_Toc420325021" w:history="1">
            <w:r w:rsidR="00850C00" w:rsidRPr="00332D19">
              <w:rPr>
                <w:rStyle w:val="Hyperlink"/>
              </w:rPr>
              <w:t>Note</w:t>
            </w:r>
            <w:r w:rsidR="00850C00">
              <w:rPr>
                <w:webHidden/>
              </w:rPr>
              <w:tab/>
            </w:r>
            <w:r w:rsidR="00850C00">
              <w:rPr>
                <w:webHidden/>
              </w:rPr>
              <w:fldChar w:fldCharType="begin"/>
            </w:r>
            <w:r w:rsidR="00850C00">
              <w:rPr>
                <w:webHidden/>
              </w:rPr>
              <w:instrText xml:space="preserve"> PAGEREF _Toc420325021 \h </w:instrText>
            </w:r>
            <w:r w:rsidR="00850C00">
              <w:rPr>
                <w:webHidden/>
              </w:rPr>
            </w:r>
            <w:r w:rsidR="00850C00">
              <w:rPr>
                <w:webHidden/>
              </w:rPr>
              <w:fldChar w:fldCharType="separate"/>
            </w:r>
            <w:r w:rsidR="00FB6999">
              <w:rPr>
                <w:webHidden/>
              </w:rPr>
              <w:t>7-2</w:t>
            </w:r>
            <w:r w:rsidR="00850C00">
              <w:rPr>
                <w:webHidden/>
              </w:rPr>
              <w:fldChar w:fldCharType="end"/>
            </w:r>
          </w:hyperlink>
        </w:p>
        <w:p w:rsidR="00850C00" w:rsidRDefault="00FB6999">
          <w:pPr>
            <w:pStyle w:val="TOC1"/>
            <w:rPr>
              <w:rFonts w:asciiTheme="minorHAnsi" w:eastAsiaTheme="minorEastAsia" w:hAnsiTheme="minorHAnsi"/>
              <w:b w:val="0"/>
              <w:color w:val="auto"/>
              <w:sz w:val="22"/>
              <w:lang w:val="en-AU" w:eastAsia="en-AU"/>
            </w:rPr>
          </w:pPr>
          <w:hyperlink w:anchor="_Toc420325022" w:history="1">
            <w:r w:rsidR="00850C00" w:rsidRPr="00332D19">
              <w:rPr>
                <w:rStyle w:val="Hyperlink"/>
              </w:rPr>
              <w:t>Contents</w:t>
            </w:r>
            <w:r w:rsidR="00850C00">
              <w:rPr>
                <w:webHidden/>
              </w:rPr>
              <w:tab/>
            </w:r>
            <w:r w:rsidR="00850C00">
              <w:rPr>
                <w:webHidden/>
              </w:rPr>
              <w:fldChar w:fldCharType="begin"/>
            </w:r>
            <w:r w:rsidR="00850C00">
              <w:rPr>
                <w:webHidden/>
              </w:rPr>
              <w:instrText xml:space="preserve"> PAGEREF _Toc420325022 \h </w:instrText>
            </w:r>
            <w:r w:rsidR="00850C00">
              <w:rPr>
                <w:webHidden/>
              </w:rPr>
            </w:r>
            <w:r w:rsidR="00850C00">
              <w:rPr>
                <w:webHidden/>
              </w:rPr>
              <w:fldChar w:fldCharType="separate"/>
            </w:r>
            <w:r>
              <w:rPr>
                <w:webHidden/>
              </w:rPr>
              <w:t>7-3</w:t>
            </w:r>
            <w:r w:rsidR="00850C00">
              <w:rPr>
                <w:webHidden/>
              </w:rPr>
              <w:fldChar w:fldCharType="end"/>
            </w:r>
          </w:hyperlink>
        </w:p>
        <w:p w:rsidR="00850C00" w:rsidRDefault="00FB6999">
          <w:pPr>
            <w:pStyle w:val="TOC1"/>
            <w:rPr>
              <w:rFonts w:asciiTheme="minorHAnsi" w:eastAsiaTheme="minorEastAsia" w:hAnsiTheme="minorHAnsi"/>
              <w:b w:val="0"/>
              <w:color w:val="auto"/>
              <w:sz w:val="22"/>
              <w:lang w:val="en-AU" w:eastAsia="en-AU"/>
            </w:rPr>
          </w:pPr>
          <w:hyperlink w:anchor="_Toc420325023" w:history="1">
            <w:r w:rsidR="00850C00" w:rsidRPr="00332D19">
              <w:rPr>
                <w:rStyle w:val="Hyperlink"/>
              </w:rPr>
              <w:t>Shortened forms</w:t>
            </w:r>
            <w:r w:rsidR="00850C00">
              <w:rPr>
                <w:webHidden/>
              </w:rPr>
              <w:tab/>
            </w:r>
            <w:r w:rsidR="00850C00">
              <w:rPr>
                <w:webHidden/>
              </w:rPr>
              <w:fldChar w:fldCharType="begin"/>
            </w:r>
            <w:r w:rsidR="00850C00">
              <w:rPr>
                <w:webHidden/>
              </w:rPr>
              <w:instrText xml:space="preserve"> PAGEREF _Toc420325023 \h </w:instrText>
            </w:r>
            <w:r w:rsidR="00850C00">
              <w:rPr>
                <w:webHidden/>
              </w:rPr>
            </w:r>
            <w:r w:rsidR="00850C00">
              <w:rPr>
                <w:webHidden/>
              </w:rPr>
              <w:fldChar w:fldCharType="separate"/>
            </w:r>
            <w:r>
              <w:rPr>
                <w:webHidden/>
              </w:rPr>
              <w:t>7-4</w:t>
            </w:r>
            <w:r w:rsidR="00850C00">
              <w:rPr>
                <w:webHidden/>
              </w:rPr>
              <w:fldChar w:fldCharType="end"/>
            </w:r>
          </w:hyperlink>
        </w:p>
        <w:p w:rsidR="00850C00" w:rsidRDefault="00FB6999">
          <w:pPr>
            <w:pStyle w:val="TOC1"/>
            <w:rPr>
              <w:rFonts w:asciiTheme="minorHAnsi" w:eastAsiaTheme="minorEastAsia" w:hAnsiTheme="minorHAnsi"/>
              <w:b w:val="0"/>
              <w:color w:val="auto"/>
              <w:sz w:val="22"/>
              <w:lang w:val="en-AU" w:eastAsia="en-AU"/>
            </w:rPr>
          </w:pPr>
          <w:hyperlink w:anchor="_Toc420325024" w:history="1">
            <w:r w:rsidR="00850C00" w:rsidRPr="00332D19">
              <w:rPr>
                <w:rStyle w:val="Hyperlink"/>
              </w:rPr>
              <w:t>7</w:t>
            </w:r>
            <w:r w:rsidR="00850C00">
              <w:rPr>
                <w:rFonts w:asciiTheme="minorHAnsi" w:eastAsiaTheme="minorEastAsia" w:hAnsiTheme="minorHAnsi"/>
                <w:b w:val="0"/>
                <w:color w:val="auto"/>
                <w:sz w:val="22"/>
                <w:lang w:val="en-AU" w:eastAsia="en-AU"/>
              </w:rPr>
              <w:tab/>
            </w:r>
            <w:r w:rsidR="00850C00" w:rsidRPr="00332D19">
              <w:rPr>
                <w:rStyle w:val="Hyperlink"/>
              </w:rPr>
              <w:t>Operating expenditure</w:t>
            </w:r>
            <w:r w:rsidR="00850C00">
              <w:rPr>
                <w:webHidden/>
              </w:rPr>
              <w:tab/>
            </w:r>
            <w:r w:rsidR="00850C00">
              <w:rPr>
                <w:webHidden/>
              </w:rPr>
              <w:fldChar w:fldCharType="begin"/>
            </w:r>
            <w:r w:rsidR="00850C00">
              <w:rPr>
                <w:webHidden/>
              </w:rPr>
              <w:instrText xml:space="preserve"> PAGEREF _Toc420325024 \h </w:instrText>
            </w:r>
            <w:r w:rsidR="00850C00">
              <w:rPr>
                <w:webHidden/>
              </w:rPr>
            </w:r>
            <w:r w:rsidR="00850C00">
              <w:rPr>
                <w:webHidden/>
              </w:rPr>
              <w:fldChar w:fldCharType="separate"/>
            </w:r>
            <w:r>
              <w:rPr>
                <w:webHidden/>
              </w:rPr>
              <w:t>7-5</w:t>
            </w:r>
            <w:r w:rsidR="00850C00">
              <w:rPr>
                <w:webHidden/>
              </w:rPr>
              <w:fldChar w:fldCharType="end"/>
            </w:r>
          </w:hyperlink>
        </w:p>
        <w:p w:rsidR="00850C00" w:rsidRDefault="00FB6999">
          <w:pPr>
            <w:pStyle w:val="TOC2"/>
            <w:rPr>
              <w:rFonts w:asciiTheme="minorHAnsi" w:eastAsiaTheme="minorEastAsia" w:hAnsiTheme="minorHAnsi"/>
              <w:b w:val="0"/>
              <w:color w:val="auto"/>
              <w:sz w:val="22"/>
              <w:lang w:eastAsia="en-AU"/>
            </w:rPr>
          </w:pPr>
          <w:hyperlink w:anchor="_Toc420325025" w:history="1">
            <w:r w:rsidR="00850C00" w:rsidRPr="00332D19">
              <w:rPr>
                <w:rStyle w:val="Hyperlink"/>
              </w:rPr>
              <w:t>7.1</w:t>
            </w:r>
            <w:r w:rsidR="00850C00">
              <w:rPr>
                <w:rFonts w:asciiTheme="minorHAnsi" w:eastAsiaTheme="minorEastAsia" w:hAnsiTheme="minorHAnsi"/>
                <w:b w:val="0"/>
                <w:color w:val="auto"/>
                <w:sz w:val="22"/>
                <w:lang w:eastAsia="en-AU"/>
              </w:rPr>
              <w:tab/>
            </w:r>
            <w:r w:rsidR="00850C00" w:rsidRPr="00332D19">
              <w:rPr>
                <w:rStyle w:val="Hyperlink"/>
              </w:rPr>
              <w:t>Final decision</w:t>
            </w:r>
            <w:r w:rsidR="00850C00">
              <w:rPr>
                <w:webHidden/>
              </w:rPr>
              <w:tab/>
            </w:r>
            <w:r w:rsidR="00850C00">
              <w:rPr>
                <w:webHidden/>
              </w:rPr>
              <w:fldChar w:fldCharType="begin"/>
            </w:r>
            <w:r w:rsidR="00850C00">
              <w:rPr>
                <w:webHidden/>
              </w:rPr>
              <w:instrText xml:space="preserve"> PAGEREF _Toc420325025 \h </w:instrText>
            </w:r>
            <w:r w:rsidR="00850C00">
              <w:rPr>
                <w:webHidden/>
              </w:rPr>
            </w:r>
            <w:r w:rsidR="00850C00">
              <w:rPr>
                <w:webHidden/>
              </w:rPr>
              <w:fldChar w:fldCharType="separate"/>
            </w:r>
            <w:r>
              <w:rPr>
                <w:webHidden/>
              </w:rPr>
              <w:t>7-5</w:t>
            </w:r>
            <w:r w:rsidR="00850C00">
              <w:rPr>
                <w:webHidden/>
              </w:rPr>
              <w:fldChar w:fldCharType="end"/>
            </w:r>
          </w:hyperlink>
        </w:p>
        <w:p w:rsidR="00850C00" w:rsidRDefault="00FB6999">
          <w:pPr>
            <w:pStyle w:val="TOC2"/>
            <w:rPr>
              <w:rFonts w:asciiTheme="minorHAnsi" w:eastAsiaTheme="minorEastAsia" w:hAnsiTheme="minorHAnsi"/>
              <w:b w:val="0"/>
              <w:color w:val="auto"/>
              <w:sz w:val="22"/>
              <w:lang w:eastAsia="en-AU"/>
            </w:rPr>
          </w:pPr>
          <w:hyperlink w:anchor="_Toc420325026" w:history="1">
            <w:r w:rsidR="00850C00" w:rsidRPr="00332D19">
              <w:rPr>
                <w:rStyle w:val="Hyperlink"/>
              </w:rPr>
              <w:t>7.2</w:t>
            </w:r>
            <w:r w:rsidR="00850C00">
              <w:rPr>
                <w:rFonts w:asciiTheme="minorHAnsi" w:eastAsiaTheme="minorEastAsia" w:hAnsiTheme="minorHAnsi"/>
                <w:b w:val="0"/>
                <w:color w:val="auto"/>
                <w:sz w:val="22"/>
                <w:lang w:eastAsia="en-AU"/>
              </w:rPr>
              <w:tab/>
            </w:r>
            <w:r w:rsidR="00850C00" w:rsidRPr="00332D19">
              <w:rPr>
                <w:rStyle w:val="Hyperlink"/>
              </w:rPr>
              <w:t>JGN's revised proposal</w:t>
            </w:r>
            <w:r w:rsidR="00850C00">
              <w:rPr>
                <w:webHidden/>
              </w:rPr>
              <w:tab/>
            </w:r>
            <w:r w:rsidR="00850C00">
              <w:rPr>
                <w:webHidden/>
              </w:rPr>
              <w:fldChar w:fldCharType="begin"/>
            </w:r>
            <w:r w:rsidR="00850C00">
              <w:rPr>
                <w:webHidden/>
              </w:rPr>
              <w:instrText xml:space="preserve"> PAGEREF _Toc420325026 \h </w:instrText>
            </w:r>
            <w:r w:rsidR="00850C00">
              <w:rPr>
                <w:webHidden/>
              </w:rPr>
            </w:r>
            <w:r w:rsidR="00850C00">
              <w:rPr>
                <w:webHidden/>
              </w:rPr>
              <w:fldChar w:fldCharType="separate"/>
            </w:r>
            <w:r>
              <w:rPr>
                <w:webHidden/>
              </w:rPr>
              <w:t>7-7</w:t>
            </w:r>
            <w:r w:rsidR="00850C00">
              <w:rPr>
                <w:webHidden/>
              </w:rPr>
              <w:fldChar w:fldCharType="end"/>
            </w:r>
          </w:hyperlink>
        </w:p>
        <w:p w:rsidR="00850C00" w:rsidRDefault="00FB6999">
          <w:pPr>
            <w:pStyle w:val="TOC2"/>
            <w:rPr>
              <w:rFonts w:asciiTheme="minorHAnsi" w:eastAsiaTheme="minorEastAsia" w:hAnsiTheme="minorHAnsi"/>
              <w:b w:val="0"/>
              <w:color w:val="auto"/>
              <w:sz w:val="22"/>
              <w:lang w:eastAsia="en-AU"/>
            </w:rPr>
          </w:pPr>
          <w:hyperlink w:anchor="_Toc420325027" w:history="1">
            <w:r w:rsidR="00850C00" w:rsidRPr="00332D19">
              <w:rPr>
                <w:rStyle w:val="Hyperlink"/>
              </w:rPr>
              <w:t>7.3</w:t>
            </w:r>
            <w:r w:rsidR="00850C00">
              <w:rPr>
                <w:rFonts w:asciiTheme="minorHAnsi" w:eastAsiaTheme="minorEastAsia" w:hAnsiTheme="minorHAnsi"/>
                <w:b w:val="0"/>
                <w:color w:val="auto"/>
                <w:sz w:val="22"/>
                <w:lang w:eastAsia="en-AU"/>
              </w:rPr>
              <w:tab/>
            </w:r>
            <w:r w:rsidR="00850C00" w:rsidRPr="00332D19">
              <w:rPr>
                <w:rStyle w:val="Hyperlink"/>
              </w:rPr>
              <w:t>AER’s assessment approach</w:t>
            </w:r>
            <w:r w:rsidR="00850C00">
              <w:rPr>
                <w:webHidden/>
              </w:rPr>
              <w:tab/>
            </w:r>
            <w:r w:rsidR="00850C00">
              <w:rPr>
                <w:webHidden/>
              </w:rPr>
              <w:fldChar w:fldCharType="begin"/>
            </w:r>
            <w:r w:rsidR="00850C00">
              <w:rPr>
                <w:webHidden/>
              </w:rPr>
              <w:instrText xml:space="preserve"> PAGEREF _Toc420325027 \h </w:instrText>
            </w:r>
            <w:r w:rsidR="00850C00">
              <w:rPr>
                <w:webHidden/>
              </w:rPr>
            </w:r>
            <w:r w:rsidR="00850C00">
              <w:rPr>
                <w:webHidden/>
              </w:rPr>
              <w:fldChar w:fldCharType="separate"/>
            </w:r>
            <w:r>
              <w:rPr>
                <w:webHidden/>
              </w:rPr>
              <w:t>7-7</w:t>
            </w:r>
            <w:r w:rsidR="00850C00">
              <w:rPr>
                <w:webHidden/>
              </w:rPr>
              <w:fldChar w:fldCharType="end"/>
            </w:r>
          </w:hyperlink>
        </w:p>
        <w:p w:rsidR="00850C00" w:rsidRDefault="00FB6999">
          <w:pPr>
            <w:pStyle w:val="TOC3"/>
            <w:rPr>
              <w:rFonts w:asciiTheme="minorHAnsi" w:eastAsiaTheme="minorEastAsia" w:hAnsiTheme="minorHAnsi"/>
              <w:lang w:eastAsia="en-AU"/>
            </w:rPr>
          </w:pPr>
          <w:hyperlink w:anchor="_Toc420325028" w:history="1">
            <w:r w:rsidR="00850C00" w:rsidRPr="00332D19">
              <w:rPr>
                <w:rStyle w:val="Hyperlink"/>
              </w:rPr>
              <w:t>7.3.1</w:t>
            </w:r>
            <w:r w:rsidR="00850C00">
              <w:rPr>
                <w:rFonts w:asciiTheme="minorHAnsi" w:eastAsiaTheme="minorEastAsia" w:hAnsiTheme="minorHAnsi"/>
                <w:lang w:eastAsia="en-AU"/>
              </w:rPr>
              <w:tab/>
            </w:r>
            <w:r w:rsidR="00850C00" w:rsidRPr="00332D19">
              <w:rPr>
                <w:rStyle w:val="Hyperlink"/>
              </w:rPr>
              <w:t>Building an alternative estimate of total forecast opex</w:t>
            </w:r>
            <w:r w:rsidR="00850C00">
              <w:rPr>
                <w:webHidden/>
              </w:rPr>
              <w:tab/>
            </w:r>
            <w:r w:rsidR="00850C00">
              <w:rPr>
                <w:webHidden/>
              </w:rPr>
              <w:fldChar w:fldCharType="begin"/>
            </w:r>
            <w:r w:rsidR="00850C00">
              <w:rPr>
                <w:webHidden/>
              </w:rPr>
              <w:instrText xml:space="preserve"> PAGEREF _Toc420325028 \h </w:instrText>
            </w:r>
            <w:r w:rsidR="00850C00">
              <w:rPr>
                <w:webHidden/>
              </w:rPr>
            </w:r>
            <w:r w:rsidR="00850C00">
              <w:rPr>
                <w:webHidden/>
              </w:rPr>
              <w:fldChar w:fldCharType="separate"/>
            </w:r>
            <w:r>
              <w:rPr>
                <w:webHidden/>
              </w:rPr>
              <w:t>7-8</w:t>
            </w:r>
            <w:r w:rsidR="00850C00">
              <w:rPr>
                <w:webHidden/>
              </w:rPr>
              <w:fldChar w:fldCharType="end"/>
            </w:r>
          </w:hyperlink>
        </w:p>
        <w:p w:rsidR="00850C00" w:rsidRDefault="00FB6999">
          <w:pPr>
            <w:pStyle w:val="TOC2"/>
            <w:rPr>
              <w:rFonts w:asciiTheme="minorHAnsi" w:eastAsiaTheme="minorEastAsia" w:hAnsiTheme="minorHAnsi"/>
              <w:b w:val="0"/>
              <w:color w:val="auto"/>
              <w:sz w:val="22"/>
              <w:lang w:eastAsia="en-AU"/>
            </w:rPr>
          </w:pPr>
          <w:hyperlink w:anchor="_Toc420325029" w:history="1">
            <w:r w:rsidR="00850C00" w:rsidRPr="00332D19">
              <w:rPr>
                <w:rStyle w:val="Hyperlink"/>
              </w:rPr>
              <w:t>7.4</w:t>
            </w:r>
            <w:r w:rsidR="00850C00">
              <w:rPr>
                <w:rFonts w:asciiTheme="minorHAnsi" w:eastAsiaTheme="minorEastAsia" w:hAnsiTheme="minorHAnsi"/>
                <w:b w:val="0"/>
                <w:color w:val="auto"/>
                <w:sz w:val="22"/>
                <w:lang w:eastAsia="en-AU"/>
              </w:rPr>
              <w:tab/>
            </w:r>
            <w:r w:rsidR="00850C00" w:rsidRPr="00332D19">
              <w:rPr>
                <w:rStyle w:val="Hyperlink"/>
              </w:rPr>
              <w:t>Reasons for final decision</w:t>
            </w:r>
            <w:r w:rsidR="00850C00">
              <w:rPr>
                <w:webHidden/>
              </w:rPr>
              <w:tab/>
            </w:r>
            <w:r w:rsidR="00850C00">
              <w:rPr>
                <w:webHidden/>
              </w:rPr>
              <w:fldChar w:fldCharType="begin"/>
            </w:r>
            <w:r w:rsidR="00850C00">
              <w:rPr>
                <w:webHidden/>
              </w:rPr>
              <w:instrText xml:space="preserve"> PAGEREF _Toc420325029 \h </w:instrText>
            </w:r>
            <w:r w:rsidR="00850C00">
              <w:rPr>
                <w:webHidden/>
              </w:rPr>
            </w:r>
            <w:r w:rsidR="00850C00">
              <w:rPr>
                <w:webHidden/>
              </w:rPr>
              <w:fldChar w:fldCharType="separate"/>
            </w:r>
            <w:r>
              <w:rPr>
                <w:webHidden/>
              </w:rPr>
              <w:t>7-12</w:t>
            </w:r>
            <w:r w:rsidR="00850C00">
              <w:rPr>
                <w:webHidden/>
              </w:rPr>
              <w:fldChar w:fldCharType="end"/>
            </w:r>
          </w:hyperlink>
        </w:p>
        <w:p w:rsidR="00850C00" w:rsidRDefault="00FB6999">
          <w:pPr>
            <w:pStyle w:val="TOC3"/>
            <w:rPr>
              <w:rFonts w:asciiTheme="minorHAnsi" w:eastAsiaTheme="minorEastAsia" w:hAnsiTheme="minorHAnsi"/>
              <w:lang w:eastAsia="en-AU"/>
            </w:rPr>
          </w:pPr>
          <w:hyperlink w:anchor="_Toc420325030" w:history="1">
            <w:r w:rsidR="00850C00" w:rsidRPr="00332D19">
              <w:rPr>
                <w:rStyle w:val="Hyperlink"/>
              </w:rPr>
              <w:t>7.4.1</w:t>
            </w:r>
            <w:r w:rsidR="00850C00">
              <w:rPr>
                <w:rFonts w:asciiTheme="minorHAnsi" w:eastAsiaTheme="minorEastAsia" w:hAnsiTheme="minorHAnsi"/>
                <w:lang w:eastAsia="en-AU"/>
              </w:rPr>
              <w:tab/>
            </w:r>
            <w:r w:rsidR="00850C00" w:rsidRPr="00332D19">
              <w:rPr>
                <w:rStyle w:val="Hyperlink"/>
              </w:rPr>
              <w:t>Base opex</w:t>
            </w:r>
            <w:r w:rsidR="00850C00">
              <w:rPr>
                <w:webHidden/>
              </w:rPr>
              <w:tab/>
            </w:r>
            <w:r w:rsidR="00850C00">
              <w:rPr>
                <w:webHidden/>
              </w:rPr>
              <w:fldChar w:fldCharType="begin"/>
            </w:r>
            <w:r w:rsidR="00850C00">
              <w:rPr>
                <w:webHidden/>
              </w:rPr>
              <w:instrText xml:space="preserve"> PAGEREF _Toc420325030 \h </w:instrText>
            </w:r>
            <w:r w:rsidR="00850C00">
              <w:rPr>
                <w:webHidden/>
              </w:rPr>
            </w:r>
            <w:r w:rsidR="00850C00">
              <w:rPr>
                <w:webHidden/>
              </w:rPr>
              <w:fldChar w:fldCharType="separate"/>
            </w:r>
            <w:r>
              <w:rPr>
                <w:webHidden/>
              </w:rPr>
              <w:t>7-12</w:t>
            </w:r>
            <w:r w:rsidR="00850C00">
              <w:rPr>
                <w:webHidden/>
              </w:rPr>
              <w:fldChar w:fldCharType="end"/>
            </w:r>
          </w:hyperlink>
        </w:p>
        <w:p w:rsidR="00850C00" w:rsidRDefault="00FB6999">
          <w:pPr>
            <w:pStyle w:val="TOC3"/>
            <w:rPr>
              <w:rFonts w:asciiTheme="minorHAnsi" w:eastAsiaTheme="minorEastAsia" w:hAnsiTheme="minorHAnsi"/>
              <w:lang w:eastAsia="en-AU"/>
            </w:rPr>
          </w:pPr>
          <w:hyperlink w:anchor="_Toc420325031" w:history="1">
            <w:r w:rsidR="00850C00" w:rsidRPr="00332D19">
              <w:rPr>
                <w:rStyle w:val="Hyperlink"/>
              </w:rPr>
              <w:t>7.4.2</w:t>
            </w:r>
            <w:r w:rsidR="00850C00">
              <w:rPr>
                <w:rFonts w:asciiTheme="minorHAnsi" w:eastAsiaTheme="minorEastAsia" w:hAnsiTheme="minorHAnsi"/>
                <w:lang w:eastAsia="en-AU"/>
              </w:rPr>
              <w:tab/>
            </w:r>
            <w:r w:rsidR="00850C00" w:rsidRPr="00332D19">
              <w:rPr>
                <w:rStyle w:val="Hyperlink"/>
              </w:rPr>
              <w:t>Rate of change</w:t>
            </w:r>
            <w:r w:rsidR="00850C00">
              <w:rPr>
                <w:webHidden/>
              </w:rPr>
              <w:tab/>
            </w:r>
            <w:r w:rsidR="00850C00">
              <w:rPr>
                <w:webHidden/>
              </w:rPr>
              <w:fldChar w:fldCharType="begin"/>
            </w:r>
            <w:r w:rsidR="00850C00">
              <w:rPr>
                <w:webHidden/>
              </w:rPr>
              <w:instrText xml:space="preserve"> PAGEREF _Toc420325031 \h </w:instrText>
            </w:r>
            <w:r w:rsidR="00850C00">
              <w:rPr>
                <w:webHidden/>
              </w:rPr>
            </w:r>
            <w:r w:rsidR="00850C00">
              <w:rPr>
                <w:webHidden/>
              </w:rPr>
              <w:fldChar w:fldCharType="separate"/>
            </w:r>
            <w:r>
              <w:rPr>
                <w:webHidden/>
              </w:rPr>
              <w:t>7-14</w:t>
            </w:r>
            <w:r w:rsidR="00850C00">
              <w:rPr>
                <w:webHidden/>
              </w:rPr>
              <w:fldChar w:fldCharType="end"/>
            </w:r>
          </w:hyperlink>
        </w:p>
        <w:p w:rsidR="00850C00" w:rsidRDefault="00FB6999">
          <w:pPr>
            <w:pStyle w:val="TOC3"/>
            <w:rPr>
              <w:rFonts w:asciiTheme="minorHAnsi" w:eastAsiaTheme="minorEastAsia" w:hAnsiTheme="minorHAnsi"/>
              <w:lang w:eastAsia="en-AU"/>
            </w:rPr>
          </w:pPr>
          <w:hyperlink w:anchor="_Toc420325032" w:history="1">
            <w:r w:rsidR="00850C00" w:rsidRPr="00332D19">
              <w:rPr>
                <w:rStyle w:val="Hyperlink"/>
              </w:rPr>
              <w:t>7.4.3</w:t>
            </w:r>
            <w:r w:rsidR="00850C00">
              <w:rPr>
                <w:rFonts w:asciiTheme="minorHAnsi" w:eastAsiaTheme="minorEastAsia" w:hAnsiTheme="minorHAnsi"/>
                <w:lang w:eastAsia="en-AU"/>
              </w:rPr>
              <w:tab/>
            </w:r>
            <w:r w:rsidR="00850C00" w:rsidRPr="00332D19">
              <w:rPr>
                <w:rStyle w:val="Hyperlink"/>
              </w:rPr>
              <w:t>Step changes</w:t>
            </w:r>
            <w:r w:rsidR="00850C00">
              <w:rPr>
                <w:webHidden/>
              </w:rPr>
              <w:tab/>
            </w:r>
            <w:r w:rsidR="00850C00">
              <w:rPr>
                <w:webHidden/>
              </w:rPr>
              <w:fldChar w:fldCharType="begin"/>
            </w:r>
            <w:r w:rsidR="00850C00">
              <w:rPr>
                <w:webHidden/>
              </w:rPr>
              <w:instrText xml:space="preserve"> PAGEREF _Toc420325032 \h </w:instrText>
            </w:r>
            <w:r w:rsidR="00850C00">
              <w:rPr>
                <w:webHidden/>
              </w:rPr>
            </w:r>
            <w:r w:rsidR="00850C00">
              <w:rPr>
                <w:webHidden/>
              </w:rPr>
              <w:fldChar w:fldCharType="separate"/>
            </w:r>
            <w:r>
              <w:rPr>
                <w:webHidden/>
              </w:rPr>
              <w:t>7-22</w:t>
            </w:r>
            <w:r w:rsidR="00850C00">
              <w:rPr>
                <w:webHidden/>
              </w:rPr>
              <w:fldChar w:fldCharType="end"/>
            </w:r>
          </w:hyperlink>
        </w:p>
        <w:p w:rsidR="00850C00" w:rsidRDefault="00FB6999">
          <w:pPr>
            <w:pStyle w:val="TOC3"/>
            <w:rPr>
              <w:rFonts w:asciiTheme="minorHAnsi" w:eastAsiaTheme="minorEastAsia" w:hAnsiTheme="minorHAnsi"/>
              <w:lang w:eastAsia="en-AU"/>
            </w:rPr>
          </w:pPr>
          <w:hyperlink w:anchor="_Toc420325033" w:history="1">
            <w:r w:rsidR="00850C00" w:rsidRPr="00332D19">
              <w:rPr>
                <w:rStyle w:val="Hyperlink"/>
              </w:rPr>
              <w:t>7.4.4</w:t>
            </w:r>
            <w:r w:rsidR="00850C00">
              <w:rPr>
                <w:rFonts w:asciiTheme="minorHAnsi" w:eastAsiaTheme="minorEastAsia" w:hAnsiTheme="minorHAnsi"/>
                <w:lang w:eastAsia="en-AU"/>
              </w:rPr>
              <w:tab/>
            </w:r>
            <w:r w:rsidR="00850C00" w:rsidRPr="00332D19">
              <w:rPr>
                <w:rStyle w:val="Hyperlink"/>
              </w:rPr>
              <w:t>Category-specific forecasts</w:t>
            </w:r>
            <w:r w:rsidR="00850C00">
              <w:rPr>
                <w:webHidden/>
              </w:rPr>
              <w:tab/>
            </w:r>
            <w:r w:rsidR="00850C00">
              <w:rPr>
                <w:webHidden/>
              </w:rPr>
              <w:fldChar w:fldCharType="begin"/>
            </w:r>
            <w:r w:rsidR="00850C00">
              <w:rPr>
                <w:webHidden/>
              </w:rPr>
              <w:instrText xml:space="preserve"> PAGEREF _Toc420325033 \h </w:instrText>
            </w:r>
            <w:r w:rsidR="00850C00">
              <w:rPr>
                <w:webHidden/>
              </w:rPr>
            </w:r>
            <w:r w:rsidR="00850C00">
              <w:rPr>
                <w:webHidden/>
              </w:rPr>
              <w:fldChar w:fldCharType="separate"/>
            </w:r>
            <w:r>
              <w:rPr>
                <w:webHidden/>
              </w:rPr>
              <w:t>7-29</w:t>
            </w:r>
            <w:r w:rsidR="00850C00">
              <w:rPr>
                <w:webHidden/>
              </w:rPr>
              <w:fldChar w:fldCharType="end"/>
            </w:r>
          </w:hyperlink>
        </w:p>
        <w:p w:rsidR="00850C00" w:rsidRDefault="00FB6999">
          <w:pPr>
            <w:pStyle w:val="TOC3"/>
            <w:rPr>
              <w:rFonts w:asciiTheme="minorHAnsi" w:eastAsiaTheme="minorEastAsia" w:hAnsiTheme="minorHAnsi"/>
              <w:lang w:eastAsia="en-AU"/>
            </w:rPr>
          </w:pPr>
          <w:hyperlink w:anchor="_Toc420325034" w:history="1">
            <w:r w:rsidR="00850C00" w:rsidRPr="00332D19">
              <w:rPr>
                <w:rStyle w:val="Hyperlink"/>
              </w:rPr>
              <w:t>7.4.5</w:t>
            </w:r>
            <w:r w:rsidR="00850C00">
              <w:rPr>
                <w:rFonts w:asciiTheme="minorHAnsi" w:eastAsiaTheme="minorEastAsia" w:hAnsiTheme="minorHAnsi"/>
                <w:lang w:eastAsia="en-AU"/>
              </w:rPr>
              <w:tab/>
            </w:r>
            <w:r w:rsidR="00850C00" w:rsidRPr="00332D19">
              <w:rPr>
                <w:rStyle w:val="Hyperlink"/>
              </w:rPr>
              <w:t>Interrelationships</w:t>
            </w:r>
            <w:r w:rsidR="00850C00">
              <w:rPr>
                <w:webHidden/>
              </w:rPr>
              <w:tab/>
            </w:r>
            <w:r w:rsidR="00850C00">
              <w:rPr>
                <w:webHidden/>
              </w:rPr>
              <w:fldChar w:fldCharType="begin"/>
            </w:r>
            <w:r w:rsidR="00850C00">
              <w:rPr>
                <w:webHidden/>
              </w:rPr>
              <w:instrText xml:space="preserve"> PAGEREF _Toc420325034 \h </w:instrText>
            </w:r>
            <w:r w:rsidR="00850C00">
              <w:rPr>
                <w:webHidden/>
              </w:rPr>
            </w:r>
            <w:r w:rsidR="00850C00">
              <w:rPr>
                <w:webHidden/>
              </w:rPr>
              <w:fldChar w:fldCharType="separate"/>
            </w:r>
            <w:r>
              <w:rPr>
                <w:webHidden/>
              </w:rPr>
              <w:t>7-31</w:t>
            </w:r>
            <w:r w:rsidR="00850C00">
              <w:rPr>
                <w:webHidden/>
              </w:rPr>
              <w:fldChar w:fldCharType="end"/>
            </w:r>
          </w:hyperlink>
        </w:p>
        <w:p w:rsidR="00DE563D" w:rsidRDefault="00C35FD6" w:rsidP="00C35FD6">
          <w:pPr>
            <w:pStyle w:val="TOC1"/>
          </w:pPr>
          <w:r>
            <w:rPr>
              <w:color w:val="auto"/>
              <w:sz w:val="22"/>
            </w:rPr>
            <w:fldChar w:fldCharType="end"/>
          </w:r>
        </w:p>
      </w:sdtContent>
    </w:sdt>
    <w:p w:rsidR="00DE563D" w:rsidRDefault="00DE563D">
      <w:pPr>
        <w:spacing w:line="240" w:lineRule="auto"/>
      </w:pPr>
    </w:p>
    <w:p w:rsidR="00DE563D" w:rsidRDefault="00DE563D" w:rsidP="00DE563D">
      <w:pPr>
        <w:pStyle w:val="UnnumberedHeading"/>
        <w:numPr>
          <w:ilvl w:val="0"/>
          <w:numId w:val="24"/>
        </w:numPr>
      </w:pPr>
      <w:bookmarkStart w:id="8" w:name="_Toc404700925"/>
      <w:bookmarkStart w:id="9" w:name="_Toc420325023"/>
      <w:r>
        <w:lastRenderedPageBreak/>
        <w:t>Shortened forms</w:t>
      </w:r>
      <w:bookmarkEnd w:id="8"/>
      <w:bookmarkEnd w:id="9"/>
    </w:p>
    <w:p w:rsidR="00DE563D" w:rsidRPr="00271F7C" w:rsidRDefault="00DE563D" w:rsidP="00DE563D">
      <w:pPr>
        <w:numPr>
          <w:ilvl w:val="0"/>
          <w:numId w:val="25"/>
        </w:numPr>
      </w:pPr>
    </w:p>
    <w:tbl>
      <w:tblPr>
        <w:tblStyle w:val="AERtable-numbers"/>
        <w:tblW w:w="0" w:type="auto"/>
        <w:tblLook w:val="04A0" w:firstRow="1" w:lastRow="0" w:firstColumn="1" w:lastColumn="0" w:noHBand="0" w:noVBand="1"/>
      </w:tblPr>
      <w:tblGrid>
        <w:gridCol w:w="3652"/>
        <w:gridCol w:w="5041"/>
      </w:tblGrid>
      <w:tr w:rsidR="00FB5826" w:rsidTr="00FB5826">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652" w:type="dxa"/>
          </w:tcPr>
          <w:p w:rsidR="00FB5826" w:rsidRDefault="00FB5826" w:rsidP="00FB5826">
            <w:pPr>
              <w:numPr>
                <w:ilvl w:val="0"/>
                <w:numId w:val="25"/>
              </w:numPr>
            </w:pPr>
            <w:r>
              <w:t>Shortened form</w:t>
            </w:r>
          </w:p>
        </w:tc>
        <w:tc>
          <w:tcPr>
            <w:tcW w:w="5041" w:type="dxa"/>
          </w:tcPr>
          <w:p w:rsidR="00FB5826" w:rsidRDefault="00FB5826" w:rsidP="00FB5826">
            <w:pPr>
              <w:numPr>
                <w:ilvl w:val="0"/>
                <w:numId w:val="25"/>
              </w:numPr>
              <w:cnfStyle w:val="100000000000" w:firstRow="1" w:lastRow="0" w:firstColumn="0" w:lastColumn="0" w:oddVBand="0" w:evenVBand="0" w:oddHBand="0" w:evenHBand="0" w:firstRowFirstColumn="0" w:firstRowLastColumn="0" w:lastRowFirstColumn="0" w:lastRowLastColumn="0"/>
            </w:pPr>
            <w:r>
              <w:t>Extended form</w:t>
            </w:r>
          </w:p>
        </w:tc>
      </w:tr>
      <w:tr w:rsidR="00FB5826" w:rsidTr="00FB5826">
        <w:tc>
          <w:tcPr>
            <w:cnfStyle w:val="001000000000" w:firstRow="0" w:lastRow="0" w:firstColumn="1" w:lastColumn="0" w:oddVBand="0" w:evenVBand="0" w:oddHBand="0" w:evenHBand="0" w:firstRowFirstColumn="0" w:firstRowLastColumn="0" w:lastRowFirstColumn="0" w:lastRowLastColumn="0"/>
            <w:tcW w:w="3652" w:type="dxa"/>
          </w:tcPr>
          <w:p w:rsidR="00FB5826" w:rsidRDefault="00FB5826" w:rsidP="00FB5826">
            <w:pPr>
              <w:numPr>
                <w:ilvl w:val="0"/>
                <w:numId w:val="25"/>
              </w:numPr>
            </w:pPr>
            <w:r>
              <w:t>AER</w:t>
            </w:r>
          </w:p>
        </w:tc>
        <w:tc>
          <w:tcPr>
            <w:tcW w:w="5041" w:type="dxa"/>
          </w:tcPr>
          <w:p w:rsidR="00FB5826" w:rsidRDefault="00FB5826" w:rsidP="00FB5826">
            <w:pPr>
              <w:numPr>
                <w:ilvl w:val="0"/>
                <w:numId w:val="25"/>
              </w:numPr>
              <w:cnfStyle w:val="000000000000" w:firstRow="0" w:lastRow="0" w:firstColumn="0" w:lastColumn="0" w:oddVBand="0" w:evenVBand="0" w:oddHBand="0" w:evenHBand="0" w:firstRowFirstColumn="0" w:firstRowLastColumn="0" w:lastRowFirstColumn="0" w:lastRowLastColumn="0"/>
            </w:pPr>
            <w:r>
              <w:t>Australian Energy Regulator</w:t>
            </w:r>
          </w:p>
        </w:tc>
      </w:tr>
      <w:tr w:rsidR="00FB5826" w:rsidTr="00FB582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FB5826" w:rsidRDefault="00FB5826" w:rsidP="00FB5826">
            <w:pPr>
              <w:numPr>
                <w:ilvl w:val="0"/>
                <w:numId w:val="25"/>
              </w:numPr>
            </w:pPr>
            <w:r>
              <w:t>capex</w:t>
            </w:r>
          </w:p>
        </w:tc>
        <w:tc>
          <w:tcPr>
            <w:tcW w:w="5041" w:type="dxa"/>
          </w:tcPr>
          <w:p w:rsidR="00FB5826" w:rsidRDefault="00FB5826" w:rsidP="00FB5826">
            <w:pPr>
              <w:numPr>
                <w:ilvl w:val="0"/>
                <w:numId w:val="25"/>
              </w:numPr>
              <w:cnfStyle w:val="000000010000" w:firstRow="0" w:lastRow="0" w:firstColumn="0" w:lastColumn="0" w:oddVBand="0" w:evenVBand="0" w:oddHBand="0" w:evenHBand="1" w:firstRowFirstColumn="0" w:firstRowLastColumn="0" w:lastRowFirstColumn="0" w:lastRowLastColumn="0"/>
            </w:pPr>
            <w:r>
              <w:t>capital expenditure</w:t>
            </w:r>
          </w:p>
        </w:tc>
      </w:tr>
      <w:tr w:rsidR="00FB5826" w:rsidTr="00FB5826">
        <w:tc>
          <w:tcPr>
            <w:cnfStyle w:val="001000000000" w:firstRow="0" w:lastRow="0" w:firstColumn="1" w:lastColumn="0" w:oddVBand="0" w:evenVBand="0" w:oddHBand="0" w:evenHBand="0" w:firstRowFirstColumn="0" w:firstRowLastColumn="0" w:lastRowFirstColumn="0" w:lastRowLastColumn="0"/>
            <w:tcW w:w="3652" w:type="dxa"/>
          </w:tcPr>
          <w:p w:rsidR="00FB5826" w:rsidRDefault="00FB5826" w:rsidP="00FB5826">
            <w:pPr>
              <w:numPr>
                <w:ilvl w:val="0"/>
                <w:numId w:val="25"/>
              </w:numPr>
            </w:pPr>
            <w:r>
              <w:t>CAPM</w:t>
            </w:r>
          </w:p>
        </w:tc>
        <w:tc>
          <w:tcPr>
            <w:tcW w:w="5041" w:type="dxa"/>
          </w:tcPr>
          <w:p w:rsidR="00FB5826" w:rsidRDefault="00FB5826" w:rsidP="00FB5826">
            <w:pPr>
              <w:numPr>
                <w:ilvl w:val="0"/>
                <w:numId w:val="25"/>
              </w:numPr>
              <w:cnfStyle w:val="000000000000" w:firstRow="0" w:lastRow="0" w:firstColumn="0" w:lastColumn="0" w:oddVBand="0" w:evenVBand="0" w:oddHBand="0" w:evenHBand="0" w:firstRowFirstColumn="0" w:firstRowLastColumn="0" w:lastRowFirstColumn="0" w:lastRowLastColumn="0"/>
            </w:pPr>
            <w:r>
              <w:t>capital asset pricing model</w:t>
            </w:r>
          </w:p>
        </w:tc>
      </w:tr>
      <w:tr w:rsidR="00FB5826" w:rsidTr="00FB582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FB5826" w:rsidRDefault="00FB5826" w:rsidP="00FB5826">
            <w:pPr>
              <w:numPr>
                <w:ilvl w:val="0"/>
                <w:numId w:val="25"/>
              </w:numPr>
            </w:pPr>
            <w:r>
              <w:t>CCP</w:t>
            </w:r>
          </w:p>
        </w:tc>
        <w:tc>
          <w:tcPr>
            <w:tcW w:w="5041" w:type="dxa"/>
          </w:tcPr>
          <w:p w:rsidR="00FB5826" w:rsidRDefault="00FB5826" w:rsidP="00FB5826">
            <w:pPr>
              <w:numPr>
                <w:ilvl w:val="0"/>
                <w:numId w:val="25"/>
              </w:numPr>
              <w:cnfStyle w:val="000000010000" w:firstRow="0" w:lastRow="0" w:firstColumn="0" w:lastColumn="0" w:oddVBand="0" w:evenVBand="0" w:oddHBand="0" w:evenHBand="1" w:firstRowFirstColumn="0" w:firstRowLastColumn="0" w:lastRowFirstColumn="0" w:lastRowLastColumn="0"/>
            </w:pPr>
            <w:r>
              <w:t>Consumer Challenge Panel</w:t>
            </w:r>
          </w:p>
        </w:tc>
      </w:tr>
      <w:tr w:rsidR="00FB5826" w:rsidTr="00FB5826">
        <w:tc>
          <w:tcPr>
            <w:cnfStyle w:val="001000000000" w:firstRow="0" w:lastRow="0" w:firstColumn="1" w:lastColumn="0" w:oddVBand="0" w:evenVBand="0" w:oddHBand="0" w:evenHBand="0" w:firstRowFirstColumn="0" w:firstRowLastColumn="0" w:lastRowFirstColumn="0" w:lastRowLastColumn="0"/>
            <w:tcW w:w="3652" w:type="dxa"/>
          </w:tcPr>
          <w:p w:rsidR="00FB5826" w:rsidRDefault="00FB5826" w:rsidP="00FB5826">
            <w:pPr>
              <w:numPr>
                <w:ilvl w:val="0"/>
                <w:numId w:val="25"/>
              </w:numPr>
            </w:pPr>
            <w:r>
              <w:t>Code</w:t>
            </w:r>
          </w:p>
        </w:tc>
        <w:tc>
          <w:tcPr>
            <w:tcW w:w="5041" w:type="dxa"/>
          </w:tcPr>
          <w:p w:rsidR="00FB5826" w:rsidRDefault="00FB5826" w:rsidP="00FB5826">
            <w:pPr>
              <w:numPr>
                <w:ilvl w:val="0"/>
                <w:numId w:val="25"/>
              </w:numPr>
              <w:cnfStyle w:val="000000000000" w:firstRow="0" w:lastRow="0" w:firstColumn="0" w:lastColumn="0" w:oddVBand="0" w:evenVBand="0" w:oddHBand="0" w:evenHBand="0" w:firstRowFirstColumn="0" w:firstRowLastColumn="0" w:lastRowFirstColumn="0" w:lastRowLastColumn="0"/>
            </w:pPr>
            <w:r>
              <w:t>National Third Party Access Code for Natural Gas Pipeline Systems</w:t>
            </w:r>
          </w:p>
        </w:tc>
      </w:tr>
      <w:tr w:rsidR="00FB5826" w:rsidTr="00FB582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FB5826" w:rsidRDefault="00FB5826" w:rsidP="00FB5826">
            <w:pPr>
              <w:numPr>
                <w:ilvl w:val="0"/>
                <w:numId w:val="25"/>
              </w:numPr>
            </w:pPr>
            <w:r>
              <w:t>CPI</w:t>
            </w:r>
          </w:p>
        </w:tc>
        <w:tc>
          <w:tcPr>
            <w:tcW w:w="5041" w:type="dxa"/>
          </w:tcPr>
          <w:p w:rsidR="00FB5826" w:rsidRDefault="00FB5826" w:rsidP="00FB5826">
            <w:pPr>
              <w:numPr>
                <w:ilvl w:val="0"/>
                <w:numId w:val="25"/>
              </w:numPr>
              <w:cnfStyle w:val="000000010000" w:firstRow="0" w:lastRow="0" w:firstColumn="0" w:lastColumn="0" w:oddVBand="0" w:evenVBand="0" w:oddHBand="0" w:evenHBand="1" w:firstRowFirstColumn="0" w:firstRowLastColumn="0" w:lastRowFirstColumn="0" w:lastRowLastColumn="0"/>
            </w:pPr>
            <w:r>
              <w:t>consumer price index</w:t>
            </w:r>
          </w:p>
        </w:tc>
      </w:tr>
      <w:tr w:rsidR="00FB5826" w:rsidTr="00FB5826">
        <w:tc>
          <w:tcPr>
            <w:cnfStyle w:val="001000000000" w:firstRow="0" w:lastRow="0" w:firstColumn="1" w:lastColumn="0" w:oddVBand="0" w:evenVBand="0" w:oddHBand="0" w:evenHBand="0" w:firstRowFirstColumn="0" w:firstRowLastColumn="0" w:lastRowFirstColumn="0" w:lastRowLastColumn="0"/>
            <w:tcW w:w="3652" w:type="dxa"/>
          </w:tcPr>
          <w:p w:rsidR="00FB5826" w:rsidRDefault="00FB5826" w:rsidP="00FB5826">
            <w:pPr>
              <w:numPr>
                <w:ilvl w:val="0"/>
                <w:numId w:val="25"/>
              </w:numPr>
            </w:pPr>
            <w:r>
              <w:t>DRP</w:t>
            </w:r>
          </w:p>
        </w:tc>
        <w:tc>
          <w:tcPr>
            <w:tcW w:w="5041" w:type="dxa"/>
          </w:tcPr>
          <w:p w:rsidR="00FB5826" w:rsidRDefault="00FB5826" w:rsidP="00FB5826">
            <w:pPr>
              <w:numPr>
                <w:ilvl w:val="0"/>
                <w:numId w:val="25"/>
              </w:numPr>
              <w:cnfStyle w:val="000000000000" w:firstRow="0" w:lastRow="0" w:firstColumn="0" w:lastColumn="0" w:oddVBand="0" w:evenVBand="0" w:oddHBand="0" w:evenHBand="0" w:firstRowFirstColumn="0" w:firstRowLastColumn="0" w:lastRowFirstColumn="0" w:lastRowLastColumn="0"/>
            </w:pPr>
            <w:r>
              <w:t>debt risk premium</w:t>
            </w:r>
          </w:p>
        </w:tc>
      </w:tr>
      <w:tr w:rsidR="00FB5826" w:rsidTr="00FB582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FB5826" w:rsidRDefault="00FB5826" w:rsidP="00FB5826">
            <w:pPr>
              <w:numPr>
                <w:ilvl w:val="0"/>
                <w:numId w:val="25"/>
              </w:numPr>
            </w:pPr>
            <w:r>
              <w:t>ERP</w:t>
            </w:r>
          </w:p>
        </w:tc>
        <w:tc>
          <w:tcPr>
            <w:tcW w:w="5041" w:type="dxa"/>
          </w:tcPr>
          <w:p w:rsidR="00FB5826" w:rsidRDefault="00FB5826" w:rsidP="00FB5826">
            <w:pPr>
              <w:numPr>
                <w:ilvl w:val="0"/>
                <w:numId w:val="25"/>
              </w:numPr>
              <w:cnfStyle w:val="000000010000" w:firstRow="0" w:lastRow="0" w:firstColumn="0" w:lastColumn="0" w:oddVBand="0" w:evenVBand="0" w:oddHBand="0" w:evenHBand="1" w:firstRowFirstColumn="0" w:firstRowLastColumn="0" w:lastRowFirstColumn="0" w:lastRowLastColumn="0"/>
            </w:pPr>
            <w:r>
              <w:t>equity risk premium</w:t>
            </w:r>
          </w:p>
        </w:tc>
      </w:tr>
      <w:tr w:rsidR="00FB5826" w:rsidTr="00FB5826">
        <w:tc>
          <w:tcPr>
            <w:cnfStyle w:val="001000000000" w:firstRow="0" w:lastRow="0" w:firstColumn="1" w:lastColumn="0" w:oddVBand="0" w:evenVBand="0" w:oddHBand="0" w:evenHBand="0" w:firstRowFirstColumn="0" w:firstRowLastColumn="0" w:lastRowFirstColumn="0" w:lastRowLastColumn="0"/>
            <w:tcW w:w="3652" w:type="dxa"/>
          </w:tcPr>
          <w:p w:rsidR="00FB5826" w:rsidRDefault="00FB5826" w:rsidP="00FB5826">
            <w:pPr>
              <w:numPr>
                <w:ilvl w:val="0"/>
                <w:numId w:val="25"/>
              </w:numPr>
            </w:pPr>
            <w:r>
              <w:t>JGN</w:t>
            </w:r>
          </w:p>
        </w:tc>
        <w:tc>
          <w:tcPr>
            <w:tcW w:w="5041" w:type="dxa"/>
          </w:tcPr>
          <w:p w:rsidR="00FB5826" w:rsidRDefault="00FB5826" w:rsidP="00FB5826">
            <w:pPr>
              <w:numPr>
                <w:ilvl w:val="0"/>
                <w:numId w:val="25"/>
              </w:numPr>
              <w:cnfStyle w:val="000000000000" w:firstRow="0" w:lastRow="0" w:firstColumn="0" w:lastColumn="0" w:oddVBand="0" w:evenVBand="0" w:oddHBand="0" w:evenHBand="0" w:firstRowFirstColumn="0" w:firstRowLastColumn="0" w:lastRowFirstColumn="0" w:lastRowLastColumn="0"/>
            </w:pPr>
            <w:r>
              <w:t>Jemena Gas Networks (NSW) Ltd (CAN 003 004 322)</w:t>
            </w:r>
          </w:p>
        </w:tc>
      </w:tr>
      <w:tr w:rsidR="00FB5826" w:rsidTr="00FB582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FB5826" w:rsidRDefault="00FB5826" w:rsidP="00FB5826">
            <w:pPr>
              <w:numPr>
                <w:ilvl w:val="0"/>
                <w:numId w:val="25"/>
              </w:numPr>
            </w:pPr>
            <w:r>
              <w:t>MRP</w:t>
            </w:r>
          </w:p>
        </w:tc>
        <w:tc>
          <w:tcPr>
            <w:tcW w:w="5041" w:type="dxa"/>
          </w:tcPr>
          <w:p w:rsidR="00FB5826" w:rsidRDefault="00FB5826" w:rsidP="00FB5826">
            <w:pPr>
              <w:numPr>
                <w:ilvl w:val="0"/>
                <w:numId w:val="25"/>
              </w:numPr>
              <w:cnfStyle w:val="000000010000" w:firstRow="0" w:lastRow="0" w:firstColumn="0" w:lastColumn="0" w:oddVBand="0" w:evenVBand="0" w:oddHBand="0" w:evenHBand="1" w:firstRowFirstColumn="0" w:firstRowLastColumn="0" w:lastRowFirstColumn="0" w:lastRowLastColumn="0"/>
            </w:pPr>
            <w:r>
              <w:t>market risk premium</w:t>
            </w:r>
          </w:p>
        </w:tc>
      </w:tr>
      <w:tr w:rsidR="00FB5826" w:rsidTr="00FB5826">
        <w:tc>
          <w:tcPr>
            <w:cnfStyle w:val="001000000000" w:firstRow="0" w:lastRow="0" w:firstColumn="1" w:lastColumn="0" w:oddVBand="0" w:evenVBand="0" w:oddHBand="0" w:evenHBand="0" w:firstRowFirstColumn="0" w:firstRowLastColumn="0" w:lastRowFirstColumn="0" w:lastRowLastColumn="0"/>
            <w:tcW w:w="3652" w:type="dxa"/>
          </w:tcPr>
          <w:p w:rsidR="00FB5826" w:rsidRDefault="00FB5826" w:rsidP="00FB5826">
            <w:pPr>
              <w:numPr>
                <w:ilvl w:val="0"/>
                <w:numId w:val="25"/>
              </w:numPr>
            </w:pPr>
            <w:r>
              <w:t>NGL</w:t>
            </w:r>
          </w:p>
        </w:tc>
        <w:tc>
          <w:tcPr>
            <w:tcW w:w="5041" w:type="dxa"/>
          </w:tcPr>
          <w:p w:rsidR="00FB5826" w:rsidRDefault="00FB5826" w:rsidP="00FB5826">
            <w:pPr>
              <w:numPr>
                <w:ilvl w:val="0"/>
                <w:numId w:val="25"/>
              </w:numPr>
              <w:cnfStyle w:val="000000000000" w:firstRow="0" w:lastRow="0" w:firstColumn="0" w:lastColumn="0" w:oddVBand="0" w:evenVBand="0" w:oddHBand="0" w:evenHBand="0" w:firstRowFirstColumn="0" w:firstRowLastColumn="0" w:lastRowFirstColumn="0" w:lastRowLastColumn="0"/>
            </w:pPr>
            <w:r>
              <w:t>national gas law</w:t>
            </w:r>
          </w:p>
        </w:tc>
      </w:tr>
      <w:tr w:rsidR="00FB5826" w:rsidTr="00FB582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FB5826" w:rsidRDefault="00FB5826" w:rsidP="00FB5826">
            <w:pPr>
              <w:numPr>
                <w:ilvl w:val="0"/>
                <w:numId w:val="25"/>
              </w:numPr>
            </w:pPr>
            <w:r>
              <w:t>NGO</w:t>
            </w:r>
          </w:p>
        </w:tc>
        <w:tc>
          <w:tcPr>
            <w:tcW w:w="5041" w:type="dxa"/>
          </w:tcPr>
          <w:p w:rsidR="00FB5826" w:rsidRDefault="00FB5826" w:rsidP="00FB5826">
            <w:pPr>
              <w:numPr>
                <w:ilvl w:val="0"/>
                <w:numId w:val="25"/>
              </w:numPr>
              <w:cnfStyle w:val="000000010000" w:firstRow="0" w:lastRow="0" w:firstColumn="0" w:lastColumn="0" w:oddVBand="0" w:evenVBand="0" w:oddHBand="0" w:evenHBand="1" w:firstRowFirstColumn="0" w:firstRowLastColumn="0" w:lastRowFirstColumn="0" w:lastRowLastColumn="0"/>
            </w:pPr>
            <w:r>
              <w:t>national gas objective</w:t>
            </w:r>
          </w:p>
        </w:tc>
      </w:tr>
      <w:tr w:rsidR="00FB5826" w:rsidTr="00FB5826">
        <w:tc>
          <w:tcPr>
            <w:cnfStyle w:val="001000000000" w:firstRow="0" w:lastRow="0" w:firstColumn="1" w:lastColumn="0" w:oddVBand="0" w:evenVBand="0" w:oddHBand="0" w:evenHBand="0" w:firstRowFirstColumn="0" w:firstRowLastColumn="0" w:lastRowFirstColumn="0" w:lastRowLastColumn="0"/>
            <w:tcW w:w="3652" w:type="dxa"/>
          </w:tcPr>
          <w:p w:rsidR="00FB5826" w:rsidRDefault="00FB5826" w:rsidP="00FB5826">
            <w:pPr>
              <w:numPr>
                <w:ilvl w:val="0"/>
                <w:numId w:val="25"/>
              </w:numPr>
            </w:pPr>
            <w:r>
              <w:t>NGR</w:t>
            </w:r>
          </w:p>
        </w:tc>
        <w:tc>
          <w:tcPr>
            <w:tcW w:w="5041" w:type="dxa"/>
          </w:tcPr>
          <w:p w:rsidR="00FB5826" w:rsidRDefault="00FB5826" w:rsidP="00FB5826">
            <w:pPr>
              <w:numPr>
                <w:ilvl w:val="0"/>
                <w:numId w:val="25"/>
              </w:numPr>
              <w:cnfStyle w:val="000000000000" w:firstRow="0" w:lastRow="0" w:firstColumn="0" w:lastColumn="0" w:oddVBand="0" w:evenVBand="0" w:oddHBand="0" w:evenHBand="0" w:firstRowFirstColumn="0" w:firstRowLastColumn="0" w:lastRowFirstColumn="0" w:lastRowLastColumn="0"/>
            </w:pPr>
            <w:r>
              <w:t>national gas rules</w:t>
            </w:r>
          </w:p>
        </w:tc>
      </w:tr>
      <w:tr w:rsidR="00FB5826" w:rsidTr="00FB582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FB5826" w:rsidRDefault="00FB5826" w:rsidP="00FB5826">
            <w:pPr>
              <w:numPr>
                <w:ilvl w:val="0"/>
                <w:numId w:val="25"/>
              </w:numPr>
            </w:pPr>
            <w:r>
              <w:t>opex</w:t>
            </w:r>
          </w:p>
        </w:tc>
        <w:tc>
          <w:tcPr>
            <w:tcW w:w="5041" w:type="dxa"/>
          </w:tcPr>
          <w:p w:rsidR="00FB5826" w:rsidRDefault="00FB5826" w:rsidP="00FB5826">
            <w:pPr>
              <w:numPr>
                <w:ilvl w:val="0"/>
                <w:numId w:val="25"/>
              </w:numPr>
              <w:cnfStyle w:val="000000010000" w:firstRow="0" w:lastRow="0" w:firstColumn="0" w:lastColumn="0" w:oddVBand="0" w:evenVBand="0" w:oddHBand="0" w:evenHBand="1" w:firstRowFirstColumn="0" w:firstRowLastColumn="0" w:lastRowFirstColumn="0" w:lastRowLastColumn="0"/>
            </w:pPr>
            <w:r>
              <w:t>operating expenditure</w:t>
            </w:r>
          </w:p>
        </w:tc>
      </w:tr>
      <w:tr w:rsidR="00FB5826" w:rsidTr="00FB5826">
        <w:tc>
          <w:tcPr>
            <w:cnfStyle w:val="001000000000" w:firstRow="0" w:lastRow="0" w:firstColumn="1" w:lastColumn="0" w:oddVBand="0" w:evenVBand="0" w:oddHBand="0" w:evenHBand="0" w:firstRowFirstColumn="0" w:firstRowLastColumn="0" w:lastRowFirstColumn="0" w:lastRowLastColumn="0"/>
            <w:tcW w:w="3652" w:type="dxa"/>
          </w:tcPr>
          <w:p w:rsidR="00FB5826" w:rsidRDefault="00FB5826" w:rsidP="00FB5826">
            <w:pPr>
              <w:numPr>
                <w:ilvl w:val="0"/>
                <w:numId w:val="25"/>
              </w:numPr>
            </w:pPr>
            <w:r>
              <w:t>PPI</w:t>
            </w:r>
          </w:p>
        </w:tc>
        <w:tc>
          <w:tcPr>
            <w:tcW w:w="5041" w:type="dxa"/>
          </w:tcPr>
          <w:p w:rsidR="00FB5826" w:rsidRDefault="00FB5826" w:rsidP="00FB5826">
            <w:pPr>
              <w:numPr>
                <w:ilvl w:val="0"/>
                <w:numId w:val="25"/>
              </w:numPr>
              <w:cnfStyle w:val="000000000000" w:firstRow="0" w:lastRow="0" w:firstColumn="0" w:lastColumn="0" w:oddVBand="0" w:evenVBand="0" w:oddHBand="0" w:evenHBand="0" w:firstRowFirstColumn="0" w:firstRowLastColumn="0" w:lastRowFirstColumn="0" w:lastRowLastColumn="0"/>
            </w:pPr>
            <w:r>
              <w:t>partial performance indicators</w:t>
            </w:r>
          </w:p>
        </w:tc>
      </w:tr>
      <w:tr w:rsidR="00FB5826" w:rsidTr="00FB582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FB5826" w:rsidRDefault="00FB5826" w:rsidP="00FB5826">
            <w:pPr>
              <w:numPr>
                <w:ilvl w:val="0"/>
                <w:numId w:val="25"/>
              </w:numPr>
            </w:pPr>
            <w:r>
              <w:t>PTRM</w:t>
            </w:r>
          </w:p>
        </w:tc>
        <w:tc>
          <w:tcPr>
            <w:tcW w:w="5041" w:type="dxa"/>
          </w:tcPr>
          <w:p w:rsidR="00FB5826" w:rsidRDefault="00FB5826" w:rsidP="00FB5826">
            <w:pPr>
              <w:numPr>
                <w:ilvl w:val="0"/>
                <w:numId w:val="25"/>
              </w:numPr>
              <w:cnfStyle w:val="000000010000" w:firstRow="0" w:lastRow="0" w:firstColumn="0" w:lastColumn="0" w:oddVBand="0" w:evenVBand="0" w:oddHBand="0" w:evenHBand="1" w:firstRowFirstColumn="0" w:firstRowLastColumn="0" w:lastRowFirstColumn="0" w:lastRowLastColumn="0"/>
            </w:pPr>
            <w:r>
              <w:t>post-tax revenue model</w:t>
            </w:r>
          </w:p>
        </w:tc>
      </w:tr>
      <w:tr w:rsidR="00FB5826" w:rsidTr="00FB5826">
        <w:tc>
          <w:tcPr>
            <w:cnfStyle w:val="001000000000" w:firstRow="0" w:lastRow="0" w:firstColumn="1" w:lastColumn="0" w:oddVBand="0" w:evenVBand="0" w:oddHBand="0" w:evenHBand="0" w:firstRowFirstColumn="0" w:firstRowLastColumn="0" w:lastRowFirstColumn="0" w:lastRowLastColumn="0"/>
            <w:tcW w:w="3652" w:type="dxa"/>
          </w:tcPr>
          <w:p w:rsidR="00FB5826" w:rsidRDefault="00FB5826" w:rsidP="00FB5826">
            <w:pPr>
              <w:numPr>
                <w:ilvl w:val="0"/>
                <w:numId w:val="25"/>
              </w:numPr>
            </w:pPr>
            <w:r>
              <w:t>RAB</w:t>
            </w:r>
          </w:p>
        </w:tc>
        <w:tc>
          <w:tcPr>
            <w:tcW w:w="5041" w:type="dxa"/>
          </w:tcPr>
          <w:p w:rsidR="00FB5826" w:rsidRDefault="00FB5826" w:rsidP="00FB5826">
            <w:pPr>
              <w:numPr>
                <w:ilvl w:val="0"/>
                <w:numId w:val="25"/>
              </w:numPr>
              <w:cnfStyle w:val="000000000000" w:firstRow="0" w:lastRow="0" w:firstColumn="0" w:lastColumn="0" w:oddVBand="0" w:evenVBand="0" w:oddHBand="0" w:evenHBand="0" w:firstRowFirstColumn="0" w:firstRowLastColumn="0" w:lastRowFirstColumn="0" w:lastRowLastColumn="0"/>
            </w:pPr>
            <w:r>
              <w:t>regulatory asset base</w:t>
            </w:r>
          </w:p>
        </w:tc>
      </w:tr>
      <w:tr w:rsidR="00FB5826" w:rsidTr="00FB582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FB5826" w:rsidRDefault="00FB5826" w:rsidP="00FB5826">
            <w:pPr>
              <w:numPr>
                <w:ilvl w:val="0"/>
                <w:numId w:val="25"/>
              </w:numPr>
            </w:pPr>
            <w:r>
              <w:t>RBA</w:t>
            </w:r>
          </w:p>
        </w:tc>
        <w:tc>
          <w:tcPr>
            <w:tcW w:w="5041" w:type="dxa"/>
          </w:tcPr>
          <w:p w:rsidR="00FB5826" w:rsidRDefault="00FB5826" w:rsidP="00FB5826">
            <w:pPr>
              <w:numPr>
                <w:ilvl w:val="0"/>
                <w:numId w:val="25"/>
              </w:numPr>
              <w:cnfStyle w:val="000000010000" w:firstRow="0" w:lastRow="0" w:firstColumn="0" w:lastColumn="0" w:oddVBand="0" w:evenVBand="0" w:oddHBand="0" w:evenHBand="1" w:firstRowFirstColumn="0" w:firstRowLastColumn="0" w:lastRowFirstColumn="0" w:lastRowLastColumn="0"/>
            </w:pPr>
            <w:r>
              <w:t>Reserve Bank of Australia</w:t>
            </w:r>
          </w:p>
        </w:tc>
      </w:tr>
      <w:tr w:rsidR="00FB5826" w:rsidTr="00FB5826">
        <w:tc>
          <w:tcPr>
            <w:cnfStyle w:val="001000000000" w:firstRow="0" w:lastRow="0" w:firstColumn="1" w:lastColumn="0" w:oddVBand="0" w:evenVBand="0" w:oddHBand="0" w:evenHBand="0" w:firstRowFirstColumn="0" w:firstRowLastColumn="0" w:lastRowFirstColumn="0" w:lastRowLastColumn="0"/>
            <w:tcW w:w="3652" w:type="dxa"/>
          </w:tcPr>
          <w:p w:rsidR="00FB5826" w:rsidRDefault="00FB5826" w:rsidP="00FB5826">
            <w:pPr>
              <w:numPr>
                <w:ilvl w:val="0"/>
                <w:numId w:val="25"/>
              </w:numPr>
            </w:pPr>
            <w:r>
              <w:t>RFM</w:t>
            </w:r>
          </w:p>
        </w:tc>
        <w:tc>
          <w:tcPr>
            <w:tcW w:w="5041" w:type="dxa"/>
          </w:tcPr>
          <w:p w:rsidR="00FB5826" w:rsidRDefault="00FB5826" w:rsidP="00FB5826">
            <w:pPr>
              <w:numPr>
                <w:ilvl w:val="0"/>
                <w:numId w:val="25"/>
              </w:numPr>
              <w:cnfStyle w:val="000000000000" w:firstRow="0" w:lastRow="0" w:firstColumn="0" w:lastColumn="0" w:oddVBand="0" w:evenVBand="0" w:oddHBand="0" w:evenHBand="0" w:firstRowFirstColumn="0" w:firstRowLastColumn="0" w:lastRowFirstColumn="0" w:lastRowLastColumn="0"/>
            </w:pPr>
            <w:r>
              <w:t>roll forward model</w:t>
            </w:r>
          </w:p>
        </w:tc>
      </w:tr>
      <w:tr w:rsidR="00FB5826" w:rsidTr="00FB582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FB5826" w:rsidRDefault="00FB5826" w:rsidP="00FB5826">
            <w:pPr>
              <w:numPr>
                <w:ilvl w:val="0"/>
                <w:numId w:val="25"/>
              </w:numPr>
            </w:pPr>
            <w:r>
              <w:t>RIN</w:t>
            </w:r>
          </w:p>
        </w:tc>
        <w:tc>
          <w:tcPr>
            <w:tcW w:w="5041" w:type="dxa"/>
          </w:tcPr>
          <w:p w:rsidR="00FB5826" w:rsidRDefault="00FB5826" w:rsidP="00FB5826">
            <w:pPr>
              <w:numPr>
                <w:ilvl w:val="0"/>
                <w:numId w:val="25"/>
              </w:numPr>
              <w:cnfStyle w:val="000000010000" w:firstRow="0" w:lastRow="0" w:firstColumn="0" w:lastColumn="0" w:oddVBand="0" w:evenVBand="0" w:oddHBand="0" w:evenHBand="1" w:firstRowFirstColumn="0" w:firstRowLastColumn="0" w:lastRowFirstColumn="0" w:lastRowLastColumn="0"/>
            </w:pPr>
            <w:r>
              <w:t>regulatory information notice</w:t>
            </w:r>
          </w:p>
        </w:tc>
      </w:tr>
      <w:tr w:rsidR="00FB5826" w:rsidTr="00FB5826">
        <w:tc>
          <w:tcPr>
            <w:cnfStyle w:val="001000000000" w:firstRow="0" w:lastRow="0" w:firstColumn="1" w:lastColumn="0" w:oddVBand="0" w:evenVBand="0" w:oddHBand="0" w:evenHBand="0" w:firstRowFirstColumn="0" w:firstRowLastColumn="0" w:lastRowFirstColumn="0" w:lastRowLastColumn="0"/>
            <w:tcW w:w="3652" w:type="dxa"/>
          </w:tcPr>
          <w:p w:rsidR="00FB5826" w:rsidRDefault="00FB5826" w:rsidP="00FB5826">
            <w:pPr>
              <w:numPr>
                <w:ilvl w:val="0"/>
                <w:numId w:val="25"/>
              </w:numPr>
            </w:pPr>
            <w:r>
              <w:t>RPP</w:t>
            </w:r>
          </w:p>
        </w:tc>
        <w:tc>
          <w:tcPr>
            <w:tcW w:w="5041" w:type="dxa"/>
          </w:tcPr>
          <w:p w:rsidR="00FB5826" w:rsidRDefault="00FB5826" w:rsidP="00FB5826">
            <w:pPr>
              <w:numPr>
                <w:ilvl w:val="0"/>
                <w:numId w:val="25"/>
              </w:numPr>
              <w:cnfStyle w:val="000000000000" w:firstRow="0" w:lastRow="0" w:firstColumn="0" w:lastColumn="0" w:oddVBand="0" w:evenVBand="0" w:oddHBand="0" w:evenHBand="0" w:firstRowFirstColumn="0" w:firstRowLastColumn="0" w:lastRowFirstColumn="0" w:lastRowLastColumn="0"/>
            </w:pPr>
            <w:r>
              <w:t>revenue and pricing principles</w:t>
            </w:r>
          </w:p>
        </w:tc>
      </w:tr>
      <w:tr w:rsidR="00FB5826" w:rsidTr="00FB582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FB5826" w:rsidRDefault="00FB5826" w:rsidP="00FB5826">
            <w:pPr>
              <w:numPr>
                <w:ilvl w:val="0"/>
                <w:numId w:val="25"/>
              </w:numPr>
            </w:pPr>
            <w:r>
              <w:t>SLCAPM</w:t>
            </w:r>
          </w:p>
        </w:tc>
        <w:tc>
          <w:tcPr>
            <w:tcW w:w="5041" w:type="dxa"/>
          </w:tcPr>
          <w:p w:rsidR="00FB5826" w:rsidRDefault="00FB5826" w:rsidP="00FB5826">
            <w:pPr>
              <w:numPr>
                <w:ilvl w:val="0"/>
                <w:numId w:val="25"/>
              </w:numPr>
              <w:cnfStyle w:val="000000010000" w:firstRow="0" w:lastRow="0" w:firstColumn="0" w:lastColumn="0" w:oddVBand="0" w:evenVBand="0" w:oddHBand="0" w:evenHBand="1" w:firstRowFirstColumn="0" w:firstRowLastColumn="0" w:lastRowFirstColumn="0" w:lastRowLastColumn="0"/>
            </w:pPr>
            <w:r>
              <w:t>Sharpe-Lintner capital asset pricing model</w:t>
            </w:r>
          </w:p>
        </w:tc>
      </w:tr>
      <w:tr w:rsidR="00FB5826" w:rsidTr="00FB5826">
        <w:tc>
          <w:tcPr>
            <w:cnfStyle w:val="001000000000" w:firstRow="0" w:lastRow="0" w:firstColumn="1" w:lastColumn="0" w:oddVBand="0" w:evenVBand="0" w:oddHBand="0" w:evenHBand="0" w:firstRowFirstColumn="0" w:firstRowLastColumn="0" w:lastRowFirstColumn="0" w:lastRowLastColumn="0"/>
            <w:tcW w:w="3652" w:type="dxa"/>
          </w:tcPr>
          <w:p w:rsidR="00FB5826" w:rsidRDefault="00FB5826" w:rsidP="00FB5826">
            <w:pPr>
              <w:numPr>
                <w:ilvl w:val="0"/>
                <w:numId w:val="25"/>
              </w:numPr>
            </w:pPr>
            <w:r>
              <w:t>WACC</w:t>
            </w:r>
          </w:p>
        </w:tc>
        <w:tc>
          <w:tcPr>
            <w:tcW w:w="5041" w:type="dxa"/>
          </w:tcPr>
          <w:p w:rsidR="00FB5826" w:rsidRDefault="00FB5826" w:rsidP="00FB5826">
            <w:pPr>
              <w:numPr>
                <w:ilvl w:val="0"/>
                <w:numId w:val="25"/>
              </w:numPr>
              <w:cnfStyle w:val="000000000000" w:firstRow="0" w:lastRow="0" w:firstColumn="0" w:lastColumn="0" w:oddVBand="0" w:evenVBand="0" w:oddHBand="0" w:evenHBand="0" w:firstRowFirstColumn="0" w:firstRowLastColumn="0" w:lastRowFirstColumn="0" w:lastRowLastColumn="0"/>
            </w:pPr>
            <w:r>
              <w:t>weighted average cost of capital</w:t>
            </w:r>
          </w:p>
        </w:tc>
      </w:tr>
    </w:tbl>
    <w:p w:rsidR="00DE563D" w:rsidRPr="00436A39" w:rsidRDefault="00DE563D" w:rsidP="00DE563D">
      <w:pPr>
        <w:numPr>
          <w:ilvl w:val="0"/>
          <w:numId w:val="25"/>
        </w:numPr>
      </w:pPr>
    </w:p>
    <w:p w:rsidR="00DE563D" w:rsidRDefault="00DE563D" w:rsidP="00DE563D"/>
    <w:p w:rsidR="00DE563D" w:rsidRPr="00AF1F9E" w:rsidRDefault="00345E4F" w:rsidP="00345E4F">
      <w:pPr>
        <w:pStyle w:val="Heading1"/>
      </w:pPr>
      <w:bookmarkStart w:id="10" w:name="_Toc420325024"/>
      <w:r>
        <w:lastRenderedPageBreak/>
        <w:t>Operating</w:t>
      </w:r>
      <w:r w:rsidR="0082643B">
        <w:t xml:space="preserve"> expenditure</w:t>
      </w:r>
      <w:bookmarkEnd w:id="10"/>
    </w:p>
    <w:p w:rsidR="00B27E98" w:rsidRPr="009F4C42" w:rsidRDefault="00B27E98" w:rsidP="00B27E98">
      <w:pPr>
        <w:numPr>
          <w:ilvl w:val="0"/>
          <w:numId w:val="25"/>
        </w:numPr>
      </w:pPr>
      <w:r w:rsidRPr="009F4C42">
        <w:t xml:space="preserve">Forecast </w:t>
      </w:r>
      <w:r w:rsidR="00CE7D0C">
        <w:t>operating expenditure (</w:t>
      </w:r>
      <w:r w:rsidRPr="009F4C42">
        <w:t>opex</w:t>
      </w:r>
      <w:r w:rsidR="00CE7D0C">
        <w:t>)</w:t>
      </w:r>
      <w:r w:rsidRPr="009F4C42">
        <w:t xml:space="preserve"> is the forecast operating, maintenance and other non-capital costs incurred in the provision of distribution </w:t>
      </w:r>
      <w:r w:rsidR="00CE7D0C">
        <w:t>pipeline</w:t>
      </w:r>
      <w:r w:rsidR="00CE7D0C" w:rsidRPr="009F4C42">
        <w:t xml:space="preserve"> </w:t>
      </w:r>
      <w:r w:rsidRPr="009F4C42">
        <w:t>services. I</w:t>
      </w:r>
      <w:r>
        <w:t>t</w:t>
      </w:r>
      <w:r w:rsidRPr="009F4C42">
        <w:t xml:space="preserve"> includes labour costs and other non-capital costs that </w:t>
      </w:r>
      <w:r>
        <w:t xml:space="preserve">a prudent service provider </w:t>
      </w:r>
      <w:r w:rsidRPr="009F4C42">
        <w:t xml:space="preserve">is likely to require during the </w:t>
      </w:r>
      <w:r>
        <w:t>2015–20 access arrangement period</w:t>
      </w:r>
      <w:r w:rsidRPr="009F4C42">
        <w:t xml:space="preserve"> for the efficient operation of its network. </w:t>
      </w:r>
    </w:p>
    <w:p w:rsidR="00DE563D" w:rsidRPr="00AF1F9E" w:rsidRDefault="00AF1F9E" w:rsidP="00AF1F9E">
      <w:pPr>
        <w:pStyle w:val="Heading2"/>
      </w:pPr>
      <w:bookmarkStart w:id="11" w:name="_Toc403144136"/>
      <w:bookmarkStart w:id="12" w:name="_Toc420325025"/>
      <w:r>
        <w:t>Final</w:t>
      </w:r>
      <w:r w:rsidR="00DE563D" w:rsidRPr="00AF1F9E">
        <w:t xml:space="preserve"> decision</w:t>
      </w:r>
      <w:bookmarkEnd w:id="11"/>
      <w:bookmarkEnd w:id="12"/>
    </w:p>
    <w:p w:rsidR="00C74EE9" w:rsidRDefault="00FB6087" w:rsidP="00B27E98">
      <w:pPr>
        <w:numPr>
          <w:ilvl w:val="0"/>
          <w:numId w:val="25"/>
        </w:numPr>
      </w:pPr>
      <w:r w:rsidRPr="00602DD7">
        <w:t xml:space="preserve">We are </w:t>
      </w:r>
      <w:r w:rsidR="00A21A3B">
        <w:t>not</w:t>
      </w:r>
      <w:r w:rsidR="009936B4">
        <w:t xml:space="preserve"> </w:t>
      </w:r>
      <w:r w:rsidRPr="00602DD7">
        <w:t xml:space="preserve">satisfied that the </w:t>
      </w:r>
      <w:r>
        <w:t xml:space="preserve">forecast of total opex JGN proposed </w:t>
      </w:r>
      <w:r w:rsidR="00C74EE9">
        <w:t>complies with the applicable requirements</w:t>
      </w:r>
      <w:r w:rsidR="004221E4">
        <w:t>,</w:t>
      </w:r>
      <w:r w:rsidR="00C74EE9">
        <w:t xml:space="preserve"> and is consistent with the applicable criteria</w:t>
      </w:r>
      <w:r w:rsidR="004221E4">
        <w:t>, in the NGL</w:t>
      </w:r>
      <w:r>
        <w:t>.</w:t>
      </w:r>
      <w:r>
        <w:rPr>
          <w:rStyle w:val="FootnoteReference"/>
        </w:rPr>
        <w:footnoteReference w:id="1"/>
      </w:r>
      <w:r w:rsidRPr="00602DD7">
        <w:t xml:space="preserve"> </w:t>
      </w:r>
      <w:r w:rsidR="00B27E98" w:rsidRPr="00E37FBD">
        <w:t>We therefore</w:t>
      </w:r>
      <w:r w:rsidR="009936B4">
        <w:t xml:space="preserve"> do</w:t>
      </w:r>
      <w:r w:rsidR="00B27E98" w:rsidRPr="00E37FBD">
        <w:t xml:space="preserve"> </w:t>
      </w:r>
      <w:r w:rsidR="009936B4">
        <w:t xml:space="preserve">not </w:t>
      </w:r>
      <w:r w:rsidR="00C74EE9">
        <w:t>approve</w:t>
      </w:r>
      <w:r w:rsidR="00C74EE9" w:rsidRPr="00E37FBD">
        <w:t xml:space="preserve"> </w:t>
      </w:r>
      <w:r w:rsidR="00B27E98" w:rsidRPr="00E37FBD">
        <w:t xml:space="preserve">the forecast opex </w:t>
      </w:r>
      <w:r w:rsidR="00FB54AB">
        <w:t>JGN</w:t>
      </w:r>
      <w:r w:rsidR="00B27E98" w:rsidRPr="00E37FBD">
        <w:t xml:space="preserve"> included in its building block proposal. </w:t>
      </w:r>
    </w:p>
    <w:p w:rsidR="00B27E98" w:rsidRDefault="00C74EE9" w:rsidP="00C74EE9">
      <w:pPr>
        <w:numPr>
          <w:ilvl w:val="0"/>
          <w:numId w:val="25"/>
        </w:numPr>
      </w:pPr>
      <w:r>
        <w:t xml:space="preserve">We approve the opex set out in </w:t>
      </w:r>
      <w:r w:rsidR="000A1663">
        <w:fldChar w:fldCharType="begin"/>
      </w:r>
      <w:r w:rsidR="000A1663">
        <w:instrText xml:space="preserve"> REF _Ref404170016 \h </w:instrText>
      </w:r>
      <w:r w:rsidR="000A1663">
        <w:fldChar w:fldCharType="separate"/>
      </w:r>
      <w:r w:rsidR="00FB6999">
        <w:t xml:space="preserve">Table </w:t>
      </w:r>
      <w:r w:rsidR="00FB6999">
        <w:rPr>
          <w:noProof/>
        </w:rPr>
        <w:t>7</w:t>
      </w:r>
      <w:r w:rsidR="00FB6999">
        <w:t>.</w:t>
      </w:r>
      <w:r w:rsidR="00FB6999">
        <w:rPr>
          <w:noProof/>
        </w:rPr>
        <w:t>1</w:t>
      </w:r>
      <w:r w:rsidR="000A1663">
        <w:fldChar w:fldCharType="end"/>
      </w:r>
      <w:r w:rsidR="000A1663">
        <w:t xml:space="preserve">. </w:t>
      </w:r>
      <w:r w:rsidR="00B27E98">
        <w:t xml:space="preserve"> </w:t>
      </w:r>
      <w:r w:rsidR="000A1663">
        <w:t>This Table</w:t>
      </w:r>
      <w:r w:rsidR="00455C77">
        <w:t xml:space="preserve"> also</w:t>
      </w:r>
      <w:r w:rsidR="000A1663">
        <w:t xml:space="preserve"> </w:t>
      </w:r>
      <w:r w:rsidR="00B27E98">
        <w:t>compare</w:t>
      </w:r>
      <w:r w:rsidR="000A1663">
        <w:t>s</w:t>
      </w:r>
      <w:r w:rsidR="00B27E98">
        <w:t xml:space="preserve"> o</w:t>
      </w:r>
      <w:r w:rsidR="00B27E98" w:rsidRPr="00E37FBD">
        <w:t xml:space="preserve">ur </w:t>
      </w:r>
      <w:r>
        <w:t>approved</w:t>
      </w:r>
      <w:r w:rsidR="00B27E98" w:rsidRPr="00E37FBD">
        <w:t xml:space="preserve"> opex for the 201</w:t>
      </w:r>
      <w:r w:rsidR="00C44094">
        <w:t xml:space="preserve">5–20 access arrangement </w:t>
      </w:r>
      <w:r w:rsidR="00B27E98" w:rsidRPr="00E37FBD">
        <w:t xml:space="preserve">period </w:t>
      </w:r>
      <w:r w:rsidR="00B27E98">
        <w:t xml:space="preserve">with </w:t>
      </w:r>
      <w:r w:rsidR="00FB54AB">
        <w:t>JGN</w:t>
      </w:r>
      <w:r w:rsidR="00B27E98">
        <w:t>'s initial proposal, our draft decision and its revised proposal</w:t>
      </w:r>
      <w:r w:rsidR="000A1663">
        <w:t>.</w:t>
      </w:r>
    </w:p>
    <w:p w:rsidR="00B27E98" w:rsidRDefault="00B27E98" w:rsidP="00B27E98">
      <w:pPr>
        <w:pStyle w:val="Caption"/>
      </w:pPr>
      <w:bookmarkStart w:id="13" w:name="_Ref404170016"/>
      <w:r>
        <w:t xml:space="preserve">Table </w:t>
      </w:r>
      <w:r w:rsidRPr="00B27E98">
        <w:fldChar w:fldCharType="begin"/>
      </w:r>
      <w:r>
        <w:instrText xml:space="preserve"> STYLEREF 1 \s </w:instrText>
      </w:r>
      <w:r w:rsidRPr="00B27E98">
        <w:fldChar w:fldCharType="separate"/>
      </w:r>
      <w:r w:rsidR="00FB6999">
        <w:rPr>
          <w:noProof/>
        </w:rPr>
        <w:t>7</w:t>
      </w:r>
      <w:r w:rsidRPr="00B27E98">
        <w:fldChar w:fldCharType="end"/>
      </w:r>
      <w:r w:rsidR="00516FAB">
        <w:t>.</w:t>
      </w:r>
      <w:r w:rsidRPr="00B27E98">
        <w:fldChar w:fldCharType="begin"/>
      </w:r>
      <w:r>
        <w:instrText xml:space="preserve"> SEQ Table \* ARABIC \s 1 </w:instrText>
      </w:r>
      <w:r w:rsidRPr="00B27E98">
        <w:fldChar w:fldCharType="separate"/>
      </w:r>
      <w:r w:rsidR="00FB6999">
        <w:rPr>
          <w:noProof/>
        </w:rPr>
        <w:t>1</w:t>
      </w:r>
      <w:r w:rsidRPr="00B27E98">
        <w:fldChar w:fldCharType="end"/>
      </w:r>
      <w:bookmarkEnd w:id="13"/>
      <w:r>
        <w:tab/>
      </w:r>
      <w:bookmarkStart w:id="14" w:name="_Ref388280805"/>
      <w:r>
        <w:t xml:space="preserve">Our </w:t>
      </w:r>
      <w:r w:rsidR="005D7F4D">
        <w:t xml:space="preserve">final </w:t>
      </w:r>
      <w:r>
        <w:t>decision on total opex—JGN ($ million, 2014–15)</w:t>
      </w:r>
      <w:bookmarkEnd w:id="14"/>
    </w:p>
    <w:tbl>
      <w:tblPr>
        <w:tblStyle w:val="AERtable-numbers"/>
        <w:tblW w:w="0" w:type="auto"/>
        <w:tblLook w:val="04A0" w:firstRow="1" w:lastRow="0" w:firstColumn="1" w:lastColumn="0" w:noHBand="0" w:noVBand="1"/>
      </w:tblPr>
      <w:tblGrid>
        <w:gridCol w:w="1498"/>
        <w:gridCol w:w="1217"/>
        <w:gridCol w:w="1216"/>
        <w:gridCol w:w="1216"/>
        <w:gridCol w:w="1216"/>
        <w:gridCol w:w="1216"/>
        <w:gridCol w:w="1114"/>
      </w:tblGrid>
      <w:tr w:rsidR="005D7F4D" w:rsidTr="00B27E9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98" w:type="dxa"/>
          </w:tcPr>
          <w:p w:rsidR="005D7F4D" w:rsidRPr="005D7F4D" w:rsidRDefault="005D7F4D" w:rsidP="005D7F4D">
            <w:r w:rsidRPr="00E82929">
              <w:t> </w:t>
            </w:r>
          </w:p>
        </w:tc>
        <w:tc>
          <w:tcPr>
            <w:tcW w:w="1217" w:type="dxa"/>
          </w:tcPr>
          <w:p w:rsidR="005D7F4D" w:rsidRPr="005D7F4D" w:rsidRDefault="005D7F4D" w:rsidP="005D7F4D">
            <w:pPr>
              <w:cnfStyle w:val="100000000000" w:firstRow="1" w:lastRow="0" w:firstColumn="0" w:lastColumn="0" w:oddVBand="0" w:evenVBand="0" w:oddHBand="0" w:evenHBand="0" w:firstRowFirstColumn="0" w:firstRowLastColumn="0" w:lastRowFirstColumn="0" w:lastRowLastColumn="0"/>
            </w:pPr>
            <w:r w:rsidRPr="00E82929">
              <w:t>2015–16</w:t>
            </w:r>
          </w:p>
        </w:tc>
        <w:tc>
          <w:tcPr>
            <w:tcW w:w="1216" w:type="dxa"/>
          </w:tcPr>
          <w:p w:rsidR="005D7F4D" w:rsidRPr="005D7F4D" w:rsidRDefault="005D7F4D" w:rsidP="005D7F4D">
            <w:pPr>
              <w:cnfStyle w:val="100000000000" w:firstRow="1" w:lastRow="0" w:firstColumn="0" w:lastColumn="0" w:oddVBand="0" w:evenVBand="0" w:oddHBand="0" w:evenHBand="0" w:firstRowFirstColumn="0" w:firstRowLastColumn="0" w:lastRowFirstColumn="0" w:lastRowLastColumn="0"/>
            </w:pPr>
            <w:r w:rsidRPr="00E82929">
              <w:t>2016–17</w:t>
            </w:r>
          </w:p>
        </w:tc>
        <w:tc>
          <w:tcPr>
            <w:tcW w:w="1216" w:type="dxa"/>
          </w:tcPr>
          <w:p w:rsidR="005D7F4D" w:rsidRPr="005D7F4D" w:rsidRDefault="005D7F4D" w:rsidP="005D7F4D">
            <w:pPr>
              <w:cnfStyle w:val="100000000000" w:firstRow="1" w:lastRow="0" w:firstColumn="0" w:lastColumn="0" w:oddVBand="0" w:evenVBand="0" w:oddHBand="0" w:evenHBand="0" w:firstRowFirstColumn="0" w:firstRowLastColumn="0" w:lastRowFirstColumn="0" w:lastRowLastColumn="0"/>
            </w:pPr>
            <w:r w:rsidRPr="00E82929">
              <w:t>2017–18</w:t>
            </w:r>
          </w:p>
        </w:tc>
        <w:tc>
          <w:tcPr>
            <w:tcW w:w="1216" w:type="dxa"/>
          </w:tcPr>
          <w:p w:rsidR="005D7F4D" w:rsidRPr="005D7F4D" w:rsidRDefault="005D7F4D" w:rsidP="005D7F4D">
            <w:pPr>
              <w:cnfStyle w:val="100000000000" w:firstRow="1" w:lastRow="0" w:firstColumn="0" w:lastColumn="0" w:oddVBand="0" w:evenVBand="0" w:oddHBand="0" w:evenHBand="0" w:firstRowFirstColumn="0" w:firstRowLastColumn="0" w:lastRowFirstColumn="0" w:lastRowLastColumn="0"/>
            </w:pPr>
            <w:r w:rsidRPr="00E82929">
              <w:t>2018–19</w:t>
            </w:r>
          </w:p>
        </w:tc>
        <w:tc>
          <w:tcPr>
            <w:tcW w:w="1216" w:type="dxa"/>
          </w:tcPr>
          <w:p w:rsidR="005D7F4D" w:rsidRPr="005D7F4D" w:rsidRDefault="005D7F4D" w:rsidP="005D7F4D">
            <w:pPr>
              <w:cnfStyle w:val="100000000000" w:firstRow="1" w:lastRow="0" w:firstColumn="0" w:lastColumn="0" w:oddVBand="0" w:evenVBand="0" w:oddHBand="0" w:evenHBand="0" w:firstRowFirstColumn="0" w:firstRowLastColumn="0" w:lastRowFirstColumn="0" w:lastRowLastColumn="0"/>
            </w:pPr>
            <w:r w:rsidRPr="00E82929">
              <w:t>201</w:t>
            </w:r>
            <w:r>
              <w:t>9</w:t>
            </w:r>
            <w:r w:rsidRPr="00E82929">
              <w:t>–</w:t>
            </w:r>
            <w:r>
              <w:t>20</w:t>
            </w:r>
          </w:p>
        </w:tc>
        <w:tc>
          <w:tcPr>
            <w:tcW w:w="1114" w:type="dxa"/>
          </w:tcPr>
          <w:p w:rsidR="005D7F4D" w:rsidRPr="005D7F4D" w:rsidRDefault="005D7F4D" w:rsidP="005D7F4D">
            <w:pPr>
              <w:cnfStyle w:val="100000000000" w:firstRow="1" w:lastRow="0" w:firstColumn="0" w:lastColumn="0" w:oddVBand="0" w:evenVBand="0" w:oddHBand="0" w:evenHBand="0" w:firstRowFirstColumn="0" w:firstRowLastColumn="0" w:lastRowFirstColumn="0" w:lastRowLastColumn="0"/>
            </w:pPr>
            <w:r w:rsidRPr="00E82929">
              <w:t>Total</w:t>
            </w:r>
          </w:p>
        </w:tc>
      </w:tr>
      <w:tr w:rsidR="00E82929" w:rsidTr="00B27E98">
        <w:tc>
          <w:tcPr>
            <w:cnfStyle w:val="001000000000" w:firstRow="0" w:lastRow="0" w:firstColumn="1" w:lastColumn="0" w:oddVBand="0" w:evenVBand="0" w:oddHBand="0" w:evenHBand="0" w:firstRowFirstColumn="0" w:firstRowLastColumn="0" w:lastRowFirstColumn="0" w:lastRowLastColumn="0"/>
            <w:tcW w:w="1498" w:type="dxa"/>
          </w:tcPr>
          <w:p w:rsidR="00E82929" w:rsidRPr="00E82929" w:rsidRDefault="00E82929">
            <w:r w:rsidRPr="00E82929">
              <w:t>JGN's initial proposal</w:t>
            </w:r>
          </w:p>
        </w:tc>
        <w:tc>
          <w:tcPr>
            <w:tcW w:w="1217" w:type="dxa"/>
          </w:tcPr>
          <w:p w:rsidR="00E82929" w:rsidRPr="00E82929" w:rsidRDefault="00E82929" w:rsidP="00E82929">
            <w:pPr>
              <w:cnfStyle w:val="000000000000" w:firstRow="0" w:lastRow="0" w:firstColumn="0" w:lastColumn="0" w:oddVBand="0" w:evenVBand="0" w:oddHBand="0" w:evenHBand="0" w:firstRowFirstColumn="0" w:firstRowLastColumn="0" w:lastRowFirstColumn="0" w:lastRowLastColumn="0"/>
            </w:pPr>
            <w:r w:rsidRPr="00E82929">
              <w:t>156.7</w:t>
            </w:r>
          </w:p>
        </w:tc>
        <w:tc>
          <w:tcPr>
            <w:tcW w:w="1216" w:type="dxa"/>
          </w:tcPr>
          <w:p w:rsidR="00E82929" w:rsidRPr="00E82929" w:rsidRDefault="00E82929" w:rsidP="00E82929">
            <w:pPr>
              <w:cnfStyle w:val="000000000000" w:firstRow="0" w:lastRow="0" w:firstColumn="0" w:lastColumn="0" w:oddVBand="0" w:evenVBand="0" w:oddHBand="0" w:evenHBand="0" w:firstRowFirstColumn="0" w:firstRowLastColumn="0" w:lastRowFirstColumn="0" w:lastRowLastColumn="0"/>
            </w:pPr>
            <w:r w:rsidRPr="00E82929">
              <w:t>156.8</w:t>
            </w:r>
          </w:p>
        </w:tc>
        <w:tc>
          <w:tcPr>
            <w:tcW w:w="1216" w:type="dxa"/>
          </w:tcPr>
          <w:p w:rsidR="00E82929" w:rsidRPr="00E82929" w:rsidRDefault="00E82929" w:rsidP="00E82929">
            <w:pPr>
              <w:cnfStyle w:val="000000000000" w:firstRow="0" w:lastRow="0" w:firstColumn="0" w:lastColumn="0" w:oddVBand="0" w:evenVBand="0" w:oddHBand="0" w:evenHBand="0" w:firstRowFirstColumn="0" w:firstRowLastColumn="0" w:lastRowFirstColumn="0" w:lastRowLastColumn="0"/>
            </w:pPr>
            <w:r w:rsidRPr="00E82929">
              <w:t>158.2</w:t>
            </w:r>
          </w:p>
        </w:tc>
        <w:tc>
          <w:tcPr>
            <w:tcW w:w="1216" w:type="dxa"/>
          </w:tcPr>
          <w:p w:rsidR="00E82929" w:rsidRPr="00E82929" w:rsidRDefault="00E82929" w:rsidP="00E82929">
            <w:pPr>
              <w:cnfStyle w:val="000000000000" w:firstRow="0" w:lastRow="0" w:firstColumn="0" w:lastColumn="0" w:oddVBand="0" w:evenVBand="0" w:oddHBand="0" w:evenHBand="0" w:firstRowFirstColumn="0" w:firstRowLastColumn="0" w:lastRowFirstColumn="0" w:lastRowLastColumn="0"/>
            </w:pPr>
            <w:r w:rsidRPr="00E82929">
              <w:t>163.0</w:t>
            </w:r>
          </w:p>
        </w:tc>
        <w:tc>
          <w:tcPr>
            <w:tcW w:w="1216" w:type="dxa"/>
          </w:tcPr>
          <w:p w:rsidR="00E82929" w:rsidRPr="00E82929" w:rsidRDefault="00E82929" w:rsidP="00E82929">
            <w:pPr>
              <w:cnfStyle w:val="000000000000" w:firstRow="0" w:lastRow="0" w:firstColumn="0" w:lastColumn="0" w:oddVBand="0" w:evenVBand="0" w:oddHBand="0" w:evenHBand="0" w:firstRowFirstColumn="0" w:firstRowLastColumn="0" w:lastRowFirstColumn="0" w:lastRowLastColumn="0"/>
            </w:pPr>
            <w:r w:rsidRPr="00E82929">
              <w:t>162.7</w:t>
            </w:r>
          </w:p>
        </w:tc>
        <w:tc>
          <w:tcPr>
            <w:tcW w:w="1114" w:type="dxa"/>
          </w:tcPr>
          <w:p w:rsidR="00E82929" w:rsidRPr="00E82929" w:rsidRDefault="00E82929" w:rsidP="00E82929">
            <w:pPr>
              <w:cnfStyle w:val="000000000000" w:firstRow="0" w:lastRow="0" w:firstColumn="0" w:lastColumn="0" w:oddVBand="0" w:evenVBand="0" w:oddHBand="0" w:evenHBand="0" w:firstRowFirstColumn="0" w:firstRowLastColumn="0" w:lastRowFirstColumn="0" w:lastRowLastColumn="0"/>
            </w:pPr>
            <w:r w:rsidRPr="00E82929">
              <w:t>797.5</w:t>
            </w:r>
          </w:p>
        </w:tc>
      </w:tr>
      <w:tr w:rsidR="00E82929" w:rsidTr="00B27E9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98" w:type="dxa"/>
          </w:tcPr>
          <w:p w:rsidR="00E82929" w:rsidRPr="00E82929" w:rsidRDefault="00E82929">
            <w:r w:rsidRPr="00E82929">
              <w:t>AER draft decision</w:t>
            </w:r>
          </w:p>
        </w:tc>
        <w:tc>
          <w:tcPr>
            <w:tcW w:w="1217" w:type="dxa"/>
          </w:tcPr>
          <w:p w:rsidR="00E82929" w:rsidRPr="00E82929" w:rsidRDefault="00E82929" w:rsidP="00E82929">
            <w:pPr>
              <w:cnfStyle w:val="000000010000" w:firstRow="0" w:lastRow="0" w:firstColumn="0" w:lastColumn="0" w:oddVBand="0" w:evenVBand="0" w:oddHBand="0" w:evenHBand="1" w:firstRowFirstColumn="0" w:firstRowLastColumn="0" w:lastRowFirstColumn="0" w:lastRowLastColumn="0"/>
            </w:pPr>
            <w:r w:rsidRPr="00E82929">
              <w:t>154.4</w:t>
            </w:r>
          </w:p>
        </w:tc>
        <w:tc>
          <w:tcPr>
            <w:tcW w:w="1216" w:type="dxa"/>
          </w:tcPr>
          <w:p w:rsidR="00E82929" w:rsidRPr="00E82929" w:rsidRDefault="00E82929" w:rsidP="00E82929">
            <w:pPr>
              <w:cnfStyle w:val="000000010000" w:firstRow="0" w:lastRow="0" w:firstColumn="0" w:lastColumn="0" w:oddVBand="0" w:evenVBand="0" w:oddHBand="0" w:evenHBand="1" w:firstRowFirstColumn="0" w:firstRowLastColumn="0" w:lastRowFirstColumn="0" w:lastRowLastColumn="0"/>
            </w:pPr>
            <w:r w:rsidRPr="00E82929">
              <w:t>153.8</w:t>
            </w:r>
          </w:p>
        </w:tc>
        <w:tc>
          <w:tcPr>
            <w:tcW w:w="1216" w:type="dxa"/>
          </w:tcPr>
          <w:p w:rsidR="00E82929" w:rsidRPr="00E82929" w:rsidRDefault="00E82929" w:rsidP="00E82929">
            <w:pPr>
              <w:cnfStyle w:val="000000010000" w:firstRow="0" w:lastRow="0" w:firstColumn="0" w:lastColumn="0" w:oddVBand="0" w:evenVBand="0" w:oddHBand="0" w:evenHBand="1" w:firstRowFirstColumn="0" w:firstRowLastColumn="0" w:lastRowFirstColumn="0" w:lastRowLastColumn="0"/>
            </w:pPr>
            <w:r w:rsidRPr="00E82929">
              <w:t>154.6</w:t>
            </w:r>
          </w:p>
        </w:tc>
        <w:tc>
          <w:tcPr>
            <w:tcW w:w="1216" w:type="dxa"/>
          </w:tcPr>
          <w:p w:rsidR="00E82929" w:rsidRPr="00E82929" w:rsidRDefault="00E82929" w:rsidP="00E82929">
            <w:pPr>
              <w:cnfStyle w:val="000000010000" w:firstRow="0" w:lastRow="0" w:firstColumn="0" w:lastColumn="0" w:oddVBand="0" w:evenVBand="0" w:oddHBand="0" w:evenHBand="1" w:firstRowFirstColumn="0" w:firstRowLastColumn="0" w:lastRowFirstColumn="0" w:lastRowLastColumn="0"/>
            </w:pPr>
            <w:r w:rsidRPr="00E82929">
              <w:t>159.0</w:t>
            </w:r>
          </w:p>
        </w:tc>
        <w:tc>
          <w:tcPr>
            <w:tcW w:w="1216" w:type="dxa"/>
          </w:tcPr>
          <w:p w:rsidR="00E82929" w:rsidRPr="00E82929" w:rsidRDefault="00E82929" w:rsidP="00E82929">
            <w:pPr>
              <w:cnfStyle w:val="000000010000" w:firstRow="0" w:lastRow="0" w:firstColumn="0" w:lastColumn="0" w:oddVBand="0" w:evenVBand="0" w:oddHBand="0" w:evenHBand="1" w:firstRowFirstColumn="0" w:firstRowLastColumn="0" w:lastRowFirstColumn="0" w:lastRowLastColumn="0"/>
            </w:pPr>
            <w:r w:rsidRPr="00E82929">
              <w:t>157.8</w:t>
            </w:r>
          </w:p>
        </w:tc>
        <w:tc>
          <w:tcPr>
            <w:tcW w:w="1114" w:type="dxa"/>
          </w:tcPr>
          <w:p w:rsidR="00E82929" w:rsidRPr="00E82929" w:rsidRDefault="00E82929" w:rsidP="00E82929">
            <w:pPr>
              <w:cnfStyle w:val="000000010000" w:firstRow="0" w:lastRow="0" w:firstColumn="0" w:lastColumn="0" w:oddVBand="0" w:evenVBand="0" w:oddHBand="0" w:evenHBand="1" w:firstRowFirstColumn="0" w:firstRowLastColumn="0" w:lastRowFirstColumn="0" w:lastRowLastColumn="0"/>
            </w:pPr>
            <w:r w:rsidRPr="00E82929">
              <w:t>779.7</w:t>
            </w:r>
          </w:p>
        </w:tc>
      </w:tr>
      <w:tr w:rsidR="00E82929" w:rsidTr="006B2C1D">
        <w:tc>
          <w:tcPr>
            <w:cnfStyle w:val="001000000000" w:firstRow="0" w:lastRow="0" w:firstColumn="1" w:lastColumn="0" w:oddVBand="0" w:evenVBand="0" w:oddHBand="0" w:evenHBand="0" w:firstRowFirstColumn="0" w:firstRowLastColumn="0" w:lastRowFirstColumn="0" w:lastRowLastColumn="0"/>
            <w:tcW w:w="1498" w:type="dxa"/>
          </w:tcPr>
          <w:p w:rsidR="00E82929" w:rsidRPr="00E82929" w:rsidRDefault="00BB1DDF">
            <w:r>
              <w:t>Update to</w:t>
            </w:r>
            <w:r w:rsidR="004221E4">
              <w:t xml:space="preserve"> </w:t>
            </w:r>
            <w:r w:rsidR="00E82929" w:rsidRPr="00E82929">
              <w:t>JGN's revised proposal</w:t>
            </w:r>
            <w:r>
              <w:rPr>
                <w:rStyle w:val="FootnoteReference"/>
              </w:rPr>
              <w:footnoteReference w:id="2"/>
            </w:r>
          </w:p>
        </w:tc>
        <w:tc>
          <w:tcPr>
            <w:tcW w:w="1217" w:type="dxa"/>
          </w:tcPr>
          <w:p w:rsidR="00E82929" w:rsidRPr="00E82929" w:rsidRDefault="00BB1DDF" w:rsidP="00E82929">
            <w:pPr>
              <w:cnfStyle w:val="000000000000" w:firstRow="0" w:lastRow="0" w:firstColumn="0" w:lastColumn="0" w:oddVBand="0" w:evenVBand="0" w:oddHBand="0" w:evenHBand="0" w:firstRowFirstColumn="0" w:firstRowLastColumn="0" w:lastRowFirstColumn="0" w:lastRowLastColumn="0"/>
            </w:pPr>
            <w:r>
              <w:t>158.0</w:t>
            </w:r>
          </w:p>
        </w:tc>
        <w:tc>
          <w:tcPr>
            <w:tcW w:w="1216" w:type="dxa"/>
          </w:tcPr>
          <w:p w:rsidR="00E82929" w:rsidRPr="00E82929" w:rsidRDefault="008F4DDF" w:rsidP="00E82929">
            <w:pPr>
              <w:cnfStyle w:val="000000000000" w:firstRow="0" w:lastRow="0" w:firstColumn="0" w:lastColumn="0" w:oddVBand="0" w:evenVBand="0" w:oddHBand="0" w:evenHBand="0" w:firstRowFirstColumn="0" w:firstRowLastColumn="0" w:lastRowFirstColumn="0" w:lastRowLastColumn="0"/>
            </w:pPr>
            <w:r>
              <w:t>159.</w:t>
            </w:r>
            <w:r w:rsidR="00743C54">
              <w:t>9</w:t>
            </w:r>
          </w:p>
        </w:tc>
        <w:tc>
          <w:tcPr>
            <w:tcW w:w="1216" w:type="dxa"/>
          </w:tcPr>
          <w:p w:rsidR="00E82929" w:rsidRPr="00E82929" w:rsidRDefault="00743C54" w:rsidP="00E82929">
            <w:pPr>
              <w:cnfStyle w:val="000000000000" w:firstRow="0" w:lastRow="0" w:firstColumn="0" w:lastColumn="0" w:oddVBand="0" w:evenVBand="0" w:oddHBand="0" w:evenHBand="0" w:firstRowFirstColumn="0" w:firstRowLastColumn="0" w:lastRowFirstColumn="0" w:lastRowLastColumn="0"/>
            </w:pPr>
            <w:r>
              <w:t>160.4</w:t>
            </w:r>
          </w:p>
        </w:tc>
        <w:tc>
          <w:tcPr>
            <w:tcW w:w="1216" w:type="dxa"/>
          </w:tcPr>
          <w:p w:rsidR="00E82929" w:rsidRPr="00E82929" w:rsidRDefault="00743C54" w:rsidP="00E82929">
            <w:pPr>
              <w:cnfStyle w:val="000000000000" w:firstRow="0" w:lastRow="0" w:firstColumn="0" w:lastColumn="0" w:oddVBand="0" w:evenVBand="0" w:oddHBand="0" w:evenHBand="0" w:firstRowFirstColumn="0" w:firstRowLastColumn="0" w:lastRowFirstColumn="0" w:lastRowLastColumn="0"/>
            </w:pPr>
            <w:r>
              <w:t>165.3</w:t>
            </w:r>
          </w:p>
        </w:tc>
        <w:tc>
          <w:tcPr>
            <w:tcW w:w="1216" w:type="dxa"/>
          </w:tcPr>
          <w:p w:rsidR="00E82929" w:rsidRPr="00E82929" w:rsidRDefault="00743C54" w:rsidP="00E82929">
            <w:pPr>
              <w:cnfStyle w:val="000000000000" w:firstRow="0" w:lastRow="0" w:firstColumn="0" w:lastColumn="0" w:oddVBand="0" w:evenVBand="0" w:oddHBand="0" w:evenHBand="0" w:firstRowFirstColumn="0" w:firstRowLastColumn="0" w:lastRowFirstColumn="0" w:lastRowLastColumn="0"/>
            </w:pPr>
            <w:r>
              <w:t>164.8</w:t>
            </w:r>
          </w:p>
        </w:tc>
        <w:tc>
          <w:tcPr>
            <w:tcW w:w="1114" w:type="dxa"/>
          </w:tcPr>
          <w:p w:rsidR="00E82929" w:rsidRPr="00E82929" w:rsidRDefault="00743C54" w:rsidP="00E82929">
            <w:pPr>
              <w:cnfStyle w:val="000000000000" w:firstRow="0" w:lastRow="0" w:firstColumn="0" w:lastColumn="0" w:oddVBand="0" w:evenVBand="0" w:oddHBand="0" w:evenHBand="0" w:firstRowFirstColumn="0" w:firstRowLastColumn="0" w:lastRowFirstColumn="0" w:lastRowLastColumn="0"/>
            </w:pPr>
            <w:r>
              <w:t>808</w:t>
            </w:r>
            <w:r w:rsidR="00E82929" w:rsidRPr="00E82929">
              <w:t>.</w:t>
            </w:r>
            <w:r>
              <w:t>2</w:t>
            </w:r>
          </w:p>
        </w:tc>
      </w:tr>
      <w:tr w:rsidR="00743C54" w:rsidTr="006B2C1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98" w:type="dxa"/>
          </w:tcPr>
          <w:p w:rsidR="00743C54" w:rsidRPr="00743C54" w:rsidRDefault="00743C54" w:rsidP="00743C54">
            <w:r w:rsidRPr="00E82929">
              <w:t>AER final decision</w:t>
            </w:r>
          </w:p>
        </w:tc>
        <w:tc>
          <w:tcPr>
            <w:tcW w:w="1217" w:type="dxa"/>
          </w:tcPr>
          <w:p w:rsidR="00743C54" w:rsidRPr="00743C54" w:rsidRDefault="00F63E9B" w:rsidP="00A21A3B">
            <w:pPr>
              <w:cnfStyle w:val="000000010000" w:firstRow="0" w:lastRow="0" w:firstColumn="0" w:lastColumn="0" w:oddVBand="0" w:evenVBand="0" w:oddHBand="0" w:evenHBand="1" w:firstRowFirstColumn="0" w:firstRowLastColumn="0" w:lastRowFirstColumn="0" w:lastRowLastColumn="0"/>
            </w:pPr>
            <w:r>
              <w:t>157.0</w:t>
            </w:r>
          </w:p>
        </w:tc>
        <w:tc>
          <w:tcPr>
            <w:tcW w:w="1216" w:type="dxa"/>
          </w:tcPr>
          <w:p w:rsidR="00743C54" w:rsidRPr="00743C54" w:rsidRDefault="00F63E9B" w:rsidP="00743C54">
            <w:pPr>
              <w:cnfStyle w:val="000000010000" w:firstRow="0" w:lastRow="0" w:firstColumn="0" w:lastColumn="0" w:oddVBand="0" w:evenVBand="0" w:oddHBand="0" w:evenHBand="1" w:firstRowFirstColumn="0" w:firstRowLastColumn="0" w:lastRowFirstColumn="0" w:lastRowLastColumn="0"/>
            </w:pPr>
            <w:r>
              <w:t>158.0</w:t>
            </w:r>
          </w:p>
        </w:tc>
        <w:tc>
          <w:tcPr>
            <w:tcW w:w="1216" w:type="dxa"/>
          </w:tcPr>
          <w:p w:rsidR="00743C54" w:rsidRPr="00743C54" w:rsidRDefault="00F63E9B" w:rsidP="00743C54">
            <w:pPr>
              <w:cnfStyle w:val="000000010000" w:firstRow="0" w:lastRow="0" w:firstColumn="0" w:lastColumn="0" w:oddVBand="0" w:evenVBand="0" w:oddHBand="0" w:evenHBand="1" w:firstRowFirstColumn="0" w:firstRowLastColumn="0" w:lastRowFirstColumn="0" w:lastRowLastColumn="0"/>
            </w:pPr>
            <w:r>
              <w:t>158.9</w:t>
            </w:r>
          </w:p>
        </w:tc>
        <w:tc>
          <w:tcPr>
            <w:tcW w:w="1216" w:type="dxa"/>
          </w:tcPr>
          <w:p w:rsidR="00743C54" w:rsidRPr="00743C54" w:rsidRDefault="00F63E9B" w:rsidP="00743C54">
            <w:pPr>
              <w:cnfStyle w:val="000000010000" w:firstRow="0" w:lastRow="0" w:firstColumn="0" w:lastColumn="0" w:oddVBand="0" w:evenVBand="0" w:oddHBand="0" w:evenHBand="1" w:firstRowFirstColumn="0" w:firstRowLastColumn="0" w:lastRowFirstColumn="0" w:lastRowLastColumn="0"/>
            </w:pPr>
            <w:r>
              <w:t>163.5</w:t>
            </w:r>
          </w:p>
        </w:tc>
        <w:tc>
          <w:tcPr>
            <w:tcW w:w="1216" w:type="dxa"/>
          </w:tcPr>
          <w:p w:rsidR="00743C54" w:rsidRPr="00743C54" w:rsidRDefault="00F63E9B" w:rsidP="00743C54">
            <w:pPr>
              <w:cnfStyle w:val="000000010000" w:firstRow="0" w:lastRow="0" w:firstColumn="0" w:lastColumn="0" w:oddVBand="0" w:evenVBand="0" w:oddHBand="0" w:evenHBand="1" w:firstRowFirstColumn="0" w:firstRowLastColumn="0" w:lastRowFirstColumn="0" w:lastRowLastColumn="0"/>
            </w:pPr>
            <w:r>
              <w:t>162.7</w:t>
            </w:r>
          </w:p>
        </w:tc>
        <w:tc>
          <w:tcPr>
            <w:tcW w:w="1114" w:type="dxa"/>
          </w:tcPr>
          <w:p w:rsidR="00743C54" w:rsidRPr="00743C54" w:rsidRDefault="00F63E9B" w:rsidP="00743C54">
            <w:pPr>
              <w:cnfStyle w:val="000000010000" w:firstRow="0" w:lastRow="0" w:firstColumn="0" w:lastColumn="0" w:oddVBand="0" w:evenVBand="0" w:oddHBand="0" w:evenHBand="1" w:firstRowFirstColumn="0" w:firstRowLastColumn="0" w:lastRowFirstColumn="0" w:lastRowLastColumn="0"/>
            </w:pPr>
            <w:r>
              <w:t>800.0</w:t>
            </w:r>
          </w:p>
        </w:tc>
      </w:tr>
    </w:tbl>
    <w:p w:rsidR="00B27E98" w:rsidRPr="00B47806" w:rsidRDefault="00B27E98" w:rsidP="00B27E98">
      <w:pPr>
        <w:pStyle w:val="AERtablesource"/>
      </w:pPr>
      <w:r w:rsidRPr="00B47806">
        <w:t>Source:</w:t>
      </w:r>
      <w:r w:rsidRPr="00B47806">
        <w:tab/>
        <w:t>AER analysis.</w:t>
      </w:r>
    </w:p>
    <w:p w:rsidR="00B27E98" w:rsidRPr="00B47806" w:rsidRDefault="00B27E98" w:rsidP="00B27E98">
      <w:pPr>
        <w:pStyle w:val="AERtablesource"/>
      </w:pPr>
      <w:r w:rsidRPr="00B47806">
        <w:t>Note:</w:t>
      </w:r>
      <w:r w:rsidRPr="00B47806">
        <w:tab/>
        <w:t>Excludes debt raising costs.</w:t>
      </w:r>
    </w:p>
    <w:p w:rsidR="00B27E98" w:rsidRDefault="00C44094" w:rsidP="00B27E98">
      <w:pPr>
        <w:rPr>
          <w:rStyle w:val="AERbody"/>
        </w:rPr>
      </w:pPr>
      <w:r>
        <w:rPr>
          <w:rStyle w:val="AERbody"/>
        </w:rPr>
        <w:fldChar w:fldCharType="begin"/>
      </w:r>
      <w:r>
        <w:rPr>
          <w:rStyle w:val="AERbody"/>
        </w:rPr>
        <w:instrText xml:space="preserve"> REF _Ref418518377 \h </w:instrText>
      </w:r>
      <w:r>
        <w:rPr>
          <w:rStyle w:val="AERbody"/>
        </w:rPr>
      </w:r>
      <w:r>
        <w:rPr>
          <w:rStyle w:val="AERbody"/>
        </w:rPr>
        <w:fldChar w:fldCharType="separate"/>
      </w:r>
      <w:r w:rsidR="00FB6999">
        <w:t>Figure 7.</w:t>
      </w:r>
      <w:r w:rsidR="00FB6999">
        <w:rPr>
          <w:noProof/>
        </w:rPr>
        <w:t>1</w:t>
      </w:r>
      <w:r>
        <w:rPr>
          <w:rStyle w:val="AERbody"/>
        </w:rPr>
        <w:fldChar w:fldCharType="end"/>
      </w:r>
      <w:r>
        <w:rPr>
          <w:rStyle w:val="AERbody"/>
        </w:rPr>
        <w:t xml:space="preserve"> </w:t>
      </w:r>
      <w:r w:rsidR="00B27E98">
        <w:rPr>
          <w:rStyle w:val="AERbody"/>
        </w:rPr>
        <w:t xml:space="preserve">shows </w:t>
      </w:r>
      <w:r w:rsidR="00B27E98" w:rsidRPr="00EA4AAE">
        <w:rPr>
          <w:rStyle w:val="AERbody"/>
        </w:rPr>
        <w:t xml:space="preserve">our </w:t>
      </w:r>
      <w:r w:rsidR="00B27E98">
        <w:rPr>
          <w:rStyle w:val="AERbody"/>
        </w:rPr>
        <w:t>final</w:t>
      </w:r>
      <w:r w:rsidR="00B27E98" w:rsidRPr="00EA4AAE">
        <w:rPr>
          <w:rStyle w:val="AERbody"/>
        </w:rPr>
        <w:t xml:space="preserve"> decision compared to </w:t>
      </w:r>
      <w:r w:rsidR="00FB54AB">
        <w:rPr>
          <w:rStyle w:val="AERbody"/>
        </w:rPr>
        <w:t>JGN</w:t>
      </w:r>
      <w:r w:rsidR="00B27E98">
        <w:rPr>
          <w:rStyle w:val="AERbody"/>
        </w:rPr>
        <w:t>'s</w:t>
      </w:r>
      <w:r w:rsidR="00B27E98" w:rsidRPr="00EA4AAE">
        <w:rPr>
          <w:rStyle w:val="AERbody"/>
        </w:rPr>
        <w:t xml:space="preserve"> proposal, its past allowances and past actual expenditure.</w:t>
      </w:r>
    </w:p>
    <w:p w:rsidR="0044166C" w:rsidRDefault="00D70315" w:rsidP="0044166C">
      <w:pPr>
        <w:pStyle w:val="Caption"/>
      </w:pPr>
      <w:bookmarkStart w:id="15" w:name="_Ref418518377"/>
      <w:r>
        <w:lastRenderedPageBreak/>
        <w:t xml:space="preserve">Figure </w:t>
      </w:r>
      <w:r w:rsidR="00516FAB">
        <w:t>7.</w:t>
      </w:r>
      <w:fldSimple w:instr=" SEQ Figure \* ARABIC ">
        <w:r w:rsidR="00FB6999">
          <w:rPr>
            <w:noProof/>
          </w:rPr>
          <w:t>1</w:t>
        </w:r>
      </w:fldSimple>
      <w:bookmarkEnd w:id="15"/>
      <w:r w:rsidR="0044166C">
        <w:tab/>
        <w:t>Our</w:t>
      </w:r>
      <w:r w:rsidR="0044166C" w:rsidRPr="00B020B6">
        <w:t xml:space="preserve"> </w:t>
      </w:r>
      <w:r w:rsidR="0044166C">
        <w:t>final decision</w:t>
      </w:r>
      <w:r w:rsidR="0044166C" w:rsidRPr="00B020B6">
        <w:t xml:space="preserve"> compared to </w:t>
      </w:r>
      <w:r w:rsidR="0044166C">
        <w:t>Jemena Gas Networks'</w:t>
      </w:r>
      <w:r w:rsidR="0044166C" w:rsidRPr="00B020B6">
        <w:t xml:space="preserve"> pa</w:t>
      </w:r>
      <w:r w:rsidR="0044166C">
        <w:t>st and proposed opex ($ million, </w:t>
      </w:r>
      <w:r w:rsidR="0044166C" w:rsidRPr="00B020B6">
        <w:t>201</w:t>
      </w:r>
      <w:r w:rsidR="0044166C">
        <w:t>4–15</w:t>
      </w:r>
      <w:r w:rsidR="0044166C" w:rsidRPr="00B020B6">
        <w:t>)</w:t>
      </w:r>
    </w:p>
    <w:p w:rsidR="00014FEE" w:rsidRPr="00014FEE" w:rsidRDefault="00335845" w:rsidP="00813E56">
      <w:r w:rsidRPr="00335845">
        <w:rPr>
          <w:noProof/>
          <w:lang w:eastAsia="en-AU"/>
        </w:rPr>
        <w:drawing>
          <wp:inline distT="0" distB="0" distL="0" distR="0" wp14:anchorId="728AA680" wp14:editId="4C227DC0">
            <wp:extent cx="5382895" cy="3548787"/>
            <wp:effectExtent l="0" t="0" r="825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382895" cy="3548787"/>
                    </a:xfrm>
                    <a:prstGeom prst="rect">
                      <a:avLst/>
                    </a:prstGeom>
                    <a:noFill/>
                    <a:ln>
                      <a:noFill/>
                    </a:ln>
                  </pic:spPr>
                </pic:pic>
              </a:graphicData>
            </a:graphic>
          </wp:inline>
        </w:drawing>
      </w:r>
    </w:p>
    <w:p w:rsidR="00014FEE" w:rsidRDefault="00014FEE" w:rsidP="00813E56">
      <w:pPr>
        <w:pStyle w:val="AERtablesource"/>
      </w:pPr>
      <w:r>
        <w:t>Source: AER analysis</w:t>
      </w:r>
      <w:r w:rsidR="00A508BD">
        <w:t>.</w:t>
      </w:r>
    </w:p>
    <w:p w:rsidR="0060509D" w:rsidRDefault="00D70315" w:rsidP="00AF1F9E">
      <w:r>
        <w:t xml:space="preserve">For the most part, we are satisfied with JGN's opex forecast. </w:t>
      </w:r>
      <w:r w:rsidR="00A21A3B">
        <w:t>O</w:t>
      </w:r>
      <w:r w:rsidR="009936B4">
        <w:t>ur alterna</w:t>
      </w:r>
      <w:r w:rsidR="00A21A3B">
        <w:t>tive estimate of opex</w:t>
      </w:r>
      <w:r w:rsidR="000A0BE0">
        <w:t xml:space="preserve"> (exclu</w:t>
      </w:r>
      <w:r w:rsidR="000A1663">
        <w:t>ding</w:t>
      </w:r>
      <w:r w:rsidR="000A0BE0">
        <w:t xml:space="preserve"> debt raising costs)</w:t>
      </w:r>
      <w:r w:rsidR="00A21A3B">
        <w:t xml:space="preserve"> is $</w:t>
      </w:r>
      <w:r w:rsidR="00B24C81">
        <w:t>8.2</w:t>
      </w:r>
      <w:r w:rsidR="00D20765">
        <w:t xml:space="preserve"> </w:t>
      </w:r>
      <w:r w:rsidR="009936B4">
        <w:t xml:space="preserve">million lower </w:t>
      </w:r>
      <w:r w:rsidR="00D20765">
        <w:t xml:space="preserve">than </w:t>
      </w:r>
      <w:r w:rsidR="009936B4">
        <w:t>JGN's forecast over the 2015–20 access arrangement period. This is due</w:t>
      </w:r>
      <w:r w:rsidR="0060509D">
        <w:t xml:space="preserve"> the following factors:</w:t>
      </w:r>
    </w:p>
    <w:p w:rsidR="0060509D" w:rsidRPr="00A56D16" w:rsidRDefault="0060509D" w:rsidP="00516FAB">
      <w:pPr>
        <w:pStyle w:val="AERbulletlistfirststyle"/>
      </w:pPr>
      <w:r w:rsidRPr="008411E8">
        <w:t xml:space="preserve">We have forecast </w:t>
      </w:r>
      <w:r w:rsidR="003E65C3" w:rsidRPr="008411E8">
        <w:t xml:space="preserve">lower </w:t>
      </w:r>
      <w:r w:rsidR="00A21A3B" w:rsidRPr="00975919">
        <w:t xml:space="preserve">input </w:t>
      </w:r>
      <w:r w:rsidR="003E65C3" w:rsidRPr="00975919">
        <w:t xml:space="preserve">price growth </w:t>
      </w:r>
      <w:r w:rsidRPr="00975919">
        <w:t xml:space="preserve">than JGN over the 2015–20 </w:t>
      </w:r>
      <w:r w:rsidRPr="00EF7202">
        <w:t xml:space="preserve">access arrangement period </w:t>
      </w:r>
    </w:p>
    <w:p w:rsidR="00C44094" w:rsidRDefault="0060509D" w:rsidP="00516FAB">
      <w:pPr>
        <w:pStyle w:val="AERbulletlistfirststyle"/>
      </w:pPr>
      <w:r w:rsidRPr="009524E6">
        <w:t>We have not included a step change in opex</w:t>
      </w:r>
      <w:r w:rsidRPr="000B201A">
        <w:t xml:space="preserve"> for JGN's proposed asbestos meter cover removal program. We consider that this program </w:t>
      </w:r>
      <w:r w:rsidR="001F16E3">
        <w:t xml:space="preserve">should </w:t>
      </w:r>
      <w:r w:rsidRPr="000B201A">
        <w:t xml:space="preserve">be funded </w:t>
      </w:r>
      <w:r w:rsidR="001F16E3">
        <w:t>from base opex</w:t>
      </w:r>
      <w:r w:rsidR="00813E56">
        <w:t>.</w:t>
      </w:r>
    </w:p>
    <w:p w:rsidR="009936B4" w:rsidRDefault="00467ACE" w:rsidP="00516FAB">
      <w:r>
        <w:t>We note o</w:t>
      </w:r>
      <w:r w:rsidR="00D70315">
        <w:t>ur decision on</w:t>
      </w:r>
      <w:r w:rsidR="009936B4">
        <w:t xml:space="preserve"> JGN's opex also includes </w:t>
      </w:r>
      <w:r w:rsidR="00D70315">
        <w:t>an allowance fo</w:t>
      </w:r>
      <w:r w:rsidR="00A1123A">
        <w:t>r</w:t>
      </w:r>
      <w:r w:rsidR="00D70315">
        <w:t xml:space="preserve"> </w:t>
      </w:r>
      <w:r w:rsidR="009936B4">
        <w:t>forecast debt raising costs</w:t>
      </w:r>
      <w:r w:rsidR="00A1123A">
        <w:t>, which we consider separately in</w:t>
      </w:r>
      <w:r w:rsidR="0060509D">
        <w:t xml:space="preserve"> </w:t>
      </w:r>
      <w:r w:rsidR="00CB5838">
        <w:t xml:space="preserve">Attachment </w:t>
      </w:r>
      <w:r w:rsidR="00D20765">
        <w:t>3</w:t>
      </w:r>
      <w:r w:rsidR="009936B4">
        <w:t xml:space="preserve">. </w:t>
      </w:r>
    </w:p>
    <w:p w:rsidR="00C35FD6" w:rsidRPr="00AF1F9E" w:rsidRDefault="00C35FD6" w:rsidP="00516FAB">
      <w:r>
        <w:t xml:space="preserve">We have made all revisions necessary to give effect to this final decision in the </w:t>
      </w:r>
      <w:r>
        <w:rPr>
          <w:i/>
        </w:rPr>
        <w:t xml:space="preserve">Approved Access Arrangement, JGN’s NSW distribution networks 1 July 2015 – 30 June </w:t>
      </w:r>
      <w:r w:rsidR="00850C00">
        <w:rPr>
          <w:i/>
        </w:rPr>
        <w:t xml:space="preserve">2020 </w:t>
      </w:r>
      <w:r w:rsidR="00850C00">
        <w:t>(</w:t>
      </w:r>
      <w:r>
        <w:t>June 2015).</w:t>
      </w:r>
      <w:r>
        <w:rPr>
          <w:rStyle w:val="FootnoteReference"/>
        </w:rPr>
        <w:footnoteReference w:id="3"/>
      </w:r>
    </w:p>
    <w:p w:rsidR="00DE563D" w:rsidRPr="00AF1F9E" w:rsidRDefault="00FB5826" w:rsidP="00850C00">
      <w:pPr>
        <w:pStyle w:val="Heading2"/>
        <w:keepNext/>
      </w:pPr>
      <w:bookmarkStart w:id="16" w:name="_Toc403144137"/>
      <w:bookmarkStart w:id="17" w:name="_Toc420325026"/>
      <w:r>
        <w:lastRenderedPageBreak/>
        <w:t>JGN's</w:t>
      </w:r>
      <w:r w:rsidR="00AF1F9E">
        <w:t xml:space="preserve"> revised</w:t>
      </w:r>
      <w:r w:rsidR="00DE563D" w:rsidRPr="00AF1F9E">
        <w:t xml:space="preserve"> proposal</w:t>
      </w:r>
      <w:bookmarkEnd w:id="16"/>
      <w:bookmarkEnd w:id="17"/>
    </w:p>
    <w:p w:rsidR="00163621" w:rsidRDefault="00163621" w:rsidP="00850C00">
      <w:pPr>
        <w:keepNext/>
        <w:numPr>
          <w:ilvl w:val="0"/>
          <w:numId w:val="25"/>
        </w:numPr>
      </w:pPr>
      <w:r>
        <w:t xml:space="preserve">In </w:t>
      </w:r>
      <w:r w:rsidR="000A1663">
        <w:t xml:space="preserve">its initial </w:t>
      </w:r>
      <w:r>
        <w:t xml:space="preserve">access arrangement </w:t>
      </w:r>
      <w:r w:rsidRPr="00092826">
        <w:t xml:space="preserve">proposal, </w:t>
      </w:r>
      <w:r>
        <w:t>JGN</w:t>
      </w:r>
      <w:r w:rsidRPr="00092826">
        <w:t xml:space="preserve"> proposed total forecast </w:t>
      </w:r>
      <w:r>
        <w:t xml:space="preserve">opex </w:t>
      </w:r>
      <w:r w:rsidR="00455C77">
        <w:t xml:space="preserve">of </w:t>
      </w:r>
      <w:r>
        <w:t>$797.5 million ($ 2014–15</w:t>
      </w:r>
      <w:r w:rsidRPr="00092826">
        <w:t xml:space="preserve">) for the </w:t>
      </w:r>
      <w:r>
        <w:t>2015–20 access arrangement</w:t>
      </w:r>
      <w:r w:rsidRPr="00092826">
        <w:t xml:space="preserve"> period (excluding debt raising costs). This total opex forecast was comprised of:</w:t>
      </w:r>
    </w:p>
    <w:p w:rsidR="00163621" w:rsidRDefault="00163621" w:rsidP="00163621">
      <w:pPr>
        <w:pStyle w:val="AERbulletlistfirststyle"/>
      </w:pPr>
      <w:r>
        <w:t>Base opex for the 2015–20 access arrangement</w:t>
      </w:r>
      <w:r w:rsidRPr="00092826">
        <w:t xml:space="preserve"> period of $</w:t>
      </w:r>
      <w:r>
        <w:t>665.8</w:t>
      </w:r>
      <w:r w:rsidRPr="00092826">
        <w:t xml:space="preserve"> million</w:t>
      </w:r>
      <w:r>
        <w:t xml:space="preserve"> ($2014–15)</w:t>
      </w:r>
      <w:r w:rsidRPr="00092826">
        <w:t xml:space="preserve"> based on </w:t>
      </w:r>
      <w:r>
        <w:t xml:space="preserve">an </w:t>
      </w:r>
      <w:r w:rsidR="00B903BB">
        <w:t>estimate of its opex in 2013–14</w:t>
      </w:r>
    </w:p>
    <w:p w:rsidR="00163621" w:rsidRDefault="00B903BB" w:rsidP="00163621">
      <w:pPr>
        <w:pStyle w:val="AERbulletlistfirststyle"/>
      </w:pPr>
      <w:r>
        <w:t>Rate of change in opex of $6.0 million ($2014–15) based on forecast real input price escalation, productivity growth in opex and network growth</w:t>
      </w:r>
    </w:p>
    <w:p w:rsidR="00B903BB" w:rsidRDefault="00B903BB" w:rsidP="00163621">
      <w:pPr>
        <w:pStyle w:val="AERbulletlistfirststyle"/>
      </w:pPr>
      <w:r>
        <w:t>Category specific forecasts for unaccounted for gas</w:t>
      </w:r>
      <w:r w:rsidR="00A508BD">
        <w:t xml:space="preserve"> (UAG)</w:t>
      </w:r>
      <w:r>
        <w:t xml:space="preserve">, government levies, </w:t>
      </w:r>
      <w:r w:rsidR="004221E4">
        <w:t xml:space="preserve">and </w:t>
      </w:r>
      <w:r>
        <w:t>carbon costs of $101.7 million ($2014–15)</w:t>
      </w:r>
    </w:p>
    <w:p w:rsidR="00163621" w:rsidRDefault="00163621" w:rsidP="00163621">
      <w:pPr>
        <w:pStyle w:val="AERbulletlistfirststyle"/>
      </w:pPr>
      <w:r w:rsidRPr="00092826">
        <w:t xml:space="preserve">Step changes, which resulted in </w:t>
      </w:r>
      <w:r w:rsidR="00B903BB">
        <w:t>a further increase</w:t>
      </w:r>
      <w:r w:rsidRPr="00092826">
        <w:t xml:space="preserve"> of $</w:t>
      </w:r>
      <w:r w:rsidR="00B903BB">
        <w:t>23.9 million ($2014–15)</w:t>
      </w:r>
      <w:r w:rsidR="00A508BD">
        <w:t>.</w:t>
      </w:r>
    </w:p>
    <w:p w:rsidR="00B903BB" w:rsidRDefault="00B903BB" w:rsidP="00B903BB">
      <w:r>
        <w:t>In its revised proposal, JGN adopted the same methodology for its forecast.</w:t>
      </w:r>
      <w:r w:rsidR="00365A30">
        <w:t xml:space="preserve">  C</w:t>
      </w:r>
      <w:r>
        <w:t xml:space="preserve">hanges from its </w:t>
      </w:r>
      <w:r w:rsidR="008411E8">
        <w:t xml:space="preserve">initial </w:t>
      </w:r>
      <w:r>
        <w:t>forecast included</w:t>
      </w:r>
      <w:r w:rsidR="00907F39">
        <w:t>:</w:t>
      </w:r>
    </w:p>
    <w:p w:rsidR="00B903BB" w:rsidRDefault="00B903BB" w:rsidP="00B903BB">
      <w:pPr>
        <w:pStyle w:val="AERbulletlistfirststyle"/>
      </w:pPr>
      <w:r>
        <w:t>An updated estimate of base opex to reflect its actual opex in 2013–14</w:t>
      </w:r>
    </w:p>
    <w:p w:rsidR="008411E8" w:rsidRDefault="00B903BB" w:rsidP="00B903BB">
      <w:pPr>
        <w:pStyle w:val="AERbulletlistfirststyle"/>
      </w:pPr>
      <w:r>
        <w:t xml:space="preserve">An updated estimate of </w:t>
      </w:r>
      <w:r w:rsidR="004807A3">
        <w:t xml:space="preserve">its forecast </w:t>
      </w:r>
      <w:r>
        <w:t xml:space="preserve">rate of change in opex based on </w:t>
      </w:r>
      <w:r w:rsidR="008F4DDF">
        <w:t xml:space="preserve">the latest data </w:t>
      </w:r>
    </w:p>
    <w:p w:rsidR="00B903BB" w:rsidRDefault="008411E8" w:rsidP="00B903BB">
      <w:pPr>
        <w:pStyle w:val="AERbulletlistfirststyle"/>
      </w:pPr>
      <w:r>
        <w:t>U</w:t>
      </w:r>
      <w:r w:rsidR="008F4DDF">
        <w:t xml:space="preserve">pdated forecasts for customer numbers, throughput and productivity </w:t>
      </w:r>
    </w:p>
    <w:p w:rsidR="008F4DDF" w:rsidRDefault="008F4DDF" w:rsidP="00B903BB">
      <w:pPr>
        <w:pStyle w:val="AERbulletlistfirststyle"/>
      </w:pPr>
      <w:r>
        <w:t xml:space="preserve">An updated estimate of its forecast for </w:t>
      </w:r>
      <w:r w:rsidR="00A508BD">
        <w:t>UAG</w:t>
      </w:r>
      <w:r>
        <w:t xml:space="preserve"> to reflect its latest competitive tender for UAG and demand forecasts</w:t>
      </w:r>
    </w:p>
    <w:p w:rsidR="008F4DDF" w:rsidRDefault="00FB6087" w:rsidP="00B903BB">
      <w:pPr>
        <w:pStyle w:val="AERbulletlistfirststyle"/>
      </w:pPr>
      <w:r>
        <w:t>Updated forecast for carbon costs to remove the effect of the carbon tax</w:t>
      </w:r>
    </w:p>
    <w:p w:rsidR="008F4DDF" w:rsidRDefault="008F4DDF" w:rsidP="00B903BB">
      <w:pPr>
        <w:pStyle w:val="AERbulletlistfirststyle"/>
      </w:pPr>
      <w:r>
        <w:t>New step changes for B2B harmonisation</w:t>
      </w:r>
      <w:r w:rsidR="00C44094">
        <w:t>, a gas quantity audit,</w:t>
      </w:r>
      <w:r>
        <w:t xml:space="preserve"> and inspection of asbestos meter</w:t>
      </w:r>
      <w:r w:rsidR="004221E4">
        <w:t xml:space="preserve"> cover</w:t>
      </w:r>
      <w:r>
        <w:t>s</w:t>
      </w:r>
      <w:r w:rsidR="004807A3">
        <w:t xml:space="preserve"> </w:t>
      </w:r>
    </w:p>
    <w:p w:rsidR="004807A3" w:rsidRDefault="004807A3" w:rsidP="00B903BB">
      <w:pPr>
        <w:pStyle w:val="AERbulletlistfirststyle"/>
      </w:pPr>
      <w:r>
        <w:t xml:space="preserve">Removal of a step </w:t>
      </w:r>
      <w:r w:rsidR="00715D08">
        <w:t>change for regulatory reporting consistent with our draft decision</w:t>
      </w:r>
    </w:p>
    <w:p w:rsidR="00B903BB" w:rsidRPr="00AF1F9E" w:rsidRDefault="008F4DDF" w:rsidP="00AF1F9E">
      <w:r>
        <w:t>In total, JGN's revised forecast was $</w:t>
      </w:r>
      <w:r w:rsidR="00C85EAA">
        <w:t>808.2</w:t>
      </w:r>
      <w:r>
        <w:t xml:space="preserve"> million ($2014–15) ove</w:t>
      </w:r>
      <w:r w:rsidR="004807A3">
        <w:t xml:space="preserve">r the access arrangement period - an increase of </w:t>
      </w:r>
      <w:r w:rsidR="000A0BE0">
        <w:t>1.3</w:t>
      </w:r>
      <w:r w:rsidR="004807A3">
        <w:t xml:space="preserve"> per cent from its initial proposal.</w:t>
      </w:r>
    </w:p>
    <w:p w:rsidR="00DE563D" w:rsidRPr="00AF1F9E" w:rsidRDefault="00DE563D" w:rsidP="00AF1F9E">
      <w:pPr>
        <w:pStyle w:val="Heading2"/>
      </w:pPr>
      <w:bookmarkStart w:id="18" w:name="_Toc403144138"/>
      <w:bookmarkStart w:id="19" w:name="_Toc420325027"/>
      <w:r w:rsidRPr="00AF1F9E">
        <w:t>AER’s assessment approach</w:t>
      </w:r>
      <w:bookmarkEnd w:id="18"/>
      <w:bookmarkEnd w:id="19"/>
    </w:p>
    <w:p w:rsidR="00B27E98" w:rsidRPr="00AB7253" w:rsidRDefault="00B27E98" w:rsidP="00B27E98">
      <w:pPr>
        <w:numPr>
          <w:ilvl w:val="0"/>
          <w:numId w:val="25"/>
        </w:numPr>
      </w:pPr>
      <w:bookmarkStart w:id="20" w:name="_Toc403144139"/>
      <w:r>
        <w:t>We</w:t>
      </w:r>
      <w:r w:rsidRPr="00AB7253">
        <w:t xml:space="preserve"> decid</w:t>
      </w:r>
      <w:r>
        <w:t>e</w:t>
      </w:r>
      <w:r w:rsidRPr="00AB7253">
        <w:t xml:space="preserve"> whether or not to accept a service provider's forecast opex proposal.  We approve the service provider's forecast opex if we are satisfied that it is consistent with </w:t>
      </w:r>
      <w:r>
        <w:t xml:space="preserve">the </w:t>
      </w:r>
      <w:r w:rsidRPr="00AB7253">
        <w:t xml:space="preserve">criteria governing operating expenditure </w:t>
      </w:r>
      <w:r>
        <w:t xml:space="preserve">(the </w:t>
      </w:r>
      <w:r w:rsidRPr="00AB7253">
        <w:t>opex</w:t>
      </w:r>
      <w:r>
        <w:t xml:space="preserve"> criteria)</w:t>
      </w:r>
      <w:r w:rsidRPr="00AB7253">
        <w:t>.</w:t>
      </w:r>
      <w:r w:rsidRPr="00AB7253">
        <w:rPr>
          <w:rStyle w:val="AERsuperscript"/>
        </w:rPr>
        <w:footnoteReference w:id="4"/>
      </w:r>
      <w:r w:rsidRPr="00AB7253">
        <w:t xml:space="preserve"> </w:t>
      </w:r>
    </w:p>
    <w:p w:rsidR="00B27E98" w:rsidRPr="00AB7253" w:rsidRDefault="00B27E98" w:rsidP="00B27E98">
      <w:pPr>
        <w:pStyle w:val="AERquoteindent1"/>
      </w:pPr>
      <w:r w:rsidRPr="00AB7253">
        <w:t>91. Criteria governing operating expenditure</w:t>
      </w:r>
    </w:p>
    <w:p w:rsidR="00B27E98" w:rsidRPr="00AB7253" w:rsidRDefault="00B27E98" w:rsidP="00B27E98">
      <w:pPr>
        <w:pStyle w:val="AERquoteindent1"/>
      </w:pPr>
      <w:r w:rsidRPr="00AB7253">
        <w:t>(1) Operating expenditure must be as such as would be incurred by a prudent service provider acting efficiently</w:t>
      </w:r>
      <w:r w:rsidR="00813E56">
        <w:t>, in accordance with accepted good industry practice,</w:t>
      </w:r>
      <w:r w:rsidRPr="00AB7253">
        <w:t xml:space="preserve"> to </w:t>
      </w:r>
      <w:r w:rsidR="00813E56">
        <w:t xml:space="preserve">achieve </w:t>
      </w:r>
      <w:r w:rsidRPr="00AB7253">
        <w:t>the lowest sustainable cost of delivering pipeline services</w:t>
      </w:r>
      <w:r w:rsidR="004221E4">
        <w:t>.</w:t>
      </w:r>
    </w:p>
    <w:p w:rsidR="00B27E98" w:rsidRPr="00AB7253" w:rsidRDefault="00B27E98" w:rsidP="00B27E98">
      <w:pPr>
        <w:numPr>
          <w:ilvl w:val="0"/>
          <w:numId w:val="25"/>
        </w:numPr>
      </w:pPr>
      <w:r w:rsidRPr="00AB7253">
        <w:lastRenderedPageBreak/>
        <w:t xml:space="preserve">In determining whether forecast opex is consistent with the opex </w:t>
      </w:r>
      <w:r>
        <w:t xml:space="preserve">criteria </w:t>
      </w:r>
      <w:r w:rsidRPr="00AB7253">
        <w:t>we have regard to</w:t>
      </w:r>
      <w:r>
        <w:t xml:space="preserve"> the criteria for</w:t>
      </w:r>
      <w:r w:rsidRPr="00AB7253">
        <w:t xml:space="preserve"> forecasts and estimates.</w:t>
      </w:r>
    </w:p>
    <w:p w:rsidR="00B27E98" w:rsidRPr="00AB7253" w:rsidRDefault="00B27E98" w:rsidP="00B27E98">
      <w:pPr>
        <w:pStyle w:val="AERquoteindent1"/>
      </w:pPr>
      <w:r w:rsidRPr="00AB7253">
        <w:t>74. Forecasts and estimates</w:t>
      </w:r>
    </w:p>
    <w:p w:rsidR="00B27E98" w:rsidRPr="00AB7253" w:rsidRDefault="00B27E98" w:rsidP="00B27E98">
      <w:pPr>
        <w:pStyle w:val="AERquoteindent1"/>
      </w:pPr>
      <w:r w:rsidRPr="00AB7253">
        <w:t>(1) Information in the nature of a forecast or estimate must be supported by a statement on the basis of the forecast or estimate</w:t>
      </w:r>
      <w:r w:rsidR="004221E4">
        <w:t>.</w:t>
      </w:r>
    </w:p>
    <w:p w:rsidR="00B27E98" w:rsidRPr="00AB7253" w:rsidRDefault="00B27E98" w:rsidP="00B27E98">
      <w:pPr>
        <w:pStyle w:val="AERquoteindent1"/>
      </w:pPr>
      <w:r w:rsidRPr="00AB7253">
        <w:t>(2) A forecast or estimate:</w:t>
      </w:r>
    </w:p>
    <w:p w:rsidR="00B27E98" w:rsidRPr="00AB7253" w:rsidRDefault="00B27E98" w:rsidP="00850C00">
      <w:pPr>
        <w:pStyle w:val="AERquoteindent2"/>
      </w:pPr>
      <w:r w:rsidRPr="00AB7253">
        <w:t>(a) must be arrived at on a reasonable basis; and</w:t>
      </w:r>
    </w:p>
    <w:p w:rsidR="00B27E98" w:rsidRPr="00AB7253" w:rsidRDefault="00B27E98" w:rsidP="00850C00">
      <w:pPr>
        <w:pStyle w:val="AERquoteindent2"/>
      </w:pPr>
      <w:r w:rsidRPr="00AB7253">
        <w:t>(b) must represent the best forecast or estimate possible in the circumstances</w:t>
      </w:r>
      <w:r>
        <w:t>.</w:t>
      </w:r>
      <w:r w:rsidRPr="00AB7253">
        <w:t xml:space="preserve"> </w:t>
      </w:r>
    </w:p>
    <w:p w:rsidR="00B27E98" w:rsidRPr="00AB7253" w:rsidRDefault="00B27E98" w:rsidP="00B27E98">
      <w:pPr>
        <w:numPr>
          <w:ilvl w:val="0"/>
          <w:numId w:val="25"/>
        </w:numPr>
      </w:pPr>
      <w:r w:rsidRPr="00AB7253">
        <w:t xml:space="preserve">Our approach is to compare the service provider's total forecast opex with </w:t>
      </w:r>
      <w:r>
        <w:t>our alternative</w:t>
      </w:r>
      <w:r w:rsidRPr="00AB7253">
        <w:t xml:space="preserve"> estimate</w:t>
      </w:r>
      <w:r>
        <w:t xml:space="preserve"> of total opex.</w:t>
      </w:r>
      <w:r w:rsidRPr="00AB7253">
        <w:t xml:space="preserve"> </w:t>
      </w:r>
      <w:r>
        <w:t>By doing this, we</w:t>
      </w:r>
      <w:r w:rsidRPr="00AB7253">
        <w:t xml:space="preserve"> form a view on the reasonableness of the service provider's proposal</w:t>
      </w:r>
      <w:r>
        <w:t>.</w:t>
      </w:r>
      <w:r w:rsidRPr="00AB7253">
        <w:t xml:space="preserve"> </w:t>
      </w:r>
      <w:r>
        <w:t xml:space="preserve">If we are not satisfied that the </w:t>
      </w:r>
      <w:r w:rsidRPr="00AB7253">
        <w:t>proposal co</w:t>
      </w:r>
      <w:r>
        <w:t>mplies</w:t>
      </w:r>
      <w:r w:rsidRPr="00AB7253">
        <w:t xml:space="preserve"> with the </w:t>
      </w:r>
      <w:r>
        <w:t>opex</w:t>
      </w:r>
      <w:r w:rsidRPr="00AB7253">
        <w:t xml:space="preserve"> criteria </w:t>
      </w:r>
      <w:r>
        <w:t xml:space="preserve">we </w:t>
      </w:r>
      <w:r w:rsidR="00DA5424">
        <w:t>approve the amount we consider does comply with the applicable requirements and criteria</w:t>
      </w:r>
      <w:r w:rsidRPr="00AB7253">
        <w:t>.</w:t>
      </w:r>
      <w:r w:rsidR="00DA5424">
        <w:rPr>
          <w:rStyle w:val="FootnoteReference"/>
        </w:rPr>
        <w:footnoteReference w:id="5"/>
      </w:r>
      <w:r w:rsidRPr="00AB7253">
        <w:t xml:space="preserve"> </w:t>
      </w:r>
    </w:p>
    <w:p w:rsidR="00B27E98" w:rsidRPr="00AB7253" w:rsidRDefault="00B27E98" w:rsidP="00B27E98">
      <w:pPr>
        <w:numPr>
          <w:ilvl w:val="0"/>
          <w:numId w:val="25"/>
        </w:numPr>
      </w:pPr>
      <w:r w:rsidRPr="00AB7253">
        <w:t xml:space="preserve">Our estimate is unlikely to exactly match the service provider's forecast because the service provider may adopt </w:t>
      </w:r>
      <w:r>
        <w:t>a different</w:t>
      </w:r>
      <w:r w:rsidRPr="00AB7253">
        <w:t xml:space="preserve"> forecasting method</w:t>
      </w:r>
      <w:r>
        <w:t xml:space="preserve"> to us</w:t>
      </w:r>
      <w:r w:rsidRPr="00AB7253">
        <w:t>. However, if the service provider's inputs and assumptions are reasonable, its method should produce a forecast consistent with our estimate. Accordingly, part of our approach is to assess the service provider's forecasting method</w:t>
      </w:r>
      <w:r>
        <w:t xml:space="preserve"> as well as the inputs and assumptions it used to form its opex forecast</w:t>
      </w:r>
      <w:r w:rsidRPr="00AB7253">
        <w:t>.</w:t>
      </w:r>
    </w:p>
    <w:p w:rsidR="00B27E98" w:rsidRPr="00B27E98" w:rsidRDefault="00B27E98" w:rsidP="00B27E98">
      <w:pPr>
        <w:pStyle w:val="Heading3"/>
      </w:pPr>
      <w:bookmarkStart w:id="21" w:name="_Toc404169610"/>
      <w:bookmarkStart w:id="22" w:name="_Toc404612264"/>
      <w:bookmarkStart w:id="23" w:name="_Toc420325028"/>
      <w:r>
        <w:t>Building an alternative estimate of total forecast opex</w:t>
      </w:r>
      <w:bookmarkEnd w:id="21"/>
      <w:bookmarkEnd w:id="22"/>
      <w:bookmarkEnd w:id="23"/>
    </w:p>
    <w:p w:rsidR="00FB54AB" w:rsidRDefault="00FB54AB" w:rsidP="00FB54AB">
      <w:pPr>
        <w:numPr>
          <w:ilvl w:val="0"/>
          <w:numId w:val="25"/>
        </w:numPr>
      </w:pPr>
      <w:r w:rsidRPr="00654E80">
        <w:t>Our approach to forming an alternative estimate of opex involves five key steps</w:t>
      </w:r>
      <w:r>
        <w:t xml:space="preserve"> which we outline below in </w:t>
      </w:r>
      <w:r>
        <w:fldChar w:fldCharType="begin"/>
      </w:r>
      <w:r>
        <w:instrText xml:space="preserve"> REF _Ref417043343 \h </w:instrText>
      </w:r>
      <w:r>
        <w:fldChar w:fldCharType="separate"/>
      </w:r>
      <w:r w:rsidR="00FB6999">
        <w:t xml:space="preserve">Figure </w:t>
      </w:r>
      <w:r w:rsidR="00FB6999">
        <w:rPr>
          <w:noProof/>
        </w:rPr>
        <w:t>7</w:t>
      </w:r>
      <w:r w:rsidR="00FB6999">
        <w:t>.</w:t>
      </w:r>
      <w:r w:rsidR="00FB6999">
        <w:rPr>
          <w:noProof/>
        </w:rPr>
        <w:t>2</w:t>
      </w:r>
      <w:r>
        <w:fldChar w:fldCharType="end"/>
      </w:r>
      <w:r>
        <w:t>.</w:t>
      </w:r>
    </w:p>
    <w:p w:rsidR="00FB54AB" w:rsidRDefault="00FB54AB" w:rsidP="00FB54AB">
      <w:pPr>
        <w:pStyle w:val="Caption"/>
      </w:pPr>
      <w:bookmarkStart w:id="24" w:name="_Ref417043343"/>
      <w:r>
        <w:lastRenderedPageBreak/>
        <w:t xml:space="preserve">Figure </w:t>
      </w:r>
      <w:r w:rsidRPr="00FB54AB">
        <w:fldChar w:fldCharType="begin"/>
      </w:r>
      <w:r>
        <w:instrText xml:space="preserve"> STYLEREF 1 \s </w:instrText>
      </w:r>
      <w:r w:rsidRPr="00FB54AB">
        <w:fldChar w:fldCharType="separate"/>
      </w:r>
      <w:r w:rsidR="00FB6999">
        <w:rPr>
          <w:noProof/>
        </w:rPr>
        <w:t>7</w:t>
      </w:r>
      <w:r w:rsidRPr="00FB54AB">
        <w:fldChar w:fldCharType="end"/>
      </w:r>
      <w:r>
        <w:t>.</w:t>
      </w:r>
      <w:r w:rsidRPr="00FB54AB">
        <w:fldChar w:fldCharType="begin"/>
      </w:r>
      <w:r>
        <w:instrText xml:space="preserve"> SEQ Figure \* ARABIC \s 1 </w:instrText>
      </w:r>
      <w:r w:rsidRPr="00FB54AB">
        <w:fldChar w:fldCharType="separate"/>
      </w:r>
      <w:r w:rsidR="00FB6999">
        <w:rPr>
          <w:noProof/>
        </w:rPr>
        <w:t>2</w:t>
      </w:r>
      <w:r w:rsidRPr="00FB54AB">
        <w:fldChar w:fldCharType="end"/>
      </w:r>
      <w:bookmarkEnd w:id="24"/>
      <w:r>
        <w:tab/>
      </w:r>
      <w:r>
        <w:tab/>
        <w:t>Our assessment approach</w:t>
      </w:r>
    </w:p>
    <w:p w:rsidR="00FB54AB" w:rsidRDefault="0044166C" w:rsidP="00FB54AB">
      <w:r w:rsidRPr="0044166C">
        <w:rPr>
          <w:noProof/>
          <w:lang w:eastAsia="en-AU"/>
        </w:rPr>
        <w:drawing>
          <wp:inline distT="0" distB="0" distL="0" distR="0" wp14:anchorId="318386E6" wp14:editId="1DDAE924">
            <wp:extent cx="5380075" cy="7453424"/>
            <wp:effectExtent l="76200" t="57150" r="68580" b="90805"/>
            <wp:docPr id="8" name="Diagram 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inline>
        </w:drawing>
      </w:r>
    </w:p>
    <w:p w:rsidR="00B27E98" w:rsidRDefault="00B27E98" w:rsidP="00850C00">
      <w:pPr>
        <w:pStyle w:val="HeadingBoldBlue"/>
        <w:keepNext/>
      </w:pPr>
      <w:r>
        <w:lastRenderedPageBreak/>
        <w:t>Step 1 – Starting point - base year expenditure</w:t>
      </w:r>
    </w:p>
    <w:p w:rsidR="00B27E98" w:rsidRPr="006372D7" w:rsidRDefault="00B27E98" w:rsidP="00850C00">
      <w:pPr>
        <w:keepNext/>
        <w:numPr>
          <w:ilvl w:val="0"/>
          <w:numId w:val="25"/>
        </w:numPr>
        <w:rPr>
          <w:rStyle w:val="AERbody"/>
        </w:rPr>
      </w:pPr>
      <w:r w:rsidRPr="006372D7">
        <w:rPr>
          <w:rStyle w:val="AERbody"/>
        </w:rPr>
        <w:t>When we choose the base year, we aim to use a year that is most representative of efficient, recurrent expenditure. Typically, we start with the service provider's revealed expenditure in the second last year of the current access arrangement period.</w:t>
      </w:r>
      <w:r w:rsidR="00CD0436">
        <w:rPr>
          <w:rStyle w:val="AERbody"/>
        </w:rPr>
        <w:t xml:space="preserve"> This is because</w:t>
      </w:r>
      <w:r w:rsidRPr="006372D7">
        <w:rPr>
          <w:rStyle w:val="AERbody"/>
        </w:rPr>
        <w:t xml:space="preserve"> </w:t>
      </w:r>
      <w:r w:rsidR="00CD0436">
        <w:rPr>
          <w:rStyle w:val="AERbody"/>
        </w:rPr>
        <w:t>t</w:t>
      </w:r>
      <w:r w:rsidRPr="006372D7">
        <w:rPr>
          <w:rStyle w:val="AERbody"/>
        </w:rPr>
        <w:t>he second last year is usually the most recent</w:t>
      </w:r>
      <w:r w:rsidR="00CD0436">
        <w:rPr>
          <w:rStyle w:val="AERbody"/>
        </w:rPr>
        <w:t xml:space="preserve"> year for which data is</w:t>
      </w:r>
      <w:r w:rsidRPr="006372D7">
        <w:rPr>
          <w:rStyle w:val="AERbody"/>
        </w:rPr>
        <w:t xml:space="preserve"> available at the time we conduct our assessment. Accordingly, </w:t>
      </w:r>
      <w:r w:rsidR="00813E56">
        <w:rPr>
          <w:rStyle w:val="AERbody"/>
        </w:rPr>
        <w:t>other than</w:t>
      </w:r>
      <w:r w:rsidR="00813E56" w:rsidRPr="006372D7">
        <w:rPr>
          <w:rStyle w:val="AERbody"/>
        </w:rPr>
        <w:t xml:space="preserve"> </w:t>
      </w:r>
      <w:r w:rsidRPr="006372D7">
        <w:rPr>
          <w:rStyle w:val="AERbody"/>
        </w:rPr>
        <w:t xml:space="preserve">the extent expenditure drivers change over time, it is likely to best reflect </w:t>
      </w:r>
      <w:r w:rsidR="00813E56">
        <w:rPr>
          <w:rStyle w:val="AERbody"/>
        </w:rPr>
        <w:t xml:space="preserve">circumstances in </w:t>
      </w:r>
      <w:r w:rsidRPr="006372D7">
        <w:rPr>
          <w:rStyle w:val="AERbody"/>
        </w:rPr>
        <w:t>the forecast period.</w:t>
      </w:r>
      <w:r w:rsidRPr="0042349F">
        <w:rPr>
          <w:rStyle w:val="AERsuperscript"/>
        </w:rPr>
        <w:footnoteReference w:id="6"/>
      </w:r>
      <w:r w:rsidRPr="006372D7">
        <w:rPr>
          <w:rStyle w:val="AERbody"/>
        </w:rPr>
        <w:t xml:space="preserve"> However, if this year does not represent efficient, recurrent costs, we may consider another year. </w:t>
      </w:r>
    </w:p>
    <w:p w:rsidR="00B27E98" w:rsidRDefault="00B27E98" w:rsidP="00B27E98">
      <w:pPr>
        <w:numPr>
          <w:ilvl w:val="0"/>
          <w:numId w:val="25"/>
        </w:numPr>
      </w:pPr>
      <w:r>
        <w:t>In choosing a base year, we need to make a decision as to whether any categories of opex incurred in the base year should be removed. For instance:</w:t>
      </w:r>
    </w:p>
    <w:p w:rsidR="00B27E98" w:rsidRPr="00B27E98" w:rsidRDefault="00B27E98" w:rsidP="00B27E98">
      <w:pPr>
        <w:pStyle w:val="AERbulletlistfirststyle"/>
      </w:pPr>
      <w:r>
        <w:t xml:space="preserve">If a material cost was incurred in the base year that is unrepresentative of a service provider's future opex we may remove it from the base year in undertaking our assessment. For this decision we removed some costs which will be reclassified as capex in the </w:t>
      </w:r>
      <w:r w:rsidR="00DA5424">
        <w:t>2015</w:t>
      </w:r>
      <w:r w:rsidR="005C7776">
        <w:t>–</w:t>
      </w:r>
      <w:r w:rsidR="00DA5424">
        <w:t>20</w:t>
      </w:r>
      <w:r>
        <w:t xml:space="preserve"> period.</w:t>
      </w:r>
    </w:p>
    <w:p w:rsidR="00B27E98" w:rsidRPr="00B27E98" w:rsidRDefault="00B27E98" w:rsidP="00B27E98">
      <w:pPr>
        <w:pStyle w:val="AERbulletlistfirststyle"/>
      </w:pPr>
      <w:r>
        <w:t>Rather than use all opex in the base year, service providers also often forecast specific categories of opex using different methods. We must also assess these methods in deciding what the starting point should be. If we agree that these categories of opex should be assessed differently, we will also remove them from the base year.</w:t>
      </w:r>
    </w:p>
    <w:p w:rsidR="00B27E98" w:rsidRPr="003E550F" w:rsidRDefault="00B27E98" w:rsidP="00850C00">
      <w:pPr>
        <w:pStyle w:val="HeadingBoldBlue"/>
      </w:pPr>
      <w:r>
        <w:t>Step 2 - Assessing base year expenditure</w:t>
      </w:r>
    </w:p>
    <w:p w:rsidR="00B27E98" w:rsidRPr="00AB7253" w:rsidRDefault="00B27E98" w:rsidP="00B27E98">
      <w:pPr>
        <w:numPr>
          <w:ilvl w:val="0"/>
          <w:numId w:val="25"/>
        </w:numPr>
      </w:pPr>
      <w:r w:rsidRPr="00AB7253">
        <w:t>Regardless of the base year we choose, we test</w:t>
      </w:r>
      <w:r w:rsidR="00CD0436">
        <w:t xml:space="preserve"> whether</w:t>
      </w:r>
      <w:r w:rsidRPr="00AB7253">
        <w:t xml:space="preserve"> the 'revealed expenditure' is the appropriate starting point</w:t>
      </w:r>
      <w:r w:rsidR="00CD0436">
        <w:t>. This is</w:t>
      </w:r>
      <w:r w:rsidRPr="00AB7253">
        <w:t xml:space="preserve"> because the service provider's actual expenditure may not </w:t>
      </w:r>
      <w:r w:rsidR="00DA5424">
        <w:t>reflect the criteria in rule 91 of the NGR</w:t>
      </w:r>
      <w:r w:rsidRPr="00AB7253">
        <w:t xml:space="preserve">. We will use </w:t>
      </w:r>
      <w:r>
        <w:t xml:space="preserve">all </w:t>
      </w:r>
      <w:r w:rsidRPr="00AB7253">
        <w:t xml:space="preserve">techniques available to us to do this. </w:t>
      </w:r>
      <w:r w:rsidR="00DA5424">
        <w:t>For instance, i</w:t>
      </w:r>
      <w:r w:rsidRPr="00AB7253">
        <w:t xml:space="preserve">f we determine that a service provider's revealed expenditure is not efficient, we will not use it as our starting point for our estimate of total forecast opex. </w:t>
      </w:r>
    </w:p>
    <w:p w:rsidR="00B27E98" w:rsidRDefault="00B27E98" w:rsidP="00850C00">
      <w:pPr>
        <w:pStyle w:val="HeadingBoldBlue"/>
      </w:pPr>
      <w:r>
        <w:t>Step 3 - Rate of change</w:t>
      </w:r>
    </w:p>
    <w:p w:rsidR="00B27E98" w:rsidRPr="00D80519" w:rsidRDefault="00B27E98" w:rsidP="00B27E98">
      <w:pPr>
        <w:numPr>
          <w:ilvl w:val="0"/>
          <w:numId w:val="25"/>
        </w:numPr>
      </w:pPr>
      <w:r w:rsidRPr="00D80519">
        <w:t xml:space="preserve">Once we have </w:t>
      </w:r>
      <w:r>
        <w:t xml:space="preserve">chosen an </w:t>
      </w:r>
      <w:r w:rsidR="00DA5424">
        <w:t xml:space="preserve">appropriate </w:t>
      </w:r>
      <w:r>
        <w:t xml:space="preserve">starting point, we apply an annual escalator to take account of the likely ongoing changes to opex over the </w:t>
      </w:r>
      <w:r w:rsidR="008411E8">
        <w:t>access arrangement period</w:t>
      </w:r>
      <w:r>
        <w:t xml:space="preserve">. </w:t>
      </w:r>
      <w:r w:rsidR="00DA5424">
        <w:t>O</w:t>
      </w:r>
      <w:r w:rsidRPr="00D80519">
        <w:t xml:space="preserve">pex in </w:t>
      </w:r>
      <w:r>
        <w:t>the</w:t>
      </w:r>
      <w:r w:rsidRPr="00D80519">
        <w:t xml:space="preserve"> </w:t>
      </w:r>
      <w:r w:rsidR="008411E8">
        <w:t>access arrangement period</w:t>
      </w:r>
      <w:r w:rsidRPr="00D80519">
        <w:t xml:space="preserve"> could </w:t>
      </w:r>
      <w:r>
        <w:t xml:space="preserve">reasonably </w:t>
      </w:r>
      <w:r w:rsidRPr="00D80519">
        <w:t xml:space="preserve">differ </w:t>
      </w:r>
      <w:r>
        <w:t>due to changes in</w:t>
      </w:r>
      <w:r w:rsidRPr="00D80519">
        <w:t xml:space="preserve">: </w:t>
      </w:r>
    </w:p>
    <w:p w:rsidR="00B27E98" w:rsidRPr="00B27E98" w:rsidRDefault="00B27E98" w:rsidP="00B27E98">
      <w:pPr>
        <w:pStyle w:val="AERbulletlistfirststyle"/>
      </w:pPr>
      <w:r>
        <w:t>prices</w:t>
      </w:r>
    </w:p>
    <w:p w:rsidR="00B27E98" w:rsidRPr="00B27E98" w:rsidRDefault="00B27E98" w:rsidP="00B27E98">
      <w:pPr>
        <w:pStyle w:val="AERbulletlistfirststyle"/>
      </w:pPr>
      <w:r w:rsidRPr="00D80519">
        <w:lastRenderedPageBreak/>
        <w:t>output</w:t>
      </w:r>
      <w:r w:rsidRPr="00B27E98">
        <w:t xml:space="preserve">s </w:t>
      </w:r>
    </w:p>
    <w:p w:rsidR="00B27E98" w:rsidRPr="00B27E98" w:rsidRDefault="00B27E98" w:rsidP="00B27E98">
      <w:pPr>
        <w:pStyle w:val="AERbulletlistfirststyle"/>
      </w:pPr>
      <w:r w:rsidRPr="00D80519">
        <w:t xml:space="preserve">productivity. </w:t>
      </w:r>
    </w:p>
    <w:p w:rsidR="00B27E98" w:rsidRDefault="00B27E98" w:rsidP="00B27E98">
      <w:pPr>
        <w:numPr>
          <w:ilvl w:val="0"/>
          <w:numId w:val="25"/>
        </w:numPr>
      </w:pPr>
      <w:r>
        <w:t>We</w:t>
      </w:r>
      <w:r w:rsidRPr="003F6334">
        <w:t xml:space="preserve"> </w:t>
      </w:r>
      <w:r>
        <w:t>estimate</w:t>
      </w:r>
      <w:r w:rsidRPr="003F6334">
        <w:t xml:space="preserve"> the change by adding </w:t>
      </w:r>
      <w:r>
        <w:t xml:space="preserve">expected </w:t>
      </w:r>
      <w:r w:rsidRPr="003F6334">
        <w:t xml:space="preserve">changes in prices </w:t>
      </w:r>
      <w:r>
        <w:t xml:space="preserve">(such as the cost of labour and materials) and outputs (such as changes in customer numbers and demand for </w:t>
      </w:r>
      <w:r w:rsidR="000E7C8F">
        <w:t>gas</w:t>
      </w:r>
      <w:r>
        <w:t>). We then incorporate</w:t>
      </w:r>
      <w:r w:rsidRPr="003F6334">
        <w:t xml:space="preserve"> </w:t>
      </w:r>
      <w:r>
        <w:t xml:space="preserve">reasonable estimates of </w:t>
      </w:r>
      <w:r w:rsidRPr="003F6334">
        <w:t>changes in productivity</w:t>
      </w:r>
      <w:r>
        <w:t xml:space="preserve">. </w:t>
      </w:r>
    </w:p>
    <w:p w:rsidR="00B27E98" w:rsidRPr="00B47C38" w:rsidRDefault="00B27E98" w:rsidP="00850C00">
      <w:pPr>
        <w:pStyle w:val="HeadingBoldBlue"/>
      </w:pPr>
      <w:r w:rsidRPr="00B47C38">
        <w:t>Step 4 - Step changes</w:t>
      </w:r>
    </w:p>
    <w:p w:rsidR="00421B09" w:rsidRDefault="00B27E98" w:rsidP="00D83FA1">
      <w:pPr>
        <w:numPr>
          <w:ilvl w:val="0"/>
          <w:numId w:val="25"/>
        </w:numPr>
      </w:pPr>
      <w:r>
        <w:t xml:space="preserve">We then consider if there is other opex needed in the forecast period. We refer to these as ‘step changes’. </w:t>
      </w:r>
      <w:r w:rsidR="00421B09">
        <w:t>We typically allow step changes for</w:t>
      </w:r>
      <w:r w:rsidR="00D83FA1">
        <w:t xml:space="preserve"> changes in spending that are driven by external factors (rather than discretionary spending) or which result from efficient capex/opex trade-offs.  This would generally include</w:t>
      </w:r>
      <w:r w:rsidR="005C7776">
        <w:t xml:space="preserve"> </w:t>
      </w:r>
      <w:r w:rsidR="00D83FA1">
        <w:t xml:space="preserve">changes in spending resulting from </w:t>
      </w:r>
      <w:r>
        <w:t>new, changed or removed obligations</w:t>
      </w:r>
      <w:r w:rsidR="00D83FA1">
        <w:t>.</w:t>
      </w:r>
    </w:p>
    <w:p w:rsidR="00B27E98" w:rsidRDefault="00B27E98" w:rsidP="00B27E98">
      <w:pPr>
        <w:numPr>
          <w:ilvl w:val="0"/>
          <w:numId w:val="25"/>
        </w:numPr>
      </w:pPr>
      <w:r>
        <w:t xml:space="preserve">We will typically compensate a service provider for step changes only if base year opex and the rate of change in opex do not already compensate </w:t>
      </w:r>
      <w:r w:rsidR="00DA5424">
        <w:t xml:space="preserve">the provider </w:t>
      </w:r>
      <w:r>
        <w:t>for the proposed costs.</w:t>
      </w:r>
    </w:p>
    <w:p w:rsidR="00B27E98" w:rsidRDefault="00B27E98" w:rsidP="00850C00">
      <w:pPr>
        <w:pStyle w:val="HeadingBoldBlue"/>
      </w:pPr>
      <w:r>
        <w:t>Step 5 - Other costs that are not included in the base year</w:t>
      </w:r>
    </w:p>
    <w:p w:rsidR="00B27E98" w:rsidRDefault="00B27E98" w:rsidP="00B27E98">
      <w:pPr>
        <w:numPr>
          <w:ilvl w:val="0"/>
          <w:numId w:val="25"/>
        </w:numPr>
      </w:pPr>
      <w:r>
        <w:t xml:space="preserve">In our final step, we make any further adjustments we need for our opex forecast to </w:t>
      </w:r>
      <w:r w:rsidR="00DA5424">
        <w:t>meet the requirements of rule 91 of the NGR</w:t>
      </w:r>
      <w:r>
        <w:t xml:space="preserve">.  For instance, our approach is to forecast debt raising costs based on a benchmarking approach rather than a service provider’s actual costs. This is to be consistent </w:t>
      </w:r>
      <w:r w:rsidR="00421B09">
        <w:t xml:space="preserve">with </w:t>
      </w:r>
      <w:r>
        <w:t>the forecast cost of debt in the rate of return building block.</w:t>
      </w:r>
      <w:r w:rsidRPr="00692BC4">
        <w:t xml:space="preserve"> </w:t>
      </w:r>
      <w:r>
        <w:t xml:space="preserve">JGN also has several categories of opex which are subject to annual tariff variations. We </w:t>
      </w:r>
      <w:r w:rsidR="00421B09">
        <w:t xml:space="preserve">therefore </w:t>
      </w:r>
      <w:r>
        <w:t xml:space="preserve">forecast opex </w:t>
      </w:r>
      <w:r w:rsidR="00421B09">
        <w:t xml:space="preserve">for </w:t>
      </w:r>
      <w:r>
        <w:t>each</w:t>
      </w:r>
      <w:r w:rsidR="000E530C">
        <w:t xml:space="preserve"> of</w:t>
      </w:r>
      <w:r>
        <w:t xml:space="preserve"> these categories of opex to ensure compatibility with the annual tariff variation mechanism.</w:t>
      </w:r>
    </w:p>
    <w:p w:rsidR="00B27E98" w:rsidRDefault="00B27E98" w:rsidP="00B27E98">
      <w:pPr>
        <w:numPr>
          <w:ilvl w:val="0"/>
          <w:numId w:val="25"/>
        </w:numPr>
      </w:pPr>
      <w:r>
        <w:t>After applying these five steps, we arrive at our total opex forecast.</w:t>
      </w:r>
    </w:p>
    <w:p w:rsidR="00B27E98" w:rsidRPr="00AB7253" w:rsidRDefault="00B27E98" w:rsidP="00850C00">
      <w:pPr>
        <w:pStyle w:val="HeadingBoldBlue"/>
      </w:pPr>
      <w:r>
        <w:t>Comparing our opex forecast to the service provider's opex forecast</w:t>
      </w:r>
    </w:p>
    <w:p w:rsidR="00B27E98" w:rsidRPr="00AB7253" w:rsidRDefault="00B27E98" w:rsidP="00B27E98">
      <w:pPr>
        <w:numPr>
          <w:ilvl w:val="0"/>
          <w:numId w:val="25"/>
        </w:numPr>
      </w:pPr>
      <w:r w:rsidRPr="00AB7253">
        <w:t>If a service provider's forecast opex is sufficiently different to our estimate</w:t>
      </w:r>
      <w:r>
        <w:t xml:space="preserve">, we will examine the reasons for the difference. If </w:t>
      </w:r>
      <w:r w:rsidRPr="00AB7253">
        <w:t xml:space="preserve">there is no satisfactory explanation for this difference, we may form the view that the service provider's forecast </w:t>
      </w:r>
      <w:r>
        <w:t>does not comply</w:t>
      </w:r>
      <w:r w:rsidRPr="00AB7253">
        <w:t xml:space="preserve"> with the ope</w:t>
      </w:r>
      <w:r>
        <w:t>x criteria</w:t>
      </w:r>
      <w:r w:rsidRPr="00AB7253">
        <w:t>. Conversely, if our estimate demonstrates that the service provider's forecast is consistent with the opex</w:t>
      </w:r>
      <w:r>
        <w:t xml:space="preserve"> criteria</w:t>
      </w:r>
      <w:r w:rsidRPr="00AB7253">
        <w:t>, we will accept the forecast. Whether or not we accept a service provider's forecast, we will provide the reasons for our decision.</w:t>
      </w:r>
      <w:r>
        <w:t xml:space="preserve"> </w:t>
      </w:r>
    </w:p>
    <w:p w:rsidR="00DE563D" w:rsidRDefault="00DE563D" w:rsidP="00850C00">
      <w:pPr>
        <w:pStyle w:val="Heading2"/>
        <w:keepNext/>
      </w:pPr>
      <w:bookmarkStart w:id="25" w:name="_Toc403144140"/>
      <w:bookmarkStart w:id="26" w:name="_Toc420325029"/>
      <w:bookmarkEnd w:id="20"/>
      <w:r w:rsidRPr="00AF1F9E">
        <w:lastRenderedPageBreak/>
        <w:t xml:space="preserve">Reasons for </w:t>
      </w:r>
      <w:r w:rsidR="00AF1F9E">
        <w:t>final</w:t>
      </w:r>
      <w:r w:rsidRPr="00AF1F9E">
        <w:t xml:space="preserve"> decision</w:t>
      </w:r>
      <w:bookmarkEnd w:id="25"/>
      <w:bookmarkEnd w:id="26"/>
      <w:r w:rsidRPr="00AF1F9E">
        <w:t xml:space="preserve"> </w:t>
      </w:r>
    </w:p>
    <w:p w:rsidR="00B27E98" w:rsidRDefault="00B27E98" w:rsidP="00850C00">
      <w:pPr>
        <w:keepNext/>
        <w:numPr>
          <w:ilvl w:val="0"/>
          <w:numId w:val="25"/>
        </w:numPr>
      </w:pPr>
      <w:bookmarkStart w:id="27" w:name="_Ref401668079"/>
      <w:r>
        <w:t xml:space="preserve">We are not satisfied </w:t>
      </w:r>
      <w:r w:rsidR="00FB54AB">
        <w:t>JGN</w:t>
      </w:r>
      <w:r>
        <w:t xml:space="preserve">'s forecast opex </w:t>
      </w:r>
      <w:r w:rsidR="000A54C9">
        <w:t>complies with the applicable requirements and is consistent with the applicable criteria</w:t>
      </w:r>
      <w:r w:rsidR="000E7C8F">
        <w:t xml:space="preserve"> in the NGL and NGR</w:t>
      </w:r>
      <w:r>
        <w:t>.</w:t>
      </w:r>
      <w:r w:rsidR="000A54C9">
        <w:rPr>
          <w:rStyle w:val="FootnoteReference"/>
        </w:rPr>
        <w:footnoteReference w:id="7"/>
      </w:r>
      <w:r>
        <w:t xml:space="preserve"> We compared </w:t>
      </w:r>
      <w:r w:rsidR="00FB54AB">
        <w:t>JGN</w:t>
      </w:r>
      <w:r>
        <w:t xml:space="preserve">'s opex forecast to an opex forecast we constructed using the method outlined above. </w:t>
      </w:r>
      <w:r w:rsidR="00FB54AB">
        <w:t>JGN</w:t>
      </w:r>
      <w:r>
        <w:t>'s proposal is higher than ours</w:t>
      </w:r>
      <w:r w:rsidR="00315941">
        <w:t>. W</w:t>
      </w:r>
      <w:r>
        <w:t xml:space="preserve">e are </w:t>
      </w:r>
      <w:r w:rsidR="00315941">
        <w:t xml:space="preserve">not </w:t>
      </w:r>
      <w:r>
        <w:t>satisfied that</w:t>
      </w:r>
      <w:r w:rsidR="00A931F3">
        <w:t xml:space="preserve"> </w:t>
      </w:r>
      <w:r w:rsidR="00315941">
        <w:t>it complies with all applicable requirements (in particular the requirement that a forecast or estimate represent the best possible in the circumstances)</w:t>
      </w:r>
      <w:r w:rsidR="000A54C9">
        <w:t xml:space="preserve">, </w:t>
      </w:r>
      <w:r w:rsidR="00315941">
        <w:t>and we are not satisfied that it is</w:t>
      </w:r>
      <w:r w:rsidR="000A54C9">
        <w:t xml:space="preserve"> consistent with</w:t>
      </w:r>
      <w:r>
        <w:t xml:space="preserve"> the opex criteria</w:t>
      </w:r>
      <w:r w:rsidR="000A54C9">
        <w:t xml:space="preserve"> in rule 91 of the NGR</w:t>
      </w:r>
      <w:r>
        <w:t xml:space="preserve">. For this reason, we have </w:t>
      </w:r>
      <w:r w:rsidR="00A931F3">
        <w:t>approved a lower amount of opex</w:t>
      </w:r>
      <w:r>
        <w:t>.</w:t>
      </w:r>
    </w:p>
    <w:bookmarkEnd w:id="27"/>
    <w:p w:rsidR="00B27E98" w:rsidRPr="00EF0C54" w:rsidRDefault="00B27E98" w:rsidP="00B27E98">
      <w:pPr>
        <w:numPr>
          <w:ilvl w:val="0"/>
          <w:numId w:val="25"/>
        </w:numPr>
        <w:rPr>
          <w:rStyle w:val="AERbody"/>
        </w:rPr>
      </w:pPr>
      <w:r>
        <w:fldChar w:fldCharType="begin"/>
      </w:r>
      <w:r>
        <w:rPr>
          <w:rStyle w:val="AERbody"/>
        </w:rPr>
        <w:instrText xml:space="preserve"> REF _Ref401322687 \h </w:instrText>
      </w:r>
      <w:r>
        <w:fldChar w:fldCharType="separate"/>
      </w:r>
      <w:r w:rsidR="00FB6999" w:rsidRPr="005B4F7A">
        <w:t>Table</w:t>
      </w:r>
      <w:r w:rsidR="00FB6999">
        <w:t xml:space="preserve"> </w:t>
      </w:r>
      <w:r w:rsidR="00FB6999">
        <w:rPr>
          <w:noProof/>
        </w:rPr>
        <w:t>7</w:t>
      </w:r>
      <w:r w:rsidR="00FB6999">
        <w:t>.</w:t>
      </w:r>
      <w:r w:rsidR="00FB6999">
        <w:rPr>
          <w:noProof/>
        </w:rPr>
        <w:t>2</w:t>
      </w:r>
      <w:r>
        <w:fldChar w:fldCharType="end"/>
      </w:r>
      <w:r>
        <w:t xml:space="preserve"> </w:t>
      </w:r>
      <w:r w:rsidRPr="00B03F39">
        <w:rPr>
          <w:rStyle w:val="AERbody"/>
        </w:rPr>
        <w:t xml:space="preserve">illustrates our forecast in each year of the </w:t>
      </w:r>
      <w:r w:rsidR="00F76130">
        <w:rPr>
          <w:rStyle w:val="AERbody"/>
        </w:rPr>
        <w:t>2015</w:t>
      </w:r>
      <w:r w:rsidR="00F76130">
        <w:t>–</w:t>
      </w:r>
      <w:r w:rsidR="00F76130">
        <w:rPr>
          <w:rStyle w:val="AERbody"/>
        </w:rPr>
        <w:t>20</w:t>
      </w:r>
      <w:r w:rsidRPr="00B03F39">
        <w:rPr>
          <w:rStyle w:val="AERbody"/>
        </w:rPr>
        <w:t xml:space="preserve"> period</w:t>
      </w:r>
      <w:r w:rsidRPr="00EF0C54">
        <w:rPr>
          <w:rStyle w:val="AERbody"/>
        </w:rPr>
        <w:t>.</w:t>
      </w:r>
    </w:p>
    <w:p w:rsidR="00B27E98" w:rsidRDefault="00B27E98" w:rsidP="00B27E98">
      <w:pPr>
        <w:pStyle w:val="Caption"/>
      </w:pPr>
      <w:bookmarkStart w:id="28" w:name="_Ref401322687"/>
      <w:r w:rsidRPr="005B4F7A">
        <w:t>Table</w:t>
      </w:r>
      <w:r>
        <w:t xml:space="preserve"> </w:t>
      </w:r>
      <w:r w:rsidRPr="00B27E98">
        <w:fldChar w:fldCharType="begin"/>
      </w:r>
      <w:r>
        <w:instrText xml:space="preserve"> STYLEREF 1 \s </w:instrText>
      </w:r>
      <w:r w:rsidRPr="00B27E98">
        <w:fldChar w:fldCharType="separate"/>
      </w:r>
      <w:r w:rsidR="00FB6999">
        <w:rPr>
          <w:noProof/>
        </w:rPr>
        <w:t>7</w:t>
      </w:r>
      <w:r w:rsidRPr="00B27E98">
        <w:fldChar w:fldCharType="end"/>
      </w:r>
      <w:r>
        <w:t>.</w:t>
      </w:r>
      <w:r w:rsidRPr="00B27E98">
        <w:fldChar w:fldCharType="begin"/>
      </w:r>
      <w:r>
        <w:instrText xml:space="preserve"> SEQ Table \* ARABIC \s 1 </w:instrText>
      </w:r>
      <w:r w:rsidRPr="00B27E98">
        <w:fldChar w:fldCharType="separate"/>
      </w:r>
      <w:r w:rsidR="00FB6999">
        <w:rPr>
          <w:noProof/>
        </w:rPr>
        <w:t>2</w:t>
      </w:r>
      <w:r w:rsidRPr="00B27E98">
        <w:fldChar w:fldCharType="end"/>
      </w:r>
      <w:bookmarkEnd w:id="28"/>
      <w:r w:rsidRPr="005B4F7A">
        <w:tab/>
      </w:r>
      <w:r w:rsidRPr="00B03F39">
        <w:t>Our final decision opex forecast</w:t>
      </w:r>
      <w:r>
        <w:t xml:space="preserve"> ($ million, </w:t>
      </w:r>
      <w:r w:rsidR="00241183" w:rsidRPr="005B4F7A">
        <w:t>201</w:t>
      </w:r>
      <w:r w:rsidR="00241183">
        <w:t>4</w:t>
      </w:r>
      <w:r w:rsidRPr="005B4F7A">
        <w:t>–</w:t>
      </w:r>
      <w:r w:rsidR="00241183" w:rsidRPr="005B4F7A">
        <w:t>1</w:t>
      </w:r>
      <w:r w:rsidR="00241183">
        <w:t>5</w:t>
      </w:r>
      <w:r>
        <w:t>)</w:t>
      </w:r>
    </w:p>
    <w:tbl>
      <w:tblPr>
        <w:tblStyle w:val="AERtable-numbers"/>
        <w:tblW w:w="0" w:type="auto"/>
        <w:tblLook w:val="04A0" w:firstRow="1" w:lastRow="0" w:firstColumn="1" w:lastColumn="0" w:noHBand="0" w:noVBand="1"/>
      </w:tblPr>
      <w:tblGrid>
        <w:gridCol w:w="2444"/>
        <w:gridCol w:w="1066"/>
        <w:gridCol w:w="1066"/>
        <w:gridCol w:w="1066"/>
        <w:gridCol w:w="1066"/>
        <w:gridCol w:w="1066"/>
        <w:gridCol w:w="919"/>
      </w:tblGrid>
      <w:tr w:rsidR="0044166C" w:rsidTr="006B2C1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44" w:type="dxa"/>
          </w:tcPr>
          <w:p w:rsidR="0044166C" w:rsidRPr="008E086D" w:rsidRDefault="0044166C" w:rsidP="0044166C"/>
        </w:tc>
        <w:tc>
          <w:tcPr>
            <w:tcW w:w="1066" w:type="dxa"/>
          </w:tcPr>
          <w:p w:rsidR="0044166C" w:rsidRPr="0044166C" w:rsidRDefault="0044166C" w:rsidP="0044166C">
            <w:pPr>
              <w:cnfStyle w:val="100000000000" w:firstRow="1" w:lastRow="0" w:firstColumn="0" w:lastColumn="0" w:oddVBand="0" w:evenVBand="0" w:oddHBand="0" w:evenHBand="0" w:firstRowFirstColumn="0" w:firstRowLastColumn="0" w:lastRowFirstColumn="0" w:lastRowLastColumn="0"/>
            </w:pPr>
            <w:r w:rsidRPr="008E086D">
              <w:t>2015–16</w:t>
            </w:r>
          </w:p>
        </w:tc>
        <w:tc>
          <w:tcPr>
            <w:tcW w:w="1066" w:type="dxa"/>
          </w:tcPr>
          <w:p w:rsidR="0044166C" w:rsidRPr="0044166C" w:rsidRDefault="0044166C" w:rsidP="0044166C">
            <w:pPr>
              <w:cnfStyle w:val="100000000000" w:firstRow="1" w:lastRow="0" w:firstColumn="0" w:lastColumn="0" w:oddVBand="0" w:evenVBand="0" w:oddHBand="0" w:evenHBand="0" w:firstRowFirstColumn="0" w:firstRowLastColumn="0" w:lastRowFirstColumn="0" w:lastRowLastColumn="0"/>
            </w:pPr>
            <w:r w:rsidRPr="008E086D">
              <w:t>2016–17</w:t>
            </w:r>
          </w:p>
        </w:tc>
        <w:tc>
          <w:tcPr>
            <w:tcW w:w="1066" w:type="dxa"/>
          </w:tcPr>
          <w:p w:rsidR="0044166C" w:rsidRPr="0044166C" w:rsidRDefault="0044166C" w:rsidP="0044166C">
            <w:pPr>
              <w:cnfStyle w:val="100000000000" w:firstRow="1" w:lastRow="0" w:firstColumn="0" w:lastColumn="0" w:oddVBand="0" w:evenVBand="0" w:oddHBand="0" w:evenHBand="0" w:firstRowFirstColumn="0" w:firstRowLastColumn="0" w:lastRowFirstColumn="0" w:lastRowLastColumn="0"/>
            </w:pPr>
            <w:r w:rsidRPr="008E086D">
              <w:t>2017–18</w:t>
            </w:r>
          </w:p>
        </w:tc>
        <w:tc>
          <w:tcPr>
            <w:tcW w:w="1066" w:type="dxa"/>
          </w:tcPr>
          <w:p w:rsidR="0044166C" w:rsidRPr="0044166C" w:rsidRDefault="0044166C" w:rsidP="0044166C">
            <w:pPr>
              <w:cnfStyle w:val="100000000000" w:firstRow="1" w:lastRow="0" w:firstColumn="0" w:lastColumn="0" w:oddVBand="0" w:evenVBand="0" w:oddHBand="0" w:evenHBand="0" w:firstRowFirstColumn="0" w:firstRowLastColumn="0" w:lastRowFirstColumn="0" w:lastRowLastColumn="0"/>
            </w:pPr>
            <w:r w:rsidRPr="008E086D">
              <w:t>2018–19</w:t>
            </w:r>
          </w:p>
        </w:tc>
        <w:tc>
          <w:tcPr>
            <w:tcW w:w="1066" w:type="dxa"/>
          </w:tcPr>
          <w:p w:rsidR="0044166C" w:rsidRPr="0044166C" w:rsidRDefault="0044166C" w:rsidP="0044166C">
            <w:pPr>
              <w:cnfStyle w:val="100000000000" w:firstRow="1" w:lastRow="0" w:firstColumn="0" w:lastColumn="0" w:oddVBand="0" w:evenVBand="0" w:oddHBand="0" w:evenHBand="0" w:firstRowFirstColumn="0" w:firstRowLastColumn="0" w:lastRowFirstColumn="0" w:lastRowLastColumn="0"/>
            </w:pPr>
            <w:r>
              <w:t>2019</w:t>
            </w:r>
            <w:r w:rsidRPr="008E086D">
              <w:t>–</w:t>
            </w:r>
            <w:r>
              <w:t>20</w:t>
            </w:r>
          </w:p>
        </w:tc>
        <w:tc>
          <w:tcPr>
            <w:tcW w:w="919" w:type="dxa"/>
          </w:tcPr>
          <w:p w:rsidR="0044166C" w:rsidRPr="0044166C" w:rsidRDefault="0044166C" w:rsidP="0044166C">
            <w:pPr>
              <w:cnfStyle w:val="100000000000" w:firstRow="1" w:lastRow="0" w:firstColumn="0" w:lastColumn="0" w:oddVBand="0" w:evenVBand="0" w:oddHBand="0" w:evenHBand="0" w:firstRowFirstColumn="0" w:firstRowLastColumn="0" w:lastRowFirstColumn="0" w:lastRowLastColumn="0"/>
            </w:pPr>
            <w:r w:rsidRPr="008E086D">
              <w:t>Total</w:t>
            </w:r>
          </w:p>
        </w:tc>
      </w:tr>
      <w:tr w:rsidR="00B27E98" w:rsidTr="006B2C1D">
        <w:trPr>
          <w:trHeight w:val="80"/>
        </w:trPr>
        <w:tc>
          <w:tcPr>
            <w:cnfStyle w:val="001000000000" w:firstRow="0" w:lastRow="0" w:firstColumn="1" w:lastColumn="0" w:oddVBand="0" w:evenVBand="0" w:oddHBand="0" w:evenHBand="0" w:firstRowFirstColumn="0" w:firstRowLastColumn="0" w:lastRowFirstColumn="0" w:lastRowLastColumn="0"/>
            <w:tcW w:w="2444" w:type="dxa"/>
          </w:tcPr>
          <w:p w:rsidR="00B27E98" w:rsidRPr="00B27E98" w:rsidRDefault="00B27E98" w:rsidP="00B27E98">
            <w:r w:rsidRPr="004D6FA3">
              <w:t>Base opex</w:t>
            </w:r>
          </w:p>
        </w:tc>
        <w:tc>
          <w:tcPr>
            <w:tcW w:w="1066" w:type="dxa"/>
          </w:tcPr>
          <w:p w:rsidR="00B27E98" w:rsidRPr="00B27E98" w:rsidRDefault="0044166C" w:rsidP="00B27E98">
            <w:pPr>
              <w:cnfStyle w:val="000000000000" w:firstRow="0" w:lastRow="0" w:firstColumn="0" w:lastColumn="0" w:oddVBand="0" w:evenVBand="0" w:oddHBand="0" w:evenHBand="0" w:firstRowFirstColumn="0" w:firstRowLastColumn="0" w:lastRowFirstColumn="0" w:lastRowLastColumn="0"/>
            </w:pPr>
            <w:r>
              <w:t>135.1</w:t>
            </w:r>
          </w:p>
        </w:tc>
        <w:tc>
          <w:tcPr>
            <w:tcW w:w="1066" w:type="dxa"/>
          </w:tcPr>
          <w:p w:rsidR="00B27E98" w:rsidRPr="00B27E98" w:rsidRDefault="0044166C" w:rsidP="00B27E98">
            <w:pPr>
              <w:cnfStyle w:val="000000000000" w:firstRow="0" w:lastRow="0" w:firstColumn="0" w:lastColumn="0" w:oddVBand="0" w:evenVBand="0" w:oddHBand="0" w:evenHBand="0" w:firstRowFirstColumn="0" w:firstRowLastColumn="0" w:lastRowFirstColumn="0" w:lastRowLastColumn="0"/>
            </w:pPr>
            <w:r>
              <w:t>135.1</w:t>
            </w:r>
          </w:p>
        </w:tc>
        <w:tc>
          <w:tcPr>
            <w:tcW w:w="1066" w:type="dxa"/>
          </w:tcPr>
          <w:p w:rsidR="00B27E98" w:rsidRPr="00B27E98" w:rsidRDefault="0044166C" w:rsidP="00B27E98">
            <w:pPr>
              <w:cnfStyle w:val="000000000000" w:firstRow="0" w:lastRow="0" w:firstColumn="0" w:lastColumn="0" w:oddVBand="0" w:evenVBand="0" w:oddHBand="0" w:evenHBand="0" w:firstRowFirstColumn="0" w:firstRowLastColumn="0" w:lastRowFirstColumn="0" w:lastRowLastColumn="0"/>
            </w:pPr>
            <w:r>
              <w:t>135.1</w:t>
            </w:r>
          </w:p>
        </w:tc>
        <w:tc>
          <w:tcPr>
            <w:tcW w:w="1066" w:type="dxa"/>
          </w:tcPr>
          <w:p w:rsidR="00B27E98" w:rsidRPr="00B27E98" w:rsidRDefault="0044166C" w:rsidP="00B27E98">
            <w:pPr>
              <w:cnfStyle w:val="000000000000" w:firstRow="0" w:lastRow="0" w:firstColumn="0" w:lastColumn="0" w:oddVBand="0" w:evenVBand="0" w:oddHBand="0" w:evenHBand="0" w:firstRowFirstColumn="0" w:firstRowLastColumn="0" w:lastRowFirstColumn="0" w:lastRowLastColumn="0"/>
            </w:pPr>
            <w:r>
              <w:t>135.1</w:t>
            </w:r>
          </w:p>
        </w:tc>
        <w:tc>
          <w:tcPr>
            <w:tcW w:w="1066" w:type="dxa"/>
          </w:tcPr>
          <w:p w:rsidR="00B27E98" w:rsidRPr="00B27E98" w:rsidRDefault="0044166C" w:rsidP="00B27E98">
            <w:pPr>
              <w:cnfStyle w:val="000000000000" w:firstRow="0" w:lastRow="0" w:firstColumn="0" w:lastColumn="0" w:oddVBand="0" w:evenVBand="0" w:oddHBand="0" w:evenHBand="0" w:firstRowFirstColumn="0" w:firstRowLastColumn="0" w:lastRowFirstColumn="0" w:lastRowLastColumn="0"/>
            </w:pPr>
            <w:r>
              <w:t>135.1</w:t>
            </w:r>
          </w:p>
        </w:tc>
        <w:tc>
          <w:tcPr>
            <w:tcW w:w="919" w:type="dxa"/>
          </w:tcPr>
          <w:p w:rsidR="00B27E98" w:rsidRPr="00B27E98" w:rsidRDefault="0044166C" w:rsidP="00B27E98">
            <w:pPr>
              <w:cnfStyle w:val="000000000000" w:firstRow="0" w:lastRow="0" w:firstColumn="0" w:lastColumn="0" w:oddVBand="0" w:evenVBand="0" w:oddHBand="0" w:evenHBand="0" w:firstRowFirstColumn="0" w:firstRowLastColumn="0" w:lastRowFirstColumn="0" w:lastRowLastColumn="0"/>
            </w:pPr>
            <w:r>
              <w:t>675.6</w:t>
            </w:r>
          </w:p>
        </w:tc>
      </w:tr>
      <w:tr w:rsidR="00B27E98" w:rsidTr="006B2C1D">
        <w:trPr>
          <w:cnfStyle w:val="000000010000" w:firstRow="0" w:lastRow="0" w:firstColumn="0" w:lastColumn="0" w:oddVBand="0" w:evenVBand="0" w:oddHBand="0" w:evenHBand="1" w:firstRowFirstColumn="0" w:firstRowLastColumn="0" w:lastRowFirstColumn="0" w:lastRowLastColumn="0"/>
          <w:trHeight w:val="80"/>
        </w:trPr>
        <w:tc>
          <w:tcPr>
            <w:cnfStyle w:val="001000000000" w:firstRow="0" w:lastRow="0" w:firstColumn="1" w:lastColumn="0" w:oddVBand="0" w:evenVBand="0" w:oddHBand="0" w:evenHBand="0" w:firstRowFirstColumn="0" w:firstRowLastColumn="0" w:lastRowFirstColumn="0" w:lastRowLastColumn="0"/>
            <w:tcW w:w="2444" w:type="dxa"/>
          </w:tcPr>
          <w:p w:rsidR="00B27E98" w:rsidRPr="00B27E98" w:rsidRDefault="0044166C" w:rsidP="00B27E98">
            <w:r>
              <w:t>Rate of change</w:t>
            </w:r>
          </w:p>
        </w:tc>
        <w:tc>
          <w:tcPr>
            <w:tcW w:w="1066" w:type="dxa"/>
          </w:tcPr>
          <w:p w:rsidR="00B27E98" w:rsidRPr="00B27E98" w:rsidRDefault="00262A1B" w:rsidP="00B27E98">
            <w:pPr>
              <w:cnfStyle w:val="000000010000" w:firstRow="0" w:lastRow="0" w:firstColumn="0" w:lastColumn="0" w:oddVBand="0" w:evenVBand="0" w:oddHBand="0" w:evenHBand="1" w:firstRowFirstColumn="0" w:firstRowLastColumn="0" w:lastRowFirstColumn="0" w:lastRowLastColumn="0"/>
            </w:pPr>
            <w:r>
              <w:t>-2.4</w:t>
            </w:r>
          </w:p>
        </w:tc>
        <w:tc>
          <w:tcPr>
            <w:tcW w:w="1066" w:type="dxa"/>
          </w:tcPr>
          <w:p w:rsidR="00B27E98" w:rsidRPr="00B27E98" w:rsidRDefault="00262A1B" w:rsidP="00B27E98">
            <w:pPr>
              <w:cnfStyle w:val="000000010000" w:firstRow="0" w:lastRow="0" w:firstColumn="0" w:lastColumn="0" w:oddVBand="0" w:evenVBand="0" w:oddHBand="0" w:evenHBand="1" w:firstRowFirstColumn="0" w:firstRowLastColumn="0" w:lastRowFirstColumn="0" w:lastRowLastColumn="0"/>
            </w:pPr>
            <w:r>
              <w:t>-1.9</w:t>
            </w:r>
          </w:p>
        </w:tc>
        <w:tc>
          <w:tcPr>
            <w:tcW w:w="1066" w:type="dxa"/>
          </w:tcPr>
          <w:p w:rsidR="00B27E98" w:rsidRPr="00B27E98" w:rsidRDefault="00262A1B" w:rsidP="00B27E98">
            <w:pPr>
              <w:cnfStyle w:val="000000010000" w:firstRow="0" w:lastRow="0" w:firstColumn="0" w:lastColumn="0" w:oddVBand="0" w:evenVBand="0" w:oddHBand="0" w:evenHBand="1" w:firstRowFirstColumn="0" w:firstRowLastColumn="0" w:lastRowFirstColumn="0" w:lastRowLastColumn="0"/>
            </w:pPr>
            <w:r>
              <w:t>-1.2</w:t>
            </w:r>
          </w:p>
        </w:tc>
        <w:tc>
          <w:tcPr>
            <w:tcW w:w="1066" w:type="dxa"/>
          </w:tcPr>
          <w:p w:rsidR="00B27E98" w:rsidRPr="00B27E98" w:rsidRDefault="00262A1B" w:rsidP="00B27E98">
            <w:pPr>
              <w:cnfStyle w:val="000000010000" w:firstRow="0" w:lastRow="0" w:firstColumn="0" w:lastColumn="0" w:oddVBand="0" w:evenVBand="0" w:oddHBand="0" w:evenHBand="1" w:firstRowFirstColumn="0" w:firstRowLastColumn="0" w:lastRowFirstColumn="0" w:lastRowLastColumn="0"/>
            </w:pPr>
            <w:r>
              <w:t>-0.9</w:t>
            </w:r>
          </w:p>
        </w:tc>
        <w:tc>
          <w:tcPr>
            <w:tcW w:w="1066" w:type="dxa"/>
          </w:tcPr>
          <w:p w:rsidR="00B27E98" w:rsidRPr="00B27E98" w:rsidRDefault="00262A1B" w:rsidP="00B27E98">
            <w:pPr>
              <w:cnfStyle w:val="000000010000" w:firstRow="0" w:lastRow="0" w:firstColumn="0" w:lastColumn="0" w:oddVBand="0" w:evenVBand="0" w:oddHBand="0" w:evenHBand="1" w:firstRowFirstColumn="0" w:firstRowLastColumn="0" w:lastRowFirstColumn="0" w:lastRowLastColumn="0"/>
            </w:pPr>
            <w:r>
              <w:t>-0.5</w:t>
            </w:r>
          </w:p>
        </w:tc>
        <w:tc>
          <w:tcPr>
            <w:tcW w:w="919" w:type="dxa"/>
          </w:tcPr>
          <w:p w:rsidR="00B27E98" w:rsidRPr="00B27E98" w:rsidRDefault="00262A1B" w:rsidP="00B27E98">
            <w:pPr>
              <w:cnfStyle w:val="000000010000" w:firstRow="0" w:lastRow="0" w:firstColumn="0" w:lastColumn="0" w:oddVBand="0" w:evenVBand="0" w:oddHBand="0" w:evenHBand="1" w:firstRowFirstColumn="0" w:firstRowLastColumn="0" w:lastRowFirstColumn="0" w:lastRowLastColumn="0"/>
            </w:pPr>
            <w:r>
              <w:t>-6.9</w:t>
            </w:r>
          </w:p>
        </w:tc>
      </w:tr>
      <w:tr w:rsidR="00B27E98" w:rsidTr="006B2C1D">
        <w:trPr>
          <w:trHeight w:val="80"/>
        </w:trPr>
        <w:tc>
          <w:tcPr>
            <w:cnfStyle w:val="001000000000" w:firstRow="0" w:lastRow="0" w:firstColumn="1" w:lastColumn="0" w:oddVBand="0" w:evenVBand="0" w:oddHBand="0" w:evenHBand="0" w:firstRowFirstColumn="0" w:firstRowLastColumn="0" w:lastRowFirstColumn="0" w:lastRowLastColumn="0"/>
            <w:tcW w:w="2444" w:type="dxa"/>
          </w:tcPr>
          <w:p w:rsidR="00B27E98" w:rsidRPr="00B27E98" w:rsidRDefault="0044166C" w:rsidP="00B27E98">
            <w:r>
              <w:t>Step changes</w:t>
            </w:r>
          </w:p>
        </w:tc>
        <w:tc>
          <w:tcPr>
            <w:tcW w:w="1066" w:type="dxa"/>
          </w:tcPr>
          <w:p w:rsidR="00B27E98" w:rsidRPr="00B27E98" w:rsidRDefault="0044166C" w:rsidP="00B27E98">
            <w:pPr>
              <w:cnfStyle w:val="000000000000" w:firstRow="0" w:lastRow="0" w:firstColumn="0" w:lastColumn="0" w:oddVBand="0" w:evenVBand="0" w:oddHBand="0" w:evenHBand="0" w:firstRowFirstColumn="0" w:firstRowLastColumn="0" w:lastRowFirstColumn="0" w:lastRowLastColumn="0"/>
            </w:pPr>
            <w:r>
              <w:t>4.</w:t>
            </w:r>
            <w:r w:rsidR="005D7F4D">
              <w:t>4</w:t>
            </w:r>
          </w:p>
        </w:tc>
        <w:tc>
          <w:tcPr>
            <w:tcW w:w="1066" w:type="dxa"/>
          </w:tcPr>
          <w:p w:rsidR="00B27E98" w:rsidRPr="00B27E98" w:rsidRDefault="005D7F4D" w:rsidP="00B27E98">
            <w:pPr>
              <w:cnfStyle w:val="000000000000" w:firstRow="0" w:lastRow="0" w:firstColumn="0" w:lastColumn="0" w:oddVBand="0" w:evenVBand="0" w:oddHBand="0" w:evenHBand="0" w:firstRowFirstColumn="0" w:firstRowLastColumn="0" w:lastRowFirstColumn="0" w:lastRowLastColumn="0"/>
            </w:pPr>
            <w:r>
              <w:t>4.7</w:t>
            </w:r>
          </w:p>
        </w:tc>
        <w:tc>
          <w:tcPr>
            <w:tcW w:w="1066" w:type="dxa"/>
          </w:tcPr>
          <w:p w:rsidR="00B27E98" w:rsidRPr="00B27E98" w:rsidRDefault="0044166C" w:rsidP="00B27E98">
            <w:pPr>
              <w:cnfStyle w:val="000000000000" w:firstRow="0" w:lastRow="0" w:firstColumn="0" w:lastColumn="0" w:oddVBand="0" w:evenVBand="0" w:oddHBand="0" w:evenHBand="0" w:firstRowFirstColumn="0" w:firstRowLastColumn="0" w:lastRowFirstColumn="0" w:lastRowLastColumn="0"/>
            </w:pPr>
            <w:r>
              <w:t>4.9</w:t>
            </w:r>
          </w:p>
        </w:tc>
        <w:tc>
          <w:tcPr>
            <w:tcW w:w="1066" w:type="dxa"/>
          </w:tcPr>
          <w:p w:rsidR="00B27E98" w:rsidRPr="00B27E98" w:rsidRDefault="0044166C" w:rsidP="00B27E98">
            <w:pPr>
              <w:cnfStyle w:val="000000000000" w:firstRow="0" w:lastRow="0" w:firstColumn="0" w:lastColumn="0" w:oddVBand="0" w:evenVBand="0" w:oddHBand="0" w:evenHBand="0" w:firstRowFirstColumn="0" w:firstRowLastColumn="0" w:lastRowFirstColumn="0" w:lastRowLastColumn="0"/>
            </w:pPr>
            <w:r>
              <w:t>9.2</w:t>
            </w:r>
          </w:p>
        </w:tc>
        <w:tc>
          <w:tcPr>
            <w:tcW w:w="1066" w:type="dxa"/>
          </w:tcPr>
          <w:p w:rsidR="00B27E98" w:rsidRPr="00B27E98" w:rsidRDefault="0044166C" w:rsidP="00B27E98">
            <w:pPr>
              <w:cnfStyle w:val="000000000000" w:firstRow="0" w:lastRow="0" w:firstColumn="0" w:lastColumn="0" w:oddVBand="0" w:evenVBand="0" w:oddHBand="0" w:evenHBand="0" w:firstRowFirstColumn="0" w:firstRowLastColumn="0" w:lastRowFirstColumn="0" w:lastRowLastColumn="0"/>
            </w:pPr>
            <w:r>
              <w:t>8.0</w:t>
            </w:r>
          </w:p>
        </w:tc>
        <w:tc>
          <w:tcPr>
            <w:tcW w:w="919" w:type="dxa"/>
          </w:tcPr>
          <w:p w:rsidR="00B27E98" w:rsidRPr="00B27E98" w:rsidRDefault="00262A1B" w:rsidP="00B27E98">
            <w:pPr>
              <w:cnfStyle w:val="000000000000" w:firstRow="0" w:lastRow="0" w:firstColumn="0" w:lastColumn="0" w:oddVBand="0" w:evenVBand="0" w:oddHBand="0" w:evenHBand="0" w:firstRowFirstColumn="0" w:firstRowLastColumn="0" w:lastRowFirstColumn="0" w:lastRowLastColumn="0"/>
            </w:pPr>
            <w:r>
              <w:t>31.3</w:t>
            </w:r>
          </w:p>
        </w:tc>
      </w:tr>
      <w:tr w:rsidR="004807A3" w:rsidTr="006B2C1D">
        <w:trPr>
          <w:cnfStyle w:val="000000010000" w:firstRow="0" w:lastRow="0" w:firstColumn="0" w:lastColumn="0" w:oddVBand="0" w:evenVBand="0" w:oddHBand="0" w:evenHBand="1" w:firstRowFirstColumn="0" w:firstRowLastColumn="0" w:lastRowFirstColumn="0" w:lastRowLastColumn="0"/>
          <w:trHeight w:val="80"/>
        </w:trPr>
        <w:tc>
          <w:tcPr>
            <w:cnfStyle w:val="001000000000" w:firstRow="0" w:lastRow="0" w:firstColumn="1" w:lastColumn="0" w:oddVBand="0" w:evenVBand="0" w:oddHBand="0" w:evenHBand="0" w:firstRowFirstColumn="0" w:firstRowLastColumn="0" w:lastRowFirstColumn="0" w:lastRowLastColumn="0"/>
            <w:tcW w:w="2444" w:type="dxa"/>
          </w:tcPr>
          <w:p w:rsidR="004807A3" w:rsidRPr="004D6FA3" w:rsidRDefault="004807A3" w:rsidP="00B27E98">
            <w:r>
              <w:t>Category-specific forecasts</w:t>
            </w:r>
          </w:p>
        </w:tc>
        <w:tc>
          <w:tcPr>
            <w:tcW w:w="1066" w:type="dxa"/>
          </w:tcPr>
          <w:p w:rsidR="004807A3" w:rsidRPr="00B27E98" w:rsidRDefault="0044166C" w:rsidP="00B27E98">
            <w:pPr>
              <w:cnfStyle w:val="000000010000" w:firstRow="0" w:lastRow="0" w:firstColumn="0" w:lastColumn="0" w:oddVBand="0" w:evenVBand="0" w:oddHBand="0" w:evenHBand="1" w:firstRowFirstColumn="0" w:firstRowLastColumn="0" w:lastRowFirstColumn="0" w:lastRowLastColumn="0"/>
            </w:pPr>
            <w:r>
              <w:t>20.0</w:t>
            </w:r>
          </w:p>
        </w:tc>
        <w:tc>
          <w:tcPr>
            <w:tcW w:w="1066" w:type="dxa"/>
          </w:tcPr>
          <w:p w:rsidR="004807A3" w:rsidRPr="00B27E98" w:rsidRDefault="00262A1B" w:rsidP="00B27E98">
            <w:pPr>
              <w:cnfStyle w:val="000000010000" w:firstRow="0" w:lastRow="0" w:firstColumn="0" w:lastColumn="0" w:oddVBand="0" w:evenVBand="0" w:oddHBand="0" w:evenHBand="1" w:firstRowFirstColumn="0" w:firstRowLastColumn="0" w:lastRowFirstColumn="0" w:lastRowLastColumn="0"/>
            </w:pPr>
            <w:r>
              <w:t>20.0</w:t>
            </w:r>
          </w:p>
        </w:tc>
        <w:tc>
          <w:tcPr>
            <w:tcW w:w="1066" w:type="dxa"/>
          </w:tcPr>
          <w:p w:rsidR="004807A3" w:rsidRPr="00B27E98" w:rsidRDefault="00262A1B" w:rsidP="00B27E98">
            <w:pPr>
              <w:cnfStyle w:val="000000010000" w:firstRow="0" w:lastRow="0" w:firstColumn="0" w:lastColumn="0" w:oddVBand="0" w:evenVBand="0" w:oddHBand="0" w:evenHBand="1" w:firstRowFirstColumn="0" w:firstRowLastColumn="0" w:lastRowFirstColumn="0" w:lastRowLastColumn="0"/>
            </w:pPr>
            <w:r>
              <w:t>20.0</w:t>
            </w:r>
          </w:p>
        </w:tc>
        <w:tc>
          <w:tcPr>
            <w:tcW w:w="1066" w:type="dxa"/>
          </w:tcPr>
          <w:p w:rsidR="004807A3" w:rsidRPr="00B27E98" w:rsidRDefault="00262A1B" w:rsidP="00B27E98">
            <w:pPr>
              <w:cnfStyle w:val="000000010000" w:firstRow="0" w:lastRow="0" w:firstColumn="0" w:lastColumn="0" w:oddVBand="0" w:evenVBand="0" w:oddHBand="0" w:evenHBand="1" w:firstRowFirstColumn="0" w:firstRowLastColumn="0" w:lastRowFirstColumn="0" w:lastRowLastColumn="0"/>
            </w:pPr>
            <w:r>
              <w:t>20.0</w:t>
            </w:r>
          </w:p>
        </w:tc>
        <w:tc>
          <w:tcPr>
            <w:tcW w:w="1066" w:type="dxa"/>
          </w:tcPr>
          <w:p w:rsidR="004807A3" w:rsidRPr="00B27E98" w:rsidRDefault="00262A1B" w:rsidP="00B27E98">
            <w:pPr>
              <w:cnfStyle w:val="000000010000" w:firstRow="0" w:lastRow="0" w:firstColumn="0" w:lastColumn="0" w:oddVBand="0" w:evenVBand="0" w:oddHBand="0" w:evenHBand="1" w:firstRowFirstColumn="0" w:firstRowLastColumn="0" w:lastRowFirstColumn="0" w:lastRowLastColumn="0"/>
            </w:pPr>
            <w:r>
              <w:t>20.1</w:t>
            </w:r>
          </w:p>
        </w:tc>
        <w:tc>
          <w:tcPr>
            <w:tcW w:w="919" w:type="dxa"/>
          </w:tcPr>
          <w:p w:rsidR="004807A3" w:rsidRPr="00B27E98" w:rsidRDefault="00262A1B" w:rsidP="00B27E98">
            <w:pPr>
              <w:cnfStyle w:val="000000010000" w:firstRow="0" w:lastRow="0" w:firstColumn="0" w:lastColumn="0" w:oddVBand="0" w:evenVBand="0" w:oddHBand="0" w:evenHBand="1" w:firstRowFirstColumn="0" w:firstRowLastColumn="0" w:lastRowFirstColumn="0" w:lastRowLastColumn="0"/>
            </w:pPr>
            <w:r>
              <w:t>100.1</w:t>
            </w:r>
          </w:p>
        </w:tc>
      </w:tr>
      <w:tr w:rsidR="000A0BE0" w:rsidTr="00252DD6">
        <w:trPr>
          <w:trHeight w:val="80"/>
        </w:trPr>
        <w:tc>
          <w:tcPr>
            <w:cnfStyle w:val="001000000000" w:firstRow="0" w:lastRow="0" w:firstColumn="1" w:lastColumn="0" w:oddVBand="0" w:evenVBand="0" w:oddHBand="0" w:evenHBand="0" w:firstRowFirstColumn="0" w:firstRowLastColumn="0" w:lastRowFirstColumn="0" w:lastRowLastColumn="0"/>
            <w:tcW w:w="2444" w:type="dxa"/>
          </w:tcPr>
          <w:p w:rsidR="000A0BE0" w:rsidRPr="000A0BE0" w:rsidRDefault="000A0BE0" w:rsidP="000A0BE0">
            <w:r w:rsidRPr="000A0BE0">
              <w:t>Final decision</w:t>
            </w:r>
          </w:p>
        </w:tc>
        <w:tc>
          <w:tcPr>
            <w:tcW w:w="1066" w:type="dxa"/>
            <w:vAlign w:val="bottom"/>
          </w:tcPr>
          <w:p w:rsidR="000A0BE0" w:rsidRPr="000A0BE0" w:rsidRDefault="00262A1B" w:rsidP="000A0BE0">
            <w:pPr>
              <w:cnfStyle w:val="000000000000" w:firstRow="0" w:lastRow="0" w:firstColumn="0" w:lastColumn="0" w:oddVBand="0" w:evenVBand="0" w:oddHBand="0" w:evenHBand="0" w:firstRowFirstColumn="0" w:firstRowLastColumn="0" w:lastRowFirstColumn="0" w:lastRowLastColumn="0"/>
            </w:pPr>
            <w:r>
              <w:t>157.0</w:t>
            </w:r>
          </w:p>
        </w:tc>
        <w:tc>
          <w:tcPr>
            <w:tcW w:w="1066" w:type="dxa"/>
            <w:vAlign w:val="bottom"/>
          </w:tcPr>
          <w:p w:rsidR="000A0BE0" w:rsidRPr="000A0BE0" w:rsidRDefault="00262A1B" w:rsidP="000A0BE0">
            <w:pPr>
              <w:cnfStyle w:val="000000000000" w:firstRow="0" w:lastRow="0" w:firstColumn="0" w:lastColumn="0" w:oddVBand="0" w:evenVBand="0" w:oddHBand="0" w:evenHBand="0" w:firstRowFirstColumn="0" w:firstRowLastColumn="0" w:lastRowFirstColumn="0" w:lastRowLastColumn="0"/>
            </w:pPr>
            <w:r>
              <w:t>158.0</w:t>
            </w:r>
          </w:p>
        </w:tc>
        <w:tc>
          <w:tcPr>
            <w:tcW w:w="1066" w:type="dxa"/>
            <w:vAlign w:val="bottom"/>
          </w:tcPr>
          <w:p w:rsidR="000A0BE0" w:rsidRPr="000A0BE0" w:rsidRDefault="00262A1B" w:rsidP="000A0BE0">
            <w:pPr>
              <w:cnfStyle w:val="000000000000" w:firstRow="0" w:lastRow="0" w:firstColumn="0" w:lastColumn="0" w:oddVBand="0" w:evenVBand="0" w:oddHBand="0" w:evenHBand="0" w:firstRowFirstColumn="0" w:firstRowLastColumn="0" w:lastRowFirstColumn="0" w:lastRowLastColumn="0"/>
            </w:pPr>
            <w:r>
              <w:t>158.9</w:t>
            </w:r>
          </w:p>
        </w:tc>
        <w:tc>
          <w:tcPr>
            <w:tcW w:w="1066" w:type="dxa"/>
            <w:vAlign w:val="bottom"/>
          </w:tcPr>
          <w:p w:rsidR="000A0BE0" w:rsidRPr="000A0BE0" w:rsidRDefault="00262A1B" w:rsidP="000A0BE0">
            <w:pPr>
              <w:cnfStyle w:val="000000000000" w:firstRow="0" w:lastRow="0" w:firstColumn="0" w:lastColumn="0" w:oddVBand="0" w:evenVBand="0" w:oddHBand="0" w:evenHBand="0" w:firstRowFirstColumn="0" w:firstRowLastColumn="0" w:lastRowFirstColumn="0" w:lastRowLastColumn="0"/>
            </w:pPr>
            <w:r>
              <w:t>163.5</w:t>
            </w:r>
          </w:p>
        </w:tc>
        <w:tc>
          <w:tcPr>
            <w:tcW w:w="1066" w:type="dxa"/>
            <w:vAlign w:val="bottom"/>
          </w:tcPr>
          <w:p w:rsidR="000A0BE0" w:rsidRPr="000A0BE0" w:rsidRDefault="00262A1B" w:rsidP="000A0BE0">
            <w:pPr>
              <w:cnfStyle w:val="000000000000" w:firstRow="0" w:lastRow="0" w:firstColumn="0" w:lastColumn="0" w:oddVBand="0" w:evenVBand="0" w:oddHBand="0" w:evenHBand="0" w:firstRowFirstColumn="0" w:firstRowLastColumn="0" w:lastRowFirstColumn="0" w:lastRowLastColumn="0"/>
            </w:pPr>
            <w:r>
              <w:t>162.7</w:t>
            </w:r>
          </w:p>
        </w:tc>
        <w:tc>
          <w:tcPr>
            <w:tcW w:w="919" w:type="dxa"/>
          </w:tcPr>
          <w:p w:rsidR="000A0BE0" w:rsidRPr="000A0BE0" w:rsidRDefault="00262A1B" w:rsidP="000A0BE0">
            <w:pPr>
              <w:cnfStyle w:val="000000000000" w:firstRow="0" w:lastRow="0" w:firstColumn="0" w:lastColumn="0" w:oddVBand="0" w:evenVBand="0" w:oddHBand="0" w:evenHBand="0" w:firstRowFirstColumn="0" w:firstRowLastColumn="0" w:lastRowFirstColumn="0" w:lastRowLastColumn="0"/>
            </w:pPr>
            <w:r>
              <w:t>800.0</w:t>
            </w:r>
          </w:p>
        </w:tc>
      </w:tr>
    </w:tbl>
    <w:p w:rsidR="00B27E98" w:rsidRPr="00160C31" w:rsidRDefault="00B27E98" w:rsidP="00B27E98">
      <w:pPr>
        <w:pStyle w:val="AERtablesource"/>
      </w:pPr>
      <w:r w:rsidRPr="00160C31">
        <w:t>Source:</w:t>
      </w:r>
      <w:r w:rsidRPr="00160C31">
        <w:tab/>
        <w:t>AER analysis.</w:t>
      </w:r>
    </w:p>
    <w:p w:rsidR="00B27E98" w:rsidRPr="00160C31" w:rsidRDefault="00B27E98" w:rsidP="00B27E98">
      <w:pPr>
        <w:pStyle w:val="AERtablesource"/>
      </w:pPr>
      <w:r w:rsidRPr="00160C31">
        <w:t>No</w:t>
      </w:r>
      <w:r>
        <w:t>te:</w:t>
      </w:r>
      <w:r>
        <w:tab/>
        <w:t xml:space="preserve">Excludes debt raising costs; </w:t>
      </w:r>
      <w:r w:rsidRPr="00B03F39">
        <w:t>Numbers may not add due to rounding</w:t>
      </w:r>
      <w:r>
        <w:t>.</w:t>
      </w:r>
    </w:p>
    <w:p w:rsidR="00B27E98" w:rsidRPr="00B27E98" w:rsidRDefault="008411E8" w:rsidP="00B27E98">
      <w:r>
        <w:t>T</w:t>
      </w:r>
      <w:r w:rsidR="00B27E98" w:rsidRPr="004D6FA3">
        <w:t xml:space="preserve">he main </w:t>
      </w:r>
      <w:r w:rsidR="009C52E3">
        <w:t>elements</w:t>
      </w:r>
      <w:r w:rsidR="009C52E3" w:rsidRPr="004D6FA3">
        <w:t xml:space="preserve"> of</w:t>
      </w:r>
      <w:r w:rsidR="00B27E98" w:rsidRPr="004D6FA3">
        <w:t xml:space="preserve"> our assessment are outlined below</w:t>
      </w:r>
      <w:r>
        <w:t>.</w:t>
      </w:r>
    </w:p>
    <w:p w:rsidR="00DE563D" w:rsidRDefault="00B27E98" w:rsidP="00AF1F9E">
      <w:pPr>
        <w:pStyle w:val="Heading3"/>
      </w:pPr>
      <w:bookmarkStart w:id="29" w:name="_Ref418693927"/>
      <w:bookmarkStart w:id="30" w:name="_Toc420325030"/>
      <w:r>
        <w:t>Base opex</w:t>
      </w:r>
      <w:bookmarkEnd w:id="29"/>
      <w:bookmarkEnd w:id="30"/>
    </w:p>
    <w:p w:rsidR="00975919" w:rsidRDefault="00975919" w:rsidP="00975919">
      <w:pPr>
        <w:numPr>
          <w:ilvl w:val="0"/>
          <w:numId w:val="25"/>
        </w:numPr>
      </w:pPr>
      <w:r>
        <w:t>In formulating our alternative forecast of opex we determine</w:t>
      </w:r>
      <w:r w:rsidR="000C5286">
        <w:t>d</w:t>
      </w:r>
      <w:r>
        <w:t xml:space="preserve"> a base opex amount. </w:t>
      </w:r>
      <w:r w:rsidR="00131894">
        <w:t>T</w:t>
      </w:r>
      <w:r>
        <w:t>his is</w:t>
      </w:r>
      <w:r w:rsidR="00131894">
        <w:t xml:space="preserve"> </w:t>
      </w:r>
      <w:r>
        <w:t xml:space="preserve">based on </w:t>
      </w:r>
      <w:r w:rsidR="000C5286">
        <w:t>JGN's opex in 2013–14</w:t>
      </w:r>
      <w:r>
        <w:t>.</w:t>
      </w:r>
    </w:p>
    <w:p w:rsidR="00975919" w:rsidRDefault="00975919" w:rsidP="00850C00">
      <w:pPr>
        <w:pStyle w:val="HeadingBoldBlue"/>
      </w:pPr>
      <w:r w:rsidRPr="008411E8">
        <w:t>Position</w:t>
      </w:r>
    </w:p>
    <w:p w:rsidR="00C44094" w:rsidRDefault="001C4F5E" w:rsidP="00516FAB">
      <w:r w:rsidRPr="00115B55">
        <w:t xml:space="preserve">We </w:t>
      </w:r>
      <w:r>
        <w:t>are satisfied</w:t>
      </w:r>
      <w:r w:rsidRPr="00115B55">
        <w:t xml:space="preserve"> JGN's proposed 2013</w:t>
      </w:r>
      <w:r>
        <w:t>–</w:t>
      </w:r>
      <w:r w:rsidRPr="00115B55">
        <w:t>14 base year expenditure of $</w:t>
      </w:r>
      <w:r>
        <w:t>135.1 million ($2014–15)</w:t>
      </w:r>
      <w:r w:rsidRPr="00115B55">
        <w:t xml:space="preserve"> is a reasonable </w:t>
      </w:r>
      <w:r>
        <w:t xml:space="preserve">estimate </w:t>
      </w:r>
      <w:r w:rsidRPr="00115B55">
        <w:t xml:space="preserve">for the purpose of forecasting opex for the </w:t>
      </w:r>
      <w:r w:rsidR="00773F1C">
        <w:br/>
      </w:r>
      <w:r w:rsidRPr="00115B55">
        <w:t>2015</w:t>
      </w:r>
      <w:r>
        <w:t>–</w:t>
      </w:r>
      <w:r w:rsidRPr="00115B55">
        <w:t xml:space="preserve">20 access arrangement period. </w:t>
      </w:r>
    </w:p>
    <w:p w:rsidR="00975919" w:rsidRDefault="00975919" w:rsidP="00850C00">
      <w:pPr>
        <w:pStyle w:val="HeadingBoldBlue"/>
      </w:pPr>
      <w:r>
        <w:t>Draft position</w:t>
      </w:r>
    </w:p>
    <w:p w:rsidR="001C4F5E" w:rsidRDefault="001C4F5E" w:rsidP="001C4F5E">
      <w:r>
        <w:t>In its initial proposal, JGN used a mixture of actual and estimated costs in this year as its base. It adjusted the amount to:</w:t>
      </w:r>
    </w:p>
    <w:p w:rsidR="001C4F5E" w:rsidRDefault="001C4F5E" w:rsidP="001C4F5E">
      <w:pPr>
        <w:pStyle w:val="AERbulletlistfirststyle"/>
      </w:pPr>
      <w:r>
        <w:lastRenderedPageBreak/>
        <w:t xml:space="preserve">remove the cost of </w:t>
      </w:r>
      <w:r w:rsidR="004F6206">
        <w:t xml:space="preserve">unaccounted for gas </w:t>
      </w:r>
      <w:r>
        <w:t>and government levies</w:t>
      </w:r>
      <w:r w:rsidR="00E82929">
        <w:t xml:space="preserve"> which are subject to category based forecasts</w:t>
      </w:r>
    </w:p>
    <w:p w:rsidR="001C4F5E" w:rsidRDefault="001C4F5E" w:rsidP="001C4F5E">
      <w:pPr>
        <w:pStyle w:val="AERbulletlistfirststyle"/>
      </w:pPr>
      <w:r>
        <w:t>remove non-recurrent costs in 2013–14 associated with the Winmalee bushfires</w:t>
      </w:r>
    </w:p>
    <w:p w:rsidR="001C4F5E" w:rsidRDefault="001C4F5E" w:rsidP="001C4F5E">
      <w:pPr>
        <w:pStyle w:val="AERbulletlistfirststyle"/>
      </w:pPr>
      <w:r>
        <w:t>remove expenses that will be capitalised in the 2015–20 access arrangement period</w:t>
      </w:r>
      <w:r w:rsidR="00F82A5E">
        <w:t>.</w:t>
      </w:r>
    </w:p>
    <w:p w:rsidR="006565AF" w:rsidRPr="006565AF" w:rsidRDefault="006565AF" w:rsidP="006565AF">
      <w:r w:rsidRPr="006565AF">
        <w:t>As many opex items are of a recurrent nature,</w:t>
      </w:r>
      <w:r w:rsidR="00715D08">
        <w:t xml:space="preserve"> we considered that JGN's</w:t>
      </w:r>
      <w:r w:rsidRPr="006565AF">
        <w:t xml:space="preserve"> actual</w:t>
      </w:r>
      <w:r>
        <w:t xml:space="preserve"> </w:t>
      </w:r>
      <w:r w:rsidRPr="006565AF">
        <w:t xml:space="preserve">costs incurred in 2013–14 </w:t>
      </w:r>
      <w:r w:rsidR="00BF089F">
        <w:t>were</w:t>
      </w:r>
      <w:r w:rsidR="00BF089F" w:rsidRPr="006565AF">
        <w:t xml:space="preserve"> </w:t>
      </w:r>
      <w:r w:rsidRPr="006565AF">
        <w:t>likely be a good indicator for the efficient costs to be incurred in the 2015–20 access arrangement period.</w:t>
      </w:r>
    </w:p>
    <w:p w:rsidR="00C44094" w:rsidRDefault="006565AF" w:rsidP="00516FAB">
      <w:r>
        <w:t xml:space="preserve">Because JGN was not subject to an incentive mechanism in this year, it may have faced an incentive to increase its opex in 2013–14. </w:t>
      </w:r>
      <w:r w:rsidR="00975919">
        <w:t>Based on the available evidence, we we</w:t>
      </w:r>
      <w:r w:rsidR="00975919" w:rsidRPr="00975919">
        <w:t>re satisfied that JGN's proposed ba</w:t>
      </w:r>
      <w:r w:rsidR="00975919">
        <w:t xml:space="preserve">se year (2013–14) </w:t>
      </w:r>
      <w:r w:rsidR="000C5286">
        <w:t xml:space="preserve">was </w:t>
      </w:r>
      <w:r w:rsidR="00975919">
        <w:t xml:space="preserve">not biased </w:t>
      </w:r>
      <w:r w:rsidR="00975919" w:rsidRPr="00975919">
        <w:t xml:space="preserve">upwards and there </w:t>
      </w:r>
      <w:r w:rsidR="000C5286">
        <w:t>was</w:t>
      </w:r>
      <w:r w:rsidR="00975919" w:rsidRPr="00975919">
        <w:t xml:space="preserve"> no evidence to suggest that expenditure in the proposed base year is materially</w:t>
      </w:r>
      <w:r w:rsidR="00975919">
        <w:t xml:space="preserve"> </w:t>
      </w:r>
      <w:r w:rsidR="00975919" w:rsidRPr="00975919">
        <w:t xml:space="preserve">inefficient. </w:t>
      </w:r>
      <w:r w:rsidR="00131894">
        <w:t>In particular, w</w:t>
      </w:r>
      <w:r w:rsidR="00975919">
        <w:t>e noted that JGN</w:t>
      </w:r>
      <w:r w:rsidR="00F76130">
        <w:t>'</w:t>
      </w:r>
      <w:r w:rsidR="00975919">
        <w:t>s opex was relatively stable across the 2010–15 access arrangement period.</w:t>
      </w:r>
    </w:p>
    <w:p w:rsidR="00975919" w:rsidRDefault="00975919" w:rsidP="00850C00">
      <w:pPr>
        <w:pStyle w:val="HeadingBoldBlue"/>
      </w:pPr>
      <w:r>
        <w:t>Revised proposal and submissions</w:t>
      </w:r>
    </w:p>
    <w:p w:rsidR="006565AF" w:rsidRDefault="006565AF" w:rsidP="006565AF">
      <w:r>
        <w:t xml:space="preserve">In response to our draft decision, JGN updated its </w:t>
      </w:r>
      <w:r w:rsidR="000C5286">
        <w:t>base opex forecast</w:t>
      </w:r>
      <w:r>
        <w:t xml:space="preserve"> for the actual </w:t>
      </w:r>
      <w:r w:rsidR="00CA2634">
        <w:t xml:space="preserve">audited </w:t>
      </w:r>
      <w:r>
        <w:t xml:space="preserve">opex it incurred in the 2013–14. This increased its proposed base </w:t>
      </w:r>
      <w:r w:rsidR="000C5286">
        <w:t xml:space="preserve">opex forecast </w:t>
      </w:r>
      <w:r>
        <w:t>from $133.2 million ($2014–15) to $135.1 million ($2014-15).</w:t>
      </w:r>
    </w:p>
    <w:p w:rsidR="006565AF" w:rsidRDefault="00715D08" w:rsidP="006565AF">
      <w:r>
        <w:t>Despite a $2 million increase in its proposed base, we still</w:t>
      </w:r>
      <w:r w:rsidR="006565AF">
        <w:t xml:space="preserve"> consider </w:t>
      </w:r>
      <w:r>
        <w:t>JGN's revised estimate</w:t>
      </w:r>
      <w:r w:rsidR="006565AF">
        <w:t xml:space="preserve"> </w:t>
      </w:r>
      <w:r w:rsidR="00C37A6C">
        <w:t xml:space="preserve">to be a </w:t>
      </w:r>
      <w:r w:rsidR="00260986">
        <w:t>reasonable</w:t>
      </w:r>
      <w:r w:rsidR="006565AF">
        <w:t xml:space="preserve"> estimate of the </w:t>
      </w:r>
      <w:r w:rsidR="00315941">
        <w:t>lowest sustainable</w:t>
      </w:r>
      <w:r w:rsidR="006565AF">
        <w:t xml:space="preserve"> cost </w:t>
      </w:r>
      <w:r w:rsidR="00315941">
        <w:t xml:space="preserve">in that year </w:t>
      </w:r>
      <w:r w:rsidR="006565AF">
        <w:t xml:space="preserve">of </w:t>
      </w:r>
      <w:r w:rsidR="00315941">
        <w:t xml:space="preserve">a prudent provider </w:t>
      </w:r>
      <w:r w:rsidR="006565AF">
        <w:t xml:space="preserve">operating and </w:t>
      </w:r>
      <w:r w:rsidR="00CA2634">
        <w:t>maintain</w:t>
      </w:r>
      <w:r w:rsidR="00F76130">
        <w:t>ing</w:t>
      </w:r>
      <w:r w:rsidR="006565AF">
        <w:t xml:space="preserve"> JGN</w:t>
      </w:r>
      <w:r w:rsidR="00F76130">
        <w:t>'</w:t>
      </w:r>
      <w:r w:rsidR="006565AF">
        <w:t>s network</w:t>
      </w:r>
      <w:r w:rsidR="00315941">
        <w:t xml:space="preserve"> and acting efficiently in accordance with accepted good industry practice</w:t>
      </w:r>
      <w:r w:rsidR="006565AF">
        <w:t xml:space="preserve">. As </w:t>
      </w:r>
      <w:r w:rsidR="00907F39">
        <w:t>outlined</w:t>
      </w:r>
      <w:r w:rsidR="006565AF">
        <w:t xml:space="preserve"> in </w:t>
      </w:r>
      <w:r w:rsidR="00CA2634">
        <w:fldChar w:fldCharType="begin"/>
      </w:r>
      <w:r w:rsidR="00CA2634">
        <w:instrText xml:space="preserve"> REF _Ref417404154 \h </w:instrText>
      </w:r>
      <w:r w:rsidR="00CA2634">
        <w:fldChar w:fldCharType="separate"/>
      </w:r>
      <w:r w:rsidR="00FB6999">
        <w:t>Figure 7.</w:t>
      </w:r>
      <w:r w:rsidR="00FB6999">
        <w:rPr>
          <w:noProof/>
        </w:rPr>
        <w:t>3</w:t>
      </w:r>
      <w:r w:rsidR="00CA2634">
        <w:fldChar w:fldCharType="end"/>
      </w:r>
      <w:r w:rsidR="006565AF">
        <w:t xml:space="preserve">, </w:t>
      </w:r>
      <w:r w:rsidR="00260986">
        <w:t xml:space="preserve">it still suggests JGN's actual opex was relatively stable in the 2010–15 access arrangement period. </w:t>
      </w:r>
      <w:r w:rsidR="00907F39">
        <w:t>On this basis,</w:t>
      </w:r>
      <w:r w:rsidR="00260986">
        <w:t xml:space="preserve"> </w:t>
      </w:r>
      <w:r w:rsidR="006B2C1D">
        <w:t xml:space="preserve">we consider </w:t>
      </w:r>
      <w:r w:rsidR="00260986">
        <w:t xml:space="preserve">JGN's actual opex in 2013–14 </w:t>
      </w:r>
      <w:r w:rsidR="00905A5E">
        <w:t>is likely to be a good indicator of</w:t>
      </w:r>
      <w:r w:rsidR="00260986">
        <w:t xml:space="preserve"> its future opex needs.</w:t>
      </w:r>
    </w:p>
    <w:p w:rsidR="00CA2634" w:rsidRPr="006565AF" w:rsidRDefault="00CA2634" w:rsidP="00CA2634">
      <w:pPr>
        <w:pStyle w:val="Caption"/>
      </w:pPr>
      <w:bookmarkStart w:id="31" w:name="_Ref417404154"/>
      <w:r>
        <w:lastRenderedPageBreak/>
        <w:t xml:space="preserve">Figure </w:t>
      </w:r>
      <w:r w:rsidR="00516FAB">
        <w:t>7.</w:t>
      </w:r>
      <w:fldSimple w:instr=" SEQ Figure \* ARABIC ">
        <w:r w:rsidR="00FB6999">
          <w:rPr>
            <w:noProof/>
          </w:rPr>
          <w:t>3</w:t>
        </w:r>
      </w:fldSimple>
      <w:bookmarkEnd w:id="31"/>
      <w:r>
        <w:tab/>
        <w:t>JGN</w:t>
      </w:r>
      <w:r w:rsidR="00C37A6C">
        <w:t>'s</w:t>
      </w:r>
      <w:r>
        <w:t xml:space="preserve"> actual opex less UAG and carbon costs, 2010–11 to 2013–14</w:t>
      </w:r>
    </w:p>
    <w:p w:rsidR="001C4F5E" w:rsidRDefault="00CA2634" w:rsidP="00CA2634">
      <w:pPr>
        <w:pStyle w:val="AERtablesource"/>
      </w:pPr>
      <w:r w:rsidRPr="00CA2634">
        <w:rPr>
          <w:noProof/>
          <w:lang w:eastAsia="en-AU"/>
        </w:rPr>
        <w:drawing>
          <wp:inline distT="0" distB="0" distL="0" distR="0" wp14:anchorId="4DE24B41" wp14:editId="7D6DE4C3">
            <wp:extent cx="5318975" cy="27432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318975" cy="2743200"/>
                    </a:xfrm>
                    <a:prstGeom prst="rect">
                      <a:avLst/>
                    </a:prstGeom>
                    <a:noFill/>
                    <a:ln>
                      <a:noFill/>
                    </a:ln>
                  </pic:spPr>
                </pic:pic>
              </a:graphicData>
            </a:graphic>
          </wp:inline>
        </w:drawing>
      </w:r>
    </w:p>
    <w:p w:rsidR="00CA2634" w:rsidRPr="00CA2634" w:rsidRDefault="00CA2634" w:rsidP="00CA2634">
      <w:pPr>
        <w:pStyle w:val="AERtablesource"/>
      </w:pPr>
      <w:r>
        <w:t>Source: JGN, Appendix 5.5, Opex forecast model, February 2015</w:t>
      </w:r>
      <w:r w:rsidR="000E530C">
        <w:t>.</w:t>
      </w:r>
    </w:p>
    <w:p w:rsidR="00B27E98" w:rsidRDefault="00B27E98" w:rsidP="00B27E98">
      <w:pPr>
        <w:pStyle w:val="Heading3"/>
      </w:pPr>
      <w:bookmarkStart w:id="32" w:name="_Toc420325031"/>
      <w:r>
        <w:t>Rate of change</w:t>
      </w:r>
      <w:bookmarkEnd w:id="32"/>
    </w:p>
    <w:p w:rsidR="002677E7" w:rsidRDefault="002677E7" w:rsidP="002677E7">
      <w:r w:rsidRPr="00E538C7">
        <w:t xml:space="preserve">We apply the rate of change to our base opex to derive an opex forecast that includes forecast changes in input prices, output and productivity for the 2015–20 access arrangement period. </w:t>
      </w:r>
    </w:p>
    <w:p w:rsidR="002677E7" w:rsidRDefault="002677E7" w:rsidP="002677E7">
      <w:r>
        <w:t xml:space="preserve">This is consistent with </w:t>
      </w:r>
      <w:r w:rsidRPr="00E538C7">
        <w:t>the rate of change</w:t>
      </w:r>
      <w:r>
        <w:t xml:space="preserve"> approach outlined</w:t>
      </w:r>
      <w:r w:rsidRPr="00E538C7">
        <w:t xml:space="preserve"> in </w:t>
      </w:r>
      <w:r>
        <w:t xml:space="preserve">the </w:t>
      </w:r>
      <w:r w:rsidRPr="00E538C7">
        <w:rPr>
          <w:rStyle w:val="AERtextitalic"/>
        </w:rPr>
        <w:t>Expenditure forecast assessment guideline</w:t>
      </w:r>
      <w:r w:rsidRPr="00E538C7">
        <w:t xml:space="preserve"> for electricity.</w:t>
      </w:r>
      <w:r w:rsidRPr="00E538C7">
        <w:rPr>
          <w:rStyle w:val="FootnoteReference"/>
        </w:rPr>
        <w:footnoteReference w:id="8"/>
      </w:r>
    </w:p>
    <w:p w:rsidR="002677E7" w:rsidRDefault="002677E7" w:rsidP="00850C00">
      <w:pPr>
        <w:pStyle w:val="HeadingBoldBlue"/>
      </w:pPr>
      <w:r>
        <w:t>Position</w:t>
      </w:r>
    </w:p>
    <w:p w:rsidR="002677E7" w:rsidRDefault="002677E7" w:rsidP="002677E7">
      <w:r w:rsidRPr="00BD4436">
        <w:t>We have applied the same rate of change methodology to derive our alternative estimate of opex as w</w:t>
      </w:r>
      <w:r>
        <w:t>e used for our draft decision. We have updated our price growth forecasts to reflect the latest forecasts from Deloitte Access Economics</w:t>
      </w:r>
      <w:r w:rsidR="0097114E">
        <w:t xml:space="preserve"> (DAE)</w:t>
      </w:r>
      <w:r>
        <w:t xml:space="preserve"> and BIS Shrapnel.</w:t>
      </w:r>
    </w:p>
    <w:p w:rsidR="002677E7" w:rsidRDefault="002677E7" w:rsidP="002677E7">
      <w:r>
        <w:fldChar w:fldCharType="begin"/>
      </w:r>
      <w:r>
        <w:instrText xml:space="preserve"> REF _Ref418087969 \h </w:instrText>
      </w:r>
      <w:r>
        <w:fldChar w:fldCharType="separate"/>
      </w:r>
      <w:r w:rsidR="00FB6999">
        <w:t xml:space="preserve">Table </w:t>
      </w:r>
      <w:r w:rsidR="00FB6999">
        <w:rPr>
          <w:noProof/>
        </w:rPr>
        <w:t>7</w:t>
      </w:r>
      <w:r w:rsidR="00FB6999">
        <w:t>.</w:t>
      </w:r>
      <w:r w:rsidR="00FB6999">
        <w:rPr>
          <w:noProof/>
        </w:rPr>
        <w:t>3</w:t>
      </w:r>
      <w:r>
        <w:fldChar w:fldCharType="end"/>
      </w:r>
      <w:r w:rsidR="00516FAB">
        <w:t xml:space="preserve"> </w:t>
      </w:r>
      <w:r>
        <w:t xml:space="preserve">shows our final position on each rate of change component and the overall rate of change in annual percentage terms. </w:t>
      </w:r>
      <w:r w:rsidR="00C11125">
        <w:t>We consider JGN has not adequately addressed our concerns over its approach as set out in our draft decision. We are satisfied that applying our rate of change method to derive an alternative estimate of opex will represent the best forecast or estimate possible in the circumstances.</w:t>
      </w:r>
      <w:r w:rsidR="00C11125">
        <w:rPr>
          <w:rStyle w:val="FootnoteReference"/>
        </w:rPr>
        <w:footnoteReference w:id="9"/>
      </w:r>
      <w:r w:rsidR="00C11125">
        <w:t xml:space="preserve"> This is further explained below.</w:t>
      </w:r>
    </w:p>
    <w:p w:rsidR="002677E7" w:rsidRDefault="002677E7" w:rsidP="002677E7">
      <w:pPr>
        <w:pStyle w:val="Caption"/>
      </w:pPr>
      <w:bookmarkStart w:id="33" w:name="_Ref418087969"/>
      <w:r>
        <w:lastRenderedPageBreak/>
        <w:t xml:space="preserve">Table </w:t>
      </w:r>
      <w:r w:rsidRPr="002677E7">
        <w:fldChar w:fldCharType="begin"/>
      </w:r>
      <w:r>
        <w:instrText xml:space="preserve"> STYLEREF 1 \s </w:instrText>
      </w:r>
      <w:r w:rsidRPr="002677E7">
        <w:fldChar w:fldCharType="separate"/>
      </w:r>
      <w:r w:rsidR="00FB6999">
        <w:rPr>
          <w:noProof/>
        </w:rPr>
        <w:t>7</w:t>
      </w:r>
      <w:r w:rsidRPr="002677E7">
        <w:fldChar w:fldCharType="end"/>
      </w:r>
      <w:r>
        <w:t>.</w:t>
      </w:r>
      <w:r w:rsidRPr="002677E7">
        <w:fldChar w:fldCharType="begin"/>
      </w:r>
      <w:r>
        <w:instrText xml:space="preserve"> SEQ Table \* ARABIC \s 1 </w:instrText>
      </w:r>
      <w:r w:rsidRPr="002677E7">
        <w:fldChar w:fldCharType="separate"/>
      </w:r>
      <w:r w:rsidR="00FB6999">
        <w:rPr>
          <w:noProof/>
        </w:rPr>
        <w:t>3</w:t>
      </w:r>
      <w:r w:rsidRPr="002677E7">
        <w:fldChar w:fldCharType="end"/>
      </w:r>
      <w:bookmarkEnd w:id="33"/>
      <w:r>
        <w:tab/>
        <w:t>Rate of change (per cent)</w:t>
      </w:r>
    </w:p>
    <w:tbl>
      <w:tblPr>
        <w:tblStyle w:val="AERtable-numbers"/>
        <w:tblW w:w="0" w:type="auto"/>
        <w:tblLook w:val="04A0" w:firstRow="1" w:lastRow="0" w:firstColumn="1" w:lastColumn="0" w:noHBand="0" w:noVBand="1"/>
      </w:tblPr>
      <w:tblGrid>
        <w:gridCol w:w="1668"/>
        <w:gridCol w:w="1170"/>
        <w:gridCol w:w="1171"/>
        <w:gridCol w:w="1171"/>
        <w:gridCol w:w="1171"/>
        <w:gridCol w:w="1171"/>
        <w:gridCol w:w="1171"/>
      </w:tblGrid>
      <w:tr w:rsidR="002677E7" w:rsidTr="00850C0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668" w:type="dxa"/>
          </w:tcPr>
          <w:p w:rsidR="002677E7" w:rsidRDefault="002677E7" w:rsidP="002677E7"/>
        </w:tc>
        <w:tc>
          <w:tcPr>
            <w:tcW w:w="1170" w:type="dxa"/>
          </w:tcPr>
          <w:p w:rsidR="002677E7" w:rsidRPr="002677E7" w:rsidRDefault="002677E7" w:rsidP="002677E7">
            <w:pPr>
              <w:cnfStyle w:val="100000000000" w:firstRow="1" w:lastRow="0" w:firstColumn="0" w:lastColumn="0" w:oddVBand="0" w:evenVBand="0" w:oddHBand="0" w:evenHBand="0" w:firstRowFirstColumn="0" w:firstRowLastColumn="0" w:lastRowFirstColumn="0" w:lastRowLastColumn="0"/>
            </w:pPr>
            <w:r>
              <w:t>2014–15</w:t>
            </w:r>
          </w:p>
        </w:tc>
        <w:tc>
          <w:tcPr>
            <w:tcW w:w="1171" w:type="dxa"/>
          </w:tcPr>
          <w:p w:rsidR="002677E7" w:rsidRPr="002677E7" w:rsidRDefault="002677E7" w:rsidP="002677E7">
            <w:pPr>
              <w:cnfStyle w:val="100000000000" w:firstRow="1" w:lastRow="0" w:firstColumn="0" w:lastColumn="0" w:oddVBand="0" w:evenVBand="0" w:oddHBand="0" w:evenHBand="0" w:firstRowFirstColumn="0" w:firstRowLastColumn="0" w:lastRowFirstColumn="0" w:lastRowLastColumn="0"/>
            </w:pPr>
            <w:r>
              <w:t>2015–16</w:t>
            </w:r>
          </w:p>
        </w:tc>
        <w:tc>
          <w:tcPr>
            <w:tcW w:w="1171" w:type="dxa"/>
          </w:tcPr>
          <w:p w:rsidR="002677E7" w:rsidRPr="002677E7" w:rsidRDefault="002677E7" w:rsidP="002677E7">
            <w:pPr>
              <w:cnfStyle w:val="100000000000" w:firstRow="1" w:lastRow="0" w:firstColumn="0" w:lastColumn="0" w:oddVBand="0" w:evenVBand="0" w:oddHBand="0" w:evenHBand="0" w:firstRowFirstColumn="0" w:firstRowLastColumn="0" w:lastRowFirstColumn="0" w:lastRowLastColumn="0"/>
            </w:pPr>
            <w:r>
              <w:t>2016–17</w:t>
            </w:r>
          </w:p>
        </w:tc>
        <w:tc>
          <w:tcPr>
            <w:tcW w:w="1171" w:type="dxa"/>
          </w:tcPr>
          <w:p w:rsidR="002677E7" w:rsidRPr="002677E7" w:rsidRDefault="002677E7" w:rsidP="002677E7">
            <w:pPr>
              <w:cnfStyle w:val="100000000000" w:firstRow="1" w:lastRow="0" w:firstColumn="0" w:lastColumn="0" w:oddVBand="0" w:evenVBand="0" w:oddHBand="0" w:evenHBand="0" w:firstRowFirstColumn="0" w:firstRowLastColumn="0" w:lastRowFirstColumn="0" w:lastRowLastColumn="0"/>
            </w:pPr>
            <w:r>
              <w:t>2017–18</w:t>
            </w:r>
          </w:p>
        </w:tc>
        <w:tc>
          <w:tcPr>
            <w:tcW w:w="1171" w:type="dxa"/>
          </w:tcPr>
          <w:p w:rsidR="002677E7" w:rsidRPr="002677E7" w:rsidRDefault="002677E7" w:rsidP="002677E7">
            <w:pPr>
              <w:cnfStyle w:val="100000000000" w:firstRow="1" w:lastRow="0" w:firstColumn="0" w:lastColumn="0" w:oddVBand="0" w:evenVBand="0" w:oddHBand="0" w:evenHBand="0" w:firstRowFirstColumn="0" w:firstRowLastColumn="0" w:lastRowFirstColumn="0" w:lastRowLastColumn="0"/>
            </w:pPr>
            <w:r>
              <w:t>2018–19</w:t>
            </w:r>
          </w:p>
        </w:tc>
        <w:tc>
          <w:tcPr>
            <w:tcW w:w="1171" w:type="dxa"/>
          </w:tcPr>
          <w:p w:rsidR="002677E7" w:rsidRPr="002677E7" w:rsidRDefault="002677E7" w:rsidP="002677E7">
            <w:pPr>
              <w:cnfStyle w:val="100000000000" w:firstRow="1" w:lastRow="0" w:firstColumn="0" w:lastColumn="0" w:oddVBand="0" w:evenVBand="0" w:oddHBand="0" w:evenHBand="0" w:firstRowFirstColumn="0" w:firstRowLastColumn="0" w:lastRowFirstColumn="0" w:lastRowLastColumn="0"/>
            </w:pPr>
            <w:r>
              <w:t>2019–20</w:t>
            </w:r>
          </w:p>
        </w:tc>
      </w:tr>
      <w:tr w:rsidR="002677E7" w:rsidTr="006B2C1D">
        <w:tc>
          <w:tcPr>
            <w:cnfStyle w:val="001000000000" w:firstRow="0" w:lastRow="0" w:firstColumn="1" w:lastColumn="0" w:oddVBand="0" w:evenVBand="0" w:oddHBand="0" w:evenHBand="0" w:firstRowFirstColumn="0" w:firstRowLastColumn="0" w:lastRowFirstColumn="0" w:lastRowLastColumn="0"/>
            <w:tcW w:w="1668" w:type="dxa"/>
          </w:tcPr>
          <w:p w:rsidR="002677E7" w:rsidRPr="002677E7" w:rsidRDefault="002677E7" w:rsidP="002677E7">
            <w:pPr>
              <w:rPr>
                <w:rStyle w:val="Bold"/>
              </w:rPr>
            </w:pPr>
            <w:r w:rsidRPr="00053998">
              <w:rPr>
                <w:rStyle w:val="Bold"/>
              </w:rPr>
              <w:t>JGN</w:t>
            </w:r>
            <w:r w:rsidRPr="002677E7">
              <w:rPr>
                <w:rStyle w:val="FootnoteReference"/>
              </w:rPr>
              <w:footnoteReference w:id="10"/>
            </w:r>
          </w:p>
        </w:tc>
        <w:tc>
          <w:tcPr>
            <w:tcW w:w="1170" w:type="dxa"/>
          </w:tcPr>
          <w:p w:rsidR="002677E7" w:rsidRDefault="002677E7" w:rsidP="002677E7">
            <w:pPr>
              <w:cnfStyle w:val="000000000000" w:firstRow="0" w:lastRow="0" w:firstColumn="0" w:lastColumn="0" w:oddVBand="0" w:evenVBand="0" w:oddHBand="0" w:evenHBand="0" w:firstRowFirstColumn="0" w:firstRowLastColumn="0" w:lastRowFirstColumn="0" w:lastRowLastColumn="0"/>
            </w:pPr>
          </w:p>
        </w:tc>
        <w:tc>
          <w:tcPr>
            <w:tcW w:w="1171" w:type="dxa"/>
          </w:tcPr>
          <w:p w:rsidR="002677E7" w:rsidRDefault="002677E7" w:rsidP="002677E7">
            <w:pPr>
              <w:cnfStyle w:val="000000000000" w:firstRow="0" w:lastRow="0" w:firstColumn="0" w:lastColumn="0" w:oddVBand="0" w:evenVBand="0" w:oddHBand="0" w:evenHBand="0" w:firstRowFirstColumn="0" w:firstRowLastColumn="0" w:lastRowFirstColumn="0" w:lastRowLastColumn="0"/>
            </w:pPr>
          </w:p>
        </w:tc>
        <w:tc>
          <w:tcPr>
            <w:tcW w:w="1171" w:type="dxa"/>
          </w:tcPr>
          <w:p w:rsidR="002677E7" w:rsidRDefault="002677E7" w:rsidP="002677E7">
            <w:pPr>
              <w:cnfStyle w:val="000000000000" w:firstRow="0" w:lastRow="0" w:firstColumn="0" w:lastColumn="0" w:oddVBand="0" w:evenVBand="0" w:oddHBand="0" w:evenHBand="0" w:firstRowFirstColumn="0" w:firstRowLastColumn="0" w:lastRowFirstColumn="0" w:lastRowLastColumn="0"/>
            </w:pPr>
          </w:p>
        </w:tc>
        <w:tc>
          <w:tcPr>
            <w:tcW w:w="1171" w:type="dxa"/>
          </w:tcPr>
          <w:p w:rsidR="002677E7" w:rsidRDefault="002677E7" w:rsidP="002677E7">
            <w:pPr>
              <w:cnfStyle w:val="000000000000" w:firstRow="0" w:lastRow="0" w:firstColumn="0" w:lastColumn="0" w:oddVBand="0" w:evenVBand="0" w:oddHBand="0" w:evenHBand="0" w:firstRowFirstColumn="0" w:firstRowLastColumn="0" w:lastRowFirstColumn="0" w:lastRowLastColumn="0"/>
            </w:pPr>
          </w:p>
        </w:tc>
        <w:tc>
          <w:tcPr>
            <w:tcW w:w="1171" w:type="dxa"/>
          </w:tcPr>
          <w:p w:rsidR="002677E7" w:rsidRDefault="002677E7" w:rsidP="002677E7">
            <w:pPr>
              <w:cnfStyle w:val="000000000000" w:firstRow="0" w:lastRow="0" w:firstColumn="0" w:lastColumn="0" w:oddVBand="0" w:evenVBand="0" w:oddHBand="0" w:evenHBand="0" w:firstRowFirstColumn="0" w:firstRowLastColumn="0" w:lastRowFirstColumn="0" w:lastRowLastColumn="0"/>
            </w:pPr>
          </w:p>
        </w:tc>
        <w:tc>
          <w:tcPr>
            <w:tcW w:w="1171" w:type="dxa"/>
          </w:tcPr>
          <w:p w:rsidR="002677E7" w:rsidRDefault="002677E7" w:rsidP="002677E7">
            <w:pPr>
              <w:cnfStyle w:val="000000000000" w:firstRow="0" w:lastRow="0" w:firstColumn="0" w:lastColumn="0" w:oddVBand="0" w:evenVBand="0" w:oddHBand="0" w:evenHBand="0" w:firstRowFirstColumn="0" w:firstRowLastColumn="0" w:lastRowFirstColumn="0" w:lastRowLastColumn="0"/>
            </w:pPr>
          </w:p>
        </w:tc>
      </w:tr>
      <w:tr w:rsidR="002677E7" w:rsidTr="006B2C1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8" w:type="dxa"/>
          </w:tcPr>
          <w:p w:rsidR="002677E7" w:rsidRPr="002677E7" w:rsidRDefault="002677E7" w:rsidP="002677E7">
            <w:r w:rsidRPr="00533024">
              <w:t>Price growth</w:t>
            </w:r>
          </w:p>
        </w:tc>
        <w:tc>
          <w:tcPr>
            <w:tcW w:w="1170"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rsidRPr="00533024">
              <w:t xml:space="preserve"> 0.95 </w:t>
            </w:r>
          </w:p>
        </w:tc>
        <w:tc>
          <w:tcPr>
            <w:tcW w:w="1171"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 xml:space="preserve"> 0.70</w:t>
            </w:r>
            <w:r w:rsidRPr="002677E7">
              <w:t xml:space="preserve"> </w:t>
            </w:r>
          </w:p>
        </w:tc>
        <w:tc>
          <w:tcPr>
            <w:tcW w:w="1171"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 xml:space="preserve"> 0.95</w:t>
            </w:r>
            <w:r w:rsidRPr="002677E7">
              <w:t xml:space="preserve"> </w:t>
            </w:r>
          </w:p>
        </w:tc>
        <w:tc>
          <w:tcPr>
            <w:tcW w:w="1171"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 xml:space="preserve"> 1.23</w:t>
            </w:r>
            <w:r w:rsidRPr="002677E7">
              <w:t xml:space="preserve"> </w:t>
            </w:r>
          </w:p>
        </w:tc>
        <w:tc>
          <w:tcPr>
            <w:tcW w:w="1171"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 xml:space="preserve"> 1.28</w:t>
            </w:r>
            <w:r w:rsidRPr="002677E7">
              <w:t xml:space="preserve"> </w:t>
            </w:r>
          </w:p>
        </w:tc>
        <w:tc>
          <w:tcPr>
            <w:tcW w:w="1171"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 xml:space="preserve"> 1.34</w:t>
            </w:r>
            <w:r w:rsidRPr="002677E7">
              <w:t xml:space="preserve"> </w:t>
            </w:r>
          </w:p>
        </w:tc>
      </w:tr>
      <w:tr w:rsidR="002677E7" w:rsidTr="006B2C1D">
        <w:tc>
          <w:tcPr>
            <w:cnfStyle w:val="001000000000" w:firstRow="0" w:lastRow="0" w:firstColumn="1" w:lastColumn="0" w:oddVBand="0" w:evenVBand="0" w:oddHBand="0" w:evenHBand="0" w:firstRowFirstColumn="0" w:firstRowLastColumn="0" w:lastRowFirstColumn="0" w:lastRowLastColumn="0"/>
            <w:tcW w:w="1668" w:type="dxa"/>
          </w:tcPr>
          <w:p w:rsidR="002677E7" w:rsidRPr="002677E7" w:rsidRDefault="002677E7" w:rsidP="002677E7">
            <w:r w:rsidRPr="00533024">
              <w:t>Output growth</w:t>
            </w:r>
          </w:p>
        </w:tc>
        <w:tc>
          <w:tcPr>
            <w:tcW w:w="1170" w:type="dxa"/>
            <w:vAlign w:val="bottom"/>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pPr>
            <w:r>
              <w:t>–</w:t>
            </w:r>
            <w:r w:rsidRPr="002677E7">
              <w:t>4.29</w:t>
            </w:r>
          </w:p>
        </w:tc>
        <w:tc>
          <w:tcPr>
            <w:tcW w:w="1171" w:type="dxa"/>
            <w:vAlign w:val="bottom"/>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pPr>
            <w:r w:rsidRPr="00533024">
              <w:t xml:space="preserve"> 0.03</w:t>
            </w:r>
          </w:p>
        </w:tc>
        <w:tc>
          <w:tcPr>
            <w:tcW w:w="1171" w:type="dxa"/>
            <w:vAlign w:val="bottom"/>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pPr>
            <w:r>
              <w:t xml:space="preserve"> 0.30</w:t>
            </w:r>
            <w:r w:rsidRPr="002677E7">
              <w:t xml:space="preserve"> </w:t>
            </w:r>
          </w:p>
        </w:tc>
        <w:tc>
          <w:tcPr>
            <w:tcW w:w="1171" w:type="dxa"/>
            <w:vAlign w:val="bottom"/>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pPr>
            <w:r w:rsidRPr="00533024">
              <w:t xml:space="preserve"> 0.18 </w:t>
            </w:r>
          </w:p>
        </w:tc>
        <w:tc>
          <w:tcPr>
            <w:tcW w:w="1171" w:type="dxa"/>
            <w:vAlign w:val="bottom"/>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pPr>
            <w:r>
              <w:t xml:space="preserve"> 0.09</w:t>
            </w:r>
            <w:r w:rsidRPr="002677E7">
              <w:t xml:space="preserve"> </w:t>
            </w:r>
          </w:p>
        </w:tc>
        <w:tc>
          <w:tcPr>
            <w:tcW w:w="1171" w:type="dxa"/>
            <w:vAlign w:val="bottom"/>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pPr>
            <w:r>
              <w:t xml:space="preserve"> 0.10</w:t>
            </w:r>
            <w:r w:rsidRPr="002677E7">
              <w:t xml:space="preserve"> </w:t>
            </w:r>
          </w:p>
        </w:tc>
      </w:tr>
      <w:tr w:rsidR="002677E7" w:rsidTr="006B2C1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8" w:type="dxa"/>
          </w:tcPr>
          <w:p w:rsidR="002677E7" w:rsidRPr="002677E7" w:rsidRDefault="002677E7" w:rsidP="002677E7">
            <w:r w:rsidRPr="00533024">
              <w:t>Productivity growth</w:t>
            </w:r>
          </w:p>
        </w:tc>
        <w:tc>
          <w:tcPr>
            <w:tcW w:w="1170"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w:t>
            </w:r>
            <w:r w:rsidRPr="002677E7">
              <w:t>1.73</w:t>
            </w:r>
          </w:p>
        </w:tc>
        <w:tc>
          <w:tcPr>
            <w:tcW w:w="1171"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 xml:space="preserve"> 0.14</w:t>
            </w:r>
            <w:r w:rsidRPr="002677E7">
              <w:t xml:space="preserve"> </w:t>
            </w:r>
          </w:p>
        </w:tc>
        <w:tc>
          <w:tcPr>
            <w:tcW w:w="1171"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 xml:space="preserve"> 0.62</w:t>
            </w:r>
            <w:r w:rsidRPr="002677E7">
              <w:t xml:space="preserve"> </w:t>
            </w:r>
          </w:p>
        </w:tc>
        <w:tc>
          <w:tcPr>
            <w:tcW w:w="1171"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 xml:space="preserve"> 0.52</w:t>
            </w:r>
            <w:r w:rsidRPr="002677E7">
              <w:t xml:space="preserve"> </w:t>
            </w:r>
          </w:p>
        </w:tc>
        <w:tc>
          <w:tcPr>
            <w:tcW w:w="1171"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 xml:space="preserve"> 0.83</w:t>
            </w:r>
            <w:r w:rsidRPr="002677E7">
              <w:t xml:space="preserve"> </w:t>
            </w:r>
          </w:p>
        </w:tc>
        <w:tc>
          <w:tcPr>
            <w:tcW w:w="1171"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 xml:space="preserve"> 0.92</w:t>
            </w:r>
            <w:r w:rsidRPr="002677E7">
              <w:t xml:space="preserve"> </w:t>
            </w:r>
          </w:p>
        </w:tc>
      </w:tr>
      <w:tr w:rsidR="002677E7" w:rsidTr="006B2C1D">
        <w:tc>
          <w:tcPr>
            <w:cnfStyle w:val="001000000000" w:firstRow="0" w:lastRow="0" w:firstColumn="1" w:lastColumn="0" w:oddVBand="0" w:evenVBand="0" w:oddHBand="0" w:evenHBand="0" w:firstRowFirstColumn="0" w:firstRowLastColumn="0" w:lastRowFirstColumn="0" w:lastRowLastColumn="0"/>
            <w:tcW w:w="1668" w:type="dxa"/>
          </w:tcPr>
          <w:p w:rsidR="002677E7" w:rsidRPr="002677E7" w:rsidRDefault="002677E7" w:rsidP="002677E7">
            <w:pPr>
              <w:rPr>
                <w:rStyle w:val="Bold"/>
              </w:rPr>
            </w:pPr>
            <w:r w:rsidRPr="00533024">
              <w:rPr>
                <w:rStyle w:val="Bold"/>
              </w:rPr>
              <w:t>Overall</w:t>
            </w:r>
          </w:p>
        </w:tc>
        <w:tc>
          <w:tcPr>
            <w:tcW w:w="1170" w:type="dxa"/>
            <w:vAlign w:val="bottom"/>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rPr>
                <w:rStyle w:val="Strong"/>
              </w:rPr>
            </w:pPr>
            <w:r w:rsidRPr="00E67B60">
              <w:rPr>
                <w:rStyle w:val="Strong"/>
              </w:rPr>
              <w:t>–1.71</w:t>
            </w:r>
          </w:p>
        </w:tc>
        <w:tc>
          <w:tcPr>
            <w:tcW w:w="1171" w:type="dxa"/>
            <w:vAlign w:val="bottom"/>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rPr>
                <w:rStyle w:val="Strong"/>
              </w:rPr>
            </w:pPr>
            <w:r w:rsidRPr="00E67B60">
              <w:rPr>
                <w:rStyle w:val="Strong"/>
              </w:rPr>
              <w:t xml:space="preserve"> 0.59 </w:t>
            </w:r>
          </w:p>
        </w:tc>
        <w:tc>
          <w:tcPr>
            <w:tcW w:w="1171" w:type="dxa"/>
            <w:vAlign w:val="bottom"/>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rPr>
                <w:rStyle w:val="Strong"/>
              </w:rPr>
            </w:pPr>
            <w:r w:rsidRPr="00E67B60">
              <w:rPr>
                <w:rStyle w:val="Strong"/>
              </w:rPr>
              <w:t xml:space="preserve"> 0.63 </w:t>
            </w:r>
          </w:p>
        </w:tc>
        <w:tc>
          <w:tcPr>
            <w:tcW w:w="1171" w:type="dxa"/>
            <w:vAlign w:val="bottom"/>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rPr>
                <w:rStyle w:val="Strong"/>
              </w:rPr>
            </w:pPr>
            <w:r w:rsidRPr="00E67B60">
              <w:rPr>
                <w:rStyle w:val="Strong"/>
              </w:rPr>
              <w:t xml:space="preserve"> 0.89 </w:t>
            </w:r>
          </w:p>
        </w:tc>
        <w:tc>
          <w:tcPr>
            <w:tcW w:w="1171" w:type="dxa"/>
            <w:vAlign w:val="bottom"/>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rPr>
                <w:rStyle w:val="Strong"/>
              </w:rPr>
            </w:pPr>
            <w:r w:rsidRPr="00E67B60">
              <w:rPr>
                <w:rStyle w:val="Strong"/>
              </w:rPr>
              <w:t xml:space="preserve"> 0.52 </w:t>
            </w:r>
          </w:p>
        </w:tc>
        <w:tc>
          <w:tcPr>
            <w:tcW w:w="1171" w:type="dxa"/>
            <w:vAlign w:val="bottom"/>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rPr>
                <w:rStyle w:val="Strong"/>
              </w:rPr>
            </w:pPr>
            <w:r w:rsidRPr="00E67B60">
              <w:rPr>
                <w:rStyle w:val="Strong"/>
              </w:rPr>
              <w:t xml:space="preserve"> 0.51 </w:t>
            </w:r>
          </w:p>
        </w:tc>
      </w:tr>
      <w:tr w:rsidR="002677E7" w:rsidTr="006B2C1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8" w:type="dxa"/>
          </w:tcPr>
          <w:p w:rsidR="002677E7" w:rsidRDefault="002677E7" w:rsidP="002677E7"/>
        </w:tc>
        <w:tc>
          <w:tcPr>
            <w:tcW w:w="1170" w:type="dxa"/>
          </w:tcPr>
          <w:p w:rsidR="002677E7" w:rsidRDefault="002677E7" w:rsidP="002677E7">
            <w:pPr>
              <w:cnfStyle w:val="000000010000" w:firstRow="0" w:lastRow="0" w:firstColumn="0" w:lastColumn="0" w:oddVBand="0" w:evenVBand="0" w:oddHBand="0" w:evenHBand="1" w:firstRowFirstColumn="0" w:firstRowLastColumn="0" w:lastRowFirstColumn="0" w:lastRowLastColumn="0"/>
            </w:pPr>
          </w:p>
        </w:tc>
        <w:tc>
          <w:tcPr>
            <w:tcW w:w="1171" w:type="dxa"/>
          </w:tcPr>
          <w:p w:rsidR="002677E7" w:rsidRDefault="002677E7" w:rsidP="002677E7">
            <w:pPr>
              <w:cnfStyle w:val="000000010000" w:firstRow="0" w:lastRow="0" w:firstColumn="0" w:lastColumn="0" w:oddVBand="0" w:evenVBand="0" w:oddHBand="0" w:evenHBand="1" w:firstRowFirstColumn="0" w:firstRowLastColumn="0" w:lastRowFirstColumn="0" w:lastRowLastColumn="0"/>
            </w:pPr>
          </w:p>
        </w:tc>
        <w:tc>
          <w:tcPr>
            <w:tcW w:w="1171" w:type="dxa"/>
          </w:tcPr>
          <w:p w:rsidR="002677E7" w:rsidRDefault="002677E7" w:rsidP="002677E7">
            <w:pPr>
              <w:cnfStyle w:val="000000010000" w:firstRow="0" w:lastRow="0" w:firstColumn="0" w:lastColumn="0" w:oddVBand="0" w:evenVBand="0" w:oddHBand="0" w:evenHBand="1" w:firstRowFirstColumn="0" w:firstRowLastColumn="0" w:lastRowFirstColumn="0" w:lastRowLastColumn="0"/>
            </w:pPr>
          </w:p>
        </w:tc>
        <w:tc>
          <w:tcPr>
            <w:tcW w:w="1171" w:type="dxa"/>
          </w:tcPr>
          <w:p w:rsidR="002677E7" w:rsidRDefault="002677E7" w:rsidP="002677E7">
            <w:pPr>
              <w:cnfStyle w:val="000000010000" w:firstRow="0" w:lastRow="0" w:firstColumn="0" w:lastColumn="0" w:oddVBand="0" w:evenVBand="0" w:oddHBand="0" w:evenHBand="1" w:firstRowFirstColumn="0" w:firstRowLastColumn="0" w:lastRowFirstColumn="0" w:lastRowLastColumn="0"/>
            </w:pPr>
          </w:p>
        </w:tc>
        <w:tc>
          <w:tcPr>
            <w:tcW w:w="1171" w:type="dxa"/>
          </w:tcPr>
          <w:p w:rsidR="002677E7" w:rsidRDefault="002677E7" w:rsidP="002677E7">
            <w:pPr>
              <w:cnfStyle w:val="000000010000" w:firstRow="0" w:lastRow="0" w:firstColumn="0" w:lastColumn="0" w:oddVBand="0" w:evenVBand="0" w:oddHBand="0" w:evenHBand="1" w:firstRowFirstColumn="0" w:firstRowLastColumn="0" w:lastRowFirstColumn="0" w:lastRowLastColumn="0"/>
            </w:pPr>
          </w:p>
        </w:tc>
        <w:tc>
          <w:tcPr>
            <w:tcW w:w="1171" w:type="dxa"/>
          </w:tcPr>
          <w:p w:rsidR="002677E7" w:rsidRDefault="002677E7" w:rsidP="002677E7">
            <w:pPr>
              <w:cnfStyle w:val="000000010000" w:firstRow="0" w:lastRow="0" w:firstColumn="0" w:lastColumn="0" w:oddVBand="0" w:evenVBand="0" w:oddHBand="0" w:evenHBand="1" w:firstRowFirstColumn="0" w:firstRowLastColumn="0" w:lastRowFirstColumn="0" w:lastRowLastColumn="0"/>
            </w:pPr>
          </w:p>
        </w:tc>
      </w:tr>
      <w:tr w:rsidR="002677E7" w:rsidTr="006B2C1D">
        <w:tc>
          <w:tcPr>
            <w:cnfStyle w:val="001000000000" w:firstRow="0" w:lastRow="0" w:firstColumn="1" w:lastColumn="0" w:oddVBand="0" w:evenVBand="0" w:oddHBand="0" w:evenHBand="0" w:firstRowFirstColumn="0" w:firstRowLastColumn="0" w:lastRowFirstColumn="0" w:lastRowLastColumn="0"/>
            <w:tcW w:w="1668" w:type="dxa"/>
          </w:tcPr>
          <w:p w:rsidR="002677E7" w:rsidRPr="002677E7" w:rsidRDefault="002677E7" w:rsidP="002677E7">
            <w:pPr>
              <w:rPr>
                <w:rStyle w:val="Bold"/>
              </w:rPr>
            </w:pPr>
            <w:r w:rsidRPr="00053998">
              <w:rPr>
                <w:rStyle w:val="Bold"/>
              </w:rPr>
              <w:t>AER</w:t>
            </w:r>
          </w:p>
        </w:tc>
        <w:tc>
          <w:tcPr>
            <w:tcW w:w="1170" w:type="dxa"/>
          </w:tcPr>
          <w:p w:rsidR="002677E7" w:rsidRDefault="002677E7" w:rsidP="002677E7">
            <w:pPr>
              <w:cnfStyle w:val="000000000000" w:firstRow="0" w:lastRow="0" w:firstColumn="0" w:lastColumn="0" w:oddVBand="0" w:evenVBand="0" w:oddHBand="0" w:evenHBand="0" w:firstRowFirstColumn="0" w:firstRowLastColumn="0" w:lastRowFirstColumn="0" w:lastRowLastColumn="0"/>
            </w:pPr>
          </w:p>
        </w:tc>
        <w:tc>
          <w:tcPr>
            <w:tcW w:w="1171" w:type="dxa"/>
          </w:tcPr>
          <w:p w:rsidR="002677E7" w:rsidRDefault="002677E7" w:rsidP="002677E7">
            <w:pPr>
              <w:cnfStyle w:val="000000000000" w:firstRow="0" w:lastRow="0" w:firstColumn="0" w:lastColumn="0" w:oddVBand="0" w:evenVBand="0" w:oddHBand="0" w:evenHBand="0" w:firstRowFirstColumn="0" w:firstRowLastColumn="0" w:lastRowFirstColumn="0" w:lastRowLastColumn="0"/>
            </w:pPr>
          </w:p>
        </w:tc>
        <w:tc>
          <w:tcPr>
            <w:tcW w:w="1171" w:type="dxa"/>
          </w:tcPr>
          <w:p w:rsidR="002677E7" w:rsidRDefault="002677E7" w:rsidP="002677E7">
            <w:pPr>
              <w:cnfStyle w:val="000000000000" w:firstRow="0" w:lastRow="0" w:firstColumn="0" w:lastColumn="0" w:oddVBand="0" w:evenVBand="0" w:oddHBand="0" w:evenHBand="0" w:firstRowFirstColumn="0" w:firstRowLastColumn="0" w:lastRowFirstColumn="0" w:lastRowLastColumn="0"/>
            </w:pPr>
          </w:p>
        </w:tc>
        <w:tc>
          <w:tcPr>
            <w:tcW w:w="1171" w:type="dxa"/>
          </w:tcPr>
          <w:p w:rsidR="002677E7" w:rsidRDefault="002677E7" w:rsidP="002677E7">
            <w:pPr>
              <w:cnfStyle w:val="000000000000" w:firstRow="0" w:lastRow="0" w:firstColumn="0" w:lastColumn="0" w:oddVBand="0" w:evenVBand="0" w:oddHBand="0" w:evenHBand="0" w:firstRowFirstColumn="0" w:firstRowLastColumn="0" w:lastRowFirstColumn="0" w:lastRowLastColumn="0"/>
            </w:pPr>
          </w:p>
        </w:tc>
        <w:tc>
          <w:tcPr>
            <w:tcW w:w="1171" w:type="dxa"/>
          </w:tcPr>
          <w:p w:rsidR="002677E7" w:rsidRDefault="002677E7" w:rsidP="002677E7">
            <w:pPr>
              <w:cnfStyle w:val="000000000000" w:firstRow="0" w:lastRow="0" w:firstColumn="0" w:lastColumn="0" w:oddVBand="0" w:evenVBand="0" w:oddHBand="0" w:evenHBand="0" w:firstRowFirstColumn="0" w:firstRowLastColumn="0" w:lastRowFirstColumn="0" w:lastRowLastColumn="0"/>
            </w:pPr>
          </w:p>
        </w:tc>
        <w:tc>
          <w:tcPr>
            <w:tcW w:w="1171" w:type="dxa"/>
          </w:tcPr>
          <w:p w:rsidR="002677E7" w:rsidRDefault="002677E7" w:rsidP="002677E7">
            <w:pPr>
              <w:cnfStyle w:val="000000000000" w:firstRow="0" w:lastRow="0" w:firstColumn="0" w:lastColumn="0" w:oddVBand="0" w:evenVBand="0" w:oddHBand="0" w:evenHBand="0" w:firstRowFirstColumn="0" w:firstRowLastColumn="0" w:lastRowFirstColumn="0" w:lastRowLastColumn="0"/>
            </w:pPr>
          </w:p>
        </w:tc>
      </w:tr>
      <w:tr w:rsidR="002677E7" w:rsidTr="006B2C1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8" w:type="dxa"/>
          </w:tcPr>
          <w:p w:rsidR="002677E7" w:rsidRPr="002677E7" w:rsidRDefault="002677E7" w:rsidP="002677E7">
            <w:r w:rsidRPr="00A15F5D">
              <w:t>Price growth</w:t>
            </w:r>
          </w:p>
        </w:tc>
        <w:tc>
          <w:tcPr>
            <w:tcW w:w="1170"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rsidRPr="00A15F5D">
              <w:t xml:space="preserve"> 0.43</w:t>
            </w:r>
          </w:p>
        </w:tc>
        <w:tc>
          <w:tcPr>
            <w:tcW w:w="1171"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 xml:space="preserve"> 0.39</w:t>
            </w:r>
            <w:r w:rsidRPr="002677E7">
              <w:t xml:space="preserve"> </w:t>
            </w:r>
          </w:p>
        </w:tc>
        <w:tc>
          <w:tcPr>
            <w:tcW w:w="1171"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 xml:space="preserve"> 0.57</w:t>
            </w:r>
            <w:r w:rsidRPr="002677E7">
              <w:t xml:space="preserve"> </w:t>
            </w:r>
          </w:p>
        </w:tc>
        <w:tc>
          <w:tcPr>
            <w:tcW w:w="1171"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 xml:space="preserve"> 0.78</w:t>
            </w:r>
            <w:r w:rsidRPr="002677E7">
              <w:t xml:space="preserve"> </w:t>
            </w:r>
          </w:p>
        </w:tc>
        <w:tc>
          <w:tcPr>
            <w:tcW w:w="1171"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 xml:space="preserve"> 0.92</w:t>
            </w:r>
            <w:r w:rsidRPr="002677E7">
              <w:t xml:space="preserve"> </w:t>
            </w:r>
          </w:p>
        </w:tc>
        <w:tc>
          <w:tcPr>
            <w:tcW w:w="1171"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 xml:space="preserve"> 0.96</w:t>
            </w:r>
            <w:r w:rsidRPr="002677E7">
              <w:t xml:space="preserve"> </w:t>
            </w:r>
          </w:p>
        </w:tc>
      </w:tr>
      <w:tr w:rsidR="002677E7" w:rsidTr="006B2C1D">
        <w:tc>
          <w:tcPr>
            <w:cnfStyle w:val="001000000000" w:firstRow="0" w:lastRow="0" w:firstColumn="1" w:lastColumn="0" w:oddVBand="0" w:evenVBand="0" w:oddHBand="0" w:evenHBand="0" w:firstRowFirstColumn="0" w:firstRowLastColumn="0" w:lastRowFirstColumn="0" w:lastRowLastColumn="0"/>
            <w:tcW w:w="1668" w:type="dxa"/>
          </w:tcPr>
          <w:p w:rsidR="002677E7" w:rsidRPr="002677E7" w:rsidRDefault="002677E7" w:rsidP="002677E7">
            <w:r w:rsidRPr="00E67B60">
              <w:t>Output growth</w:t>
            </w:r>
          </w:p>
        </w:tc>
        <w:tc>
          <w:tcPr>
            <w:tcW w:w="1170" w:type="dxa"/>
            <w:vAlign w:val="bottom"/>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pPr>
            <w:r>
              <w:t>–</w:t>
            </w:r>
            <w:r w:rsidRPr="002677E7">
              <w:t>4.</w:t>
            </w:r>
            <w:r w:rsidR="00D05D3F">
              <w:t>20</w:t>
            </w:r>
          </w:p>
        </w:tc>
        <w:tc>
          <w:tcPr>
            <w:tcW w:w="1171" w:type="dxa"/>
            <w:vAlign w:val="bottom"/>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pPr>
            <w:r>
              <w:t xml:space="preserve"> 0.1</w:t>
            </w:r>
            <w:r w:rsidR="00D05D3F">
              <w:t>1</w:t>
            </w:r>
            <w:r w:rsidRPr="002677E7">
              <w:t xml:space="preserve"> </w:t>
            </w:r>
          </w:p>
        </w:tc>
        <w:tc>
          <w:tcPr>
            <w:tcW w:w="1171" w:type="dxa"/>
            <w:vAlign w:val="bottom"/>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pPr>
            <w:r>
              <w:t xml:space="preserve"> 0.</w:t>
            </w:r>
            <w:r w:rsidR="00D05D3F">
              <w:t>39</w:t>
            </w:r>
            <w:r w:rsidRPr="002677E7">
              <w:t xml:space="preserve"> </w:t>
            </w:r>
          </w:p>
        </w:tc>
        <w:tc>
          <w:tcPr>
            <w:tcW w:w="1171" w:type="dxa"/>
            <w:vAlign w:val="bottom"/>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pPr>
            <w:r>
              <w:t xml:space="preserve"> 0.</w:t>
            </w:r>
            <w:r w:rsidR="00D05D3F">
              <w:t>27</w:t>
            </w:r>
            <w:r w:rsidRPr="002677E7">
              <w:t xml:space="preserve"> </w:t>
            </w:r>
          </w:p>
        </w:tc>
        <w:tc>
          <w:tcPr>
            <w:tcW w:w="1171" w:type="dxa"/>
            <w:vAlign w:val="bottom"/>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pPr>
            <w:r>
              <w:t xml:space="preserve"> 0.</w:t>
            </w:r>
            <w:r w:rsidR="00D05D3F">
              <w:t>20</w:t>
            </w:r>
            <w:r w:rsidRPr="002677E7">
              <w:t xml:space="preserve"> </w:t>
            </w:r>
          </w:p>
        </w:tc>
        <w:tc>
          <w:tcPr>
            <w:tcW w:w="1171" w:type="dxa"/>
            <w:vAlign w:val="bottom"/>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pPr>
            <w:r w:rsidRPr="00E67B60">
              <w:t xml:space="preserve"> 0.</w:t>
            </w:r>
            <w:r w:rsidR="00D05D3F">
              <w:t>23</w:t>
            </w:r>
            <w:r w:rsidRPr="00E67B60">
              <w:t xml:space="preserve"> </w:t>
            </w:r>
          </w:p>
        </w:tc>
      </w:tr>
      <w:tr w:rsidR="002677E7" w:rsidTr="006B2C1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8" w:type="dxa"/>
          </w:tcPr>
          <w:p w:rsidR="002677E7" w:rsidRPr="002677E7" w:rsidRDefault="002677E7" w:rsidP="002677E7">
            <w:r w:rsidRPr="00E67B60">
              <w:t>Productivity growth</w:t>
            </w:r>
          </w:p>
        </w:tc>
        <w:tc>
          <w:tcPr>
            <w:tcW w:w="1170"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w:t>
            </w:r>
            <w:r w:rsidRPr="002677E7">
              <w:t>1.73</w:t>
            </w:r>
          </w:p>
        </w:tc>
        <w:tc>
          <w:tcPr>
            <w:tcW w:w="1171"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 xml:space="preserve"> 0.14</w:t>
            </w:r>
            <w:r w:rsidRPr="002677E7">
              <w:t xml:space="preserve"> </w:t>
            </w:r>
          </w:p>
        </w:tc>
        <w:tc>
          <w:tcPr>
            <w:tcW w:w="1171"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 xml:space="preserve"> 0.62</w:t>
            </w:r>
            <w:r w:rsidRPr="002677E7">
              <w:t xml:space="preserve"> </w:t>
            </w:r>
          </w:p>
        </w:tc>
        <w:tc>
          <w:tcPr>
            <w:tcW w:w="1171"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 xml:space="preserve"> 0.52</w:t>
            </w:r>
            <w:r w:rsidRPr="002677E7">
              <w:t xml:space="preserve"> </w:t>
            </w:r>
          </w:p>
        </w:tc>
        <w:tc>
          <w:tcPr>
            <w:tcW w:w="1171"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 xml:space="preserve"> 0.83</w:t>
            </w:r>
            <w:r w:rsidRPr="002677E7">
              <w:t xml:space="preserve"> </w:t>
            </w:r>
          </w:p>
        </w:tc>
        <w:tc>
          <w:tcPr>
            <w:tcW w:w="1171"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 xml:space="preserve"> 0.92</w:t>
            </w:r>
            <w:r w:rsidRPr="002677E7">
              <w:t xml:space="preserve"> </w:t>
            </w:r>
          </w:p>
        </w:tc>
      </w:tr>
      <w:tr w:rsidR="002677E7" w:rsidTr="006B2C1D">
        <w:tc>
          <w:tcPr>
            <w:cnfStyle w:val="001000000000" w:firstRow="0" w:lastRow="0" w:firstColumn="1" w:lastColumn="0" w:oddVBand="0" w:evenVBand="0" w:oddHBand="0" w:evenHBand="0" w:firstRowFirstColumn="0" w:firstRowLastColumn="0" w:lastRowFirstColumn="0" w:lastRowLastColumn="0"/>
            <w:tcW w:w="1668" w:type="dxa"/>
          </w:tcPr>
          <w:p w:rsidR="002677E7" w:rsidRPr="002677E7" w:rsidRDefault="002677E7" w:rsidP="002677E7">
            <w:pPr>
              <w:rPr>
                <w:rStyle w:val="Bold"/>
              </w:rPr>
            </w:pPr>
            <w:r w:rsidRPr="00E67B60">
              <w:rPr>
                <w:rStyle w:val="Bold"/>
              </w:rPr>
              <w:t>Overall</w:t>
            </w:r>
          </w:p>
        </w:tc>
        <w:tc>
          <w:tcPr>
            <w:tcW w:w="1170" w:type="dxa"/>
            <w:vAlign w:val="bottom"/>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rPr>
                <w:rStyle w:val="Strong"/>
              </w:rPr>
            </w:pPr>
            <w:r w:rsidRPr="00E67B60">
              <w:rPr>
                <w:rStyle w:val="Strong"/>
              </w:rPr>
              <w:t>–2.1</w:t>
            </w:r>
            <w:r w:rsidR="00D05D3F">
              <w:rPr>
                <w:rStyle w:val="Strong"/>
              </w:rPr>
              <w:t>2</w:t>
            </w:r>
          </w:p>
        </w:tc>
        <w:tc>
          <w:tcPr>
            <w:tcW w:w="1171" w:type="dxa"/>
            <w:vAlign w:val="bottom"/>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rPr>
                <w:rStyle w:val="Strong"/>
              </w:rPr>
            </w:pPr>
            <w:r w:rsidRPr="00E67B60">
              <w:rPr>
                <w:rStyle w:val="Strong"/>
              </w:rPr>
              <w:t xml:space="preserve"> 0.3</w:t>
            </w:r>
            <w:r w:rsidR="00D05D3F">
              <w:rPr>
                <w:rStyle w:val="Strong"/>
              </w:rPr>
              <w:t>6</w:t>
            </w:r>
            <w:r w:rsidRPr="00E67B60">
              <w:rPr>
                <w:rStyle w:val="Strong"/>
              </w:rPr>
              <w:t xml:space="preserve"> </w:t>
            </w:r>
          </w:p>
        </w:tc>
        <w:tc>
          <w:tcPr>
            <w:tcW w:w="1171" w:type="dxa"/>
            <w:vAlign w:val="bottom"/>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rPr>
                <w:rStyle w:val="Strong"/>
              </w:rPr>
            </w:pPr>
            <w:r w:rsidRPr="00E67B60">
              <w:rPr>
                <w:rStyle w:val="Strong"/>
              </w:rPr>
              <w:t xml:space="preserve"> 0.</w:t>
            </w:r>
            <w:r w:rsidR="00D05D3F">
              <w:rPr>
                <w:rStyle w:val="Strong"/>
              </w:rPr>
              <w:t>22</w:t>
            </w:r>
            <w:r w:rsidRPr="00E67B60">
              <w:rPr>
                <w:rStyle w:val="Strong"/>
              </w:rPr>
              <w:t xml:space="preserve"> </w:t>
            </w:r>
          </w:p>
        </w:tc>
        <w:tc>
          <w:tcPr>
            <w:tcW w:w="1171" w:type="dxa"/>
            <w:vAlign w:val="bottom"/>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rPr>
                <w:rStyle w:val="Strong"/>
              </w:rPr>
            </w:pPr>
            <w:r w:rsidRPr="00E67B60">
              <w:rPr>
                <w:rStyle w:val="Strong"/>
              </w:rPr>
              <w:t xml:space="preserve"> 0.</w:t>
            </w:r>
            <w:r w:rsidR="00D05D3F">
              <w:rPr>
                <w:rStyle w:val="Strong"/>
              </w:rPr>
              <w:t>54</w:t>
            </w:r>
            <w:r w:rsidRPr="00E67B60">
              <w:rPr>
                <w:rStyle w:val="Strong"/>
              </w:rPr>
              <w:t xml:space="preserve"> </w:t>
            </w:r>
          </w:p>
        </w:tc>
        <w:tc>
          <w:tcPr>
            <w:tcW w:w="1171" w:type="dxa"/>
            <w:vAlign w:val="bottom"/>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rPr>
                <w:rStyle w:val="Strong"/>
              </w:rPr>
            </w:pPr>
            <w:r w:rsidRPr="00E67B60">
              <w:rPr>
                <w:rStyle w:val="Strong"/>
              </w:rPr>
              <w:t xml:space="preserve"> 0.</w:t>
            </w:r>
            <w:r w:rsidR="00D05D3F">
              <w:rPr>
                <w:rStyle w:val="Strong"/>
              </w:rPr>
              <w:t>28</w:t>
            </w:r>
            <w:r w:rsidRPr="00E67B60">
              <w:rPr>
                <w:rStyle w:val="Strong"/>
              </w:rPr>
              <w:t xml:space="preserve"> </w:t>
            </w:r>
          </w:p>
        </w:tc>
        <w:tc>
          <w:tcPr>
            <w:tcW w:w="1171" w:type="dxa"/>
            <w:vAlign w:val="bottom"/>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rPr>
                <w:rStyle w:val="Strong"/>
              </w:rPr>
            </w:pPr>
            <w:r w:rsidRPr="00E67B60">
              <w:rPr>
                <w:rStyle w:val="Strong"/>
              </w:rPr>
              <w:t xml:space="preserve"> 0.</w:t>
            </w:r>
            <w:r w:rsidR="00D05D3F">
              <w:rPr>
                <w:rStyle w:val="Strong"/>
              </w:rPr>
              <w:t>27</w:t>
            </w:r>
            <w:r w:rsidRPr="00E67B60">
              <w:rPr>
                <w:rStyle w:val="Strong"/>
              </w:rPr>
              <w:t xml:space="preserve"> </w:t>
            </w:r>
          </w:p>
        </w:tc>
      </w:tr>
      <w:tr w:rsidR="002677E7" w:rsidTr="006B2C1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8" w:type="dxa"/>
          </w:tcPr>
          <w:p w:rsidR="002677E7" w:rsidRPr="002677E7" w:rsidRDefault="002677E7" w:rsidP="002677E7">
            <w:pPr>
              <w:rPr>
                <w:rStyle w:val="Bold"/>
              </w:rPr>
            </w:pPr>
            <w:r w:rsidRPr="00E67B60">
              <w:rPr>
                <w:rStyle w:val="Bold"/>
              </w:rPr>
              <w:t>Difference</w:t>
            </w:r>
          </w:p>
        </w:tc>
        <w:tc>
          <w:tcPr>
            <w:tcW w:w="1170" w:type="dxa"/>
            <w:vAlign w:val="bottom"/>
          </w:tcPr>
          <w:p w:rsidR="002677E7" w:rsidRPr="002677E7" w:rsidRDefault="000C5286" w:rsidP="002677E7">
            <w:pPr>
              <w:cnfStyle w:val="000000010000" w:firstRow="0" w:lastRow="0" w:firstColumn="0" w:lastColumn="0" w:oddVBand="0" w:evenVBand="0" w:oddHBand="0" w:evenHBand="1" w:firstRowFirstColumn="0" w:firstRowLastColumn="0" w:lastRowFirstColumn="0" w:lastRowLastColumn="0"/>
              <w:rPr>
                <w:rStyle w:val="Strong"/>
              </w:rPr>
            </w:pPr>
            <w:r>
              <w:rPr>
                <w:rStyle w:val="Strong"/>
              </w:rPr>
              <w:t>–</w:t>
            </w:r>
            <w:r w:rsidR="002677E7" w:rsidRPr="00F75195">
              <w:rPr>
                <w:rStyle w:val="Strong"/>
              </w:rPr>
              <w:t>0.4</w:t>
            </w:r>
            <w:r w:rsidR="00D05D3F">
              <w:rPr>
                <w:rStyle w:val="Strong"/>
              </w:rPr>
              <w:t>1</w:t>
            </w:r>
          </w:p>
        </w:tc>
        <w:tc>
          <w:tcPr>
            <w:tcW w:w="1171" w:type="dxa"/>
            <w:vAlign w:val="bottom"/>
          </w:tcPr>
          <w:p w:rsidR="002677E7" w:rsidRPr="002677E7" w:rsidRDefault="000C5286" w:rsidP="002677E7">
            <w:pPr>
              <w:cnfStyle w:val="000000010000" w:firstRow="0" w:lastRow="0" w:firstColumn="0" w:lastColumn="0" w:oddVBand="0" w:evenVBand="0" w:oddHBand="0" w:evenHBand="1" w:firstRowFirstColumn="0" w:firstRowLastColumn="0" w:lastRowFirstColumn="0" w:lastRowLastColumn="0"/>
              <w:rPr>
                <w:rStyle w:val="Strong"/>
              </w:rPr>
            </w:pPr>
            <w:r>
              <w:rPr>
                <w:rStyle w:val="Strong"/>
              </w:rPr>
              <w:t>–</w:t>
            </w:r>
            <w:r w:rsidR="002677E7" w:rsidRPr="00F75195">
              <w:rPr>
                <w:rStyle w:val="Strong"/>
              </w:rPr>
              <w:t>0.2</w:t>
            </w:r>
            <w:r w:rsidR="00D05D3F">
              <w:rPr>
                <w:rStyle w:val="Strong"/>
              </w:rPr>
              <w:t>3</w:t>
            </w:r>
          </w:p>
        </w:tc>
        <w:tc>
          <w:tcPr>
            <w:tcW w:w="1171" w:type="dxa"/>
            <w:vAlign w:val="bottom"/>
          </w:tcPr>
          <w:p w:rsidR="002677E7" w:rsidRPr="002677E7" w:rsidRDefault="000C5286" w:rsidP="002677E7">
            <w:pPr>
              <w:cnfStyle w:val="000000010000" w:firstRow="0" w:lastRow="0" w:firstColumn="0" w:lastColumn="0" w:oddVBand="0" w:evenVBand="0" w:oddHBand="0" w:evenHBand="1" w:firstRowFirstColumn="0" w:firstRowLastColumn="0" w:lastRowFirstColumn="0" w:lastRowLastColumn="0"/>
              <w:rPr>
                <w:rStyle w:val="Strong"/>
              </w:rPr>
            </w:pPr>
            <w:r>
              <w:rPr>
                <w:rStyle w:val="Strong"/>
              </w:rPr>
              <w:t>–</w:t>
            </w:r>
            <w:r w:rsidR="002677E7" w:rsidRPr="00F75195">
              <w:rPr>
                <w:rStyle w:val="Strong"/>
              </w:rPr>
              <w:t>0.</w:t>
            </w:r>
            <w:r w:rsidR="00D05D3F">
              <w:rPr>
                <w:rStyle w:val="Strong"/>
              </w:rPr>
              <w:t>29</w:t>
            </w:r>
          </w:p>
        </w:tc>
        <w:tc>
          <w:tcPr>
            <w:tcW w:w="1171" w:type="dxa"/>
            <w:vAlign w:val="bottom"/>
          </w:tcPr>
          <w:p w:rsidR="002677E7" w:rsidRPr="002677E7" w:rsidRDefault="000C5286" w:rsidP="002677E7">
            <w:pPr>
              <w:cnfStyle w:val="000000010000" w:firstRow="0" w:lastRow="0" w:firstColumn="0" w:lastColumn="0" w:oddVBand="0" w:evenVBand="0" w:oddHBand="0" w:evenHBand="1" w:firstRowFirstColumn="0" w:firstRowLastColumn="0" w:lastRowFirstColumn="0" w:lastRowLastColumn="0"/>
              <w:rPr>
                <w:rStyle w:val="Strong"/>
              </w:rPr>
            </w:pPr>
            <w:r>
              <w:rPr>
                <w:rStyle w:val="Strong"/>
              </w:rPr>
              <w:t>–</w:t>
            </w:r>
            <w:r w:rsidR="002677E7" w:rsidRPr="00F75195">
              <w:rPr>
                <w:rStyle w:val="Strong"/>
              </w:rPr>
              <w:t>0.</w:t>
            </w:r>
            <w:r w:rsidR="00D05D3F">
              <w:rPr>
                <w:rStyle w:val="Strong"/>
              </w:rPr>
              <w:t>35</w:t>
            </w:r>
          </w:p>
        </w:tc>
        <w:tc>
          <w:tcPr>
            <w:tcW w:w="1171" w:type="dxa"/>
            <w:vAlign w:val="bottom"/>
          </w:tcPr>
          <w:p w:rsidR="002677E7" w:rsidRPr="002677E7" w:rsidRDefault="00D05D3F" w:rsidP="002677E7">
            <w:pPr>
              <w:cnfStyle w:val="000000010000" w:firstRow="0" w:lastRow="0" w:firstColumn="0" w:lastColumn="0" w:oddVBand="0" w:evenVBand="0" w:oddHBand="0" w:evenHBand="1" w:firstRowFirstColumn="0" w:firstRowLastColumn="0" w:lastRowFirstColumn="0" w:lastRowLastColumn="0"/>
              <w:rPr>
                <w:rStyle w:val="Strong"/>
              </w:rPr>
            </w:pPr>
            <w:r>
              <w:rPr>
                <w:rStyle w:val="Strong"/>
              </w:rPr>
              <w:t>–0.24</w:t>
            </w:r>
          </w:p>
        </w:tc>
        <w:tc>
          <w:tcPr>
            <w:tcW w:w="1171" w:type="dxa"/>
            <w:vAlign w:val="bottom"/>
          </w:tcPr>
          <w:p w:rsidR="002677E7" w:rsidRPr="002677E7" w:rsidRDefault="00D05D3F" w:rsidP="002677E7">
            <w:pPr>
              <w:cnfStyle w:val="000000010000" w:firstRow="0" w:lastRow="0" w:firstColumn="0" w:lastColumn="0" w:oddVBand="0" w:evenVBand="0" w:oddHBand="0" w:evenHBand="1" w:firstRowFirstColumn="0" w:firstRowLastColumn="0" w:lastRowFirstColumn="0" w:lastRowLastColumn="0"/>
              <w:rPr>
                <w:rStyle w:val="Strong"/>
              </w:rPr>
            </w:pPr>
            <w:r>
              <w:rPr>
                <w:rStyle w:val="Strong"/>
              </w:rPr>
              <w:t>–0.24</w:t>
            </w:r>
          </w:p>
        </w:tc>
      </w:tr>
    </w:tbl>
    <w:p w:rsidR="002677E7" w:rsidRDefault="002677E7" w:rsidP="002677E7">
      <w:pPr>
        <w:pStyle w:val="Source"/>
      </w:pPr>
      <w:r>
        <w:t>Source: JGN opex model and AER analysis</w:t>
      </w:r>
      <w:r w:rsidR="000E530C">
        <w:t>.</w:t>
      </w:r>
    </w:p>
    <w:p w:rsidR="002677E7" w:rsidRDefault="002677E7" w:rsidP="00850C00">
      <w:pPr>
        <w:pStyle w:val="HeadingBoldBlue"/>
      </w:pPr>
      <w:r>
        <w:t>Draft position</w:t>
      </w:r>
    </w:p>
    <w:p w:rsidR="002677E7" w:rsidRPr="00CA5387" w:rsidRDefault="002677E7" w:rsidP="002677E7">
      <w:r>
        <w:t xml:space="preserve">In our draft decision, we considered JGN's use of economic benchmarking techniques to forecast the rate of change was reasonable. </w:t>
      </w:r>
      <w:r w:rsidRPr="00CA5387">
        <w:t>We therefore assessed the inputs that JGN app</w:t>
      </w:r>
      <w:r>
        <w:t xml:space="preserve">lied in forecasting its rate of </w:t>
      </w:r>
      <w:r w:rsidRPr="00CA5387">
        <w:t>change.</w:t>
      </w:r>
    </w:p>
    <w:p w:rsidR="002677E7" w:rsidRPr="00CA5387" w:rsidRDefault="002677E7" w:rsidP="002677E7">
      <w:r w:rsidRPr="00CA5387">
        <w:t>We consider</w:t>
      </w:r>
      <w:r>
        <w:t>ed</w:t>
      </w:r>
      <w:r w:rsidRPr="00CA5387">
        <w:t xml:space="preserve"> JGN's proposed productivity change estimate </w:t>
      </w:r>
      <w:r w:rsidR="00131894">
        <w:t xml:space="preserve">was </w:t>
      </w:r>
      <w:r w:rsidRPr="00CA5387">
        <w:t>reasonable.</w:t>
      </w:r>
    </w:p>
    <w:p w:rsidR="00C11125" w:rsidRPr="00CA5387" w:rsidRDefault="00C11125" w:rsidP="00C11125">
      <w:r>
        <w:t>However, we were</w:t>
      </w:r>
      <w:r w:rsidRPr="00CA5387">
        <w:t xml:space="preserve"> not satisfied with the following aspects of JGN's forecast price changes:</w:t>
      </w:r>
    </w:p>
    <w:p w:rsidR="00C11125" w:rsidRDefault="00C11125" w:rsidP="00C11125">
      <w:pPr>
        <w:pStyle w:val="AERbulletlistfirststyle"/>
      </w:pPr>
      <w:r w:rsidRPr="00CA5387">
        <w:t xml:space="preserve">the higher percentage of labour as a proportion </w:t>
      </w:r>
      <w:r>
        <w:t>of opex in the forecast period wa</w:t>
      </w:r>
      <w:r w:rsidRPr="00CA5387">
        <w:t>s inconsistent with</w:t>
      </w:r>
      <w:r>
        <w:t xml:space="preserve"> </w:t>
      </w:r>
      <w:r w:rsidRPr="00CA5387">
        <w:t>the</w:t>
      </w:r>
      <w:r>
        <w:t xml:space="preserve"> benchmark</w:t>
      </w:r>
      <w:r w:rsidRPr="00CA5387">
        <w:t xml:space="preserve"> labour and non-labour proportions used </w:t>
      </w:r>
      <w:r>
        <w:t>to forecast productivity growth</w:t>
      </w:r>
      <w:r w:rsidRPr="00CA5387">
        <w:t>. Since labour price is</w:t>
      </w:r>
      <w:r>
        <w:t xml:space="preserve"> </w:t>
      </w:r>
      <w:r w:rsidRPr="00CA5387">
        <w:t>increasing at a greater rate than CPI, a higher proportion of labour will result in a rate of change</w:t>
      </w:r>
      <w:r>
        <w:t xml:space="preserve"> that</w:t>
      </w:r>
      <w:r w:rsidRPr="00CA5387">
        <w:t xml:space="preserve"> is higher than using </w:t>
      </w:r>
      <w:r>
        <w:t>benchmark</w:t>
      </w:r>
      <w:r w:rsidRPr="00CA5387">
        <w:t xml:space="preserve"> weightings.</w:t>
      </w:r>
    </w:p>
    <w:p w:rsidR="00C11125" w:rsidRPr="00CA5387" w:rsidRDefault="00C11125" w:rsidP="00C11125">
      <w:pPr>
        <w:pStyle w:val="AERbulletlistfirststyle"/>
      </w:pPr>
      <w:r w:rsidRPr="00CA5387">
        <w:t>analysis we previously undert</w:t>
      </w:r>
      <w:r>
        <w:t>ook</w:t>
      </w:r>
      <w:r w:rsidRPr="00BC7FE0">
        <w:rPr>
          <w:rStyle w:val="FootnoteReference"/>
        </w:rPr>
        <w:footnoteReference w:id="11"/>
      </w:r>
      <w:r w:rsidRPr="00CA5387">
        <w:t xml:space="preserve"> suggest</w:t>
      </w:r>
      <w:r>
        <w:t>ed</w:t>
      </w:r>
      <w:r w:rsidRPr="00CA5387">
        <w:t xml:space="preserve"> that BIS Shrapnel's labour forecast is less</w:t>
      </w:r>
      <w:r>
        <w:t xml:space="preserve"> </w:t>
      </w:r>
      <w:r w:rsidRPr="00CA5387">
        <w:t xml:space="preserve">accurate than a forecast based on </w:t>
      </w:r>
      <w:r>
        <w:t xml:space="preserve">an </w:t>
      </w:r>
      <w:r w:rsidRPr="00CA5387">
        <w:t xml:space="preserve">average </w:t>
      </w:r>
      <w:r>
        <w:t xml:space="preserve">of </w:t>
      </w:r>
      <w:r w:rsidRPr="00CA5387">
        <w:t xml:space="preserve">BIS Shrapnel and DAE's </w:t>
      </w:r>
      <w:r w:rsidRPr="00CA5387">
        <w:lastRenderedPageBreak/>
        <w:t>labour forecasts for the</w:t>
      </w:r>
      <w:r>
        <w:t xml:space="preserve"> electricity, gas, water and waste services (</w:t>
      </w:r>
      <w:r w:rsidRPr="00CA5387">
        <w:t>EGWWS</w:t>
      </w:r>
      <w:r>
        <w:t>)</w:t>
      </w:r>
      <w:r w:rsidRPr="00CA5387">
        <w:t xml:space="preserve"> industry.</w:t>
      </w:r>
    </w:p>
    <w:p w:rsidR="00C11125" w:rsidRPr="00CA5387" w:rsidRDefault="00C11125" w:rsidP="00C11125">
      <w:pPr>
        <w:pStyle w:val="AERbulletlistfirststyle"/>
      </w:pPr>
      <w:r>
        <w:t>JGN did</w:t>
      </w:r>
      <w:r w:rsidRPr="00CA5387">
        <w:t xml:space="preserve"> not demonstrate a relationship between the change in the price of materials and the</w:t>
      </w:r>
      <w:r>
        <w:t xml:space="preserve"> </w:t>
      </w:r>
      <w:r w:rsidRPr="00CA5387">
        <w:t>change in its total opex.</w:t>
      </w:r>
    </w:p>
    <w:p w:rsidR="00C11125" w:rsidRDefault="00C11125" w:rsidP="00C11125">
      <w:r>
        <w:t>For these reasons we were</w:t>
      </w:r>
      <w:r w:rsidRPr="00CA5387">
        <w:t xml:space="preserve"> not satisfied that JGN's forecast of pri</w:t>
      </w:r>
      <w:r>
        <w:t xml:space="preserve">ce changes was the best estimate </w:t>
      </w:r>
      <w:r w:rsidRPr="00CA5387">
        <w:t xml:space="preserve">possible in the </w:t>
      </w:r>
      <w:r>
        <w:t>circumstances and that it was arrived at on a reasonable basis. Therefore, we were</w:t>
      </w:r>
      <w:r w:rsidRPr="00CA5387">
        <w:t xml:space="preserve"> not satisfied that including JGN's forecast </w:t>
      </w:r>
      <w:r>
        <w:t xml:space="preserve">price change </w:t>
      </w:r>
      <w:r w:rsidRPr="00CA5387">
        <w:t>in our</w:t>
      </w:r>
      <w:r>
        <w:t xml:space="preserve"> alternative </w:t>
      </w:r>
      <w:r w:rsidRPr="00CA5387">
        <w:t xml:space="preserve">forecast of opex would </w:t>
      </w:r>
      <w:r>
        <w:t xml:space="preserve">comply with the applicable requirements for forecasts and estimates.  This also meant that using </w:t>
      </w:r>
      <w:r w:rsidR="003A1A36">
        <w:t xml:space="preserve">JGN's </w:t>
      </w:r>
      <w:r>
        <w:t xml:space="preserve">proposed rate of change would not </w:t>
      </w:r>
      <w:r w:rsidRPr="00CA5387">
        <w:t>satisfy the opex criteria.</w:t>
      </w:r>
      <w:r>
        <w:rPr>
          <w:rStyle w:val="FootnoteReference"/>
        </w:rPr>
        <w:footnoteReference w:id="12"/>
      </w:r>
    </w:p>
    <w:p w:rsidR="00C11125" w:rsidRDefault="00C11125" w:rsidP="00C11125">
      <w:r>
        <w:t>We also considered JGN's output growth forecasts were not appropriate as they did not reflect what we considered to be the best possible demand forecasts.</w:t>
      </w:r>
    </w:p>
    <w:p w:rsidR="002677E7" w:rsidRDefault="002677E7" w:rsidP="00850C00">
      <w:pPr>
        <w:pStyle w:val="HeadingBoldBlue"/>
      </w:pPr>
      <w:r>
        <w:t>Revised proposal and submissions</w:t>
      </w:r>
    </w:p>
    <w:p w:rsidR="002677E7" w:rsidRDefault="002677E7" w:rsidP="002677E7">
      <w:r>
        <w:t xml:space="preserve">We consider our methodology for forecasting price growth and output growth to represent the best forecast of the rate of change components that reflects the opex criteria and the </w:t>
      </w:r>
      <w:r w:rsidR="00315941">
        <w:t xml:space="preserve">requirements </w:t>
      </w:r>
      <w:r>
        <w:t>for forecast</w:t>
      </w:r>
      <w:r w:rsidR="00BF089F">
        <w:t>s</w:t>
      </w:r>
      <w:r>
        <w:t xml:space="preserve"> and estimates.</w:t>
      </w:r>
      <w:r w:rsidRPr="00D77E37">
        <w:rPr>
          <w:rStyle w:val="FootnoteReference"/>
        </w:rPr>
        <w:footnoteReference w:id="13"/>
      </w:r>
    </w:p>
    <w:p w:rsidR="002677E7" w:rsidRDefault="002677E7" w:rsidP="002677E7">
      <w:r>
        <w:t>In its revised proposal JGN did not adopt the following components of our draft decision:</w:t>
      </w:r>
    </w:p>
    <w:p w:rsidR="002677E7" w:rsidRDefault="002677E7" w:rsidP="002677E7">
      <w:pPr>
        <w:pStyle w:val="AERbulletlistfirststyle"/>
      </w:pPr>
      <w:r>
        <w:t>Opex price weightings: JGN maintained its firm specific weightings to forecast the opex price and benchmark weightings to forecast opex productivity, consistent with its initial proposal.</w:t>
      </w:r>
      <w:r>
        <w:rPr>
          <w:rStyle w:val="FootnoteReference"/>
        </w:rPr>
        <w:footnoteReference w:id="14"/>
      </w:r>
    </w:p>
    <w:p w:rsidR="002677E7" w:rsidRDefault="002677E7" w:rsidP="002677E7">
      <w:pPr>
        <w:pStyle w:val="AERbulletlistfirststyle"/>
      </w:pPr>
      <w:r>
        <w:t>Opex price growth:</w:t>
      </w:r>
      <w:r w:rsidRPr="00053998">
        <w:t xml:space="preserve"> JGN considered BIS Shrapnel's forecasts of labour and materials was the best forecast available</w:t>
      </w:r>
      <w:r>
        <w:t xml:space="preserve"> rather than our forecast using an average of BIS Shrapnel and DAE's labour forecasts and CPI for non-labour</w:t>
      </w:r>
      <w:r w:rsidRPr="00053998">
        <w:t>.</w:t>
      </w:r>
      <w:r>
        <w:rPr>
          <w:rStyle w:val="FootnoteReference"/>
        </w:rPr>
        <w:footnoteReference w:id="15"/>
      </w:r>
    </w:p>
    <w:p w:rsidR="002677E7" w:rsidRDefault="002677E7" w:rsidP="002677E7">
      <w:pPr>
        <w:pStyle w:val="AERbulletlistfirststyle"/>
      </w:pPr>
      <w:r>
        <w:t>Demand forecasts:</w:t>
      </w:r>
      <w:r w:rsidRPr="00A00851">
        <w:t xml:space="preserve"> </w:t>
      </w:r>
      <w:r>
        <w:t xml:space="preserve"> </w:t>
      </w:r>
      <w:r w:rsidRPr="00A00851">
        <w:t>JGN did not accept our revised demand forecasts. JGN used updated Core Energy demand forecasts and updated Economic Insights</w:t>
      </w:r>
      <w:r w:rsidR="00715D08">
        <w:t>'</w:t>
      </w:r>
      <w:r w:rsidRPr="00A00851">
        <w:t xml:space="preserve"> benchmarking analysis</w:t>
      </w:r>
      <w:r>
        <w:t xml:space="preserve"> to reflect actual output growth</w:t>
      </w:r>
      <w:r w:rsidRPr="00A00851">
        <w:t>.</w:t>
      </w:r>
      <w:r w:rsidRPr="00A00851">
        <w:rPr>
          <w:rStyle w:val="FootnoteReference"/>
        </w:rPr>
        <w:t xml:space="preserve"> </w:t>
      </w:r>
      <w:r w:rsidRPr="00A00851">
        <w:rPr>
          <w:rStyle w:val="FootnoteReference"/>
        </w:rPr>
        <w:footnoteReference w:id="16"/>
      </w:r>
    </w:p>
    <w:p w:rsidR="002677E7" w:rsidRDefault="0065346E" w:rsidP="002677E7">
      <w:r>
        <w:t>JGN did not address the substance of our concerns about inconsistency in its application of opex price weightings and the potential upward bias in its estimate of opex price growth.</w:t>
      </w:r>
      <w:r w:rsidR="003A1A36">
        <w:t xml:space="preserve"> </w:t>
      </w:r>
      <w:r w:rsidR="002677E7">
        <w:t xml:space="preserve">In the sections below we discuss each of these issues raised in JGN's revised proposal. </w:t>
      </w:r>
    </w:p>
    <w:p w:rsidR="002677E7" w:rsidRDefault="002677E7" w:rsidP="009E4189">
      <w:pPr>
        <w:pStyle w:val="HeadingBoldItalic"/>
        <w:keepNext/>
      </w:pPr>
      <w:r>
        <w:lastRenderedPageBreak/>
        <w:t>Opex price weightings</w:t>
      </w:r>
    </w:p>
    <w:p w:rsidR="0065346E" w:rsidRDefault="0065346E" w:rsidP="009E4189">
      <w:pPr>
        <w:keepNext/>
      </w:pPr>
      <w:r>
        <w:t>We have maintained our draft decision opex price weightings of 62 per cent labour and 38 per cent non-labour to forecast price growth (this is consistent with the weightings used to forecast productivity growth). We are not satisfied that JGN's use of firm specific weightings</w:t>
      </w:r>
      <w:r>
        <w:rPr>
          <w:rStyle w:val="FootnoteReference"/>
        </w:rPr>
        <w:footnoteReference w:id="17"/>
      </w:r>
      <w:r>
        <w:t xml:space="preserve"> to forecast price growth will result in a </w:t>
      </w:r>
      <w:r w:rsidRPr="00CA5387">
        <w:t>forecast of total opex</w:t>
      </w:r>
      <w:r>
        <w:t xml:space="preserve"> that</w:t>
      </w:r>
      <w:r w:rsidRPr="00CA5387">
        <w:t xml:space="preserve"> </w:t>
      </w:r>
      <w:r>
        <w:t>represents the best forecast or estimate possible in the circumstances</w:t>
      </w:r>
      <w:r w:rsidRPr="00CA5387">
        <w:t>.</w:t>
      </w:r>
    </w:p>
    <w:p w:rsidR="0065346E" w:rsidRDefault="0065346E" w:rsidP="0065346E">
      <w:r>
        <w:t>JGN did not accept our draft decision to apply benchmark opex price weights. It stated that opex price weights should reflect its firm specific opex split which represents the base year split used to roll-forward the opex forecast.</w:t>
      </w:r>
      <w:r>
        <w:rPr>
          <w:rStyle w:val="FootnoteReference"/>
        </w:rPr>
        <w:footnoteReference w:id="18"/>
      </w:r>
    </w:p>
    <w:p w:rsidR="0065346E" w:rsidRDefault="0065346E" w:rsidP="0065346E">
      <w:r>
        <w:t>JGN also considered that firm specific weights should be used to forecast productivity. However it noted that its consultant, Economic Insights, could not substitute benchmark weights with firm specific weights because the historical data was not available to forecast productivity using firm specific weights.</w:t>
      </w:r>
      <w:r>
        <w:rPr>
          <w:rStyle w:val="FootnoteReference"/>
        </w:rPr>
        <w:footnoteReference w:id="19"/>
      </w:r>
      <w:r>
        <w:t xml:space="preserve"> Therefore JGN proposed using benchmark weights for the purpose of forecasting opex productivity.</w:t>
      </w:r>
      <w:r w:rsidRPr="00920E95">
        <w:t xml:space="preserve"> </w:t>
      </w:r>
      <w:r>
        <w:t>JGN did not otherwise respond to our draft decision that the use of inconsistent opex weights was not reasonable and did not represent the best forecast or estimate possible in the circumstances.</w:t>
      </w:r>
    </w:p>
    <w:p w:rsidR="0065346E" w:rsidRDefault="0065346E" w:rsidP="0065346E">
      <w:r>
        <w:t>We do not consider JGN's use of different weightings for opex price and opex productivity is reasonable. We noted in our draft decision that we considered modelling techniques which use the same weightings, for both historical and forecast data, are more robust than those which adopt inconsistent weightings.</w:t>
      </w:r>
      <w:r>
        <w:rPr>
          <w:rStyle w:val="FootnoteReference"/>
        </w:rPr>
        <w:footnoteReference w:id="20"/>
      </w:r>
      <w:r>
        <w:t xml:space="preserve"> In absence of responding arguments we maintain the findings from our draft decision. </w:t>
      </w:r>
    </w:p>
    <w:p w:rsidR="0065346E" w:rsidRDefault="0065346E" w:rsidP="0065346E">
      <w:r>
        <w:t>Consistency is important because price growth and productivity growth are linked. JGN's firm specific weights results in higher forecast opex price growth than using the benchmark weights. We would expect that using a higher firm specific price growth measure would also result in a higher firm specific weighting productivity measure than the benchmark weighting productivity measure. This is because productivity is a measure of the quantity of inputs required to produce outputs.</w:t>
      </w:r>
      <w:r w:rsidR="008B32D0">
        <w:rPr>
          <w:rStyle w:val="FootnoteReference"/>
        </w:rPr>
        <w:footnoteReference w:id="21"/>
      </w:r>
      <w:r>
        <w:t xml:space="preserve"> To calculate the quantity of inputs we divide total opex by the opex price. Dividing total opex by a higher opex price will lead to a lower quantity of inputs and higher measured productivity. For example, Economic Insights found that opex productivity was higher when the average </w:t>
      </w:r>
      <w:r>
        <w:lastRenderedPageBreak/>
        <w:t>weekly ordinary time earnings (AWOTE) was used as the opex price measure, compared to the use of the wage price index (WPI) as the opex price measure. The AWOTE is a typically higher opex price measure than the WPI.</w:t>
      </w:r>
      <w:r>
        <w:rPr>
          <w:rStyle w:val="FootnoteReference"/>
        </w:rPr>
        <w:footnoteReference w:id="22"/>
      </w:r>
    </w:p>
    <w:p w:rsidR="0065346E" w:rsidRDefault="0065346E" w:rsidP="0065346E">
      <w:r>
        <w:t xml:space="preserve">Using weights that result in a higher price without adjusting for a higher productivity would mean that the service provider would receive higher price forecasts and lower productivity forecasts. So this inconsistency in the use of weightings would be likely to lead to an under-forecast of productivity or an over-forecast of labour price. </w:t>
      </w:r>
    </w:p>
    <w:p w:rsidR="0065346E" w:rsidRDefault="0065346E" w:rsidP="0065346E">
      <w:r>
        <w:t>As stated above, JGN's considers firm specific weights should be used to forecast the opex price because they have used the base year split to roll forward its opex. However, we do not consider this is a sufficient reason for JGN to apply inconsistent weightings between its opex price and opex productivity measures.</w:t>
      </w:r>
    </w:p>
    <w:p w:rsidR="0065346E" w:rsidRDefault="0065346E" w:rsidP="0065346E">
      <w:r>
        <w:t>For the reasons above we are not satisfied that using</w:t>
      </w:r>
      <w:r w:rsidRPr="00920E95">
        <w:t xml:space="preserve"> </w:t>
      </w:r>
      <w:r>
        <w:t>firm specific weightings to forecast price growth is consistent with the legal requirements for forecasts and estimates.</w:t>
      </w:r>
      <w:r>
        <w:rPr>
          <w:rStyle w:val="FootnoteReference"/>
        </w:rPr>
        <w:footnoteReference w:id="23"/>
      </w:r>
      <w:r>
        <w:t xml:space="preserve"> In addition, we do not consider that using this approach will result in a </w:t>
      </w:r>
      <w:r w:rsidRPr="00CA5387">
        <w:t>forecast of opex</w:t>
      </w:r>
      <w:r>
        <w:t xml:space="preserve"> that</w:t>
      </w:r>
      <w:r w:rsidRPr="00CA5387">
        <w:t xml:space="preserve"> </w:t>
      </w:r>
      <w:r>
        <w:t>satisfies</w:t>
      </w:r>
      <w:r w:rsidRPr="00CA5387">
        <w:t xml:space="preserve"> the opex criteria.</w:t>
      </w:r>
      <w:r>
        <w:rPr>
          <w:rStyle w:val="FootnoteReference"/>
        </w:rPr>
        <w:footnoteReference w:id="24"/>
      </w:r>
      <w:r>
        <w:t xml:space="preserve"> We therefore do not approve this element of JGN's proposed opex.</w:t>
      </w:r>
      <w:r>
        <w:rPr>
          <w:rStyle w:val="FootnoteReference"/>
        </w:rPr>
        <w:footnoteReference w:id="25"/>
      </w:r>
    </w:p>
    <w:p w:rsidR="002677E7" w:rsidRDefault="002677E7" w:rsidP="00850C00">
      <w:pPr>
        <w:pStyle w:val="HeadingBoldItalic"/>
      </w:pPr>
      <w:r>
        <w:t>Forecast opex price</w:t>
      </w:r>
    </w:p>
    <w:p w:rsidR="002677E7" w:rsidRDefault="002677E7" w:rsidP="002677E7">
      <w:r>
        <w:t xml:space="preserve">We have maintained our draft decision </w:t>
      </w:r>
      <w:r w:rsidR="00131894">
        <w:t xml:space="preserve">approach for forecasting </w:t>
      </w:r>
      <w:r>
        <w:t>opex price growth</w:t>
      </w:r>
      <w:r w:rsidR="00131894">
        <w:t>. We use a</w:t>
      </w:r>
      <w:r>
        <w:t xml:space="preserve"> forecast</w:t>
      </w:r>
      <w:r w:rsidR="00131894">
        <w:t xml:space="preserve"> based on </w:t>
      </w:r>
      <w:r>
        <w:t>an average of DAE and BIS Shrapnel's utilities sector forecasts for labour price growth and CPI for non-labour price growth. We have updated our draft decision forecasts to reflect the latest forecasts provided by DAE and BIS Shrapnel.</w:t>
      </w:r>
    </w:p>
    <w:p w:rsidR="002677E7" w:rsidRDefault="002677E7" w:rsidP="002677E7">
      <w:r>
        <w:t>JGN maintained its initial proposal methodology of using BIS Shrapnel's labour and materials forecasts</w:t>
      </w:r>
      <w:r w:rsidR="00547111">
        <w:t xml:space="preserve"> in its revised proposal</w:t>
      </w:r>
      <w:r>
        <w:t>. We discuss our reasons for maintaining our forecasting method for labour and non-labour prices below.</w:t>
      </w:r>
    </w:p>
    <w:p w:rsidR="002677E7" w:rsidRDefault="002677E7" w:rsidP="00850C00">
      <w:pPr>
        <w:pStyle w:val="HeadingItalic"/>
      </w:pPr>
      <w:r>
        <w:t>Labour</w:t>
      </w:r>
    </w:p>
    <w:p w:rsidR="0065346E" w:rsidRDefault="0065346E" w:rsidP="0065346E">
      <w:r>
        <w:t>We consider an average of DAE and BIS Shrapnel's utilities WPI labour forecasts represents the best forecast of the labour price possible in the circumstances. We based this on our analysis of DAE and BIS Shrapnel's forecasting history.</w:t>
      </w:r>
    </w:p>
    <w:p w:rsidR="0065346E" w:rsidRDefault="0065346E" w:rsidP="0065346E">
      <w:r>
        <w:t xml:space="preserve">JGN maintained BIS Shrapnel's utilities sector labour and construction labour forecasts to forecast the labour price growth in its opex model. JGN considered BIS Shrapnel to </w:t>
      </w:r>
      <w:r>
        <w:lastRenderedPageBreak/>
        <w:t>be a respected forecaster and submitted that its updated forecasts are the best estimates in the circumstances in accordance with NGR rule 74(2).</w:t>
      </w:r>
      <w:r>
        <w:rPr>
          <w:rStyle w:val="FootnoteReference"/>
        </w:rPr>
        <w:footnoteReference w:id="26"/>
      </w:r>
    </w:p>
    <w:p w:rsidR="0065346E" w:rsidRDefault="0065346E" w:rsidP="0065346E">
      <w:r>
        <w:t>As discussed in our draft decision we consider only the utilities sector, which is comprised of the Australian Bureau of Statistics (ABS) classification of the electricity, gas, water and waste services (EGWWS) sector, should be used to forecast labour prices in order to arrive at the best forecast.</w:t>
      </w:r>
    </w:p>
    <w:p w:rsidR="0065346E" w:rsidRDefault="0065346E" w:rsidP="0065346E">
      <w:r>
        <w:t>JGN did not respond to our concerns of the use of the construction industry to forecast some of its labour price.</w:t>
      </w:r>
    </w:p>
    <w:p w:rsidR="0065346E" w:rsidRDefault="0065346E" w:rsidP="0065346E">
      <w:r>
        <w:t>JGN also did not provide a reason for why it considered BIS Shrapnel's labour forecasts are better than using an average of DAE and BIS Shrapnel's forecasts, based on the historical analysis we set out in our draft decision. In the absence of arguments addressing the concerns outlined in our draft decision we have no reason to depart from those findings. As a result we maintain the use of the average of DAE and BIS Shrapnel's labour forecasts in this final decision.</w:t>
      </w:r>
      <w:r w:rsidRPr="0044353F">
        <w:t xml:space="preserve"> </w:t>
      </w:r>
    </w:p>
    <w:p w:rsidR="0065346E" w:rsidRDefault="0065346E" w:rsidP="0065346E">
      <w:r>
        <w:t xml:space="preserve">We consider both BIS Shrapnel and our consultant DAE are respected labour forecasters. In our draft decision we noted, however, the deficiencies of both forecasters as revealed by their historical forecasting records. Specifically we noted that DAE has previously tended to under forecast the EGWWS WPI and BIS Shrapnel has tended to over forecast the EGWWS WPI at the national level. Analysis from DAE showed that DAE's forecasts were more accurate than BIS Shrapnel's. </w:t>
      </w:r>
    </w:p>
    <w:p w:rsidR="0065346E" w:rsidRDefault="0065346E" w:rsidP="0065346E">
      <w:r>
        <w:t>Further, our previous analysis</w:t>
      </w:r>
      <w:r w:rsidRPr="00BC7FE0">
        <w:rPr>
          <w:rStyle w:val="FootnoteReference"/>
        </w:rPr>
        <w:footnoteReference w:id="27"/>
      </w:r>
      <w:r>
        <w:t xml:space="preserve"> and analysis from Professor Borland</w:t>
      </w:r>
      <w:r w:rsidRPr="00BC7FE0">
        <w:rPr>
          <w:rStyle w:val="FootnoteReference"/>
        </w:rPr>
        <w:footnoteReference w:id="28"/>
      </w:r>
      <w:r>
        <w:t xml:space="preserve"> showed that an average of DAE and BIS Shrapnel's forecasts typically produced more accurate forecasts.</w:t>
      </w:r>
      <w:r>
        <w:rPr>
          <w:rStyle w:val="FootnoteReference"/>
        </w:rPr>
        <w:footnoteReference w:id="29"/>
      </w:r>
    </w:p>
    <w:p w:rsidR="002677E7" w:rsidRDefault="002677E7" w:rsidP="00850C00">
      <w:pPr>
        <w:pStyle w:val="HeadingItalic"/>
      </w:pPr>
      <w:r>
        <w:t>Non-labour</w:t>
      </w:r>
    </w:p>
    <w:p w:rsidR="0065346E" w:rsidRDefault="0065346E" w:rsidP="0065346E">
      <w:r>
        <w:t>We have maintained our draft decision position of forecasting non-labour by the consumer price index (CPI). In our draft decision we considered JGN's forecast of concrete and steel did not have a material impact on the opex forecast. Further JGN did not demonstrate a relationship between the price of materials and the change in its total opex.</w:t>
      </w:r>
      <w:r>
        <w:rPr>
          <w:rStyle w:val="FootnoteReference"/>
        </w:rPr>
        <w:footnoteReference w:id="30"/>
      </w:r>
    </w:p>
    <w:p w:rsidR="0065346E" w:rsidRDefault="0065346E" w:rsidP="0065346E">
      <w:r>
        <w:t>We consider that the CPI represents the best estimate of non-labour price growth. The reasons for this are set out in Attachment 6 of this decision.</w:t>
      </w:r>
    </w:p>
    <w:p w:rsidR="0065346E" w:rsidRDefault="0065346E" w:rsidP="0065346E">
      <w:r>
        <w:lastRenderedPageBreak/>
        <w:t>In response to our draft decision, JGN considered it was not practical to quantify the relationship between final prices and the underlying inputs.</w:t>
      </w:r>
    </w:p>
    <w:p w:rsidR="0065346E" w:rsidRDefault="0065346E" w:rsidP="0065346E">
      <w:r>
        <w:t>We note that JGN's revised proposal opex model attributes a 0.73 per cent and 0.18 per cent weighting to concrete and steel respectively.</w:t>
      </w:r>
      <w:r>
        <w:rPr>
          <w:rStyle w:val="FootnoteReference"/>
        </w:rPr>
        <w:footnoteReference w:id="31"/>
      </w:r>
      <w:r>
        <w:t xml:space="preserve"> We do not consider these price categories would have a material impact on opex. We consider only price growth categories which have a significant impact on opex should be included in the rate of change. For example, Economic Insights attributes a 62 per cent weighting for labour and changes in the labour price has a material effect on the overall opex price. </w:t>
      </w:r>
    </w:p>
    <w:p w:rsidR="0065346E" w:rsidRDefault="0065346E" w:rsidP="0065346E">
      <w:r>
        <w:t>JGN also noted that we have accepted BIS Shrapnel's materials forecasts in the past and that we should be consistent with our past decisions.</w:t>
      </w:r>
      <w:r>
        <w:rPr>
          <w:rStyle w:val="FootnoteReference"/>
        </w:rPr>
        <w:footnoteReference w:id="32"/>
      </w:r>
      <w:r>
        <w:t xml:space="preserve"> The past decision JGN referred to was for electricity transmission. We note that we have not accepted materials price growth in our previous gas distribution decisions</w:t>
      </w:r>
      <w:r w:rsidR="00F9548D">
        <w:t>.</w:t>
      </w:r>
      <w:r>
        <w:rPr>
          <w:rStyle w:val="FootnoteReference"/>
        </w:rPr>
        <w:footnoteReference w:id="33"/>
      </w:r>
      <w:r>
        <w:t xml:space="preserve"> We have also not applied material price changes in our recent NSW electricity decisions.</w:t>
      </w:r>
      <w:r>
        <w:rPr>
          <w:rStyle w:val="FootnoteReference"/>
        </w:rPr>
        <w:footnoteReference w:id="34"/>
      </w:r>
    </w:p>
    <w:p w:rsidR="0065346E" w:rsidRDefault="0065346E" w:rsidP="0065346E">
      <w:r>
        <w:t>We see no reason to depart from our draft decision method of applying the CPI for all non-labour price growth for the following reasons:</w:t>
      </w:r>
    </w:p>
    <w:p w:rsidR="0065346E" w:rsidRDefault="0065346E" w:rsidP="0065346E">
      <w:pPr>
        <w:pStyle w:val="AERbulletlistfirststyle"/>
      </w:pPr>
      <w:r>
        <w:t>JGN did not demonstrate the relationship between changes in materials prices and overall opex.</w:t>
      </w:r>
    </w:p>
    <w:p w:rsidR="0065346E" w:rsidRDefault="0065346E" w:rsidP="0065346E">
      <w:pPr>
        <w:pStyle w:val="AERbulletlistfirststyle"/>
      </w:pPr>
      <w:r>
        <w:t>Materials price change does not have a material impact on opex because the opex weight attributed to materials is not significant.</w:t>
      </w:r>
    </w:p>
    <w:p w:rsidR="0065346E" w:rsidRDefault="0065346E" w:rsidP="0065346E">
      <w:pPr>
        <w:pStyle w:val="AERbulletlistfirststyle"/>
      </w:pPr>
      <w:r>
        <w:t>We consider our forecast of non-labour price escalation is the best forecast possible in the circumstances for the reasons set out here and in the draft decision.</w:t>
      </w:r>
    </w:p>
    <w:p w:rsidR="002677E7" w:rsidRDefault="002677E7" w:rsidP="00850C00">
      <w:pPr>
        <w:pStyle w:val="HeadingBoldItalic"/>
      </w:pPr>
      <w:r>
        <w:t>Demand forecasts</w:t>
      </w:r>
    </w:p>
    <w:p w:rsidR="002677E7" w:rsidRDefault="00C039E4" w:rsidP="002677E7">
      <w:r>
        <w:t>For the reasons set out in attachment 13, we do not accept JGN's</w:t>
      </w:r>
      <w:r w:rsidR="002677E7">
        <w:t xml:space="preserve"> revised demand forecasts for the purpose of forecasting output growth. </w:t>
      </w:r>
    </w:p>
    <w:p w:rsidR="00FB6999" w:rsidRDefault="002677E7">
      <w:pPr>
        <w:spacing w:line="240" w:lineRule="auto"/>
        <w:rPr>
          <w:b/>
          <w:bCs/>
          <w:color w:val="076A92" w:themeColor="text1"/>
          <w:sz w:val="24"/>
          <w:szCs w:val="18"/>
        </w:rPr>
      </w:pPr>
      <w:r>
        <w:fldChar w:fldCharType="begin"/>
      </w:r>
      <w:r>
        <w:instrText xml:space="preserve"> REF _Ref418087994 \h </w:instrText>
      </w:r>
      <w:r>
        <w:fldChar w:fldCharType="separate"/>
      </w:r>
      <w:r w:rsidR="00FB6999">
        <w:br w:type="page"/>
      </w:r>
    </w:p>
    <w:p w:rsidR="002677E7" w:rsidRDefault="00FB6999" w:rsidP="002677E7">
      <w:r>
        <w:lastRenderedPageBreak/>
        <w:t xml:space="preserve">Table </w:t>
      </w:r>
      <w:r>
        <w:rPr>
          <w:noProof/>
        </w:rPr>
        <w:t>7</w:t>
      </w:r>
      <w:r>
        <w:t>.</w:t>
      </w:r>
      <w:r>
        <w:rPr>
          <w:noProof/>
        </w:rPr>
        <w:t>4</w:t>
      </w:r>
      <w:r w:rsidR="002677E7">
        <w:fldChar w:fldCharType="end"/>
      </w:r>
      <w:r w:rsidR="002677E7">
        <w:t xml:space="preserve"> shows JGN</w:t>
      </w:r>
      <w:r w:rsidR="00F9548D">
        <w:t>'s</w:t>
      </w:r>
      <w:r w:rsidR="002677E7">
        <w:t xml:space="preserve"> revised proposal output growth</w:t>
      </w:r>
      <w:r w:rsidR="00C039E4">
        <w:t>,</w:t>
      </w:r>
      <w:r w:rsidR="002677E7">
        <w:t xml:space="preserve"> and our final position</w:t>
      </w:r>
      <w:r w:rsidR="00BD77F6">
        <w:t xml:space="preserve"> on forecast</w:t>
      </w:r>
      <w:r w:rsidR="002677E7">
        <w:t xml:space="preserve"> output growth.</w:t>
      </w:r>
    </w:p>
    <w:p w:rsidR="00AE1B5D" w:rsidRDefault="00AE1B5D">
      <w:pPr>
        <w:spacing w:line="240" w:lineRule="auto"/>
        <w:rPr>
          <w:b/>
          <w:bCs/>
          <w:color w:val="076A92" w:themeColor="text1"/>
          <w:sz w:val="24"/>
          <w:szCs w:val="18"/>
        </w:rPr>
      </w:pPr>
      <w:bookmarkStart w:id="34" w:name="_Ref418087994"/>
      <w:r>
        <w:br w:type="page"/>
      </w:r>
    </w:p>
    <w:p w:rsidR="002677E7" w:rsidRDefault="002677E7" w:rsidP="002677E7">
      <w:pPr>
        <w:pStyle w:val="Caption"/>
      </w:pPr>
      <w:r>
        <w:lastRenderedPageBreak/>
        <w:t xml:space="preserve">Table </w:t>
      </w:r>
      <w:r w:rsidRPr="002677E7">
        <w:fldChar w:fldCharType="begin"/>
      </w:r>
      <w:r>
        <w:instrText xml:space="preserve"> STYLEREF 1 \s </w:instrText>
      </w:r>
      <w:r w:rsidRPr="002677E7">
        <w:fldChar w:fldCharType="separate"/>
      </w:r>
      <w:r w:rsidR="00FB6999">
        <w:rPr>
          <w:noProof/>
        </w:rPr>
        <w:t>7</w:t>
      </w:r>
      <w:r w:rsidRPr="002677E7">
        <w:fldChar w:fldCharType="end"/>
      </w:r>
      <w:r>
        <w:t>.</w:t>
      </w:r>
      <w:r w:rsidRPr="002677E7">
        <w:fldChar w:fldCharType="begin"/>
      </w:r>
      <w:r>
        <w:instrText xml:space="preserve"> SEQ Table \* ARABIC \s 1 </w:instrText>
      </w:r>
      <w:r w:rsidRPr="002677E7">
        <w:fldChar w:fldCharType="separate"/>
      </w:r>
      <w:r w:rsidR="00FB6999">
        <w:rPr>
          <w:noProof/>
        </w:rPr>
        <w:t>4</w:t>
      </w:r>
      <w:r w:rsidRPr="002677E7">
        <w:fldChar w:fldCharType="end"/>
      </w:r>
      <w:bookmarkEnd w:id="34"/>
      <w:r>
        <w:tab/>
        <w:t>Output growth (per cent)</w:t>
      </w:r>
    </w:p>
    <w:tbl>
      <w:tblPr>
        <w:tblStyle w:val="AERtable-numbers"/>
        <w:tblW w:w="0" w:type="auto"/>
        <w:tblLook w:val="04A0" w:firstRow="1" w:lastRow="0" w:firstColumn="1" w:lastColumn="0" w:noHBand="0" w:noVBand="1"/>
      </w:tblPr>
      <w:tblGrid>
        <w:gridCol w:w="1241"/>
        <w:gridCol w:w="1242"/>
        <w:gridCol w:w="1242"/>
        <w:gridCol w:w="1242"/>
        <w:gridCol w:w="1242"/>
        <w:gridCol w:w="1242"/>
        <w:gridCol w:w="1242"/>
      </w:tblGrid>
      <w:tr w:rsidR="002677E7" w:rsidTr="00850C0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241" w:type="dxa"/>
          </w:tcPr>
          <w:p w:rsidR="002677E7" w:rsidRDefault="002677E7" w:rsidP="002677E7"/>
        </w:tc>
        <w:tc>
          <w:tcPr>
            <w:tcW w:w="1242" w:type="dxa"/>
          </w:tcPr>
          <w:p w:rsidR="002677E7" w:rsidRPr="002677E7" w:rsidRDefault="002677E7" w:rsidP="002677E7">
            <w:pPr>
              <w:cnfStyle w:val="100000000000" w:firstRow="1" w:lastRow="0" w:firstColumn="0" w:lastColumn="0" w:oddVBand="0" w:evenVBand="0" w:oddHBand="0" w:evenHBand="0" w:firstRowFirstColumn="0" w:firstRowLastColumn="0" w:lastRowFirstColumn="0" w:lastRowLastColumn="0"/>
            </w:pPr>
            <w:r>
              <w:t>2014–15</w:t>
            </w:r>
          </w:p>
        </w:tc>
        <w:tc>
          <w:tcPr>
            <w:tcW w:w="1242" w:type="dxa"/>
          </w:tcPr>
          <w:p w:rsidR="002677E7" w:rsidRPr="002677E7" w:rsidRDefault="002677E7" w:rsidP="002677E7">
            <w:pPr>
              <w:cnfStyle w:val="100000000000" w:firstRow="1" w:lastRow="0" w:firstColumn="0" w:lastColumn="0" w:oddVBand="0" w:evenVBand="0" w:oddHBand="0" w:evenHBand="0" w:firstRowFirstColumn="0" w:firstRowLastColumn="0" w:lastRowFirstColumn="0" w:lastRowLastColumn="0"/>
            </w:pPr>
            <w:r>
              <w:t>2015–16</w:t>
            </w:r>
          </w:p>
        </w:tc>
        <w:tc>
          <w:tcPr>
            <w:tcW w:w="1242" w:type="dxa"/>
          </w:tcPr>
          <w:p w:rsidR="002677E7" w:rsidRPr="002677E7" w:rsidRDefault="002677E7" w:rsidP="002677E7">
            <w:pPr>
              <w:cnfStyle w:val="100000000000" w:firstRow="1" w:lastRow="0" w:firstColumn="0" w:lastColumn="0" w:oddVBand="0" w:evenVBand="0" w:oddHBand="0" w:evenHBand="0" w:firstRowFirstColumn="0" w:firstRowLastColumn="0" w:lastRowFirstColumn="0" w:lastRowLastColumn="0"/>
            </w:pPr>
            <w:r>
              <w:t>2016–17</w:t>
            </w:r>
          </w:p>
        </w:tc>
        <w:tc>
          <w:tcPr>
            <w:tcW w:w="1242" w:type="dxa"/>
          </w:tcPr>
          <w:p w:rsidR="002677E7" w:rsidRPr="002677E7" w:rsidRDefault="002677E7" w:rsidP="002677E7">
            <w:pPr>
              <w:cnfStyle w:val="100000000000" w:firstRow="1" w:lastRow="0" w:firstColumn="0" w:lastColumn="0" w:oddVBand="0" w:evenVBand="0" w:oddHBand="0" w:evenHBand="0" w:firstRowFirstColumn="0" w:firstRowLastColumn="0" w:lastRowFirstColumn="0" w:lastRowLastColumn="0"/>
            </w:pPr>
            <w:r>
              <w:t>2017–18</w:t>
            </w:r>
          </w:p>
        </w:tc>
        <w:tc>
          <w:tcPr>
            <w:tcW w:w="1242" w:type="dxa"/>
          </w:tcPr>
          <w:p w:rsidR="002677E7" w:rsidRPr="002677E7" w:rsidRDefault="002677E7" w:rsidP="002677E7">
            <w:pPr>
              <w:cnfStyle w:val="100000000000" w:firstRow="1" w:lastRow="0" w:firstColumn="0" w:lastColumn="0" w:oddVBand="0" w:evenVBand="0" w:oddHBand="0" w:evenHBand="0" w:firstRowFirstColumn="0" w:firstRowLastColumn="0" w:lastRowFirstColumn="0" w:lastRowLastColumn="0"/>
            </w:pPr>
            <w:r>
              <w:t>2018–19</w:t>
            </w:r>
          </w:p>
        </w:tc>
        <w:tc>
          <w:tcPr>
            <w:tcW w:w="1242" w:type="dxa"/>
          </w:tcPr>
          <w:p w:rsidR="002677E7" w:rsidRPr="002677E7" w:rsidRDefault="002677E7" w:rsidP="002677E7">
            <w:pPr>
              <w:cnfStyle w:val="100000000000" w:firstRow="1" w:lastRow="0" w:firstColumn="0" w:lastColumn="0" w:oddVBand="0" w:evenVBand="0" w:oddHBand="0" w:evenHBand="0" w:firstRowFirstColumn="0" w:firstRowLastColumn="0" w:lastRowFirstColumn="0" w:lastRowLastColumn="0"/>
            </w:pPr>
            <w:r>
              <w:t>2019–20</w:t>
            </w:r>
          </w:p>
        </w:tc>
      </w:tr>
      <w:tr w:rsidR="002677E7" w:rsidTr="006B2C1D">
        <w:tc>
          <w:tcPr>
            <w:cnfStyle w:val="001000000000" w:firstRow="0" w:lastRow="0" w:firstColumn="1" w:lastColumn="0" w:oddVBand="0" w:evenVBand="0" w:oddHBand="0" w:evenHBand="0" w:firstRowFirstColumn="0" w:firstRowLastColumn="0" w:lastRowFirstColumn="0" w:lastRowLastColumn="0"/>
            <w:tcW w:w="1241" w:type="dxa"/>
          </w:tcPr>
          <w:p w:rsidR="002677E7" w:rsidRPr="00850C00" w:rsidRDefault="002677E7" w:rsidP="002677E7">
            <w:pPr>
              <w:rPr>
                <w:rStyle w:val="Strong"/>
              </w:rPr>
            </w:pPr>
            <w:r w:rsidRPr="00850C00">
              <w:rPr>
                <w:rStyle w:val="Strong"/>
              </w:rPr>
              <w:t>JGN</w:t>
            </w:r>
          </w:p>
        </w:tc>
        <w:tc>
          <w:tcPr>
            <w:tcW w:w="1242" w:type="dxa"/>
          </w:tcPr>
          <w:p w:rsidR="002677E7" w:rsidRDefault="002677E7" w:rsidP="002677E7">
            <w:pPr>
              <w:cnfStyle w:val="000000000000" w:firstRow="0" w:lastRow="0" w:firstColumn="0" w:lastColumn="0" w:oddVBand="0" w:evenVBand="0" w:oddHBand="0" w:evenHBand="0" w:firstRowFirstColumn="0" w:firstRowLastColumn="0" w:lastRowFirstColumn="0" w:lastRowLastColumn="0"/>
            </w:pPr>
          </w:p>
        </w:tc>
        <w:tc>
          <w:tcPr>
            <w:tcW w:w="1242" w:type="dxa"/>
          </w:tcPr>
          <w:p w:rsidR="002677E7" w:rsidRDefault="002677E7" w:rsidP="002677E7">
            <w:pPr>
              <w:cnfStyle w:val="000000000000" w:firstRow="0" w:lastRow="0" w:firstColumn="0" w:lastColumn="0" w:oddVBand="0" w:evenVBand="0" w:oddHBand="0" w:evenHBand="0" w:firstRowFirstColumn="0" w:firstRowLastColumn="0" w:lastRowFirstColumn="0" w:lastRowLastColumn="0"/>
            </w:pPr>
          </w:p>
        </w:tc>
        <w:tc>
          <w:tcPr>
            <w:tcW w:w="1242" w:type="dxa"/>
          </w:tcPr>
          <w:p w:rsidR="002677E7" w:rsidRDefault="002677E7" w:rsidP="002677E7">
            <w:pPr>
              <w:cnfStyle w:val="000000000000" w:firstRow="0" w:lastRow="0" w:firstColumn="0" w:lastColumn="0" w:oddVBand="0" w:evenVBand="0" w:oddHBand="0" w:evenHBand="0" w:firstRowFirstColumn="0" w:firstRowLastColumn="0" w:lastRowFirstColumn="0" w:lastRowLastColumn="0"/>
            </w:pPr>
          </w:p>
        </w:tc>
        <w:tc>
          <w:tcPr>
            <w:tcW w:w="1242" w:type="dxa"/>
          </w:tcPr>
          <w:p w:rsidR="002677E7" w:rsidRDefault="002677E7" w:rsidP="002677E7">
            <w:pPr>
              <w:cnfStyle w:val="000000000000" w:firstRow="0" w:lastRow="0" w:firstColumn="0" w:lastColumn="0" w:oddVBand="0" w:evenVBand="0" w:oddHBand="0" w:evenHBand="0" w:firstRowFirstColumn="0" w:firstRowLastColumn="0" w:lastRowFirstColumn="0" w:lastRowLastColumn="0"/>
            </w:pPr>
          </w:p>
        </w:tc>
        <w:tc>
          <w:tcPr>
            <w:tcW w:w="1242" w:type="dxa"/>
          </w:tcPr>
          <w:p w:rsidR="002677E7" w:rsidRDefault="002677E7" w:rsidP="002677E7">
            <w:pPr>
              <w:cnfStyle w:val="000000000000" w:firstRow="0" w:lastRow="0" w:firstColumn="0" w:lastColumn="0" w:oddVBand="0" w:evenVBand="0" w:oddHBand="0" w:evenHBand="0" w:firstRowFirstColumn="0" w:firstRowLastColumn="0" w:lastRowFirstColumn="0" w:lastRowLastColumn="0"/>
            </w:pPr>
          </w:p>
        </w:tc>
        <w:tc>
          <w:tcPr>
            <w:tcW w:w="1242" w:type="dxa"/>
          </w:tcPr>
          <w:p w:rsidR="002677E7" w:rsidRDefault="002677E7" w:rsidP="002677E7">
            <w:pPr>
              <w:cnfStyle w:val="000000000000" w:firstRow="0" w:lastRow="0" w:firstColumn="0" w:lastColumn="0" w:oddVBand="0" w:evenVBand="0" w:oddHBand="0" w:evenHBand="0" w:firstRowFirstColumn="0" w:firstRowLastColumn="0" w:lastRowFirstColumn="0" w:lastRowLastColumn="0"/>
            </w:pPr>
          </w:p>
        </w:tc>
      </w:tr>
      <w:tr w:rsidR="002677E7" w:rsidTr="006B2C1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41" w:type="dxa"/>
          </w:tcPr>
          <w:p w:rsidR="002677E7" w:rsidRPr="002677E7" w:rsidRDefault="002677E7" w:rsidP="002677E7">
            <w:r w:rsidRPr="00CF4426">
              <w:t>Demand (TJ)</w:t>
            </w:r>
          </w:p>
        </w:tc>
        <w:tc>
          <w:tcPr>
            <w:tcW w:w="1242"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w:t>
            </w:r>
            <w:r w:rsidRPr="002677E7">
              <w:t>8.36</w:t>
            </w:r>
          </w:p>
        </w:tc>
        <w:tc>
          <w:tcPr>
            <w:tcW w:w="1242"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w:t>
            </w:r>
            <w:r w:rsidRPr="002677E7">
              <w:t>1.53</w:t>
            </w:r>
          </w:p>
        </w:tc>
        <w:tc>
          <w:tcPr>
            <w:tcW w:w="1242"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w:t>
            </w:r>
            <w:r w:rsidRPr="002677E7">
              <w:t>0.97</w:t>
            </w:r>
          </w:p>
        </w:tc>
        <w:tc>
          <w:tcPr>
            <w:tcW w:w="1242"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w:t>
            </w:r>
            <w:r w:rsidRPr="002677E7">
              <w:t>1.02</w:t>
            </w:r>
          </w:p>
        </w:tc>
        <w:tc>
          <w:tcPr>
            <w:tcW w:w="1242"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w:t>
            </w:r>
            <w:r w:rsidRPr="002677E7">
              <w:t>1.03</w:t>
            </w:r>
          </w:p>
        </w:tc>
        <w:tc>
          <w:tcPr>
            <w:tcW w:w="1242"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w:t>
            </w:r>
            <w:r w:rsidRPr="002677E7">
              <w:t>0.89</w:t>
            </w:r>
          </w:p>
        </w:tc>
      </w:tr>
      <w:tr w:rsidR="002677E7" w:rsidTr="006B2C1D">
        <w:tc>
          <w:tcPr>
            <w:cnfStyle w:val="001000000000" w:firstRow="0" w:lastRow="0" w:firstColumn="1" w:lastColumn="0" w:oddVBand="0" w:evenVBand="0" w:oddHBand="0" w:evenHBand="0" w:firstRowFirstColumn="0" w:firstRowLastColumn="0" w:lastRowFirstColumn="0" w:lastRowLastColumn="0"/>
            <w:tcW w:w="1241" w:type="dxa"/>
          </w:tcPr>
          <w:p w:rsidR="002677E7" w:rsidRPr="002677E7" w:rsidRDefault="002677E7" w:rsidP="002677E7">
            <w:r w:rsidRPr="00CF4426">
              <w:t>Customers</w:t>
            </w:r>
          </w:p>
        </w:tc>
        <w:tc>
          <w:tcPr>
            <w:tcW w:w="1242" w:type="dxa"/>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pPr>
            <w:r>
              <w:t xml:space="preserve"> 2.99</w:t>
            </w:r>
            <w:r w:rsidRPr="002677E7">
              <w:t xml:space="preserve"> </w:t>
            </w:r>
          </w:p>
        </w:tc>
        <w:tc>
          <w:tcPr>
            <w:tcW w:w="1242" w:type="dxa"/>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pPr>
            <w:r>
              <w:t xml:space="preserve"> 2.83</w:t>
            </w:r>
            <w:r w:rsidRPr="002677E7">
              <w:t xml:space="preserve"> </w:t>
            </w:r>
          </w:p>
        </w:tc>
        <w:tc>
          <w:tcPr>
            <w:tcW w:w="1242" w:type="dxa"/>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pPr>
            <w:r>
              <w:t xml:space="preserve"> 2.57</w:t>
            </w:r>
            <w:r w:rsidRPr="002677E7">
              <w:t xml:space="preserve"> </w:t>
            </w:r>
          </w:p>
        </w:tc>
        <w:tc>
          <w:tcPr>
            <w:tcW w:w="1242" w:type="dxa"/>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pPr>
            <w:r>
              <w:t xml:space="preserve"> 2.32</w:t>
            </w:r>
            <w:r w:rsidRPr="002677E7">
              <w:t xml:space="preserve"> </w:t>
            </w:r>
          </w:p>
        </w:tc>
        <w:tc>
          <w:tcPr>
            <w:tcW w:w="1242" w:type="dxa"/>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pPr>
            <w:r>
              <w:t xml:space="preserve"> 2.08</w:t>
            </w:r>
            <w:r w:rsidRPr="002677E7">
              <w:t xml:space="preserve"> </w:t>
            </w:r>
          </w:p>
        </w:tc>
        <w:tc>
          <w:tcPr>
            <w:tcW w:w="1242" w:type="dxa"/>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pPr>
            <w:r>
              <w:t xml:space="preserve"> 1.87</w:t>
            </w:r>
            <w:r w:rsidRPr="002677E7">
              <w:t xml:space="preserve"> </w:t>
            </w:r>
          </w:p>
        </w:tc>
      </w:tr>
      <w:tr w:rsidR="002677E7" w:rsidTr="006B2C1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41" w:type="dxa"/>
          </w:tcPr>
          <w:p w:rsidR="002677E7" w:rsidRPr="002677E7" w:rsidRDefault="002677E7" w:rsidP="002677E7">
            <w:r w:rsidRPr="00BD4436">
              <w:t>Overall</w:t>
            </w:r>
          </w:p>
        </w:tc>
        <w:tc>
          <w:tcPr>
            <w:tcW w:w="1242"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rPr>
                <w:rStyle w:val="Strong"/>
              </w:rPr>
            </w:pPr>
            <w:r w:rsidRPr="00F75195">
              <w:rPr>
                <w:rStyle w:val="Strong"/>
              </w:rPr>
              <w:t>–4.29</w:t>
            </w:r>
          </w:p>
        </w:tc>
        <w:tc>
          <w:tcPr>
            <w:tcW w:w="1242"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rPr>
                <w:rStyle w:val="Strong"/>
              </w:rPr>
            </w:pPr>
            <w:r w:rsidRPr="00F75195">
              <w:rPr>
                <w:rStyle w:val="Strong"/>
              </w:rPr>
              <w:t xml:space="preserve"> 0.03 </w:t>
            </w:r>
          </w:p>
        </w:tc>
        <w:tc>
          <w:tcPr>
            <w:tcW w:w="1242"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rPr>
                <w:rStyle w:val="Strong"/>
              </w:rPr>
            </w:pPr>
            <w:r w:rsidRPr="00F75195">
              <w:rPr>
                <w:rStyle w:val="Strong"/>
              </w:rPr>
              <w:t xml:space="preserve"> 0.30 </w:t>
            </w:r>
          </w:p>
        </w:tc>
        <w:tc>
          <w:tcPr>
            <w:tcW w:w="1242"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rPr>
                <w:rStyle w:val="Strong"/>
              </w:rPr>
            </w:pPr>
            <w:r w:rsidRPr="00F75195">
              <w:rPr>
                <w:rStyle w:val="Strong"/>
              </w:rPr>
              <w:t xml:space="preserve"> 0.18 </w:t>
            </w:r>
          </w:p>
        </w:tc>
        <w:tc>
          <w:tcPr>
            <w:tcW w:w="1242"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rPr>
                <w:rStyle w:val="Strong"/>
              </w:rPr>
            </w:pPr>
            <w:r w:rsidRPr="00F75195">
              <w:rPr>
                <w:rStyle w:val="Strong"/>
              </w:rPr>
              <w:t xml:space="preserve"> 0.09 </w:t>
            </w:r>
          </w:p>
        </w:tc>
        <w:tc>
          <w:tcPr>
            <w:tcW w:w="1242"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rPr>
                <w:rStyle w:val="Strong"/>
              </w:rPr>
            </w:pPr>
            <w:r w:rsidRPr="00F75195">
              <w:rPr>
                <w:rStyle w:val="Strong"/>
              </w:rPr>
              <w:t xml:space="preserve"> 0.10 </w:t>
            </w:r>
          </w:p>
        </w:tc>
      </w:tr>
      <w:tr w:rsidR="002677E7" w:rsidTr="006B2C1D">
        <w:tc>
          <w:tcPr>
            <w:cnfStyle w:val="001000000000" w:firstRow="0" w:lastRow="0" w:firstColumn="1" w:lastColumn="0" w:oddVBand="0" w:evenVBand="0" w:oddHBand="0" w:evenHBand="0" w:firstRowFirstColumn="0" w:firstRowLastColumn="0" w:lastRowFirstColumn="0" w:lastRowLastColumn="0"/>
            <w:tcW w:w="1241" w:type="dxa"/>
          </w:tcPr>
          <w:p w:rsidR="002677E7" w:rsidRDefault="002677E7" w:rsidP="002677E7"/>
        </w:tc>
        <w:tc>
          <w:tcPr>
            <w:tcW w:w="1242" w:type="dxa"/>
          </w:tcPr>
          <w:p w:rsidR="002677E7" w:rsidRDefault="002677E7" w:rsidP="002677E7">
            <w:pPr>
              <w:cnfStyle w:val="000000000000" w:firstRow="0" w:lastRow="0" w:firstColumn="0" w:lastColumn="0" w:oddVBand="0" w:evenVBand="0" w:oddHBand="0" w:evenHBand="0" w:firstRowFirstColumn="0" w:firstRowLastColumn="0" w:lastRowFirstColumn="0" w:lastRowLastColumn="0"/>
            </w:pPr>
          </w:p>
        </w:tc>
        <w:tc>
          <w:tcPr>
            <w:tcW w:w="1242" w:type="dxa"/>
          </w:tcPr>
          <w:p w:rsidR="002677E7" w:rsidRDefault="002677E7" w:rsidP="002677E7">
            <w:pPr>
              <w:cnfStyle w:val="000000000000" w:firstRow="0" w:lastRow="0" w:firstColumn="0" w:lastColumn="0" w:oddVBand="0" w:evenVBand="0" w:oddHBand="0" w:evenHBand="0" w:firstRowFirstColumn="0" w:firstRowLastColumn="0" w:lastRowFirstColumn="0" w:lastRowLastColumn="0"/>
            </w:pPr>
          </w:p>
        </w:tc>
        <w:tc>
          <w:tcPr>
            <w:tcW w:w="1242" w:type="dxa"/>
          </w:tcPr>
          <w:p w:rsidR="002677E7" w:rsidRDefault="002677E7" w:rsidP="002677E7">
            <w:pPr>
              <w:cnfStyle w:val="000000000000" w:firstRow="0" w:lastRow="0" w:firstColumn="0" w:lastColumn="0" w:oddVBand="0" w:evenVBand="0" w:oddHBand="0" w:evenHBand="0" w:firstRowFirstColumn="0" w:firstRowLastColumn="0" w:lastRowFirstColumn="0" w:lastRowLastColumn="0"/>
            </w:pPr>
          </w:p>
        </w:tc>
        <w:tc>
          <w:tcPr>
            <w:tcW w:w="1242" w:type="dxa"/>
          </w:tcPr>
          <w:p w:rsidR="002677E7" w:rsidRDefault="002677E7" w:rsidP="002677E7">
            <w:pPr>
              <w:cnfStyle w:val="000000000000" w:firstRow="0" w:lastRow="0" w:firstColumn="0" w:lastColumn="0" w:oddVBand="0" w:evenVBand="0" w:oddHBand="0" w:evenHBand="0" w:firstRowFirstColumn="0" w:firstRowLastColumn="0" w:lastRowFirstColumn="0" w:lastRowLastColumn="0"/>
            </w:pPr>
          </w:p>
        </w:tc>
        <w:tc>
          <w:tcPr>
            <w:tcW w:w="1242" w:type="dxa"/>
          </w:tcPr>
          <w:p w:rsidR="002677E7" w:rsidRDefault="002677E7" w:rsidP="002677E7">
            <w:pPr>
              <w:cnfStyle w:val="000000000000" w:firstRow="0" w:lastRow="0" w:firstColumn="0" w:lastColumn="0" w:oddVBand="0" w:evenVBand="0" w:oddHBand="0" w:evenHBand="0" w:firstRowFirstColumn="0" w:firstRowLastColumn="0" w:lastRowFirstColumn="0" w:lastRowLastColumn="0"/>
            </w:pPr>
          </w:p>
        </w:tc>
        <w:tc>
          <w:tcPr>
            <w:tcW w:w="1242" w:type="dxa"/>
          </w:tcPr>
          <w:p w:rsidR="002677E7" w:rsidRDefault="002677E7" w:rsidP="002677E7">
            <w:pPr>
              <w:cnfStyle w:val="000000000000" w:firstRow="0" w:lastRow="0" w:firstColumn="0" w:lastColumn="0" w:oddVBand="0" w:evenVBand="0" w:oddHBand="0" w:evenHBand="0" w:firstRowFirstColumn="0" w:firstRowLastColumn="0" w:lastRowFirstColumn="0" w:lastRowLastColumn="0"/>
            </w:pPr>
          </w:p>
        </w:tc>
      </w:tr>
      <w:tr w:rsidR="002677E7" w:rsidTr="006B2C1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41" w:type="dxa"/>
          </w:tcPr>
          <w:p w:rsidR="002677E7" w:rsidRPr="00850C00" w:rsidRDefault="002677E7" w:rsidP="002677E7">
            <w:pPr>
              <w:rPr>
                <w:rStyle w:val="Strong"/>
              </w:rPr>
            </w:pPr>
            <w:r w:rsidRPr="00850C00">
              <w:rPr>
                <w:rStyle w:val="Strong"/>
              </w:rPr>
              <w:t>AER</w:t>
            </w:r>
          </w:p>
        </w:tc>
        <w:tc>
          <w:tcPr>
            <w:tcW w:w="1242" w:type="dxa"/>
          </w:tcPr>
          <w:p w:rsidR="002677E7" w:rsidRDefault="002677E7" w:rsidP="002677E7">
            <w:pPr>
              <w:cnfStyle w:val="000000010000" w:firstRow="0" w:lastRow="0" w:firstColumn="0" w:lastColumn="0" w:oddVBand="0" w:evenVBand="0" w:oddHBand="0" w:evenHBand="1" w:firstRowFirstColumn="0" w:firstRowLastColumn="0" w:lastRowFirstColumn="0" w:lastRowLastColumn="0"/>
            </w:pPr>
          </w:p>
        </w:tc>
        <w:tc>
          <w:tcPr>
            <w:tcW w:w="1242" w:type="dxa"/>
          </w:tcPr>
          <w:p w:rsidR="002677E7" w:rsidRDefault="002677E7" w:rsidP="002677E7">
            <w:pPr>
              <w:cnfStyle w:val="000000010000" w:firstRow="0" w:lastRow="0" w:firstColumn="0" w:lastColumn="0" w:oddVBand="0" w:evenVBand="0" w:oddHBand="0" w:evenHBand="1" w:firstRowFirstColumn="0" w:firstRowLastColumn="0" w:lastRowFirstColumn="0" w:lastRowLastColumn="0"/>
            </w:pPr>
          </w:p>
        </w:tc>
        <w:tc>
          <w:tcPr>
            <w:tcW w:w="1242" w:type="dxa"/>
          </w:tcPr>
          <w:p w:rsidR="002677E7" w:rsidRDefault="002677E7" w:rsidP="002677E7">
            <w:pPr>
              <w:cnfStyle w:val="000000010000" w:firstRow="0" w:lastRow="0" w:firstColumn="0" w:lastColumn="0" w:oddVBand="0" w:evenVBand="0" w:oddHBand="0" w:evenHBand="1" w:firstRowFirstColumn="0" w:firstRowLastColumn="0" w:lastRowFirstColumn="0" w:lastRowLastColumn="0"/>
            </w:pPr>
          </w:p>
        </w:tc>
        <w:tc>
          <w:tcPr>
            <w:tcW w:w="1242" w:type="dxa"/>
          </w:tcPr>
          <w:p w:rsidR="002677E7" w:rsidRDefault="002677E7" w:rsidP="002677E7">
            <w:pPr>
              <w:cnfStyle w:val="000000010000" w:firstRow="0" w:lastRow="0" w:firstColumn="0" w:lastColumn="0" w:oddVBand="0" w:evenVBand="0" w:oddHBand="0" w:evenHBand="1" w:firstRowFirstColumn="0" w:firstRowLastColumn="0" w:lastRowFirstColumn="0" w:lastRowLastColumn="0"/>
            </w:pPr>
          </w:p>
        </w:tc>
        <w:tc>
          <w:tcPr>
            <w:tcW w:w="1242" w:type="dxa"/>
          </w:tcPr>
          <w:p w:rsidR="002677E7" w:rsidRDefault="002677E7" w:rsidP="002677E7">
            <w:pPr>
              <w:cnfStyle w:val="000000010000" w:firstRow="0" w:lastRow="0" w:firstColumn="0" w:lastColumn="0" w:oddVBand="0" w:evenVBand="0" w:oddHBand="0" w:evenHBand="1" w:firstRowFirstColumn="0" w:firstRowLastColumn="0" w:lastRowFirstColumn="0" w:lastRowLastColumn="0"/>
            </w:pPr>
          </w:p>
        </w:tc>
        <w:tc>
          <w:tcPr>
            <w:tcW w:w="1242" w:type="dxa"/>
          </w:tcPr>
          <w:p w:rsidR="002677E7" w:rsidRDefault="002677E7" w:rsidP="002677E7">
            <w:pPr>
              <w:cnfStyle w:val="000000010000" w:firstRow="0" w:lastRow="0" w:firstColumn="0" w:lastColumn="0" w:oddVBand="0" w:evenVBand="0" w:oddHBand="0" w:evenHBand="1" w:firstRowFirstColumn="0" w:firstRowLastColumn="0" w:lastRowFirstColumn="0" w:lastRowLastColumn="0"/>
            </w:pPr>
          </w:p>
        </w:tc>
      </w:tr>
      <w:tr w:rsidR="002677E7" w:rsidTr="006B2C1D">
        <w:tc>
          <w:tcPr>
            <w:cnfStyle w:val="001000000000" w:firstRow="0" w:lastRow="0" w:firstColumn="1" w:lastColumn="0" w:oddVBand="0" w:evenVBand="0" w:oddHBand="0" w:evenHBand="0" w:firstRowFirstColumn="0" w:firstRowLastColumn="0" w:lastRowFirstColumn="0" w:lastRowLastColumn="0"/>
            <w:tcW w:w="1241" w:type="dxa"/>
          </w:tcPr>
          <w:p w:rsidR="002677E7" w:rsidRPr="002677E7" w:rsidRDefault="002677E7" w:rsidP="002677E7">
            <w:r w:rsidRPr="00CF4426">
              <w:t>Demand (TJ)</w:t>
            </w:r>
          </w:p>
        </w:tc>
        <w:tc>
          <w:tcPr>
            <w:tcW w:w="1242" w:type="dxa"/>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pPr>
            <w:r>
              <w:t>–</w:t>
            </w:r>
            <w:r w:rsidRPr="002677E7">
              <w:t>8.</w:t>
            </w:r>
            <w:r w:rsidR="00421987">
              <w:t>22</w:t>
            </w:r>
          </w:p>
        </w:tc>
        <w:tc>
          <w:tcPr>
            <w:tcW w:w="1242" w:type="dxa"/>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pPr>
            <w:r>
              <w:t>–</w:t>
            </w:r>
            <w:r w:rsidRPr="002677E7">
              <w:t>1.</w:t>
            </w:r>
            <w:r w:rsidR="00421987">
              <w:t>40</w:t>
            </w:r>
          </w:p>
        </w:tc>
        <w:tc>
          <w:tcPr>
            <w:tcW w:w="1242" w:type="dxa"/>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pPr>
            <w:r>
              <w:t>–</w:t>
            </w:r>
            <w:r w:rsidRPr="002677E7">
              <w:t>0.</w:t>
            </w:r>
            <w:r w:rsidR="00421987">
              <w:t>83</w:t>
            </w:r>
          </w:p>
        </w:tc>
        <w:tc>
          <w:tcPr>
            <w:tcW w:w="1242" w:type="dxa"/>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pPr>
            <w:r>
              <w:t>–</w:t>
            </w:r>
            <w:r w:rsidRPr="002677E7">
              <w:t>0.</w:t>
            </w:r>
            <w:r w:rsidR="00421987">
              <w:t>86</w:t>
            </w:r>
          </w:p>
        </w:tc>
        <w:tc>
          <w:tcPr>
            <w:tcW w:w="1242" w:type="dxa"/>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pPr>
            <w:r>
              <w:t>–</w:t>
            </w:r>
            <w:r w:rsidRPr="002677E7">
              <w:t>0.</w:t>
            </w:r>
            <w:r w:rsidR="00421987">
              <w:t>84</w:t>
            </w:r>
          </w:p>
        </w:tc>
        <w:tc>
          <w:tcPr>
            <w:tcW w:w="1242" w:type="dxa"/>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pPr>
            <w:r>
              <w:t>–</w:t>
            </w:r>
            <w:r w:rsidRPr="002677E7">
              <w:t>0.</w:t>
            </w:r>
            <w:r w:rsidR="00421987">
              <w:t>67</w:t>
            </w:r>
          </w:p>
        </w:tc>
      </w:tr>
      <w:tr w:rsidR="002677E7" w:rsidTr="006B2C1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41" w:type="dxa"/>
          </w:tcPr>
          <w:p w:rsidR="002677E7" w:rsidRPr="002677E7" w:rsidRDefault="002677E7" w:rsidP="002677E7">
            <w:r w:rsidRPr="00CF4426">
              <w:t>Customers</w:t>
            </w:r>
          </w:p>
        </w:tc>
        <w:tc>
          <w:tcPr>
            <w:tcW w:w="1242"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 xml:space="preserve"> 2.99</w:t>
            </w:r>
            <w:r w:rsidRPr="002677E7">
              <w:t xml:space="preserve"> </w:t>
            </w:r>
          </w:p>
        </w:tc>
        <w:tc>
          <w:tcPr>
            <w:tcW w:w="1242"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 xml:space="preserve"> 2.83</w:t>
            </w:r>
            <w:r w:rsidRPr="002677E7">
              <w:t xml:space="preserve"> </w:t>
            </w:r>
          </w:p>
        </w:tc>
        <w:tc>
          <w:tcPr>
            <w:tcW w:w="1242"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 xml:space="preserve"> 2.56</w:t>
            </w:r>
            <w:r w:rsidRPr="002677E7">
              <w:t xml:space="preserve"> </w:t>
            </w:r>
          </w:p>
        </w:tc>
        <w:tc>
          <w:tcPr>
            <w:tcW w:w="1242"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 xml:space="preserve"> 2.31</w:t>
            </w:r>
            <w:r w:rsidRPr="002677E7">
              <w:t xml:space="preserve"> </w:t>
            </w:r>
          </w:p>
        </w:tc>
        <w:tc>
          <w:tcPr>
            <w:tcW w:w="1242"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t xml:space="preserve"> 2.07</w:t>
            </w:r>
            <w:r w:rsidRPr="002677E7">
              <w:t xml:space="preserve"> </w:t>
            </w:r>
          </w:p>
        </w:tc>
        <w:tc>
          <w:tcPr>
            <w:tcW w:w="1242" w:type="dxa"/>
          </w:tcPr>
          <w:p w:rsidR="002677E7" w:rsidRPr="002677E7" w:rsidRDefault="002677E7" w:rsidP="002677E7">
            <w:pPr>
              <w:cnfStyle w:val="000000010000" w:firstRow="0" w:lastRow="0" w:firstColumn="0" w:lastColumn="0" w:oddVBand="0" w:evenVBand="0" w:oddHBand="0" w:evenHBand="1" w:firstRowFirstColumn="0" w:firstRowLastColumn="0" w:lastRowFirstColumn="0" w:lastRowLastColumn="0"/>
            </w:pPr>
            <w:r w:rsidRPr="00CF4426">
              <w:t xml:space="preserve"> 1.85 </w:t>
            </w:r>
          </w:p>
        </w:tc>
      </w:tr>
      <w:tr w:rsidR="002677E7" w:rsidTr="006B2C1D">
        <w:tc>
          <w:tcPr>
            <w:cnfStyle w:val="001000000000" w:firstRow="0" w:lastRow="0" w:firstColumn="1" w:lastColumn="0" w:oddVBand="0" w:evenVBand="0" w:oddHBand="0" w:evenHBand="0" w:firstRowFirstColumn="0" w:firstRowLastColumn="0" w:lastRowFirstColumn="0" w:lastRowLastColumn="0"/>
            <w:tcW w:w="1241" w:type="dxa"/>
          </w:tcPr>
          <w:p w:rsidR="002677E7" w:rsidRPr="002677E7" w:rsidRDefault="002677E7" w:rsidP="002677E7">
            <w:r w:rsidRPr="00BD4436">
              <w:t>Overall</w:t>
            </w:r>
          </w:p>
        </w:tc>
        <w:tc>
          <w:tcPr>
            <w:tcW w:w="1242" w:type="dxa"/>
          </w:tcPr>
          <w:p w:rsidR="002677E7" w:rsidRPr="002677E7" w:rsidRDefault="002677E7" w:rsidP="002677E7">
            <w:pPr>
              <w:cnfStyle w:val="000000000000" w:firstRow="0" w:lastRow="0" w:firstColumn="0" w:lastColumn="0" w:oddVBand="0" w:evenVBand="0" w:oddHBand="0" w:evenHBand="0" w:firstRowFirstColumn="0" w:firstRowLastColumn="0" w:lastRowFirstColumn="0" w:lastRowLastColumn="0"/>
              <w:rPr>
                <w:rStyle w:val="Strong"/>
              </w:rPr>
            </w:pPr>
            <w:r w:rsidRPr="00F75195">
              <w:rPr>
                <w:rStyle w:val="Strong"/>
              </w:rPr>
              <w:t>–4.</w:t>
            </w:r>
            <w:r w:rsidR="001028F7">
              <w:rPr>
                <w:rStyle w:val="Strong"/>
              </w:rPr>
              <w:t>2</w:t>
            </w:r>
          </w:p>
        </w:tc>
        <w:tc>
          <w:tcPr>
            <w:tcW w:w="1242" w:type="dxa"/>
          </w:tcPr>
          <w:p w:rsidR="002677E7" w:rsidRPr="002677E7" w:rsidRDefault="002677E7" w:rsidP="001028F7">
            <w:pPr>
              <w:cnfStyle w:val="000000000000" w:firstRow="0" w:lastRow="0" w:firstColumn="0" w:lastColumn="0" w:oddVBand="0" w:evenVBand="0" w:oddHBand="0" w:evenHBand="0" w:firstRowFirstColumn="0" w:firstRowLastColumn="0" w:lastRowFirstColumn="0" w:lastRowLastColumn="0"/>
              <w:rPr>
                <w:rStyle w:val="Strong"/>
              </w:rPr>
            </w:pPr>
            <w:r w:rsidRPr="00F75195">
              <w:rPr>
                <w:rStyle w:val="Strong"/>
              </w:rPr>
              <w:t xml:space="preserve"> 0.</w:t>
            </w:r>
            <w:r w:rsidR="001028F7" w:rsidRPr="00F75195">
              <w:rPr>
                <w:rStyle w:val="Strong"/>
              </w:rPr>
              <w:t>1</w:t>
            </w:r>
            <w:r w:rsidR="001028F7">
              <w:rPr>
                <w:rStyle w:val="Strong"/>
              </w:rPr>
              <w:t>1</w:t>
            </w:r>
            <w:r w:rsidR="001028F7" w:rsidRPr="00F75195">
              <w:rPr>
                <w:rStyle w:val="Strong"/>
              </w:rPr>
              <w:t xml:space="preserve"> </w:t>
            </w:r>
          </w:p>
        </w:tc>
        <w:tc>
          <w:tcPr>
            <w:tcW w:w="1242" w:type="dxa"/>
          </w:tcPr>
          <w:p w:rsidR="002677E7" w:rsidRPr="002677E7" w:rsidRDefault="002677E7" w:rsidP="001028F7">
            <w:pPr>
              <w:cnfStyle w:val="000000000000" w:firstRow="0" w:lastRow="0" w:firstColumn="0" w:lastColumn="0" w:oddVBand="0" w:evenVBand="0" w:oddHBand="0" w:evenHBand="0" w:firstRowFirstColumn="0" w:firstRowLastColumn="0" w:lastRowFirstColumn="0" w:lastRowLastColumn="0"/>
              <w:rPr>
                <w:rStyle w:val="Strong"/>
              </w:rPr>
            </w:pPr>
            <w:r w:rsidRPr="00F75195">
              <w:rPr>
                <w:rStyle w:val="Strong"/>
              </w:rPr>
              <w:t xml:space="preserve"> 0.</w:t>
            </w:r>
            <w:r w:rsidR="001028F7">
              <w:rPr>
                <w:rStyle w:val="Strong"/>
              </w:rPr>
              <w:t>39</w:t>
            </w:r>
            <w:r w:rsidR="001028F7" w:rsidRPr="00F75195">
              <w:rPr>
                <w:rStyle w:val="Strong"/>
              </w:rPr>
              <w:t xml:space="preserve"> </w:t>
            </w:r>
          </w:p>
        </w:tc>
        <w:tc>
          <w:tcPr>
            <w:tcW w:w="1242" w:type="dxa"/>
          </w:tcPr>
          <w:p w:rsidR="002677E7" w:rsidRPr="002677E7" w:rsidRDefault="002677E7" w:rsidP="001028F7">
            <w:pPr>
              <w:cnfStyle w:val="000000000000" w:firstRow="0" w:lastRow="0" w:firstColumn="0" w:lastColumn="0" w:oddVBand="0" w:evenVBand="0" w:oddHBand="0" w:evenHBand="0" w:firstRowFirstColumn="0" w:firstRowLastColumn="0" w:lastRowFirstColumn="0" w:lastRowLastColumn="0"/>
              <w:rPr>
                <w:rStyle w:val="Strong"/>
              </w:rPr>
            </w:pPr>
            <w:r w:rsidRPr="00F75195">
              <w:rPr>
                <w:rStyle w:val="Strong"/>
              </w:rPr>
              <w:t xml:space="preserve"> 0.</w:t>
            </w:r>
            <w:r w:rsidR="001028F7">
              <w:rPr>
                <w:rStyle w:val="Strong"/>
              </w:rPr>
              <w:t>27</w:t>
            </w:r>
            <w:r w:rsidR="001028F7" w:rsidRPr="00F75195">
              <w:rPr>
                <w:rStyle w:val="Strong"/>
              </w:rPr>
              <w:t xml:space="preserve"> </w:t>
            </w:r>
          </w:p>
        </w:tc>
        <w:tc>
          <w:tcPr>
            <w:tcW w:w="1242" w:type="dxa"/>
          </w:tcPr>
          <w:p w:rsidR="002677E7" w:rsidRPr="002677E7" w:rsidRDefault="002677E7" w:rsidP="001028F7">
            <w:pPr>
              <w:cnfStyle w:val="000000000000" w:firstRow="0" w:lastRow="0" w:firstColumn="0" w:lastColumn="0" w:oddVBand="0" w:evenVBand="0" w:oddHBand="0" w:evenHBand="0" w:firstRowFirstColumn="0" w:firstRowLastColumn="0" w:lastRowFirstColumn="0" w:lastRowLastColumn="0"/>
              <w:rPr>
                <w:rStyle w:val="Strong"/>
              </w:rPr>
            </w:pPr>
            <w:r w:rsidRPr="00F75195">
              <w:rPr>
                <w:rStyle w:val="Strong"/>
              </w:rPr>
              <w:t xml:space="preserve"> 0.</w:t>
            </w:r>
            <w:r w:rsidR="001028F7">
              <w:rPr>
                <w:rStyle w:val="Strong"/>
              </w:rPr>
              <w:t>20</w:t>
            </w:r>
            <w:r w:rsidR="001028F7" w:rsidRPr="00F75195">
              <w:rPr>
                <w:rStyle w:val="Strong"/>
              </w:rPr>
              <w:t xml:space="preserve"> </w:t>
            </w:r>
          </w:p>
        </w:tc>
        <w:tc>
          <w:tcPr>
            <w:tcW w:w="1242" w:type="dxa"/>
          </w:tcPr>
          <w:p w:rsidR="002677E7" w:rsidRPr="002677E7" w:rsidRDefault="002677E7" w:rsidP="001028F7">
            <w:pPr>
              <w:cnfStyle w:val="000000000000" w:firstRow="0" w:lastRow="0" w:firstColumn="0" w:lastColumn="0" w:oddVBand="0" w:evenVBand="0" w:oddHBand="0" w:evenHBand="0" w:firstRowFirstColumn="0" w:firstRowLastColumn="0" w:lastRowFirstColumn="0" w:lastRowLastColumn="0"/>
              <w:rPr>
                <w:rStyle w:val="Strong"/>
              </w:rPr>
            </w:pPr>
            <w:r w:rsidRPr="00F75195">
              <w:rPr>
                <w:rStyle w:val="Strong"/>
              </w:rPr>
              <w:t xml:space="preserve"> 0.</w:t>
            </w:r>
            <w:r w:rsidR="001028F7">
              <w:rPr>
                <w:rStyle w:val="Strong"/>
              </w:rPr>
              <w:t>23</w:t>
            </w:r>
            <w:r w:rsidR="001028F7" w:rsidRPr="00F75195">
              <w:rPr>
                <w:rStyle w:val="Strong"/>
              </w:rPr>
              <w:t xml:space="preserve"> </w:t>
            </w:r>
          </w:p>
        </w:tc>
      </w:tr>
    </w:tbl>
    <w:p w:rsidR="002677E7" w:rsidRDefault="002677E7" w:rsidP="002677E7">
      <w:pPr>
        <w:pStyle w:val="Source"/>
      </w:pPr>
      <w:r>
        <w:t>Source: JGN opex model, DAE, Gas demand forecast for Jemena Gas Network NSW, 28 April 2015 and AER analysis</w:t>
      </w:r>
      <w:r w:rsidR="000F3199">
        <w:t>.</w:t>
      </w:r>
    </w:p>
    <w:p w:rsidR="002677E7" w:rsidRDefault="002677E7" w:rsidP="002677E7">
      <w:r>
        <w:t xml:space="preserve">As shown in </w:t>
      </w:r>
      <w:r w:rsidR="000F3199">
        <w:fldChar w:fldCharType="begin"/>
      </w:r>
      <w:r w:rsidR="000F3199">
        <w:instrText xml:space="preserve"> REF _Ref401322687 \h </w:instrText>
      </w:r>
      <w:r w:rsidR="000F3199">
        <w:fldChar w:fldCharType="separate"/>
      </w:r>
      <w:r w:rsidR="00FB6999" w:rsidRPr="005B4F7A">
        <w:t>Table</w:t>
      </w:r>
      <w:r w:rsidR="00FB6999">
        <w:t xml:space="preserve"> </w:t>
      </w:r>
      <w:r w:rsidR="00FB6999">
        <w:rPr>
          <w:noProof/>
        </w:rPr>
        <w:t>7</w:t>
      </w:r>
      <w:r w:rsidR="00FB6999">
        <w:t>.</w:t>
      </w:r>
      <w:r w:rsidR="00FB6999">
        <w:rPr>
          <w:noProof/>
        </w:rPr>
        <w:t>2</w:t>
      </w:r>
      <w:r w:rsidR="000F3199">
        <w:fldChar w:fldCharType="end"/>
      </w:r>
      <w:r w:rsidR="000F3199">
        <w:t xml:space="preserve"> </w:t>
      </w:r>
      <w:r w:rsidR="00F9548D">
        <w:t xml:space="preserve">(above) </w:t>
      </w:r>
      <w:r>
        <w:t>overall our forecast output growth is higher than JGN's revised proposal output growth. This change is driven primarily by our demand forecast which is forecast to decline at a slower rate than JGN's forecast.</w:t>
      </w:r>
    </w:p>
    <w:p w:rsidR="0061651B" w:rsidRDefault="0061651B" w:rsidP="00850C00">
      <w:pPr>
        <w:pStyle w:val="HeadingBoldItalic"/>
      </w:pPr>
      <w:r>
        <w:t>Other submissions</w:t>
      </w:r>
    </w:p>
    <w:p w:rsidR="0065346E" w:rsidRDefault="0065346E" w:rsidP="0065346E">
      <w:bookmarkStart w:id="35" w:name="_Ref398643712"/>
      <w:bookmarkStart w:id="36" w:name="_Toc404169616"/>
      <w:bookmarkStart w:id="37" w:name="_Toc404612270"/>
      <w:r>
        <w:t>The Energy Markets Reform Forum (EMRF) consider</w:t>
      </w:r>
      <w:r w:rsidR="00F9548D">
        <w:t>ed</w:t>
      </w:r>
      <w:r>
        <w:t xml:space="preserve"> increases in capex should lead to lower opex as older assets are replaced. The EMRF noted the decline in opex productivity despite the increase in capex allowances over the same period.</w:t>
      </w:r>
      <w:r>
        <w:rPr>
          <w:rStyle w:val="FootnoteReference"/>
        </w:rPr>
        <w:footnoteReference w:id="35"/>
      </w:r>
      <w:r w:rsidRPr="00180314">
        <w:t xml:space="preserve"> </w:t>
      </w:r>
    </w:p>
    <w:p w:rsidR="0065346E" w:rsidRPr="00C14B1F" w:rsidRDefault="0065346E" w:rsidP="0065346E">
      <w:r>
        <w:t>It seems reasonable to consider that newer assets might require less maintenance than older assets. We also note that older assets usually require more maintenance. While we have not explicitly modelled this relationship, JGN's productivity measure has taken this into account at an overall level for the gas industry by using capital quantity and asset age as variables in its model.</w:t>
      </w:r>
      <w:r>
        <w:rPr>
          <w:rStyle w:val="FootnoteReference"/>
        </w:rPr>
        <w:footnoteReference w:id="36"/>
      </w:r>
      <w:r>
        <w:t xml:space="preserve"> </w:t>
      </w:r>
    </w:p>
    <w:p w:rsidR="0065346E" w:rsidRDefault="0065346E" w:rsidP="0065346E">
      <w:r>
        <w:t>The EMRF also disagreed with our draft decision to not use IPART's findings that the Australian gas industry as a whole was less efficient than its overseas counterparts.</w:t>
      </w:r>
      <w:r w:rsidRPr="00CD14A1">
        <w:rPr>
          <w:rStyle w:val="FootnoteReference"/>
        </w:rPr>
        <w:footnoteReference w:id="37"/>
      </w:r>
    </w:p>
    <w:p w:rsidR="0065346E" w:rsidRDefault="0065346E" w:rsidP="0065346E">
      <w:r>
        <w:t>We noted in our draft decision that IPART conducted its study in 1999 and since then the average opex partial factor productivity was 4.36 per cent.</w:t>
      </w:r>
      <w:r>
        <w:rPr>
          <w:rStyle w:val="FootnoteReference"/>
        </w:rPr>
        <w:footnoteReference w:id="38"/>
      </w:r>
      <w:r>
        <w:t xml:space="preserve"> We also noted that </w:t>
      </w:r>
      <w:r>
        <w:lastRenderedPageBreak/>
        <w:t>based on the limited data available there was no evidence to suggest that JGN's revealed costs in its proposed base year are materially inefficient.</w:t>
      </w:r>
      <w:r>
        <w:rPr>
          <w:rStyle w:val="FootnoteReference"/>
        </w:rPr>
        <w:footnoteReference w:id="39"/>
      </w:r>
    </w:p>
    <w:p w:rsidR="00576716" w:rsidRPr="008C7A62" w:rsidRDefault="00576716" w:rsidP="00576716">
      <w:pPr>
        <w:pStyle w:val="Heading3"/>
      </w:pPr>
      <w:bookmarkStart w:id="38" w:name="_Toc420325032"/>
      <w:r w:rsidRPr="008C7A62">
        <w:t>Step changes</w:t>
      </w:r>
      <w:bookmarkEnd w:id="35"/>
      <w:bookmarkEnd w:id="36"/>
      <w:bookmarkEnd w:id="37"/>
      <w:bookmarkEnd w:id="38"/>
    </w:p>
    <w:p w:rsidR="00576716" w:rsidRPr="008C7A62" w:rsidRDefault="00576716" w:rsidP="00576716">
      <w:pPr>
        <w:numPr>
          <w:ilvl w:val="0"/>
          <w:numId w:val="25"/>
        </w:numPr>
      </w:pPr>
      <w:r w:rsidRPr="008C7A62">
        <w:t xml:space="preserve">In some instances, a service provider may face a step change in efficient costs that is not reflected in the base year or rate of change for the access arrangement period. When assessing a service provider's proposed step changes, we consider whether without those changes, total opex would comply with the opex criteria.  </w:t>
      </w:r>
    </w:p>
    <w:p w:rsidR="00576716" w:rsidRPr="008C7A62" w:rsidRDefault="00576716" w:rsidP="00576716">
      <w:pPr>
        <w:numPr>
          <w:ilvl w:val="0"/>
          <w:numId w:val="25"/>
        </w:numPr>
      </w:pPr>
      <w:r w:rsidRPr="008C7A62">
        <w:t>As a starting point, we consider whether the proposed step changes in opex are already compensated through other elements of our opex forecast, such as the base opex or the 'rate of change' component. Step changes should not double count costs included in other elements of the opex forecast. Further</w:t>
      </w:r>
      <w:r w:rsidR="00152011">
        <w:t>,</w:t>
      </w:r>
      <w:r w:rsidRPr="008C7A62">
        <w:t xml:space="preserve"> </w:t>
      </w:r>
      <w:r w:rsidR="00152011">
        <w:t>in</w:t>
      </w:r>
      <w:r w:rsidR="00152011" w:rsidRPr="008C7A62">
        <w:t xml:space="preserve"> </w:t>
      </w:r>
      <w:r w:rsidRPr="008C7A62">
        <w:t xml:space="preserve">assessing whether step changes are captured in other elements of the opex forecast, we assess the reasons for, and the level of, the incremental costs the service provider has proposed. </w:t>
      </w:r>
    </w:p>
    <w:p w:rsidR="00EF7202" w:rsidRDefault="00EF7202" w:rsidP="00850C00">
      <w:pPr>
        <w:pStyle w:val="HeadingBoldBlue"/>
      </w:pPr>
      <w:r>
        <w:t>Position</w:t>
      </w:r>
    </w:p>
    <w:p w:rsidR="00576716" w:rsidRDefault="00576716" w:rsidP="00576716">
      <w:pPr>
        <w:numPr>
          <w:ilvl w:val="0"/>
          <w:numId w:val="25"/>
        </w:numPr>
      </w:pPr>
      <w:r w:rsidRPr="00067100">
        <w:t xml:space="preserve">We have included </w:t>
      </w:r>
      <w:r w:rsidR="00A56D16">
        <w:t>seven</w:t>
      </w:r>
      <w:r>
        <w:t xml:space="preserve"> step changes totalling $3</w:t>
      </w:r>
      <w:r w:rsidR="00A56D16">
        <w:t>1</w:t>
      </w:r>
      <w:r>
        <w:t>.</w:t>
      </w:r>
      <w:r w:rsidR="00753E22">
        <w:t>3</w:t>
      </w:r>
      <w:r>
        <w:t xml:space="preserve"> million ($2014–15) in </w:t>
      </w:r>
      <w:r w:rsidR="00152011">
        <w:t>the approved</w:t>
      </w:r>
      <w:r>
        <w:t xml:space="preserve"> opex forecast for our final decision.</w:t>
      </w:r>
    </w:p>
    <w:p w:rsidR="00EF7202" w:rsidRDefault="00EF7202" w:rsidP="00EF7202">
      <w:pPr>
        <w:numPr>
          <w:ilvl w:val="0"/>
          <w:numId w:val="25"/>
        </w:numPr>
      </w:pPr>
      <w:r w:rsidRPr="008C7A62">
        <w:t xml:space="preserve">We assessed </w:t>
      </w:r>
      <w:r>
        <w:t>the three</w:t>
      </w:r>
      <w:r w:rsidRPr="008C7A62">
        <w:t xml:space="preserve"> </w:t>
      </w:r>
      <w:r>
        <w:t>additional</w:t>
      </w:r>
      <w:r w:rsidRPr="008C7A62">
        <w:t xml:space="preserve"> step changes </w:t>
      </w:r>
      <w:r>
        <w:t xml:space="preserve">JGN proposed </w:t>
      </w:r>
      <w:r w:rsidR="00152011">
        <w:t xml:space="preserve">in its revised proposal </w:t>
      </w:r>
      <w:r w:rsidRPr="008C7A62">
        <w:t xml:space="preserve">to determine whether </w:t>
      </w:r>
      <w:r>
        <w:t>we</w:t>
      </w:r>
      <w:r w:rsidRPr="008C7A62">
        <w:t xml:space="preserve"> should include</w:t>
      </w:r>
      <w:r>
        <w:t xml:space="preserve"> them</w:t>
      </w:r>
      <w:r w:rsidRPr="008C7A62">
        <w:t xml:space="preserve"> in our total opex forecast.</w:t>
      </w:r>
      <w:r>
        <w:t xml:space="preserve"> Our final position is to </w:t>
      </w:r>
      <w:r w:rsidR="00A56D16">
        <w:rPr>
          <w:rStyle w:val="AERbody"/>
        </w:rPr>
        <w:t>include two of</w:t>
      </w:r>
      <w:r>
        <w:rPr>
          <w:rStyle w:val="AERbody"/>
        </w:rPr>
        <w:t xml:space="preserve"> </w:t>
      </w:r>
      <w:r w:rsidR="00321F93">
        <w:rPr>
          <w:rStyle w:val="AERbody"/>
        </w:rPr>
        <w:t>those</w:t>
      </w:r>
      <w:r w:rsidR="00A56D16">
        <w:rPr>
          <w:rStyle w:val="AERbody"/>
        </w:rPr>
        <w:t xml:space="preserve"> proposed </w:t>
      </w:r>
      <w:r>
        <w:rPr>
          <w:rStyle w:val="AERbody"/>
        </w:rPr>
        <w:t>step changes, in addition to the step changes we approved in our draft decision.</w:t>
      </w:r>
      <w:r w:rsidRPr="008C7A62">
        <w:t xml:space="preserve"> </w:t>
      </w:r>
      <w:r w:rsidR="00516FAB">
        <w:fldChar w:fldCharType="begin"/>
      </w:r>
      <w:r w:rsidR="00516FAB">
        <w:instrText xml:space="preserve"> REF _Ref418519000 \h </w:instrText>
      </w:r>
      <w:r w:rsidR="00516FAB">
        <w:fldChar w:fldCharType="separate"/>
      </w:r>
      <w:r w:rsidR="00FB6999">
        <w:t xml:space="preserve">Table </w:t>
      </w:r>
      <w:r w:rsidR="00FB6999">
        <w:rPr>
          <w:noProof/>
        </w:rPr>
        <w:t>7</w:t>
      </w:r>
      <w:r w:rsidR="00FB6999">
        <w:t>.</w:t>
      </w:r>
      <w:r w:rsidR="00FB6999">
        <w:rPr>
          <w:noProof/>
        </w:rPr>
        <w:t>5</w:t>
      </w:r>
      <w:r w:rsidR="00516FAB">
        <w:fldChar w:fldCharType="end"/>
      </w:r>
      <w:r w:rsidR="00516FAB">
        <w:t xml:space="preserve"> </w:t>
      </w:r>
      <w:r w:rsidRPr="008C7A62">
        <w:t xml:space="preserve">sets out </w:t>
      </w:r>
      <w:r w:rsidR="00152011">
        <w:t xml:space="preserve">our </w:t>
      </w:r>
      <w:r>
        <w:t xml:space="preserve">final position on each of </w:t>
      </w:r>
      <w:r w:rsidR="009524E6">
        <w:t>JGN's proposed step changes</w:t>
      </w:r>
      <w:r>
        <w:t>.</w:t>
      </w:r>
    </w:p>
    <w:p w:rsidR="00EF7202" w:rsidRDefault="00EF7202" w:rsidP="00EF7202">
      <w:pPr>
        <w:pStyle w:val="Caption"/>
      </w:pPr>
      <w:bookmarkStart w:id="39" w:name="_Ref418519000"/>
      <w:r>
        <w:t xml:space="preserve">Table </w:t>
      </w:r>
      <w:r w:rsidRPr="00576716">
        <w:fldChar w:fldCharType="begin"/>
      </w:r>
      <w:r>
        <w:instrText xml:space="preserve"> STYLEREF 1 \s </w:instrText>
      </w:r>
      <w:r w:rsidRPr="00576716">
        <w:fldChar w:fldCharType="separate"/>
      </w:r>
      <w:r w:rsidR="00FB6999">
        <w:rPr>
          <w:noProof/>
        </w:rPr>
        <w:t>7</w:t>
      </w:r>
      <w:r w:rsidRPr="00576716">
        <w:fldChar w:fldCharType="end"/>
      </w:r>
      <w:r>
        <w:t>.</w:t>
      </w:r>
      <w:fldSimple w:instr=" SEQ Table \* ARABIC \s 1 ">
        <w:r w:rsidR="00FB6999">
          <w:rPr>
            <w:noProof/>
          </w:rPr>
          <w:t>5</w:t>
        </w:r>
      </w:fldSimple>
      <w:bookmarkEnd w:id="39"/>
      <w:r w:rsidRPr="008C7A62">
        <w:tab/>
        <w:t xml:space="preserve">JGN proposed step changes and our </w:t>
      </w:r>
      <w:r>
        <w:t xml:space="preserve">final </w:t>
      </w:r>
      <w:r w:rsidRPr="008C7A62">
        <w:t>position ($</w:t>
      </w:r>
      <w:r>
        <w:t xml:space="preserve"> </w:t>
      </w:r>
      <w:r w:rsidRPr="008C7A62">
        <w:t>million, 2014–15)</w:t>
      </w:r>
    </w:p>
    <w:tbl>
      <w:tblPr>
        <w:tblStyle w:val="AERtable-numbers"/>
        <w:tblW w:w="5036" w:type="pct"/>
        <w:tblLook w:val="04A0" w:firstRow="1" w:lastRow="0" w:firstColumn="1" w:lastColumn="0" w:noHBand="0" w:noVBand="1"/>
      </w:tblPr>
      <w:tblGrid>
        <w:gridCol w:w="1243"/>
        <w:gridCol w:w="424"/>
        <w:gridCol w:w="2231"/>
        <w:gridCol w:w="892"/>
        <w:gridCol w:w="989"/>
        <w:gridCol w:w="284"/>
        <w:gridCol w:w="2693"/>
      </w:tblGrid>
      <w:tr w:rsidR="00EF7202" w:rsidRPr="00AF1F60" w:rsidTr="00E7721A">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10" w:type="pct"/>
          </w:tcPr>
          <w:p w:rsidR="00EF7202" w:rsidRPr="00AF1F60" w:rsidRDefault="00EF7202" w:rsidP="00EF7202"/>
        </w:tc>
        <w:tc>
          <w:tcPr>
            <w:tcW w:w="1516" w:type="pct"/>
            <w:gridSpan w:val="2"/>
          </w:tcPr>
          <w:p w:rsidR="00EF7202" w:rsidRPr="009744CC" w:rsidRDefault="00EF7202" w:rsidP="00EF7202">
            <w:pPr>
              <w:cnfStyle w:val="100000000000" w:firstRow="1" w:lastRow="0" w:firstColumn="0" w:lastColumn="0" w:oddVBand="0" w:evenVBand="0" w:oddHBand="0" w:evenHBand="0" w:firstRowFirstColumn="0" w:firstRowLastColumn="0" w:lastRowFirstColumn="0" w:lastRowLastColumn="0"/>
            </w:pPr>
          </w:p>
        </w:tc>
        <w:tc>
          <w:tcPr>
            <w:tcW w:w="509" w:type="pct"/>
          </w:tcPr>
          <w:p w:rsidR="00EF7202" w:rsidRPr="00EF7202" w:rsidRDefault="00EF7202" w:rsidP="00EF7202">
            <w:pPr>
              <w:cnfStyle w:val="100000000000" w:firstRow="1" w:lastRow="0" w:firstColumn="0" w:lastColumn="0" w:oddVBand="0" w:evenVBand="0" w:oddHBand="0" w:evenHBand="0" w:firstRowFirstColumn="0" w:firstRowLastColumn="0" w:lastRowFirstColumn="0" w:lastRowLastColumn="0"/>
            </w:pPr>
            <w:r>
              <w:t>JGN</w:t>
            </w:r>
            <w:r w:rsidRPr="00EF7202">
              <w:t xml:space="preserve"> proposal</w:t>
            </w:r>
          </w:p>
        </w:tc>
        <w:tc>
          <w:tcPr>
            <w:tcW w:w="565" w:type="pct"/>
          </w:tcPr>
          <w:p w:rsidR="00EF7202" w:rsidRPr="00EF7202" w:rsidRDefault="00EF7202" w:rsidP="00EF7202">
            <w:pPr>
              <w:cnfStyle w:val="100000000000" w:firstRow="1" w:lastRow="0" w:firstColumn="0" w:lastColumn="0" w:oddVBand="0" w:evenVBand="0" w:oddHBand="0" w:evenHBand="0" w:firstRowFirstColumn="0" w:firstRowLastColumn="0" w:lastRowFirstColumn="0" w:lastRowLastColumn="0"/>
            </w:pPr>
            <w:r w:rsidRPr="00AF1F60">
              <w:t xml:space="preserve">AER </w:t>
            </w:r>
            <w:r w:rsidRPr="00EF7202">
              <w:t>decision</w:t>
            </w:r>
          </w:p>
        </w:tc>
        <w:tc>
          <w:tcPr>
            <w:tcW w:w="162" w:type="pct"/>
          </w:tcPr>
          <w:p w:rsidR="00EF7202" w:rsidRPr="00AF1F60" w:rsidRDefault="00EF7202" w:rsidP="00EF7202">
            <w:pPr>
              <w:cnfStyle w:val="100000000000" w:firstRow="1" w:lastRow="0" w:firstColumn="0" w:lastColumn="0" w:oddVBand="0" w:evenVBand="0" w:oddHBand="0" w:evenHBand="0" w:firstRowFirstColumn="0" w:firstRowLastColumn="0" w:lastRowFirstColumn="0" w:lastRowLastColumn="0"/>
            </w:pPr>
          </w:p>
        </w:tc>
        <w:tc>
          <w:tcPr>
            <w:tcW w:w="1538" w:type="pct"/>
          </w:tcPr>
          <w:p w:rsidR="00EF7202" w:rsidRPr="00EF7202" w:rsidRDefault="00EF7202" w:rsidP="00EF7202">
            <w:pPr>
              <w:cnfStyle w:val="100000000000" w:firstRow="1" w:lastRow="0" w:firstColumn="0" w:lastColumn="0" w:oddVBand="0" w:evenVBand="0" w:oddHBand="0" w:evenHBand="0" w:firstRowFirstColumn="0" w:firstRowLastColumn="0" w:lastRowFirstColumn="0" w:lastRowLastColumn="0"/>
            </w:pPr>
            <w:r w:rsidRPr="00AF1F60">
              <w:t>Reason for position</w:t>
            </w:r>
          </w:p>
        </w:tc>
      </w:tr>
      <w:tr w:rsidR="00EF7202" w:rsidRPr="00AF1F60" w:rsidTr="009524E6">
        <w:trPr>
          <w:trHeight w:val="615"/>
        </w:trPr>
        <w:tc>
          <w:tcPr>
            <w:cnfStyle w:val="001000000000" w:firstRow="0" w:lastRow="0" w:firstColumn="1" w:lastColumn="0" w:oddVBand="0" w:evenVBand="0" w:oddHBand="0" w:evenHBand="0" w:firstRowFirstColumn="0" w:firstRowLastColumn="0" w:lastRowFirstColumn="0" w:lastRowLastColumn="0"/>
            <w:tcW w:w="2226" w:type="pct"/>
            <w:gridSpan w:val="3"/>
          </w:tcPr>
          <w:p w:rsidR="00EF7202" w:rsidRPr="00EF7202" w:rsidRDefault="00EF7202" w:rsidP="00EF7202">
            <w:pPr>
              <w:rPr>
                <w:rStyle w:val="Strong"/>
              </w:rPr>
            </w:pPr>
            <w:r w:rsidRPr="009744CC">
              <w:rPr>
                <w:rStyle w:val="Strong"/>
              </w:rPr>
              <w:t>Original proposal</w:t>
            </w:r>
            <w:r w:rsidRPr="00EF7202">
              <w:rPr>
                <w:rStyle w:val="Strong"/>
              </w:rPr>
              <w:t>:</w:t>
            </w:r>
          </w:p>
        </w:tc>
        <w:tc>
          <w:tcPr>
            <w:tcW w:w="509" w:type="pct"/>
          </w:tcPr>
          <w:p w:rsidR="00EF7202" w:rsidRPr="00AF1F60" w:rsidRDefault="00EF7202" w:rsidP="00EF7202">
            <w:pPr>
              <w:cnfStyle w:val="000000000000" w:firstRow="0" w:lastRow="0" w:firstColumn="0" w:lastColumn="0" w:oddVBand="0" w:evenVBand="0" w:oddHBand="0" w:evenHBand="0" w:firstRowFirstColumn="0" w:firstRowLastColumn="0" w:lastRowFirstColumn="0" w:lastRowLastColumn="0"/>
            </w:pPr>
          </w:p>
        </w:tc>
        <w:tc>
          <w:tcPr>
            <w:tcW w:w="565" w:type="pct"/>
          </w:tcPr>
          <w:p w:rsidR="00EF7202" w:rsidRPr="00AF1F60" w:rsidRDefault="00EF7202" w:rsidP="00EF7202">
            <w:pPr>
              <w:cnfStyle w:val="000000000000" w:firstRow="0" w:lastRow="0" w:firstColumn="0" w:lastColumn="0" w:oddVBand="0" w:evenVBand="0" w:oddHBand="0" w:evenHBand="0" w:firstRowFirstColumn="0" w:firstRowLastColumn="0" w:lastRowFirstColumn="0" w:lastRowLastColumn="0"/>
            </w:pPr>
          </w:p>
        </w:tc>
        <w:tc>
          <w:tcPr>
            <w:tcW w:w="162" w:type="pct"/>
          </w:tcPr>
          <w:p w:rsidR="00EF7202" w:rsidRPr="00AF1F60" w:rsidRDefault="00EF7202" w:rsidP="00EF7202">
            <w:pPr>
              <w:cnfStyle w:val="000000000000" w:firstRow="0" w:lastRow="0" w:firstColumn="0" w:lastColumn="0" w:oddVBand="0" w:evenVBand="0" w:oddHBand="0" w:evenHBand="0" w:firstRowFirstColumn="0" w:firstRowLastColumn="0" w:lastRowFirstColumn="0" w:lastRowLastColumn="0"/>
            </w:pPr>
          </w:p>
        </w:tc>
        <w:tc>
          <w:tcPr>
            <w:tcW w:w="1538" w:type="pct"/>
          </w:tcPr>
          <w:p w:rsidR="00EF7202" w:rsidRPr="00AF1F60" w:rsidRDefault="00EF7202" w:rsidP="00EF7202">
            <w:pPr>
              <w:cnfStyle w:val="000000000000" w:firstRow="0" w:lastRow="0" w:firstColumn="0" w:lastColumn="0" w:oddVBand="0" w:evenVBand="0" w:oddHBand="0" w:evenHBand="0" w:firstRowFirstColumn="0" w:firstRowLastColumn="0" w:lastRowFirstColumn="0" w:lastRowLastColumn="0"/>
            </w:pPr>
          </w:p>
        </w:tc>
      </w:tr>
      <w:tr w:rsidR="00EF7202" w:rsidRPr="00AF1F60" w:rsidTr="009524E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10" w:type="pct"/>
          </w:tcPr>
          <w:p w:rsidR="00EF7202" w:rsidRPr="00EF7202" w:rsidRDefault="00EF7202" w:rsidP="00EF7202">
            <w:r w:rsidRPr="00AF1F60">
              <w:t>NECF</w:t>
            </w:r>
          </w:p>
        </w:tc>
        <w:tc>
          <w:tcPr>
            <w:tcW w:w="1516" w:type="pct"/>
            <w:gridSpan w:val="2"/>
          </w:tcPr>
          <w:p w:rsidR="00EF7202" w:rsidRPr="00EF7202" w:rsidRDefault="00EF7202" w:rsidP="00EF7202">
            <w:pPr>
              <w:cnfStyle w:val="000000010000" w:firstRow="0" w:lastRow="0" w:firstColumn="0" w:lastColumn="0" w:oddVBand="0" w:evenVBand="0" w:oddHBand="0" w:evenHBand="1" w:firstRowFirstColumn="0" w:firstRowLastColumn="0" w:lastRowFirstColumn="0" w:lastRowLastColumn="0"/>
            </w:pPr>
            <w:r w:rsidRPr="009744CC">
              <w:t>To comply with the National Energy Customer Framework (NECF) from 1 July 2015.</w:t>
            </w:r>
          </w:p>
        </w:tc>
        <w:tc>
          <w:tcPr>
            <w:tcW w:w="509" w:type="pct"/>
          </w:tcPr>
          <w:p w:rsidR="00EF7202" w:rsidRPr="00EF7202" w:rsidRDefault="00EF7202" w:rsidP="00EF7202">
            <w:pPr>
              <w:cnfStyle w:val="000000010000" w:firstRow="0" w:lastRow="0" w:firstColumn="0" w:lastColumn="0" w:oddVBand="0" w:evenVBand="0" w:oddHBand="0" w:evenHBand="1" w:firstRowFirstColumn="0" w:firstRowLastColumn="0" w:lastRowFirstColumn="0" w:lastRowLastColumn="0"/>
            </w:pPr>
            <w:r>
              <w:t>6.4</w:t>
            </w:r>
          </w:p>
        </w:tc>
        <w:tc>
          <w:tcPr>
            <w:tcW w:w="565" w:type="pct"/>
          </w:tcPr>
          <w:p w:rsidR="00EF7202" w:rsidRPr="00EF7202" w:rsidRDefault="00EF7202" w:rsidP="00EF7202">
            <w:pPr>
              <w:cnfStyle w:val="000000010000" w:firstRow="0" w:lastRow="0" w:firstColumn="0" w:lastColumn="0" w:oddVBand="0" w:evenVBand="0" w:oddHBand="0" w:evenHBand="1" w:firstRowFirstColumn="0" w:firstRowLastColumn="0" w:lastRowFirstColumn="0" w:lastRowLastColumn="0"/>
            </w:pPr>
            <w:r>
              <w:t>6.4</w:t>
            </w:r>
          </w:p>
        </w:tc>
        <w:tc>
          <w:tcPr>
            <w:tcW w:w="162" w:type="pct"/>
          </w:tcPr>
          <w:p w:rsidR="00EF7202" w:rsidRPr="00AF1F60" w:rsidRDefault="00EF7202" w:rsidP="00EF7202">
            <w:pPr>
              <w:cnfStyle w:val="000000010000" w:firstRow="0" w:lastRow="0" w:firstColumn="0" w:lastColumn="0" w:oddVBand="0" w:evenVBand="0" w:oddHBand="0" w:evenHBand="1" w:firstRowFirstColumn="0" w:firstRowLastColumn="0" w:lastRowFirstColumn="0" w:lastRowLastColumn="0"/>
            </w:pPr>
          </w:p>
        </w:tc>
        <w:tc>
          <w:tcPr>
            <w:tcW w:w="1538" w:type="pct"/>
          </w:tcPr>
          <w:p w:rsidR="00EF7202" w:rsidRPr="00EF7202" w:rsidRDefault="00EF7202" w:rsidP="00EF7202">
            <w:pPr>
              <w:cnfStyle w:val="000000010000" w:firstRow="0" w:lastRow="0" w:firstColumn="0" w:lastColumn="0" w:oddVBand="0" w:evenVBand="0" w:oddHBand="0" w:evenHBand="1" w:firstRowFirstColumn="0" w:firstRowLastColumn="0" w:lastRowFirstColumn="0" w:lastRowLastColumn="0"/>
            </w:pPr>
            <w:r w:rsidRPr="00AF1F60">
              <w:t>New regulatory obligation.</w:t>
            </w:r>
          </w:p>
        </w:tc>
      </w:tr>
      <w:tr w:rsidR="00EF7202" w:rsidRPr="00AF1F60" w:rsidTr="009524E6">
        <w:tc>
          <w:tcPr>
            <w:cnfStyle w:val="001000000000" w:firstRow="0" w:lastRow="0" w:firstColumn="1" w:lastColumn="0" w:oddVBand="0" w:evenVBand="0" w:oddHBand="0" w:evenHBand="0" w:firstRowFirstColumn="0" w:firstRowLastColumn="0" w:lastRowFirstColumn="0" w:lastRowLastColumn="0"/>
            <w:tcW w:w="710" w:type="pct"/>
          </w:tcPr>
          <w:p w:rsidR="00EF7202" w:rsidRPr="00EF7202" w:rsidRDefault="00EF7202" w:rsidP="00EF7202">
            <w:r w:rsidRPr="00AF1F60">
              <w:t>Customer engagement</w:t>
            </w:r>
          </w:p>
        </w:tc>
        <w:tc>
          <w:tcPr>
            <w:tcW w:w="1516" w:type="pct"/>
            <w:gridSpan w:val="2"/>
          </w:tcPr>
          <w:p w:rsidR="00EF7202" w:rsidRPr="00EF7202" w:rsidRDefault="00EF7202" w:rsidP="00EF7202">
            <w:pPr>
              <w:cnfStyle w:val="000000000000" w:firstRow="0" w:lastRow="0" w:firstColumn="0" w:lastColumn="0" w:oddVBand="0" w:evenVBand="0" w:oddHBand="0" w:evenHBand="0" w:firstRowFirstColumn="0" w:firstRowLastColumn="0" w:lastRowFirstColumn="0" w:lastRowLastColumn="0"/>
            </w:pPr>
            <w:r w:rsidRPr="009744CC">
              <w:t xml:space="preserve">These costs were previously treated as capex rather than </w:t>
            </w:r>
            <w:r w:rsidRPr="00EF7202">
              <w:t>opex.</w:t>
            </w:r>
          </w:p>
        </w:tc>
        <w:tc>
          <w:tcPr>
            <w:tcW w:w="509" w:type="pct"/>
          </w:tcPr>
          <w:p w:rsidR="00EF7202" w:rsidRPr="00EF7202" w:rsidRDefault="00EF7202" w:rsidP="00EF7202">
            <w:pPr>
              <w:cnfStyle w:val="000000000000" w:firstRow="0" w:lastRow="0" w:firstColumn="0" w:lastColumn="0" w:oddVBand="0" w:evenVBand="0" w:oddHBand="0" w:evenHBand="0" w:firstRowFirstColumn="0" w:firstRowLastColumn="0" w:lastRowFirstColumn="0" w:lastRowLastColumn="0"/>
            </w:pPr>
            <w:r>
              <w:t>0.5</w:t>
            </w:r>
          </w:p>
        </w:tc>
        <w:tc>
          <w:tcPr>
            <w:tcW w:w="565" w:type="pct"/>
          </w:tcPr>
          <w:p w:rsidR="00EF7202" w:rsidRPr="00EF7202" w:rsidRDefault="00EF7202" w:rsidP="00EF7202">
            <w:pPr>
              <w:cnfStyle w:val="000000000000" w:firstRow="0" w:lastRow="0" w:firstColumn="0" w:lastColumn="0" w:oddVBand="0" w:evenVBand="0" w:oddHBand="0" w:evenHBand="0" w:firstRowFirstColumn="0" w:firstRowLastColumn="0" w:lastRowFirstColumn="0" w:lastRowLastColumn="0"/>
            </w:pPr>
            <w:r>
              <w:t>0.5</w:t>
            </w:r>
          </w:p>
        </w:tc>
        <w:tc>
          <w:tcPr>
            <w:tcW w:w="162" w:type="pct"/>
          </w:tcPr>
          <w:p w:rsidR="00EF7202" w:rsidRPr="00AF1F60" w:rsidRDefault="00EF7202" w:rsidP="00EF7202">
            <w:pPr>
              <w:cnfStyle w:val="000000000000" w:firstRow="0" w:lastRow="0" w:firstColumn="0" w:lastColumn="0" w:oddVBand="0" w:evenVBand="0" w:oddHBand="0" w:evenHBand="0" w:firstRowFirstColumn="0" w:firstRowLastColumn="0" w:lastRowFirstColumn="0" w:lastRowLastColumn="0"/>
            </w:pPr>
          </w:p>
        </w:tc>
        <w:tc>
          <w:tcPr>
            <w:tcW w:w="1538" w:type="pct"/>
          </w:tcPr>
          <w:p w:rsidR="00EF7202" w:rsidRPr="00EF7202" w:rsidRDefault="00EF7202" w:rsidP="00EF7202">
            <w:pPr>
              <w:cnfStyle w:val="000000000000" w:firstRow="0" w:lastRow="0" w:firstColumn="0" w:lastColumn="0" w:oddVBand="0" w:evenVBand="0" w:oddHBand="0" w:evenHBand="0" w:firstRowFirstColumn="0" w:firstRowLastColumn="0" w:lastRowFirstColumn="0" w:lastRowLastColumn="0"/>
            </w:pPr>
            <w:r w:rsidRPr="00AF1F60">
              <w:t>Capitalisation policy change.</w:t>
            </w:r>
          </w:p>
        </w:tc>
      </w:tr>
      <w:tr w:rsidR="00EF7202" w:rsidRPr="00AF1F60" w:rsidTr="009524E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10" w:type="pct"/>
          </w:tcPr>
          <w:p w:rsidR="00EF7202" w:rsidRPr="00EF7202" w:rsidRDefault="00EF7202" w:rsidP="00EF7202">
            <w:r w:rsidRPr="00AF1F60">
              <w:t>Reset costs</w:t>
            </w:r>
          </w:p>
        </w:tc>
        <w:tc>
          <w:tcPr>
            <w:tcW w:w="1516" w:type="pct"/>
            <w:gridSpan w:val="2"/>
          </w:tcPr>
          <w:p w:rsidR="00EF7202" w:rsidRPr="00EF7202" w:rsidRDefault="00EF7202" w:rsidP="00EF7202">
            <w:pPr>
              <w:cnfStyle w:val="000000010000" w:firstRow="0" w:lastRow="0" w:firstColumn="0" w:lastColumn="0" w:oddVBand="0" w:evenVBand="0" w:oddHBand="0" w:evenHBand="1" w:firstRowFirstColumn="0" w:firstRowLastColumn="0" w:lastRowFirstColumn="0" w:lastRowLastColumn="0"/>
            </w:pPr>
            <w:r w:rsidRPr="009744CC">
              <w:t>These costs were previously treated as capex rather than opex.</w:t>
            </w:r>
          </w:p>
        </w:tc>
        <w:tc>
          <w:tcPr>
            <w:tcW w:w="509" w:type="pct"/>
          </w:tcPr>
          <w:p w:rsidR="00EF7202" w:rsidRPr="00EF7202" w:rsidRDefault="00EF7202" w:rsidP="00EF7202">
            <w:pPr>
              <w:cnfStyle w:val="000000010000" w:firstRow="0" w:lastRow="0" w:firstColumn="0" w:lastColumn="0" w:oddVBand="0" w:evenVBand="0" w:oddHBand="0" w:evenHBand="1" w:firstRowFirstColumn="0" w:firstRowLastColumn="0" w:lastRowFirstColumn="0" w:lastRowLastColumn="0"/>
            </w:pPr>
            <w:r>
              <w:t>7.8</w:t>
            </w:r>
          </w:p>
        </w:tc>
        <w:tc>
          <w:tcPr>
            <w:tcW w:w="565" w:type="pct"/>
          </w:tcPr>
          <w:p w:rsidR="00EF7202" w:rsidRPr="00EF7202" w:rsidRDefault="00EF7202" w:rsidP="00EF7202">
            <w:pPr>
              <w:cnfStyle w:val="000000010000" w:firstRow="0" w:lastRow="0" w:firstColumn="0" w:lastColumn="0" w:oddVBand="0" w:evenVBand="0" w:oddHBand="0" w:evenHBand="1" w:firstRowFirstColumn="0" w:firstRowLastColumn="0" w:lastRowFirstColumn="0" w:lastRowLastColumn="0"/>
            </w:pPr>
            <w:r>
              <w:t>7.8</w:t>
            </w:r>
          </w:p>
        </w:tc>
        <w:tc>
          <w:tcPr>
            <w:tcW w:w="162" w:type="pct"/>
          </w:tcPr>
          <w:p w:rsidR="00EF7202" w:rsidRPr="00AF1F60" w:rsidRDefault="00EF7202" w:rsidP="00EF7202">
            <w:pPr>
              <w:cnfStyle w:val="000000010000" w:firstRow="0" w:lastRow="0" w:firstColumn="0" w:lastColumn="0" w:oddVBand="0" w:evenVBand="0" w:oddHBand="0" w:evenHBand="1" w:firstRowFirstColumn="0" w:firstRowLastColumn="0" w:lastRowFirstColumn="0" w:lastRowLastColumn="0"/>
            </w:pPr>
          </w:p>
        </w:tc>
        <w:tc>
          <w:tcPr>
            <w:tcW w:w="1538" w:type="pct"/>
          </w:tcPr>
          <w:p w:rsidR="00EF7202" w:rsidRPr="00EF7202" w:rsidRDefault="00EF7202" w:rsidP="00EF7202">
            <w:pPr>
              <w:cnfStyle w:val="000000010000" w:firstRow="0" w:lastRow="0" w:firstColumn="0" w:lastColumn="0" w:oddVBand="0" w:evenVBand="0" w:oddHBand="0" w:evenHBand="1" w:firstRowFirstColumn="0" w:firstRowLastColumn="0" w:lastRowFirstColumn="0" w:lastRowLastColumn="0"/>
            </w:pPr>
            <w:r w:rsidRPr="00AF1F60">
              <w:t>Capitalisation policy change.</w:t>
            </w:r>
          </w:p>
        </w:tc>
      </w:tr>
      <w:tr w:rsidR="00EF7202" w:rsidRPr="00AF1F60" w:rsidTr="009524E6">
        <w:tc>
          <w:tcPr>
            <w:cnfStyle w:val="001000000000" w:firstRow="0" w:lastRow="0" w:firstColumn="1" w:lastColumn="0" w:oddVBand="0" w:evenVBand="0" w:oddHBand="0" w:evenHBand="0" w:firstRowFirstColumn="0" w:firstRowLastColumn="0" w:lastRowFirstColumn="0" w:lastRowLastColumn="0"/>
            <w:tcW w:w="710" w:type="pct"/>
          </w:tcPr>
          <w:p w:rsidR="00EF7202" w:rsidRPr="00EF7202" w:rsidRDefault="00EF7202" w:rsidP="00EF7202">
            <w:r w:rsidRPr="00AF1F60">
              <w:t xml:space="preserve">Annual </w:t>
            </w:r>
            <w:r w:rsidRPr="00AF1F60">
              <w:lastRenderedPageBreak/>
              <w:t>regulatory reporting</w:t>
            </w:r>
          </w:p>
        </w:tc>
        <w:tc>
          <w:tcPr>
            <w:tcW w:w="1516" w:type="pct"/>
            <w:gridSpan w:val="2"/>
          </w:tcPr>
          <w:p w:rsidR="00EF7202" w:rsidRPr="00EF7202" w:rsidRDefault="00EF7202" w:rsidP="00EF7202">
            <w:pPr>
              <w:cnfStyle w:val="000000000000" w:firstRow="0" w:lastRow="0" w:firstColumn="0" w:lastColumn="0" w:oddVBand="0" w:evenVBand="0" w:oddHBand="0" w:evenHBand="0" w:firstRowFirstColumn="0" w:firstRowLastColumn="0" w:lastRowFirstColumn="0" w:lastRowLastColumn="0"/>
            </w:pPr>
            <w:r w:rsidRPr="009744CC">
              <w:lastRenderedPageBreak/>
              <w:t xml:space="preserve">For the costs of anticipated </w:t>
            </w:r>
            <w:r w:rsidRPr="009744CC">
              <w:lastRenderedPageBreak/>
              <w:t xml:space="preserve">increased regulatory reporting </w:t>
            </w:r>
            <w:r w:rsidRPr="00EF7202">
              <w:t>obligations.</w:t>
            </w:r>
          </w:p>
        </w:tc>
        <w:tc>
          <w:tcPr>
            <w:tcW w:w="509" w:type="pct"/>
          </w:tcPr>
          <w:p w:rsidR="00EF7202" w:rsidRPr="00EF7202" w:rsidRDefault="00EF7202" w:rsidP="00EF7202">
            <w:pPr>
              <w:cnfStyle w:val="000000000000" w:firstRow="0" w:lastRow="0" w:firstColumn="0" w:lastColumn="0" w:oddVBand="0" w:evenVBand="0" w:oddHBand="0" w:evenHBand="0" w:firstRowFirstColumn="0" w:firstRowLastColumn="0" w:lastRowFirstColumn="0" w:lastRowLastColumn="0"/>
            </w:pPr>
            <w:r>
              <w:lastRenderedPageBreak/>
              <w:t>1.9</w:t>
            </w:r>
          </w:p>
        </w:tc>
        <w:tc>
          <w:tcPr>
            <w:tcW w:w="565" w:type="pct"/>
          </w:tcPr>
          <w:p w:rsidR="00EF7202" w:rsidRPr="00EF7202" w:rsidRDefault="00EF7202" w:rsidP="00EF7202">
            <w:pPr>
              <w:cnfStyle w:val="000000000000" w:firstRow="0" w:lastRow="0" w:firstColumn="0" w:lastColumn="0" w:oddVBand="0" w:evenVBand="0" w:oddHBand="0" w:evenHBand="0" w:firstRowFirstColumn="0" w:firstRowLastColumn="0" w:lastRowFirstColumn="0" w:lastRowLastColumn="0"/>
            </w:pPr>
            <w:r w:rsidRPr="00AF1F60">
              <w:t>–</w:t>
            </w:r>
          </w:p>
        </w:tc>
        <w:tc>
          <w:tcPr>
            <w:tcW w:w="162" w:type="pct"/>
          </w:tcPr>
          <w:p w:rsidR="00EF7202" w:rsidRPr="00AF1F60" w:rsidRDefault="00EF7202" w:rsidP="00EF7202">
            <w:pPr>
              <w:cnfStyle w:val="000000000000" w:firstRow="0" w:lastRow="0" w:firstColumn="0" w:lastColumn="0" w:oddVBand="0" w:evenVBand="0" w:oddHBand="0" w:evenHBand="0" w:firstRowFirstColumn="0" w:firstRowLastColumn="0" w:lastRowFirstColumn="0" w:lastRowLastColumn="0"/>
            </w:pPr>
          </w:p>
        </w:tc>
        <w:tc>
          <w:tcPr>
            <w:tcW w:w="1538" w:type="pct"/>
          </w:tcPr>
          <w:p w:rsidR="00EF7202" w:rsidRPr="00EF7202" w:rsidRDefault="00EF7202" w:rsidP="00EF7202">
            <w:pPr>
              <w:cnfStyle w:val="000000000000" w:firstRow="0" w:lastRow="0" w:firstColumn="0" w:lastColumn="0" w:oddVBand="0" w:evenVBand="0" w:oddHBand="0" w:evenHBand="0" w:firstRowFirstColumn="0" w:firstRowLastColumn="0" w:lastRowFirstColumn="0" w:lastRowLastColumn="0"/>
            </w:pPr>
            <w:r w:rsidRPr="00AF1F60">
              <w:t>Not a new regulatory obligation.</w:t>
            </w:r>
          </w:p>
        </w:tc>
      </w:tr>
      <w:tr w:rsidR="00EF7202" w:rsidRPr="00AF1F60" w:rsidTr="009524E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10" w:type="pct"/>
          </w:tcPr>
          <w:p w:rsidR="00EF7202" w:rsidRPr="00EF7202" w:rsidRDefault="00EF7202" w:rsidP="00EF7202">
            <w:r w:rsidRPr="00AF1F60">
              <w:lastRenderedPageBreak/>
              <w:t>Marketing</w:t>
            </w:r>
          </w:p>
        </w:tc>
        <w:tc>
          <w:tcPr>
            <w:tcW w:w="1516" w:type="pct"/>
            <w:gridSpan w:val="2"/>
          </w:tcPr>
          <w:p w:rsidR="00EF7202" w:rsidRPr="00EF7202" w:rsidRDefault="00EF7202" w:rsidP="00EF7202">
            <w:pPr>
              <w:cnfStyle w:val="000000010000" w:firstRow="0" w:lastRow="0" w:firstColumn="0" w:lastColumn="0" w:oddVBand="0" w:evenVBand="0" w:oddHBand="0" w:evenHBand="1" w:firstRowFirstColumn="0" w:firstRowLastColumn="0" w:lastRowFirstColumn="0" w:lastRowLastColumn="0"/>
            </w:pPr>
            <w:r w:rsidRPr="009744CC">
              <w:t>To increase JGN's marketing program and to promote the sale of gas appliances via incentive payments.</w:t>
            </w:r>
          </w:p>
        </w:tc>
        <w:tc>
          <w:tcPr>
            <w:tcW w:w="509" w:type="pct"/>
          </w:tcPr>
          <w:p w:rsidR="00EF7202" w:rsidRPr="00EF7202" w:rsidRDefault="00EF7202" w:rsidP="00EF7202">
            <w:pPr>
              <w:cnfStyle w:val="000000010000" w:firstRow="0" w:lastRow="0" w:firstColumn="0" w:lastColumn="0" w:oddVBand="0" w:evenVBand="0" w:oddHBand="0" w:evenHBand="1" w:firstRowFirstColumn="0" w:firstRowLastColumn="0" w:lastRowFirstColumn="0" w:lastRowLastColumn="0"/>
            </w:pPr>
            <w:r>
              <w:t>6.5</w:t>
            </w:r>
          </w:p>
        </w:tc>
        <w:tc>
          <w:tcPr>
            <w:tcW w:w="565" w:type="pct"/>
          </w:tcPr>
          <w:p w:rsidR="00EF7202" w:rsidRPr="00EF7202" w:rsidRDefault="00EF7202" w:rsidP="00EF7202">
            <w:pPr>
              <w:cnfStyle w:val="000000010000" w:firstRow="0" w:lastRow="0" w:firstColumn="0" w:lastColumn="0" w:oddVBand="0" w:evenVBand="0" w:oddHBand="0" w:evenHBand="1" w:firstRowFirstColumn="0" w:firstRowLastColumn="0" w:lastRowFirstColumn="0" w:lastRowLastColumn="0"/>
            </w:pPr>
            <w:r>
              <w:t>6.5</w:t>
            </w:r>
          </w:p>
        </w:tc>
        <w:tc>
          <w:tcPr>
            <w:tcW w:w="162" w:type="pct"/>
          </w:tcPr>
          <w:p w:rsidR="00EF7202" w:rsidRPr="00AF1F60" w:rsidRDefault="00EF7202" w:rsidP="00EF7202">
            <w:pPr>
              <w:cnfStyle w:val="000000010000" w:firstRow="0" w:lastRow="0" w:firstColumn="0" w:lastColumn="0" w:oddVBand="0" w:evenVBand="0" w:oddHBand="0" w:evenHBand="1" w:firstRowFirstColumn="0" w:firstRowLastColumn="0" w:lastRowFirstColumn="0" w:lastRowLastColumn="0"/>
            </w:pPr>
          </w:p>
        </w:tc>
        <w:tc>
          <w:tcPr>
            <w:tcW w:w="1538" w:type="pct"/>
          </w:tcPr>
          <w:p w:rsidR="00EF7202" w:rsidRPr="00EF7202" w:rsidRDefault="00EF7202" w:rsidP="00EF7202">
            <w:pPr>
              <w:cnfStyle w:val="000000010000" w:firstRow="0" w:lastRow="0" w:firstColumn="0" w:lastColumn="0" w:oddVBand="0" w:evenVBand="0" w:oddHBand="0" w:evenHBand="1" w:firstRowFirstColumn="0" w:firstRowLastColumn="0" w:lastRowFirstColumn="0" w:lastRowLastColumn="0"/>
            </w:pPr>
            <w:r w:rsidRPr="00AF1F60">
              <w:t>Efficient response to change in market conditions.</w:t>
            </w:r>
          </w:p>
        </w:tc>
      </w:tr>
      <w:tr w:rsidR="00EF7202" w:rsidRPr="00AF1F60" w:rsidTr="009524E6">
        <w:tc>
          <w:tcPr>
            <w:cnfStyle w:val="001000000000" w:firstRow="0" w:lastRow="0" w:firstColumn="1" w:lastColumn="0" w:oddVBand="0" w:evenVBand="0" w:oddHBand="0" w:evenHBand="0" w:firstRowFirstColumn="0" w:firstRowLastColumn="0" w:lastRowFirstColumn="0" w:lastRowLastColumn="0"/>
            <w:tcW w:w="710" w:type="pct"/>
          </w:tcPr>
          <w:p w:rsidR="00EF7202" w:rsidRPr="00EF7202" w:rsidRDefault="00EF7202" w:rsidP="00EF7202">
            <w:r w:rsidRPr="00AF1F60">
              <w:t>Insurance premiums</w:t>
            </w:r>
          </w:p>
        </w:tc>
        <w:tc>
          <w:tcPr>
            <w:tcW w:w="1516" w:type="pct"/>
            <w:gridSpan w:val="2"/>
          </w:tcPr>
          <w:p w:rsidR="00EF7202" w:rsidRPr="00EF7202" w:rsidRDefault="00EF7202" w:rsidP="00EF7202">
            <w:pPr>
              <w:cnfStyle w:val="000000000000" w:firstRow="0" w:lastRow="0" w:firstColumn="0" w:lastColumn="0" w:oddVBand="0" w:evenVBand="0" w:oddHBand="0" w:evenHBand="0" w:firstRowFirstColumn="0" w:firstRowLastColumn="0" w:lastRowFirstColumn="0" w:lastRowLastColumn="0"/>
            </w:pPr>
            <w:r w:rsidRPr="009744CC">
              <w:t xml:space="preserve">For an </w:t>
            </w:r>
            <w:r w:rsidRPr="00EF7202">
              <w:t>insurance solution not available in the base year.</w:t>
            </w:r>
          </w:p>
        </w:tc>
        <w:tc>
          <w:tcPr>
            <w:tcW w:w="509" w:type="pct"/>
          </w:tcPr>
          <w:p w:rsidR="00EF7202" w:rsidRPr="00EF7202" w:rsidRDefault="00CB5838" w:rsidP="00EF7202">
            <w:pPr>
              <w:cnfStyle w:val="000000000000" w:firstRow="0" w:lastRow="0" w:firstColumn="0" w:lastColumn="0" w:oddVBand="0" w:evenVBand="0" w:oddHBand="0" w:evenHBand="0" w:firstRowFirstColumn="0" w:firstRowLastColumn="0" w:lastRowFirstColumn="0" w:lastRowLastColumn="0"/>
            </w:pPr>
            <w:r>
              <w:t>0.6</w:t>
            </w:r>
          </w:p>
        </w:tc>
        <w:tc>
          <w:tcPr>
            <w:tcW w:w="565" w:type="pct"/>
          </w:tcPr>
          <w:p w:rsidR="00EF7202" w:rsidRPr="00EF7202" w:rsidRDefault="00CB5838" w:rsidP="00EF7202">
            <w:pPr>
              <w:cnfStyle w:val="000000000000" w:firstRow="0" w:lastRow="0" w:firstColumn="0" w:lastColumn="0" w:oddVBand="0" w:evenVBand="0" w:oddHBand="0" w:evenHBand="0" w:firstRowFirstColumn="0" w:firstRowLastColumn="0" w:lastRowFirstColumn="0" w:lastRowLastColumn="0"/>
            </w:pPr>
            <w:r>
              <w:t>0.6</w:t>
            </w:r>
          </w:p>
        </w:tc>
        <w:tc>
          <w:tcPr>
            <w:tcW w:w="162" w:type="pct"/>
          </w:tcPr>
          <w:p w:rsidR="00EF7202" w:rsidRPr="00AF1F60" w:rsidRDefault="00EF7202" w:rsidP="00EF7202">
            <w:pPr>
              <w:cnfStyle w:val="000000000000" w:firstRow="0" w:lastRow="0" w:firstColumn="0" w:lastColumn="0" w:oddVBand="0" w:evenVBand="0" w:oddHBand="0" w:evenHBand="0" w:firstRowFirstColumn="0" w:firstRowLastColumn="0" w:lastRowFirstColumn="0" w:lastRowLastColumn="0"/>
            </w:pPr>
          </w:p>
        </w:tc>
        <w:tc>
          <w:tcPr>
            <w:tcW w:w="1538" w:type="pct"/>
          </w:tcPr>
          <w:p w:rsidR="00EF7202" w:rsidRPr="00EF7202" w:rsidRDefault="00EF7202" w:rsidP="00EF7202">
            <w:pPr>
              <w:cnfStyle w:val="000000000000" w:firstRow="0" w:lastRow="0" w:firstColumn="0" w:lastColumn="0" w:oddVBand="0" w:evenVBand="0" w:oddHBand="0" w:evenHBand="0" w:firstRowFirstColumn="0" w:firstRowLastColumn="0" w:lastRowFirstColumn="0" w:lastRowLastColumn="0"/>
            </w:pPr>
            <w:r w:rsidRPr="00AF1F60">
              <w:t>Prudent change in risk management.</w:t>
            </w:r>
          </w:p>
        </w:tc>
      </w:tr>
      <w:tr w:rsidR="00EF7202" w:rsidRPr="00AF1F60" w:rsidTr="009524E6">
        <w:trPr>
          <w:cnfStyle w:val="000000010000" w:firstRow="0" w:lastRow="0" w:firstColumn="0" w:lastColumn="0" w:oddVBand="0" w:evenVBand="0" w:oddHBand="0" w:evenHBand="1" w:firstRowFirstColumn="0" w:firstRowLastColumn="0" w:lastRowFirstColumn="0" w:lastRowLastColumn="0"/>
          <w:trHeight w:val="647"/>
        </w:trPr>
        <w:tc>
          <w:tcPr>
            <w:cnfStyle w:val="001000000000" w:firstRow="0" w:lastRow="0" w:firstColumn="1" w:lastColumn="0" w:oddVBand="0" w:evenVBand="0" w:oddHBand="0" w:evenHBand="0" w:firstRowFirstColumn="0" w:firstRowLastColumn="0" w:lastRowFirstColumn="0" w:lastRowLastColumn="0"/>
            <w:tcW w:w="2226" w:type="pct"/>
            <w:gridSpan w:val="3"/>
          </w:tcPr>
          <w:p w:rsidR="00EF7202" w:rsidRPr="00EF7202" w:rsidRDefault="00EF7202" w:rsidP="00EF7202">
            <w:pPr>
              <w:rPr>
                <w:rStyle w:val="Strong"/>
              </w:rPr>
            </w:pPr>
            <w:r w:rsidRPr="009744CC">
              <w:rPr>
                <w:rStyle w:val="Strong"/>
              </w:rPr>
              <w:t>Additional step changes in revised proposal:</w:t>
            </w:r>
          </w:p>
        </w:tc>
        <w:tc>
          <w:tcPr>
            <w:tcW w:w="509" w:type="pct"/>
          </w:tcPr>
          <w:p w:rsidR="00EF7202" w:rsidRPr="00AF1F60" w:rsidRDefault="00EF7202" w:rsidP="00EF7202">
            <w:pPr>
              <w:cnfStyle w:val="000000010000" w:firstRow="0" w:lastRow="0" w:firstColumn="0" w:lastColumn="0" w:oddVBand="0" w:evenVBand="0" w:oddHBand="0" w:evenHBand="1" w:firstRowFirstColumn="0" w:firstRowLastColumn="0" w:lastRowFirstColumn="0" w:lastRowLastColumn="0"/>
            </w:pPr>
          </w:p>
        </w:tc>
        <w:tc>
          <w:tcPr>
            <w:tcW w:w="565" w:type="pct"/>
          </w:tcPr>
          <w:p w:rsidR="00EF7202" w:rsidRPr="00AF1F60" w:rsidRDefault="00EF7202" w:rsidP="00EF7202">
            <w:pPr>
              <w:cnfStyle w:val="000000010000" w:firstRow="0" w:lastRow="0" w:firstColumn="0" w:lastColumn="0" w:oddVBand="0" w:evenVBand="0" w:oddHBand="0" w:evenHBand="1" w:firstRowFirstColumn="0" w:firstRowLastColumn="0" w:lastRowFirstColumn="0" w:lastRowLastColumn="0"/>
            </w:pPr>
          </w:p>
        </w:tc>
        <w:tc>
          <w:tcPr>
            <w:tcW w:w="162" w:type="pct"/>
          </w:tcPr>
          <w:p w:rsidR="00EF7202" w:rsidRPr="00AF1F60" w:rsidRDefault="00EF7202" w:rsidP="00EF7202">
            <w:pPr>
              <w:cnfStyle w:val="000000010000" w:firstRow="0" w:lastRow="0" w:firstColumn="0" w:lastColumn="0" w:oddVBand="0" w:evenVBand="0" w:oddHBand="0" w:evenHBand="1" w:firstRowFirstColumn="0" w:firstRowLastColumn="0" w:lastRowFirstColumn="0" w:lastRowLastColumn="0"/>
            </w:pPr>
          </w:p>
        </w:tc>
        <w:tc>
          <w:tcPr>
            <w:tcW w:w="1538" w:type="pct"/>
          </w:tcPr>
          <w:p w:rsidR="00EF7202" w:rsidRPr="00AF1F60" w:rsidRDefault="00EF7202" w:rsidP="00EF7202">
            <w:pPr>
              <w:cnfStyle w:val="000000010000" w:firstRow="0" w:lastRow="0" w:firstColumn="0" w:lastColumn="0" w:oddVBand="0" w:evenVBand="0" w:oddHBand="0" w:evenHBand="1" w:firstRowFirstColumn="0" w:firstRowLastColumn="0" w:lastRowFirstColumn="0" w:lastRowLastColumn="0"/>
            </w:pPr>
          </w:p>
        </w:tc>
      </w:tr>
      <w:tr w:rsidR="00EF7202" w:rsidRPr="00AF1F60" w:rsidTr="009524E6">
        <w:tc>
          <w:tcPr>
            <w:cnfStyle w:val="001000000000" w:firstRow="0" w:lastRow="0" w:firstColumn="1" w:lastColumn="0" w:oddVBand="0" w:evenVBand="0" w:oddHBand="0" w:evenHBand="0" w:firstRowFirstColumn="0" w:firstRowLastColumn="0" w:lastRowFirstColumn="0" w:lastRowLastColumn="0"/>
            <w:tcW w:w="710" w:type="pct"/>
          </w:tcPr>
          <w:p w:rsidR="00EF7202" w:rsidRPr="00EF7202" w:rsidRDefault="00EF7202" w:rsidP="00EF7202">
            <w:r w:rsidRPr="00AF1F60">
              <w:t>Gas quantity audit</w:t>
            </w:r>
          </w:p>
        </w:tc>
        <w:tc>
          <w:tcPr>
            <w:tcW w:w="1516" w:type="pct"/>
            <w:gridSpan w:val="2"/>
          </w:tcPr>
          <w:p w:rsidR="00EF7202" w:rsidRPr="00EF7202" w:rsidRDefault="00EF7202" w:rsidP="00EF7202">
            <w:pPr>
              <w:cnfStyle w:val="000000000000" w:firstRow="0" w:lastRow="0" w:firstColumn="0" w:lastColumn="0" w:oddVBand="0" w:evenVBand="0" w:oddHBand="0" w:evenHBand="0" w:firstRowFirstColumn="0" w:firstRowLastColumn="0" w:lastRowFirstColumn="0" w:lastRowLastColumn="0"/>
            </w:pPr>
            <w:r w:rsidRPr="009744CC">
              <w:t xml:space="preserve">To provide an audited statement of gas quantity inputs used in the reference tariff </w:t>
            </w:r>
            <w:r w:rsidRPr="00EF7202">
              <w:t>mechanism.</w:t>
            </w:r>
          </w:p>
        </w:tc>
        <w:tc>
          <w:tcPr>
            <w:tcW w:w="509" w:type="pct"/>
          </w:tcPr>
          <w:p w:rsidR="00EF7202" w:rsidRPr="00EF7202" w:rsidRDefault="00EF7202" w:rsidP="00EF7202">
            <w:pPr>
              <w:cnfStyle w:val="000000000000" w:firstRow="0" w:lastRow="0" w:firstColumn="0" w:lastColumn="0" w:oddVBand="0" w:evenVBand="0" w:oddHBand="0" w:evenHBand="0" w:firstRowFirstColumn="0" w:firstRowLastColumn="0" w:lastRowFirstColumn="0" w:lastRowLastColumn="0"/>
            </w:pPr>
            <w:r>
              <w:t>0.1</w:t>
            </w:r>
          </w:p>
        </w:tc>
        <w:tc>
          <w:tcPr>
            <w:tcW w:w="565" w:type="pct"/>
          </w:tcPr>
          <w:p w:rsidR="00EF7202" w:rsidRPr="00EF7202" w:rsidRDefault="00EF7202" w:rsidP="00EF7202">
            <w:pPr>
              <w:cnfStyle w:val="000000000000" w:firstRow="0" w:lastRow="0" w:firstColumn="0" w:lastColumn="0" w:oddVBand="0" w:evenVBand="0" w:oddHBand="0" w:evenHBand="0" w:firstRowFirstColumn="0" w:firstRowLastColumn="0" w:lastRowFirstColumn="0" w:lastRowLastColumn="0"/>
            </w:pPr>
            <w:r>
              <w:t>0.1</w:t>
            </w:r>
          </w:p>
        </w:tc>
        <w:tc>
          <w:tcPr>
            <w:tcW w:w="162" w:type="pct"/>
          </w:tcPr>
          <w:p w:rsidR="00EF7202" w:rsidRPr="00AF1F60" w:rsidRDefault="00EF7202" w:rsidP="00EF7202">
            <w:pPr>
              <w:cnfStyle w:val="000000000000" w:firstRow="0" w:lastRow="0" w:firstColumn="0" w:lastColumn="0" w:oddVBand="0" w:evenVBand="0" w:oddHBand="0" w:evenHBand="0" w:firstRowFirstColumn="0" w:firstRowLastColumn="0" w:lastRowFirstColumn="0" w:lastRowLastColumn="0"/>
            </w:pPr>
          </w:p>
        </w:tc>
        <w:tc>
          <w:tcPr>
            <w:tcW w:w="1538" w:type="pct"/>
          </w:tcPr>
          <w:p w:rsidR="00EF7202" w:rsidRPr="00EF7202" w:rsidRDefault="00EF7202" w:rsidP="00EF7202">
            <w:pPr>
              <w:cnfStyle w:val="000000000000" w:firstRow="0" w:lastRow="0" w:firstColumn="0" w:lastColumn="0" w:oddVBand="0" w:evenVBand="0" w:oddHBand="0" w:evenHBand="0" w:firstRowFirstColumn="0" w:firstRowLastColumn="0" w:lastRowFirstColumn="0" w:lastRowLastColumn="0"/>
            </w:pPr>
            <w:r w:rsidRPr="00AF1F60">
              <w:t>New regulatory obligation</w:t>
            </w:r>
            <w:r w:rsidRPr="00EF7202">
              <w:t>.</w:t>
            </w:r>
          </w:p>
        </w:tc>
      </w:tr>
      <w:tr w:rsidR="00EF7202" w:rsidRPr="00AF1F60" w:rsidTr="009524E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10" w:type="pct"/>
          </w:tcPr>
          <w:p w:rsidR="00EF7202" w:rsidRPr="00EF7202" w:rsidRDefault="00EF7202" w:rsidP="00EF7202">
            <w:r w:rsidRPr="00AF1F60">
              <w:t>Asbestos meter cover removal</w:t>
            </w:r>
          </w:p>
        </w:tc>
        <w:tc>
          <w:tcPr>
            <w:tcW w:w="1516" w:type="pct"/>
            <w:gridSpan w:val="2"/>
          </w:tcPr>
          <w:p w:rsidR="00EF7202" w:rsidRPr="00EF7202" w:rsidRDefault="00EF7202" w:rsidP="00EF7202">
            <w:pPr>
              <w:cnfStyle w:val="000000010000" w:firstRow="0" w:lastRow="0" w:firstColumn="0" w:lastColumn="0" w:oddVBand="0" w:evenVBand="0" w:oddHBand="0" w:evenHBand="1" w:firstRowFirstColumn="0" w:firstRowLastColumn="0" w:lastRowFirstColumn="0" w:lastRowLastColumn="0"/>
            </w:pPr>
            <w:r w:rsidRPr="009744CC">
              <w:t>For a program to remove asbestos meter covers.</w:t>
            </w:r>
          </w:p>
        </w:tc>
        <w:tc>
          <w:tcPr>
            <w:tcW w:w="509" w:type="pct"/>
          </w:tcPr>
          <w:p w:rsidR="00EF7202" w:rsidRPr="00EF7202" w:rsidRDefault="00EF7202" w:rsidP="00EF7202">
            <w:pPr>
              <w:cnfStyle w:val="000000010000" w:firstRow="0" w:lastRow="0" w:firstColumn="0" w:lastColumn="0" w:oddVBand="0" w:evenVBand="0" w:oddHBand="0" w:evenHBand="1" w:firstRowFirstColumn="0" w:firstRowLastColumn="0" w:lastRowFirstColumn="0" w:lastRowLastColumn="0"/>
            </w:pPr>
            <w:r>
              <w:t>1.0</w:t>
            </w:r>
          </w:p>
        </w:tc>
        <w:tc>
          <w:tcPr>
            <w:tcW w:w="565" w:type="pct"/>
          </w:tcPr>
          <w:p w:rsidR="00EF7202" w:rsidRPr="00EF7202" w:rsidRDefault="00EF7202" w:rsidP="00EF7202">
            <w:pPr>
              <w:cnfStyle w:val="000000010000" w:firstRow="0" w:lastRow="0" w:firstColumn="0" w:lastColumn="0" w:oddVBand="0" w:evenVBand="0" w:oddHBand="0" w:evenHBand="1" w:firstRowFirstColumn="0" w:firstRowLastColumn="0" w:lastRowFirstColumn="0" w:lastRowLastColumn="0"/>
            </w:pPr>
            <w:r>
              <w:t>–</w:t>
            </w:r>
          </w:p>
        </w:tc>
        <w:tc>
          <w:tcPr>
            <w:tcW w:w="162" w:type="pct"/>
          </w:tcPr>
          <w:p w:rsidR="00EF7202" w:rsidRPr="00AF1F60" w:rsidRDefault="00EF7202" w:rsidP="00EF7202">
            <w:pPr>
              <w:cnfStyle w:val="000000010000" w:firstRow="0" w:lastRow="0" w:firstColumn="0" w:lastColumn="0" w:oddVBand="0" w:evenVBand="0" w:oddHBand="0" w:evenHBand="1" w:firstRowFirstColumn="0" w:firstRowLastColumn="0" w:lastRowFirstColumn="0" w:lastRowLastColumn="0"/>
            </w:pPr>
          </w:p>
        </w:tc>
        <w:tc>
          <w:tcPr>
            <w:tcW w:w="1538" w:type="pct"/>
          </w:tcPr>
          <w:p w:rsidR="00EF7202" w:rsidRPr="00EF7202" w:rsidRDefault="00EF7202" w:rsidP="00EF7202">
            <w:pPr>
              <w:cnfStyle w:val="000000010000" w:firstRow="0" w:lastRow="0" w:firstColumn="0" w:lastColumn="0" w:oddVBand="0" w:evenVBand="0" w:oddHBand="0" w:evenHBand="1" w:firstRowFirstColumn="0" w:firstRowLastColumn="0" w:lastRowFirstColumn="0" w:lastRowLastColumn="0"/>
            </w:pPr>
            <w:r>
              <w:t>Not a new regulatory obligation.</w:t>
            </w:r>
          </w:p>
        </w:tc>
      </w:tr>
      <w:tr w:rsidR="00EF7202" w:rsidRPr="00AF1F60" w:rsidTr="009524E6">
        <w:tc>
          <w:tcPr>
            <w:cnfStyle w:val="001000000000" w:firstRow="0" w:lastRow="0" w:firstColumn="1" w:lastColumn="0" w:oddVBand="0" w:evenVBand="0" w:oddHBand="0" w:evenHBand="0" w:firstRowFirstColumn="0" w:firstRowLastColumn="0" w:lastRowFirstColumn="0" w:lastRowLastColumn="0"/>
            <w:tcW w:w="710" w:type="pct"/>
          </w:tcPr>
          <w:p w:rsidR="00EF7202" w:rsidRPr="00EF7202" w:rsidRDefault="00EF7202" w:rsidP="00EF7202">
            <w:r w:rsidRPr="00AF1F60">
              <w:t>B2B harmonisation</w:t>
            </w:r>
          </w:p>
        </w:tc>
        <w:tc>
          <w:tcPr>
            <w:tcW w:w="1516" w:type="pct"/>
            <w:gridSpan w:val="2"/>
          </w:tcPr>
          <w:p w:rsidR="00EF7202" w:rsidRPr="00EF7202" w:rsidRDefault="00EF7202" w:rsidP="00EF7202">
            <w:pPr>
              <w:cnfStyle w:val="000000000000" w:firstRow="0" w:lastRow="0" w:firstColumn="0" w:lastColumn="0" w:oddVBand="0" w:evenVBand="0" w:oddHBand="0" w:evenHBand="0" w:firstRowFirstColumn="0" w:firstRowLastColumn="0" w:lastRowFirstColumn="0" w:lastRowLastColumn="0"/>
            </w:pPr>
            <w:r w:rsidRPr="009744CC">
              <w:t>To comply with AEMO decision to change the NSW/ACT retail market procedures and gas interface protocol.</w:t>
            </w:r>
          </w:p>
        </w:tc>
        <w:tc>
          <w:tcPr>
            <w:tcW w:w="509" w:type="pct"/>
          </w:tcPr>
          <w:p w:rsidR="00EF7202" w:rsidRPr="00EF7202" w:rsidRDefault="00EF7202" w:rsidP="00EF7202">
            <w:pPr>
              <w:cnfStyle w:val="000000000000" w:firstRow="0" w:lastRow="0" w:firstColumn="0" w:lastColumn="0" w:oddVBand="0" w:evenVBand="0" w:oddHBand="0" w:evenHBand="0" w:firstRowFirstColumn="0" w:firstRowLastColumn="0" w:lastRowFirstColumn="0" w:lastRowLastColumn="0"/>
            </w:pPr>
            <w:r>
              <w:t>9.4</w:t>
            </w:r>
            <w:r w:rsidRPr="00EF7202">
              <w:rPr>
                <w:rStyle w:val="AERsuperscript"/>
              </w:rPr>
              <w:t>a</w:t>
            </w:r>
          </w:p>
        </w:tc>
        <w:tc>
          <w:tcPr>
            <w:tcW w:w="565" w:type="pct"/>
          </w:tcPr>
          <w:p w:rsidR="00EF7202" w:rsidRPr="00EF7202" w:rsidRDefault="00EF7202" w:rsidP="00EF7202">
            <w:pPr>
              <w:cnfStyle w:val="000000000000" w:firstRow="0" w:lastRow="0" w:firstColumn="0" w:lastColumn="0" w:oddVBand="0" w:evenVBand="0" w:oddHBand="0" w:evenHBand="0" w:firstRowFirstColumn="0" w:firstRowLastColumn="0" w:lastRowFirstColumn="0" w:lastRowLastColumn="0"/>
            </w:pPr>
            <w:r>
              <w:t>9.4</w:t>
            </w:r>
          </w:p>
        </w:tc>
        <w:tc>
          <w:tcPr>
            <w:tcW w:w="162" w:type="pct"/>
          </w:tcPr>
          <w:p w:rsidR="00EF7202" w:rsidRPr="00AF1F60" w:rsidRDefault="00EF7202" w:rsidP="00EF7202">
            <w:pPr>
              <w:cnfStyle w:val="000000000000" w:firstRow="0" w:lastRow="0" w:firstColumn="0" w:lastColumn="0" w:oddVBand="0" w:evenVBand="0" w:oddHBand="0" w:evenHBand="0" w:firstRowFirstColumn="0" w:firstRowLastColumn="0" w:lastRowFirstColumn="0" w:lastRowLastColumn="0"/>
            </w:pPr>
          </w:p>
        </w:tc>
        <w:tc>
          <w:tcPr>
            <w:tcW w:w="1538" w:type="pct"/>
          </w:tcPr>
          <w:p w:rsidR="00EF7202" w:rsidRPr="00EF7202" w:rsidRDefault="00EF7202" w:rsidP="00EF7202">
            <w:pPr>
              <w:cnfStyle w:val="000000000000" w:firstRow="0" w:lastRow="0" w:firstColumn="0" w:lastColumn="0" w:oddVBand="0" w:evenVBand="0" w:oddHBand="0" w:evenHBand="0" w:firstRowFirstColumn="0" w:firstRowLastColumn="0" w:lastRowFirstColumn="0" w:lastRowLastColumn="0"/>
            </w:pPr>
            <w:r w:rsidRPr="00AF1F60">
              <w:t>New regulatory obligation</w:t>
            </w:r>
            <w:r w:rsidRPr="00EF7202">
              <w:t>.</w:t>
            </w:r>
          </w:p>
        </w:tc>
      </w:tr>
      <w:tr w:rsidR="00EF7202" w:rsidRPr="00AF1F60" w:rsidTr="009524E6">
        <w:trPr>
          <w:cnfStyle w:val="000000010000" w:firstRow="0" w:lastRow="0" w:firstColumn="0" w:lastColumn="0" w:oddVBand="0" w:evenVBand="0" w:oddHBand="0" w:evenHBand="1" w:firstRowFirstColumn="0" w:firstRowLastColumn="0" w:lastRowFirstColumn="0" w:lastRowLastColumn="0"/>
          <w:trHeight w:val="630"/>
        </w:trPr>
        <w:tc>
          <w:tcPr>
            <w:cnfStyle w:val="001000000000" w:firstRow="0" w:lastRow="0" w:firstColumn="1" w:lastColumn="0" w:oddVBand="0" w:evenVBand="0" w:oddHBand="0" w:evenHBand="0" w:firstRowFirstColumn="0" w:firstRowLastColumn="0" w:lastRowFirstColumn="0" w:lastRowLastColumn="0"/>
            <w:tcW w:w="952" w:type="pct"/>
            <w:gridSpan w:val="2"/>
          </w:tcPr>
          <w:p w:rsidR="00EF7202" w:rsidRPr="00EF7202" w:rsidRDefault="00EF7202" w:rsidP="00EF7202">
            <w:pPr>
              <w:rPr>
                <w:rStyle w:val="Strong"/>
              </w:rPr>
            </w:pPr>
            <w:r w:rsidRPr="009744CC">
              <w:rPr>
                <w:rStyle w:val="Strong"/>
              </w:rPr>
              <w:t>Total step changes</w:t>
            </w:r>
          </w:p>
        </w:tc>
        <w:tc>
          <w:tcPr>
            <w:tcW w:w="1273" w:type="pct"/>
          </w:tcPr>
          <w:p w:rsidR="00EF7202" w:rsidRPr="009744CC" w:rsidRDefault="00EF7202" w:rsidP="00EF7202">
            <w:pPr>
              <w:cnfStyle w:val="000000010000" w:firstRow="0" w:lastRow="0" w:firstColumn="0" w:lastColumn="0" w:oddVBand="0" w:evenVBand="0" w:oddHBand="0" w:evenHBand="1" w:firstRowFirstColumn="0" w:firstRowLastColumn="0" w:lastRowFirstColumn="0" w:lastRowLastColumn="0"/>
              <w:rPr>
                <w:rStyle w:val="Strong"/>
              </w:rPr>
            </w:pPr>
          </w:p>
        </w:tc>
        <w:tc>
          <w:tcPr>
            <w:tcW w:w="509" w:type="pct"/>
          </w:tcPr>
          <w:p w:rsidR="00EF7202" w:rsidRPr="00EF7202" w:rsidRDefault="00EF7202" w:rsidP="00EF7202">
            <w:pPr>
              <w:cnfStyle w:val="000000010000" w:firstRow="0" w:lastRow="0" w:firstColumn="0" w:lastColumn="0" w:oddVBand="0" w:evenVBand="0" w:oddHBand="0" w:evenHBand="1" w:firstRowFirstColumn="0" w:firstRowLastColumn="0" w:lastRowFirstColumn="0" w:lastRowLastColumn="0"/>
              <w:rPr>
                <w:rStyle w:val="Strong"/>
              </w:rPr>
            </w:pPr>
            <w:r w:rsidRPr="009744CC">
              <w:rPr>
                <w:rStyle w:val="Strong"/>
              </w:rPr>
              <w:t>32.2</w:t>
            </w:r>
            <w:r w:rsidRPr="00EF7202">
              <w:rPr>
                <w:rStyle w:val="AERsuperscript"/>
              </w:rPr>
              <w:t>b</w:t>
            </w:r>
          </w:p>
        </w:tc>
        <w:tc>
          <w:tcPr>
            <w:tcW w:w="565" w:type="pct"/>
          </w:tcPr>
          <w:p w:rsidR="00EF7202" w:rsidRPr="00EF7202" w:rsidRDefault="00EF7202" w:rsidP="00EF7202">
            <w:pPr>
              <w:cnfStyle w:val="000000010000" w:firstRow="0" w:lastRow="0" w:firstColumn="0" w:lastColumn="0" w:oddVBand="0" w:evenVBand="0" w:oddHBand="0" w:evenHBand="1" w:firstRowFirstColumn="0" w:firstRowLastColumn="0" w:lastRowFirstColumn="0" w:lastRowLastColumn="0"/>
              <w:rPr>
                <w:rStyle w:val="Strong"/>
              </w:rPr>
            </w:pPr>
            <w:r w:rsidRPr="009744CC">
              <w:rPr>
                <w:rStyle w:val="Strong"/>
              </w:rPr>
              <w:t>3</w:t>
            </w:r>
            <w:r w:rsidR="00C44094">
              <w:rPr>
                <w:rStyle w:val="Strong"/>
              </w:rPr>
              <w:t>1</w:t>
            </w:r>
            <w:r w:rsidRPr="009744CC">
              <w:rPr>
                <w:rStyle w:val="Strong"/>
              </w:rPr>
              <w:t>.</w:t>
            </w:r>
            <w:r w:rsidR="00F63E9B">
              <w:rPr>
                <w:rStyle w:val="Strong"/>
              </w:rPr>
              <w:t>3</w:t>
            </w:r>
          </w:p>
        </w:tc>
        <w:tc>
          <w:tcPr>
            <w:tcW w:w="162" w:type="pct"/>
          </w:tcPr>
          <w:p w:rsidR="00EF7202" w:rsidRPr="009744CC" w:rsidRDefault="00EF7202" w:rsidP="00EF7202">
            <w:pPr>
              <w:cnfStyle w:val="000000010000" w:firstRow="0" w:lastRow="0" w:firstColumn="0" w:lastColumn="0" w:oddVBand="0" w:evenVBand="0" w:oddHBand="0" w:evenHBand="1" w:firstRowFirstColumn="0" w:firstRowLastColumn="0" w:lastRowFirstColumn="0" w:lastRowLastColumn="0"/>
              <w:rPr>
                <w:rStyle w:val="Strong"/>
              </w:rPr>
            </w:pPr>
          </w:p>
        </w:tc>
        <w:tc>
          <w:tcPr>
            <w:tcW w:w="1538" w:type="pct"/>
          </w:tcPr>
          <w:p w:rsidR="00EF7202" w:rsidRPr="009744CC" w:rsidRDefault="00EF7202" w:rsidP="00EF7202">
            <w:pPr>
              <w:cnfStyle w:val="000000010000" w:firstRow="0" w:lastRow="0" w:firstColumn="0" w:lastColumn="0" w:oddVBand="0" w:evenVBand="0" w:oddHBand="0" w:evenHBand="1" w:firstRowFirstColumn="0" w:firstRowLastColumn="0" w:lastRowFirstColumn="0" w:lastRowLastColumn="0"/>
              <w:rPr>
                <w:rStyle w:val="Strong"/>
              </w:rPr>
            </w:pPr>
          </w:p>
        </w:tc>
      </w:tr>
    </w:tbl>
    <w:p w:rsidR="00EF7202" w:rsidRDefault="00EF7202" w:rsidP="00EF7202">
      <w:pPr>
        <w:pStyle w:val="AERtablesource"/>
      </w:pPr>
      <w:r w:rsidRPr="008C7A62">
        <w:t xml:space="preserve">Source: </w:t>
      </w:r>
      <w:r>
        <w:tab/>
      </w:r>
      <w:r w:rsidRPr="008C7A62">
        <w:t xml:space="preserve">JGN, </w:t>
      </w:r>
      <w:r w:rsidRPr="008C7A62">
        <w:rPr>
          <w:rStyle w:val="AERtextitalic"/>
        </w:rPr>
        <w:t>Access Arrangement Information</w:t>
      </w:r>
      <w:r>
        <w:rPr>
          <w:rStyle w:val="AERtextitalic"/>
        </w:rPr>
        <w:t>, Revised proposal</w:t>
      </w:r>
      <w:r w:rsidRPr="008C7A62">
        <w:rPr>
          <w:rStyle w:val="AERtextitalic"/>
        </w:rPr>
        <w:t>,</w:t>
      </w:r>
      <w:r>
        <w:rPr>
          <w:rStyle w:val="AERtextitalic"/>
        </w:rPr>
        <w:t xml:space="preserve"> Revised Opex model,</w:t>
      </w:r>
      <w:r w:rsidRPr="008C7A62">
        <w:rPr>
          <w:rStyle w:val="AERtextitalic"/>
        </w:rPr>
        <w:t xml:space="preserve"> </w:t>
      </w:r>
      <w:r>
        <w:rPr>
          <w:rStyle w:val="AERtextsize8"/>
        </w:rPr>
        <w:t>27 March</w:t>
      </w:r>
      <w:r w:rsidRPr="008C7A62">
        <w:rPr>
          <w:rStyle w:val="AERtextsize8"/>
        </w:rPr>
        <w:t xml:space="preserve"> 201</w:t>
      </w:r>
      <w:r>
        <w:rPr>
          <w:rStyle w:val="AERtextsize8"/>
        </w:rPr>
        <w:t>5</w:t>
      </w:r>
      <w:r>
        <w:t xml:space="preserve">; </w:t>
      </w:r>
      <w:r w:rsidRPr="00DB74E1">
        <w:t xml:space="preserve">JGN, </w:t>
      </w:r>
      <w:r w:rsidRPr="00DB74E1">
        <w:rPr>
          <w:rStyle w:val="AERtextitalic"/>
        </w:rPr>
        <w:t xml:space="preserve">Revised proposal, </w:t>
      </w:r>
      <w:r>
        <w:rPr>
          <w:rStyle w:val="AERtextitalic"/>
        </w:rPr>
        <w:t xml:space="preserve">Addendum - B2B harmonisation capex and opex proposal, </w:t>
      </w:r>
      <w:r>
        <w:rPr>
          <w:rStyle w:val="AERtextsize8"/>
        </w:rPr>
        <w:t>17 March</w:t>
      </w:r>
      <w:r w:rsidRPr="00DB74E1">
        <w:rPr>
          <w:rStyle w:val="AERtextsize8"/>
        </w:rPr>
        <w:t xml:space="preserve"> 2015</w:t>
      </w:r>
      <w:r w:rsidRPr="00DB74E1">
        <w:rPr>
          <w:rStyle w:val="AERtextitalic"/>
        </w:rPr>
        <w:t xml:space="preserve">, </w:t>
      </w:r>
      <w:r w:rsidRPr="00DB74E1">
        <w:t xml:space="preserve">p. </w:t>
      </w:r>
      <w:r>
        <w:t>7.</w:t>
      </w:r>
    </w:p>
    <w:p w:rsidR="00F63E9B" w:rsidRDefault="00EF7202" w:rsidP="00EF7202">
      <w:pPr>
        <w:pStyle w:val="AERtablesource"/>
      </w:pPr>
      <w:r>
        <w:t xml:space="preserve">Note: </w:t>
      </w:r>
      <w:r>
        <w:tab/>
      </w:r>
      <w:r w:rsidR="00F63E9B">
        <w:t>The total does not add due to rounding.</w:t>
      </w:r>
    </w:p>
    <w:p w:rsidR="00EF7202" w:rsidRDefault="00F63E9B" w:rsidP="00EF7202">
      <w:pPr>
        <w:pStyle w:val="AERtablesource"/>
      </w:pPr>
      <w:r>
        <w:rPr>
          <w:rStyle w:val="AERsuperscript"/>
        </w:rPr>
        <w:tab/>
      </w:r>
      <w:r w:rsidR="00EF7202" w:rsidRPr="008C7A62">
        <w:rPr>
          <w:rStyle w:val="AERsuperscript"/>
        </w:rPr>
        <w:t>a</w:t>
      </w:r>
      <w:r w:rsidR="00EF7202">
        <w:t xml:space="preserve">  JGN revised its forecast for the B2B harmonisation on 17 March 2015 from $11.0 million to $9.4 million.</w:t>
      </w:r>
      <w:r w:rsidR="009524E6">
        <w:t xml:space="preserve"> </w:t>
      </w:r>
    </w:p>
    <w:p w:rsidR="00EF7202" w:rsidRPr="00181DC2" w:rsidRDefault="00EF7202" w:rsidP="000E2A46">
      <w:pPr>
        <w:pStyle w:val="AERtablesource"/>
        <w:rPr>
          <w:rStyle w:val="AERsuperscript"/>
        </w:rPr>
      </w:pPr>
      <w:r>
        <w:tab/>
      </w:r>
      <w:r w:rsidRPr="00181DC2">
        <w:rPr>
          <w:rStyle w:val="AERsuperscript"/>
        </w:rPr>
        <w:t>b</w:t>
      </w:r>
      <w:r>
        <w:rPr>
          <w:rStyle w:val="AERsuperscript"/>
        </w:rPr>
        <w:t xml:space="preserve">   </w:t>
      </w:r>
      <w:r w:rsidRPr="00CC5416">
        <w:rPr>
          <w:rStyle w:val="AERsuperscript"/>
          <w:vertAlign w:val="baseline"/>
        </w:rPr>
        <w:t>The total does</w:t>
      </w:r>
      <w:r w:rsidR="000E2A46">
        <w:rPr>
          <w:rStyle w:val="AERsuperscript"/>
        </w:rPr>
        <w:t xml:space="preserve"> </w:t>
      </w:r>
      <w:r w:rsidRPr="00CC5416">
        <w:rPr>
          <w:rStyle w:val="AERsuperscript"/>
          <w:vertAlign w:val="baseline"/>
        </w:rPr>
        <w:t>n</w:t>
      </w:r>
      <w:r w:rsidR="000E2A46" w:rsidRPr="00FD43E1">
        <w:rPr>
          <w:rStyle w:val="AERsuperscript"/>
          <w:vertAlign w:val="baseline"/>
        </w:rPr>
        <w:t>o</w:t>
      </w:r>
      <w:r w:rsidRPr="00CC5416">
        <w:rPr>
          <w:rStyle w:val="AERsuperscript"/>
          <w:vertAlign w:val="baseline"/>
        </w:rPr>
        <w:t>t include the 'Annual regulatory reporting' step change ($1.9 million) because JGN did not include it in its revised proposa</w:t>
      </w:r>
      <w:r w:rsidR="00E7721A">
        <w:rPr>
          <w:rStyle w:val="AERsuperscript"/>
          <w:vertAlign w:val="baseline"/>
        </w:rPr>
        <w:t>l.</w:t>
      </w:r>
    </w:p>
    <w:p w:rsidR="00EF7202" w:rsidRDefault="00EF7202" w:rsidP="00850C00">
      <w:pPr>
        <w:pStyle w:val="HeadingBoldBlue"/>
      </w:pPr>
      <w:r>
        <w:t>Draft position</w:t>
      </w:r>
    </w:p>
    <w:p w:rsidR="00A56D16" w:rsidRDefault="00A56D16" w:rsidP="00A56D16">
      <w:r w:rsidRPr="00A56D16">
        <w:t>JGN proposed six step changes totalling $2</w:t>
      </w:r>
      <w:r w:rsidR="00753E22">
        <w:t>3.9</w:t>
      </w:r>
      <w:r w:rsidRPr="00A56D16">
        <w:t xml:space="preserve"> million ($2014–15)</w:t>
      </w:r>
      <w:r>
        <w:t xml:space="preserve"> in its initial proposal. Our draft decision was to include five of the proposed </w:t>
      </w:r>
      <w:r w:rsidR="00A635EE">
        <w:t xml:space="preserve">step changes (refer to </w:t>
      </w:r>
      <w:r w:rsidR="00E7721A">
        <w:fldChar w:fldCharType="begin"/>
      </w:r>
      <w:r w:rsidR="00E7721A">
        <w:instrText xml:space="preserve"> REF _Ref418519000 \h </w:instrText>
      </w:r>
      <w:r w:rsidR="00E7721A">
        <w:fldChar w:fldCharType="separate"/>
      </w:r>
      <w:r w:rsidR="00FB6999">
        <w:t xml:space="preserve">Table </w:t>
      </w:r>
      <w:r w:rsidR="00FB6999">
        <w:rPr>
          <w:noProof/>
        </w:rPr>
        <w:t>7</w:t>
      </w:r>
      <w:r w:rsidR="00FB6999">
        <w:t>.</w:t>
      </w:r>
      <w:r w:rsidR="00FB6999">
        <w:rPr>
          <w:noProof/>
        </w:rPr>
        <w:t>5</w:t>
      </w:r>
      <w:r w:rsidR="00E7721A">
        <w:fldChar w:fldCharType="end"/>
      </w:r>
      <w:r>
        <w:t xml:space="preserve">).  We did not include a step change for </w:t>
      </w:r>
      <w:r w:rsidR="00321F93">
        <w:t>anticipated increases</w:t>
      </w:r>
      <w:r w:rsidRPr="009744CC">
        <w:t xml:space="preserve"> </w:t>
      </w:r>
      <w:r w:rsidR="00321F93">
        <w:t xml:space="preserve">in </w:t>
      </w:r>
      <w:r w:rsidRPr="009744CC">
        <w:t xml:space="preserve">regulatory reporting </w:t>
      </w:r>
      <w:r w:rsidRPr="00EF7202">
        <w:t>obligations</w:t>
      </w:r>
      <w:r>
        <w:t>. JGN accepted this position in its revised proposal.</w:t>
      </w:r>
    </w:p>
    <w:p w:rsidR="00A56D16" w:rsidRDefault="00A56D16" w:rsidP="00850C00">
      <w:pPr>
        <w:pStyle w:val="HeadingBoldBlue"/>
      </w:pPr>
      <w:r>
        <w:t>Revised proposal and submissions</w:t>
      </w:r>
    </w:p>
    <w:p w:rsidR="00C37A6C" w:rsidRPr="00C37A6C" w:rsidRDefault="00576716" w:rsidP="00C37A6C">
      <w:pPr>
        <w:rPr>
          <w:rStyle w:val="AERbody"/>
        </w:rPr>
      </w:pPr>
      <w:r>
        <w:t xml:space="preserve">In its revised proposal, </w:t>
      </w:r>
      <w:r w:rsidRPr="008C7A62">
        <w:t xml:space="preserve">JGN proposed </w:t>
      </w:r>
      <w:r>
        <w:t>three new step changes.</w:t>
      </w:r>
      <w:r w:rsidR="00C37A6C">
        <w:t xml:space="preserve"> The</w:t>
      </w:r>
      <w:r w:rsidR="00214FFD">
        <w:t xml:space="preserve"> proposed</w:t>
      </w:r>
      <w:r w:rsidR="00C37A6C">
        <w:t xml:space="preserve"> step changes</w:t>
      </w:r>
      <w:r w:rsidR="00C37A6C" w:rsidRPr="00C37A6C">
        <w:rPr>
          <w:rStyle w:val="AERbody"/>
        </w:rPr>
        <w:t xml:space="preserve"> reflect:</w:t>
      </w:r>
      <w:r w:rsidR="00C37A6C" w:rsidRPr="00C37A6C">
        <w:rPr>
          <w:rStyle w:val="FootnoteReference"/>
        </w:rPr>
        <w:footnoteReference w:id="40"/>
      </w:r>
    </w:p>
    <w:p w:rsidR="00C37A6C" w:rsidRPr="00C37A6C" w:rsidRDefault="00C37A6C" w:rsidP="00C37A6C">
      <w:pPr>
        <w:pStyle w:val="AERbulletlistfirststyle"/>
        <w:rPr>
          <w:rStyle w:val="AERbody"/>
        </w:rPr>
      </w:pPr>
      <w:r w:rsidRPr="00C37A6C">
        <w:rPr>
          <w:rStyle w:val="AERbody"/>
        </w:rPr>
        <w:lastRenderedPageBreak/>
        <w:t>a new regulatory obligation for JGN to obtain an independently audited or verified statement to support gas quantity inputs used in the reference tariff variation formula</w:t>
      </w:r>
    </w:p>
    <w:p w:rsidR="00C37A6C" w:rsidRPr="00C37A6C" w:rsidRDefault="00C37A6C" w:rsidP="00C37A6C">
      <w:pPr>
        <w:pStyle w:val="AERbulletlistfirststyle"/>
        <w:rPr>
          <w:rStyle w:val="AERbody"/>
        </w:rPr>
      </w:pPr>
      <w:r w:rsidRPr="00C37A6C">
        <w:rPr>
          <w:rStyle w:val="AERbody"/>
        </w:rPr>
        <w:t>a new employee and public safety initiative to remove customer-owned asbestos meter covers</w:t>
      </w:r>
    </w:p>
    <w:p w:rsidR="00C37A6C" w:rsidRPr="00C37A6C" w:rsidRDefault="00C37A6C" w:rsidP="00C37A6C">
      <w:pPr>
        <w:pStyle w:val="AERbulletlistfirststyle"/>
        <w:rPr>
          <w:rStyle w:val="AERbody"/>
        </w:rPr>
      </w:pPr>
      <w:r w:rsidRPr="00C37A6C">
        <w:rPr>
          <w:rStyle w:val="AERbody"/>
        </w:rPr>
        <w:t>new regulatory obligations regarding business to business (B2B) service levels and market requirements.</w:t>
      </w:r>
    </w:p>
    <w:p w:rsidR="00072B4E" w:rsidRDefault="00072B4E" w:rsidP="00072B4E">
      <w:pPr>
        <w:numPr>
          <w:ilvl w:val="0"/>
          <w:numId w:val="25"/>
        </w:numPr>
      </w:pPr>
      <w:r>
        <w:t>The EMRF considered</w:t>
      </w:r>
      <w:r w:rsidRPr="00900F08">
        <w:t xml:space="preserve"> the removal of meter asbestos and the B2B</w:t>
      </w:r>
      <w:r>
        <w:t xml:space="preserve"> </w:t>
      </w:r>
      <w:r w:rsidRPr="00900F08">
        <w:t>harmoni</w:t>
      </w:r>
      <w:r w:rsidR="00C44094">
        <w:t>s</w:t>
      </w:r>
      <w:r w:rsidRPr="00900F08">
        <w:t xml:space="preserve">ation projects </w:t>
      </w:r>
      <w:r w:rsidR="00911D7A">
        <w:t>may be prudent</w:t>
      </w:r>
      <w:r w:rsidRPr="00900F08">
        <w:t xml:space="preserve"> but </w:t>
      </w:r>
      <w:r w:rsidR="00214FFD">
        <w:t xml:space="preserve">suggested </w:t>
      </w:r>
      <w:r>
        <w:t>we</w:t>
      </w:r>
      <w:r w:rsidRPr="00900F08">
        <w:t xml:space="preserve"> examine whether the proposed costs represent efficient costs</w:t>
      </w:r>
      <w:r>
        <w:t>.</w:t>
      </w:r>
      <w:r>
        <w:rPr>
          <w:rStyle w:val="FootnoteReference"/>
        </w:rPr>
        <w:footnoteReference w:id="41"/>
      </w:r>
    </w:p>
    <w:p w:rsidR="002F6CED" w:rsidRPr="00072B4E" w:rsidRDefault="00072B4E" w:rsidP="00072B4E">
      <w:pPr>
        <w:rPr>
          <w:rStyle w:val="AERbody"/>
        </w:rPr>
      </w:pPr>
      <w:r>
        <w:rPr>
          <w:rStyle w:val="AERbody"/>
        </w:rPr>
        <w:t>The EMRF ha</w:t>
      </w:r>
      <w:r w:rsidR="00214FFD">
        <w:rPr>
          <w:rStyle w:val="AERbody"/>
        </w:rPr>
        <w:t>d</w:t>
      </w:r>
      <w:r>
        <w:rPr>
          <w:rStyle w:val="AERbody"/>
        </w:rPr>
        <w:t xml:space="preserve"> </w:t>
      </w:r>
      <w:r w:rsidR="00900F08" w:rsidRPr="00072B4E">
        <w:rPr>
          <w:rStyle w:val="AERbody"/>
        </w:rPr>
        <w:t>concerns with the additional marketing</w:t>
      </w:r>
      <w:r>
        <w:rPr>
          <w:rStyle w:val="AERbody"/>
        </w:rPr>
        <w:t xml:space="preserve"> </w:t>
      </w:r>
      <w:r w:rsidR="00900F08" w:rsidRPr="00072B4E">
        <w:rPr>
          <w:rStyle w:val="AERbody"/>
        </w:rPr>
        <w:t xml:space="preserve">costs </w:t>
      </w:r>
      <w:r>
        <w:rPr>
          <w:rStyle w:val="AERbody"/>
        </w:rPr>
        <w:t xml:space="preserve">we </w:t>
      </w:r>
      <w:r w:rsidR="00900F08" w:rsidRPr="00072B4E">
        <w:rPr>
          <w:rStyle w:val="AERbody"/>
        </w:rPr>
        <w:t>approved and consider</w:t>
      </w:r>
      <w:r w:rsidR="00214FFD">
        <w:rPr>
          <w:rStyle w:val="AERbody"/>
        </w:rPr>
        <w:t>ed</w:t>
      </w:r>
      <w:r w:rsidR="00900F08" w:rsidRPr="00072B4E">
        <w:rPr>
          <w:rStyle w:val="AERbody"/>
        </w:rPr>
        <w:t xml:space="preserve"> that JGN</w:t>
      </w:r>
      <w:r>
        <w:rPr>
          <w:rStyle w:val="AERbody"/>
        </w:rPr>
        <w:t xml:space="preserve"> </w:t>
      </w:r>
      <w:r w:rsidR="00900F08" w:rsidRPr="00072B4E">
        <w:rPr>
          <w:rStyle w:val="AERbody"/>
        </w:rPr>
        <w:t>needs to first establish that its existing programs are cost effective. In</w:t>
      </w:r>
      <w:r>
        <w:rPr>
          <w:rStyle w:val="AERbody"/>
        </w:rPr>
        <w:t xml:space="preserve"> </w:t>
      </w:r>
      <w:r w:rsidR="00900F08" w:rsidRPr="00072B4E">
        <w:rPr>
          <w:rStyle w:val="AERbody"/>
        </w:rPr>
        <w:t xml:space="preserve">addition, </w:t>
      </w:r>
      <w:r>
        <w:rPr>
          <w:rStyle w:val="AERbody"/>
        </w:rPr>
        <w:t>it</w:t>
      </w:r>
      <w:r w:rsidR="00900F08" w:rsidRPr="00072B4E">
        <w:rPr>
          <w:rStyle w:val="AERbody"/>
        </w:rPr>
        <w:t xml:space="preserve"> </w:t>
      </w:r>
      <w:r w:rsidR="00214FFD">
        <w:rPr>
          <w:rStyle w:val="AERbody"/>
        </w:rPr>
        <w:t>was</w:t>
      </w:r>
      <w:r w:rsidR="00214FFD" w:rsidRPr="00072B4E">
        <w:rPr>
          <w:rStyle w:val="AERbody"/>
        </w:rPr>
        <w:t xml:space="preserve"> </w:t>
      </w:r>
      <w:r w:rsidR="00900F08" w:rsidRPr="00072B4E">
        <w:rPr>
          <w:rStyle w:val="AERbody"/>
        </w:rPr>
        <w:t>concerned with a program that might encourage gas</w:t>
      </w:r>
      <w:r>
        <w:rPr>
          <w:rStyle w:val="AERbody"/>
        </w:rPr>
        <w:t xml:space="preserve"> </w:t>
      </w:r>
      <w:r w:rsidR="00900F08" w:rsidRPr="00072B4E">
        <w:rPr>
          <w:rStyle w:val="AERbody"/>
        </w:rPr>
        <w:t>connections</w:t>
      </w:r>
      <w:r>
        <w:rPr>
          <w:rStyle w:val="AERbody"/>
        </w:rPr>
        <w:t xml:space="preserve"> when it is uneconomic to do so</w:t>
      </w:r>
      <w:r w:rsidR="00900F08" w:rsidRPr="00072B4E">
        <w:rPr>
          <w:rStyle w:val="AERbody"/>
        </w:rPr>
        <w:t>.</w:t>
      </w:r>
      <w:r>
        <w:rPr>
          <w:rStyle w:val="FootnoteReference"/>
        </w:rPr>
        <w:footnoteReference w:id="42"/>
      </w:r>
      <w:r w:rsidR="00EF5DEF">
        <w:rPr>
          <w:rStyle w:val="AERbody"/>
        </w:rPr>
        <w:t xml:space="preserve"> </w:t>
      </w:r>
      <w:r w:rsidR="00B1050F">
        <w:rPr>
          <w:rStyle w:val="AERbody"/>
        </w:rPr>
        <w:t>As outlined in our draft decision, JGN submitted a benefit cost analysis to demonstrate that its marketing program was cost effective. We were satisfied from the analysis that JGN provided that the</w:t>
      </w:r>
      <w:r w:rsidR="00DB6B7E">
        <w:rPr>
          <w:rStyle w:val="AERbody"/>
        </w:rPr>
        <w:t xml:space="preserve"> estimated</w:t>
      </w:r>
      <w:r w:rsidR="00B1050F">
        <w:rPr>
          <w:rStyle w:val="AERbody"/>
        </w:rPr>
        <w:t xml:space="preserve"> benefits of its proposed program exceed the costs. As such we included the cost of the program in our forecast of total opex.  </w:t>
      </w:r>
    </w:p>
    <w:p w:rsidR="00A56D16" w:rsidRDefault="00A56D16" w:rsidP="009524E6">
      <w:pPr>
        <w:numPr>
          <w:ilvl w:val="0"/>
          <w:numId w:val="25"/>
        </w:numPr>
      </w:pPr>
      <w:r>
        <w:t xml:space="preserve">Our assessment of each of the new step changes is outlined below. </w:t>
      </w:r>
    </w:p>
    <w:p w:rsidR="00576716" w:rsidRPr="00B47C38" w:rsidRDefault="00576716" w:rsidP="00850C00">
      <w:pPr>
        <w:pStyle w:val="HeadingBoldBlue"/>
        <w:rPr>
          <w:rStyle w:val="Strong"/>
        </w:rPr>
      </w:pPr>
      <w:r w:rsidRPr="00B47C38">
        <w:rPr>
          <w:rStyle w:val="Strong"/>
          <w:b/>
          <w:bCs/>
        </w:rPr>
        <w:t xml:space="preserve">Gas quantity audit </w:t>
      </w:r>
    </w:p>
    <w:p w:rsidR="00576716" w:rsidRDefault="00576716" w:rsidP="00576716">
      <w:pPr>
        <w:rPr>
          <w:rStyle w:val="AERbody"/>
        </w:rPr>
      </w:pPr>
      <w:r>
        <w:rPr>
          <w:rStyle w:val="AERbody"/>
        </w:rPr>
        <w:t>We have included a gas quantity audit step change of $0.14 million ($2014–15) in our alternative opex forecast. We have included it because the requirement to provide an audited statement of gas quantity inputs is a new obligation which is not accounted for in our estimate of base opex or in our forecast rate of change.</w:t>
      </w:r>
    </w:p>
    <w:p w:rsidR="00576716" w:rsidRDefault="00576716" w:rsidP="00576716">
      <w:pPr>
        <w:rPr>
          <w:rStyle w:val="AERbody"/>
        </w:rPr>
      </w:pPr>
      <w:r>
        <w:rPr>
          <w:rStyle w:val="AERbody"/>
        </w:rPr>
        <w:t>In its revised proposal, JGN included a step change of $0.14 million in its opex forecast for the annual costs of auditing gas quantities.</w:t>
      </w:r>
      <w:r>
        <w:rPr>
          <w:rStyle w:val="FootnoteReference"/>
        </w:rPr>
        <w:footnoteReference w:id="43"/>
      </w:r>
      <w:r>
        <w:rPr>
          <w:rStyle w:val="AERbody"/>
        </w:rPr>
        <w:t xml:space="preserve"> JGN included the step change because we</w:t>
      </w:r>
      <w:r w:rsidRPr="0002322E">
        <w:rPr>
          <w:rStyle w:val="AERbody"/>
        </w:rPr>
        <w:t xml:space="preserve"> </w:t>
      </w:r>
      <w:r>
        <w:rPr>
          <w:rStyle w:val="AERbody"/>
        </w:rPr>
        <w:t>amended the clause of its access arrangement containing the reference tariff variation mechanism</w:t>
      </w:r>
      <w:r w:rsidRPr="003813DC">
        <w:rPr>
          <w:rStyle w:val="AERbody"/>
        </w:rPr>
        <w:t xml:space="preserve"> </w:t>
      </w:r>
      <w:r>
        <w:rPr>
          <w:rStyle w:val="AERbody"/>
        </w:rPr>
        <w:t>in our draft decision.  The amendment requires</w:t>
      </w:r>
      <w:r w:rsidRPr="0002322E">
        <w:rPr>
          <w:rStyle w:val="AERbody"/>
        </w:rPr>
        <w:t xml:space="preserve"> </w:t>
      </w:r>
      <w:r>
        <w:rPr>
          <w:rStyle w:val="AERbody"/>
        </w:rPr>
        <w:t xml:space="preserve">JGN to provide </w:t>
      </w:r>
      <w:r w:rsidRPr="0002322E">
        <w:rPr>
          <w:rStyle w:val="AERbody"/>
        </w:rPr>
        <w:t xml:space="preserve">an independent audit of </w:t>
      </w:r>
      <w:r>
        <w:rPr>
          <w:rStyle w:val="AERbody"/>
        </w:rPr>
        <w:t xml:space="preserve">the </w:t>
      </w:r>
      <w:r w:rsidRPr="0002322E">
        <w:rPr>
          <w:rStyle w:val="AERbody"/>
        </w:rPr>
        <w:t>gas quantity inputs</w:t>
      </w:r>
      <w:r>
        <w:rPr>
          <w:rStyle w:val="AERbody"/>
        </w:rPr>
        <w:t xml:space="preserve"> used in the reference tariff formula</w:t>
      </w:r>
      <w:r w:rsidRPr="0002322E">
        <w:rPr>
          <w:rStyle w:val="AERbody"/>
        </w:rPr>
        <w:t>.</w:t>
      </w:r>
      <w:r>
        <w:rPr>
          <w:rStyle w:val="FootnoteReference"/>
        </w:rPr>
        <w:footnoteReference w:id="44"/>
      </w:r>
      <w:r w:rsidRPr="0002322E">
        <w:rPr>
          <w:rStyle w:val="AERbody"/>
        </w:rPr>
        <w:t xml:space="preserve"> </w:t>
      </w:r>
      <w:r>
        <w:rPr>
          <w:rStyle w:val="AERbody"/>
        </w:rPr>
        <w:t xml:space="preserve">We have not required an audit of this information previously. Therefore, JGN considered it represents </w:t>
      </w:r>
      <w:r w:rsidRPr="0002322E">
        <w:rPr>
          <w:rStyle w:val="AERbody"/>
        </w:rPr>
        <w:t xml:space="preserve">a </w:t>
      </w:r>
      <w:r>
        <w:rPr>
          <w:rStyle w:val="AERbody"/>
        </w:rPr>
        <w:t>new regulatory obligation</w:t>
      </w:r>
      <w:r w:rsidRPr="0002322E">
        <w:rPr>
          <w:rStyle w:val="AERbody"/>
        </w:rPr>
        <w:t>.</w:t>
      </w:r>
      <w:r>
        <w:rPr>
          <w:rStyle w:val="FootnoteReference"/>
        </w:rPr>
        <w:footnoteReference w:id="45"/>
      </w:r>
      <w:r w:rsidRPr="00A25B1D">
        <w:rPr>
          <w:rStyle w:val="AERbody"/>
        </w:rPr>
        <w:t xml:space="preserve"> </w:t>
      </w:r>
      <w:r>
        <w:rPr>
          <w:rStyle w:val="AERbody"/>
        </w:rPr>
        <w:t>JGN's forecast is based on</w:t>
      </w:r>
      <w:r w:rsidRPr="0002322E">
        <w:rPr>
          <w:rStyle w:val="AERbody"/>
        </w:rPr>
        <w:t xml:space="preserve"> a </w:t>
      </w:r>
      <w:r w:rsidRPr="0002322E">
        <w:rPr>
          <w:rStyle w:val="AERbody"/>
        </w:rPr>
        <w:lastRenderedPageBreak/>
        <w:t xml:space="preserve">quote </w:t>
      </w:r>
      <w:r>
        <w:rPr>
          <w:rStyle w:val="AERbody"/>
        </w:rPr>
        <w:t xml:space="preserve">by KPMG </w:t>
      </w:r>
      <w:r w:rsidRPr="0002322E">
        <w:rPr>
          <w:rStyle w:val="AERbody"/>
        </w:rPr>
        <w:t>to undertake the audit.</w:t>
      </w:r>
      <w:r>
        <w:rPr>
          <w:rStyle w:val="AERbody"/>
        </w:rPr>
        <w:t xml:space="preserve"> We are satisfied that this is a reasonable estimate of the costs of complying with the new obligation. </w:t>
      </w:r>
    </w:p>
    <w:p w:rsidR="00576716" w:rsidRPr="00B47C38" w:rsidRDefault="00576716" w:rsidP="00850C00">
      <w:pPr>
        <w:pStyle w:val="HeadingBoldBlue"/>
        <w:rPr>
          <w:rStyle w:val="Strong"/>
        </w:rPr>
      </w:pPr>
      <w:r w:rsidRPr="00B47C38">
        <w:rPr>
          <w:rStyle w:val="Strong"/>
          <w:b/>
          <w:bCs/>
        </w:rPr>
        <w:t>AEMO B2B harmonisation initiative</w:t>
      </w:r>
    </w:p>
    <w:p w:rsidR="00576716" w:rsidRDefault="00576716" w:rsidP="00576716">
      <w:r>
        <w:rPr>
          <w:rStyle w:val="AERbody"/>
        </w:rPr>
        <w:t xml:space="preserve">We have included a </w:t>
      </w:r>
      <w:r w:rsidRPr="00215D59">
        <w:rPr>
          <w:rStyle w:val="AERbody"/>
        </w:rPr>
        <w:t xml:space="preserve">business to business </w:t>
      </w:r>
      <w:r>
        <w:rPr>
          <w:rStyle w:val="AERbody"/>
        </w:rPr>
        <w:t xml:space="preserve">(B2B) harmonisation step change of $9.4 million ($2014–15) in our alternative opex forecast. We have included it because JGN will incur costs to comply with new obligations which are not accounted for in </w:t>
      </w:r>
      <w:r w:rsidR="00DB6B7E">
        <w:rPr>
          <w:rStyle w:val="AERbody"/>
        </w:rPr>
        <w:t xml:space="preserve">our estimate of </w:t>
      </w:r>
      <w:r>
        <w:rPr>
          <w:rStyle w:val="AERbody"/>
        </w:rPr>
        <w:t xml:space="preserve">base opex or </w:t>
      </w:r>
      <w:r w:rsidR="00DB6B7E">
        <w:rPr>
          <w:rStyle w:val="AERbody"/>
        </w:rPr>
        <w:t xml:space="preserve">the </w:t>
      </w:r>
      <w:r>
        <w:rPr>
          <w:rStyle w:val="AERbody"/>
        </w:rPr>
        <w:t>forecast rate of change.</w:t>
      </w:r>
    </w:p>
    <w:p w:rsidR="00576716" w:rsidRDefault="00576716" w:rsidP="00576716">
      <w:r w:rsidRPr="005D1475">
        <w:t>In its revised proposal, JGN</w:t>
      </w:r>
      <w:r>
        <w:t xml:space="preserve"> included an opex step change in anticipation of an Australian Energy Market Operator (AEMO) decision to change the NSW/ACT retail market procedures (RMP) and gas interface protocol (GIP).</w:t>
      </w:r>
      <w:r>
        <w:rPr>
          <w:rStyle w:val="FootnoteReference"/>
        </w:rPr>
        <w:footnoteReference w:id="46"/>
      </w:r>
      <w:r>
        <w:t xml:space="preserve"> The changes are to harmonise NSW/ACT retail market procedures with those in other jurisdictions.</w:t>
      </w:r>
    </w:p>
    <w:p w:rsidR="000C4A25" w:rsidRPr="006E165C" w:rsidRDefault="000C4A25" w:rsidP="000C4A25">
      <w:r w:rsidRPr="006E165C">
        <w:t>Currently</w:t>
      </w:r>
      <w:r>
        <w:t>,</w:t>
      </w:r>
      <w:r w:rsidRPr="006E165C">
        <w:t xml:space="preserve"> </w:t>
      </w:r>
      <w:r>
        <w:t xml:space="preserve">the </w:t>
      </w:r>
      <w:r w:rsidRPr="006E165C">
        <w:t xml:space="preserve">retail gas market interactions </w:t>
      </w:r>
      <w:r>
        <w:t>between the network service providers, r</w:t>
      </w:r>
      <w:r w:rsidRPr="006E165C">
        <w:t>etailers</w:t>
      </w:r>
      <w:r>
        <w:t xml:space="preserve"> and the market operator in NSW/ACT are different to those operating</w:t>
      </w:r>
      <w:r w:rsidRPr="006E165C">
        <w:t xml:space="preserve"> in Victoria, Queensland and South Australia</w:t>
      </w:r>
      <w:r>
        <w:t>.</w:t>
      </w:r>
      <w:r w:rsidRPr="006E165C">
        <w:t xml:space="preserve"> A technology platform known as the Retail Gas Hub (the Hub) is in place </w:t>
      </w:r>
      <w:r>
        <w:t xml:space="preserve">in Victoria, Queensland and South Australia </w:t>
      </w:r>
      <w:r w:rsidRPr="006E165C">
        <w:t>to facilitate the transactions</w:t>
      </w:r>
      <w:r w:rsidR="00E7721A">
        <w:t xml:space="preserve"> for most of these interactions,</w:t>
      </w:r>
      <w:r w:rsidRPr="006E165C">
        <w:t xml:space="preserve"> </w:t>
      </w:r>
      <w:r w:rsidR="00E7721A">
        <w:t>w</w:t>
      </w:r>
      <w:r>
        <w:t>hereas NSW/ACT use</w:t>
      </w:r>
      <w:r w:rsidR="005167E6">
        <w:t>s</w:t>
      </w:r>
      <w:r w:rsidRPr="006E165C">
        <w:t xml:space="preserve"> </w:t>
      </w:r>
      <w:r>
        <w:t>file transfer protocol</w:t>
      </w:r>
      <w:r w:rsidRPr="006E165C">
        <w:t xml:space="preserve"> to facilitate transactions that are directed to and from the market operator.</w:t>
      </w:r>
    </w:p>
    <w:p w:rsidR="000C4A25" w:rsidRDefault="00C00AF9" w:rsidP="000C4A25">
      <w:r>
        <w:t>In February 2014</w:t>
      </w:r>
      <w:r w:rsidR="000C4A25" w:rsidRPr="006E165C">
        <w:t xml:space="preserve"> </w:t>
      </w:r>
      <w:r w:rsidR="000C4A25">
        <w:t>JGN</w:t>
      </w:r>
      <w:r w:rsidR="000C4A25" w:rsidRPr="006E165C">
        <w:t xml:space="preserve"> announced </w:t>
      </w:r>
      <w:r>
        <w:t>it was replacing</w:t>
      </w:r>
      <w:r w:rsidR="000C4A25" w:rsidRPr="006E165C">
        <w:t xml:space="preserve"> </w:t>
      </w:r>
      <w:r w:rsidR="000C4A25">
        <w:t>its</w:t>
      </w:r>
      <w:r w:rsidR="000C4A25" w:rsidRPr="006E165C">
        <w:t xml:space="preserve"> retail gas systems. </w:t>
      </w:r>
      <w:r>
        <w:t>This</w:t>
      </w:r>
      <w:r w:rsidR="000C4A25">
        <w:t xml:space="preserve"> provided</w:t>
      </w:r>
      <w:r w:rsidR="000C4A25" w:rsidRPr="006E165C">
        <w:t xml:space="preserve"> </w:t>
      </w:r>
      <w:r w:rsidR="000C4A25">
        <w:t xml:space="preserve">AEMO </w:t>
      </w:r>
      <w:r>
        <w:t xml:space="preserve">the opportunity </w:t>
      </w:r>
      <w:r w:rsidR="000C4A25" w:rsidRPr="006E165C">
        <w:t xml:space="preserve">to introduce the same set of B2B standards that are used in </w:t>
      </w:r>
      <w:r w:rsidR="000C4A25">
        <w:t>Victoria</w:t>
      </w:r>
      <w:r w:rsidR="000C4A25" w:rsidRPr="006E165C">
        <w:t xml:space="preserve">, </w:t>
      </w:r>
      <w:r w:rsidR="000C4A25">
        <w:t>Queensland</w:t>
      </w:r>
      <w:r w:rsidR="000C4A25" w:rsidRPr="006E165C">
        <w:t xml:space="preserve"> and </w:t>
      </w:r>
      <w:r w:rsidR="000C4A25">
        <w:t>South Australia</w:t>
      </w:r>
      <w:r w:rsidR="000C4A25" w:rsidRPr="006E165C">
        <w:t xml:space="preserve"> into the NSW/ACT retail gas market.</w:t>
      </w:r>
    </w:p>
    <w:p w:rsidR="00C00AF9" w:rsidRPr="00215D59" w:rsidRDefault="00C00AF9" w:rsidP="00C00AF9">
      <w:pPr>
        <w:rPr>
          <w:rStyle w:val="AERbody"/>
        </w:rPr>
      </w:pPr>
      <w:r w:rsidRPr="00215D59">
        <w:rPr>
          <w:rStyle w:val="AERbody"/>
        </w:rPr>
        <w:t xml:space="preserve">In its revised proposal, JGN included a placeholder estimate </w:t>
      </w:r>
      <w:r>
        <w:rPr>
          <w:rStyle w:val="AERbody"/>
        </w:rPr>
        <w:t>of $11 million ($201</w:t>
      </w:r>
      <w:r w:rsidR="00BD77F6">
        <w:rPr>
          <w:rStyle w:val="AERbody"/>
        </w:rPr>
        <w:t>4–1</w:t>
      </w:r>
      <w:r>
        <w:rPr>
          <w:rStyle w:val="AERbody"/>
        </w:rPr>
        <w:t xml:space="preserve">5) </w:t>
      </w:r>
      <w:r w:rsidRPr="00215D59">
        <w:rPr>
          <w:rStyle w:val="AERbody"/>
        </w:rPr>
        <w:t>based on its assessment of AEMO’s likely position on B2B harmonisation but noted it would update its cost estimates after the AEMO final decision was released.</w:t>
      </w:r>
    </w:p>
    <w:p w:rsidR="00576716" w:rsidRDefault="00576716" w:rsidP="00576716">
      <w:r>
        <w:t>As a result of the B2B harmonisation decision, JGN stated it would be required to:</w:t>
      </w:r>
      <w:r>
        <w:rPr>
          <w:rStyle w:val="FootnoteReference"/>
        </w:rPr>
        <w:footnoteReference w:id="47"/>
      </w:r>
    </w:p>
    <w:p w:rsidR="00576716" w:rsidRDefault="00576716" w:rsidP="00576716">
      <w:pPr>
        <w:pStyle w:val="AERbulletlistfirststyle"/>
      </w:pPr>
      <w:r>
        <w:t xml:space="preserve">implement new IT hardware and software to give effect to the new B2B and B2M procedures, service standards and other regulatory obligations </w:t>
      </w:r>
    </w:p>
    <w:p w:rsidR="00576716" w:rsidRDefault="00576716" w:rsidP="00576716">
      <w:pPr>
        <w:pStyle w:val="AERbulletlistfirststyle"/>
      </w:pPr>
      <w:r>
        <w:t>comply with a number of new service levels for the provision of metering data, special meter reads and service order data</w:t>
      </w:r>
    </w:p>
    <w:p w:rsidR="00576716" w:rsidRDefault="00576716" w:rsidP="00576716">
      <w:pPr>
        <w:pStyle w:val="AERbulletlistfirststyle"/>
      </w:pPr>
      <w:r>
        <w:t>comply with new energisation requirements in NSW</w:t>
      </w:r>
      <w:r w:rsidR="0021061A">
        <w:t>/</w:t>
      </w:r>
      <w:r>
        <w:t xml:space="preserve">ACT for customer initiated connections </w:t>
      </w:r>
    </w:p>
    <w:p w:rsidR="00576716" w:rsidRDefault="00576716" w:rsidP="00576716">
      <w:pPr>
        <w:pStyle w:val="AERbulletlistfirststyle"/>
      </w:pPr>
      <w:r>
        <w:t>comply with other new regulatory obligations in the NSW/ACT RMP.</w:t>
      </w:r>
    </w:p>
    <w:p w:rsidR="00576716" w:rsidRDefault="00576716" w:rsidP="00576716">
      <w:r>
        <w:t xml:space="preserve">The changed service levels </w:t>
      </w:r>
      <w:r w:rsidR="00CB2554">
        <w:t>relate to</w:t>
      </w:r>
      <w:r>
        <w:t>:</w:t>
      </w:r>
    </w:p>
    <w:p w:rsidR="00576716" w:rsidRDefault="00576716" w:rsidP="00576716">
      <w:pPr>
        <w:pStyle w:val="AERbulletlistfirststyle"/>
      </w:pPr>
      <w:r>
        <w:lastRenderedPageBreak/>
        <w:t>the timing of providing AEMO with meter read data, for example, JGN will be required to provide meter read data within 1 to 2 days after the meter read (previously 5 days). JGN provides AEMO with around 6 million meter reads per year.</w:t>
      </w:r>
    </w:p>
    <w:p w:rsidR="00576716" w:rsidRDefault="00576716" w:rsidP="00576716">
      <w:pPr>
        <w:pStyle w:val="AERbulletlistfirststyle"/>
      </w:pPr>
      <w:r>
        <w:t>the timing of providing AEMO with special meter reads, for example, JGN will be required to provide special meter read data within 1 day after the special meter read (previously 5 days). JGN provides AEMO with over 250,000 special meter reads per year</w:t>
      </w:r>
      <w:r w:rsidR="00E7721A">
        <w:t>.</w:t>
      </w:r>
    </w:p>
    <w:p w:rsidR="00576716" w:rsidRDefault="00576716" w:rsidP="00576716">
      <w:pPr>
        <w:pStyle w:val="AERbulletlistfirststyle"/>
      </w:pPr>
      <w:r>
        <w:t>the timing of notifying AEMO of service order completion. JGN will be required to notify AEMO no later than 5 days after the service order was completed (previously there was no timing requirement). JGN notifies AEMO of around 150,000 serv</w:t>
      </w:r>
      <w:r w:rsidR="000D4038">
        <w:t>ice order completions each year</w:t>
      </w:r>
      <w:r w:rsidR="00E7721A">
        <w:t>.</w:t>
      </w:r>
      <w:r>
        <w:t xml:space="preserve"> </w:t>
      </w:r>
    </w:p>
    <w:p w:rsidR="00453F17" w:rsidRDefault="00576716" w:rsidP="00453F17">
      <w:pPr>
        <w:pStyle w:val="AERbulletlistfirststyle"/>
      </w:pPr>
      <w:r>
        <w:t>other miscellaneous changes, for example other changes to the RMP that require data cleansing, process design and ongoing support.</w:t>
      </w:r>
    </w:p>
    <w:p w:rsidR="00576716" w:rsidRPr="009E3ACE" w:rsidRDefault="00576716" w:rsidP="00576716">
      <w:r>
        <w:t>AEMO released its</w:t>
      </w:r>
      <w:r w:rsidRPr="00BF03F0">
        <w:t xml:space="preserve"> f</w:t>
      </w:r>
      <w:r>
        <w:t xml:space="preserve">inal </w:t>
      </w:r>
      <w:r w:rsidRPr="00BF03F0">
        <w:t>decision for NSW/ACT B2B process harmonisation on 27</w:t>
      </w:r>
      <w:r>
        <w:t> </w:t>
      </w:r>
      <w:r w:rsidRPr="00BF03F0">
        <w:t>Feb</w:t>
      </w:r>
      <w:r>
        <w:t>ruary</w:t>
      </w:r>
      <w:r w:rsidRPr="00BF03F0">
        <w:t xml:space="preserve"> </w:t>
      </w:r>
      <w:r>
        <w:t>20</w:t>
      </w:r>
      <w:r w:rsidRPr="00BF03F0">
        <w:t>15</w:t>
      </w:r>
      <w:r>
        <w:t>.</w:t>
      </w:r>
      <w:r>
        <w:rPr>
          <w:rStyle w:val="FootnoteReference"/>
        </w:rPr>
        <w:footnoteReference w:id="48"/>
      </w:r>
      <w:r>
        <w:t xml:space="preserve"> Subsequently, i</w:t>
      </w:r>
      <w:r w:rsidRPr="009E3ACE">
        <w:t>n March 2015, JGN reviewed the cost estimates in its revised proposal of complying with the new obligations. It reduced its opex step change proposal from $11</w:t>
      </w:r>
      <w:r w:rsidR="000632FB">
        <w:t>.0</w:t>
      </w:r>
      <w:r w:rsidR="00C37A6C">
        <w:t xml:space="preserve"> </w:t>
      </w:r>
      <w:r w:rsidRPr="009E3ACE">
        <w:t>million to $9.4 million over the 5 years ($201</w:t>
      </w:r>
      <w:r w:rsidR="00BD77F6">
        <w:t>4–1</w:t>
      </w:r>
      <w:r w:rsidRPr="009E3ACE">
        <w:t>5).</w:t>
      </w:r>
      <w:r w:rsidRPr="009E3ACE">
        <w:rPr>
          <w:rStyle w:val="FootnoteReference"/>
        </w:rPr>
        <w:footnoteReference w:id="49"/>
      </w:r>
    </w:p>
    <w:p w:rsidR="00576716" w:rsidRPr="00BF03F0" w:rsidRDefault="00576716" w:rsidP="00576716">
      <w:r>
        <w:t>We agree that AEMO's decision</w:t>
      </w:r>
      <w:r w:rsidRPr="00BF03F0">
        <w:t xml:space="preserve"> changes the manner in which </w:t>
      </w:r>
      <w:r>
        <w:t>JGN</w:t>
      </w:r>
      <w:r w:rsidRPr="00BF03F0">
        <w:t xml:space="preserve"> must provide B2B and B2M services to network users from April 2016. AEMO noted:</w:t>
      </w:r>
      <w:r>
        <w:rPr>
          <w:rStyle w:val="FootnoteReference"/>
        </w:rPr>
        <w:footnoteReference w:id="50"/>
      </w:r>
    </w:p>
    <w:p w:rsidR="00576716" w:rsidRDefault="00576716" w:rsidP="00576716">
      <w:pPr>
        <w:pStyle w:val="AERquote"/>
      </w:pPr>
      <w:r w:rsidRPr="00BF03F0">
        <w:t>The proposed changes are material. They involve significant changes to the current NSW/ACT B2M transactions and the introduction of standardised B2B transactions. Most of the existing B2B transactions are being retired and replaced with a suit</w:t>
      </w:r>
      <w:r w:rsidR="00C44094">
        <w:t>e</w:t>
      </w:r>
      <w:r w:rsidRPr="00BF03F0">
        <w:t xml:space="preserve"> of transactions used in the other gas retail markets.</w:t>
      </w:r>
    </w:p>
    <w:p w:rsidR="00502EBB" w:rsidRDefault="00576716" w:rsidP="00576716">
      <w:r>
        <w:t xml:space="preserve">We are satisfied that JGN will incur </w:t>
      </w:r>
      <w:r w:rsidR="00B5217D">
        <w:t xml:space="preserve">incremental </w:t>
      </w:r>
      <w:r>
        <w:t xml:space="preserve">opex that is not accounted for in our estimate of opex, to meet the new requirements associated with the AEMO B2B harmonisation decision. </w:t>
      </w:r>
    </w:p>
    <w:p w:rsidR="00502EBB" w:rsidRDefault="00502EBB" w:rsidP="00502EBB">
      <w:r>
        <w:t>Origin Energy submitted that we should</w:t>
      </w:r>
      <w:r w:rsidRPr="00502EBB">
        <w:t xml:space="preserve"> examine the independent cost-benefit analysis prepared by the Nous Group for AEMO’s B2B harmonisation project working group.</w:t>
      </w:r>
      <w:r w:rsidR="006760C0">
        <w:rPr>
          <w:rStyle w:val="FootnoteReference"/>
        </w:rPr>
        <w:footnoteReference w:id="51"/>
      </w:r>
      <w:r w:rsidRPr="00502EBB">
        <w:t xml:space="preserve"> </w:t>
      </w:r>
      <w:r>
        <w:t>Origin</w:t>
      </w:r>
      <w:r w:rsidR="00C44094">
        <w:t xml:space="preserve"> Energy</w:t>
      </w:r>
      <w:r w:rsidRPr="00502EBB">
        <w:t xml:space="preserve"> question</w:t>
      </w:r>
      <w:r>
        <w:t>ed</w:t>
      </w:r>
      <w:r w:rsidRPr="00502EBB">
        <w:t xml:space="preserve"> why JGN </w:t>
      </w:r>
      <w:r>
        <w:t>proposed</w:t>
      </w:r>
      <w:r w:rsidRPr="00502EBB">
        <w:t xml:space="preserve"> </w:t>
      </w:r>
      <w:r>
        <w:t>capex</w:t>
      </w:r>
      <w:r w:rsidRPr="00502EBB">
        <w:t xml:space="preserve"> and </w:t>
      </w:r>
      <w:r>
        <w:t>opex</w:t>
      </w:r>
      <w:r w:rsidRPr="00502EBB">
        <w:t xml:space="preserve"> in excess of the costs submitted to the cost-benefit analysis by the NSW and ACT gas distributors. </w:t>
      </w:r>
      <w:r>
        <w:t xml:space="preserve">Origin </w:t>
      </w:r>
      <w:r>
        <w:lastRenderedPageBreak/>
        <w:t xml:space="preserve">Energy </w:t>
      </w:r>
      <w:r w:rsidR="000E2A46">
        <w:t xml:space="preserve">was </w:t>
      </w:r>
      <w:r>
        <w:t>also concerned that</w:t>
      </w:r>
      <w:r w:rsidR="006760C0">
        <w:t xml:space="preserve"> some additional efficiencies</w:t>
      </w:r>
      <w:r w:rsidRPr="00502EBB">
        <w:t xml:space="preserve"> in distributor systems and processes </w:t>
      </w:r>
      <w:r>
        <w:t>were</w:t>
      </w:r>
      <w:r w:rsidRPr="00502EBB">
        <w:t xml:space="preserve"> not reflected in JGN’s revised proposal</w:t>
      </w:r>
      <w:r w:rsidR="006760C0">
        <w:t>.</w:t>
      </w:r>
      <w:r w:rsidR="006760C0">
        <w:rPr>
          <w:rStyle w:val="FootnoteReference"/>
        </w:rPr>
        <w:footnoteReference w:id="52"/>
      </w:r>
      <w:r>
        <w:t xml:space="preserve"> </w:t>
      </w:r>
    </w:p>
    <w:p w:rsidR="00502EBB" w:rsidRDefault="006760C0" w:rsidP="00576716">
      <w:r>
        <w:t xml:space="preserve">We note that </w:t>
      </w:r>
      <w:r w:rsidR="00502EBB" w:rsidRPr="00502EBB">
        <w:t xml:space="preserve">the changes to B2B and B2M obligations were agreed </w:t>
      </w:r>
      <w:r>
        <w:t xml:space="preserve">in February 2015, </w:t>
      </w:r>
      <w:r w:rsidR="00502EBB" w:rsidRPr="00502EBB">
        <w:t xml:space="preserve">after the Nous Group report was finalised in July 2014. The Nous Group report reflected initial </w:t>
      </w:r>
      <w:r>
        <w:t>submissions before</w:t>
      </w:r>
      <w:r w:rsidR="00502EBB" w:rsidRPr="00502EBB">
        <w:t xml:space="preserve"> the actual scope of the final market obligations</w:t>
      </w:r>
      <w:r>
        <w:t xml:space="preserve"> were</w:t>
      </w:r>
      <w:r w:rsidR="00502EBB" w:rsidRPr="00502EBB">
        <w:t xml:space="preserve"> determined by AEMO</w:t>
      </w:r>
      <w:r>
        <w:t>.</w:t>
      </w:r>
    </w:p>
    <w:p w:rsidR="00576716" w:rsidRDefault="00576716" w:rsidP="00576716">
      <w:r>
        <w:t xml:space="preserve">We are satisfied that the updated costs JGN proposed are </w:t>
      </w:r>
      <w:r w:rsidR="00152011">
        <w:t xml:space="preserve">made on </w:t>
      </w:r>
      <w:r>
        <w:t xml:space="preserve">a reasonable </w:t>
      </w:r>
      <w:r w:rsidR="00152011">
        <w:t xml:space="preserve">basis and represent the best </w:t>
      </w:r>
      <w:r>
        <w:t xml:space="preserve">forecast </w:t>
      </w:r>
      <w:r w:rsidR="00152011">
        <w:t xml:space="preserve">possible in the circumstances </w:t>
      </w:r>
      <w:r>
        <w:t>of the opex it will incur</w:t>
      </w:r>
      <w:r w:rsidR="00CB2554">
        <w:t>.</w:t>
      </w:r>
      <w:r>
        <w:t xml:space="preserve"> </w:t>
      </w:r>
    </w:p>
    <w:p w:rsidR="00CB2554" w:rsidRDefault="00CB2554" w:rsidP="00CB2554">
      <w:bookmarkStart w:id="40" w:name="_Ref418006434"/>
      <w:r>
        <w:t>JGN's proposed meter data provision costs and special reads data delivery cost estimates are:</w:t>
      </w:r>
      <w:r>
        <w:rPr>
          <w:rStyle w:val="FootnoteReference"/>
        </w:rPr>
        <w:footnoteReference w:id="53"/>
      </w:r>
    </w:p>
    <w:p w:rsidR="00CB2554" w:rsidRDefault="000B201A" w:rsidP="00CB2554">
      <w:pPr>
        <w:pStyle w:val="AERbulletlistfirststyle"/>
      </w:pPr>
      <w:r>
        <w:t>M</w:t>
      </w:r>
      <w:r w:rsidR="00CB2554">
        <w:t xml:space="preserve">anagement services: additional FTEs to oversee the scheduling and delivery of meter reads and special meter reads. </w:t>
      </w:r>
    </w:p>
    <w:p w:rsidR="00CB2554" w:rsidRDefault="00CB2554" w:rsidP="00CB2554">
      <w:pPr>
        <w:pStyle w:val="AERbulletlistfirststyle"/>
      </w:pPr>
      <w:r>
        <w:t>Meter reading services: market tenders to renew JGN's meter reading and special</w:t>
      </w:r>
      <w:r w:rsidR="000D4038">
        <w:t xml:space="preserve"> meter reading contracts including</w:t>
      </w:r>
      <w:r>
        <w:t xml:space="preserve"> the cost to comply with the new service levels.</w:t>
      </w:r>
    </w:p>
    <w:p w:rsidR="00CB2554" w:rsidRDefault="00CB2554" w:rsidP="00CB2554">
      <w:pPr>
        <w:pStyle w:val="AERbulletlistfirststyle"/>
      </w:pPr>
      <w:r>
        <w:t>Back office services and support: additional FTE's to provide</w:t>
      </w:r>
      <w:r w:rsidRPr="004B0CFB">
        <w:t xml:space="preserve"> </w:t>
      </w:r>
      <w:r>
        <w:t>additional back office support.</w:t>
      </w:r>
    </w:p>
    <w:p w:rsidR="00CB2554" w:rsidRDefault="00DB6B7E" w:rsidP="00CB2554">
      <w:pPr>
        <w:rPr>
          <w:rStyle w:val="AERbody"/>
        </w:rPr>
      </w:pPr>
      <w:r>
        <w:rPr>
          <w:rStyle w:val="AERbody"/>
        </w:rPr>
        <w:t xml:space="preserve">JGN's meter reading services cost estimates are based on a market tender response for the renewal of JGN's meter reading services contract and includes the cost to hire additional meter readers and schedulers to </w:t>
      </w:r>
      <w:r w:rsidRPr="00C34633">
        <w:rPr>
          <w:rStyle w:val="AERbody"/>
        </w:rPr>
        <w:t>comply with the new service levels.</w:t>
      </w:r>
      <w:r>
        <w:rPr>
          <w:rStyle w:val="AERbody"/>
        </w:rPr>
        <w:t xml:space="preserve"> W</w:t>
      </w:r>
      <w:r w:rsidRPr="00C34633">
        <w:rPr>
          <w:rStyle w:val="AERbody"/>
        </w:rPr>
        <w:t>e consider this is a reasonable estimation method</w:t>
      </w:r>
      <w:r>
        <w:rPr>
          <w:rStyle w:val="AERbody"/>
        </w:rPr>
        <w:t xml:space="preserve">. </w:t>
      </w:r>
      <w:r w:rsidR="00340F26">
        <w:rPr>
          <w:rStyle w:val="AERbody"/>
        </w:rPr>
        <w:t>T</w:t>
      </w:r>
      <w:r w:rsidR="00CB2554" w:rsidRPr="00C34633">
        <w:rPr>
          <w:rStyle w:val="AERbody"/>
        </w:rPr>
        <w:t>he</w:t>
      </w:r>
      <w:r w:rsidR="00340F26">
        <w:rPr>
          <w:rStyle w:val="AERbody"/>
        </w:rPr>
        <w:t xml:space="preserve"> forecast</w:t>
      </w:r>
      <w:r w:rsidR="00CB2554" w:rsidRPr="00C34633">
        <w:rPr>
          <w:rStyle w:val="AERbody"/>
        </w:rPr>
        <w:t xml:space="preserve"> additional staffing requirements</w:t>
      </w:r>
      <w:r w:rsidR="009C3209">
        <w:rPr>
          <w:rStyle w:val="AERbody"/>
        </w:rPr>
        <w:t>,</w:t>
      </w:r>
      <w:r w:rsidR="00CB2554" w:rsidRPr="00C34633">
        <w:rPr>
          <w:rStyle w:val="AERbody"/>
        </w:rPr>
        <w:t xml:space="preserve"> </w:t>
      </w:r>
      <w:r w:rsidR="009C3209">
        <w:rPr>
          <w:rStyle w:val="AERbody"/>
        </w:rPr>
        <w:t xml:space="preserve">for both management services and </w:t>
      </w:r>
      <w:r w:rsidR="00152011">
        <w:rPr>
          <w:rStyle w:val="AERbody"/>
        </w:rPr>
        <w:t xml:space="preserve">back </w:t>
      </w:r>
      <w:r w:rsidR="009C3209">
        <w:rPr>
          <w:rStyle w:val="AERbody"/>
        </w:rPr>
        <w:t xml:space="preserve">office support, </w:t>
      </w:r>
      <w:r w:rsidR="003E785E">
        <w:rPr>
          <w:rStyle w:val="AERbody"/>
        </w:rPr>
        <w:t xml:space="preserve">that </w:t>
      </w:r>
      <w:r w:rsidR="00CB2554" w:rsidRPr="00C34633">
        <w:rPr>
          <w:rStyle w:val="AERbody"/>
        </w:rPr>
        <w:t xml:space="preserve">JGN proposed </w:t>
      </w:r>
      <w:r w:rsidR="003E785E">
        <w:rPr>
          <w:rStyle w:val="AERbody"/>
        </w:rPr>
        <w:t xml:space="preserve">in order </w:t>
      </w:r>
      <w:r w:rsidR="009C3209">
        <w:rPr>
          <w:rStyle w:val="AERbody"/>
        </w:rPr>
        <w:t>to meet the new service standards</w:t>
      </w:r>
      <w:r w:rsidR="00340F26">
        <w:rPr>
          <w:rStyle w:val="AERbody"/>
        </w:rPr>
        <w:t xml:space="preserve"> do not appear excessive. </w:t>
      </w:r>
      <w:r w:rsidR="00CB2554" w:rsidRPr="00C34633">
        <w:rPr>
          <w:rStyle w:val="AERbody"/>
        </w:rPr>
        <w:t xml:space="preserve">We also consider the estimated cost of $100,000 per FTE is reasonable based on current labour rates. </w:t>
      </w:r>
    </w:p>
    <w:p w:rsidR="00FB6999" w:rsidRDefault="00576716">
      <w:pPr>
        <w:spacing w:line="240" w:lineRule="auto"/>
        <w:rPr>
          <w:b/>
          <w:bCs/>
          <w:color w:val="076A92" w:themeColor="text1"/>
          <w:sz w:val="24"/>
          <w:szCs w:val="18"/>
        </w:rPr>
      </w:pPr>
      <w:r>
        <w:t>The opex step change JGN proposed for B2B harmonisation is outlined in</w:t>
      </w:r>
      <w:r w:rsidR="00C44094">
        <w:t xml:space="preserve"> </w:t>
      </w:r>
      <w:r w:rsidR="00C44094">
        <w:fldChar w:fldCharType="begin"/>
      </w:r>
      <w:r w:rsidR="00C44094">
        <w:instrText xml:space="preserve"> REF _Ref418518929 \h </w:instrText>
      </w:r>
      <w:r w:rsidR="00C44094">
        <w:fldChar w:fldCharType="separate"/>
      </w:r>
      <w:r w:rsidR="00FB6999">
        <w:br w:type="page"/>
      </w:r>
    </w:p>
    <w:p w:rsidR="00576716" w:rsidRDefault="00FB6999" w:rsidP="00576716">
      <w:r>
        <w:lastRenderedPageBreak/>
        <w:t xml:space="preserve">Table </w:t>
      </w:r>
      <w:r>
        <w:rPr>
          <w:noProof/>
        </w:rPr>
        <w:t>7</w:t>
      </w:r>
      <w:r>
        <w:t>.</w:t>
      </w:r>
      <w:r>
        <w:rPr>
          <w:noProof/>
        </w:rPr>
        <w:t>6</w:t>
      </w:r>
      <w:r w:rsidR="00C44094">
        <w:fldChar w:fldCharType="end"/>
      </w:r>
      <w:r w:rsidR="00576716">
        <w:t>.</w:t>
      </w:r>
    </w:p>
    <w:p w:rsidR="00AE1B5D" w:rsidRDefault="00AE1B5D">
      <w:pPr>
        <w:spacing w:line="240" w:lineRule="auto"/>
        <w:rPr>
          <w:b/>
          <w:bCs/>
          <w:color w:val="076A92" w:themeColor="text1"/>
          <w:sz w:val="24"/>
          <w:szCs w:val="18"/>
        </w:rPr>
      </w:pPr>
      <w:bookmarkStart w:id="41" w:name="_Ref418518929"/>
      <w:bookmarkEnd w:id="40"/>
      <w:r>
        <w:br w:type="page"/>
      </w:r>
    </w:p>
    <w:p w:rsidR="00576716" w:rsidRDefault="00576716" w:rsidP="00576716">
      <w:pPr>
        <w:pStyle w:val="Caption"/>
      </w:pPr>
      <w:r>
        <w:lastRenderedPageBreak/>
        <w:t xml:space="preserve">Table </w:t>
      </w:r>
      <w:fldSimple w:instr=" STYLEREF 1 \s ">
        <w:r w:rsidR="00FB6999">
          <w:rPr>
            <w:noProof/>
          </w:rPr>
          <w:t>7</w:t>
        </w:r>
      </w:fldSimple>
      <w:r>
        <w:t>.</w:t>
      </w:r>
      <w:fldSimple w:instr=" SEQ Table \* ARABIC \s 1 ">
        <w:r w:rsidR="00FB6999">
          <w:rPr>
            <w:noProof/>
          </w:rPr>
          <w:t>6</w:t>
        </w:r>
      </w:fldSimple>
      <w:bookmarkEnd w:id="41"/>
      <w:r>
        <w:tab/>
        <w:t>B2B harmonisation step change forecast ($ million, 201</w:t>
      </w:r>
      <w:r w:rsidR="00516FAB">
        <w:t>4–1</w:t>
      </w:r>
      <w:r>
        <w:t>5)</w:t>
      </w:r>
    </w:p>
    <w:tbl>
      <w:tblPr>
        <w:tblStyle w:val="AERtable-numbers"/>
        <w:tblW w:w="0" w:type="auto"/>
        <w:tblLook w:val="04A0" w:firstRow="1" w:lastRow="0" w:firstColumn="1" w:lastColumn="0" w:noHBand="0" w:noVBand="1"/>
      </w:tblPr>
      <w:tblGrid>
        <w:gridCol w:w="3085"/>
        <w:gridCol w:w="934"/>
        <w:gridCol w:w="935"/>
        <w:gridCol w:w="935"/>
        <w:gridCol w:w="934"/>
        <w:gridCol w:w="935"/>
        <w:gridCol w:w="935"/>
      </w:tblGrid>
      <w:tr w:rsidR="00576716" w:rsidTr="00252DD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5" w:type="dxa"/>
          </w:tcPr>
          <w:p w:rsidR="00576716" w:rsidRDefault="00576716" w:rsidP="00576716"/>
        </w:tc>
        <w:tc>
          <w:tcPr>
            <w:tcW w:w="934" w:type="dxa"/>
          </w:tcPr>
          <w:p w:rsidR="00576716" w:rsidRPr="00576716" w:rsidRDefault="00576716" w:rsidP="00576716">
            <w:pPr>
              <w:cnfStyle w:val="100000000000" w:firstRow="1" w:lastRow="0" w:firstColumn="0" w:lastColumn="0" w:oddVBand="0" w:evenVBand="0" w:oddHBand="0" w:evenHBand="0" w:firstRowFirstColumn="0" w:firstRowLastColumn="0" w:lastRowFirstColumn="0" w:lastRowLastColumn="0"/>
            </w:pPr>
            <w:r>
              <w:t>2015-16</w:t>
            </w:r>
          </w:p>
        </w:tc>
        <w:tc>
          <w:tcPr>
            <w:tcW w:w="935" w:type="dxa"/>
          </w:tcPr>
          <w:p w:rsidR="00576716" w:rsidRPr="00576716" w:rsidRDefault="00576716" w:rsidP="00576716">
            <w:pPr>
              <w:cnfStyle w:val="100000000000" w:firstRow="1" w:lastRow="0" w:firstColumn="0" w:lastColumn="0" w:oddVBand="0" w:evenVBand="0" w:oddHBand="0" w:evenHBand="0" w:firstRowFirstColumn="0" w:firstRowLastColumn="0" w:lastRowFirstColumn="0" w:lastRowLastColumn="0"/>
            </w:pPr>
            <w:r>
              <w:t>2016-17</w:t>
            </w:r>
          </w:p>
        </w:tc>
        <w:tc>
          <w:tcPr>
            <w:tcW w:w="935" w:type="dxa"/>
          </w:tcPr>
          <w:p w:rsidR="00576716" w:rsidRPr="00576716" w:rsidRDefault="00576716" w:rsidP="00576716">
            <w:pPr>
              <w:cnfStyle w:val="100000000000" w:firstRow="1" w:lastRow="0" w:firstColumn="0" w:lastColumn="0" w:oddVBand="0" w:evenVBand="0" w:oddHBand="0" w:evenHBand="0" w:firstRowFirstColumn="0" w:firstRowLastColumn="0" w:lastRowFirstColumn="0" w:lastRowLastColumn="0"/>
            </w:pPr>
            <w:r>
              <w:t>2017-18</w:t>
            </w:r>
          </w:p>
        </w:tc>
        <w:tc>
          <w:tcPr>
            <w:tcW w:w="934" w:type="dxa"/>
          </w:tcPr>
          <w:p w:rsidR="00576716" w:rsidRPr="00576716" w:rsidRDefault="00576716" w:rsidP="00576716">
            <w:pPr>
              <w:cnfStyle w:val="100000000000" w:firstRow="1" w:lastRow="0" w:firstColumn="0" w:lastColumn="0" w:oddVBand="0" w:evenVBand="0" w:oddHBand="0" w:evenHBand="0" w:firstRowFirstColumn="0" w:firstRowLastColumn="0" w:lastRowFirstColumn="0" w:lastRowLastColumn="0"/>
            </w:pPr>
            <w:r>
              <w:t>2018-19</w:t>
            </w:r>
          </w:p>
        </w:tc>
        <w:tc>
          <w:tcPr>
            <w:tcW w:w="935" w:type="dxa"/>
          </w:tcPr>
          <w:p w:rsidR="00576716" w:rsidRPr="00576716" w:rsidRDefault="00576716" w:rsidP="00576716">
            <w:pPr>
              <w:cnfStyle w:val="100000000000" w:firstRow="1" w:lastRow="0" w:firstColumn="0" w:lastColumn="0" w:oddVBand="0" w:evenVBand="0" w:oddHBand="0" w:evenHBand="0" w:firstRowFirstColumn="0" w:firstRowLastColumn="0" w:lastRowFirstColumn="0" w:lastRowLastColumn="0"/>
            </w:pPr>
            <w:r>
              <w:t>2019-20</w:t>
            </w:r>
          </w:p>
        </w:tc>
        <w:tc>
          <w:tcPr>
            <w:tcW w:w="935" w:type="dxa"/>
          </w:tcPr>
          <w:p w:rsidR="00576716" w:rsidRPr="00576716" w:rsidRDefault="00576716" w:rsidP="00576716">
            <w:pPr>
              <w:cnfStyle w:val="100000000000" w:firstRow="1" w:lastRow="0" w:firstColumn="0" w:lastColumn="0" w:oddVBand="0" w:evenVBand="0" w:oddHBand="0" w:evenHBand="0" w:firstRowFirstColumn="0" w:firstRowLastColumn="0" w:lastRowFirstColumn="0" w:lastRowLastColumn="0"/>
              <w:rPr>
                <w:rStyle w:val="Strong"/>
              </w:rPr>
            </w:pPr>
            <w:r w:rsidRPr="00B154BE">
              <w:rPr>
                <w:rStyle w:val="Strong"/>
              </w:rPr>
              <w:t>Total</w:t>
            </w:r>
          </w:p>
        </w:tc>
      </w:tr>
      <w:tr w:rsidR="00576716" w:rsidTr="00252DD6">
        <w:tc>
          <w:tcPr>
            <w:cnfStyle w:val="001000000000" w:firstRow="0" w:lastRow="0" w:firstColumn="1" w:lastColumn="0" w:oddVBand="0" w:evenVBand="0" w:oddHBand="0" w:evenHBand="0" w:firstRowFirstColumn="0" w:firstRowLastColumn="0" w:lastRowFirstColumn="0" w:lastRowLastColumn="0"/>
            <w:tcW w:w="3085" w:type="dxa"/>
          </w:tcPr>
          <w:p w:rsidR="00576716" w:rsidRPr="00576716" w:rsidRDefault="00576716" w:rsidP="00576716">
            <w:r>
              <w:t>Meter data provision</w:t>
            </w:r>
          </w:p>
        </w:tc>
        <w:tc>
          <w:tcPr>
            <w:tcW w:w="934" w:type="dxa"/>
          </w:tcPr>
          <w:p w:rsidR="00576716" w:rsidRPr="00576716" w:rsidRDefault="00576716" w:rsidP="00576716">
            <w:pPr>
              <w:cnfStyle w:val="000000000000" w:firstRow="0" w:lastRow="0" w:firstColumn="0" w:lastColumn="0" w:oddVBand="0" w:evenVBand="0" w:oddHBand="0" w:evenHBand="0" w:firstRowFirstColumn="0" w:firstRowLastColumn="0" w:lastRowFirstColumn="0" w:lastRowLastColumn="0"/>
            </w:pPr>
            <w:r>
              <w:t>0.23</w:t>
            </w:r>
          </w:p>
        </w:tc>
        <w:tc>
          <w:tcPr>
            <w:tcW w:w="935" w:type="dxa"/>
          </w:tcPr>
          <w:p w:rsidR="00576716" w:rsidRPr="00576716" w:rsidRDefault="00576716" w:rsidP="00576716">
            <w:pPr>
              <w:cnfStyle w:val="000000000000" w:firstRow="0" w:lastRow="0" w:firstColumn="0" w:lastColumn="0" w:oddVBand="0" w:evenVBand="0" w:oddHBand="0" w:evenHBand="0" w:firstRowFirstColumn="0" w:firstRowLastColumn="0" w:lastRowFirstColumn="0" w:lastRowLastColumn="0"/>
            </w:pPr>
            <w:r>
              <w:t>1.08</w:t>
            </w:r>
          </w:p>
        </w:tc>
        <w:tc>
          <w:tcPr>
            <w:tcW w:w="935" w:type="dxa"/>
          </w:tcPr>
          <w:p w:rsidR="00576716" w:rsidRPr="00576716" w:rsidRDefault="00576716" w:rsidP="00576716">
            <w:pPr>
              <w:cnfStyle w:val="000000000000" w:firstRow="0" w:lastRow="0" w:firstColumn="0" w:lastColumn="0" w:oddVBand="0" w:evenVBand="0" w:oddHBand="0" w:evenHBand="0" w:firstRowFirstColumn="0" w:firstRowLastColumn="0" w:lastRowFirstColumn="0" w:lastRowLastColumn="0"/>
            </w:pPr>
            <w:r>
              <w:t>0.97</w:t>
            </w:r>
          </w:p>
        </w:tc>
        <w:tc>
          <w:tcPr>
            <w:tcW w:w="934" w:type="dxa"/>
          </w:tcPr>
          <w:p w:rsidR="00576716" w:rsidRPr="00576716" w:rsidRDefault="00576716" w:rsidP="00576716">
            <w:pPr>
              <w:cnfStyle w:val="000000000000" w:firstRow="0" w:lastRow="0" w:firstColumn="0" w:lastColumn="0" w:oddVBand="0" w:evenVBand="0" w:oddHBand="0" w:evenHBand="0" w:firstRowFirstColumn="0" w:firstRowLastColumn="0" w:lastRowFirstColumn="0" w:lastRowLastColumn="0"/>
            </w:pPr>
            <w:r>
              <w:t>0.97</w:t>
            </w:r>
          </w:p>
        </w:tc>
        <w:tc>
          <w:tcPr>
            <w:tcW w:w="935" w:type="dxa"/>
          </w:tcPr>
          <w:p w:rsidR="00576716" w:rsidRPr="00576716" w:rsidRDefault="00576716" w:rsidP="00576716">
            <w:pPr>
              <w:cnfStyle w:val="000000000000" w:firstRow="0" w:lastRow="0" w:firstColumn="0" w:lastColumn="0" w:oddVBand="0" w:evenVBand="0" w:oddHBand="0" w:evenHBand="0" w:firstRowFirstColumn="0" w:firstRowLastColumn="0" w:lastRowFirstColumn="0" w:lastRowLastColumn="0"/>
            </w:pPr>
            <w:r>
              <w:t>0.97</w:t>
            </w:r>
          </w:p>
        </w:tc>
        <w:tc>
          <w:tcPr>
            <w:tcW w:w="935" w:type="dxa"/>
          </w:tcPr>
          <w:p w:rsidR="00576716" w:rsidRPr="00576716" w:rsidRDefault="00576716" w:rsidP="00576716">
            <w:pPr>
              <w:cnfStyle w:val="000000000000" w:firstRow="0" w:lastRow="0" w:firstColumn="0" w:lastColumn="0" w:oddVBand="0" w:evenVBand="0" w:oddHBand="0" w:evenHBand="0" w:firstRowFirstColumn="0" w:firstRowLastColumn="0" w:lastRowFirstColumn="0" w:lastRowLastColumn="0"/>
              <w:rPr>
                <w:rStyle w:val="Strong"/>
              </w:rPr>
            </w:pPr>
            <w:r w:rsidRPr="00B154BE">
              <w:rPr>
                <w:rStyle w:val="Strong"/>
              </w:rPr>
              <w:t>4.21</w:t>
            </w:r>
          </w:p>
        </w:tc>
      </w:tr>
      <w:tr w:rsidR="00576716" w:rsidTr="00252DD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5" w:type="dxa"/>
          </w:tcPr>
          <w:p w:rsidR="00576716" w:rsidRPr="00576716" w:rsidRDefault="00576716" w:rsidP="00576716">
            <w:r>
              <w:t>Special reads data delivery</w:t>
            </w:r>
          </w:p>
        </w:tc>
        <w:tc>
          <w:tcPr>
            <w:tcW w:w="934" w:type="dxa"/>
          </w:tcPr>
          <w:p w:rsidR="00576716" w:rsidRPr="00576716" w:rsidRDefault="00576716" w:rsidP="00576716">
            <w:pPr>
              <w:cnfStyle w:val="000000010000" w:firstRow="0" w:lastRow="0" w:firstColumn="0" w:lastColumn="0" w:oddVBand="0" w:evenVBand="0" w:oddHBand="0" w:evenHBand="1" w:firstRowFirstColumn="0" w:firstRowLastColumn="0" w:lastRowFirstColumn="0" w:lastRowLastColumn="0"/>
            </w:pPr>
            <w:r>
              <w:t>0.13</w:t>
            </w:r>
          </w:p>
        </w:tc>
        <w:tc>
          <w:tcPr>
            <w:tcW w:w="935" w:type="dxa"/>
          </w:tcPr>
          <w:p w:rsidR="00576716" w:rsidRPr="00576716" w:rsidRDefault="00576716" w:rsidP="00576716">
            <w:pPr>
              <w:cnfStyle w:val="000000010000" w:firstRow="0" w:lastRow="0" w:firstColumn="0" w:lastColumn="0" w:oddVBand="0" w:evenVBand="0" w:oddHBand="0" w:evenHBand="1" w:firstRowFirstColumn="0" w:firstRowLastColumn="0" w:lastRowFirstColumn="0" w:lastRowLastColumn="0"/>
            </w:pPr>
            <w:r>
              <w:t>0.41</w:t>
            </w:r>
          </w:p>
        </w:tc>
        <w:tc>
          <w:tcPr>
            <w:tcW w:w="935" w:type="dxa"/>
          </w:tcPr>
          <w:p w:rsidR="00576716" w:rsidRPr="00576716" w:rsidRDefault="00576716" w:rsidP="00576716">
            <w:pPr>
              <w:cnfStyle w:val="000000010000" w:firstRow="0" w:lastRow="0" w:firstColumn="0" w:lastColumn="0" w:oddVBand="0" w:evenVBand="0" w:oddHBand="0" w:evenHBand="1" w:firstRowFirstColumn="0" w:firstRowLastColumn="0" w:lastRowFirstColumn="0" w:lastRowLastColumn="0"/>
            </w:pPr>
            <w:r>
              <w:t>0.45</w:t>
            </w:r>
          </w:p>
        </w:tc>
        <w:tc>
          <w:tcPr>
            <w:tcW w:w="934" w:type="dxa"/>
          </w:tcPr>
          <w:p w:rsidR="00576716" w:rsidRPr="00576716" w:rsidRDefault="00576716" w:rsidP="00576716">
            <w:pPr>
              <w:cnfStyle w:val="000000010000" w:firstRow="0" w:lastRow="0" w:firstColumn="0" w:lastColumn="0" w:oddVBand="0" w:evenVBand="0" w:oddHBand="0" w:evenHBand="1" w:firstRowFirstColumn="0" w:firstRowLastColumn="0" w:lastRowFirstColumn="0" w:lastRowLastColumn="0"/>
            </w:pPr>
            <w:r>
              <w:t>0.45</w:t>
            </w:r>
          </w:p>
        </w:tc>
        <w:tc>
          <w:tcPr>
            <w:tcW w:w="935" w:type="dxa"/>
          </w:tcPr>
          <w:p w:rsidR="00576716" w:rsidRPr="00576716" w:rsidRDefault="00576716" w:rsidP="00576716">
            <w:pPr>
              <w:cnfStyle w:val="000000010000" w:firstRow="0" w:lastRow="0" w:firstColumn="0" w:lastColumn="0" w:oddVBand="0" w:evenVBand="0" w:oddHBand="0" w:evenHBand="1" w:firstRowFirstColumn="0" w:firstRowLastColumn="0" w:lastRowFirstColumn="0" w:lastRowLastColumn="0"/>
            </w:pPr>
            <w:r>
              <w:t>0.45</w:t>
            </w:r>
          </w:p>
        </w:tc>
        <w:tc>
          <w:tcPr>
            <w:tcW w:w="935" w:type="dxa"/>
          </w:tcPr>
          <w:p w:rsidR="00576716" w:rsidRPr="00576716" w:rsidRDefault="00576716" w:rsidP="00576716">
            <w:pPr>
              <w:cnfStyle w:val="000000010000" w:firstRow="0" w:lastRow="0" w:firstColumn="0" w:lastColumn="0" w:oddVBand="0" w:evenVBand="0" w:oddHBand="0" w:evenHBand="1" w:firstRowFirstColumn="0" w:firstRowLastColumn="0" w:lastRowFirstColumn="0" w:lastRowLastColumn="0"/>
              <w:rPr>
                <w:rStyle w:val="Strong"/>
              </w:rPr>
            </w:pPr>
            <w:r w:rsidRPr="00B154BE">
              <w:rPr>
                <w:rStyle w:val="Strong"/>
              </w:rPr>
              <w:t>1.90</w:t>
            </w:r>
          </w:p>
        </w:tc>
      </w:tr>
      <w:tr w:rsidR="00576716" w:rsidTr="00252DD6">
        <w:tc>
          <w:tcPr>
            <w:cnfStyle w:val="001000000000" w:firstRow="0" w:lastRow="0" w:firstColumn="1" w:lastColumn="0" w:oddVBand="0" w:evenVBand="0" w:oddHBand="0" w:evenHBand="0" w:firstRowFirstColumn="0" w:firstRowLastColumn="0" w:lastRowFirstColumn="0" w:lastRowLastColumn="0"/>
            <w:tcW w:w="3085" w:type="dxa"/>
          </w:tcPr>
          <w:p w:rsidR="00576716" w:rsidRPr="00576716" w:rsidRDefault="00576716" w:rsidP="00576716">
            <w:r>
              <w:t>S</w:t>
            </w:r>
            <w:r w:rsidRPr="00576716">
              <w:t>ervice order completion</w:t>
            </w:r>
          </w:p>
        </w:tc>
        <w:tc>
          <w:tcPr>
            <w:tcW w:w="934" w:type="dxa"/>
          </w:tcPr>
          <w:p w:rsidR="00576716" w:rsidRPr="00576716" w:rsidRDefault="00576716" w:rsidP="00576716">
            <w:pPr>
              <w:cnfStyle w:val="000000000000" w:firstRow="0" w:lastRow="0" w:firstColumn="0" w:lastColumn="0" w:oddVBand="0" w:evenVBand="0" w:oddHBand="0" w:evenHBand="0" w:firstRowFirstColumn="0" w:firstRowLastColumn="0" w:lastRowFirstColumn="0" w:lastRowLastColumn="0"/>
            </w:pPr>
            <w:r>
              <w:t>0.09</w:t>
            </w:r>
          </w:p>
        </w:tc>
        <w:tc>
          <w:tcPr>
            <w:tcW w:w="935" w:type="dxa"/>
          </w:tcPr>
          <w:p w:rsidR="00576716" w:rsidRPr="00576716" w:rsidRDefault="00576716" w:rsidP="00576716">
            <w:pPr>
              <w:cnfStyle w:val="000000000000" w:firstRow="0" w:lastRow="0" w:firstColumn="0" w:lastColumn="0" w:oddVBand="0" w:evenVBand="0" w:oddHBand="0" w:evenHBand="0" w:firstRowFirstColumn="0" w:firstRowLastColumn="0" w:lastRowFirstColumn="0" w:lastRowLastColumn="0"/>
            </w:pPr>
            <w:r>
              <w:t>0.28</w:t>
            </w:r>
          </w:p>
        </w:tc>
        <w:tc>
          <w:tcPr>
            <w:tcW w:w="935" w:type="dxa"/>
          </w:tcPr>
          <w:p w:rsidR="00576716" w:rsidRPr="00576716" w:rsidRDefault="00576716" w:rsidP="00576716">
            <w:pPr>
              <w:cnfStyle w:val="000000000000" w:firstRow="0" w:lastRow="0" w:firstColumn="0" w:lastColumn="0" w:oddVBand="0" w:evenVBand="0" w:oddHBand="0" w:evenHBand="0" w:firstRowFirstColumn="0" w:firstRowLastColumn="0" w:lastRowFirstColumn="0" w:lastRowLastColumn="0"/>
            </w:pPr>
            <w:r>
              <w:t>0.28</w:t>
            </w:r>
          </w:p>
        </w:tc>
        <w:tc>
          <w:tcPr>
            <w:tcW w:w="934" w:type="dxa"/>
          </w:tcPr>
          <w:p w:rsidR="00576716" w:rsidRPr="00576716" w:rsidRDefault="00576716" w:rsidP="00576716">
            <w:pPr>
              <w:cnfStyle w:val="000000000000" w:firstRow="0" w:lastRow="0" w:firstColumn="0" w:lastColumn="0" w:oddVBand="0" w:evenVBand="0" w:oddHBand="0" w:evenHBand="0" w:firstRowFirstColumn="0" w:firstRowLastColumn="0" w:lastRowFirstColumn="0" w:lastRowLastColumn="0"/>
            </w:pPr>
            <w:r>
              <w:t>0.28</w:t>
            </w:r>
          </w:p>
        </w:tc>
        <w:tc>
          <w:tcPr>
            <w:tcW w:w="935" w:type="dxa"/>
          </w:tcPr>
          <w:p w:rsidR="00576716" w:rsidRPr="00576716" w:rsidRDefault="00576716" w:rsidP="00576716">
            <w:pPr>
              <w:cnfStyle w:val="000000000000" w:firstRow="0" w:lastRow="0" w:firstColumn="0" w:lastColumn="0" w:oddVBand="0" w:evenVBand="0" w:oddHBand="0" w:evenHBand="0" w:firstRowFirstColumn="0" w:firstRowLastColumn="0" w:lastRowFirstColumn="0" w:lastRowLastColumn="0"/>
            </w:pPr>
            <w:r>
              <w:t>0.28</w:t>
            </w:r>
          </w:p>
        </w:tc>
        <w:tc>
          <w:tcPr>
            <w:tcW w:w="935" w:type="dxa"/>
          </w:tcPr>
          <w:p w:rsidR="00576716" w:rsidRPr="00576716" w:rsidRDefault="00576716" w:rsidP="00576716">
            <w:pPr>
              <w:cnfStyle w:val="000000000000" w:firstRow="0" w:lastRow="0" w:firstColumn="0" w:lastColumn="0" w:oddVBand="0" w:evenVBand="0" w:oddHBand="0" w:evenHBand="0" w:firstRowFirstColumn="0" w:firstRowLastColumn="0" w:lastRowFirstColumn="0" w:lastRowLastColumn="0"/>
              <w:rPr>
                <w:rStyle w:val="Strong"/>
              </w:rPr>
            </w:pPr>
            <w:r w:rsidRPr="00B154BE">
              <w:rPr>
                <w:rStyle w:val="Strong"/>
              </w:rPr>
              <w:t>1.19</w:t>
            </w:r>
          </w:p>
        </w:tc>
      </w:tr>
      <w:tr w:rsidR="00576716" w:rsidTr="00252DD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5" w:type="dxa"/>
          </w:tcPr>
          <w:p w:rsidR="00576716" w:rsidRPr="00576716" w:rsidRDefault="00576716" w:rsidP="00576716">
            <w:r>
              <w:t xml:space="preserve">Miscellaneous </w:t>
            </w:r>
            <w:r w:rsidRPr="00576716">
              <w:t>service level changes</w:t>
            </w:r>
          </w:p>
        </w:tc>
        <w:tc>
          <w:tcPr>
            <w:tcW w:w="934" w:type="dxa"/>
          </w:tcPr>
          <w:p w:rsidR="00576716" w:rsidRPr="00576716" w:rsidRDefault="00576716" w:rsidP="00576716">
            <w:pPr>
              <w:cnfStyle w:val="000000010000" w:firstRow="0" w:lastRow="0" w:firstColumn="0" w:lastColumn="0" w:oddVBand="0" w:evenVBand="0" w:oddHBand="0" w:evenHBand="1" w:firstRowFirstColumn="0" w:firstRowLastColumn="0" w:lastRowFirstColumn="0" w:lastRowLastColumn="0"/>
            </w:pPr>
            <w:r>
              <w:t>0.33</w:t>
            </w:r>
          </w:p>
        </w:tc>
        <w:tc>
          <w:tcPr>
            <w:tcW w:w="935" w:type="dxa"/>
          </w:tcPr>
          <w:p w:rsidR="00576716" w:rsidRPr="00576716" w:rsidRDefault="00576716" w:rsidP="00576716">
            <w:pPr>
              <w:cnfStyle w:val="000000010000" w:firstRow="0" w:lastRow="0" w:firstColumn="0" w:lastColumn="0" w:oddVBand="0" w:evenVBand="0" w:oddHBand="0" w:evenHBand="1" w:firstRowFirstColumn="0" w:firstRowLastColumn="0" w:lastRowFirstColumn="0" w:lastRowLastColumn="0"/>
            </w:pPr>
            <w:r>
              <w:t>0.45</w:t>
            </w:r>
          </w:p>
        </w:tc>
        <w:tc>
          <w:tcPr>
            <w:tcW w:w="935" w:type="dxa"/>
          </w:tcPr>
          <w:p w:rsidR="00576716" w:rsidRPr="00576716" w:rsidRDefault="00576716" w:rsidP="00576716">
            <w:pPr>
              <w:cnfStyle w:val="000000010000" w:firstRow="0" w:lastRow="0" w:firstColumn="0" w:lastColumn="0" w:oddVBand="0" w:evenVBand="0" w:oddHBand="0" w:evenHBand="1" w:firstRowFirstColumn="0" w:firstRowLastColumn="0" w:lastRowFirstColumn="0" w:lastRowLastColumn="0"/>
            </w:pPr>
            <w:r>
              <w:t>0.45</w:t>
            </w:r>
          </w:p>
        </w:tc>
        <w:tc>
          <w:tcPr>
            <w:tcW w:w="934" w:type="dxa"/>
          </w:tcPr>
          <w:p w:rsidR="00576716" w:rsidRPr="00576716" w:rsidRDefault="00576716" w:rsidP="00576716">
            <w:pPr>
              <w:cnfStyle w:val="000000010000" w:firstRow="0" w:lastRow="0" w:firstColumn="0" w:lastColumn="0" w:oddVBand="0" w:evenVBand="0" w:oddHBand="0" w:evenHBand="1" w:firstRowFirstColumn="0" w:firstRowLastColumn="0" w:lastRowFirstColumn="0" w:lastRowLastColumn="0"/>
            </w:pPr>
            <w:r>
              <w:t>0.45</w:t>
            </w:r>
          </w:p>
        </w:tc>
        <w:tc>
          <w:tcPr>
            <w:tcW w:w="935" w:type="dxa"/>
          </w:tcPr>
          <w:p w:rsidR="00576716" w:rsidRPr="00576716" w:rsidRDefault="00576716" w:rsidP="00576716">
            <w:pPr>
              <w:cnfStyle w:val="000000010000" w:firstRow="0" w:lastRow="0" w:firstColumn="0" w:lastColumn="0" w:oddVBand="0" w:evenVBand="0" w:oddHBand="0" w:evenHBand="1" w:firstRowFirstColumn="0" w:firstRowLastColumn="0" w:lastRowFirstColumn="0" w:lastRowLastColumn="0"/>
            </w:pPr>
            <w:r>
              <w:t>0.45</w:t>
            </w:r>
          </w:p>
        </w:tc>
        <w:tc>
          <w:tcPr>
            <w:tcW w:w="935" w:type="dxa"/>
          </w:tcPr>
          <w:p w:rsidR="00576716" w:rsidRPr="00576716" w:rsidRDefault="00576716" w:rsidP="00576716">
            <w:pPr>
              <w:cnfStyle w:val="000000010000" w:firstRow="0" w:lastRow="0" w:firstColumn="0" w:lastColumn="0" w:oddVBand="0" w:evenVBand="0" w:oddHBand="0" w:evenHBand="1" w:firstRowFirstColumn="0" w:firstRowLastColumn="0" w:lastRowFirstColumn="0" w:lastRowLastColumn="0"/>
              <w:rPr>
                <w:rStyle w:val="Strong"/>
              </w:rPr>
            </w:pPr>
            <w:r w:rsidRPr="00B154BE">
              <w:rPr>
                <w:rStyle w:val="Strong"/>
              </w:rPr>
              <w:t>2.11</w:t>
            </w:r>
          </w:p>
        </w:tc>
      </w:tr>
      <w:tr w:rsidR="00576716" w:rsidRPr="00B154BE" w:rsidTr="00252DD6">
        <w:tc>
          <w:tcPr>
            <w:cnfStyle w:val="001000000000" w:firstRow="0" w:lastRow="0" w:firstColumn="1" w:lastColumn="0" w:oddVBand="0" w:evenVBand="0" w:oddHBand="0" w:evenHBand="0" w:firstRowFirstColumn="0" w:firstRowLastColumn="0" w:lastRowFirstColumn="0" w:lastRowLastColumn="0"/>
            <w:tcW w:w="3085" w:type="dxa"/>
          </w:tcPr>
          <w:p w:rsidR="00576716" w:rsidRPr="00576716" w:rsidRDefault="00576716" w:rsidP="00576716">
            <w:pPr>
              <w:rPr>
                <w:rStyle w:val="Strong"/>
              </w:rPr>
            </w:pPr>
            <w:r w:rsidRPr="00B154BE">
              <w:rPr>
                <w:rStyle w:val="Strong"/>
              </w:rPr>
              <w:t>Total</w:t>
            </w:r>
          </w:p>
        </w:tc>
        <w:tc>
          <w:tcPr>
            <w:tcW w:w="934" w:type="dxa"/>
          </w:tcPr>
          <w:p w:rsidR="00576716" w:rsidRPr="00576716" w:rsidRDefault="00576716" w:rsidP="00576716">
            <w:pPr>
              <w:cnfStyle w:val="000000000000" w:firstRow="0" w:lastRow="0" w:firstColumn="0" w:lastColumn="0" w:oddVBand="0" w:evenVBand="0" w:oddHBand="0" w:evenHBand="0" w:firstRowFirstColumn="0" w:firstRowLastColumn="0" w:lastRowFirstColumn="0" w:lastRowLastColumn="0"/>
              <w:rPr>
                <w:rStyle w:val="Strong"/>
              </w:rPr>
            </w:pPr>
            <w:r w:rsidRPr="00B154BE">
              <w:rPr>
                <w:rStyle w:val="Strong"/>
              </w:rPr>
              <w:t>0.77</w:t>
            </w:r>
          </w:p>
        </w:tc>
        <w:tc>
          <w:tcPr>
            <w:tcW w:w="935" w:type="dxa"/>
          </w:tcPr>
          <w:p w:rsidR="00576716" w:rsidRPr="00576716" w:rsidRDefault="00576716" w:rsidP="00576716">
            <w:pPr>
              <w:cnfStyle w:val="000000000000" w:firstRow="0" w:lastRow="0" w:firstColumn="0" w:lastColumn="0" w:oddVBand="0" w:evenVBand="0" w:oddHBand="0" w:evenHBand="0" w:firstRowFirstColumn="0" w:firstRowLastColumn="0" w:lastRowFirstColumn="0" w:lastRowLastColumn="0"/>
              <w:rPr>
                <w:rStyle w:val="Strong"/>
              </w:rPr>
            </w:pPr>
            <w:r w:rsidRPr="00B154BE">
              <w:rPr>
                <w:rStyle w:val="Strong"/>
              </w:rPr>
              <w:t>2.21</w:t>
            </w:r>
          </w:p>
        </w:tc>
        <w:tc>
          <w:tcPr>
            <w:tcW w:w="935" w:type="dxa"/>
          </w:tcPr>
          <w:p w:rsidR="00576716" w:rsidRPr="00576716" w:rsidRDefault="00576716" w:rsidP="00576716">
            <w:pPr>
              <w:cnfStyle w:val="000000000000" w:firstRow="0" w:lastRow="0" w:firstColumn="0" w:lastColumn="0" w:oddVBand="0" w:evenVBand="0" w:oddHBand="0" w:evenHBand="0" w:firstRowFirstColumn="0" w:firstRowLastColumn="0" w:lastRowFirstColumn="0" w:lastRowLastColumn="0"/>
              <w:rPr>
                <w:rStyle w:val="Strong"/>
              </w:rPr>
            </w:pPr>
            <w:r w:rsidRPr="00B154BE">
              <w:rPr>
                <w:rStyle w:val="Strong"/>
              </w:rPr>
              <w:t>2.14</w:t>
            </w:r>
          </w:p>
        </w:tc>
        <w:tc>
          <w:tcPr>
            <w:tcW w:w="934" w:type="dxa"/>
          </w:tcPr>
          <w:p w:rsidR="00576716" w:rsidRPr="00576716" w:rsidRDefault="00576716" w:rsidP="00576716">
            <w:pPr>
              <w:cnfStyle w:val="000000000000" w:firstRow="0" w:lastRow="0" w:firstColumn="0" w:lastColumn="0" w:oddVBand="0" w:evenVBand="0" w:oddHBand="0" w:evenHBand="0" w:firstRowFirstColumn="0" w:firstRowLastColumn="0" w:lastRowFirstColumn="0" w:lastRowLastColumn="0"/>
              <w:rPr>
                <w:rStyle w:val="Strong"/>
              </w:rPr>
            </w:pPr>
            <w:r w:rsidRPr="00B154BE">
              <w:rPr>
                <w:rStyle w:val="Strong"/>
              </w:rPr>
              <w:t>2.14</w:t>
            </w:r>
          </w:p>
        </w:tc>
        <w:tc>
          <w:tcPr>
            <w:tcW w:w="935" w:type="dxa"/>
          </w:tcPr>
          <w:p w:rsidR="00576716" w:rsidRPr="00576716" w:rsidRDefault="00576716" w:rsidP="00576716">
            <w:pPr>
              <w:cnfStyle w:val="000000000000" w:firstRow="0" w:lastRow="0" w:firstColumn="0" w:lastColumn="0" w:oddVBand="0" w:evenVBand="0" w:oddHBand="0" w:evenHBand="0" w:firstRowFirstColumn="0" w:firstRowLastColumn="0" w:lastRowFirstColumn="0" w:lastRowLastColumn="0"/>
              <w:rPr>
                <w:rStyle w:val="Strong"/>
              </w:rPr>
            </w:pPr>
            <w:r w:rsidRPr="00B154BE">
              <w:rPr>
                <w:rStyle w:val="Strong"/>
              </w:rPr>
              <w:t>2.14</w:t>
            </w:r>
          </w:p>
        </w:tc>
        <w:tc>
          <w:tcPr>
            <w:tcW w:w="935" w:type="dxa"/>
          </w:tcPr>
          <w:p w:rsidR="00576716" w:rsidRPr="00576716" w:rsidRDefault="00576716" w:rsidP="00576716">
            <w:pPr>
              <w:cnfStyle w:val="000000000000" w:firstRow="0" w:lastRow="0" w:firstColumn="0" w:lastColumn="0" w:oddVBand="0" w:evenVBand="0" w:oddHBand="0" w:evenHBand="0" w:firstRowFirstColumn="0" w:firstRowLastColumn="0" w:lastRowFirstColumn="0" w:lastRowLastColumn="0"/>
              <w:rPr>
                <w:rStyle w:val="Strong"/>
              </w:rPr>
            </w:pPr>
            <w:r w:rsidRPr="00B154BE">
              <w:rPr>
                <w:rStyle w:val="Strong"/>
              </w:rPr>
              <w:t>9.42</w:t>
            </w:r>
          </w:p>
        </w:tc>
      </w:tr>
    </w:tbl>
    <w:p w:rsidR="00576716" w:rsidRDefault="00576716" w:rsidP="00576716">
      <w:pPr>
        <w:pStyle w:val="AERtablesource"/>
      </w:pPr>
      <w:r>
        <w:t xml:space="preserve">Source: </w:t>
      </w:r>
      <w:r w:rsidR="008A1D05">
        <w:tab/>
      </w:r>
      <w:r w:rsidRPr="00DB74E1">
        <w:t xml:space="preserve">JGN, </w:t>
      </w:r>
      <w:r w:rsidRPr="009718B5">
        <w:rPr>
          <w:rStyle w:val="AERtextitalic"/>
        </w:rPr>
        <w:t>Access Arrangement Information - Revised proposal, Addendum - B2B harmonisation capex and opex proposal</w:t>
      </w:r>
      <w:r w:rsidRPr="009718B5">
        <w:t>, 17 March 2015</w:t>
      </w:r>
      <w:r>
        <w:t>, pp. 6-7.</w:t>
      </w:r>
    </w:p>
    <w:p w:rsidR="00A56D16" w:rsidRPr="00B47C38" w:rsidRDefault="00A56D16" w:rsidP="00850C00">
      <w:pPr>
        <w:pStyle w:val="HeadingBoldBlue"/>
        <w:rPr>
          <w:rStyle w:val="Strong"/>
          <w:rFonts w:eastAsia="Calibri" w:cs="Times New Roman"/>
          <w:sz w:val="16"/>
          <w:szCs w:val="20"/>
          <w:lang w:eastAsia="en-AU"/>
        </w:rPr>
      </w:pPr>
      <w:r w:rsidRPr="00B47C38">
        <w:rPr>
          <w:rStyle w:val="Strong"/>
          <w:b/>
          <w:bCs/>
        </w:rPr>
        <w:t>Asbestos meter cover removal program</w:t>
      </w:r>
    </w:p>
    <w:p w:rsidR="00C00AF9" w:rsidRDefault="009524E6" w:rsidP="009524E6">
      <w:pPr>
        <w:rPr>
          <w:rStyle w:val="AERbody"/>
        </w:rPr>
      </w:pPr>
      <w:r>
        <w:rPr>
          <w:rStyle w:val="AERbody"/>
        </w:rPr>
        <w:t>We have not included an asbestos meter cover removal program step change in</w:t>
      </w:r>
      <w:r w:rsidR="00940F2E">
        <w:rPr>
          <w:rStyle w:val="AERbody"/>
        </w:rPr>
        <w:t xml:space="preserve"> our alternative opex forecast.</w:t>
      </w:r>
      <w:r w:rsidR="00186BC2">
        <w:rPr>
          <w:rStyle w:val="AERbody"/>
        </w:rPr>
        <w:t xml:space="preserve"> We consider</w:t>
      </w:r>
      <w:r>
        <w:rPr>
          <w:rStyle w:val="AERbody"/>
        </w:rPr>
        <w:t xml:space="preserve"> o</w:t>
      </w:r>
      <w:r w:rsidRPr="00007A44">
        <w:rPr>
          <w:rStyle w:val="AERbody"/>
        </w:rPr>
        <w:t>ur estimate of</w:t>
      </w:r>
      <w:r w:rsidR="00531D11">
        <w:rPr>
          <w:rStyle w:val="AERbody"/>
        </w:rPr>
        <w:t xml:space="preserve"> </w:t>
      </w:r>
      <w:r w:rsidRPr="00007A44">
        <w:rPr>
          <w:rStyle w:val="AERbody"/>
        </w:rPr>
        <w:t xml:space="preserve">opex </w:t>
      </w:r>
      <w:r w:rsidR="00186BC2">
        <w:rPr>
          <w:rStyle w:val="AERbody"/>
        </w:rPr>
        <w:t>already reflects</w:t>
      </w:r>
      <w:r w:rsidR="002156BD">
        <w:rPr>
          <w:rStyle w:val="AERbody"/>
        </w:rPr>
        <w:t xml:space="preserve"> the opex a </w:t>
      </w:r>
      <w:r w:rsidR="004A7A6E" w:rsidRPr="004A7A6E">
        <w:rPr>
          <w:rStyle w:val="AERbody"/>
        </w:rPr>
        <w:t xml:space="preserve">prudent service provider acting efficiently, in accordance with accepted good industry practice, </w:t>
      </w:r>
      <w:r w:rsidR="002156BD">
        <w:rPr>
          <w:rStyle w:val="AERbody"/>
        </w:rPr>
        <w:t xml:space="preserve">would incur </w:t>
      </w:r>
      <w:r w:rsidR="004A7A6E" w:rsidRPr="004A7A6E">
        <w:rPr>
          <w:rStyle w:val="AERbody"/>
        </w:rPr>
        <w:t>to achieve the lowest sustainable cost of delivering pipeline services</w:t>
      </w:r>
      <w:r w:rsidR="00417917">
        <w:rPr>
          <w:rStyle w:val="AERbody"/>
        </w:rPr>
        <w:t>.</w:t>
      </w:r>
    </w:p>
    <w:p w:rsidR="00D92FF9" w:rsidRDefault="009524E6" w:rsidP="009524E6">
      <w:pPr>
        <w:rPr>
          <w:rStyle w:val="AERbody"/>
        </w:rPr>
      </w:pPr>
      <w:r>
        <w:rPr>
          <w:rStyle w:val="AERbody"/>
        </w:rPr>
        <w:t>In its revised proposal, JGN included a step change for a new program to remove asbestos meter covers for $0.97 million ($2014–15).</w:t>
      </w:r>
      <w:r>
        <w:rPr>
          <w:rStyle w:val="FootnoteReference"/>
        </w:rPr>
        <w:footnoteReference w:id="54"/>
      </w:r>
      <w:r>
        <w:rPr>
          <w:rStyle w:val="AERbody"/>
        </w:rPr>
        <w:t xml:space="preserve"> JGN stated that up until the early 1970s, property owners and tenants were able to install a cover for their gas meter made from moulded fibre cement containing asbestos. In 2014 Jemena's health, safety and environment council recommended that the meter covers be removed to protect the safety of its employees who </w:t>
      </w:r>
      <w:r w:rsidR="007D6944">
        <w:rPr>
          <w:rStyle w:val="AERbody"/>
        </w:rPr>
        <w:t>may</w:t>
      </w:r>
      <w:r>
        <w:rPr>
          <w:rStyle w:val="AERbody"/>
        </w:rPr>
        <w:t xml:space="preserve"> be required to lift these covers to perform meter maintenance or meter readings. </w:t>
      </w:r>
    </w:p>
    <w:p w:rsidR="00453F17" w:rsidRDefault="00C00AF9" w:rsidP="009524E6">
      <w:r>
        <w:rPr>
          <w:rStyle w:val="AERbody"/>
        </w:rPr>
        <w:t xml:space="preserve">JGN noted that </w:t>
      </w:r>
      <w:r>
        <w:t xml:space="preserve">the asbestos cover removal program is not driven by a new regulatory obligation and </w:t>
      </w:r>
      <w:r w:rsidR="00D92FF9">
        <w:t xml:space="preserve">it </w:t>
      </w:r>
      <w:r>
        <w:t xml:space="preserve">goes beyond its obligations under the Workplace Health and Safety Act 2011 because the asbestos material is not yet in a friable state. However, </w:t>
      </w:r>
      <w:r w:rsidR="009524E6">
        <w:rPr>
          <w:rStyle w:val="AERbody"/>
        </w:rPr>
        <w:t>JGN stated that eliminating the risk to employees, contractors and customers would be good industry practice and therefore the proposed expenditure would be consistent with the opex criteria.</w:t>
      </w:r>
      <w:r w:rsidR="009524E6">
        <w:rPr>
          <w:rStyle w:val="FootnoteReference"/>
        </w:rPr>
        <w:footnoteReference w:id="55"/>
      </w:r>
      <w:r w:rsidR="001818E7" w:rsidRPr="001818E7">
        <w:t xml:space="preserve"> </w:t>
      </w:r>
      <w:r w:rsidR="001818E7">
        <w:t xml:space="preserve">JGN assessed several </w:t>
      </w:r>
      <w:r w:rsidR="001818E7" w:rsidRPr="00631860">
        <w:t xml:space="preserve">options to </w:t>
      </w:r>
      <w:r w:rsidR="001818E7">
        <w:t>remove and dispose of the asbestos meter covers.</w:t>
      </w:r>
      <w:r w:rsidR="001818E7">
        <w:rPr>
          <w:rStyle w:val="AERbody"/>
        </w:rPr>
        <w:t xml:space="preserve"> </w:t>
      </w:r>
      <w:r w:rsidR="007D6944">
        <w:rPr>
          <w:rStyle w:val="AERbody"/>
        </w:rPr>
        <w:t>It</w:t>
      </w:r>
      <w:r w:rsidR="001818E7">
        <w:rPr>
          <w:rStyle w:val="AERbody"/>
        </w:rPr>
        <w:t xml:space="preserve"> chose the option to remove and dispose of the covers under a large-scale program for free, recovering the </w:t>
      </w:r>
      <w:r w:rsidR="001818E7">
        <w:t>c</w:t>
      </w:r>
      <w:r w:rsidR="001818E7" w:rsidRPr="00C21E15">
        <w:t>osts through network tariffs.</w:t>
      </w:r>
      <w:r w:rsidR="001818E7">
        <w:t xml:space="preserve"> </w:t>
      </w:r>
    </w:p>
    <w:p w:rsidR="00186BC2" w:rsidRDefault="009524E6" w:rsidP="009524E6">
      <w:r>
        <w:lastRenderedPageBreak/>
        <w:t>We acknowledge JGN's proposal to remove asbestos meter covers</w:t>
      </w:r>
      <w:r w:rsidR="00C27329" w:rsidRPr="00C27329">
        <w:t xml:space="preserve"> </w:t>
      </w:r>
      <w:r w:rsidR="00C27329">
        <w:t>may be prudent</w:t>
      </w:r>
      <w:r>
        <w:t xml:space="preserve">, however we consider our total opex forecast would already </w:t>
      </w:r>
      <w:r>
        <w:rPr>
          <w:rStyle w:val="AERbody"/>
        </w:rPr>
        <w:t>provide sufficient funding for JGN to meet the opex criteria</w:t>
      </w:r>
      <w:r>
        <w:t xml:space="preserve">. </w:t>
      </w:r>
    </w:p>
    <w:p w:rsidR="00070524" w:rsidRDefault="00070524" w:rsidP="009524E6">
      <w:r w:rsidRPr="001C1E36">
        <w:t xml:space="preserve">In arriving at our opex forecast, we assess </w:t>
      </w:r>
      <w:r w:rsidR="00531D11">
        <w:t>the total costs that would be</w:t>
      </w:r>
      <w:r w:rsidRPr="001C1E36">
        <w:t xml:space="preserve"> </w:t>
      </w:r>
      <w:r w:rsidR="00531D11">
        <w:rPr>
          <w:rStyle w:val="AERbody"/>
        </w:rPr>
        <w:t xml:space="preserve">incurred by a </w:t>
      </w:r>
      <w:r w:rsidR="00531D11" w:rsidRPr="004A7A6E">
        <w:rPr>
          <w:rStyle w:val="AERbody"/>
        </w:rPr>
        <w:t>prudent service provider acting efficiently, in accordance with accepted good industry practice, to achieve the lowest sustainable cost of delivering pipeline services</w:t>
      </w:r>
      <w:r w:rsidRPr="001C1E36">
        <w:t xml:space="preserve">. </w:t>
      </w:r>
    </w:p>
    <w:p w:rsidR="00A44A29" w:rsidRDefault="00B84402" w:rsidP="00A44A29">
      <w:r>
        <w:t>A</w:t>
      </w:r>
      <w:r w:rsidR="00A44A29">
        <w:t xml:space="preserve">ctual past </w:t>
      </w:r>
      <w:r>
        <w:t>opex</w:t>
      </w:r>
      <w:r w:rsidR="00A44A29">
        <w:t xml:space="preserve">, if efficient, should provide a good indicator of required funding in the future. Opex tends to be stable or recurrent both on a year by year basis and when comparing opex across </w:t>
      </w:r>
      <w:r w:rsidR="00E8218F">
        <w:t>access arrangement</w:t>
      </w:r>
      <w:r w:rsidR="00A44A29">
        <w:t xml:space="preserve"> periods</w:t>
      </w:r>
      <w:r w:rsidR="002B7CE1">
        <w:t xml:space="preserve"> (see </w:t>
      </w:r>
      <w:r w:rsidR="002B7CE1">
        <w:fldChar w:fldCharType="begin"/>
      </w:r>
      <w:r w:rsidR="002B7CE1">
        <w:instrText xml:space="preserve"> REF _Ref417404154 \h </w:instrText>
      </w:r>
      <w:r w:rsidR="002B7CE1">
        <w:fldChar w:fldCharType="separate"/>
      </w:r>
      <w:r w:rsidR="00FB6999">
        <w:t>Figure 7.</w:t>
      </w:r>
      <w:r w:rsidR="00FB6999">
        <w:rPr>
          <w:noProof/>
        </w:rPr>
        <w:t>3</w:t>
      </w:r>
      <w:r w:rsidR="002B7CE1">
        <w:fldChar w:fldCharType="end"/>
      </w:r>
      <w:r w:rsidR="000E2A46">
        <w:t xml:space="preserve"> above</w:t>
      </w:r>
      <w:r w:rsidR="002B7CE1">
        <w:t>)</w:t>
      </w:r>
      <w:r w:rsidR="00A44A29">
        <w:t xml:space="preserve">. </w:t>
      </w:r>
      <w:r w:rsidR="00260AB3" w:rsidRPr="001C1E36">
        <w:t xml:space="preserve">The efficient amount of opex a </w:t>
      </w:r>
      <w:r w:rsidR="00260AB3">
        <w:t xml:space="preserve">prudent </w:t>
      </w:r>
      <w:r w:rsidR="00260AB3" w:rsidRPr="001C1E36">
        <w:t xml:space="preserve">business needs in a year is generally a good indicator of the forecast efficient amount of opex it will need in the next year. </w:t>
      </w:r>
      <w:r w:rsidR="00A44A29">
        <w:t>If a service provider is operating efficiently, there should be few reasons why its forecast opex in a</w:t>
      </w:r>
      <w:r w:rsidR="00E8218F">
        <w:t>n access arrangement</w:t>
      </w:r>
      <w:r w:rsidR="00A44A29">
        <w:t xml:space="preserve"> period should be much different to its past spending in the previous </w:t>
      </w:r>
      <w:r w:rsidR="007D6944">
        <w:t xml:space="preserve">access arrangement </w:t>
      </w:r>
      <w:r w:rsidR="00A44A29">
        <w:t>period.</w:t>
      </w:r>
      <w:r w:rsidR="00A44A29" w:rsidRPr="00BC1337">
        <w:t xml:space="preserve"> </w:t>
      </w:r>
      <w:r w:rsidR="00260AB3" w:rsidRPr="001C1E36">
        <w:t xml:space="preserve">We have determined the base amount of opex we consider would reasonably reflect the opex criteria in </w:t>
      </w:r>
      <w:r w:rsidR="00260AB3">
        <w:rPr>
          <w:rStyle w:val="AERbody"/>
        </w:rPr>
        <w:t xml:space="preserve">section </w:t>
      </w:r>
      <w:r w:rsidR="00260AB3">
        <w:rPr>
          <w:rStyle w:val="AERbody"/>
        </w:rPr>
        <w:fldChar w:fldCharType="begin"/>
      </w:r>
      <w:r w:rsidR="00260AB3">
        <w:rPr>
          <w:rStyle w:val="AERbody"/>
        </w:rPr>
        <w:instrText xml:space="preserve"> REF _Ref418693927 \r \h </w:instrText>
      </w:r>
      <w:r w:rsidR="00260AB3">
        <w:rPr>
          <w:rStyle w:val="AERbody"/>
        </w:rPr>
      </w:r>
      <w:r w:rsidR="00260AB3">
        <w:rPr>
          <w:rStyle w:val="AERbody"/>
        </w:rPr>
        <w:fldChar w:fldCharType="separate"/>
      </w:r>
      <w:r w:rsidR="00FB6999">
        <w:rPr>
          <w:rStyle w:val="AERbody"/>
        </w:rPr>
        <w:t>7.4.1</w:t>
      </w:r>
      <w:r w:rsidR="00260AB3">
        <w:rPr>
          <w:rStyle w:val="AERbody"/>
        </w:rPr>
        <w:fldChar w:fldCharType="end"/>
      </w:r>
      <w:r w:rsidR="00260AB3" w:rsidRPr="001C1E36">
        <w:rPr>
          <w:rStyle w:val="AERbody"/>
        </w:rPr>
        <w:t>.</w:t>
      </w:r>
    </w:p>
    <w:p w:rsidR="00531D11" w:rsidRDefault="00531D11" w:rsidP="00A44A29">
      <w:r>
        <w:t>We consider managing asbestos risk is a business-as-usual cost for JGN.  It is not driven by new external obligations but rather it involves a decision about how best to allocate spending from year to year to achieve existing obligations.</w:t>
      </w:r>
    </w:p>
    <w:p w:rsidR="00A44A29" w:rsidRDefault="00050214" w:rsidP="00A44A29">
      <w:r>
        <w:t>S</w:t>
      </w:r>
      <w:r w:rsidR="00A44A29">
        <w:t xml:space="preserve">ome types of projects and programs of expenditure a service provider undertakes will differ between years and between </w:t>
      </w:r>
      <w:r w:rsidR="00E8218F">
        <w:t>access arrangement</w:t>
      </w:r>
      <w:r w:rsidR="00A44A29">
        <w:t xml:space="preserve"> periods. However, we do not consider </w:t>
      </w:r>
      <w:r w:rsidR="00CA061D">
        <w:t>an increase in one</w:t>
      </w:r>
      <w:r w:rsidR="00A44A29">
        <w:t xml:space="preserve"> program is a reason to increase the revenue </w:t>
      </w:r>
      <w:r>
        <w:t>JGN</w:t>
      </w:r>
      <w:r w:rsidR="00A44A29">
        <w:t xml:space="preserve"> can recover from gas pipeline consumers. What matters is whether the cost of </w:t>
      </w:r>
      <w:r w:rsidR="00CA061D">
        <w:t>this</w:t>
      </w:r>
      <w:r w:rsidR="00A44A29">
        <w:t xml:space="preserve"> program is likely to affect</w:t>
      </w:r>
      <w:r w:rsidR="00B84402">
        <w:t xml:space="preserve"> our views on</w:t>
      </w:r>
      <w:r w:rsidR="00A44A29">
        <w:t xml:space="preserve"> the total</w:t>
      </w:r>
      <w:r w:rsidR="00B84402">
        <w:t xml:space="preserve"> forecast</w:t>
      </w:r>
      <w:r w:rsidR="00A44A29">
        <w:t xml:space="preserve"> opex </w:t>
      </w:r>
      <w:r w:rsidR="00B84402">
        <w:t xml:space="preserve">we consider </w:t>
      </w:r>
      <w:r w:rsidR="00A44A29">
        <w:t xml:space="preserve">a prudent service provider would require </w:t>
      </w:r>
      <w:r w:rsidR="00260AB3" w:rsidRPr="004A7A6E">
        <w:rPr>
          <w:rStyle w:val="AERbody"/>
        </w:rPr>
        <w:t>acting efficiently, in accordance with accepted good industry practice</w:t>
      </w:r>
      <w:r w:rsidR="00260AB3">
        <w:rPr>
          <w:rStyle w:val="AERbody"/>
        </w:rPr>
        <w:t xml:space="preserve"> </w:t>
      </w:r>
      <w:r w:rsidR="00260AB3" w:rsidRPr="004A7A6E">
        <w:rPr>
          <w:rStyle w:val="AERbody"/>
        </w:rPr>
        <w:t>to achieve the lowest sustainable cost of delivering pipeline services</w:t>
      </w:r>
      <w:r w:rsidR="00A44A29">
        <w:t>.</w:t>
      </w:r>
      <w:r w:rsidR="00A44A29" w:rsidRPr="00BC1337">
        <w:t xml:space="preserve"> </w:t>
      </w:r>
    </w:p>
    <w:p w:rsidR="009524E6" w:rsidRDefault="00070524" w:rsidP="009524E6">
      <w:r>
        <w:t>JGN</w:t>
      </w:r>
      <w:r w:rsidRPr="001C1E36">
        <w:t xml:space="preserve"> may need to change the programs it undertakes from year to year to respond to emerging risks</w:t>
      </w:r>
      <w:r w:rsidR="00B84402">
        <w:t>.</w:t>
      </w:r>
      <w:r w:rsidR="00CA061D">
        <w:t xml:space="preserve"> </w:t>
      </w:r>
      <w:r w:rsidR="00B84402">
        <w:t>A</w:t>
      </w:r>
      <w:r w:rsidR="00CA061D">
        <w:t>s discussed above</w:t>
      </w:r>
      <w:r>
        <w:t xml:space="preserve"> a</w:t>
      </w:r>
      <w:r w:rsidR="00A44A29">
        <w:t xml:space="preserve"> new program or project may, in isolation, be prudent. However, </w:t>
      </w:r>
      <w:r w:rsidR="00CA061D">
        <w:t>a</w:t>
      </w:r>
      <w:r w:rsidR="00C27329" w:rsidRPr="001C1E36">
        <w:t xml:space="preserve">t the same time as some priorities emerge, others will fall away. </w:t>
      </w:r>
      <w:r>
        <w:t xml:space="preserve">New programs and projects can often be funded as the cost of other programs and projects in the base year decline. </w:t>
      </w:r>
      <w:r w:rsidR="008D0457">
        <w:t xml:space="preserve">As the proposed cost of the asbestos meter cover removal program is </w:t>
      </w:r>
      <w:r w:rsidR="0013226C">
        <w:t>relative</w:t>
      </w:r>
      <w:r w:rsidR="00B56556">
        <w:t>ly</w:t>
      </w:r>
      <w:r w:rsidR="0013226C">
        <w:t xml:space="preserve"> </w:t>
      </w:r>
      <w:r w:rsidR="008D0457">
        <w:t xml:space="preserve">immaterial compared to JGN's total opex forecast, </w:t>
      </w:r>
      <w:r w:rsidR="00CB5838">
        <w:t>(</w:t>
      </w:r>
      <w:r w:rsidR="008D0457">
        <w:t>0.1 per cent</w:t>
      </w:r>
      <w:r w:rsidR="00CB5838">
        <w:t xml:space="preserve"> of total opex)</w:t>
      </w:r>
      <w:r w:rsidR="008D0457">
        <w:t>,</w:t>
      </w:r>
      <w:r w:rsidR="008D0457" w:rsidRPr="008D0457">
        <w:t xml:space="preserve"> </w:t>
      </w:r>
      <w:r w:rsidR="008D0457">
        <w:t>w</w:t>
      </w:r>
      <w:r w:rsidR="008D0457" w:rsidRPr="001C1E36">
        <w:t xml:space="preserve">e expect </w:t>
      </w:r>
      <w:r w:rsidR="008D0457">
        <w:t>the</w:t>
      </w:r>
      <w:r w:rsidR="008D0457" w:rsidRPr="001C1E36">
        <w:t xml:space="preserve"> expenditure would be met through adjustments in other programs.</w:t>
      </w:r>
      <w:r w:rsidR="003E785E">
        <w:t xml:space="preserve"> </w:t>
      </w:r>
      <w:r w:rsidR="009C52E3">
        <w:t xml:space="preserve">We are not </w:t>
      </w:r>
      <w:r w:rsidR="00D92FF9">
        <w:t xml:space="preserve">satisfied </w:t>
      </w:r>
      <w:r w:rsidR="009C52E3">
        <w:t>that JGN</w:t>
      </w:r>
      <w:r w:rsidR="001818E7">
        <w:t xml:space="preserve"> would need an increase in the total amount of funding that it can recover from its consumers</w:t>
      </w:r>
      <w:r w:rsidR="00186BC2">
        <w:t xml:space="preserve"> in the 2015–20 access arrangement period</w:t>
      </w:r>
      <w:r w:rsidR="009C52E3">
        <w:t xml:space="preserve"> because one program</w:t>
      </w:r>
      <w:r w:rsidR="005E0A3B">
        <w:t xml:space="preserve"> it may undertake</w:t>
      </w:r>
      <w:r w:rsidR="009C52E3">
        <w:t xml:space="preserve"> is different to </w:t>
      </w:r>
      <w:r w:rsidR="00C27329">
        <w:t>the projects</w:t>
      </w:r>
      <w:r w:rsidR="009C52E3">
        <w:t xml:space="preserve"> it undertook in the base year</w:t>
      </w:r>
      <w:r w:rsidR="001818E7">
        <w:t xml:space="preserve">. </w:t>
      </w:r>
    </w:p>
    <w:p w:rsidR="00B27E98" w:rsidRDefault="00E82929" w:rsidP="00B27E98">
      <w:pPr>
        <w:pStyle w:val="Heading3"/>
      </w:pPr>
      <w:bookmarkStart w:id="42" w:name="_Toc420325033"/>
      <w:r>
        <w:t>Category-specific forecasts</w:t>
      </w:r>
      <w:bookmarkEnd w:id="42"/>
    </w:p>
    <w:p w:rsidR="00CA2634" w:rsidRDefault="00CA2634" w:rsidP="00CA2634">
      <w:pPr>
        <w:numPr>
          <w:ilvl w:val="0"/>
          <w:numId w:val="25"/>
        </w:numPr>
      </w:pPr>
      <w:r>
        <w:t>JGN proposed category-specific forecasts</w:t>
      </w:r>
      <w:r w:rsidRPr="00201C73">
        <w:t xml:space="preserve"> </w:t>
      </w:r>
      <w:r>
        <w:t>f</w:t>
      </w:r>
      <w:r w:rsidRPr="00201C73">
        <w:t xml:space="preserve">or four </w:t>
      </w:r>
      <w:r>
        <w:t xml:space="preserve">opex </w:t>
      </w:r>
      <w:r w:rsidRPr="00201C73">
        <w:t>cost categories</w:t>
      </w:r>
      <w:r>
        <w:t xml:space="preserve">: </w:t>
      </w:r>
    </w:p>
    <w:p w:rsidR="00CA2634" w:rsidRDefault="00CA2634" w:rsidP="00CA2634">
      <w:pPr>
        <w:pStyle w:val="AERbulletlistfirststyle"/>
      </w:pPr>
      <w:r>
        <w:t>government levies</w:t>
      </w:r>
    </w:p>
    <w:p w:rsidR="00CA2634" w:rsidRDefault="00CA2634" w:rsidP="00CA2634">
      <w:pPr>
        <w:pStyle w:val="AERbulletlistfirststyle"/>
      </w:pPr>
      <w:r>
        <w:t>unaccounted for gas</w:t>
      </w:r>
      <w:r w:rsidR="004807A3">
        <w:t xml:space="preserve"> (UAG)</w:t>
      </w:r>
    </w:p>
    <w:p w:rsidR="00CA2634" w:rsidRDefault="00CA2634" w:rsidP="00CA2634">
      <w:pPr>
        <w:pStyle w:val="AERbulletlistfirststyle"/>
      </w:pPr>
      <w:r>
        <w:t>carbon costs</w:t>
      </w:r>
    </w:p>
    <w:p w:rsidR="00CA2634" w:rsidRDefault="00CA2634" w:rsidP="00CA2634">
      <w:pPr>
        <w:pStyle w:val="AERbulletlistfirststyle"/>
      </w:pPr>
      <w:r>
        <w:lastRenderedPageBreak/>
        <w:t>debt raising costs</w:t>
      </w:r>
      <w:r w:rsidR="00F6076A">
        <w:t>.</w:t>
      </w:r>
    </w:p>
    <w:p w:rsidR="00715D08" w:rsidRDefault="00E82929" w:rsidP="00CA2634">
      <w:pPr>
        <w:numPr>
          <w:ilvl w:val="0"/>
          <w:numId w:val="25"/>
        </w:numPr>
      </w:pPr>
      <w:r>
        <w:t>In our draft decision, we included JGN's for</w:t>
      </w:r>
      <w:r w:rsidR="00905A5E">
        <w:t>ecast for government levies and UAG in our forecast. We adjusted JGN's carbon cost forecast following the removal of the carbon tax. The residual amount reflected the auditing costs JGN incurs in reporting its assumed fugitive emissions u</w:t>
      </w:r>
      <w:r w:rsidR="00905A5E" w:rsidRPr="00905A5E">
        <w:t xml:space="preserve">nder the </w:t>
      </w:r>
      <w:r w:rsidR="00905A5E" w:rsidRPr="00905A5E">
        <w:rPr>
          <w:rStyle w:val="AERtextitalic"/>
        </w:rPr>
        <w:t>National Greenhouse and Energy Reporting Act</w:t>
      </w:r>
      <w:r w:rsidR="00B65750">
        <w:rPr>
          <w:rStyle w:val="AERtextitalic"/>
        </w:rPr>
        <w:t xml:space="preserve"> 2007</w:t>
      </w:r>
      <w:r w:rsidR="004807A3">
        <w:t xml:space="preserve">. </w:t>
      </w:r>
      <w:r w:rsidR="00715D08">
        <w:t xml:space="preserve">We noted in our draft decision that our forecast of UAG </w:t>
      </w:r>
      <w:r w:rsidR="00D45C51">
        <w:t>reflected</w:t>
      </w:r>
      <w:r w:rsidR="00715D08">
        <w:t xml:space="preserve"> JGN's demand forecasts. We stated we would update our UAG forecast to reflect our final decision</w:t>
      </w:r>
      <w:r w:rsidR="0013226C">
        <w:t xml:space="preserve"> on demand</w:t>
      </w:r>
      <w:r w:rsidR="00F6076A">
        <w:t>.</w:t>
      </w:r>
    </w:p>
    <w:p w:rsidR="00CA2634" w:rsidRDefault="004807A3" w:rsidP="00CA2634">
      <w:pPr>
        <w:numPr>
          <w:ilvl w:val="0"/>
          <w:numId w:val="25"/>
        </w:numPr>
      </w:pPr>
      <w:r>
        <w:t xml:space="preserve">While we typically do not use a category-specific forecasting approach, government levies, UAG and carbon costs are all subject to a true-up through the tariff variation mechanism. Therefore, to be consistent with this mechanism, </w:t>
      </w:r>
      <w:r w:rsidR="00A72D03">
        <w:t>it is most appropriate to</w:t>
      </w:r>
      <w:r>
        <w:t xml:space="preserve"> adopt a category-specific approach.</w:t>
      </w:r>
    </w:p>
    <w:p w:rsidR="00905A5E" w:rsidRDefault="00905A5E" w:rsidP="00CA2634">
      <w:pPr>
        <w:numPr>
          <w:ilvl w:val="0"/>
          <w:numId w:val="25"/>
        </w:numPr>
      </w:pPr>
      <w:r>
        <w:t xml:space="preserve">In its revised proposal, JGN updated its forecast of carbon costs and government levies </w:t>
      </w:r>
      <w:r w:rsidR="00A64EC9">
        <w:t>to reflect</w:t>
      </w:r>
      <w:r w:rsidR="00365A30">
        <w:t xml:space="preserve"> the</w:t>
      </w:r>
      <w:r w:rsidR="00A64EC9">
        <w:t xml:space="preserve"> </w:t>
      </w:r>
      <w:r>
        <w:t xml:space="preserve">actual opex it incurred on </w:t>
      </w:r>
      <w:r w:rsidR="00A64EC9">
        <w:t>these costs</w:t>
      </w:r>
      <w:r>
        <w:t xml:space="preserve"> in 2013–14. </w:t>
      </w:r>
      <w:r w:rsidR="00A64EC9">
        <w:t xml:space="preserve">We consider this to be a reasonable forecasting approach so </w:t>
      </w:r>
      <w:r w:rsidR="00A72D03">
        <w:t xml:space="preserve">we </w:t>
      </w:r>
      <w:r w:rsidR="00A64EC9">
        <w:t xml:space="preserve">have included JGN's updated forecasts in </w:t>
      </w:r>
      <w:r w:rsidR="00365A30">
        <w:t>our revised forecast</w:t>
      </w:r>
      <w:r w:rsidR="00CB2554">
        <w:t>.</w:t>
      </w:r>
    </w:p>
    <w:p w:rsidR="00D45C51" w:rsidRDefault="0013226C" w:rsidP="005D7918">
      <w:pPr>
        <w:pStyle w:val="ListParagraph"/>
        <w:numPr>
          <w:ilvl w:val="0"/>
          <w:numId w:val="25"/>
        </w:numPr>
        <w:rPr>
          <w:rStyle w:val="AERbody"/>
        </w:rPr>
      </w:pPr>
      <w:r w:rsidRPr="0013226C">
        <w:t xml:space="preserve">UAG refers to any gas lost or unaccounted for while it is in JGN's custody. It is calculated as the difference between the measured quantity of gas entering the network system (receipts) and metered gas deliveries (withdrawals). </w:t>
      </w:r>
      <w:r w:rsidRPr="0013226C">
        <w:rPr>
          <w:rStyle w:val="AERbody"/>
        </w:rPr>
        <w:t>JGN is required to replace any unaccounted for gas, which it buys through a competitive tender process.</w:t>
      </w:r>
      <w:r w:rsidRPr="0013226C">
        <w:rPr>
          <w:rStyle w:val="FootnoteReference"/>
        </w:rPr>
        <w:footnoteReference w:id="56"/>
      </w:r>
      <w:r w:rsidRPr="0013226C">
        <w:rPr>
          <w:rStyle w:val="AERbody"/>
        </w:rPr>
        <w:t xml:space="preserve"> </w:t>
      </w:r>
      <w:r w:rsidR="00D45C51">
        <w:rPr>
          <w:rStyle w:val="AERbody"/>
        </w:rPr>
        <w:t xml:space="preserve">JGN </w:t>
      </w:r>
      <w:r>
        <w:rPr>
          <w:rStyle w:val="AERbody"/>
        </w:rPr>
        <w:t xml:space="preserve">forecast UAG based on the </w:t>
      </w:r>
      <w:r w:rsidR="00D45C51">
        <w:rPr>
          <w:rStyle w:val="AERbody"/>
        </w:rPr>
        <w:t xml:space="preserve">product of: </w:t>
      </w:r>
    </w:p>
    <w:p w:rsidR="00D45C51" w:rsidRPr="00091CF6" w:rsidRDefault="00D45C51" w:rsidP="00D45C51">
      <w:pPr>
        <w:pStyle w:val="AERbulletlistfirststyle"/>
        <w:rPr>
          <w:rStyle w:val="AERbody"/>
        </w:rPr>
      </w:pPr>
      <w:r>
        <w:rPr>
          <w:rStyle w:val="AERbody"/>
        </w:rPr>
        <w:t xml:space="preserve">the approved target rate </w:t>
      </w:r>
      <w:r w:rsidR="00B5217D">
        <w:rPr>
          <w:rStyle w:val="AERbody"/>
        </w:rPr>
        <w:t xml:space="preserve">(loss rate) </w:t>
      </w:r>
      <w:r>
        <w:rPr>
          <w:rStyle w:val="AERbody"/>
        </w:rPr>
        <w:t xml:space="preserve">of UAG </w:t>
      </w:r>
    </w:p>
    <w:p w:rsidR="00D45C51" w:rsidRPr="00091CF6" w:rsidRDefault="00D45C51" w:rsidP="00D45C51">
      <w:pPr>
        <w:pStyle w:val="AERbulletlistfirststyle"/>
        <w:rPr>
          <w:rStyle w:val="AERbody"/>
        </w:rPr>
      </w:pPr>
      <w:r>
        <w:rPr>
          <w:rStyle w:val="AERbody"/>
        </w:rPr>
        <w:t xml:space="preserve">total gas receipts (or demand) </w:t>
      </w:r>
    </w:p>
    <w:p w:rsidR="00D45C51" w:rsidRPr="00091CF6" w:rsidRDefault="00D45C51" w:rsidP="00D45C51">
      <w:pPr>
        <w:pStyle w:val="AERbulletlistfirststyle"/>
        <w:rPr>
          <w:rStyle w:val="AERbody"/>
        </w:rPr>
      </w:pPr>
      <w:r>
        <w:rPr>
          <w:rStyle w:val="AERbody"/>
        </w:rPr>
        <w:t xml:space="preserve">the cost of replacement gas.  </w:t>
      </w:r>
    </w:p>
    <w:p w:rsidR="00D45C51" w:rsidRDefault="00D45C51" w:rsidP="00D45C51">
      <w:pPr>
        <w:numPr>
          <w:ilvl w:val="0"/>
          <w:numId w:val="25"/>
        </w:numPr>
      </w:pPr>
      <w:r>
        <w:t xml:space="preserve">JGN updated its UAG forecast in its revised proposal to reflect: </w:t>
      </w:r>
    </w:p>
    <w:p w:rsidR="00D45C51" w:rsidRDefault="00D45C51" w:rsidP="00D45C51">
      <w:pPr>
        <w:pStyle w:val="AERbulletlistfirststyle"/>
      </w:pPr>
      <w:r>
        <w:t xml:space="preserve">its updated </w:t>
      </w:r>
      <w:r w:rsidRPr="0088264D">
        <w:t>forecast of wholesale gas prices</w:t>
      </w:r>
      <w:r>
        <w:t xml:space="preserve"> based on its recent competitive tender for UAG </w:t>
      </w:r>
    </w:p>
    <w:p w:rsidR="00D45C51" w:rsidRDefault="00D45C51" w:rsidP="00D45C51">
      <w:pPr>
        <w:pStyle w:val="AERbulletlistfirststyle"/>
      </w:pPr>
      <w:r>
        <w:t>its most recent demand forecast.</w:t>
      </w:r>
      <w:r>
        <w:rPr>
          <w:rStyle w:val="FootnoteReference"/>
        </w:rPr>
        <w:footnoteReference w:id="57"/>
      </w:r>
      <w:r w:rsidRPr="0088264D">
        <w:t xml:space="preserve"> </w:t>
      </w:r>
    </w:p>
    <w:p w:rsidR="00D45C51" w:rsidRDefault="00621576" w:rsidP="00D45C51">
      <w:r>
        <w:t>In our draft decision w</w:t>
      </w:r>
      <w:r w:rsidR="00D45C51">
        <w:t>e consider</w:t>
      </w:r>
      <w:r>
        <w:t>ed</w:t>
      </w:r>
      <w:r w:rsidR="00D45C51">
        <w:t xml:space="preserve"> JGN's forecast </w:t>
      </w:r>
      <w:r w:rsidR="00A635EE">
        <w:t>was</w:t>
      </w:r>
      <w:r w:rsidR="00D45C51">
        <w:t xml:space="preserve"> based on reasonable assumptions regarding the approved target rate of UAG and the cost of replacement gas.</w:t>
      </w:r>
      <w:r>
        <w:rPr>
          <w:rStyle w:val="FootnoteReference"/>
        </w:rPr>
        <w:footnoteReference w:id="58"/>
      </w:r>
      <w:r w:rsidR="00D45C51">
        <w:t xml:space="preserve"> However, we consider</w:t>
      </w:r>
      <w:r>
        <w:t>ed</w:t>
      </w:r>
      <w:r w:rsidR="00D45C51">
        <w:t xml:space="preserve"> JGN's assumption regarding total gas receipts, or demand, </w:t>
      </w:r>
      <w:r>
        <w:t>was</w:t>
      </w:r>
      <w:r w:rsidR="00D45C51">
        <w:t xml:space="preserve"> too low.</w:t>
      </w:r>
      <w:r w:rsidR="00D45C51">
        <w:rPr>
          <w:rStyle w:val="FootnoteReference"/>
        </w:rPr>
        <w:footnoteReference w:id="59"/>
      </w:r>
      <w:r w:rsidR="00D45C51">
        <w:t xml:space="preserve"> </w:t>
      </w:r>
    </w:p>
    <w:p w:rsidR="00D45C51" w:rsidRDefault="00D45C51" w:rsidP="00D45C51">
      <w:r>
        <w:lastRenderedPageBreak/>
        <w:t>The final UAG forecast we</w:t>
      </w:r>
      <w:r w:rsidR="00A72D03">
        <w:t xml:space="preserve"> have</w:t>
      </w:r>
      <w:r>
        <w:t xml:space="preserve"> include</w:t>
      </w:r>
      <w:r w:rsidR="00621576">
        <w:t>d</w:t>
      </w:r>
      <w:r>
        <w:t xml:space="preserve"> in our opex forecast reflects </w:t>
      </w:r>
      <w:r w:rsidR="00A72D03">
        <w:t xml:space="preserve">our approved </w:t>
      </w:r>
      <w:r>
        <w:t xml:space="preserve">demand forecast. We discuss our decision on JGN's demand </w:t>
      </w:r>
      <w:r w:rsidR="00A72D03">
        <w:t xml:space="preserve">forecast </w:t>
      </w:r>
      <w:r>
        <w:t xml:space="preserve">in </w:t>
      </w:r>
      <w:r w:rsidR="00EB4AE9">
        <w:t>attachment </w:t>
      </w:r>
      <w:r w:rsidR="005D758E">
        <w:t>13</w:t>
      </w:r>
      <w:r>
        <w:t>.</w:t>
      </w:r>
    </w:p>
    <w:p w:rsidR="0094485A" w:rsidRDefault="000632FB" w:rsidP="00D45C51">
      <w:pPr>
        <w:pStyle w:val="ListParagraph"/>
        <w:numPr>
          <w:ilvl w:val="0"/>
          <w:numId w:val="25"/>
        </w:numPr>
        <w:rPr>
          <w:rStyle w:val="AERbody"/>
        </w:rPr>
      </w:pPr>
      <w:r>
        <w:rPr>
          <w:rStyle w:val="AERbody"/>
        </w:rPr>
        <w:t xml:space="preserve">We note that </w:t>
      </w:r>
      <w:r w:rsidR="00D45C51" w:rsidRPr="00091CF6">
        <w:rPr>
          <w:rStyle w:val="AERbody"/>
        </w:rPr>
        <w:t>JGN's access arrangement includes an incentive to minimise the rate of UAG. If the actual UAG rate is below (above) JGN's target UAG rate, JGN over (under) recovers its actual UAG costs.</w:t>
      </w:r>
      <w:r w:rsidR="00D45C51" w:rsidRPr="00091CF6">
        <w:rPr>
          <w:rStyle w:val="FootnoteReference"/>
        </w:rPr>
        <w:footnoteReference w:id="60"/>
      </w:r>
      <w:r w:rsidR="00D45C51" w:rsidRPr="00091CF6">
        <w:rPr>
          <w:rStyle w:val="AERbody"/>
        </w:rPr>
        <w:t xml:space="preserve"> </w:t>
      </w:r>
    </w:p>
    <w:p w:rsidR="00D45C51" w:rsidRDefault="000632FB" w:rsidP="00D45C51">
      <w:pPr>
        <w:pStyle w:val="ListParagraph"/>
        <w:numPr>
          <w:ilvl w:val="0"/>
          <w:numId w:val="25"/>
        </w:numPr>
      </w:pPr>
      <w:r>
        <w:t>F</w:t>
      </w:r>
      <w:r w:rsidR="0094485A">
        <w:t>or the other elements of the UAG forecast, a</w:t>
      </w:r>
      <w:r w:rsidR="00D45C51">
        <w:t>n</w:t>
      </w:r>
      <w:r w:rsidR="00D45C51" w:rsidRPr="0088264D">
        <w:t xml:space="preserve"> automatic adjustment applies in the tariff variation mechanism to true-up actual and forecast gas prices </w:t>
      </w:r>
      <w:r w:rsidR="00D45C51">
        <w:t xml:space="preserve">and demand </w:t>
      </w:r>
      <w:r w:rsidR="00D45C51" w:rsidRPr="0088264D">
        <w:t>assumed in UAG costs</w:t>
      </w:r>
      <w:r w:rsidR="00D45C51">
        <w:t>.</w:t>
      </w:r>
      <w:r w:rsidR="00621576">
        <w:t xml:space="preserve"> Therefore if actual wholesale prices </w:t>
      </w:r>
      <w:r w:rsidR="002F6CED">
        <w:t xml:space="preserve">are different </w:t>
      </w:r>
      <w:r w:rsidR="002F6CED" w:rsidRPr="002F6CED">
        <w:t xml:space="preserve">during the access arrangement period </w:t>
      </w:r>
      <w:r w:rsidR="002F6CED">
        <w:t>to what JGN has</w:t>
      </w:r>
      <w:r w:rsidR="00621576">
        <w:t xml:space="preserve"> </w:t>
      </w:r>
      <w:r w:rsidR="002F6CED">
        <w:t>forecast</w:t>
      </w:r>
      <w:r w:rsidR="00CB2554">
        <w:t>,</w:t>
      </w:r>
      <w:r w:rsidR="002F6CED">
        <w:t xml:space="preserve"> then the difference will be passed through to consumers.</w:t>
      </w:r>
    </w:p>
    <w:p w:rsidR="00330411" w:rsidRDefault="00330411" w:rsidP="00762086">
      <w:r>
        <w:t>The difference between JGN's revised proposal and our final decision for all category specific forecasts (except debt raising costs) is outlined in</w:t>
      </w:r>
      <w:r w:rsidR="00612AFF">
        <w:t xml:space="preserve"> </w:t>
      </w:r>
      <w:r w:rsidR="00612AFF">
        <w:fldChar w:fldCharType="begin"/>
      </w:r>
      <w:r w:rsidR="00612AFF">
        <w:instrText xml:space="preserve"> REF _Ref419889045 \h </w:instrText>
      </w:r>
      <w:r w:rsidR="00612AFF">
        <w:fldChar w:fldCharType="separate"/>
      </w:r>
      <w:r w:rsidR="00FB6999">
        <w:t xml:space="preserve">Table </w:t>
      </w:r>
      <w:r w:rsidR="00FB6999">
        <w:rPr>
          <w:noProof/>
        </w:rPr>
        <w:t>7</w:t>
      </w:r>
      <w:r w:rsidR="00612AFF">
        <w:fldChar w:fldCharType="end"/>
      </w:r>
      <w:r w:rsidR="003E785E">
        <w:t>.</w:t>
      </w:r>
      <w:r>
        <w:t xml:space="preserve"> </w:t>
      </w:r>
    </w:p>
    <w:p w:rsidR="00330411" w:rsidRDefault="008A1D05" w:rsidP="00C039E4">
      <w:pPr>
        <w:pStyle w:val="Caption"/>
      </w:pPr>
      <w:bookmarkStart w:id="43" w:name="_Ref418172336"/>
      <w:bookmarkStart w:id="44" w:name="_Ref419889045"/>
      <w:r>
        <w:t xml:space="preserve">Table </w:t>
      </w:r>
      <w:fldSimple w:instr=" SEQ Table \* ARABIC ">
        <w:r w:rsidR="00FB6999">
          <w:rPr>
            <w:noProof/>
          </w:rPr>
          <w:t>7</w:t>
        </w:r>
      </w:fldSimple>
      <w:bookmarkEnd w:id="43"/>
      <w:bookmarkEnd w:id="44"/>
      <w:r w:rsidR="00516FAB">
        <w:t>.7</w:t>
      </w:r>
      <w:r>
        <w:tab/>
        <w:t>Category specific forecasts for JGN ($million, 2014–15)</w:t>
      </w:r>
    </w:p>
    <w:tbl>
      <w:tblPr>
        <w:tblStyle w:val="AERtable-numbers"/>
        <w:tblW w:w="0" w:type="auto"/>
        <w:tblLook w:val="04A0" w:firstRow="1" w:lastRow="0" w:firstColumn="1" w:lastColumn="0" w:noHBand="0" w:noVBand="1"/>
      </w:tblPr>
      <w:tblGrid>
        <w:gridCol w:w="2897"/>
        <w:gridCol w:w="2898"/>
        <w:gridCol w:w="2898"/>
      </w:tblGrid>
      <w:tr w:rsidR="00330411" w:rsidTr="008A1D0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97" w:type="dxa"/>
          </w:tcPr>
          <w:p w:rsidR="00330411" w:rsidRDefault="008A1D05" w:rsidP="00850C00">
            <w:pPr>
              <w:pStyle w:val="ListParagraph"/>
              <w:keepNext/>
              <w:numPr>
                <w:ilvl w:val="0"/>
                <w:numId w:val="25"/>
              </w:numPr>
            </w:pPr>
            <w:r>
              <w:t>Category</w:t>
            </w:r>
          </w:p>
        </w:tc>
        <w:tc>
          <w:tcPr>
            <w:tcW w:w="2898" w:type="dxa"/>
          </w:tcPr>
          <w:p w:rsidR="00330411" w:rsidRDefault="008A1D05" w:rsidP="00850C00">
            <w:pPr>
              <w:pStyle w:val="ListParagraph"/>
              <w:keepNext/>
              <w:numPr>
                <w:ilvl w:val="0"/>
                <w:numId w:val="25"/>
              </w:numPr>
              <w:cnfStyle w:val="100000000000" w:firstRow="1" w:lastRow="0" w:firstColumn="0" w:lastColumn="0" w:oddVBand="0" w:evenVBand="0" w:oddHBand="0" w:evenHBand="0" w:firstRowFirstColumn="0" w:firstRowLastColumn="0" w:lastRowFirstColumn="0" w:lastRowLastColumn="0"/>
            </w:pPr>
            <w:r>
              <w:t>Revised proposal</w:t>
            </w:r>
          </w:p>
        </w:tc>
        <w:tc>
          <w:tcPr>
            <w:tcW w:w="2898" w:type="dxa"/>
          </w:tcPr>
          <w:p w:rsidR="00330411" w:rsidRDefault="008A1D05" w:rsidP="00850C00">
            <w:pPr>
              <w:pStyle w:val="ListParagraph"/>
              <w:keepNext/>
              <w:numPr>
                <w:ilvl w:val="0"/>
                <w:numId w:val="25"/>
              </w:numPr>
              <w:cnfStyle w:val="100000000000" w:firstRow="1" w:lastRow="0" w:firstColumn="0" w:lastColumn="0" w:oddVBand="0" w:evenVBand="0" w:oddHBand="0" w:evenHBand="0" w:firstRowFirstColumn="0" w:firstRowLastColumn="0" w:lastRowFirstColumn="0" w:lastRowLastColumn="0"/>
            </w:pPr>
            <w:r>
              <w:t>Final decision</w:t>
            </w:r>
          </w:p>
        </w:tc>
      </w:tr>
      <w:tr w:rsidR="00330411" w:rsidTr="008A1D05">
        <w:tc>
          <w:tcPr>
            <w:cnfStyle w:val="001000000000" w:firstRow="0" w:lastRow="0" w:firstColumn="1" w:lastColumn="0" w:oddVBand="0" w:evenVBand="0" w:oddHBand="0" w:evenHBand="0" w:firstRowFirstColumn="0" w:firstRowLastColumn="0" w:lastRowFirstColumn="0" w:lastRowLastColumn="0"/>
            <w:tcW w:w="2897" w:type="dxa"/>
          </w:tcPr>
          <w:p w:rsidR="00330411" w:rsidRDefault="008A1D05" w:rsidP="00850C00">
            <w:pPr>
              <w:pStyle w:val="ListParagraph"/>
              <w:keepNext/>
              <w:numPr>
                <w:ilvl w:val="0"/>
                <w:numId w:val="25"/>
              </w:numPr>
            </w:pPr>
            <w:r>
              <w:t>Unaccounted for gas</w:t>
            </w:r>
          </w:p>
        </w:tc>
        <w:tc>
          <w:tcPr>
            <w:tcW w:w="2898" w:type="dxa"/>
          </w:tcPr>
          <w:p w:rsidR="00330411" w:rsidRDefault="008A1D05" w:rsidP="00850C00">
            <w:pPr>
              <w:pStyle w:val="ListParagraph"/>
              <w:keepNext/>
              <w:numPr>
                <w:ilvl w:val="0"/>
                <w:numId w:val="25"/>
              </w:numPr>
              <w:cnfStyle w:val="000000000000" w:firstRow="0" w:lastRow="0" w:firstColumn="0" w:lastColumn="0" w:oddVBand="0" w:evenVBand="0" w:oddHBand="0" w:evenHBand="0" w:firstRowFirstColumn="0" w:firstRowLastColumn="0" w:lastRowFirstColumn="0" w:lastRowLastColumn="0"/>
            </w:pPr>
            <w:r>
              <w:t>78.9</w:t>
            </w:r>
          </w:p>
        </w:tc>
        <w:tc>
          <w:tcPr>
            <w:tcW w:w="2898" w:type="dxa"/>
          </w:tcPr>
          <w:p w:rsidR="00330411" w:rsidRDefault="0094485A" w:rsidP="00850C00">
            <w:pPr>
              <w:pStyle w:val="ListParagraph"/>
              <w:keepNext/>
              <w:numPr>
                <w:ilvl w:val="0"/>
                <w:numId w:val="25"/>
              </w:numPr>
              <w:cnfStyle w:val="000000000000" w:firstRow="0" w:lastRow="0" w:firstColumn="0" w:lastColumn="0" w:oddVBand="0" w:evenVBand="0" w:oddHBand="0" w:evenHBand="0" w:firstRowFirstColumn="0" w:firstRowLastColumn="0" w:lastRowFirstColumn="0" w:lastRowLastColumn="0"/>
            </w:pPr>
            <w:r>
              <w:t>80.0</w:t>
            </w:r>
          </w:p>
        </w:tc>
      </w:tr>
      <w:tr w:rsidR="00330411" w:rsidTr="008A1D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97" w:type="dxa"/>
          </w:tcPr>
          <w:p w:rsidR="00330411" w:rsidRDefault="008A1D05" w:rsidP="00850C00">
            <w:pPr>
              <w:pStyle w:val="ListParagraph"/>
              <w:keepNext/>
              <w:numPr>
                <w:ilvl w:val="0"/>
                <w:numId w:val="25"/>
              </w:numPr>
            </w:pPr>
            <w:r>
              <w:t>Government levies</w:t>
            </w:r>
          </w:p>
        </w:tc>
        <w:tc>
          <w:tcPr>
            <w:tcW w:w="2898" w:type="dxa"/>
          </w:tcPr>
          <w:p w:rsidR="00330411" w:rsidRDefault="008A1D05" w:rsidP="00850C00">
            <w:pPr>
              <w:pStyle w:val="ListParagraph"/>
              <w:keepNext/>
              <w:numPr>
                <w:ilvl w:val="0"/>
                <w:numId w:val="25"/>
              </w:numPr>
              <w:cnfStyle w:val="000000010000" w:firstRow="0" w:lastRow="0" w:firstColumn="0" w:lastColumn="0" w:oddVBand="0" w:evenVBand="0" w:oddHBand="0" w:evenHBand="1" w:firstRowFirstColumn="0" w:firstRowLastColumn="0" w:lastRowFirstColumn="0" w:lastRowLastColumn="0"/>
            </w:pPr>
            <w:r>
              <w:t>19.9</w:t>
            </w:r>
          </w:p>
        </w:tc>
        <w:tc>
          <w:tcPr>
            <w:tcW w:w="2898" w:type="dxa"/>
          </w:tcPr>
          <w:p w:rsidR="00330411" w:rsidRDefault="008A1D05" w:rsidP="00850C00">
            <w:pPr>
              <w:pStyle w:val="ListParagraph"/>
              <w:keepNext/>
              <w:numPr>
                <w:ilvl w:val="0"/>
                <w:numId w:val="25"/>
              </w:numPr>
              <w:cnfStyle w:val="000000010000" w:firstRow="0" w:lastRow="0" w:firstColumn="0" w:lastColumn="0" w:oddVBand="0" w:evenVBand="0" w:oddHBand="0" w:evenHBand="1" w:firstRowFirstColumn="0" w:firstRowLastColumn="0" w:lastRowFirstColumn="0" w:lastRowLastColumn="0"/>
            </w:pPr>
            <w:r>
              <w:t>19.9</w:t>
            </w:r>
          </w:p>
        </w:tc>
      </w:tr>
      <w:tr w:rsidR="00330411" w:rsidTr="008A1D05">
        <w:tc>
          <w:tcPr>
            <w:cnfStyle w:val="001000000000" w:firstRow="0" w:lastRow="0" w:firstColumn="1" w:lastColumn="0" w:oddVBand="0" w:evenVBand="0" w:oddHBand="0" w:evenHBand="0" w:firstRowFirstColumn="0" w:firstRowLastColumn="0" w:lastRowFirstColumn="0" w:lastRowLastColumn="0"/>
            <w:tcW w:w="2897" w:type="dxa"/>
          </w:tcPr>
          <w:p w:rsidR="00330411" w:rsidRDefault="008A1D05" w:rsidP="00850C00">
            <w:pPr>
              <w:pStyle w:val="ListParagraph"/>
              <w:keepNext/>
              <w:numPr>
                <w:ilvl w:val="0"/>
                <w:numId w:val="25"/>
              </w:numPr>
            </w:pPr>
            <w:r>
              <w:t>Carbon costs</w:t>
            </w:r>
          </w:p>
        </w:tc>
        <w:tc>
          <w:tcPr>
            <w:tcW w:w="2898" w:type="dxa"/>
          </w:tcPr>
          <w:p w:rsidR="00330411" w:rsidRDefault="008A1D05" w:rsidP="00850C00">
            <w:pPr>
              <w:pStyle w:val="ListParagraph"/>
              <w:keepNext/>
              <w:numPr>
                <w:ilvl w:val="0"/>
                <w:numId w:val="25"/>
              </w:numPr>
              <w:cnfStyle w:val="000000000000" w:firstRow="0" w:lastRow="0" w:firstColumn="0" w:lastColumn="0" w:oddVBand="0" w:evenVBand="0" w:oddHBand="0" w:evenHBand="0" w:firstRowFirstColumn="0" w:firstRowLastColumn="0" w:lastRowFirstColumn="0" w:lastRowLastColumn="0"/>
            </w:pPr>
            <w:r>
              <w:t>0.2</w:t>
            </w:r>
          </w:p>
        </w:tc>
        <w:tc>
          <w:tcPr>
            <w:tcW w:w="2898" w:type="dxa"/>
          </w:tcPr>
          <w:p w:rsidR="00330411" w:rsidRDefault="008A1D05" w:rsidP="00850C00">
            <w:pPr>
              <w:pStyle w:val="ListParagraph"/>
              <w:keepNext/>
              <w:numPr>
                <w:ilvl w:val="0"/>
                <w:numId w:val="25"/>
              </w:numPr>
              <w:cnfStyle w:val="000000000000" w:firstRow="0" w:lastRow="0" w:firstColumn="0" w:lastColumn="0" w:oddVBand="0" w:evenVBand="0" w:oddHBand="0" w:evenHBand="0" w:firstRowFirstColumn="0" w:firstRowLastColumn="0" w:lastRowFirstColumn="0" w:lastRowLastColumn="0"/>
            </w:pPr>
            <w:r>
              <w:t>0.2</w:t>
            </w:r>
          </w:p>
        </w:tc>
      </w:tr>
    </w:tbl>
    <w:p w:rsidR="00330411" w:rsidRDefault="008A1D05" w:rsidP="00850C00">
      <w:pPr>
        <w:pStyle w:val="AERtablesource"/>
        <w:keepNext/>
      </w:pPr>
      <w:r>
        <w:t xml:space="preserve">Source: AER analysis; </w:t>
      </w:r>
      <w:r w:rsidRPr="008A1D05">
        <w:t xml:space="preserve">JGN, </w:t>
      </w:r>
      <w:r w:rsidRPr="008A1D05">
        <w:rPr>
          <w:rStyle w:val="AERtextitalic"/>
        </w:rPr>
        <w:t xml:space="preserve">Access Arrangement Information, Revised proposal, Revised Opex model, </w:t>
      </w:r>
      <w:r w:rsidRPr="008A1D05">
        <w:rPr>
          <w:rStyle w:val="AERtextsize8"/>
        </w:rPr>
        <w:t>27 March 2015</w:t>
      </w:r>
      <w:r w:rsidR="003E785E">
        <w:rPr>
          <w:rStyle w:val="AERtextsize8"/>
        </w:rPr>
        <w:t>.</w:t>
      </w:r>
    </w:p>
    <w:p w:rsidR="00FB54AB" w:rsidRDefault="00907F39" w:rsidP="00FB54AB">
      <w:pPr>
        <w:pStyle w:val="Heading3"/>
      </w:pPr>
      <w:bookmarkStart w:id="45" w:name="_Toc420325034"/>
      <w:r>
        <w:t>I</w:t>
      </w:r>
      <w:r w:rsidR="00FB54AB">
        <w:t>nterrelationships</w:t>
      </w:r>
      <w:bookmarkEnd w:id="45"/>
    </w:p>
    <w:p w:rsidR="00CB4087" w:rsidRPr="00CB4087" w:rsidRDefault="00CB4087" w:rsidP="00CB4087">
      <w:pPr>
        <w:numPr>
          <w:ilvl w:val="0"/>
          <w:numId w:val="25"/>
        </w:numPr>
      </w:pPr>
      <w:r w:rsidRPr="00CB4087">
        <w:t>We note there are interrelationships between our opex forecast and other elements of JGN's</w:t>
      </w:r>
      <w:r>
        <w:t xml:space="preserve"> access arrangement proposal.</w:t>
      </w:r>
      <w:r w:rsidRPr="00CB4087">
        <w:t xml:space="preserve"> In assessing JGN’s total forecast opex we took into account these components, including:</w:t>
      </w:r>
    </w:p>
    <w:p w:rsidR="00CB4087" w:rsidRPr="00CB4087" w:rsidRDefault="00CB4087" w:rsidP="00CB4087">
      <w:pPr>
        <w:pStyle w:val="AERbulletlistfirststyle"/>
      </w:pPr>
      <w:r w:rsidRPr="00CB4087">
        <w:t>the impact of forecast capex on forecast output growth in the rate of change</w:t>
      </w:r>
    </w:p>
    <w:p w:rsidR="00CB4087" w:rsidRPr="00CB4087" w:rsidRDefault="00CB4087" w:rsidP="00CB4087">
      <w:pPr>
        <w:pStyle w:val="AERbulletlistfirststyle"/>
      </w:pPr>
      <w:r w:rsidRPr="00CB4087">
        <w:t xml:space="preserve">the impact of JGN’s capitalisation policy on capex and opex </w:t>
      </w:r>
    </w:p>
    <w:p w:rsidR="00CB4087" w:rsidRPr="00CB4087" w:rsidRDefault="00CB4087" w:rsidP="00CB4087">
      <w:pPr>
        <w:pStyle w:val="AERbulletlistfirststyle"/>
      </w:pPr>
      <w:r w:rsidRPr="00CB4087">
        <w:t xml:space="preserve">the impact of the form of control on the forecasting methodology for licence fees, </w:t>
      </w:r>
      <w:r w:rsidR="003E785E">
        <w:t>UAG</w:t>
      </w:r>
      <w:r w:rsidRPr="00CB4087">
        <w:t xml:space="preserve"> and carbon costs </w:t>
      </w:r>
    </w:p>
    <w:p w:rsidR="00AF1F9E" w:rsidRPr="00290C63" w:rsidRDefault="00CB4087" w:rsidP="00290C63">
      <w:pPr>
        <w:pStyle w:val="AERbulletlistfirststyle"/>
      </w:pPr>
      <w:r w:rsidRPr="00CB4087">
        <w:t>the impact of forecast demand on forecast output growth in the rate of change and forecast unaccounted for gas costs</w:t>
      </w:r>
      <w:r w:rsidR="009C52E3">
        <w:t>.</w:t>
      </w:r>
    </w:p>
    <w:sectPr w:rsidR="00AF1F9E" w:rsidRPr="00290C63" w:rsidSect="007B49E1">
      <w:pgSz w:w="11906" w:h="16838" w:code="9"/>
      <w:pgMar w:top="1440" w:right="1700" w:bottom="1582" w:left="1729" w:header="720" w:footer="0" w:gutter="0"/>
      <w:pgNumType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39E4" w:rsidRPr="00290C63" w:rsidRDefault="00C039E4" w:rsidP="00290C63">
      <w:r>
        <w:separator/>
      </w:r>
    </w:p>
    <w:p w:rsidR="00C039E4" w:rsidRDefault="00C039E4"/>
  </w:endnote>
  <w:endnote w:type="continuationSeparator" w:id="0">
    <w:p w:rsidR="00C039E4" w:rsidRPr="00290C63" w:rsidRDefault="00C039E4" w:rsidP="00290C63">
      <w:r>
        <w:continuationSeparator/>
      </w:r>
    </w:p>
    <w:p w:rsidR="00C039E4" w:rsidRDefault="00C039E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Gautami">
    <w:panose1 w:val="020B0502040204020203"/>
    <w:charset w:val="01"/>
    <w:family w:val="roman"/>
    <w:notTrueType/>
    <w:pitch w:val="variable"/>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39E4" w:rsidRPr="00290C63" w:rsidRDefault="00C039E4"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C039E4" w:rsidRDefault="00C039E4"/>
  <w:p w:rsidR="00C039E4" w:rsidRDefault="00C039E4"/>
  <w:p w:rsidR="00C039E4" w:rsidRDefault="00C039E4"/>
  <w:p w:rsidR="00C039E4" w:rsidRDefault="00C039E4"/>
  <w:p w:rsidR="00C039E4" w:rsidRDefault="00C039E4"/>
  <w:p w:rsidR="00C039E4" w:rsidRDefault="00C039E4"/>
  <w:p w:rsidR="00C039E4" w:rsidRDefault="00C039E4"/>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53655474"/>
      <w:docPartObj>
        <w:docPartGallery w:val="Page Numbers (Bottom of Page)"/>
        <w:docPartUnique/>
      </w:docPartObj>
    </w:sdtPr>
    <w:sdtEndPr>
      <w:rPr>
        <w:noProof/>
      </w:rPr>
    </w:sdtEndPr>
    <w:sdtContent>
      <w:p w:rsidR="00C039E4" w:rsidRDefault="00C039E4">
        <w:pPr>
          <w:pStyle w:val="Footer"/>
        </w:pPr>
        <w:r>
          <w:fldChar w:fldCharType="begin"/>
        </w:r>
        <w:r>
          <w:instrText xml:space="preserve"> PAGE   \* MERGEFORMAT </w:instrText>
        </w:r>
        <w:r>
          <w:fldChar w:fldCharType="separate"/>
        </w:r>
        <w:r w:rsidR="00FB6999">
          <w:rPr>
            <w:noProof/>
          </w:rPr>
          <w:t>7-33</w:t>
        </w:r>
        <w:r>
          <w:rPr>
            <w:noProof/>
          </w:rPr>
          <w:fldChar w:fldCharType="end"/>
        </w:r>
        <w:r>
          <w:rPr>
            <w:noProof/>
          </w:rPr>
          <w:t xml:space="preserve">      </w:t>
        </w:r>
        <w:r>
          <w:t xml:space="preserve">         7 </w:t>
        </w:r>
        <w:r>
          <w:rPr>
            <w:rFonts w:cs="Gautami"/>
            <w:noProof/>
          </w:rPr>
          <w:t>–</w:t>
        </w:r>
        <w:r>
          <w:t xml:space="preserve"> Operating expenditure</w:t>
        </w:r>
        <w:r>
          <w:rPr>
            <w:rFonts w:cs="Gautami"/>
            <w:noProof/>
          </w:rPr>
          <w:t xml:space="preserve"> | </w:t>
        </w:r>
        <w:r>
          <w:t>Final decision: Jemena Gas Networks</w:t>
        </w:r>
        <w:r>
          <w:rPr>
            <w:rFonts w:cs="Gautami"/>
            <w:noProof/>
          </w:rPr>
          <w:t xml:space="preserve"> 2015–20</w:t>
        </w:r>
      </w:p>
    </w:sdtContent>
  </w:sdt>
  <w:p w:rsidR="00C039E4" w:rsidRDefault="00C039E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39E4" w:rsidRPr="00290C63" w:rsidRDefault="00C039E4"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C039E4" w:rsidRDefault="00C039E4">
    <w:pPr>
      <w:pStyle w:val="Footer"/>
    </w:pPr>
  </w:p>
  <w:p w:rsidR="00C039E4" w:rsidRDefault="00C039E4"/>
  <w:p w:rsidR="00C039E4" w:rsidRDefault="00C039E4"/>
  <w:p w:rsidR="00C039E4" w:rsidRDefault="00C039E4"/>
  <w:p w:rsidR="00C039E4" w:rsidRDefault="00C039E4"/>
  <w:p w:rsidR="00C039E4" w:rsidRDefault="00C039E4"/>
  <w:p w:rsidR="00C039E4" w:rsidRDefault="00C039E4"/>
  <w:p w:rsidR="00C039E4" w:rsidRDefault="00C039E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39E4" w:rsidRPr="00290C63" w:rsidRDefault="00C039E4" w:rsidP="00290C63">
      <w:r>
        <w:separator/>
      </w:r>
    </w:p>
    <w:p w:rsidR="00C039E4" w:rsidRDefault="00C039E4"/>
  </w:footnote>
  <w:footnote w:type="continuationSeparator" w:id="0">
    <w:p w:rsidR="00C039E4" w:rsidRPr="00290C63" w:rsidRDefault="00C039E4" w:rsidP="00290C63">
      <w:r>
        <w:continuationSeparator/>
      </w:r>
    </w:p>
    <w:p w:rsidR="00C039E4" w:rsidRDefault="00C039E4"/>
  </w:footnote>
  <w:footnote w:id="1">
    <w:p w:rsidR="00C039E4" w:rsidRDefault="00C039E4" w:rsidP="00FB6087">
      <w:pPr>
        <w:pStyle w:val="FootnoteText"/>
      </w:pPr>
      <w:r>
        <w:rPr>
          <w:rStyle w:val="FootnoteReference"/>
        </w:rPr>
        <w:footnoteRef/>
      </w:r>
      <w:r>
        <w:t xml:space="preserve"> </w:t>
      </w:r>
      <w:r>
        <w:tab/>
        <w:t>NGR, rr. 40, 91.</w:t>
      </w:r>
    </w:p>
  </w:footnote>
  <w:footnote w:id="2">
    <w:p w:rsidR="00C039E4" w:rsidRDefault="00C039E4">
      <w:pPr>
        <w:pStyle w:val="FootnoteText"/>
      </w:pPr>
      <w:r>
        <w:rPr>
          <w:rStyle w:val="FootnoteReference"/>
        </w:rPr>
        <w:footnoteRef/>
      </w:r>
      <w:r>
        <w:t xml:space="preserve"> </w:t>
      </w:r>
      <w:r>
        <w:tab/>
        <w:t xml:space="preserve">In its revised proposal, JGN proposed total opex of $805.0 million ($2014-15). After submitting its revised proposal it updated its estimate to $808.2 million. </w:t>
      </w:r>
    </w:p>
  </w:footnote>
  <w:footnote w:id="3">
    <w:p w:rsidR="00C039E4" w:rsidRDefault="00C039E4" w:rsidP="00C35FD6">
      <w:pPr>
        <w:pStyle w:val="FootnoteText"/>
      </w:pPr>
      <w:r>
        <w:rPr>
          <w:rStyle w:val="FootnoteReference"/>
        </w:rPr>
        <w:footnoteRef/>
      </w:r>
      <w:r>
        <w:t xml:space="preserve"> </w:t>
      </w:r>
      <w:r>
        <w:tab/>
        <w:t>NGR, rr. 64(1) &amp; (5)</w:t>
      </w:r>
    </w:p>
  </w:footnote>
  <w:footnote w:id="4">
    <w:p w:rsidR="00C039E4" w:rsidRDefault="00C039E4" w:rsidP="00B27E98">
      <w:pPr>
        <w:pStyle w:val="FootnoteText"/>
      </w:pPr>
      <w:r>
        <w:rPr>
          <w:rStyle w:val="FootnoteReference"/>
        </w:rPr>
        <w:footnoteRef/>
      </w:r>
      <w:r>
        <w:t xml:space="preserve"> </w:t>
      </w:r>
      <w:r>
        <w:tab/>
        <w:t>See also NGR, r. 40(2).</w:t>
      </w:r>
    </w:p>
  </w:footnote>
  <w:footnote w:id="5">
    <w:p w:rsidR="00C039E4" w:rsidRDefault="00C039E4">
      <w:pPr>
        <w:pStyle w:val="FootnoteText"/>
      </w:pPr>
      <w:r>
        <w:rPr>
          <w:rStyle w:val="FootnoteReference"/>
        </w:rPr>
        <w:footnoteRef/>
      </w:r>
      <w:r>
        <w:t xml:space="preserve">  </w:t>
      </w:r>
      <w:r>
        <w:tab/>
        <w:t>NGR r.40(2)</w:t>
      </w:r>
    </w:p>
  </w:footnote>
  <w:footnote w:id="6">
    <w:p w:rsidR="00C039E4" w:rsidRDefault="00C039E4" w:rsidP="00B27E98">
      <w:pPr>
        <w:pStyle w:val="FootnoteText"/>
      </w:pPr>
      <w:r>
        <w:rPr>
          <w:rStyle w:val="FootnoteReference"/>
        </w:rPr>
        <w:footnoteRef/>
      </w:r>
      <w:r>
        <w:t xml:space="preserve"> </w:t>
      </w:r>
      <w:r>
        <w:tab/>
        <w:t>T</w:t>
      </w:r>
      <w:r w:rsidRPr="009413AF">
        <w:t xml:space="preserve">he second last year is </w:t>
      </w:r>
      <w:r>
        <w:t xml:space="preserve">sometimes </w:t>
      </w:r>
      <w:r w:rsidRPr="009413AF">
        <w:t>an estimate rather than audited actual expenditure. Given this, we typically use the estimate as a placeholder and update it when the service provider submits its audited accounts.</w:t>
      </w:r>
      <w:r>
        <w:t xml:space="preserve"> If expenditure in the penultimate year is not audited at the time the service provider submits its regulatory proposal, we s</w:t>
      </w:r>
      <w:r w:rsidRPr="00F10FF1">
        <w:t>ometimes use the third last year</w:t>
      </w:r>
      <w:r>
        <w:t xml:space="preserve"> because it is </w:t>
      </w:r>
      <w:r w:rsidRPr="00F10FF1">
        <w:t xml:space="preserve">the most recent year </w:t>
      </w:r>
      <w:r>
        <w:t>of audited actual expenditure at the time</w:t>
      </w:r>
      <w:r w:rsidRPr="00F10FF1">
        <w:t>.</w:t>
      </w:r>
    </w:p>
  </w:footnote>
  <w:footnote w:id="7">
    <w:p w:rsidR="00C039E4" w:rsidRDefault="00C039E4">
      <w:pPr>
        <w:pStyle w:val="FootnoteText"/>
      </w:pPr>
      <w:r>
        <w:rPr>
          <w:rStyle w:val="FootnoteReference"/>
        </w:rPr>
        <w:footnoteRef/>
      </w:r>
      <w:r>
        <w:t xml:space="preserve">   NGR r. 40(2), r. 91.</w:t>
      </w:r>
    </w:p>
  </w:footnote>
  <w:footnote w:id="8">
    <w:p w:rsidR="00C039E4" w:rsidRDefault="00C039E4" w:rsidP="002677E7">
      <w:pPr>
        <w:pStyle w:val="FootnoteText"/>
      </w:pPr>
      <w:r>
        <w:rPr>
          <w:rStyle w:val="FootnoteReference"/>
        </w:rPr>
        <w:footnoteRef/>
      </w:r>
      <w:r>
        <w:t xml:space="preserve"> </w:t>
      </w:r>
      <w:r>
        <w:tab/>
        <w:t xml:space="preserve">AER, </w:t>
      </w:r>
      <w:r w:rsidRPr="00864C81">
        <w:rPr>
          <w:rStyle w:val="AERtextitalic"/>
        </w:rPr>
        <w:t>Better Regulation – Explanatory statement expenditure forecast assessment guideline</w:t>
      </w:r>
      <w:r>
        <w:t>, November 2013, pp. 65–66.</w:t>
      </w:r>
    </w:p>
  </w:footnote>
  <w:footnote w:id="9">
    <w:p w:rsidR="00C039E4" w:rsidRDefault="00C039E4" w:rsidP="00C11125">
      <w:pPr>
        <w:pStyle w:val="FootnoteText"/>
      </w:pPr>
      <w:r>
        <w:rPr>
          <w:rStyle w:val="FootnoteReference"/>
        </w:rPr>
        <w:footnoteRef/>
      </w:r>
      <w:r>
        <w:t xml:space="preserve"> </w:t>
      </w:r>
      <w:r>
        <w:tab/>
        <w:t>NGR r. 74.</w:t>
      </w:r>
    </w:p>
  </w:footnote>
  <w:footnote w:id="10">
    <w:p w:rsidR="00C039E4" w:rsidRDefault="00C039E4" w:rsidP="002677E7">
      <w:pPr>
        <w:pStyle w:val="FootnoteText"/>
      </w:pPr>
      <w:r>
        <w:rPr>
          <w:rStyle w:val="FootnoteReference"/>
        </w:rPr>
        <w:footnoteRef/>
      </w:r>
      <w:r>
        <w:t xml:space="preserve"> </w:t>
      </w:r>
      <w:r>
        <w:tab/>
        <w:t>These figures represent JGN's updated opex model provided to us on 27 March 2015 in response to our draft decision.</w:t>
      </w:r>
    </w:p>
  </w:footnote>
  <w:footnote w:id="11">
    <w:p w:rsidR="00C039E4" w:rsidRDefault="00C039E4" w:rsidP="00C11125">
      <w:pPr>
        <w:pStyle w:val="FootnoteText"/>
      </w:pPr>
      <w:r>
        <w:rPr>
          <w:rStyle w:val="FootnoteReference"/>
        </w:rPr>
        <w:footnoteRef/>
      </w:r>
      <w:r>
        <w:t xml:space="preserve"> </w:t>
      </w:r>
      <w:r>
        <w:tab/>
      </w:r>
      <w:r w:rsidRPr="005063E7">
        <w:t xml:space="preserve">AER, </w:t>
      </w:r>
      <w:r w:rsidRPr="007B42DF">
        <w:rPr>
          <w:rStyle w:val="AERtextitalic"/>
        </w:rPr>
        <w:t>Access arrangement final decision SPI Networks (Gas) Pty Ltd 2013–17 – Part 3: appendices</w:t>
      </w:r>
      <w:r w:rsidRPr="005063E7">
        <w:t>, March 2013, p. 7.</w:t>
      </w:r>
    </w:p>
  </w:footnote>
  <w:footnote w:id="12">
    <w:p w:rsidR="00C039E4" w:rsidRDefault="00C039E4" w:rsidP="00C11125">
      <w:pPr>
        <w:pStyle w:val="FootnoteText"/>
      </w:pPr>
      <w:r>
        <w:rPr>
          <w:rStyle w:val="FootnoteReference"/>
        </w:rPr>
        <w:footnoteRef/>
      </w:r>
      <w:r>
        <w:t xml:space="preserve"> </w:t>
      </w:r>
      <w:r>
        <w:tab/>
        <w:t>NGR r. 91.</w:t>
      </w:r>
    </w:p>
  </w:footnote>
  <w:footnote w:id="13">
    <w:p w:rsidR="00C039E4" w:rsidRDefault="00C039E4" w:rsidP="002677E7">
      <w:pPr>
        <w:pStyle w:val="FootnoteText"/>
      </w:pPr>
      <w:r>
        <w:rPr>
          <w:rStyle w:val="FootnoteReference"/>
        </w:rPr>
        <w:footnoteRef/>
      </w:r>
      <w:r>
        <w:t xml:space="preserve"> </w:t>
      </w:r>
      <w:r>
        <w:tab/>
        <w:t>NGR, r. 91, r. 74.</w:t>
      </w:r>
    </w:p>
  </w:footnote>
  <w:footnote w:id="14">
    <w:p w:rsidR="00C039E4" w:rsidRDefault="00C039E4" w:rsidP="002677E7">
      <w:pPr>
        <w:pStyle w:val="FootnoteText"/>
      </w:pPr>
      <w:r>
        <w:rPr>
          <w:rStyle w:val="FootnoteReference"/>
        </w:rPr>
        <w:footnoteRef/>
      </w:r>
      <w:r>
        <w:t xml:space="preserve"> </w:t>
      </w:r>
      <w:r>
        <w:tab/>
        <w:t xml:space="preserve">JGN, </w:t>
      </w:r>
      <w:r w:rsidRPr="00B17DD9">
        <w:rPr>
          <w:rStyle w:val="AERtextitalic"/>
        </w:rPr>
        <w:t>Response to the draft decision and revised proposal,</w:t>
      </w:r>
      <w:r w:rsidRPr="00B17DD9">
        <w:t xml:space="preserve"> </w:t>
      </w:r>
      <w:r>
        <w:t xml:space="preserve"> February 2015, pp. 84–85.</w:t>
      </w:r>
    </w:p>
  </w:footnote>
  <w:footnote w:id="15">
    <w:p w:rsidR="00C039E4" w:rsidRDefault="00C039E4" w:rsidP="002677E7">
      <w:pPr>
        <w:pStyle w:val="FootnoteText"/>
      </w:pPr>
      <w:r>
        <w:rPr>
          <w:rStyle w:val="FootnoteReference"/>
        </w:rPr>
        <w:footnoteRef/>
      </w:r>
      <w:r>
        <w:t xml:space="preserve"> </w:t>
      </w:r>
      <w:r>
        <w:tab/>
        <w:t xml:space="preserve">JGN, </w:t>
      </w:r>
      <w:r w:rsidRPr="00B17DD9">
        <w:rPr>
          <w:rStyle w:val="AERtextitalic"/>
        </w:rPr>
        <w:t>Response to the draft decision and revised proposal,</w:t>
      </w:r>
      <w:r w:rsidRPr="00B17DD9">
        <w:t xml:space="preserve"> </w:t>
      </w:r>
      <w:r>
        <w:t xml:space="preserve"> February 2015, p. 85.</w:t>
      </w:r>
    </w:p>
  </w:footnote>
  <w:footnote w:id="16">
    <w:p w:rsidR="00C039E4" w:rsidRDefault="00C039E4" w:rsidP="002677E7">
      <w:pPr>
        <w:pStyle w:val="FootnoteText"/>
      </w:pPr>
      <w:r>
        <w:rPr>
          <w:rStyle w:val="FootnoteReference"/>
        </w:rPr>
        <w:footnoteRef/>
      </w:r>
      <w:r>
        <w:t xml:space="preserve"> </w:t>
      </w:r>
      <w:r>
        <w:tab/>
        <w:t xml:space="preserve">JGN, </w:t>
      </w:r>
      <w:r w:rsidRPr="00B17DD9">
        <w:rPr>
          <w:rStyle w:val="AERtextitalic"/>
        </w:rPr>
        <w:t>Response to the draft decision and revised proposal,</w:t>
      </w:r>
      <w:r w:rsidRPr="00B17DD9">
        <w:t xml:space="preserve"> </w:t>
      </w:r>
      <w:r>
        <w:t xml:space="preserve"> February 2015, p. 85.</w:t>
      </w:r>
    </w:p>
  </w:footnote>
  <w:footnote w:id="17">
    <w:p w:rsidR="00C039E4" w:rsidRDefault="00C039E4" w:rsidP="0065346E">
      <w:pPr>
        <w:pStyle w:val="FootnoteText"/>
      </w:pPr>
      <w:r>
        <w:rPr>
          <w:rStyle w:val="FootnoteReference"/>
        </w:rPr>
        <w:footnoteRef/>
      </w:r>
      <w:r>
        <w:t xml:space="preserve"> </w:t>
      </w:r>
      <w:r>
        <w:tab/>
        <w:t>JGN's firm specific weightings are the forecast weightings of inputs used to provide gas distribution services (as reflected in JGN's opex model) which are based on their actual historical weightings. These inputs include labour, materials and other.</w:t>
      </w:r>
    </w:p>
  </w:footnote>
  <w:footnote w:id="18">
    <w:p w:rsidR="00C039E4" w:rsidRDefault="00C039E4" w:rsidP="0065346E">
      <w:pPr>
        <w:pStyle w:val="FootnoteText"/>
      </w:pPr>
      <w:r>
        <w:rPr>
          <w:rStyle w:val="FootnoteReference"/>
        </w:rPr>
        <w:footnoteRef/>
      </w:r>
      <w:r>
        <w:t xml:space="preserve"> </w:t>
      </w:r>
      <w:r>
        <w:tab/>
        <w:t xml:space="preserve">JGN, </w:t>
      </w:r>
      <w:r w:rsidRPr="00B17DD9">
        <w:rPr>
          <w:rStyle w:val="AERtextitalic"/>
        </w:rPr>
        <w:t>Response to the draft decision and revised proposal,</w:t>
      </w:r>
      <w:r w:rsidRPr="00B17DD9">
        <w:t xml:space="preserve"> </w:t>
      </w:r>
      <w:r>
        <w:t xml:space="preserve"> February 2015, pp. 84–85.</w:t>
      </w:r>
    </w:p>
  </w:footnote>
  <w:footnote w:id="19">
    <w:p w:rsidR="00C039E4" w:rsidRDefault="00C039E4" w:rsidP="0065346E">
      <w:pPr>
        <w:pStyle w:val="FootnoteText"/>
      </w:pPr>
      <w:r>
        <w:rPr>
          <w:rStyle w:val="FootnoteReference"/>
        </w:rPr>
        <w:footnoteRef/>
      </w:r>
      <w:r>
        <w:t xml:space="preserve"> </w:t>
      </w:r>
      <w:r>
        <w:tab/>
        <w:t xml:space="preserve">JGN, </w:t>
      </w:r>
      <w:r w:rsidRPr="00B17DD9">
        <w:rPr>
          <w:rStyle w:val="AERtextitalic"/>
        </w:rPr>
        <w:t>Response to the draft decision and revised proposal,</w:t>
      </w:r>
      <w:r w:rsidRPr="00B17DD9">
        <w:t xml:space="preserve"> </w:t>
      </w:r>
      <w:r>
        <w:t xml:space="preserve"> February 2015, pp. 85–86.</w:t>
      </w:r>
    </w:p>
  </w:footnote>
  <w:footnote w:id="20">
    <w:p w:rsidR="00C039E4" w:rsidRDefault="00C039E4" w:rsidP="0065346E">
      <w:pPr>
        <w:pStyle w:val="FootnoteText"/>
      </w:pPr>
      <w:r>
        <w:rPr>
          <w:rStyle w:val="FootnoteReference"/>
        </w:rPr>
        <w:footnoteRef/>
      </w:r>
      <w:r>
        <w:t xml:space="preserve"> </w:t>
      </w:r>
      <w:r>
        <w:tab/>
      </w:r>
      <w:r w:rsidRPr="00FD43E1">
        <w:t xml:space="preserve">AER, </w:t>
      </w:r>
      <w:r w:rsidRPr="00FD43E1">
        <w:rPr>
          <w:rStyle w:val="Emphasis"/>
        </w:rPr>
        <w:t xml:space="preserve">Draft decision for Jemena Gas Networks (NSW) Ltd Access Arrangement 2015–20 </w:t>
      </w:r>
      <w:r>
        <w:rPr>
          <w:rStyle w:val="AERtextitalic"/>
        </w:rPr>
        <w:t xml:space="preserve">, Attachment 7, November 2014, </w:t>
      </w:r>
      <w:r>
        <w:t>p. 52.</w:t>
      </w:r>
    </w:p>
  </w:footnote>
  <w:footnote w:id="21">
    <w:p w:rsidR="00C039E4" w:rsidRDefault="00C039E4">
      <w:pPr>
        <w:pStyle w:val="FootnoteText"/>
      </w:pPr>
      <w:r>
        <w:rPr>
          <w:rStyle w:val="FootnoteReference"/>
        </w:rPr>
        <w:footnoteRef/>
      </w:r>
      <w:r>
        <w:t xml:space="preserve"> </w:t>
      </w:r>
      <w:r>
        <w:tab/>
        <w:t>Productivity is calculated as a ratio of outputs produced for a given quantity of inputs, where outputs is the numerator and inputs is the denominator. The quantity of inputs is affected by the price measure. A higher price measure will result in a lower quantity measure which will decrease the denominator in the productivity ratio calculation. This will result in a higher productivity measure.</w:t>
      </w:r>
    </w:p>
  </w:footnote>
  <w:footnote w:id="22">
    <w:p w:rsidR="00C039E4" w:rsidRDefault="00C039E4" w:rsidP="0065346E">
      <w:pPr>
        <w:pStyle w:val="FootnoteText"/>
      </w:pPr>
      <w:r>
        <w:rPr>
          <w:rStyle w:val="FootnoteReference"/>
        </w:rPr>
        <w:footnoteRef/>
      </w:r>
      <w:r>
        <w:t xml:space="preserve"> </w:t>
      </w:r>
      <w:r>
        <w:tab/>
        <w:t xml:space="preserve">Economic Insights, </w:t>
      </w:r>
      <w:r w:rsidRPr="000026D1">
        <w:rPr>
          <w:rStyle w:val="AERtextitalic"/>
        </w:rPr>
        <w:t>Economic Benchmarking assessment of operating expenditure of NSW and ACT electricity DNSPs</w:t>
      </w:r>
      <w:r>
        <w:t>, 17 November 2014, p. 23.</w:t>
      </w:r>
    </w:p>
  </w:footnote>
  <w:footnote w:id="23">
    <w:p w:rsidR="00C039E4" w:rsidRDefault="00C039E4" w:rsidP="0065346E">
      <w:pPr>
        <w:pStyle w:val="FootnoteText"/>
      </w:pPr>
      <w:r>
        <w:rPr>
          <w:rStyle w:val="FootnoteReference"/>
        </w:rPr>
        <w:footnoteRef/>
      </w:r>
      <w:r>
        <w:t xml:space="preserve"> </w:t>
      </w:r>
      <w:r>
        <w:tab/>
        <w:t>NGR r.74.</w:t>
      </w:r>
    </w:p>
  </w:footnote>
  <w:footnote w:id="24">
    <w:p w:rsidR="00C039E4" w:rsidRDefault="00C039E4" w:rsidP="0065346E">
      <w:pPr>
        <w:pStyle w:val="FootnoteText"/>
      </w:pPr>
      <w:r>
        <w:rPr>
          <w:rStyle w:val="FootnoteReference"/>
        </w:rPr>
        <w:footnoteRef/>
      </w:r>
      <w:r>
        <w:t xml:space="preserve"> </w:t>
      </w:r>
      <w:r>
        <w:tab/>
        <w:t>NGR r.91.</w:t>
      </w:r>
    </w:p>
  </w:footnote>
  <w:footnote w:id="25">
    <w:p w:rsidR="00C039E4" w:rsidRDefault="00C039E4" w:rsidP="0065346E">
      <w:pPr>
        <w:pStyle w:val="FootnoteText"/>
      </w:pPr>
      <w:r>
        <w:rPr>
          <w:rStyle w:val="FootnoteReference"/>
        </w:rPr>
        <w:footnoteRef/>
      </w:r>
      <w:r>
        <w:t xml:space="preserve"> </w:t>
      </w:r>
      <w:r>
        <w:tab/>
        <w:t>NGR r.40(2).</w:t>
      </w:r>
    </w:p>
  </w:footnote>
  <w:footnote w:id="26">
    <w:p w:rsidR="00C039E4" w:rsidRDefault="00C039E4" w:rsidP="0065346E">
      <w:pPr>
        <w:pStyle w:val="FootnoteText"/>
      </w:pPr>
      <w:r>
        <w:rPr>
          <w:rStyle w:val="FootnoteReference"/>
        </w:rPr>
        <w:footnoteRef/>
      </w:r>
      <w:r>
        <w:t xml:space="preserve"> </w:t>
      </w:r>
      <w:r>
        <w:tab/>
        <w:t xml:space="preserve">JGN, </w:t>
      </w:r>
      <w:r w:rsidRPr="00B17DD9">
        <w:rPr>
          <w:rStyle w:val="AERtextitalic"/>
        </w:rPr>
        <w:t>Response to the draft decision and revised proposal,</w:t>
      </w:r>
      <w:r w:rsidRPr="00B17DD9">
        <w:t xml:space="preserve"> </w:t>
      </w:r>
      <w:r>
        <w:t xml:space="preserve"> February 2015 p. 85.</w:t>
      </w:r>
    </w:p>
  </w:footnote>
  <w:footnote w:id="27">
    <w:p w:rsidR="00C039E4" w:rsidRDefault="00C039E4" w:rsidP="0065346E">
      <w:pPr>
        <w:pStyle w:val="FootnoteText"/>
      </w:pPr>
      <w:r>
        <w:rPr>
          <w:rStyle w:val="FootnoteReference"/>
        </w:rPr>
        <w:footnoteRef/>
      </w:r>
      <w:r>
        <w:t xml:space="preserve"> </w:t>
      </w:r>
      <w:r>
        <w:tab/>
      </w:r>
      <w:r w:rsidRPr="005063E7">
        <w:t xml:space="preserve">AER, </w:t>
      </w:r>
      <w:r w:rsidRPr="007B42DF">
        <w:rPr>
          <w:rStyle w:val="AERtextitalic"/>
        </w:rPr>
        <w:t>Access arrangement final decision SPI Networks (Gas) Pty Ltd 2013–17 – Part 3: appendices</w:t>
      </w:r>
      <w:r w:rsidRPr="005063E7">
        <w:t>, March 2013, p. 7.</w:t>
      </w:r>
    </w:p>
  </w:footnote>
  <w:footnote w:id="28">
    <w:p w:rsidR="00C039E4" w:rsidRDefault="00C039E4" w:rsidP="0065346E">
      <w:pPr>
        <w:pStyle w:val="FootnoteText"/>
      </w:pPr>
      <w:r>
        <w:rPr>
          <w:rStyle w:val="FootnoteReference"/>
        </w:rPr>
        <w:footnoteRef/>
      </w:r>
      <w:r>
        <w:t xml:space="preserve"> </w:t>
      </w:r>
      <w:r>
        <w:tab/>
        <w:t xml:space="preserve">Professor Borland, </w:t>
      </w:r>
      <w:r w:rsidRPr="000026D1">
        <w:rPr>
          <w:rStyle w:val="AERtextitalic"/>
        </w:rPr>
        <w:t>Recommendations for methodology for forecasting WPI</w:t>
      </w:r>
      <w:r>
        <w:t>, October 2012, p. 3.</w:t>
      </w:r>
    </w:p>
  </w:footnote>
  <w:footnote w:id="29">
    <w:p w:rsidR="00C039E4" w:rsidRDefault="00C039E4" w:rsidP="0065346E">
      <w:pPr>
        <w:pStyle w:val="FootnoteText"/>
      </w:pPr>
      <w:r>
        <w:rPr>
          <w:rStyle w:val="FootnoteReference"/>
        </w:rPr>
        <w:footnoteRef/>
      </w:r>
      <w:r>
        <w:t xml:space="preserve"> </w:t>
      </w:r>
      <w:r>
        <w:tab/>
      </w:r>
      <w:r w:rsidRPr="00FD43E1">
        <w:t xml:space="preserve">AER, </w:t>
      </w:r>
      <w:r w:rsidRPr="00FD43E1">
        <w:rPr>
          <w:rStyle w:val="Emphasis"/>
        </w:rPr>
        <w:t xml:space="preserve">Draft decision for Jemena Gas Networks (NSW) Ltd Access Arrangement 2015–20 </w:t>
      </w:r>
      <w:r w:rsidRPr="00FD43E1">
        <w:rPr>
          <w:rStyle w:val="AERtextitalic"/>
        </w:rPr>
        <w:t>, Attachment 7,</w:t>
      </w:r>
      <w:r>
        <w:rPr>
          <w:rStyle w:val="AERtextitalic"/>
        </w:rPr>
        <w:t xml:space="preserve"> November 2014, </w:t>
      </w:r>
      <w:r>
        <w:t>p. 55.</w:t>
      </w:r>
    </w:p>
  </w:footnote>
  <w:footnote w:id="30">
    <w:p w:rsidR="00C039E4" w:rsidRDefault="00C039E4" w:rsidP="0065346E">
      <w:pPr>
        <w:pStyle w:val="FootnoteText"/>
      </w:pPr>
      <w:r>
        <w:rPr>
          <w:rStyle w:val="FootnoteReference"/>
        </w:rPr>
        <w:footnoteRef/>
      </w:r>
      <w:r>
        <w:t xml:space="preserve"> </w:t>
      </w:r>
      <w:r>
        <w:tab/>
      </w:r>
      <w:r w:rsidRPr="00FD43E1">
        <w:t xml:space="preserve">AER, </w:t>
      </w:r>
      <w:r w:rsidRPr="00FD43E1">
        <w:rPr>
          <w:rStyle w:val="Emphasis"/>
        </w:rPr>
        <w:t xml:space="preserve">Draft decision for Jemena Gas Networks (NSW) Ltd Access Arrangement 2015–20 </w:t>
      </w:r>
      <w:r w:rsidRPr="00FD43E1">
        <w:rPr>
          <w:rStyle w:val="AERtextitalic"/>
        </w:rPr>
        <w:t xml:space="preserve">, Attachment 7, </w:t>
      </w:r>
      <w:r>
        <w:rPr>
          <w:rStyle w:val="AERtextitalic"/>
        </w:rPr>
        <w:t xml:space="preserve"> November 2014 </w:t>
      </w:r>
      <w:r>
        <w:t>p. 54.</w:t>
      </w:r>
    </w:p>
  </w:footnote>
  <w:footnote w:id="31">
    <w:p w:rsidR="00C039E4" w:rsidRDefault="00C039E4" w:rsidP="0065346E">
      <w:pPr>
        <w:pStyle w:val="FootnoteText"/>
      </w:pPr>
      <w:r>
        <w:rPr>
          <w:rStyle w:val="FootnoteReference"/>
        </w:rPr>
        <w:footnoteRef/>
      </w:r>
      <w:r>
        <w:t xml:space="preserve"> </w:t>
      </w:r>
      <w:r>
        <w:tab/>
        <w:t xml:space="preserve">JGN, </w:t>
      </w:r>
      <w:r w:rsidRPr="000026D1">
        <w:rPr>
          <w:rStyle w:val="AERtextitalic"/>
        </w:rPr>
        <w:t>JGN opex forecast model – updated – Public, Input escalators worksheet</w:t>
      </w:r>
      <w:r>
        <w:t>.</w:t>
      </w:r>
    </w:p>
  </w:footnote>
  <w:footnote w:id="32">
    <w:p w:rsidR="00C039E4" w:rsidRDefault="00C039E4" w:rsidP="0065346E">
      <w:pPr>
        <w:pStyle w:val="FootnoteText"/>
      </w:pPr>
      <w:r>
        <w:rPr>
          <w:rStyle w:val="FootnoteReference"/>
        </w:rPr>
        <w:footnoteRef/>
      </w:r>
      <w:r>
        <w:t xml:space="preserve"> </w:t>
      </w:r>
      <w:r>
        <w:tab/>
        <w:t xml:space="preserve">JGN, </w:t>
      </w:r>
      <w:r w:rsidRPr="00B17DD9">
        <w:rPr>
          <w:rStyle w:val="AERtextitalic"/>
        </w:rPr>
        <w:t>Response to the draft decision and revised proposal,</w:t>
      </w:r>
      <w:r w:rsidRPr="00B17DD9">
        <w:t xml:space="preserve"> </w:t>
      </w:r>
      <w:r>
        <w:t xml:space="preserve">  February 2015, p. 85.</w:t>
      </w:r>
    </w:p>
  </w:footnote>
  <w:footnote w:id="33">
    <w:p w:rsidR="00C039E4" w:rsidRDefault="00C039E4" w:rsidP="00FD43E1">
      <w:pPr>
        <w:pStyle w:val="FootnoteText"/>
      </w:pPr>
      <w:r>
        <w:rPr>
          <w:rStyle w:val="FootnoteReference"/>
        </w:rPr>
        <w:footnoteRef/>
      </w:r>
      <w:r>
        <w:t xml:space="preserve"> </w:t>
      </w:r>
      <w:r>
        <w:tab/>
        <w:t xml:space="preserve">AER, </w:t>
      </w:r>
      <w:r w:rsidRPr="00FD43E1">
        <w:rPr>
          <w:rStyle w:val="AERtextitalic"/>
        </w:rPr>
        <w:t>Access arrangement draft decision for Envestra Ltd 2013–17, Part</w:t>
      </w:r>
      <w:r w:rsidRPr="000026D1">
        <w:rPr>
          <w:rStyle w:val="AERtextitalic"/>
        </w:rPr>
        <w:t xml:space="preserve"> 3 appendices</w:t>
      </w:r>
      <w:r>
        <w:t>, September 2012, p. 122.</w:t>
      </w:r>
    </w:p>
  </w:footnote>
  <w:footnote w:id="34">
    <w:p w:rsidR="00C039E4" w:rsidRDefault="00C039E4" w:rsidP="00B217BB">
      <w:pPr>
        <w:pStyle w:val="FootnoteText"/>
      </w:pPr>
      <w:r>
        <w:rPr>
          <w:rStyle w:val="FootnoteReference"/>
        </w:rPr>
        <w:footnoteRef/>
      </w:r>
      <w:r>
        <w:t xml:space="preserve"> </w:t>
      </w:r>
      <w:r>
        <w:tab/>
        <w:t xml:space="preserve">AER, </w:t>
      </w:r>
      <w:r w:rsidRPr="00B217BB">
        <w:rPr>
          <w:rStyle w:val="AERtextitalic"/>
        </w:rPr>
        <w:t>Draft decision - Ausgrid distribution determination 2015–16 to 2018–19</w:t>
      </w:r>
      <w:r w:rsidRPr="000026D1">
        <w:rPr>
          <w:rStyle w:val="AERtextitalic"/>
        </w:rPr>
        <w:t>, Attachment 7</w:t>
      </w:r>
      <w:r>
        <w:t>, November 2014;  AER</w:t>
      </w:r>
      <w:r w:rsidRPr="000026D1">
        <w:rPr>
          <w:rStyle w:val="AERtextitalic"/>
        </w:rPr>
        <w:t xml:space="preserve">, </w:t>
      </w:r>
      <w:r w:rsidRPr="00B217BB">
        <w:rPr>
          <w:rStyle w:val="AERtextitalic"/>
        </w:rPr>
        <w:t xml:space="preserve">Draft decision - </w:t>
      </w:r>
      <w:r>
        <w:rPr>
          <w:rStyle w:val="AERtextitalic"/>
        </w:rPr>
        <w:t>Endeavour Energy</w:t>
      </w:r>
      <w:r w:rsidRPr="00B217BB">
        <w:rPr>
          <w:rStyle w:val="AERtextitalic"/>
        </w:rPr>
        <w:t xml:space="preserve"> distribution determination, Attachment 7</w:t>
      </w:r>
      <w:r>
        <w:t xml:space="preserve">, November 2014;  and AER, </w:t>
      </w:r>
      <w:r w:rsidRPr="00B217BB">
        <w:rPr>
          <w:rStyle w:val="AERtextitalic"/>
        </w:rPr>
        <w:t xml:space="preserve">Draft decision - </w:t>
      </w:r>
      <w:r>
        <w:rPr>
          <w:rStyle w:val="AERtextitalic"/>
        </w:rPr>
        <w:t>Essential Energy</w:t>
      </w:r>
      <w:r w:rsidRPr="00B217BB">
        <w:rPr>
          <w:rStyle w:val="AERtextitalic"/>
        </w:rPr>
        <w:t xml:space="preserve"> distribution determination</w:t>
      </w:r>
      <w:r w:rsidRPr="000026D1">
        <w:rPr>
          <w:rStyle w:val="AERtextitalic"/>
        </w:rPr>
        <w:t>, Attachment 7</w:t>
      </w:r>
      <w:r>
        <w:t>, November 2014.</w:t>
      </w:r>
    </w:p>
  </w:footnote>
  <w:footnote w:id="35">
    <w:p w:rsidR="00C039E4" w:rsidRDefault="00C039E4" w:rsidP="0065346E">
      <w:pPr>
        <w:pStyle w:val="FootnoteText"/>
      </w:pPr>
      <w:r>
        <w:rPr>
          <w:rStyle w:val="FootnoteReference"/>
        </w:rPr>
        <w:footnoteRef/>
      </w:r>
      <w:r>
        <w:t xml:space="preserve"> </w:t>
      </w:r>
      <w:r>
        <w:tab/>
        <w:t>Energy Markets Reform Forum</w:t>
      </w:r>
      <w:r w:rsidRPr="000026D1">
        <w:rPr>
          <w:rStyle w:val="AERtextitalic"/>
        </w:rPr>
        <w:t>, Draft decision by the Australian Energy Regulatory on Jemena's Gas Networks Access Arrangement, A response by the Energy Markets Reform Forum, March 2015</w:t>
      </w:r>
      <w:r>
        <w:t>, pp. 47–48.</w:t>
      </w:r>
    </w:p>
  </w:footnote>
  <w:footnote w:id="36">
    <w:p w:rsidR="00C039E4" w:rsidRDefault="00C039E4" w:rsidP="0065346E">
      <w:pPr>
        <w:pStyle w:val="FootnoteText"/>
      </w:pPr>
      <w:r>
        <w:rPr>
          <w:rStyle w:val="FootnoteReference"/>
        </w:rPr>
        <w:footnoteRef/>
      </w:r>
      <w:r>
        <w:t xml:space="preserve"> </w:t>
      </w:r>
      <w:r>
        <w:tab/>
        <w:t>Economic Insights, Relative opex efficiency and forecast opex productivity growth of Jemena Gas Networks, September 2014, p. 41.</w:t>
      </w:r>
    </w:p>
  </w:footnote>
  <w:footnote w:id="37">
    <w:p w:rsidR="00C039E4" w:rsidRDefault="00C039E4" w:rsidP="0065346E">
      <w:pPr>
        <w:pStyle w:val="FootnoteText"/>
      </w:pPr>
      <w:r>
        <w:rPr>
          <w:rStyle w:val="FootnoteReference"/>
        </w:rPr>
        <w:footnoteRef/>
      </w:r>
      <w:r>
        <w:t xml:space="preserve"> </w:t>
      </w:r>
      <w:r>
        <w:tab/>
        <w:t>Energy Markets Reform Forum</w:t>
      </w:r>
      <w:r w:rsidRPr="00F8142A">
        <w:rPr>
          <w:rStyle w:val="AERtextitalic"/>
        </w:rPr>
        <w:t>, Draft decision by the Australian Energy Regulatory on Jemena's Gas Networks Access Arrangement, A response by the Energy Markets Reform Forum, March 2015</w:t>
      </w:r>
      <w:r>
        <w:t>, pp. 47–48.</w:t>
      </w:r>
    </w:p>
  </w:footnote>
  <w:footnote w:id="38">
    <w:p w:rsidR="00C039E4" w:rsidRDefault="00C039E4" w:rsidP="0065346E">
      <w:pPr>
        <w:pStyle w:val="FootnoteText"/>
      </w:pPr>
      <w:r>
        <w:rPr>
          <w:rStyle w:val="FootnoteReference"/>
        </w:rPr>
        <w:footnoteRef/>
      </w:r>
      <w:r>
        <w:t xml:space="preserve"> </w:t>
      </w:r>
      <w:r>
        <w:tab/>
      </w:r>
      <w:r w:rsidRPr="00FD43E1">
        <w:t xml:space="preserve">AER, </w:t>
      </w:r>
      <w:r w:rsidRPr="00FD43E1">
        <w:rPr>
          <w:rStyle w:val="Emphasis"/>
        </w:rPr>
        <w:t xml:space="preserve">Draft decision for Jemena Gas Networks (NSW) Ltd Access Arrangement 2015–20 </w:t>
      </w:r>
      <w:r w:rsidRPr="00FD43E1">
        <w:rPr>
          <w:rStyle w:val="AERtextitalic"/>
        </w:rPr>
        <w:t xml:space="preserve">, Attachment 7, </w:t>
      </w:r>
      <w:r>
        <w:rPr>
          <w:rStyle w:val="AERtextitalic"/>
        </w:rPr>
        <w:t>November 2014</w:t>
      </w:r>
      <w:r>
        <w:t>, p. 61.</w:t>
      </w:r>
    </w:p>
  </w:footnote>
  <w:footnote w:id="39">
    <w:p w:rsidR="00C039E4" w:rsidRDefault="00C039E4" w:rsidP="0065346E">
      <w:pPr>
        <w:pStyle w:val="FootnoteText"/>
      </w:pPr>
      <w:r>
        <w:rPr>
          <w:rStyle w:val="FootnoteReference"/>
        </w:rPr>
        <w:footnoteRef/>
      </w:r>
      <w:r>
        <w:t xml:space="preserve"> </w:t>
      </w:r>
      <w:r>
        <w:tab/>
      </w:r>
      <w:r w:rsidRPr="00FD43E1">
        <w:t xml:space="preserve">AER, </w:t>
      </w:r>
      <w:r w:rsidRPr="00FD43E1">
        <w:rPr>
          <w:rStyle w:val="Emphasis"/>
        </w:rPr>
        <w:t xml:space="preserve">Draft decision for Jemena Gas Networks (NSW) Ltd Access Arrangement 2015–20 </w:t>
      </w:r>
      <w:r w:rsidRPr="00FD43E1">
        <w:rPr>
          <w:rStyle w:val="AERtextitalic"/>
        </w:rPr>
        <w:t xml:space="preserve">, Attachment 7, </w:t>
      </w:r>
      <w:r>
        <w:rPr>
          <w:rStyle w:val="AERtextitalic"/>
        </w:rPr>
        <w:t>November 2014</w:t>
      </w:r>
      <w:r>
        <w:t>, p. 24.</w:t>
      </w:r>
    </w:p>
  </w:footnote>
  <w:footnote w:id="40">
    <w:p w:rsidR="00C039E4" w:rsidRDefault="00C039E4" w:rsidP="00C37A6C">
      <w:pPr>
        <w:pStyle w:val="FootnoteText"/>
      </w:pPr>
      <w:r>
        <w:rPr>
          <w:rStyle w:val="FootnoteReference"/>
        </w:rPr>
        <w:footnoteRef/>
      </w:r>
      <w:r>
        <w:t xml:space="preserve"> </w:t>
      </w:r>
      <w:r>
        <w:tab/>
        <w:t xml:space="preserve">JGN, </w:t>
      </w:r>
      <w:r w:rsidRPr="00B17DD9">
        <w:rPr>
          <w:rStyle w:val="AERtextitalic"/>
        </w:rPr>
        <w:t>Response to the draft decision and revised proposal,</w:t>
      </w:r>
      <w:r w:rsidRPr="00B17DD9">
        <w:t xml:space="preserve"> February 2015</w:t>
      </w:r>
      <w:r>
        <w:t xml:space="preserve">, p. 87 and </w:t>
      </w:r>
      <w:r w:rsidRPr="00BD3B94">
        <w:rPr>
          <w:rStyle w:val="AERtextitalic"/>
        </w:rPr>
        <w:t>Appendix 5.4 - Operating expenditure step changes report</w:t>
      </w:r>
      <w:r>
        <w:t>.</w:t>
      </w:r>
    </w:p>
  </w:footnote>
  <w:footnote w:id="41">
    <w:p w:rsidR="00C039E4" w:rsidRDefault="00C039E4" w:rsidP="00072B4E">
      <w:pPr>
        <w:pStyle w:val="FootnoteText"/>
      </w:pPr>
      <w:r>
        <w:rPr>
          <w:rStyle w:val="FootnoteReference"/>
        </w:rPr>
        <w:footnoteRef/>
      </w:r>
      <w:r>
        <w:t xml:space="preserve"> </w:t>
      </w:r>
      <w:r>
        <w:tab/>
        <w:t xml:space="preserve">ERMF, </w:t>
      </w:r>
      <w:r w:rsidRPr="00900F08">
        <w:rPr>
          <w:rStyle w:val="AERtextitalic"/>
        </w:rPr>
        <w:t>Response to AER DD and JGN revised proposal</w:t>
      </w:r>
      <w:r>
        <w:t>, March 2015, pp. 11, 41.</w:t>
      </w:r>
    </w:p>
  </w:footnote>
  <w:footnote w:id="42">
    <w:p w:rsidR="00C039E4" w:rsidRDefault="00C039E4">
      <w:pPr>
        <w:pStyle w:val="FootnoteText"/>
      </w:pPr>
      <w:r>
        <w:rPr>
          <w:rStyle w:val="FootnoteReference"/>
        </w:rPr>
        <w:footnoteRef/>
      </w:r>
      <w:r>
        <w:t xml:space="preserve"> </w:t>
      </w:r>
      <w:r>
        <w:tab/>
        <w:t xml:space="preserve">ERMF, </w:t>
      </w:r>
      <w:r w:rsidRPr="00900F08">
        <w:rPr>
          <w:rStyle w:val="AERtextitalic"/>
        </w:rPr>
        <w:t>Response to AER DD and JGN revised proposal</w:t>
      </w:r>
      <w:r>
        <w:t>, March 2015, pp. 11, 52.</w:t>
      </w:r>
    </w:p>
  </w:footnote>
  <w:footnote w:id="43">
    <w:p w:rsidR="00C039E4" w:rsidRDefault="00C039E4" w:rsidP="00576716">
      <w:pPr>
        <w:pStyle w:val="FootnoteText"/>
      </w:pPr>
      <w:r>
        <w:rPr>
          <w:rStyle w:val="FootnoteReference"/>
        </w:rPr>
        <w:footnoteRef/>
      </w:r>
      <w:r>
        <w:t xml:space="preserve"> </w:t>
      </w:r>
      <w:r>
        <w:tab/>
        <w:t xml:space="preserve">JGN, </w:t>
      </w:r>
      <w:r w:rsidRPr="00B17DD9">
        <w:rPr>
          <w:rStyle w:val="AERtextitalic"/>
        </w:rPr>
        <w:t>Response to the draft decision and revised proposal,</w:t>
      </w:r>
      <w:r w:rsidRPr="00B17DD9">
        <w:t xml:space="preserve"> </w:t>
      </w:r>
      <w:r w:rsidRPr="00BD3B94">
        <w:rPr>
          <w:rStyle w:val="AERtextitalic"/>
        </w:rPr>
        <w:t>Appendix 5.4 - Operating expenditure step changes report</w:t>
      </w:r>
      <w:r>
        <w:t>,</w:t>
      </w:r>
      <w:r w:rsidRPr="00BD3B94">
        <w:t xml:space="preserve"> </w:t>
      </w:r>
      <w:r w:rsidRPr="00B17DD9">
        <w:t>February 2015</w:t>
      </w:r>
      <w:r>
        <w:t>, p. 1.</w:t>
      </w:r>
    </w:p>
  </w:footnote>
  <w:footnote w:id="44">
    <w:p w:rsidR="00C039E4" w:rsidRDefault="00C039E4" w:rsidP="00576716">
      <w:pPr>
        <w:pStyle w:val="FootnoteText"/>
      </w:pPr>
      <w:r>
        <w:rPr>
          <w:rStyle w:val="FootnoteReference"/>
        </w:rPr>
        <w:footnoteRef/>
      </w:r>
      <w:r>
        <w:t xml:space="preserve"> </w:t>
      </w:r>
      <w:r>
        <w:tab/>
      </w:r>
      <w:r w:rsidRPr="00FD43E1">
        <w:t xml:space="preserve">AER, </w:t>
      </w:r>
      <w:r w:rsidRPr="00FD43E1">
        <w:rPr>
          <w:rStyle w:val="Emphasis"/>
        </w:rPr>
        <w:t>Draft decision for Jemena Gas Networks (NSW) Ltd Access Arrangement 2015–20</w:t>
      </w:r>
      <w:r w:rsidRPr="00FD43E1">
        <w:rPr>
          <w:rStyle w:val="AERtextitalic"/>
        </w:rPr>
        <w:t>,</w:t>
      </w:r>
      <w:r>
        <w:rPr>
          <w:rStyle w:val="AERtextitalic"/>
        </w:rPr>
        <w:t xml:space="preserve"> </w:t>
      </w:r>
      <w:r w:rsidRPr="00FD43E1">
        <w:rPr>
          <w:rStyle w:val="AERtextitalic"/>
        </w:rPr>
        <w:t xml:space="preserve"> </w:t>
      </w:r>
      <w:r w:rsidRPr="0002322E">
        <w:rPr>
          <w:rStyle w:val="AERtextitalic"/>
        </w:rPr>
        <w:t>Attachment 11 – Reference tariff variation mechanism, revisions 11.2 and 11.3</w:t>
      </w:r>
      <w:r w:rsidRPr="0002322E">
        <w:t>, pp. 11-24 to 11-25.</w:t>
      </w:r>
    </w:p>
  </w:footnote>
  <w:footnote w:id="45">
    <w:p w:rsidR="00C039E4" w:rsidRDefault="00C039E4" w:rsidP="00576716">
      <w:pPr>
        <w:pStyle w:val="FootnoteText"/>
      </w:pPr>
      <w:r>
        <w:rPr>
          <w:rStyle w:val="FootnoteReference"/>
        </w:rPr>
        <w:footnoteRef/>
      </w:r>
      <w:r>
        <w:t xml:space="preserve"> </w:t>
      </w:r>
      <w:r>
        <w:tab/>
        <w:t xml:space="preserve">JGN, </w:t>
      </w:r>
      <w:r w:rsidRPr="00B17DD9">
        <w:rPr>
          <w:rStyle w:val="AERtextitalic"/>
        </w:rPr>
        <w:t>Response to the draft decision and revised proposal,</w:t>
      </w:r>
      <w:r w:rsidRPr="00B17DD9">
        <w:t xml:space="preserve"> February 2015</w:t>
      </w:r>
      <w:r>
        <w:t>, p. 119.</w:t>
      </w:r>
    </w:p>
  </w:footnote>
  <w:footnote w:id="46">
    <w:p w:rsidR="00C039E4" w:rsidRDefault="00C039E4" w:rsidP="00576716">
      <w:pPr>
        <w:pStyle w:val="FootnoteText"/>
      </w:pPr>
      <w:r>
        <w:rPr>
          <w:rStyle w:val="FootnoteReference"/>
        </w:rPr>
        <w:footnoteRef/>
      </w:r>
      <w:r>
        <w:t xml:space="preserve"> </w:t>
      </w:r>
      <w:r>
        <w:tab/>
      </w:r>
      <w:r w:rsidRPr="00B17DD9">
        <w:t xml:space="preserve">JGN, </w:t>
      </w:r>
      <w:r w:rsidRPr="00B17DD9">
        <w:rPr>
          <w:rStyle w:val="AERtextitalic"/>
        </w:rPr>
        <w:t>Response to the draft decision and revised proposal,</w:t>
      </w:r>
      <w:r w:rsidRPr="00B17DD9">
        <w:t xml:space="preserve"> </w:t>
      </w:r>
      <w:r w:rsidRPr="00BD3B94">
        <w:rPr>
          <w:rStyle w:val="AERtextitalic"/>
        </w:rPr>
        <w:t>Appendix 5.4 - Operating expenditure step changes report</w:t>
      </w:r>
      <w:r>
        <w:t xml:space="preserve">, </w:t>
      </w:r>
      <w:r w:rsidRPr="00B17DD9">
        <w:t>February 2015</w:t>
      </w:r>
      <w:r>
        <w:t>, p. 8.</w:t>
      </w:r>
    </w:p>
  </w:footnote>
  <w:footnote w:id="47">
    <w:p w:rsidR="00C039E4" w:rsidRDefault="00C039E4" w:rsidP="00576716">
      <w:pPr>
        <w:pStyle w:val="FootnoteText"/>
      </w:pPr>
      <w:r>
        <w:rPr>
          <w:rStyle w:val="FootnoteReference"/>
        </w:rPr>
        <w:footnoteRef/>
      </w:r>
      <w:r>
        <w:t xml:space="preserve"> </w:t>
      </w:r>
      <w:r>
        <w:tab/>
      </w:r>
      <w:r w:rsidRPr="00B17DD9">
        <w:t xml:space="preserve">JGN, </w:t>
      </w:r>
      <w:r w:rsidRPr="00B17DD9">
        <w:rPr>
          <w:rStyle w:val="AERtextitalic"/>
        </w:rPr>
        <w:t>Response to the draft decision and revised proposal,</w:t>
      </w:r>
      <w:r w:rsidRPr="00B17DD9">
        <w:t xml:space="preserve"> </w:t>
      </w:r>
      <w:r w:rsidRPr="00BD3B94">
        <w:rPr>
          <w:rStyle w:val="AERtextitalic"/>
        </w:rPr>
        <w:t>Appendix 5.4 - Operating expenditure step changes report</w:t>
      </w:r>
      <w:r>
        <w:t xml:space="preserve">, </w:t>
      </w:r>
      <w:r w:rsidRPr="00B17DD9">
        <w:t>February 2015</w:t>
      </w:r>
      <w:r>
        <w:t>, pp. 10-11.</w:t>
      </w:r>
    </w:p>
  </w:footnote>
  <w:footnote w:id="48">
    <w:p w:rsidR="00C039E4" w:rsidRDefault="00C039E4" w:rsidP="00AE1B5D">
      <w:pPr>
        <w:pStyle w:val="FootnoteText"/>
      </w:pPr>
      <w:r>
        <w:rPr>
          <w:rStyle w:val="FootnoteReference"/>
        </w:rPr>
        <w:footnoteRef/>
      </w:r>
      <w:r>
        <w:t xml:space="preserve">  </w:t>
      </w:r>
      <w:r>
        <w:tab/>
      </w:r>
      <w:r w:rsidRPr="003E785E">
        <w:t>http://www.aemo.com.au/Consultations/Gas-Consultations/General/IIR-IN006_14-Harmonisation-of-NSW_ACT-business-to-business-processes</w:t>
      </w:r>
      <w:r w:rsidRPr="00AE1B5D">
        <w:rPr>
          <w:rStyle w:val="Hyperlink"/>
          <w:color w:val="auto"/>
          <w:sz w:val="16"/>
          <w:u w:val="none"/>
        </w:rPr>
        <w:t>.</w:t>
      </w:r>
      <w:r>
        <w:t xml:space="preserve"> </w:t>
      </w:r>
    </w:p>
  </w:footnote>
  <w:footnote w:id="49">
    <w:p w:rsidR="00C039E4" w:rsidRDefault="00C039E4" w:rsidP="00576716">
      <w:pPr>
        <w:pStyle w:val="FootnoteText"/>
      </w:pPr>
      <w:r>
        <w:rPr>
          <w:rStyle w:val="FootnoteReference"/>
        </w:rPr>
        <w:footnoteRef/>
      </w:r>
      <w:r>
        <w:t xml:space="preserve"> </w:t>
      </w:r>
      <w:r>
        <w:tab/>
      </w:r>
      <w:r w:rsidRPr="00DB74E1">
        <w:t xml:space="preserve">JGN, </w:t>
      </w:r>
      <w:r w:rsidRPr="00DB74E1">
        <w:rPr>
          <w:rStyle w:val="AERtextitalic"/>
        </w:rPr>
        <w:t>Access Arrangement Information - Revised proposal, Addendum - B2B harmonisation capex and opex proposal</w:t>
      </w:r>
      <w:r w:rsidRPr="00DB74E1">
        <w:t>, 17 March 2015</w:t>
      </w:r>
      <w:r>
        <w:t>.</w:t>
      </w:r>
    </w:p>
  </w:footnote>
  <w:footnote w:id="50">
    <w:p w:rsidR="00C039E4" w:rsidRDefault="00C039E4" w:rsidP="00576716">
      <w:pPr>
        <w:pStyle w:val="FootnoteText"/>
      </w:pPr>
      <w:r>
        <w:rPr>
          <w:rStyle w:val="FootnoteReference"/>
        </w:rPr>
        <w:footnoteRef/>
      </w:r>
      <w:r>
        <w:t xml:space="preserve"> </w:t>
      </w:r>
      <w:r>
        <w:tab/>
      </w:r>
      <w:r w:rsidRPr="008E048C">
        <w:t xml:space="preserve">JGN, </w:t>
      </w:r>
      <w:r w:rsidRPr="008E048C">
        <w:rPr>
          <w:rStyle w:val="AERtextitalic"/>
        </w:rPr>
        <w:t>Access Arrangement Information - Revised proposal, Addendum - B2B harmonisation capex and opex proposal</w:t>
      </w:r>
      <w:r w:rsidRPr="008E048C">
        <w:t>, 17 March 2015</w:t>
      </w:r>
      <w:r>
        <w:t>, cited AEMO</w:t>
      </w:r>
      <w:r w:rsidRPr="0002322E">
        <w:rPr>
          <w:rStyle w:val="AERtextitalic"/>
        </w:rPr>
        <w:t>, Impact and implementation report issue no IN006/14</w:t>
      </w:r>
      <w:r>
        <w:t>, 9 January 2015.</w:t>
      </w:r>
    </w:p>
  </w:footnote>
  <w:footnote w:id="51">
    <w:p w:rsidR="00C039E4" w:rsidRDefault="00C039E4">
      <w:pPr>
        <w:pStyle w:val="FootnoteText"/>
      </w:pPr>
      <w:r>
        <w:rPr>
          <w:rStyle w:val="FootnoteReference"/>
        </w:rPr>
        <w:footnoteRef/>
      </w:r>
      <w:r>
        <w:t xml:space="preserve"> </w:t>
      </w:r>
      <w:r>
        <w:tab/>
      </w:r>
      <w:r w:rsidRPr="006760C0">
        <w:t xml:space="preserve">Nous Group, </w:t>
      </w:r>
      <w:r w:rsidRPr="006760C0">
        <w:rPr>
          <w:rStyle w:val="AERtextitalic"/>
        </w:rPr>
        <w:t>NSW/ACT Gas Market Reform – Cost Benefit Analysis</w:t>
      </w:r>
      <w:r w:rsidRPr="006760C0">
        <w:t>, 3 July 2014, pp. 14-15.</w:t>
      </w:r>
    </w:p>
  </w:footnote>
  <w:footnote w:id="52">
    <w:p w:rsidR="00C039E4" w:rsidRDefault="00C039E4">
      <w:pPr>
        <w:pStyle w:val="FootnoteText"/>
      </w:pPr>
      <w:r>
        <w:rPr>
          <w:rStyle w:val="FootnoteReference"/>
        </w:rPr>
        <w:footnoteRef/>
      </w:r>
      <w:r>
        <w:t xml:space="preserve"> </w:t>
      </w:r>
      <w:r>
        <w:tab/>
        <w:t xml:space="preserve">Origin Energy, </w:t>
      </w:r>
      <w:r w:rsidRPr="00C00AF9">
        <w:rPr>
          <w:rStyle w:val="AERtextitalic"/>
        </w:rPr>
        <w:t>Submission on JGN's draft decision</w:t>
      </w:r>
      <w:r>
        <w:t>, 27 March 2015, p. 7.</w:t>
      </w:r>
    </w:p>
  </w:footnote>
  <w:footnote w:id="53">
    <w:p w:rsidR="00C039E4" w:rsidRDefault="00C039E4" w:rsidP="00CB2554">
      <w:pPr>
        <w:pStyle w:val="FootnoteText"/>
      </w:pPr>
      <w:r>
        <w:rPr>
          <w:rStyle w:val="FootnoteReference"/>
        </w:rPr>
        <w:footnoteRef/>
      </w:r>
      <w:r>
        <w:t xml:space="preserve"> </w:t>
      </w:r>
      <w:r>
        <w:tab/>
      </w:r>
      <w:r w:rsidRPr="00DB74E1">
        <w:t xml:space="preserve">JGN, </w:t>
      </w:r>
      <w:r w:rsidRPr="00DB74E1">
        <w:rPr>
          <w:rStyle w:val="AERtextitalic"/>
        </w:rPr>
        <w:t>Access Arrangement Information - Revised proposal, Addendum - B2B harmonisation capex and opex proposal</w:t>
      </w:r>
      <w:r w:rsidRPr="00DB74E1">
        <w:t>, 17 March 2015</w:t>
      </w:r>
      <w:r>
        <w:t xml:space="preserve">, pp. 8-9. </w:t>
      </w:r>
    </w:p>
  </w:footnote>
  <w:footnote w:id="54">
    <w:p w:rsidR="00C039E4" w:rsidRDefault="00C039E4" w:rsidP="009524E6">
      <w:pPr>
        <w:pStyle w:val="FootnoteText"/>
      </w:pPr>
      <w:r>
        <w:rPr>
          <w:rStyle w:val="FootnoteReference"/>
        </w:rPr>
        <w:footnoteRef/>
      </w:r>
      <w:r>
        <w:t xml:space="preserve"> </w:t>
      </w:r>
      <w:r>
        <w:tab/>
        <w:t xml:space="preserve">JGN, </w:t>
      </w:r>
      <w:r w:rsidRPr="00B17DD9">
        <w:rPr>
          <w:rStyle w:val="AERtextitalic"/>
        </w:rPr>
        <w:t>Response to the draft decision and revised proposal,</w:t>
      </w:r>
      <w:r w:rsidRPr="00B17DD9">
        <w:t xml:space="preserve"> </w:t>
      </w:r>
      <w:r w:rsidRPr="00BD3B94">
        <w:rPr>
          <w:rStyle w:val="AERtextitalic"/>
        </w:rPr>
        <w:t>Appendix 5.4 - Operating expenditure step changes report</w:t>
      </w:r>
      <w:r>
        <w:t>,</w:t>
      </w:r>
      <w:r w:rsidRPr="00BD3B94">
        <w:t xml:space="preserve"> </w:t>
      </w:r>
      <w:r w:rsidRPr="00B17DD9">
        <w:t>February 2015</w:t>
      </w:r>
      <w:r>
        <w:t>, p. 3.</w:t>
      </w:r>
    </w:p>
  </w:footnote>
  <w:footnote w:id="55">
    <w:p w:rsidR="00C039E4" w:rsidRDefault="00C039E4" w:rsidP="009524E6">
      <w:pPr>
        <w:pStyle w:val="FootnoteText"/>
      </w:pPr>
      <w:r>
        <w:rPr>
          <w:rStyle w:val="FootnoteReference"/>
        </w:rPr>
        <w:footnoteRef/>
      </w:r>
      <w:r>
        <w:t xml:space="preserve"> </w:t>
      </w:r>
      <w:r>
        <w:tab/>
        <w:t>NGR, cl. 91(1) states that o</w:t>
      </w:r>
      <w:r w:rsidRPr="00C326B4">
        <w:t>perating expenditure must be such as would be incurred by a prudent service provider acting efficiently, in accordance with accepted good industry practice, to achieve the lowest sustainable cost of delivering pipeline services.</w:t>
      </w:r>
    </w:p>
  </w:footnote>
  <w:footnote w:id="56">
    <w:p w:rsidR="00C039E4" w:rsidRDefault="00C039E4" w:rsidP="0013226C">
      <w:pPr>
        <w:pStyle w:val="FootnoteText"/>
      </w:pPr>
      <w:r>
        <w:rPr>
          <w:rStyle w:val="FootnoteReference"/>
        </w:rPr>
        <w:footnoteRef/>
      </w:r>
      <w:r>
        <w:t xml:space="preserve"> </w:t>
      </w:r>
      <w:r>
        <w:tab/>
        <w:t xml:space="preserve">JGN, </w:t>
      </w:r>
      <w:r w:rsidRPr="00A9337E">
        <w:rPr>
          <w:rStyle w:val="AERtextitalic"/>
        </w:rPr>
        <w:t>Reference Service Agreement - JGN's NSW gas distribution network</w:t>
      </w:r>
      <w:r>
        <w:t>, 30 June 2014, p. 31.</w:t>
      </w:r>
    </w:p>
  </w:footnote>
  <w:footnote w:id="57">
    <w:p w:rsidR="00C039E4" w:rsidRDefault="00C039E4" w:rsidP="00D45C51">
      <w:pPr>
        <w:pStyle w:val="FootnoteText"/>
      </w:pPr>
      <w:r>
        <w:rPr>
          <w:rStyle w:val="FootnoteReference"/>
        </w:rPr>
        <w:footnoteRef/>
      </w:r>
      <w:r>
        <w:t xml:space="preserve"> </w:t>
      </w:r>
      <w:r>
        <w:tab/>
        <w:t xml:space="preserve">JGN, </w:t>
      </w:r>
      <w:r w:rsidRPr="00B17DD9">
        <w:rPr>
          <w:rStyle w:val="AERtextitalic"/>
        </w:rPr>
        <w:t>Response to the draft decision and revised proposal,</w:t>
      </w:r>
      <w:r w:rsidRPr="00B17DD9">
        <w:t xml:space="preserve"> </w:t>
      </w:r>
      <w:r>
        <w:t xml:space="preserve">  February 2015, p. 87.</w:t>
      </w:r>
    </w:p>
  </w:footnote>
  <w:footnote w:id="58">
    <w:p w:rsidR="00C039E4" w:rsidRDefault="00C039E4" w:rsidP="00CF4099">
      <w:pPr>
        <w:pStyle w:val="FootnoteText"/>
      </w:pPr>
      <w:r>
        <w:rPr>
          <w:rStyle w:val="FootnoteReference"/>
        </w:rPr>
        <w:footnoteRef/>
      </w:r>
      <w:r>
        <w:t xml:space="preserve"> </w:t>
      </w:r>
      <w:r>
        <w:tab/>
      </w:r>
      <w:r w:rsidRPr="00FD43E1">
        <w:t xml:space="preserve">AER, </w:t>
      </w:r>
      <w:r w:rsidRPr="00FD43E1">
        <w:rPr>
          <w:rStyle w:val="Emphasis"/>
        </w:rPr>
        <w:t xml:space="preserve">Draft decision for Jemena Gas Networks (NSW) Ltd Access Arrangement 2015–20 </w:t>
      </w:r>
      <w:r w:rsidRPr="00FD43E1">
        <w:rPr>
          <w:rStyle w:val="AERtextitalic"/>
        </w:rPr>
        <w:t xml:space="preserve">, Attachment 7, </w:t>
      </w:r>
      <w:r>
        <w:rPr>
          <w:rStyle w:val="AERtextitalic"/>
        </w:rPr>
        <w:t xml:space="preserve">November 2014, </w:t>
      </w:r>
      <w:r w:rsidRPr="00CF4099">
        <w:rPr>
          <w:rStyle w:val="AERtexthighlight"/>
          <w:shd w:val="clear" w:color="auto" w:fill="auto"/>
        </w:rPr>
        <w:t>pp. 7-38 to 7-43.</w:t>
      </w:r>
    </w:p>
  </w:footnote>
  <w:footnote w:id="59">
    <w:p w:rsidR="00C039E4" w:rsidRDefault="00C039E4" w:rsidP="00D45C51">
      <w:pPr>
        <w:pStyle w:val="FootnoteText"/>
      </w:pPr>
      <w:r>
        <w:rPr>
          <w:rStyle w:val="FootnoteReference"/>
        </w:rPr>
        <w:footnoteRef/>
      </w:r>
      <w:r>
        <w:t xml:space="preserve"> </w:t>
      </w:r>
      <w:r>
        <w:tab/>
        <w:t>See clauses 9.4, 9.5(d) and 9.5(e) of the Reference Agreement.</w:t>
      </w:r>
    </w:p>
  </w:footnote>
  <w:footnote w:id="60">
    <w:p w:rsidR="00C039E4" w:rsidRDefault="00C039E4" w:rsidP="00D45C51">
      <w:pPr>
        <w:pStyle w:val="FootnoteText"/>
      </w:pPr>
      <w:r>
        <w:rPr>
          <w:rStyle w:val="FootnoteReference"/>
        </w:rPr>
        <w:footnoteRef/>
      </w:r>
      <w:r>
        <w:t xml:space="preserve">  </w:t>
      </w:r>
      <w:r>
        <w:tab/>
        <w:t>JGN is compensated for changes in total market volumes and costs of purchasing UAG through the tariff variation mechanism.</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0">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2">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3">
    <w:nsid w:val="1F6066C2"/>
    <w:multiLevelType w:val="hybridMultilevel"/>
    <w:tmpl w:val="2F5E7F54"/>
    <w:lvl w:ilvl="0" w:tplc="C5FCFD8A">
      <w:start w:val="1"/>
      <w:numFmt w:val="decimal"/>
      <w:lvlText w:val="1.%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241317C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6">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7">
    <w:nsid w:val="2A7A4051"/>
    <w:multiLevelType w:val="multilevel"/>
    <w:tmpl w:val="C04EFA60"/>
    <w:lvl w:ilvl="0">
      <w:start w:val="1"/>
      <w:numFmt w:val="upperLetter"/>
      <w:lvlText w:val="%1"/>
      <w:lvlJc w:val="left"/>
      <w:pPr>
        <w:ind w:left="340" w:hanging="340"/>
      </w:pPr>
      <w:rPr>
        <w:rFonts w:hint="default"/>
      </w:rPr>
    </w:lvl>
    <w:lvl w:ilvl="1">
      <w:start w:val="1"/>
      <w:numFmt w:val="decimal"/>
      <w:lvlRestart w:val="0"/>
      <w:lvlText w:val="%1.%2"/>
      <w:lvlJc w:val="left"/>
      <w:pPr>
        <w:tabs>
          <w:tab w:val="num" w:pos="1021"/>
        </w:tabs>
        <w:ind w:left="1021" w:hanging="1021"/>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8">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9">
    <w:nsid w:val="31AA058E"/>
    <w:multiLevelType w:val="hybridMultilevel"/>
    <w:tmpl w:val="3C70101E"/>
    <w:lvl w:ilvl="0" w:tplc="B336B1FC">
      <w:start w:val="1"/>
      <w:numFmt w:val="bullet"/>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0">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3AF336BC"/>
    <w:multiLevelType w:val="hybridMultilevel"/>
    <w:tmpl w:val="955A02CC"/>
    <w:lvl w:ilvl="0" w:tplc="C90C7928">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41412A8D"/>
    <w:multiLevelType w:val="multilevel"/>
    <w:tmpl w:val="0C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4">
    <w:nsid w:val="42784418"/>
    <w:multiLevelType w:val="multilevel"/>
    <w:tmpl w:val="950A1C52"/>
    <w:numStyleLink w:val="AERHeadings"/>
  </w:abstractNum>
  <w:abstractNum w:abstractNumId="25">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tentative="1">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8">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30">
    <w:nsid w:val="5ECE4384"/>
    <w:multiLevelType w:val="multilevel"/>
    <w:tmpl w:val="5C8CD4B2"/>
    <w:lvl w:ilvl="0">
      <w:start w:val="7"/>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1">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32">
    <w:nsid w:val="6DE36827"/>
    <w:multiLevelType w:val="multilevel"/>
    <w:tmpl w:val="950A1C52"/>
    <w:numStyleLink w:val="AERHeadings"/>
  </w:abstractNum>
  <w:abstractNum w:abstractNumId="33">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nsid w:val="71964B06"/>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nsid w:val="7AAC6DD7"/>
    <w:multiLevelType w:val="multilevel"/>
    <w:tmpl w:val="950A1C52"/>
    <w:lvl w:ilvl="0">
      <w:start w:val="1"/>
      <w:numFmt w:val="none"/>
      <w:lvlText w:val="%1"/>
      <w:lvlJc w:val="left"/>
      <w:pPr>
        <w:tabs>
          <w:tab w:val="num" w:pos="0"/>
        </w:tabs>
        <w:ind w:left="0" w:firstLine="0"/>
      </w:pPr>
      <w:rPr>
        <w:rFonts w:hint="default"/>
      </w:rPr>
    </w:lvl>
    <w:lvl w:ilvl="1">
      <w:start w:val="7"/>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36">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1"/>
  </w:num>
  <w:num w:numId="2">
    <w:abstractNumId w:val="36"/>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31"/>
  </w:num>
  <w:num w:numId="13">
    <w:abstractNumId w:val="21"/>
  </w:num>
  <w:num w:numId="14">
    <w:abstractNumId w:val="10"/>
  </w:num>
  <w:num w:numId="15">
    <w:abstractNumId w:val="12"/>
  </w:num>
  <w:num w:numId="16">
    <w:abstractNumId w:val="25"/>
  </w:num>
  <w:num w:numId="17">
    <w:abstractNumId w:val="9"/>
  </w:num>
  <w:num w:numId="18">
    <w:abstractNumId w:val="16"/>
  </w:num>
  <w:num w:numId="19">
    <w:abstractNumId w:val="26"/>
  </w:num>
  <w:num w:numId="20">
    <w:abstractNumId w:val="33"/>
  </w:num>
  <w:num w:numId="21">
    <w:abstractNumId w:val="13"/>
  </w:num>
  <w:num w:numId="22">
    <w:abstractNumId w:val="29"/>
  </w:num>
  <w:num w:numId="23">
    <w:abstractNumId w:val="27"/>
  </w:num>
  <w:num w:numId="24">
    <w:abstractNumId w:val="18"/>
  </w:num>
  <w:num w:numId="25">
    <w:abstractNumId w:val="28"/>
  </w:num>
  <w:num w:numId="26">
    <w:abstractNumId w:val="30"/>
  </w:num>
  <w:num w:numId="27">
    <w:abstractNumId w:val="20"/>
  </w:num>
  <w:num w:numId="28">
    <w:abstractNumId w:val="17"/>
  </w:num>
  <w:num w:numId="29">
    <w:abstractNumId w:val="15"/>
  </w:num>
  <w:num w:numId="30">
    <w:abstractNumId w:val="34"/>
  </w:num>
  <w:num w:numId="31">
    <w:abstractNumId w:val="14"/>
  </w:num>
  <w:num w:numId="32">
    <w:abstractNumId w:val="23"/>
  </w:num>
  <w:num w:numId="33">
    <w:abstractNumId w:val="18"/>
    <w:lvlOverride w:ilvl="0">
      <w:lvl w:ilvl="0">
        <w:start w:val="1"/>
        <w:numFmt w:val="none"/>
        <w:lvlText w:val="%1"/>
        <w:lvlJc w:val="left"/>
        <w:pPr>
          <w:tabs>
            <w:tab w:val="num" w:pos="0"/>
          </w:tabs>
          <w:ind w:left="0" w:firstLine="0"/>
        </w:pPr>
        <w:rPr>
          <w:rFonts w:hint="default"/>
        </w:rPr>
      </w:lvl>
    </w:lvlOverride>
    <w:lvlOverride w:ilvl="1">
      <w:lvl w:ilvl="1">
        <w:start w:val="7"/>
        <w:numFmt w:val="decimal"/>
        <w:lvlText w:val="%2"/>
        <w:lvlJc w:val="left"/>
        <w:pPr>
          <w:tabs>
            <w:tab w:val="num" w:pos="0"/>
          </w:tabs>
          <w:ind w:left="0" w:hanging="851"/>
        </w:pPr>
        <w:rPr>
          <w:rFonts w:ascii="Gautami" w:eastAsia="Times New Roman" w:hAnsi="Gautami" w:cs="Times New Roman"/>
        </w:rPr>
      </w:lvl>
    </w:lvlOverride>
    <w:lvlOverride w:ilvl="2">
      <w:lvl w:ilvl="2">
        <w:start w:val="1"/>
        <w:numFmt w:val="decimal"/>
        <w:lvlText w:val="%1%2.%3"/>
        <w:lvlJc w:val="left"/>
        <w:pPr>
          <w:tabs>
            <w:tab w:val="num" w:pos="0"/>
          </w:tabs>
          <w:ind w:left="0" w:hanging="851"/>
        </w:pPr>
        <w:rPr>
          <w:rFonts w:hint="default"/>
        </w:rPr>
      </w:lvl>
    </w:lvlOverride>
    <w:lvlOverride w:ilvl="3">
      <w:lvl w:ilvl="3">
        <w:start w:val="1"/>
        <w:numFmt w:val="decimal"/>
        <w:lvlText w:val="%2.%3.%4"/>
        <w:lvlJc w:val="left"/>
        <w:pPr>
          <w:tabs>
            <w:tab w:val="num" w:pos="0"/>
          </w:tabs>
          <w:ind w:left="0" w:hanging="851"/>
        </w:pPr>
        <w:rPr>
          <w:rFonts w:hint="default"/>
        </w:rPr>
      </w:lvl>
    </w:lvlOverride>
    <w:lvlOverride w:ilvl="4">
      <w:lvl w:ilvl="4">
        <w:start w:val="1"/>
        <w:numFmt w:val="upperLetter"/>
        <w:lvlRestart w:val="1"/>
        <w:lvlText w:val="%5"/>
        <w:lvlJc w:val="left"/>
        <w:pPr>
          <w:tabs>
            <w:tab w:val="num" w:pos="0"/>
          </w:tabs>
          <w:ind w:left="0" w:hanging="851"/>
        </w:pPr>
        <w:rPr>
          <w:rFonts w:hint="default"/>
        </w:rPr>
      </w:lvl>
    </w:lvlOverride>
    <w:lvlOverride w:ilvl="5">
      <w:lvl w:ilvl="5">
        <w:start w:val="1"/>
        <w:numFmt w:val="decimal"/>
        <w:lvlText w:val="%5.%6"/>
        <w:lvlJc w:val="left"/>
        <w:pPr>
          <w:tabs>
            <w:tab w:val="num" w:pos="0"/>
          </w:tabs>
          <w:ind w:left="0" w:hanging="851"/>
        </w:pPr>
        <w:rPr>
          <w:rFonts w:hint="default"/>
        </w:rPr>
      </w:lvl>
    </w:lvlOverride>
    <w:lvlOverride w:ilvl="6">
      <w:lvl w:ilvl="6">
        <w:start w:val="1"/>
        <w:numFmt w:val="decimal"/>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34">
    <w:abstractNumId w:val="18"/>
    <w:lvlOverride w:ilvl="0">
      <w:startOverride w:val="1"/>
      <w:lvl w:ilvl="0">
        <w:start w:val="1"/>
        <w:numFmt w:val="none"/>
        <w:lvlText w:val="%1"/>
        <w:lvlJc w:val="left"/>
        <w:pPr>
          <w:tabs>
            <w:tab w:val="num" w:pos="0"/>
          </w:tabs>
          <w:ind w:left="0" w:firstLine="0"/>
        </w:pPr>
        <w:rPr>
          <w:rFonts w:hint="default"/>
        </w:rPr>
      </w:lvl>
    </w:lvlOverride>
    <w:lvlOverride w:ilvl="1">
      <w:startOverride w:val="16"/>
      <w:lvl w:ilvl="1">
        <w:start w:val="16"/>
        <w:numFmt w:val="decimal"/>
        <w:lvlText w:val="%2"/>
        <w:lvlJc w:val="left"/>
        <w:pPr>
          <w:tabs>
            <w:tab w:val="num" w:pos="0"/>
          </w:tabs>
          <w:ind w:left="0" w:hanging="851"/>
        </w:pPr>
        <w:rPr>
          <w:rFonts w:ascii="Gautami" w:eastAsia="Times New Roman" w:hAnsi="Gautami" w:cs="Times New Roman"/>
        </w:rPr>
      </w:lvl>
    </w:lvlOverride>
  </w:num>
  <w:num w:numId="35">
    <w:abstractNumId w:val="18"/>
    <w:lvlOverride w:ilvl="0">
      <w:startOverride w:val="1"/>
      <w:lvl w:ilvl="0">
        <w:start w:val="1"/>
        <w:numFmt w:val="none"/>
        <w:lvlText w:val="%1"/>
        <w:lvlJc w:val="left"/>
        <w:pPr>
          <w:tabs>
            <w:tab w:val="num" w:pos="0"/>
          </w:tabs>
          <w:ind w:left="0" w:firstLine="0"/>
        </w:pPr>
        <w:rPr>
          <w:rFonts w:hint="default"/>
        </w:rPr>
      </w:lvl>
    </w:lvlOverride>
    <w:lvlOverride w:ilvl="1">
      <w:startOverride w:val="18"/>
      <w:lvl w:ilvl="1">
        <w:start w:val="18"/>
        <w:numFmt w:val="decimal"/>
        <w:lvlText w:val="%2"/>
        <w:lvlJc w:val="left"/>
        <w:pPr>
          <w:tabs>
            <w:tab w:val="num" w:pos="0"/>
          </w:tabs>
          <w:ind w:left="0" w:hanging="851"/>
        </w:pPr>
        <w:rPr>
          <w:rFonts w:ascii="Gautami" w:eastAsia="Times New Roman" w:hAnsi="Gautami" w:cs="Times New Roman"/>
        </w:rPr>
      </w:lvl>
    </w:lvlOverride>
  </w:num>
  <w:num w:numId="36">
    <w:abstractNumId w:val="32"/>
  </w:num>
  <w:num w:numId="37">
    <w:abstractNumId w:val="24"/>
  </w:num>
  <w:num w:numId="38">
    <w:abstractNumId w:val="19"/>
  </w:num>
  <w:num w:numId="39">
    <w:abstractNumId w:val="22"/>
  </w:num>
  <w:num w:numId="40">
    <w:abstractNumId w:val="35"/>
    <w:lvlOverride w:ilvl="2">
      <w:lvl w:ilvl="2">
        <w:start w:val="1"/>
        <w:numFmt w:val="decimal"/>
        <w:lvlText w:val="%1%2.%3"/>
        <w:lvlJc w:val="left"/>
        <w:pPr>
          <w:tabs>
            <w:tab w:val="num" w:pos="0"/>
          </w:tabs>
          <w:ind w:left="0"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lvlText w:val="%2.%3.%4"/>
        <w:lvlJc w:val="left"/>
        <w:pPr>
          <w:tabs>
            <w:tab w:val="num" w:pos="0"/>
          </w:tabs>
          <w:ind w:left="0"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41">
    <w:abstractNumId w:val="35"/>
    <w:lvlOverride w:ilvl="0">
      <w:lvl w:ilvl="0">
        <w:start w:val="1"/>
        <w:numFmt w:val="none"/>
        <w:lvlText w:val="%1"/>
        <w:lvlJc w:val="left"/>
        <w:pPr>
          <w:tabs>
            <w:tab w:val="num" w:pos="0"/>
          </w:tabs>
          <w:ind w:left="0" w:firstLine="0"/>
        </w:pPr>
        <w:rPr>
          <w:rFonts w:hint="default"/>
        </w:rPr>
      </w:lvl>
    </w:lvlOverride>
    <w:lvlOverride w:ilvl="1">
      <w:lvl w:ilvl="1">
        <w:start w:val="1"/>
        <w:numFmt w:val="decimal"/>
        <w:lvlText w:val="%1%2"/>
        <w:lvlJc w:val="left"/>
        <w:pPr>
          <w:tabs>
            <w:tab w:val="num" w:pos="0"/>
          </w:tabs>
          <w:ind w:left="0" w:hanging="851"/>
        </w:pPr>
        <w:rPr>
          <w:rFonts w:hint="default"/>
        </w:rPr>
      </w:lvl>
    </w:lvlOverride>
    <w:lvlOverride w:ilvl="2">
      <w:lvl w:ilvl="2">
        <w:start w:val="1"/>
        <w:numFmt w:val="decimal"/>
        <w:lvlText w:val="%1%2.%3"/>
        <w:lvlJc w:val="left"/>
        <w:pPr>
          <w:tabs>
            <w:tab w:val="num" w:pos="0"/>
          </w:tabs>
          <w:ind w:left="0" w:hanging="851"/>
        </w:pPr>
        <w:rPr>
          <w:rFonts w:hint="default"/>
        </w:rPr>
      </w:lvl>
    </w:lvlOverride>
    <w:lvlOverride w:ilvl="3">
      <w:lvl w:ilvl="3">
        <w:start w:val="1"/>
        <w:numFmt w:val="decimal"/>
        <w:lvlText w:val="%2.%3.%4"/>
        <w:lvlJc w:val="left"/>
        <w:pPr>
          <w:tabs>
            <w:tab w:val="num" w:pos="0"/>
          </w:tabs>
          <w:ind w:left="0" w:hanging="851"/>
        </w:pPr>
        <w:rPr>
          <w:rFonts w:hint="default"/>
        </w:rPr>
      </w:lvl>
    </w:lvlOverride>
    <w:lvlOverride w:ilvl="4">
      <w:lvl w:ilvl="4">
        <w:start w:val="1"/>
        <w:numFmt w:val="upperLetter"/>
        <w:lvlRestart w:val="1"/>
        <w:lvlText w:val="%5"/>
        <w:lvlJc w:val="left"/>
        <w:pPr>
          <w:tabs>
            <w:tab w:val="num" w:pos="0"/>
          </w:tabs>
          <w:ind w:left="0" w:hanging="851"/>
        </w:pPr>
        <w:rPr>
          <w:rFonts w:hint="default"/>
        </w:rPr>
      </w:lvl>
    </w:lvlOverride>
    <w:lvlOverride w:ilvl="5">
      <w:lvl w:ilvl="5">
        <w:start w:val="1"/>
        <w:numFmt w:val="decimal"/>
        <w:lvlText w:val="%5.%6"/>
        <w:lvlJc w:val="left"/>
        <w:pPr>
          <w:tabs>
            <w:tab w:val="num" w:pos="0"/>
          </w:tabs>
          <w:ind w:left="0" w:hanging="851"/>
        </w:pPr>
        <w:rPr>
          <w:rFonts w:hint="default"/>
        </w:rPr>
      </w:lvl>
    </w:lvlOverride>
    <w:lvlOverride w:ilvl="6">
      <w:lvl w:ilvl="6">
        <w:start w:val="1"/>
        <w:numFmt w:val="decimal"/>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hideSpellingErrors/>
  <w:hideGrammaticalErrors/>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1" w:spinCount="100000" w:hashValue="VWHVVGU94XD/arfvaRB53OsKvd4W8e5sWTFNQ/NqCIo=" w:saltValue="HM/58LkpqFd4wBypljPeLA==" w:algorithmName="SHA-256"/>
  <w:defaultTabStop w:val="340"/>
  <w:characterSpacingControl w:val="doNotCompress"/>
  <w:hdrShapeDefaults>
    <o:shapedefaults v:ext="edit" spidmax="1679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T:\AER\JGN gas 2015 reset\COORD ONLY Final decision - Public\Overview and attachments - Public\AER - Final decision JGN distribution access arrangement - Attachment 7 - Operating expenditure - June 2015.docx"/>
  </w:docVars>
  <w:rsids>
    <w:rsidRoot w:val="00961A4A"/>
    <w:rsid w:val="000026D1"/>
    <w:rsid w:val="00007A44"/>
    <w:rsid w:val="0001333C"/>
    <w:rsid w:val="00014FEE"/>
    <w:rsid w:val="000150B8"/>
    <w:rsid w:val="00021202"/>
    <w:rsid w:val="0002517F"/>
    <w:rsid w:val="0003578C"/>
    <w:rsid w:val="00050214"/>
    <w:rsid w:val="00062744"/>
    <w:rsid w:val="00063247"/>
    <w:rsid w:val="000632FB"/>
    <w:rsid w:val="00066700"/>
    <w:rsid w:val="00067543"/>
    <w:rsid w:val="00070524"/>
    <w:rsid w:val="00070F9F"/>
    <w:rsid w:val="0007137B"/>
    <w:rsid w:val="00072B4E"/>
    <w:rsid w:val="00085663"/>
    <w:rsid w:val="00085EBF"/>
    <w:rsid w:val="000A0BE0"/>
    <w:rsid w:val="000A1663"/>
    <w:rsid w:val="000A3020"/>
    <w:rsid w:val="000A54C9"/>
    <w:rsid w:val="000A6C7B"/>
    <w:rsid w:val="000B201A"/>
    <w:rsid w:val="000C4A25"/>
    <w:rsid w:val="000C5286"/>
    <w:rsid w:val="000D122C"/>
    <w:rsid w:val="000D4038"/>
    <w:rsid w:val="000E1819"/>
    <w:rsid w:val="000E2A46"/>
    <w:rsid w:val="000E4821"/>
    <w:rsid w:val="000E530C"/>
    <w:rsid w:val="000E6C72"/>
    <w:rsid w:val="000E7C8F"/>
    <w:rsid w:val="000F3199"/>
    <w:rsid w:val="001028F7"/>
    <w:rsid w:val="00111D39"/>
    <w:rsid w:val="00116EB2"/>
    <w:rsid w:val="00124609"/>
    <w:rsid w:val="00126A4C"/>
    <w:rsid w:val="00131894"/>
    <w:rsid w:val="0013226C"/>
    <w:rsid w:val="0014573B"/>
    <w:rsid w:val="00152011"/>
    <w:rsid w:val="001573E4"/>
    <w:rsid w:val="00160756"/>
    <w:rsid w:val="00163621"/>
    <w:rsid w:val="0017232E"/>
    <w:rsid w:val="00174102"/>
    <w:rsid w:val="00180157"/>
    <w:rsid w:val="001818E7"/>
    <w:rsid w:val="00185CB9"/>
    <w:rsid w:val="00186BC2"/>
    <w:rsid w:val="00186F77"/>
    <w:rsid w:val="001926A4"/>
    <w:rsid w:val="00192AD5"/>
    <w:rsid w:val="001B45A0"/>
    <w:rsid w:val="001C278F"/>
    <w:rsid w:val="001C4174"/>
    <w:rsid w:val="001C4F5E"/>
    <w:rsid w:val="001D055E"/>
    <w:rsid w:val="001F16E3"/>
    <w:rsid w:val="001F492E"/>
    <w:rsid w:val="001F6DA3"/>
    <w:rsid w:val="002010BC"/>
    <w:rsid w:val="00201296"/>
    <w:rsid w:val="00202E03"/>
    <w:rsid w:val="0020492C"/>
    <w:rsid w:val="00205B7E"/>
    <w:rsid w:val="0021061A"/>
    <w:rsid w:val="00214FFD"/>
    <w:rsid w:val="002156BD"/>
    <w:rsid w:val="00224DB9"/>
    <w:rsid w:val="00233775"/>
    <w:rsid w:val="00241183"/>
    <w:rsid w:val="00251745"/>
    <w:rsid w:val="002518EE"/>
    <w:rsid w:val="00252DD6"/>
    <w:rsid w:val="00260986"/>
    <w:rsid w:val="00260AB3"/>
    <w:rsid w:val="00262A1B"/>
    <w:rsid w:val="00263AC0"/>
    <w:rsid w:val="00264264"/>
    <w:rsid w:val="0026772D"/>
    <w:rsid w:val="002677E7"/>
    <w:rsid w:val="0027373D"/>
    <w:rsid w:val="00286874"/>
    <w:rsid w:val="00290C63"/>
    <w:rsid w:val="00296B65"/>
    <w:rsid w:val="002A0080"/>
    <w:rsid w:val="002A7DEF"/>
    <w:rsid w:val="002B7CE1"/>
    <w:rsid w:val="002D37B9"/>
    <w:rsid w:val="002E7B22"/>
    <w:rsid w:val="002F6CED"/>
    <w:rsid w:val="002F7986"/>
    <w:rsid w:val="00301B40"/>
    <w:rsid w:val="003029EE"/>
    <w:rsid w:val="00305CC8"/>
    <w:rsid w:val="00307F6D"/>
    <w:rsid w:val="00312D7E"/>
    <w:rsid w:val="00315941"/>
    <w:rsid w:val="003177A2"/>
    <w:rsid w:val="00321F93"/>
    <w:rsid w:val="003271B5"/>
    <w:rsid w:val="00327A1E"/>
    <w:rsid w:val="00330411"/>
    <w:rsid w:val="00331264"/>
    <w:rsid w:val="00334C8D"/>
    <w:rsid w:val="00335845"/>
    <w:rsid w:val="00340F26"/>
    <w:rsid w:val="00343A18"/>
    <w:rsid w:val="00345E4F"/>
    <w:rsid w:val="003518B3"/>
    <w:rsid w:val="00356246"/>
    <w:rsid w:val="00365A30"/>
    <w:rsid w:val="003740F0"/>
    <w:rsid w:val="00384670"/>
    <w:rsid w:val="003846F1"/>
    <w:rsid w:val="003A1A36"/>
    <w:rsid w:val="003A6ACF"/>
    <w:rsid w:val="003B484F"/>
    <w:rsid w:val="003E65C3"/>
    <w:rsid w:val="003E785E"/>
    <w:rsid w:val="003F174D"/>
    <w:rsid w:val="00417917"/>
    <w:rsid w:val="00421987"/>
    <w:rsid w:val="00421B09"/>
    <w:rsid w:val="004221E4"/>
    <w:rsid w:val="00424E37"/>
    <w:rsid w:val="0044166C"/>
    <w:rsid w:val="004439C6"/>
    <w:rsid w:val="00453F17"/>
    <w:rsid w:val="00455C77"/>
    <w:rsid w:val="0045777E"/>
    <w:rsid w:val="00460D87"/>
    <w:rsid w:val="00467ACE"/>
    <w:rsid w:val="004807A3"/>
    <w:rsid w:val="00480B4B"/>
    <w:rsid w:val="00485DC4"/>
    <w:rsid w:val="00492B8C"/>
    <w:rsid w:val="004A43D1"/>
    <w:rsid w:val="004A7A6E"/>
    <w:rsid w:val="004B4412"/>
    <w:rsid w:val="004C348C"/>
    <w:rsid w:val="004D55BA"/>
    <w:rsid w:val="004E22EC"/>
    <w:rsid w:val="004E3016"/>
    <w:rsid w:val="004E7CC9"/>
    <w:rsid w:val="004F6206"/>
    <w:rsid w:val="00502EBB"/>
    <w:rsid w:val="00503829"/>
    <w:rsid w:val="005167E6"/>
    <w:rsid w:val="00516FAB"/>
    <w:rsid w:val="005275E3"/>
    <w:rsid w:val="00530128"/>
    <w:rsid w:val="00531D11"/>
    <w:rsid w:val="00532114"/>
    <w:rsid w:val="00532467"/>
    <w:rsid w:val="00533828"/>
    <w:rsid w:val="005441AD"/>
    <w:rsid w:val="00547111"/>
    <w:rsid w:val="005566A5"/>
    <w:rsid w:val="00564A4D"/>
    <w:rsid w:val="00567BA5"/>
    <w:rsid w:val="00571B35"/>
    <w:rsid w:val="00571D57"/>
    <w:rsid w:val="00576716"/>
    <w:rsid w:val="00577A09"/>
    <w:rsid w:val="005829C2"/>
    <w:rsid w:val="00584B06"/>
    <w:rsid w:val="00584D8F"/>
    <w:rsid w:val="005A404D"/>
    <w:rsid w:val="005B1E3C"/>
    <w:rsid w:val="005C26CC"/>
    <w:rsid w:val="005C7776"/>
    <w:rsid w:val="005D758E"/>
    <w:rsid w:val="005D7918"/>
    <w:rsid w:val="005D7BA2"/>
    <w:rsid w:val="005D7F4D"/>
    <w:rsid w:val="005E0A3B"/>
    <w:rsid w:val="005E36C2"/>
    <w:rsid w:val="0060509D"/>
    <w:rsid w:val="00612AFF"/>
    <w:rsid w:val="006132D5"/>
    <w:rsid w:val="00615C6B"/>
    <w:rsid w:val="0061651B"/>
    <w:rsid w:val="00621576"/>
    <w:rsid w:val="00621DCE"/>
    <w:rsid w:val="0062674F"/>
    <w:rsid w:val="00632D6D"/>
    <w:rsid w:val="00635D26"/>
    <w:rsid w:val="006377E5"/>
    <w:rsid w:val="00642C3E"/>
    <w:rsid w:val="0065346E"/>
    <w:rsid w:val="006565AF"/>
    <w:rsid w:val="00656AA1"/>
    <w:rsid w:val="0066104A"/>
    <w:rsid w:val="00663DAD"/>
    <w:rsid w:val="00675736"/>
    <w:rsid w:val="00675E20"/>
    <w:rsid w:val="006760C0"/>
    <w:rsid w:val="00676679"/>
    <w:rsid w:val="006827DE"/>
    <w:rsid w:val="00683C89"/>
    <w:rsid w:val="0069511D"/>
    <w:rsid w:val="006B2395"/>
    <w:rsid w:val="006B2C1D"/>
    <w:rsid w:val="006B4CF9"/>
    <w:rsid w:val="006B7AC8"/>
    <w:rsid w:val="006D550F"/>
    <w:rsid w:val="006E165C"/>
    <w:rsid w:val="00701CAB"/>
    <w:rsid w:val="00707563"/>
    <w:rsid w:val="00715D08"/>
    <w:rsid w:val="0072348C"/>
    <w:rsid w:val="00724A37"/>
    <w:rsid w:val="007303C3"/>
    <w:rsid w:val="007429BE"/>
    <w:rsid w:val="00743223"/>
    <w:rsid w:val="00743C54"/>
    <w:rsid w:val="00746E01"/>
    <w:rsid w:val="00753E22"/>
    <w:rsid w:val="00757BDF"/>
    <w:rsid w:val="00762086"/>
    <w:rsid w:val="00763E5D"/>
    <w:rsid w:val="007662D2"/>
    <w:rsid w:val="00767740"/>
    <w:rsid w:val="00773F1C"/>
    <w:rsid w:val="00777EE6"/>
    <w:rsid w:val="00782EEA"/>
    <w:rsid w:val="007B2C72"/>
    <w:rsid w:val="007B49E1"/>
    <w:rsid w:val="007C1C53"/>
    <w:rsid w:val="007C74BB"/>
    <w:rsid w:val="007D230E"/>
    <w:rsid w:val="007D6944"/>
    <w:rsid w:val="007E4904"/>
    <w:rsid w:val="007E4CB5"/>
    <w:rsid w:val="007F066B"/>
    <w:rsid w:val="007F23BE"/>
    <w:rsid w:val="008033C4"/>
    <w:rsid w:val="00806C88"/>
    <w:rsid w:val="0081034E"/>
    <w:rsid w:val="00813E56"/>
    <w:rsid w:val="0082643B"/>
    <w:rsid w:val="008344F6"/>
    <w:rsid w:val="0083510F"/>
    <w:rsid w:val="008411E8"/>
    <w:rsid w:val="00850C00"/>
    <w:rsid w:val="00851209"/>
    <w:rsid w:val="008837AC"/>
    <w:rsid w:val="008A1D05"/>
    <w:rsid w:val="008A587D"/>
    <w:rsid w:val="008B32D0"/>
    <w:rsid w:val="008B35CD"/>
    <w:rsid w:val="008B5FCC"/>
    <w:rsid w:val="008C1DD7"/>
    <w:rsid w:val="008C5486"/>
    <w:rsid w:val="008D0457"/>
    <w:rsid w:val="008D1661"/>
    <w:rsid w:val="008E27C2"/>
    <w:rsid w:val="008E7031"/>
    <w:rsid w:val="008E77DE"/>
    <w:rsid w:val="008F07A3"/>
    <w:rsid w:val="008F4DDF"/>
    <w:rsid w:val="00900E1B"/>
    <w:rsid w:val="00900F08"/>
    <w:rsid w:val="00902933"/>
    <w:rsid w:val="00905A5E"/>
    <w:rsid w:val="00907F39"/>
    <w:rsid w:val="00911D7A"/>
    <w:rsid w:val="009233EE"/>
    <w:rsid w:val="00940F2E"/>
    <w:rsid w:val="0094485A"/>
    <w:rsid w:val="009460AA"/>
    <w:rsid w:val="00951978"/>
    <w:rsid w:val="009524E6"/>
    <w:rsid w:val="00957E90"/>
    <w:rsid w:val="00961A4A"/>
    <w:rsid w:val="009661DE"/>
    <w:rsid w:val="0097114E"/>
    <w:rsid w:val="00975919"/>
    <w:rsid w:val="00982E92"/>
    <w:rsid w:val="00983C25"/>
    <w:rsid w:val="00984C25"/>
    <w:rsid w:val="009856B7"/>
    <w:rsid w:val="00985C86"/>
    <w:rsid w:val="009936B4"/>
    <w:rsid w:val="009A264E"/>
    <w:rsid w:val="009A5FC3"/>
    <w:rsid w:val="009A7A72"/>
    <w:rsid w:val="009B74B0"/>
    <w:rsid w:val="009C3209"/>
    <w:rsid w:val="009C52E3"/>
    <w:rsid w:val="009D6B46"/>
    <w:rsid w:val="009E4189"/>
    <w:rsid w:val="009F4940"/>
    <w:rsid w:val="009F5BA1"/>
    <w:rsid w:val="00A02A88"/>
    <w:rsid w:val="00A0562E"/>
    <w:rsid w:val="00A0726D"/>
    <w:rsid w:val="00A1123A"/>
    <w:rsid w:val="00A21A3B"/>
    <w:rsid w:val="00A32FBB"/>
    <w:rsid w:val="00A41598"/>
    <w:rsid w:val="00A428EE"/>
    <w:rsid w:val="00A4478A"/>
    <w:rsid w:val="00A44852"/>
    <w:rsid w:val="00A44A29"/>
    <w:rsid w:val="00A508BD"/>
    <w:rsid w:val="00A56D16"/>
    <w:rsid w:val="00A57D04"/>
    <w:rsid w:val="00A60A26"/>
    <w:rsid w:val="00A61598"/>
    <w:rsid w:val="00A635EE"/>
    <w:rsid w:val="00A64EC9"/>
    <w:rsid w:val="00A72D03"/>
    <w:rsid w:val="00A84A99"/>
    <w:rsid w:val="00A84F46"/>
    <w:rsid w:val="00A871F4"/>
    <w:rsid w:val="00A931F3"/>
    <w:rsid w:val="00AA2E45"/>
    <w:rsid w:val="00AC1B2C"/>
    <w:rsid w:val="00AC3264"/>
    <w:rsid w:val="00AD3134"/>
    <w:rsid w:val="00AD65F8"/>
    <w:rsid w:val="00AE1B5D"/>
    <w:rsid w:val="00AE1BF1"/>
    <w:rsid w:val="00AF0DD2"/>
    <w:rsid w:val="00AF1F9E"/>
    <w:rsid w:val="00B00008"/>
    <w:rsid w:val="00B1050F"/>
    <w:rsid w:val="00B13048"/>
    <w:rsid w:val="00B1716D"/>
    <w:rsid w:val="00B17A1D"/>
    <w:rsid w:val="00B207A0"/>
    <w:rsid w:val="00B217BB"/>
    <w:rsid w:val="00B24C81"/>
    <w:rsid w:val="00B27E98"/>
    <w:rsid w:val="00B47C38"/>
    <w:rsid w:val="00B514DD"/>
    <w:rsid w:val="00B5217D"/>
    <w:rsid w:val="00B52AF0"/>
    <w:rsid w:val="00B561BD"/>
    <w:rsid w:val="00B56556"/>
    <w:rsid w:val="00B56E03"/>
    <w:rsid w:val="00B63641"/>
    <w:rsid w:val="00B65750"/>
    <w:rsid w:val="00B8080B"/>
    <w:rsid w:val="00B84402"/>
    <w:rsid w:val="00B87BA5"/>
    <w:rsid w:val="00B87C39"/>
    <w:rsid w:val="00B903BB"/>
    <w:rsid w:val="00BA4665"/>
    <w:rsid w:val="00BB1DDF"/>
    <w:rsid w:val="00BB2FB2"/>
    <w:rsid w:val="00BB3304"/>
    <w:rsid w:val="00BB337D"/>
    <w:rsid w:val="00BC7216"/>
    <w:rsid w:val="00BD3446"/>
    <w:rsid w:val="00BD77F6"/>
    <w:rsid w:val="00BE1F1B"/>
    <w:rsid w:val="00BE45CC"/>
    <w:rsid w:val="00BE47B5"/>
    <w:rsid w:val="00BF089F"/>
    <w:rsid w:val="00C00AF9"/>
    <w:rsid w:val="00C039E4"/>
    <w:rsid w:val="00C11125"/>
    <w:rsid w:val="00C25FA6"/>
    <w:rsid w:val="00C27329"/>
    <w:rsid w:val="00C35FD6"/>
    <w:rsid w:val="00C37A6C"/>
    <w:rsid w:val="00C44094"/>
    <w:rsid w:val="00C538A9"/>
    <w:rsid w:val="00C53B5A"/>
    <w:rsid w:val="00C54F5A"/>
    <w:rsid w:val="00C569B4"/>
    <w:rsid w:val="00C67A92"/>
    <w:rsid w:val="00C74EE9"/>
    <w:rsid w:val="00C84DB9"/>
    <w:rsid w:val="00C85EAA"/>
    <w:rsid w:val="00C86679"/>
    <w:rsid w:val="00CA061D"/>
    <w:rsid w:val="00CA2634"/>
    <w:rsid w:val="00CA489E"/>
    <w:rsid w:val="00CA5C37"/>
    <w:rsid w:val="00CB0279"/>
    <w:rsid w:val="00CB2554"/>
    <w:rsid w:val="00CB4087"/>
    <w:rsid w:val="00CB5838"/>
    <w:rsid w:val="00CB666B"/>
    <w:rsid w:val="00CC5416"/>
    <w:rsid w:val="00CC7F1D"/>
    <w:rsid w:val="00CD0436"/>
    <w:rsid w:val="00CE1FA9"/>
    <w:rsid w:val="00CE263A"/>
    <w:rsid w:val="00CE7D0C"/>
    <w:rsid w:val="00CF4099"/>
    <w:rsid w:val="00D006AE"/>
    <w:rsid w:val="00D01CF0"/>
    <w:rsid w:val="00D0442A"/>
    <w:rsid w:val="00D0577F"/>
    <w:rsid w:val="00D05D3F"/>
    <w:rsid w:val="00D20765"/>
    <w:rsid w:val="00D45C51"/>
    <w:rsid w:val="00D61388"/>
    <w:rsid w:val="00D61A54"/>
    <w:rsid w:val="00D64DEA"/>
    <w:rsid w:val="00D70315"/>
    <w:rsid w:val="00D7168E"/>
    <w:rsid w:val="00D71E57"/>
    <w:rsid w:val="00D80893"/>
    <w:rsid w:val="00D83FA1"/>
    <w:rsid w:val="00D84854"/>
    <w:rsid w:val="00D92CF1"/>
    <w:rsid w:val="00D92D38"/>
    <w:rsid w:val="00D92FF9"/>
    <w:rsid w:val="00D950F5"/>
    <w:rsid w:val="00DA4752"/>
    <w:rsid w:val="00DA5424"/>
    <w:rsid w:val="00DA61F3"/>
    <w:rsid w:val="00DB0F93"/>
    <w:rsid w:val="00DB1A67"/>
    <w:rsid w:val="00DB5074"/>
    <w:rsid w:val="00DB6B7E"/>
    <w:rsid w:val="00DC7981"/>
    <w:rsid w:val="00DD5364"/>
    <w:rsid w:val="00DE1093"/>
    <w:rsid w:val="00DE4EFA"/>
    <w:rsid w:val="00DE5520"/>
    <w:rsid w:val="00DE563D"/>
    <w:rsid w:val="00E04818"/>
    <w:rsid w:val="00E06442"/>
    <w:rsid w:val="00E23993"/>
    <w:rsid w:val="00E25B8C"/>
    <w:rsid w:val="00E65C85"/>
    <w:rsid w:val="00E66199"/>
    <w:rsid w:val="00E71E5A"/>
    <w:rsid w:val="00E736F7"/>
    <w:rsid w:val="00E755EC"/>
    <w:rsid w:val="00E7624D"/>
    <w:rsid w:val="00E7721A"/>
    <w:rsid w:val="00E8218F"/>
    <w:rsid w:val="00E82929"/>
    <w:rsid w:val="00E86B87"/>
    <w:rsid w:val="00EA23DC"/>
    <w:rsid w:val="00EA3D42"/>
    <w:rsid w:val="00EA6B1B"/>
    <w:rsid w:val="00EB4AE9"/>
    <w:rsid w:val="00ED7323"/>
    <w:rsid w:val="00ED7FC5"/>
    <w:rsid w:val="00EE21EA"/>
    <w:rsid w:val="00EE28F3"/>
    <w:rsid w:val="00EF3A45"/>
    <w:rsid w:val="00EF41D8"/>
    <w:rsid w:val="00EF5110"/>
    <w:rsid w:val="00EF5DEF"/>
    <w:rsid w:val="00EF7202"/>
    <w:rsid w:val="00F10411"/>
    <w:rsid w:val="00F15882"/>
    <w:rsid w:val="00F171E0"/>
    <w:rsid w:val="00F20BD3"/>
    <w:rsid w:val="00F31C54"/>
    <w:rsid w:val="00F373A5"/>
    <w:rsid w:val="00F40EC9"/>
    <w:rsid w:val="00F474F4"/>
    <w:rsid w:val="00F47559"/>
    <w:rsid w:val="00F6076A"/>
    <w:rsid w:val="00F63E9B"/>
    <w:rsid w:val="00F64C7B"/>
    <w:rsid w:val="00F676DD"/>
    <w:rsid w:val="00F75A26"/>
    <w:rsid w:val="00F76130"/>
    <w:rsid w:val="00F76706"/>
    <w:rsid w:val="00F82A5E"/>
    <w:rsid w:val="00F83FAD"/>
    <w:rsid w:val="00F952A0"/>
    <w:rsid w:val="00F9548D"/>
    <w:rsid w:val="00FA3C7F"/>
    <w:rsid w:val="00FB54AB"/>
    <w:rsid w:val="00FB5826"/>
    <w:rsid w:val="00FB6087"/>
    <w:rsid w:val="00FB6999"/>
    <w:rsid w:val="00FB74E2"/>
    <w:rsid w:val="00FC10C4"/>
    <w:rsid w:val="00FD43E1"/>
    <w:rsid w:val="00FD5614"/>
    <w:rsid w:val="00FE0BE1"/>
    <w:rsid w:val="00FE1DE9"/>
    <w:rsid w:val="00FE36AF"/>
    <w:rsid w:val="00FE39C2"/>
    <w:rsid w:val="00FE3C32"/>
    <w:rsid w:val="00FE64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679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uiPriority="0"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6"/>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6"/>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6"/>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6"/>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6"/>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6"/>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9"/>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9"/>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9"/>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CE1FA9"/>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iPriority w:val="99"/>
    <w:unhideWhenUsed/>
    <w:qFormat/>
    <w:rsid w:val="00DB5074"/>
    <w:pPr>
      <w:tabs>
        <w:tab w:val="left" w:pos="340"/>
      </w:tabs>
      <w:spacing w:before="120"/>
      <w:ind w:left="340"/>
    </w:pPr>
  </w:style>
  <w:style w:type="paragraph" w:styleId="ListContinue2">
    <w:name w:val="List Continue 2"/>
    <w:aliases w:val="AER body text (indent 2)"/>
    <w:basedOn w:val="Normal"/>
    <w:uiPriority w:val="99"/>
    <w:unhideWhenUsed/>
    <w:rsid w:val="00567BA5"/>
    <w:pPr>
      <w:tabs>
        <w:tab w:val="left" w:pos="680"/>
      </w:tabs>
      <w:spacing w:before="120"/>
      <w:ind w:left="680"/>
    </w:pPr>
  </w:style>
  <w:style w:type="paragraph" w:styleId="ListContinue3">
    <w:name w:val="List Continue 3"/>
    <w:aliases w:val="AER body text (indent 3)"/>
    <w:basedOn w:val="Normal"/>
    <w:uiPriority w:val="99"/>
    <w:unhideWhenUsed/>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2"/>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3"/>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4"/>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5"/>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7"/>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semiHidden/>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uiPriority="0"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6"/>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6"/>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6"/>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6"/>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6"/>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6"/>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9"/>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9"/>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9"/>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CE1FA9"/>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iPriority w:val="99"/>
    <w:unhideWhenUsed/>
    <w:qFormat/>
    <w:rsid w:val="00DB5074"/>
    <w:pPr>
      <w:tabs>
        <w:tab w:val="left" w:pos="340"/>
      </w:tabs>
      <w:spacing w:before="120"/>
      <w:ind w:left="340"/>
    </w:pPr>
  </w:style>
  <w:style w:type="paragraph" w:styleId="ListContinue2">
    <w:name w:val="List Continue 2"/>
    <w:aliases w:val="AER body text (indent 2)"/>
    <w:basedOn w:val="Normal"/>
    <w:uiPriority w:val="99"/>
    <w:unhideWhenUsed/>
    <w:rsid w:val="00567BA5"/>
    <w:pPr>
      <w:tabs>
        <w:tab w:val="left" w:pos="680"/>
      </w:tabs>
      <w:spacing w:before="120"/>
      <w:ind w:left="680"/>
    </w:pPr>
  </w:style>
  <w:style w:type="paragraph" w:styleId="ListContinue3">
    <w:name w:val="List Continue 3"/>
    <w:aliases w:val="AER body text (indent 3)"/>
    <w:basedOn w:val="Normal"/>
    <w:uiPriority w:val="99"/>
    <w:unhideWhenUsed/>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2"/>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3"/>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4"/>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5"/>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7"/>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semiHidden/>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 w:id="1847134141">
      <w:bodyDiv w:val="1"/>
      <w:marLeft w:val="0"/>
      <w:marRight w:val="0"/>
      <w:marTop w:val="0"/>
      <w:marBottom w:val="0"/>
      <w:divBdr>
        <w:top w:val="none" w:sz="0" w:space="0" w:color="auto"/>
        <w:left w:val="none" w:sz="0" w:space="0" w:color="auto"/>
        <w:bottom w:val="none" w:sz="0" w:space="0" w:color="auto"/>
        <w:right w:val="none" w:sz="0" w:space="0" w:color="auto"/>
      </w:divBdr>
    </w:div>
    <w:div w:id="2029870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18" Type="http://schemas.openxmlformats.org/officeDocument/2006/relationships/diagramColors" Target="diagrams/colors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diagramQuickStyle" Target="diagrams/quickStyle1.xml"/><Relationship Id="rId2" Type="http://schemas.openxmlformats.org/officeDocument/2006/relationships/numbering" Target="numbering.xml"/><Relationship Id="rId16" Type="http://schemas.openxmlformats.org/officeDocument/2006/relationships/diagramLayout" Target="diagrams/layout1.xml"/><Relationship Id="rId20" Type="http://schemas.openxmlformats.org/officeDocument/2006/relationships/image" Target="media/image3.e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diagramData" Target="diagrams/data1.xml"/><Relationship Id="rId10" Type="http://schemas.openxmlformats.org/officeDocument/2006/relationships/hyperlink" Target="mailto:AERInquiry@aer.gov.au" TargetMode="External"/><Relationship Id="rId19" Type="http://schemas.microsoft.com/office/2007/relationships/diagramDrawing" Target="diagrams/drawing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2.emf"/><Relationship Id="rId22"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3_2">
  <dgm:title val=""/>
  <dgm:desc val=""/>
  <dgm:catLst>
    <dgm:cat type="accent3" pri="11200"/>
  </dgm:catLst>
  <dgm:styleLbl name="node0">
    <dgm:fillClrLst meth="repeat">
      <a:schemeClr val="accent3"/>
    </dgm:fillClrLst>
    <dgm:linClrLst meth="repeat">
      <a:schemeClr val="lt1"/>
    </dgm:linClrLst>
    <dgm:effectClrLst/>
    <dgm:txLinClrLst/>
    <dgm:txFillClrLst/>
    <dgm:txEffectClrLst/>
  </dgm:styleLbl>
  <dgm:styleLbl name="node1">
    <dgm:fillClrLst meth="repeat">
      <a:schemeClr val="accent3"/>
    </dgm:fillClrLst>
    <dgm:linClrLst meth="repeat">
      <a:schemeClr val="lt1"/>
    </dgm:linClrLst>
    <dgm:effectClrLst/>
    <dgm:txLinClrLst/>
    <dgm:txFillClrLst/>
    <dgm:txEffectClrLst/>
  </dgm:styleLbl>
  <dgm:styleLbl name="alignNode1">
    <dgm:fillClrLst meth="repeat">
      <a:schemeClr val="accent3"/>
    </dgm:fillClrLst>
    <dgm:linClrLst meth="repeat">
      <a:schemeClr val="accent3"/>
    </dgm:linClrLst>
    <dgm:effectClrLst/>
    <dgm:txLinClrLst/>
    <dgm:txFillClrLst/>
    <dgm:txEffectClrLst/>
  </dgm:styleLbl>
  <dgm:styleLbl name="lnNode1">
    <dgm:fillClrLst meth="repeat">
      <a:schemeClr val="accent3"/>
    </dgm:fillClrLst>
    <dgm:linClrLst meth="repeat">
      <a:schemeClr val="lt1"/>
    </dgm:linClrLst>
    <dgm:effectClrLst/>
    <dgm:txLinClrLst/>
    <dgm:txFillClrLst/>
    <dgm:txEffectClrLst/>
  </dgm:styleLbl>
  <dgm:styleLbl name="vennNode1">
    <dgm:fillClrLst meth="repeat">
      <a:schemeClr val="accent3">
        <a:alpha val="50000"/>
      </a:schemeClr>
    </dgm:fillClrLst>
    <dgm:linClrLst meth="repeat">
      <a:schemeClr val="lt1"/>
    </dgm:linClrLst>
    <dgm:effectClrLst/>
    <dgm:txLinClrLst/>
    <dgm:txFillClrLst/>
    <dgm:txEffectClrLst/>
  </dgm:styleLbl>
  <dgm:styleLbl name="node2">
    <dgm:fillClrLst meth="repeat">
      <a:schemeClr val="accent3"/>
    </dgm:fillClrLst>
    <dgm:linClrLst meth="repeat">
      <a:schemeClr val="lt1"/>
    </dgm:linClrLst>
    <dgm:effectClrLst/>
    <dgm:txLinClrLst/>
    <dgm:txFillClrLst/>
    <dgm:txEffectClrLst/>
  </dgm:styleLbl>
  <dgm:styleLbl name="node3">
    <dgm:fillClrLst meth="repeat">
      <a:schemeClr val="accent3"/>
    </dgm:fillClrLst>
    <dgm:linClrLst meth="repeat">
      <a:schemeClr val="lt1"/>
    </dgm:linClrLst>
    <dgm:effectClrLst/>
    <dgm:txLinClrLst/>
    <dgm:txFillClrLst/>
    <dgm:txEffectClrLst/>
  </dgm:styleLbl>
  <dgm:styleLbl name="node4">
    <dgm:fillClrLst meth="repeat">
      <a:schemeClr val="accent3"/>
    </dgm:fillClrLst>
    <dgm:linClrLst meth="repeat">
      <a:schemeClr val="lt1"/>
    </dgm:linClrLst>
    <dgm:effectClrLst/>
    <dgm:txLinClrLst/>
    <dgm:txFillClrLst/>
    <dgm:txEffectClrLst/>
  </dgm:styleLbl>
  <dgm:styleLbl name="fg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3">
        <a:tint val="60000"/>
      </a:schemeClr>
    </dgm:fillClrLst>
    <dgm:linClrLst meth="repeat">
      <a:schemeClr val="accent3">
        <a:tint val="60000"/>
      </a:schemeClr>
    </dgm:linClrLst>
    <dgm:effectClrLst/>
    <dgm:txLinClrLst/>
    <dgm:txFillClrLst/>
    <dgm:txEffectClrLst/>
  </dgm:styleLbl>
  <dgm:styleLbl name="fgSibTrans2D1">
    <dgm:fillClrLst meth="repeat">
      <a:schemeClr val="accent3">
        <a:tint val="60000"/>
      </a:schemeClr>
    </dgm:fillClrLst>
    <dgm:linClrLst meth="repeat">
      <a:schemeClr val="accent3">
        <a:tint val="60000"/>
      </a:schemeClr>
    </dgm:linClrLst>
    <dgm:effectClrLst/>
    <dgm:txLinClrLst/>
    <dgm:txFillClrLst/>
    <dgm:txEffectClrLst/>
  </dgm:styleLbl>
  <dgm:styleLbl name="bgSibTrans2D1">
    <dgm:fillClrLst meth="repeat">
      <a:schemeClr val="accent3">
        <a:tint val="60000"/>
      </a:schemeClr>
    </dgm:fillClrLst>
    <dgm:linClrLst meth="repeat">
      <a:schemeClr val="accent3">
        <a:tint val="60000"/>
      </a:schemeClr>
    </dgm:linClrLst>
    <dgm:effectClrLst/>
    <dgm:txLinClrLst/>
    <dgm:txFillClrLst/>
    <dgm:txEffectClrLst/>
  </dgm:styleLbl>
  <dgm:styleLbl name="sibTrans1D1">
    <dgm:fillClrLst meth="repeat">
      <a:schemeClr val="accent3"/>
    </dgm:fillClrLst>
    <dgm:linClrLst meth="repeat">
      <a:schemeClr val="accent3"/>
    </dgm:linClrLst>
    <dgm:effectClrLst/>
    <dgm:txLinClrLst/>
    <dgm:txFillClrLst meth="repeat">
      <a:schemeClr val="tx1"/>
    </dgm:txFillClrLst>
    <dgm:txEffectClrLst/>
  </dgm:styleLbl>
  <dgm:styleLbl name="callout">
    <dgm:fillClrLst meth="repeat">
      <a:schemeClr val="accent3"/>
    </dgm:fillClrLst>
    <dgm:linClrLst meth="repeat">
      <a:schemeClr val="accent3">
        <a:tint val="50000"/>
      </a:schemeClr>
    </dgm:linClrLst>
    <dgm:effectClrLst/>
    <dgm:txLinClrLst/>
    <dgm:txFillClrLst meth="repeat">
      <a:schemeClr val="tx1"/>
    </dgm:txFillClrLst>
    <dgm:txEffectClrLst/>
  </dgm:styleLbl>
  <dgm:styleLbl name="asst0">
    <dgm:fillClrLst meth="repeat">
      <a:schemeClr val="accent3"/>
    </dgm:fillClrLst>
    <dgm:linClrLst meth="repeat">
      <a:schemeClr val="lt1"/>
    </dgm:linClrLst>
    <dgm:effectClrLst/>
    <dgm:txLinClrLst/>
    <dgm:txFillClrLst/>
    <dgm:txEffectClrLst/>
  </dgm:styleLbl>
  <dgm:styleLbl name="asst1">
    <dgm:fillClrLst meth="repeat">
      <a:schemeClr val="accent3"/>
    </dgm:fillClrLst>
    <dgm:linClrLst meth="repeat">
      <a:schemeClr val="lt1"/>
    </dgm:linClrLst>
    <dgm:effectClrLst/>
    <dgm:txLinClrLst/>
    <dgm:txFillClrLst/>
    <dgm:txEffectClrLst/>
  </dgm:styleLbl>
  <dgm:styleLbl name="asst2">
    <dgm:fillClrLst meth="repeat">
      <a:schemeClr val="accent3"/>
    </dgm:fillClrLst>
    <dgm:linClrLst meth="repeat">
      <a:schemeClr val="lt1"/>
    </dgm:linClrLst>
    <dgm:effectClrLst/>
    <dgm:txLinClrLst/>
    <dgm:txFillClrLst/>
    <dgm:txEffectClrLst/>
  </dgm:styleLbl>
  <dgm:styleLbl name="asst3">
    <dgm:fillClrLst meth="repeat">
      <a:schemeClr val="accent3"/>
    </dgm:fillClrLst>
    <dgm:linClrLst meth="repeat">
      <a:schemeClr val="lt1"/>
    </dgm:linClrLst>
    <dgm:effectClrLst/>
    <dgm:txLinClrLst/>
    <dgm:txFillClrLst/>
    <dgm:txEffectClrLst/>
  </dgm:styleLbl>
  <dgm:styleLbl name="asst4">
    <dgm:fillClrLst meth="repeat">
      <a:schemeClr val="accent3"/>
    </dgm:fillClrLst>
    <dgm:linClrLst meth="repeat">
      <a:schemeClr val="lt1"/>
    </dgm:linClrLst>
    <dgm:effectClrLst/>
    <dgm:txLinClrLst/>
    <dgm:txFillClrLst/>
    <dgm:txEffectClrLst/>
  </dgm:styleLbl>
  <dgm:styleLbl name="parChTrans2D1">
    <dgm:fillClrLst meth="repeat">
      <a:schemeClr val="accent3">
        <a:tint val="60000"/>
      </a:schemeClr>
    </dgm:fillClrLst>
    <dgm:linClrLst meth="repeat">
      <a:schemeClr val="accent3">
        <a:tint val="60000"/>
      </a:schemeClr>
    </dgm:linClrLst>
    <dgm:effectClrLst/>
    <dgm:txLinClrLst/>
    <dgm:txFillClrLst meth="repeat">
      <a:schemeClr val="lt1"/>
    </dgm:txFillClrLst>
    <dgm:txEffectClrLst/>
  </dgm:styleLbl>
  <dgm:styleLbl name="parChTrans2D2">
    <dgm:fillClrLst meth="repeat">
      <a:schemeClr val="accent3"/>
    </dgm:fillClrLst>
    <dgm:linClrLst meth="repeat">
      <a:schemeClr val="accent3"/>
    </dgm:linClrLst>
    <dgm:effectClrLst/>
    <dgm:txLinClrLst/>
    <dgm:txFillClrLst meth="repeat">
      <a:schemeClr val="lt1"/>
    </dgm:txFillClrLst>
    <dgm:txEffectClrLst/>
  </dgm:styleLbl>
  <dgm:styleLbl name="parChTrans2D3">
    <dgm:fillClrLst meth="repeat">
      <a:schemeClr val="accent3"/>
    </dgm:fillClrLst>
    <dgm:linClrLst meth="repeat">
      <a:schemeClr val="accent3"/>
    </dgm:linClrLst>
    <dgm:effectClrLst/>
    <dgm:txLinClrLst/>
    <dgm:txFillClrLst meth="repeat">
      <a:schemeClr val="lt1"/>
    </dgm:txFillClrLst>
    <dgm:txEffectClrLst/>
  </dgm:styleLbl>
  <dgm:styleLbl name="parChTrans2D4">
    <dgm:fillClrLst meth="repeat">
      <a:schemeClr val="accent3"/>
    </dgm:fillClrLst>
    <dgm:linClrLst meth="repeat">
      <a:schemeClr val="accent3"/>
    </dgm:linClrLst>
    <dgm:effectClrLst/>
    <dgm:txLinClrLst/>
    <dgm:txFillClrLst meth="repeat">
      <a:schemeClr val="lt1"/>
    </dgm:txFillClrLst>
    <dgm:txEffectClrLst/>
  </dgm:styleLbl>
  <dgm:styleLbl name="parChTrans1D1">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2">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3">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parChTrans1D4">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3"/>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solidFgAcc1">
    <dgm:fillClrLst meth="repeat">
      <a:schemeClr val="lt1"/>
    </dgm:fillClrLst>
    <dgm:linClrLst meth="repeat">
      <a:schemeClr val="accent3"/>
    </dgm:linClrLst>
    <dgm:effectClrLst/>
    <dgm:txLinClrLst/>
    <dgm:txFillClrLst meth="repeat">
      <a:schemeClr val="dk1"/>
    </dgm:txFillClrLst>
    <dgm:txEffectClrLst/>
  </dgm:styleLbl>
  <dgm:styleLbl name="solidAlignAcc1">
    <dgm:fillClrLst meth="repeat">
      <a:schemeClr val="lt1"/>
    </dgm:fillClrLst>
    <dgm:linClrLst meth="repeat">
      <a:schemeClr val="accent3"/>
    </dgm:linClrLst>
    <dgm:effectClrLst/>
    <dgm:txLinClrLst/>
    <dgm:txFillClrLst meth="repeat">
      <a:schemeClr val="dk1"/>
    </dgm:txFillClrLst>
    <dgm:txEffectClrLst/>
  </dgm:styleLbl>
  <dgm:styleLbl name="solidBgAcc1">
    <dgm:fillClrLst meth="repeat">
      <a:schemeClr val="lt1"/>
    </dgm:fillClrLst>
    <dgm:linClrLst meth="repeat">
      <a:schemeClr val="accent3"/>
    </dgm:linClrLst>
    <dgm:effectClrLst/>
    <dgm:txLinClrLst/>
    <dgm:txFillClrLst meth="repeat">
      <a:schemeClr val="dk1"/>
    </dgm:txFillClrLst>
    <dgm:txEffectClrLst/>
  </dgm:styleLbl>
  <dgm:styleLbl name="fg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align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bg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bgShp">
    <dgm:fillClrLst meth="repeat">
      <a:schemeClr val="accent3">
        <a:tint val="40000"/>
      </a:schemeClr>
    </dgm:fillClrLst>
    <dgm:linClrLst meth="repeat">
      <a:schemeClr val="accent3"/>
    </dgm:linClrLst>
    <dgm:effectClrLst/>
    <dgm:txLinClrLst/>
    <dgm:txFillClrLst meth="repeat">
      <a:schemeClr val="dk1"/>
    </dgm:txFillClrLst>
    <dgm:txEffectClrLst/>
  </dgm:styleLbl>
  <dgm:styleLbl name="dkBgShp">
    <dgm:fillClrLst meth="repeat">
      <a:schemeClr val="accent3">
        <a:shade val="80000"/>
      </a:schemeClr>
    </dgm:fillClrLst>
    <dgm:linClrLst meth="repeat">
      <a:schemeClr val="accent3"/>
    </dgm:linClrLst>
    <dgm:effectClrLst/>
    <dgm:txLinClrLst/>
    <dgm:txFillClrLst meth="repeat">
      <a:schemeClr val="lt1"/>
    </dgm:txFillClrLst>
    <dgm:txEffectClrLst/>
  </dgm:styleLbl>
  <dgm:styleLbl name="trBgShp">
    <dgm:fillClrLst meth="repeat">
      <a:schemeClr val="accent3">
        <a:tint val="50000"/>
        <a:alpha val="40000"/>
      </a:schemeClr>
    </dgm:fillClrLst>
    <dgm:linClrLst meth="repeat">
      <a:schemeClr val="accent3"/>
    </dgm:linClrLst>
    <dgm:effectClrLst/>
    <dgm:txLinClrLst/>
    <dgm:txFillClrLst meth="repeat">
      <a:schemeClr val="lt1"/>
    </dgm:txFillClrLst>
    <dgm:txEffectClrLst/>
  </dgm:styleLbl>
  <dgm:styleLbl name="fgShp">
    <dgm:fillClrLst meth="repeat">
      <a:schemeClr val="accent3">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CD3B7BF-2FEE-4CCC-B56C-756F5811693B}" type="doc">
      <dgm:prSet loTypeId="urn:microsoft.com/office/officeart/2005/8/layout/process4" loCatId="process" qsTypeId="urn:microsoft.com/office/officeart/2005/8/quickstyle/simple2" qsCatId="simple" csTypeId="urn:microsoft.com/office/officeart/2005/8/colors/accent3_2" csCatId="accent3" phldr="1"/>
      <dgm:spPr/>
      <dgm:t>
        <a:bodyPr/>
        <a:lstStyle/>
        <a:p>
          <a:endParaRPr lang="en-AU"/>
        </a:p>
      </dgm:t>
    </dgm:pt>
    <dgm:pt modelId="{9C47A6F4-2D2D-401E-8E8C-257F4F60A451}">
      <dgm:prSet phldrT="[Text]" custT="1"/>
      <dgm:spPr>
        <a:xfrm rot="10800000">
          <a:off x="0" y="3525"/>
          <a:ext cx="5380075" cy="1329369"/>
        </a:xfr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gm:spPr>
      <dgm:t>
        <a:bodyPr/>
        <a:lstStyle/>
        <a:p>
          <a:r>
            <a:rPr lang="en-AU" sz="800">
              <a:solidFill>
                <a:sysClr val="window" lastClr="FFFFFF"/>
              </a:solidFill>
              <a:latin typeface="Arial"/>
              <a:ea typeface="+mn-ea"/>
              <a:cs typeface="+mn-cs"/>
            </a:rPr>
            <a:t>Step 1 - Start with service provider's opex. </a:t>
          </a:r>
        </a:p>
        <a:p>
          <a:r>
            <a:rPr lang="en-AU" sz="800">
              <a:solidFill>
                <a:sysClr val="window" lastClr="FFFFFF"/>
              </a:solidFill>
              <a:latin typeface="Arial"/>
              <a:ea typeface="+mn-ea"/>
              <a:cs typeface="+mn-cs"/>
            </a:rPr>
            <a:t>We typically use the service provider's actual opex in a single year as the starting point for our assessment. We call this the base year. While categories of opex can vary from year to year, total opex is relatively recurrent. We typically choose a recent year for our assessment</a:t>
          </a:r>
          <a:r>
            <a:rPr lang="en-AU" sz="1000">
              <a:solidFill>
                <a:sysClr val="window" lastClr="FFFFFF"/>
              </a:solidFill>
              <a:latin typeface="Arial"/>
              <a:ea typeface="+mn-ea"/>
              <a:cs typeface="+mn-cs"/>
            </a:rPr>
            <a:t>.</a:t>
          </a:r>
        </a:p>
      </dgm:t>
    </dgm:pt>
    <dgm:pt modelId="{FE7AE3C6-CE1F-44D6-B9C8-9CCC9162FA7B}" type="parTrans" cxnId="{9E049C38-11C6-4C21-935B-6673DC446529}">
      <dgm:prSet/>
      <dgm:spPr/>
      <dgm:t>
        <a:bodyPr/>
        <a:lstStyle/>
        <a:p>
          <a:endParaRPr lang="en-AU"/>
        </a:p>
      </dgm:t>
    </dgm:pt>
    <dgm:pt modelId="{184D268C-C8A6-4CB8-8996-1382A65562B7}" type="sibTrans" cxnId="{9E049C38-11C6-4C21-935B-6673DC446529}">
      <dgm:prSet/>
      <dgm:spPr/>
      <dgm:t>
        <a:bodyPr/>
        <a:lstStyle/>
        <a:p>
          <a:endParaRPr lang="en-AU"/>
        </a:p>
      </dgm:t>
    </dgm:pt>
    <dgm:pt modelId="{AC473FD4-F2AF-45C9-A4B1-550F9CB6BB91}">
      <dgm:prSet phldrT="[Text]" custT="1"/>
      <dgm:spPr>
        <a:xfrm rot="10800000">
          <a:off x="0" y="1319930"/>
          <a:ext cx="5380075" cy="1329369"/>
        </a:xfr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gm:spPr>
      <dgm:t>
        <a:bodyPr/>
        <a:lstStyle/>
        <a:p>
          <a:r>
            <a:rPr lang="en-AU" sz="800">
              <a:solidFill>
                <a:sysClr val="window" lastClr="FFFFFF"/>
              </a:solidFill>
              <a:latin typeface="Arial"/>
              <a:ea typeface="+mn-ea"/>
              <a:cs typeface="+mn-cs"/>
            </a:rPr>
            <a:t>Step 2- Assess base year opex </a:t>
          </a:r>
        </a:p>
        <a:p>
          <a:r>
            <a:rPr lang="en-AU" sz="800">
              <a:solidFill>
                <a:sysClr val="window" lastClr="FFFFFF"/>
              </a:solidFill>
              <a:latin typeface="Arial"/>
              <a:ea typeface="+mn-ea"/>
              <a:cs typeface="+mn-cs"/>
            </a:rPr>
            <a:t>We assess whether opex the service provider incurred in the base year reasonably reflects the opex criteria.</a:t>
          </a:r>
        </a:p>
        <a:p>
          <a:r>
            <a:rPr lang="en-AU" sz="800">
              <a:solidFill>
                <a:sysClr val="window" lastClr="FFFFFF"/>
              </a:solidFill>
              <a:latin typeface="Arial"/>
              <a:ea typeface="+mn-ea"/>
              <a:cs typeface="+mn-cs"/>
            </a:rPr>
            <a:t>If necessary we make an adjustment to the base year expenditure to ensure it reflects the opex critieria. We can utilise the same techniques available to assess the efficiency of base year opex to make an adjustment to base year opex.</a:t>
          </a:r>
        </a:p>
      </dgm:t>
    </dgm:pt>
    <dgm:pt modelId="{DA60D50A-1DF4-4440-9483-25B372B27DA5}" type="parTrans" cxnId="{4C548E40-AD77-45A3-AE78-C56DA018AF5C}">
      <dgm:prSet/>
      <dgm:spPr/>
      <dgm:t>
        <a:bodyPr/>
        <a:lstStyle/>
        <a:p>
          <a:endParaRPr lang="en-AU"/>
        </a:p>
      </dgm:t>
    </dgm:pt>
    <dgm:pt modelId="{54CDA9FB-18EA-4AA4-896E-AD575A113BCF}" type="sibTrans" cxnId="{4C548E40-AD77-45A3-AE78-C56DA018AF5C}">
      <dgm:prSet/>
      <dgm:spPr/>
      <dgm:t>
        <a:bodyPr/>
        <a:lstStyle/>
        <a:p>
          <a:endParaRPr lang="en-AU"/>
        </a:p>
      </dgm:t>
    </dgm:pt>
    <dgm:pt modelId="{0E807F0E-DCCE-4C5B-A50E-80BE0EADF331}">
      <dgm:prSet phldrT="[Text]" custT="1"/>
      <dgm:spPr>
        <a:xfrm rot="10800000">
          <a:off x="0" y="2636334"/>
          <a:ext cx="5380075" cy="1329369"/>
        </a:xfr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gm:spPr>
      <dgm:t>
        <a:bodyPr/>
        <a:lstStyle/>
        <a:p>
          <a:r>
            <a:rPr lang="en-AU" sz="800">
              <a:solidFill>
                <a:sysClr val="window" lastClr="FFFFFF"/>
              </a:solidFill>
              <a:latin typeface="Arial"/>
              <a:ea typeface="+mn-ea"/>
              <a:cs typeface="+mn-cs"/>
            </a:rPr>
            <a:t>Step 3 - Add a rate of change to base opex. </a:t>
          </a:r>
        </a:p>
        <a:p>
          <a:r>
            <a:rPr lang="en-AU" sz="800">
              <a:solidFill>
                <a:sysClr val="window" lastClr="FFFFFF"/>
              </a:solidFill>
              <a:latin typeface="Arial"/>
              <a:ea typeface="+mn-ea"/>
              <a:cs typeface="+mn-cs"/>
            </a:rPr>
            <a:t>As the opex of an efficient service provider tends to change over time due to price changes, output and productivity we trend our estimate of base opex forward over the </a:t>
          </a:r>
          <a:r>
            <a:rPr lang="en-AU" sz="800"/>
            <a:t>access arrangement period</a:t>
          </a:r>
          <a:r>
            <a:rPr lang="en-AU" sz="800">
              <a:solidFill>
                <a:sysClr val="window" lastClr="FFFFFF"/>
              </a:solidFill>
              <a:latin typeface="Arial"/>
              <a:ea typeface="+mn-ea"/>
              <a:cs typeface="+mn-cs"/>
            </a:rPr>
            <a:t> to take account of these changes. We refer to this as the rate of change.</a:t>
          </a:r>
        </a:p>
      </dgm:t>
    </dgm:pt>
    <dgm:pt modelId="{9E7BA093-3131-4FE5-AAE8-D69EEC781F25}" type="parTrans" cxnId="{923AC015-ECC9-47E2-88D7-E9A923E5BEE8}">
      <dgm:prSet/>
      <dgm:spPr/>
      <dgm:t>
        <a:bodyPr/>
        <a:lstStyle/>
        <a:p>
          <a:endParaRPr lang="en-AU"/>
        </a:p>
      </dgm:t>
    </dgm:pt>
    <dgm:pt modelId="{C4803D4A-E5FF-426D-9F2D-160DD91B3613}" type="sibTrans" cxnId="{923AC015-ECC9-47E2-88D7-E9A923E5BEE8}">
      <dgm:prSet/>
      <dgm:spPr/>
      <dgm:t>
        <a:bodyPr/>
        <a:lstStyle/>
        <a:p>
          <a:endParaRPr lang="en-AU"/>
        </a:p>
      </dgm:t>
    </dgm:pt>
    <dgm:pt modelId="{1F9AEA4B-1889-4916-A8C4-02A7B409F8FD}">
      <dgm:prSet custT="1"/>
      <dgm:spPr>
        <a:xfrm rot="10800000">
          <a:off x="0" y="3952739"/>
          <a:ext cx="5380075" cy="1329369"/>
        </a:xfr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gm:spPr>
      <dgm:t>
        <a:bodyPr/>
        <a:lstStyle/>
        <a:p>
          <a:r>
            <a:rPr lang="en-AU" sz="800">
              <a:solidFill>
                <a:sysClr val="window" lastClr="FFFFFF"/>
              </a:solidFill>
              <a:latin typeface="Arial"/>
              <a:ea typeface="+mn-ea"/>
              <a:cs typeface="+mn-cs"/>
            </a:rPr>
            <a:t>Step 4 - Add or subtract any step changes</a:t>
          </a:r>
        </a:p>
        <a:p>
          <a:r>
            <a:rPr lang="en-AU" sz="800">
              <a:solidFill>
                <a:sysClr val="window" lastClr="FFFFFF"/>
              </a:solidFill>
              <a:latin typeface="Arial"/>
              <a:ea typeface="+mn-ea"/>
              <a:cs typeface="+mn-cs"/>
            </a:rPr>
            <a:t>We then adjust base year expenditure to account for any forecast cost changes over the </a:t>
          </a:r>
          <a:r>
            <a:rPr lang="en-AU" sz="800"/>
            <a:t>access arrangement period </a:t>
          </a:r>
          <a:r>
            <a:rPr lang="en-AU" sz="800">
              <a:solidFill>
                <a:sysClr val="window" lastClr="FFFFFF"/>
              </a:solidFill>
              <a:latin typeface="Arial"/>
              <a:ea typeface="+mn-ea"/>
              <a:cs typeface="+mn-cs"/>
            </a:rPr>
            <a:t>that would meet the opex critieria that are not otherwise captured in base opex or rate of change. This may be due to new regulatory obligations in the forecast period and efficient capex/opex trade-offs. We call these step changes.</a:t>
          </a:r>
        </a:p>
      </dgm:t>
    </dgm:pt>
    <dgm:pt modelId="{1347B298-2B45-454A-9F87-C529E24A0862}" type="parTrans" cxnId="{C466E166-BD13-4EFA-8404-9D79D22C8B75}">
      <dgm:prSet/>
      <dgm:spPr/>
      <dgm:t>
        <a:bodyPr/>
        <a:lstStyle/>
        <a:p>
          <a:endParaRPr lang="en-AU"/>
        </a:p>
      </dgm:t>
    </dgm:pt>
    <dgm:pt modelId="{3D8C6DCE-562A-4C6E-9B93-17E69BE7CF38}" type="sibTrans" cxnId="{C466E166-BD13-4EFA-8404-9D79D22C8B75}">
      <dgm:prSet/>
      <dgm:spPr/>
      <dgm:t>
        <a:bodyPr/>
        <a:lstStyle/>
        <a:p>
          <a:endParaRPr lang="en-AU"/>
        </a:p>
      </dgm:t>
    </dgm:pt>
    <dgm:pt modelId="{C46829A4-CBEA-434B-AFFA-A763D4F31F9F}">
      <dgm:prSet custT="1"/>
      <dgm:spPr>
        <a:xfrm rot="10800000">
          <a:off x="0" y="5269144"/>
          <a:ext cx="5380075" cy="1329369"/>
        </a:xfr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gm:spPr>
      <dgm:t>
        <a:bodyPr/>
        <a:lstStyle/>
        <a:p>
          <a:r>
            <a:rPr lang="en-AU" sz="800">
              <a:solidFill>
                <a:sysClr val="window" lastClr="FFFFFF"/>
              </a:solidFill>
              <a:latin typeface="Arial"/>
              <a:ea typeface="+mn-ea"/>
              <a:cs typeface="+mn-cs"/>
            </a:rPr>
            <a:t>Step 5 - Other opex</a:t>
          </a:r>
        </a:p>
        <a:p>
          <a:r>
            <a:rPr lang="en-AU" sz="800">
              <a:solidFill>
                <a:sysClr val="window" lastClr="FFFFFF"/>
              </a:solidFill>
              <a:latin typeface="Arial"/>
              <a:ea typeface="+mn-ea"/>
              <a:cs typeface="+mn-cs"/>
            </a:rPr>
            <a:t>Finally we add any additional opex components which have not been forecast using this approach. For instance, we forecast debt raising costs based on the costs incurred by a benchmark efficient service provider.</a:t>
          </a:r>
        </a:p>
      </dgm:t>
    </dgm:pt>
    <dgm:pt modelId="{60FF9687-DAC1-4E7A-A4E0-2B0412E31E73}" type="parTrans" cxnId="{EB4F8EE3-F53C-424B-9C2F-EEAF71DA0D20}">
      <dgm:prSet/>
      <dgm:spPr/>
      <dgm:t>
        <a:bodyPr/>
        <a:lstStyle/>
        <a:p>
          <a:endParaRPr lang="en-AU"/>
        </a:p>
      </dgm:t>
    </dgm:pt>
    <dgm:pt modelId="{977ED627-47E6-4A3D-B6DD-60937E15F66C}" type="sibTrans" cxnId="{EB4F8EE3-F53C-424B-9C2F-EEAF71DA0D20}">
      <dgm:prSet/>
      <dgm:spPr/>
      <dgm:t>
        <a:bodyPr/>
        <a:lstStyle/>
        <a:p>
          <a:endParaRPr lang="en-AU"/>
        </a:p>
      </dgm:t>
    </dgm:pt>
    <dgm:pt modelId="{AD28C4B6-4B44-4864-9589-03EDCF6F1FFE}">
      <dgm:prSet custT="1"/>
      <dgm:spPr>
        <a:xfrm>
          <a:off x="0" y="6585548"/>
          <a:ext cx="5380075" cy="864349"/>
        </a:xfrm>
        <a:solidFill>
          <a:srgbClr val="FF0000"/>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gm:spPr>
      <dgm:t>
        <a:bodyPr/>
        <a:lstStyle/>
        <a:p>
          <a:r>
            <a:rPr lang="en-AU" sz="800">
              <a:solidFill>
                <a:schemeClr val="accent5"/>
              </a:solidFill>
              <a:latin typeface="Arial"/>
              <a:ea typeface="+mn-ea"/>
              <a:cs typeface="+mn-cs"/>
            </a:rPr>
            <a:t>Having established our estimate of total forecast opex we can compare our alternative opex forecast with the service provider’s total forecast opex.</a:t>
          </a:r>
        </a:p>
      </dgm:t>
    </dgm:pt>
    <dgm:pt modelId="{944373D4-736F-42F2-801D-FD9C4BADBEB5}" type="parTrans" cxnId="{8218644E-50A9-4513-B75B-8AA832797482}">
      <dgm:prSet/>
      <dgm:spPr/>
      <dgm:t>
        <a:bodyPr/>
        <a:lstStyle/>
        <a:p>
          <a:endParaRPr lang="en-AU"/>
        </a:p>
      </dgm:t>
    </dgm:pt>
    <dgm:pt modelId="{75284E6C-E3C7-4DA6-807B-FB54B76983BC}" type="sibTrans" cxnId="{8218644E-50A9-4513-B75B-8AA832797482}">
      <dgm:prSet/>
      <dgm:spPr/>
      <dgm:t>
        <a:bodyPr/>
        <a:lstStyle/>
        <a:p>
          <a:endParaRPr lang="en-AU"/>
        </a:p>
      </dgm:t>
    </dgm:pt>
    <dgm:pt modelId="{BB4B5562-5C0F-4F0A-8534-0727E9C644AA}" type="pres">
      <dgm:prSet presAssocID="{0CD3B7BF-2FEE-4CCC-B56C-756F5811693B}" presName="Name0" presStyleCnt="0">
        <dgm:presLayoutVars>
          <dgm:dir/>
          <dgm:animLvl val="lvl"/>
          <dgm:resizeHandles val="exact"/>
        </dgm:presLayoutVars>
      </dgm:prSet>
      <dgm:spPr/>
      <dgm:t>
        <a:bodyPr/>
        <a:lstStyle/>
        <a:p>
          <a:endParaRPr lang="en-AU"/>
        </a:p>
      </dgm:t>
    </dgm:pt>
    <dgm:pt modelId="{DD5D9977-7E4F-472F-8460-168066ABE07B}" type="pres">
      <dgm:prSet presAssocID="{AD28C4B6-4B44-4864-9589-03EDCF6F1FFE}" presName="boxAndChildren" presStyleCnt="0"/>
      <dgm:spPr/>
      <dgm:t>
        <a:bodyPr/>
        <a:lstStyle/>
        <a:p>
          <a:endParaRPr lang="en-AU"/>
        </a:p>
      </dgm:t>
    </dgm:pt>
    <dgm:pt modelId="{A7D909A5-61D3-4FAC-9E1B-94BAFFE149C8}" type="pres">
      <dgm:prSet presAssocID="{AD28C4B6-4B44-4864-9589-03EDCF6F1FFE}" presName="parentTextBox" presStyleLbl="node1" presStyleIdx="0" presStyleCnt="6"/>
      <dgm:spPr>
        <a:prstGeom prst="rect">
          <a:avLst/>
        </a:prstGeom>
      </dgm:spPr>
      <dgm:t>
        <a:bodyPr/>
        <a:lstStyle/>
        <a:p>
          <a:endParaRPr lang="en-AU"/>
        </a:p>
      </dgm:t>
    </dgm:pt>
    <dgm:pt modelId="{A07F0B10-1172-4DA6-A189-AE7F32936E8F}" type="pres">
      <dgm:prSet presAssocID="{977ED627-47E6-4A3D-B6DD-60937E15F66C}" presName="sp" presStyleCnt="0"/>
      <dgm:spPr/>
      <dgm:t>
        <a:bodyPr/>
        <a:lstStyle/>
        <a:p>
          <a:endParaRPr lang="en-AU"/>
        </a:p>
      </dgm:t>
    </dgm:pt>
    <dgm:pt modelId="{0F1513B9-D83C-4927-9E52-35C8C3516930}" type="pres">
      <dgm:prSet presAssocID="{C46829A4-CBEA-434B-AFFA-A763D4F31F9F}" presName="arrowAndChildren" presStyleCnt="0"/>
      <dgm:spPr/>
      <dgm:t>
        <a:bodyPr/>
        <a:lstStyle/>
        <a:p>
          <a:endParaRPr lang="en-AU"/>
        </a:p>
      </dgm:t>
    </dgm:pt>
    <dgm:pt modelId="{5454B07C-516E-4134-9667-2DD9F64A5A54}" type="pres">
      <dgm:prSet presAssocID="{C46829A4-CBEA-434B-AFFA-A763D4F31F9F}" presName="parentTextArrow" presStyleLbl="node1" presStyleIdx="1" presStyleCnt="6"/>
      <dgm:spPr>
        <a:prstGeom prst="upArrowCallout">
          <a:avLst/>
        </a:prstGeom>
      </dgm:spPr>
      <dgm:t>
        <a:bodyPr/>
        <a:lstStyle/>
        <a:p>
          <a:endParaRPr lang="en-AU"/>
        </a:p>
      </dgm:t>
    </dgm:pt>
    <dgm:pt modelId="{B3D0E7D6-AE40-4251-92C1-275854055565}" type="pres">
      <dgm:prSet presAssocID="{3D8C6DCE-562A-4C6E-9B93-17E69BE7CF38}" presName="sp" presStyleCnt="0"/>
      <dgm:spPr/>
      <dgm:t>
        <a:bodyPr/>
        <a:lstStyle/>
        <a:p>
          <a:endParaRPr lang="en-AU"/>
        </a:p>
      </dgm:t>
    </dgm:pt>
    <dgm:pt modelId="{714C5785-9474-49A7-A73F-807127D89BCA}" type="pres">
      <dgm:prSet presAssocID="{1F9AEA4B-1889-4916-A8C4-02A7B409F8FD}" presName="arrowAndChildren" presStyleCnt="0"/>
      <dgm:spPr/>
      <dgm:t>
        <a:bodyPr/>
        <a:lstStyle/>
        <a:p>
          <a:endParaRPr lang="en-AU"/>
        </a:p>
      </dgm:t>
    </dgm:pt>
    <dgm:pt modelId="{D15D1D6F-7DCD-4AE5-B149-7785CC2469B6}" type="pres">
      <dgm:prSet presAssocID="{1F9AEA4B-1889-4916-A8C4-02A7B409F8FD}" presName="parentTextArrow" presStyleLbl="node1" presStyleIdx="2" presStyleCnt="6"/>
      <dgm:spPr>
        <a:prstGeom prst="upArrowCallout">
          <a:avLst/>
        </a:prstGeom>
      </dgm:spPr>
      <dgm:t>
        <a:bodyPr/>
        <a:lstStyle/>
        <a:p>
          <a:endParaRPr lang="en-AU"/>
        </a:p>
      </dgm:t>
    </dgm:pt>
    <dgm:pt modelId="{8A400F16-7CF3-4994-BFA9-EFC77DA1DC2A}" type="pres">
      <dgm:prSet presAssocID="{C4803D4A-E5FF-426D-9F2D-160DD91B3613}" presName="sp" presStyleCnt="0"/>
      <dgm:spPr/>
      <dgm:t>
        <a:bodyPr/>
        <a:lstStyle/>
        <a:p>
          <a:endParaRPr lang="en-AU"/>
        </a:p>
      </dgm:t>
    </dgm:pt>
    <dgm:pt modelId="{6B3250BC-549E-434B-8809-7435ACEF18C0}" type="pres">
      <dgm:prSet presAssocID="{0E807F0E-DCCE-4C5B-A50E-80BE0EADF331}" presName="arrowAndChildren" presStyleCnt="0"/>
      <dgm:spPr/>
      <dgm:t>
        <a:bodyPr/>
        <a:lstStyle/>
        <a:p>
          <a:endParaRPr lang="en-AU"/>
        </a:p>
      </dgm:t>
    </dgm:pt>
    <dgm:pt modelId="{7706543F-BD42-48EB-9BC6-91648880A2B7}" type="pres">
      <dgm:prSet presAssocID="{0E807F0E-DCCE-4C5B-A50E-80BE0EADF331}" presName="parentTextArrow" presStyleLbl="node1" presStyleIdx="3" presStyleCnt="6"/>
      <dgm:spPr>
        <a:prstGeom prst="upArrowCallout">
          <a:avLst/>
        </a:prstGeom>
      </dgm:spPr>
      <dgm:t>
        <a:bodyPr/>
        <a:lstStyle/>
        <a:p>
          <a:endParaRPr lang="en-AU"/>
        </a:p>
      </dgm:t>
    </dgm:pt>
    <dgm:pt modelId="{8CFCB65B-3915-4013-A96F-429D6794E64C}" type="pres">
      <dgm:prSet presAssocID="{54CDA9FB-18EA-4AA4-896E-AD575A113BCF}" presName="sp" presStyleCnt="0"/>
      <dgm:spPr/>
      <dgm:t>
        <a:bodyPr/>
        <a:lstStyle/>
        <a:p>
          <a:endParaRPr lang="en-AU"/>
        </a:p>
      </dgm:t>
    </dgm:pt>
    <dgm:pt modelId="{6C011B82-E905-4451-9B10-D18306875232}" type="pres">
      <dgm:prSet presAssocID="{AC473FD4-F2AF-45C9-A4B1-550F9CB6BB91}" presName="arrowAndChildren" presStyleCnt="0"/>
      <dgm:spPr/>
      <dgm:t>
        <a:bodyPr/>
        <a:lstStyle/>
        <a:p>
          <a:endParaRPr lang="en-AU"/>
        </a:p>
      </dgm:t>
    </dgm:pt>
    <dgm:pt modelId="{02266745-C7A2-4A75-B615-37EF6AD1DF72}" type="pres">
      <dgm:prSet presAssocID="{AC473FD4-F2AF-45C9-A4B1-550F9CB6BB91}" presName="parentTextArrow" presStyleLbl="node1" presStyleIdx="4" presStyleCnt="6" custScaleY="110296"/>
      <dgm:spPr>
        <a:prstGeom prst="upArrowCallout">
          <a:avLst/>
        </a:prstGeom>
      </dgm:spPr>
      <dgm:t>
        <a:bodyPr/>
        <a:lstStyle/>
        <a:p>
          <a:endParaRPr lang="en-AU"/>
        </a:p>
      </dgm:t>
    </dgm:pt>
    <dgm:pt modelId="{739FF07F-9438-4C1C-ABA5-1BBDD1414B3F}" type="pres">
      <dgm:prSet presAssocID="{184D268C-C8A6-4CB8-8996-1382A65562B7}" presName="sp" presStyleCnt="0"/>
      <dgm:spPr/>
      <dgm:t>
        <a:bodyPr/>
        <a:lstStyle/>
        <a:p>
          <a:endParaRPr lang="en-AU"/>
        </a:p>
      </dgm:t>
    </dgm:pt>
    <dgm:pt modelId="{B50945C0-8D1A-4679-A5CE-B82540D7EBEC}" type="pres">
      <dgm:prSet presAssocID="{9C47A6F4-2D2D-401E-8E8C-257F4F60A451}" presName="arrowAndChildren" presStyleCnt="0"/>
      <dgm:spPr/>
      <dgm:t>
        <a:bodyPr/>
        <a:lstStyle/>
        <a:p>
          <a:endParaRPr lang="en-AU"/>
        </a:p>
      </dgm:t>
    </dgm:pt>
    <dgm:pt modelId="{B4C9A1EC-3D30-4803-9C07-A599DAFC6514}" type="pres">
      <dgm:prSet presAssocID="{9C47A6F4-2D2D-401E-8E8C-257F4F60A451}" presName="parentTextArrow" presStyleLbl="node1" presStyleIdx="5" presStyleCnt="6"/>
      <dgm:spPr>
        <a:prstGeom prst="upArrowCallout">
          <a:avLst/>
        </a:prstGeom>
      </dgm:spPr>
      <dgm:t>
        <a:bodyPr/>
        <a:lstStyle/>
        <a:p>
          <a:endParaRPr lang="en-AU"/>
        </a:p>
      </dgm:t>
    </dgm:pt>
  </dgm:ptLst>
  <dgm:cxnLst>
    <dgm:cxn modelId="{9E049C38-11C6-4C21-935B-6673DC446529}" srcId="{0CD3B7BF-2FEE-4CCC-B56C-756F5811693B}" destId="{9C47A6F4-2D2D-401E-8E8C-257F4F60A451}" srcOrd="0" destOrd="0" parTransId="{FE7AE3C6-CE1F-44D6-B9C8-9CCC9162FA7B}" sibTransId="{184D268C-C8A6-4CB8-8996-1382A65562B7}"/>
    <dgm:cxn modelId="{2719AD30-731F-4F4A-9E98-FE4D2FF8F7A0}" type="presOf" srcId="{AD28C4B6-4B44-4864-9589-03EDCF6F1FFE}" destId="{A7D909A5-61D3-4FAC-9E1B-94BAFFE149C8}" srcOrd="0" destOrd="0" presId="urn:microsoft.com/office/officeart/2005/8/layout/process4"/>
    <dgm:cxn modelId="{6C9F293B-76D0-4674-B8E2-28BC310102B3}" type="presOf" srcId="{9C47A6F4-2D2D-401E-8E8C-257F4F60A451}" destId="{B4C9A1EC-3D30-4803-9C07-A599DAFC6514}" srcOrd="0" destOrd="0" presId="urn:microsoft.com/office/officeart/2005/8/layout/process4"/>
    <dgm:cxn modelId="{8218644E-50A9-4513-B75B-8AA832797482}" srcId="{0CD3B7BF-2FEE-4CCC-B56C-756F5811693B}" destId="{AD28C4B6-4B44-4864-9589-03EDCF6F1FFE}" srcOrd="5" destOrd="0" parTransId="{944373D4-736F-42F2-801D-FD9C4BADBEB5}" sibTransId="{75284E6C-E3C7-4DA6-807B-FB54B76983BC}"/>
    <dgm:cxn modelId="{0E7056E9-7100-43B1-A82E-283AFBFDD773}" type="presOf" srcId="{C46829A4-CBEA-434B-AFFA-A763D4F31F9F}" destId="{5454B07C-516E-4134-9667-2DD9F64A5A54}" srcOrd="0" destOrd="0" presId="urn:microsoft.com/office/officeart/2005/8/layout/process4"/>
    <dgm:cxn modelId="{701B019B-7E67-4DDA-A944-67A3FE6956F4}" type="presOf" srcId="{AC473FD4-F2AF-45C9-A4B1-550F9CB6BB91}" destId="{02266745-C7A2-4A75-B615-37EF6AD1DF72}" srcOrd="0" destOrd="0" presId="urn:microsoft.com/office/officeart/2005/8/layout/process4"/>
    <dgm:cxn modelId="{EB4F8EE3-F53C-424B-9C2F-EEAF71DA0D20}" srcId="{0CD3B7BF-2FEE-4CCC-B56C-756F5811693B}" destId="{C46829A4-CBEA-434B-AFFA-A763D4F31F9F}" srcOrd="4" destOrd="0" parTransId="{60FF9687-DAC1-4E7A-A4E0-2B0412E31E73}" sibTransId="{977ED627-47E6-4A3D-B6DD-60937E15F66C}"/>
    <dgm:cxn modelId="{AE8261E2-CDB0-4D26-AA47-2182CDDC9EA9}" type="presOf" srcId="{0E807F0E-DCCE-4C5B-A50E-80BE0EADF331}" destId="{7706543F-BD42-48EB-9BC6-91648880A2B7}" srcOrd="0" destOrd="0" presId="urn:microsoft.com/office/officeart/2005/8/layout/process4"/>
    <dgm:cxn modelId="{4C548E40-AD77-45A3-AE78-C56DA018AF5C}" srcId="{0CD3B7BF-2FEE-4CCC-B56C-756F5811693B}" destId="{AC473FD4-F2AF-45C9-A4B1-550F9CB6BB91}" srcOrd="1" destOrd="0" parTransId="{DA60D50A-1DF4-4440-9483-25B372B27DA5}" sibTransId="{54CDA9FB-18EA-4AA4-896E-AD575A113BCF}"/>
    <dgm:cxn modelId="{07A3E59A-73C4-4FBB-B623-9E3D02BC2266}" type="presOf" srcId="{1F9AEA4B-1889-4916-A8C4-02A7B409F8FD}" destId="{D15D1D6F-7DCD-4AE5-B149-7785CC2469B6}" srcOrd="0" destOrd="0" presId="urn:microsoft.com/office/officeart/2005/8/layout/process4"/>
    <dgm:cxn modelId="{923AC015-ECC9-47E2-88D7-E9A923E5BEE8}" srcId="{0CD3B7BF-2FEE-4CCC-B56C-756F5811693B}" destId="{0E807F0E-DCCE-4C5B-A50E-80BE0EADF331}" srcOrd="2" destOrd="0" parTransId="{9E7BA093-3131-4FE5-AAE8-D69EEC781F25}" sibTransId="{C4803D4A-E5FF-426D-9F2D-160DD91B3613}"/>
    <dgm:cxn modelId="{FAE1E0D0-45A8-46C5-ABDC-E571AC79C343}" type="presOf" srcId="{0CD3B7BF-2FEE-4CCC-B56C-756F5811693B}" destId="{BB4B5562-5C0F-4F0A-8534-0727E9C644AA}" srcOrd="0" destOrd="0" presId="urn:microsoft.com/office/officeart/2005/8/layout/process4"/>
    <dgm:cxn modelId="{C466E166-BD13-4EFA-8404-9D79D22C8B75}" srcId="{0CD3B7BF-2FEE-4CCC-B56C-756F5811693B}" destId="{1F9AEA4B-1889-4916-A8C4-02A7B409F8FD}" srcOrd="3" destOrd="0" parTransId="{1347B298-2B45-454A-9F87-C529E24A0862}" sibTransId="{3D8C6DCE-562A-4C6E-9B93-17E69BE7CF38}"/>
    <dgm:cxn modelId="{3112D008-1356-4AAD-8F0F-3264EC305ACD}" type="presParOf" srcId="{BB4B5562-5C0F-4F0A-8534-0727E9C644AA}" destId="{DD5D9977-7E4F-472F-8460-168066ABE07B}" srcOrd="0" destOrd="0" presId="urn:microsoft.com/office/officeart/2005/8/layout/process4"/>
    <dgm:cxn modelId="{20D6A753-E0F0-4FF1-A117-F2B6EE52E73E}" type="presParOf" srcId="{DD5D9977-7E4F-472F-8460-168066ABE07B}" destId="{A7D909A5-61D3-4FAC-9E1B-94BAFFE149C8}" srcOrd="0" destOrd="0" presId="urn:microsoft.com/office/officeart/2005/8/layout/process4"/>
    <dgm:cxn modelId="{040A42D3-5A43-4304-A112-9A87A7B55CF7}" type="presParOf" srcId="{BB4B5562-5C0F-4F0A-8534-0727E9C644AA}" destId="{A07F0B10-1172-4DA6-A189-AE7F32936E8F}" srcOrd="1" destOrd="0" presId="urn:microsoft.com/office/officeart/2005/8/layout/process4"/>
    <dgm:cxn modelId="{CF1632A8-F3A1-424B-86FD-4DD5AFC0BB5D}" type="presParOf" srcId="{BB4B5562-5C0F-4F0A-8534-0727E9C644AA}" destId="{0F1513B9-D83C-4927-9E52-35C8C3516930}" srcOrd="2" destOrd="0" presId="urn:microsoft.com/office/officeart/2005/8/layout/process4"/>
    <dgm:cxn modelId="{794A892D-5AB3-4A0A-910A-D353118F953C}" type="presParOf" srcId="{0F1513B9-D83C-4927-9E52-35C8C3516930}" destId="{5454B07C-516E-4134-9667-2DD9F64A5A54}" srcOrd="0" destOrd="0" presId="urn:microsoft.com/office/officeart/2005/8/layout/process4"/>
    <dgm:cxn modelId="{94A183DB-7440-41F3-B972-DF93BE3C0CE5}" type="presParOf" srcId="{BB4B5562-5C0F-4F0A-8534-0727E9C644AA}" destId="{B3D0E7D6-AE40-4251-92C1-275854055565}" srcOrd="3" destOrd="0" presId="urn:microsoft.com/office/officeart/2005/8/layout/process4"/>
    <dgm:cxn modelId="{80641E2A-6896-475F-9FBA-FD40936733CA}" type="presParOf" srcId="{BB4B5562-5C0F-4F0A-8534-0727E9C644AA}" destId="{714C5785-9474-49A7-A73F-807127D89BCA}" srcOrd="4" destOrd="0" presId="urn:microsoft.com/office/officeart/2005/8/layout/process4"/>
    <dgm:cxn modelId="{1597690A-FF73-4559-9CF9-0870ABF6EE9B}" type="presParOf" srcId="{714C5785-9474-49A7-A73F-807127D89BCA}" destId="{D15D1D6F-7DCD-4AE5-B149-7785CC2469B6}" srcOrd="0" destOrd="0" presId="urn:microsoft.com/office/officeart/2005/8/layout/process4"/>
    <dgm:cxn modelId="{D8B5822C-F3F8-45CF-980B-06BD037A124F}" type="presParOf" srcId="{BB4B5562-5C0F-4F0A-8534-0727E9C644AA}" destId="{8A400F16-7CF3-4994-BFA9-EFC77DA1DC2A}" srcOrd="5" destOrd="0" presId="urn:microsoft.com/office/officeart/2005/8/layout/process4"/>
    <dgm:cxn modelId="{473F44AF-C632-4A25-947B-A9E64113B749}" type="presParOf" srcId="{BB4B5562-5C0F-4F0A-8534-0727E9C644AA}" destId="{6B3250BC-549E-434B-8809-7435ACEF18C0}" srcOrd="6" destOrd="0" presId="urn:microsoft.com/office/officeart/2005/8/layout/process4"/>
    <dgm:cxn modelId="{8F825E8D-C165-43D7-9325-6D0468461BCB}" type="presParOf" srcId="{6B3250BC-549E-434B-8809-7435ACEF18C0}" destId="{7706543F-BD42-48EB-9BC6-91648880A2B7}" srcOrd="0" destOrd="0" presId="urn:microsoft.com/office/officeart/2005/8/layout/process4"/>
    <dgm:cxn modelId="{4F8ACEC3-CDFD-4339-A7FD-0EC6D7FC16BC}" type="presParOf" srcId="{BB4B5562-5C0F-4F0A-8534-0727E9C644AA}" destId="{8CFCB65B-3915-4013-A96F-429D6794E64C}" srcOrd="7" destOrd="0" presId="urn:microsoft.com/office/officeart/2005/8/layout/process4"/>
    <dgm:cxn modelId="{BA1EF5B1-4532-4061-A7C2-DE37807090B2}" type="presParOf" srcId="{BB4B5562-5C0F-4F0A-8534-0727E9C644AA}" destId="{6C011B82-E905-4451-9B10-D18306875232}" srcOrd="8" destOrd="0" presId="urn:microsoft.com/office/officeart/2005/8/layout/process4"/>
    <dgm:cxn modelId="{28E48F36-2598-40CB-8AC3-A767DBEB187D}" type="presParOf" srcId="{6C011B82-E905-4451-9B10-D18306875232}" destId="{02266745-C7A2-4A75-B615-37EF6AD1DF72}" srcOrd="0" destOrd="0" presId="urn:microsoft.com/office/officeart/2005/8/layout/process4"/>
    <dgm:cxn modelId="{9546433A-33AA-4B7E-A550-F071D9049296}" type="presParOf" srcId="{BB4B5562-5C0F-4F0A-8534-0727E9C644AA}" destId="{739FF07F-9438-4C1C-ABA5-1BBDD1414B3F}" srcOrd="9" destOrd="0" presId="urn:microsoft.com/office/officeart/2005/8/layout/process4"/>
    <dgm:cxn modelId="{D3BEF682-EFB4-4B58-9221-4421EEE9693B}" type="presParOf" srcId="{BB4B5562-5C0F-4F0A-8534-0727E9C644AA}" destId="{B50945C0-8D1A-4679-A5CE-B82540D7EBEC}" srcOrd="10" destOrd="0" presId="urn:microsoft.com/office/officeart/2005/8/layout/process4"/>
    <dgm:cxn modelId="{377F2CCA-12CA-40A2-90D1-A6F2303633BD}" type="presParOf" srcId="{B50945C0-8D1A-4679-A5CE-B82540D7EBEC}" destId="{B4C9A1EC-3D30-4803-9C07-A599DAFC6514}" srcOrd="0" destOrd="0" presId="urn:microsoft.com/office/officeart/2005/8/layout/process4"/>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7D909A5-61D3-4FAC-9E1B-94BAFFE149C8}">
      <dsp:nvSpPr>
        <dsp:cNvPr id="0" name=""/>
        <dsp:cNvSpPr/>
      </dsp:nvSpPr>
      <dsp:spPr>
        <a:xfrm>
          <a:off x="0" y="6601601"/>
          <a:ext cx="5380075" cy="848882"/>
        </a:xfrm>
        <a:prstGeom prst="rect">
          <a:avLst/>
        </a:prstGeom>
        <a:solidFill>
          <a:srgbClr val="FF0000"/>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56896" tIns="56896" rIns="56896" bIns="56896" numCol="1" spcCol="1270" anchor="ctr" anchorCtr="0">
          <a:noAutofit/>
        </a:bodyPr>
        <a:lstStyle/>
        <a:p>
          <a:pPr lvl="0" algn="ctr" defTabSz="355600">
            <a:lnSpc>
              <a:spcPct val="90000"/>
            </a:lnSpc>
            <a:spcBef>
              <a:spcPct val="0"/>
            </a:spcBef>
            <a:spcAft>
              <a:spcPct val="35000"/>
            </a:spcAft>
          </a:pPr>
          <a:r>
            <a:rPr lang="en-AU" sz="800" kern="1200">
              <a:solidFill>
                <a:schemeClr val="accent5"/>
              </a:solidFill>
              <a:latin typeface="Arial"/>
              <a:ea typeface="+mn-ea"/>
              <a:cs typeface="+mn-cs"/>
            </a:rPr>
            <a:t>Having established our estimate of total forecast opex we can compare our alternative opex forecast with the service provider’s total forecast opex.</a:t>
          </a:r>
        </a:p>
      </dsp:txBody>
      <dsp:txXfrm>
        <a:off x="0" y="6601601"/>
        <a:ext cx="5380075" cy="848882"/>
      </dsp:txXfrm>
    </dsp:sp>
    <dsp:sp modelId="{5454B07C-516E-4134-9667-2DD9F64A5A54}">
      <dsp:nvSpPr>
        <dsp:cNvPr id="0" name=""/>
        <dsp:cNvSpPr/>
      </dsp:nvSpPr>
      <dsp:spPr>
        <a:xfrm rot="10800000">
          <a:off x="0" y="5308753"/>
          <a:ext cx="5380075" cy="1305581"/>
        </a:xfrm>
        <a:prstGeom prst="upArrowCallout">
          <a:avLst/>
        </a:prstGeo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56896" tIns="56896" rIns="56896" bIns="56896" numCol="1" spcCol="1270" anchor="ctr" anchorCtr="0">
          <a:noAutofit/>
        </a:bodyPr>
        <a:lstStyle/>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Step 5 - Other opex</a:t>
          </a:r>
        </a:p>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Finally we add any additional opex components which have not been forecast using this approach. For instance, we forecast debt raising costs based on the costs incurred by a benchmark efficient service provider.</a:t>
          </a:r>
        </a:p>
      </dsp:txBody>
      <dsp:txXfrm rot="10800000">
        <a:off x="0" y="5308753"/>
        <a:ext cx="5380075" cy="848327"/>
      </dsp:txXfrm>
    </dsp:sp>
    <dsp:sp modelId="{D15D1D6F-7DCD-4AE5-B149-7785CC2469B6}">
      <dsp:nvSpPr>
        <dsp:cNvPr id="0" name=""/>
        <dsp:cNvSpPr/>
      </dsp:nvSpPr>
      <dsp:spPr>
        <a:xfrm rot="10800000">
          <a:off x="0" y="4015906"/>
          <a:ext cx="5380075" cy="1305581"/>
        </a:xfrm>
        <a:prstGeom prst="upArrowCallout">
          <a:avLst/>
        </a:prstGeo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56896" tIns="56896" rIns="56896" bIns="56896" numCol="1" spcCol="1270" anchor="ctr" anchorCtr="0">
          <a:noAutofit/>
        </a:bodyPr>
        <a:lstStyle/>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Step 4 - Add or subtract any step changes</a:t>
          </a:r>
        </a:p>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We then adjust base year expenditure to account for any forecast cost changes over the </a:t>
          </a:r>
          <a:r>
            <a:rPr lang="en-AU" sz="800" kern="1200"/>
            <a:t>access arrangement period </a:t>
          </a:r>
          <a:r>
            <a:rPr lang="en-AU" sz="800" kern="1200">
              <a:solidFill>
                <a:sysClr val="window" lastClr="FFFFFF"/>
              </a:solidFill>
              <a:latin typeface="Arial"/>
              <a:ea typeface="+mn-ea"/>
              <a:cs typeface="+mn-cs"/>
            </a:rPr>
            <a:t>that would meet the opex critieria that are not otherwise captured in base opex or rate of change. This may be due to new regulatory obligations in the forecast period and efficient capex/opex trade-offs. We call these step changes.</a:t>
          </a:r>
        </a:p>
      </dsp:txBody>
      <dsp:txXfrm rot="10800000">
        <a:off x="0" y="4015906"/>
        <a:ext cx="5380075" cy="848327"/>
      </dsp:txXfrm>
    </dsp:sp>
    <dsp:sp modelId="{7706543F-BD42-48EB-9BC6-91648880A2B7}">
      <dsp:nvSpPr>
        <dsp:cNvPr id="0" name=""/>
        <dsp:cNvSpPr/>
      </dsp:nvSpPr>
      <dsp:spPr>
        <a:xfrm rot="10800000">
          <a:off x="0" y="2723058"/>
          <a:ext cx="5380075" cy="1305581"/>
        </a:xfrm>
        <a:prstGeom prst="upArrowCallout">
          <a:avLst/>
        </a:prstGeo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56896" tIns="56896" rIns="56896" bIns="56896" numCol="1" spcCol="1270" anchor="ctr" anchorCtr="0">
          <a:noAutofit/>
        </a:bodyPr>
        <a:lstStyle/>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Step 3 - Add a rate of change to base opex. </a:t>
          </a:r>
        </a:p>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As the opex of an efficient service provider tends to change over time due to price changes, output and productivity we trend our estimate of base opex forward over the </a:t>
          </a:r>
          <a:r>
            <a:rPr lang="en-AU" sz="800" kern="1200"/>
            <a:t>access arrangement period</a:t>
          </a:r>
          <a:r>
            <a:rPr lang="en-AU" sz="800" kern="1200">
              <a:solidFill>
                <a:sysClr val="window" lastClr="FFFFFF"/>
              </a:solidFill>
              <a:latin typeface="Arial"/>
              <a:ea typeface="+mn-ea"/>
              <a:cs typeface="+mn-cs"/>
            </a:rPr>
            <a:t> to take account of these changes. We refer to this as the rate of change.</a:t>
          </a:r>
        </a:p>
      </dsp:txBody>
      <dsp:txXfrm rot="10800000">
        <a:off x="0" y="2723058"/>
        <a:ext cx="5380075" cy="848327"/>
      </dsp:txXfrm>
    </dsp:sp>
    <dsp:sp modelId="{02266745-C7A2-4A75-B615-37EF6AD1DF72}">
      <dsp:nvSpPr>
        <dsp:cNvPr id="0" name=""/>
        <dsp:cNvSpPr/>
      </dsp:nvSpPr>
      <dsp:spPr>
        <a:xfrm rot="10800000">
          <a:off x="0" y="1295787"/>
          <a:ext cx="5380075" cy="1440003"/>
        </a:xfrm>
        <a:prstGeom prst="upArrowCallout">
          <a:avLst/>
        </a:prstGeo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56896" tIns="56896" rIns="56896" bIns="56896" numCol="1" spcCol="1270" anchor="ctr" anchorCtr="0">
          <a:noAutofit/>
        </a:bodyPr>
        <a:lstStyle/>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Step 2- Assess base year opex </a:t>
          </a:r>
        </a:p>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We assess whether opex the service provider incurred in the base year reasonably reflects the opex criteria.</a:t>
          </a:r>
        </a:p>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If necessary we make an adjustment to the base year expenditure to ensure it reflects the opex critieria. We can utilise the same techniques available to assess the efficiency of base year opex to make an adjustment to base year opex.</a:t>
          </a:r>
        </a:p>
      </dsp:txBody>
      <dsp:txXfrm rot="10800000">
        <a:off x="0" y="1295787"/>
        <a:ext cx="5380075" cy="935671"/>
      </dsp:txXfrm>
    </dsp:sp>
    <dsp:sp modelId="{B4C9A1EC-3D30-4803-9C07-A599DAFC6514}">
      <dsp:nvSpPr>
        <dsp:cNvPr id="0" name=""/>
        <dsp:cNvSpPr/>
      </dsp:nvSpPr>
      <dsp:spPr>
        <a:xfrm rot="10800000">
          <a:off x="0" y="2939"/>
          <a:ext cx="5380075" cy="1305581"/>
        </a:xfrm>
        <a:prstGeom prst="upArrowCallout">
          <a:avLst/>
        </a:prstGeo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56896" tIns="56896" rIns="56896" bIns="56896" numCol="1" spcCol="1270" anchor="ctr" anchorCtr="0">
          <a:noAutofit/>
        </a:bodyPr>
        <a:lstStyle/>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Step 1 - Start with service provider's opex. </a:t>
          </a:r>
        </a:p>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We typically use the service provider's actual opex in a single year as the starting point for our assessment. We call this the base year. While categories of opex can vary from year to year, total opex is relatively recurrent. We typically choose a recent year for our assessment</a:t>
          </a:r>
          <a:r>
            <a:rPr lang="en-AU" sz="1000" kern="1200">
              <a:solidFill>
                <a:sysClr val="window" lastClr="FFFFFF"/>
              </a:solidFill>
              <a:latin typeface="Arial"/>
              <a:ea typeface="+mn-ea"/>
              <a:cs typeface="+mn-cs"/>
            </a:rPr>
            <a:t>.</a:t>
          </a:r>
        </a:p>
      </dsp:txBody>
      <dsp:txXfrm rot="10800000">
        <a:off x="0" y="2939"/>
        <a:ext cx="5380075" cy="848327"/>
      </dsp:txXfrm>
    </dsp:sp>
  </dsp:spTree>
</dsp:drawing>
</file>

<file path=word/diagrams/layout1.xml><?xml version="1.0" encoding="utf-8"?>
<dgm:layoutDef xmlns:dgm="http://schemas.openxmlformats.org/drawingml/2006/diagram" xmlns:a="http://schemas.openxmlformats.org/drawingml/2006/main" uniqueId="urn:microsoft.com/office/officeart/2005/8/layout/process4">
  <dgm:title val=""/>
  <dgm:desc val=""/>
  <dgm:catLst>
    <dgm:cat type="process" pri="16000"/>
    <dgm:cat type="list" pri="20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alg type="lin">
      <dgm:param type="linDir" val="fromB"/>
    </dgm:alg>
    <dgm:shape xmlns:r="http://schemas.openxmlformats.org/officeDocument/2006/relationships" r:blip="">
      <dgm:adjLst/>
    </dgm:shape>
    <dgm:presOf/>
    <dgm:constrLst>
      <dgm:constr type="h" for="ch" forName="boxAndChildren" refType="h"/>
      <dgm:constr type="h" for="ch" forName="arrowAndChildren" refType="h" refFor="ch" refForName="boxAndChildren" op="equ" fact="1.538"/>
      <dgm:constr type="w" for="ch" forName="arrowAndChildren" refType="w"/>
      <dgm:constr type="w" for="ch" forName="boxAndChildren" refType="w"/>
      <dgm:constr type="h" for="ch" forName="sp" refType="h" fact="-0.015"/>
      <dgm:constr type="primFontSz" for="des" forName="parentTextBox" val="65"/>
      <dgm:constr type="primFontSz" for="des" forName="parentTextArrow" refType="primFontSz" refFor="des" refForName="parentTextBox" op="equ"/>
      <dgm:constr type="primFontSz" for="des" forName="childTextArrow" val="65"/>
      <dgm:constr type="primFontSz" for="des" forName="childTextBox" refType="primFontSz" refFor="des" refForName="childTextArrow" op="equ"/>
    </dgm:constrLst>
    <dgm:ruleLst/>
    <dgm:forEach name="Name1" axis="ch" ptType="node" st="-1" step="-1">
      <dgm:choose name="Name2">
        <dgm:if name="Name3" axis="self" ptType="node" func="revPos" op="equ" val="1">
          <dgm:layoutNode name="boxAndChildren">
            <dgm:alg type="composite"/>
            <dgm:shape xmlns:r="http://schemas.openxmlformats.org/officeDocument/2006/relationships" r:blip="">
              <dgm:adjLst/>
            </dgm:shape>
            <dgm:presOf/>
            <dgm:choose name="Name4">
              <dgm:if name="Name5" axis="ch" ptType="node" func="cnt" op="gte" val="1">
                <dgm:constrLst>
                  <dgm:constr type="w" for="ch" forName="parentTextBox" refType="w"/>
                  <dgm:constr type="h" for="ch" forName="parentTextBox" refType="h" fact="0.54"/>
                  <dgm:constr type="t" for="ch" forName="parentTextBox"/>
                  <dgm:constr type="w" for="ch" forName="entireBox" refType="w"/>
                  <dgm:constr type="h" for="ch" forName="entireBox" refType="h"/>
                  <dgm:constr type="w" for="ch" forName="descendantBox" refType="w"/>
                  <dgm:constr type="b" for="ch" forName="descendantBox" refType="h" fact="0.98"/>
                  <dgm:constr type="h" for="ch" forName="descendantBox" refType="h" fact="0.46"/>
                </dgm:constrLst>
              </dgm:if>
              <dgm:else name="Name6">
                <dgm:constrLst>
                  <dgm:constr type="w" for="ch" forName="parentTextBox" refType="w"/>
                  <dgm:constr type="h" for="ch" forName="parentTextBox" refType="h"/>
                </dgm:constrLst>
              </dgm:else>
            </dgm:choose>
            <dgm:ruleLst/>
            <dgm:layoutNode name="parentTextBox">
              <dgm:alg type="tx"/>
              <dgm:choose name="Name7">
                <dgm:if name="Name8" axis="ch" ptType="node" func="cnt" op="gte" val="1">
                  <dgm:shape xmlns:r="http://schemas.openxmlformats.org/officeDocument/2006/relationships" type="rect" r:blip="" zOrderOff="1" hideGeom="1">
                    <dgm:adjLst/>
                  </dgm:shape>
                </dgm:if>
                <dgm:else name="Name9">
                  <dgm:shape xmlns:r="http://schemas.openxmlformats.org/officeDocument/2006/relationships" type="rect" r:blip="">
                    <dgm:adjLst/>
                  </dgm:shape>
                </dgm:else>
              </dgm:choose>
              <dgm:presOf axis="self"/>
              <dgm:constrLst/>
              <dgm:ruleLst>
                <dgm:rule type="primFontSz" val="5" fact="NaN" max="NaN"/>
              </dgm:ruleLst>
            </dgm:layoutNode>
            <dgm:choose name="Name10">
              <dgm:if name="Name11" axis="ch" ptType="node" func="cnt" op="gte" val="1">
                <dgm:layoutNode name="entireBox">
                  <dgm:alg type="sp"/>
                  <dgm:shape xmlns:r="http://schemas.openxmlformats.org/officeDocument/2006/relationships" type="rect" r:blip="">
                    <dgm:adjLst/>
                  </dgm:shape>
                  <dgm:presOf axis="self"/>
                  <dgm:constrLst/>
                  <dgm:ruleLst/>
                </dgm:layoutNode>
                <dgm:layoutNode name="descendantBox" styleLbl="fgAccFollowNode1">
                  <dgm:choose name="Name12">
                    <dgm:if name="Name13" func="var" arg="dir" op="equ" val="norm">
                      <dgm:alg type="lin"/>
                    </dgm:if>
                    <dgm:else name="Name14">
                      <dgm:alg type="lin">
                        <dgm:param type="linDir" val="fromR"/>
                      </dgm:alg>
                    </dgm:else>
                  </dgm:choose>
                  <dgm:shape xmlns:r="http://schemas.openxmlformats.org/officeDocument/2006/relationships" r:blip="">
                    <dgm:adjLst/>
                  </dgm:shape>
                  <dgm:presOf/>
                  <dgm:constrLst>
                    <dgm:constr type="w" for="ch" forName="childTextBox" refType="w"/>
                    <dgm:constr type="h" for="ch" forName="childTextBox" refType="h"/>
                  </dgm:constrLst>
                  <dgm:ruleLst/>
                  <dgm:forEach name="Name15" axis="ch" ptType="node">
                    <dgm:layoutNode name="childTextBox" styleLbl="fgAccFollowNode1">
                      <dgm:varLst>
                        <dgm:bulletEnabled val="1"/>
                      </dgm:varLst>
                      <dgm:alg type="tx"/>
                      <dgm:shape xmlns:r="http://schemas.openxmlformats.org/officeDocument/2006/relationships" type="rect" r:blip="">
                        <dgm:adjLst/>
                      </dgm:shape>
                      <dgm:presOf axis="desOrSelf" ptType="node"/>
                      <dgm:constrLst>
                        <dgm:constr type="tMarg" refType="primFontSz" fact="0.1"/>
                        <dgm:constr type="bMarg" refType="primFontSz" fact="0.1"/>
                      </dgm:constrLst>
                      <dgm:ruleLst>
                        <dgm:rule type="primFontSz" val="5" fact="NaN" max="NaN"/>
                      </dgm:ruleLst>
                    </dgm:layoutNode>
                  </dgm:forEach>
                </dgm:layoutNode>
              </dgm:if>
              <dgm:else name="Name16"/>
            </dgm:choose>
          </dgm:layoutNode>
        </dgm:if>
        <dgm:else name="Name17">
          <dgm:layoutNode name="arrowAndChildren">
            <dgm:alg type="composite"/>
            <dgm:shape xmlns:r="http://schemas.openxmlformats.org/officeDocument/2006/relationships" r:blip="">
              <dgm:adjLst/>
            </dgm:shape>
            <dgm:presOf/>
            <dgm:choose name="Name18">
              <dgm:if name="Name19" axis="ch" ptType="node" func="cnt" op="gte" val="1">
                <dgm:constrLst>
                  <dgm:constr type="w" for="ch" forName="parentTextArrow" refType="w"/>
                  <dgm:constr type="t" for="ch" forName="parentTextArrow"/>
                  <dgm:constr type="h" for="ch" forName="parentTextArrow" refType="h" fact="0.351"/>
                  <dgm:constr type="w" for="ch" forName="arrow" refType="w"/>
                  <dgm:constr type="h" for="ch" forName="arrow" refType="h"/>
                  <dgm:constr type="w" for="ch" forName="descendantArrow" refType="w"/>
                  <dgm:constr type="b" for="ch" forName="descendantArrow" refType="h" fact="0.65"/>
                  <dgm:constr type="h" for="ch" forName="descendantArrow" refType="h" fact="0.299"/>
                </dgm:constrLst>
              </dgm:if>
              <dgm:else name="Name20">
                <dgm:constrLst>
                  <dgm:constr type="w" for="ch" forName="parentTextArrow" refType="w"/>
                  <dgm:constr type="h" for="ch" forName="parentTextArrow" refType="h"/>
                </dgm:constrLst>
              </dgm:else>
            </dgm:choose>
            <dgm:ruleLst/>
            <dgm:layoutNode name="parentTextArrow">
              <dgm:alg type="tx"/>
              <dgm:choose name="Name21">
                <dgm:if name="Name22" axis="ch" ptType="node" func="cnt" op="gte" val="1">
                  <dgm:shape xmlns:r="http://schemas.openxmlformats.org/officeDocument/2006/relationships" type="rect" r:blip="" zOrderOff="1" hideGeom="1">
                    <dgm:adjLst/>
                  </dgm:shape>
                </dgm:if>
                <dgm:else name="Name23">
                  <dgm:shape xmlns:r="http://schemas.openxmlformats.org/officeDocument/2006/relationships" rot="180" type="upArrowCallout" r:blip="">
                    <dgm:adjLst/>
                  </dgm:shape>
                </dgm:else>
              </dgm:choose>
              <dgm:presOf axis="self"/>
              <dgm:constrLst/>
              <dgm:ruleLst>
                <dgm:rule type="primFontSz" val="5" fact="NaN" max="NaN"/>
              </dgm:ruleLst>
            </dgm:layoutNode>
            <dgm:choose name="Name24">
              <dgm:if name="Name25" axis="ch" ptType="node" func="cnt" op="gte" val="1">
                <dgm:layoutNode name="arrow">
                  <dgm:alg type="sp"/>
                  <dgm:shape xmlns:r="http://schemas.openxmlformats.org/officeDocument/2006/relationships" rot="180" type="upArrowCallout" r:blip="">
                    <dgm:adjLst/>
                  </dgm:shape>
                  <dgm:presOf axis="self"/>
                  <dgm:constrLst/>
                  <dgm:ruleLst/>
                </dgm:layoutNode>
                <dgm:layoutNode name="descendantArrow">
                  <dgm:choose name="Name26">
                    <dgm:if name="Name27" func="var" arg="dir" op="equ" val="norm">
                      <dgm:alg type="lin"/>
                    </dgm:if>
                    <dgm:else name="Name28">
                      <dgm:alg type="lin">
                        <dgm:param type="linDir" val="fromR"/>
                      </dgm:alg>
                    </dgm:else>
                  </dgm:choose>
                  <dgm:shape xmlns:r="http://schemas.openxmlformats.org/officeDocument/2006/relationships" r:blip="">
                    <dgm:adjLst/>
                  </dgm:shape>
                  <dgm:presOf/>
                  <dgm:constrLst>
                    <dgm:constr type="w" for="ch" forName="childTextArrow" refType="w"/>
                    <dgm:constr type="h" for="ch" forName="childTextArrow" refType="h"/>
                  </dgm:constrLst>
                  <dgm:ruleLst/>
                  <dgm:forEach name="Name29" axis="ch" ptType="node">
                    <dgm:layoutNode name="childTextArrow" styleLbl="fgAccFollowNode1">
                      <dgm:varLst>
                        <dgm:bulletEnabled val="1"/>
                      </dgm:varLst>
                      <dgm:alg type="tx"/>
                      <dgm:shape xmlns:r="http://schemas.openxmlformats.org/officeDocument/2006/relationships" type="rect" r:blip="">
                        <dgm:adjLst/>
                      </dgm:shape>
                      <dgm:presOf axis="desOrSelf" ptType="node"/>
                      <dgm:constrLst>
                        <dgm:constr type="tMarg" refType="primFontSz" fact="0.1"/>
                        <dgm:constr type="bMarg" refType="primFontSz" fact="0.1"/>
                      </dgm:constrLst>
                      <dgm:ruleLst>
                        <dgm:rule type="primFontSz" val="5" fact="NaN" max="NaN"/>
                      </dgm:ruleLst>
                    </dgm:layoutNode>
                  </dgm:forEach>
                </dgm:layoutNode>
              </dgm:if>
              <dgm:else name="Name30"/>
            </dgm:choose>
          </dgm:layoutNode>
        </dgm:else>
      </dgm:choose>
      <dgm:forEach name="Name31" axis="precedSib" ptType="sibTrans" st="-1" cnt="1">
        <dgm:layoutNode name="sp">
          <dgm:alg type="sp"/>
          <dgm:shape xmlns:r="http://schemas.openxmlformats.org/officeDocument/2006/relationships" r:blip="">
            <dgm:adjLst/>
          </dgm:shape>
          <dgm:presOf axis="sel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2">
  <dgm:title val=""/>
  <dgm:desc val=""/>
  <dgm:catLst>
    <dgm:cat type="simple" pri="10200"/>
  </dgm:catLst>
  <dgm:scene3d>
    <a:camera prst="orthographicFront"/>
    <a:lightRig rig="threePt" dir="t"/>
  </dgm:scene3d>
  <dgm:styleLbl name="node0">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lnNode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vennNode1">
    <dgm:scene3d>
      <a:camera prst="orthographicFront"/>
      <a:lightRig rig="threePt" dir="t"/>
    </dgm:scene3d>
    <dgm:sp3d/>
    <dgm:txPr/>
    <dgm:style>
      <a:lnRef idx="3">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1">
        <a:scrgbClr r="0" g="0" b="0"/>
      </a:effectRef>
      <a:fontRef idx="minor">
        <a:schemeClr val="lt1"/>
      </a:fontRef>
    </dgm:style>
  </dgm:styleLbl>
  <dgm:styleLbl name="node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fg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603B747B</Template>
  <TotalTime>0</TotalTime>
  <Pages>34</Pages>
  <Words>8265</Words>
  <Characters>47114</Characters>
  <Application>Microsoft Office Word</Application>
  <DocSecurity>0</DocSecurity>
  <Lines>392</Lines>
  <Paragraphs>110</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55269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2015-06-01T00:17:00Z</dcterms:created>
  <dcterms:modified xsi:type="dcterms:W3CDTF">2015-06-01T00:17:00Z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