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45828F9" wp14:editId="5528B179">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EC70DC" w:rsidRDefault="00EC70DC" w:rsidP="00EC70DC">
          <w:pPr>
            <w:jc w:val="center"/>
            <w:rPr>
              <w:b/>
              <w:color w:val="FFFFFF" w:themeColor="background1"/>
            </w:rPr>
          </w:pP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687754" w:rsidRDefault="00687754" w:rsidP="008F07A3">
          <w:pPr>
            <w:pStyle w:val="ReportSubtitle"/>
          </w:pPr>
          <w:r>
            <w:t>Jemena Gas Networks (NSW) Ltd</w:t>
          </w:r>
        </w:p>
        <w:p w:rsidR="000A6C7B" w:rsidRDefault="00011C37" w:rsidP="00687754">
          <w:pPr>
            <w:pStyle w:val="ReportSubtitle"/>
          </w:pPr>
          <w:r>
            <w:t>Access Arrangement 2015</w:t>
          </w:r>
          <w:r>
            <w:rPr>
              <w:rFonts w:cs="Arial"/>
            </w:rPr>
            <w:t>−</w:t>
          </w:r>
          <w:r w:rsidR="00687754">
            <w:t>20</w:t>
          </w:r>
          <w:r w:rsidR="00DA4752">
            <w:t xml:space="preserve"> </w:t>
          </w:r>
        </w:p>
        <w:p w:rsidR="008F07A3" w:rsidRPr="000A6C7B" w:rsidRDefault="008F07A3" w:rsidP="008F07A3">
          <w:pPr>
            <w:pStyle w:val="ReportSubtitle"/>
          </w:pPr>
        </w:p>
        <w:p w:rsidR="000A6C7B" w:rsidRPr="000A6C7B" w:rsidRDefault="00977EF5" w:rsidP="008F07A3">
          <w:pPr>
            <w:pStyle w:val="ReportSubtitle"/>
          </w:pPr>
          <w:r>
            <w:t>Overview</w:t>
          </w:r>
        </w:p>
        <w:p w:rsidR="000A6C7B" w:rsidRPr="00327A1E" w:rsidRDefault="006D4F27" w:rsidP="00327A1E">
          <w:pPr>
            <w:pStyle w:val="ReportDate"/>
          </w:pPr>
          <w:r>
            <w:t>June</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5B49AF">
      <w:pPr>
        <w:pStyle w:val="AERbulletlistfirststyle"/>
        <w:rPr>
          <w:sz w:val="20"/>
          <w:szCs w:val="20"/>
        </w:rPr>
      </w:pPr>
      <w:r w:rsidRPr="005B49AF">
        <w:t>the</w:t>
      </w:r>
      <w:r>
        <w:t xml:space="preserv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AF1F9E" w:rsidRDefault="000A6C7B" w:rsidP="008F07A3">
      <w:pPr>
        <w:pStyle w:val="Copyright"/>
        <w:rPr>
          <w:rStyle w:val="Hyperlink"/>
        </w:rPr>
      </w:pPr>
      <w:r>
        <w:t xml:space="preserve">Email: </w:t>
      </w:r>
      <w:hyperlink r:id="rId10" w:history="1">
        <w:r w:rsidRPr="00D64888">
          <w:rPr>
            <w:rStyle w:val="Hyperlink"/>
          </w:rPr>
          <w:t>AERInquiry@aer.gov.au</w:t>
        </w:r>
      </w:hyperlink>
    </w:p>
    <w:p w:rsidR="005D7BA2" w:rsidRDefault="00AF1F9E" w:rsidP="008F07A3">
      <w:pPr>
        <w:pStyle w:val="Copyright"/>
      </w:pPr>
      <w:r w:rsidRPr="00AF1F9E">
        <w:t>AER reference: 5</w:t>
      </w:r>
      <w:r w:rsidR="00687754">
        <w:t>1741</w:t>
      </w:r>
      <w:r w:rsidR="00951978" w:rsidRPr="00AF1F9E">
        <w:br/>
      </w:r>
    </w:p>
    <w:p w:rsidR="00CE1FA9" w:rsidRDefault="00CE1FA9">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19895007"/>
      <w:r>
        <w:lastRenderedPageBreak/>
        <w:t>N</w:t>
      </w:r>
      <w:r w:rsidR="008F07A3">
        <w:t>ote</w:t>
      </w:r>
      <w:bookmarkEnd w:id="1"/>
      <w:bookmarkEnd w:id="2"/>
      <w:bookmarkEnd w:id="3"/>
      <w:bookmarkEnd w:id="4"/>
      <w:bookmarkEnd w:id="5"/>
    </w:p>
    <w:p w:rsidR="00687754" w:rsidRPr="00687754" w:rsidRDefault="00687754" w:rsidP="00687754">
      <w:r w:rsidRPr="00687754">
        <w:t xml:space="preserve">This overview forms part of the AER's final decision on Jemena Gas Networks' </w:t>
      </w:r>
      <w:r w:rsidR="00BC3F1E">
        <w:t xml:space="preserve">   </w:t>
      </w:r>
      <w:r w:rsidRPr="00687754">
        <w:t xml:space="preserve">2015–20 access arrangement. It should be read with </w:t>
      </w:r>
      <w:r w:rsidR="00011C37">
        <w:t xml:space="preserve">all </w:t>
      </w:r>
      <w:r w:rsidRPr="00687754">
        <w:t>other parts of the final decision.</w:t>
      </w:r>
    </w:p>
    <w:p w:rsidR="00687754" w:rsidRPr="00687754" w:rsidRDefault="00687754" w:rsidP="00687754">
      <w:r w:rsidRPr="00687754">
        <w:t>The final decision includes the following documents:</w:t>
      </w:r>
    </w:p>
    <w:p w:rsidR="00687754" w:rsidRPr="00687754" w:rsidRDefault="00687754" w:rsidP="00687754">
      <w:r w:rsidRPr="00687754">
        <w:t>Overview</w:t>
      </w:r>
    </w:p>
    <w:p w:rsidR="00687754" w:rsidRPr="00687754" w:rsidRDefault="00687754" w:rsidP="00687754">
      <w:r w:rsidRPr="00687754">
        <w:t>Attachment 1 – services covered by the access arrangement</w:t>
      </w:r>
    </w:p>
    <w:p w:rsidR="00687754" w:rsidRPr="00687754" w:rsidRDefault="00687754" w:rsidP="00687754">
      <w:r w:rsidRPr="00687754">
        <w:t>Attachment 2 – capital base</w:t>
      </w:r>
    </w:p>
    <w:p w:rsidR="00687754" w:rsidRPr="00687754" w:rsidRDefault="00687754" w:rsidP="00687754">
      <w:r w:rsidRPr="00687754">
        <w:t>Attachment 3 – rate of return</w:t>
      </w:r>
    </w:p>
    <w:p w:rsidR="00687754" w:rsidRPr="00687754" w:rsidRDefault="00687754" w:rsidP="00687754">
      <w:r w:rsidRPr="00687754">
        <w:t>Attachment 4 – value of imputation credits</w:t>
      </w:r>
    </w:p>
    <w:p w:rsidR="00687754" w:rsidRPr="00687754" w:rsidRDefault="00687754" w:rsidP="00687754">
      <w:r w:rsidRPr="00687754">
        <w:t>Attachment 5 – regulatory depreciation</w:t>
      </w:r>
    </w:p>
    <w:p w:rsidR="00687754" w:rsidRPr="00687754" w:rsidRDefault="00687754" w:rsidP="00687754">
      <w:r w:rsidRPr="00687754">
        <w:t xml:space="preserve">Attachment 6 – capital expenditure </w:t>
      </w:r>
    </w:p>
    <w:p w:rsidR="00687754" w:rsidRPr="00687754" w:rsidRDefault="00687754" w:rsidP="00687754">
      <w:r w:rsidRPr="00687754">
        <w:t>Attachment 7 – operating expenditure</w:t>
      </w:r>
    </w:p>
    <w:p w:rsidR="00687754" w:rsidRPr="00687754" w:rsidRDefault="00687754" w:rsidP="00687754">
      <w:r w:rsidRPr="00687754">
        <w:t>Attachment 8 – corporate income tax</w:t>
      </w:r>
    </w:p>
    <w:p w:rsidR="00687754" w:rsidRPr="00687754" w:rsidRDefault="00687754" w:rsidP="00687754">
      <w:r w:rsidRPr="00687754">
        <w:t>Attachment 9 – efficiency carryover mechanism</w:t>
      </w:r>
    </w:p>
    <w:p w:rsidR="00687754" w:rsidRPr="00687754" w:rsidRDefault="00687754" w:rsidP="00687754">
      <w:r w:rsidRPr="00687754">
        <w:t>Attachment 10 – reference tariff setting</w:t>
      </w:r>
    </w:p>
    <w:p w:rsidR="00687754" w:rsidRPr="00687754" w:rsidRDefault="00687754" w:rsidP="00687754">
      <w:r w:rsidRPr="00687754">
        <w:t>Attachment 11 – reference tariff variation mechanism</w:t>
      </w:r>
    </w:p>
    <w:p w:rsidR="00687754" w:rsidRPr="00687754" w:rsidRDefault="00687754" w:rsidP="00687754">
      <w:r w:rsidRPr="00687754">
        <w:t>Attachment 12 – non-tariff components</w:t>
      </w:r>
    </w:p>
    <w:p w:rsidR="00687754" w:rsidRPr="00687754" w:rsidRDefault="00687754" w:rsidP="00687754">
      <w:r w:rsidRPr="00687754">
        <w:t xml:space="preserve">Attachment 13 – demand </w:t>
      </w:r>
    </w:p>
    <w:p w:rsidR="00AF1F9E" w:rsidRPr="009134B1" w:rsidRDefault="00AF1F9E" w:rsidP="00AF1F9E">
      <w:pPr>
        <w:numPr>
          <w:ilvl w:val="0"/>
          <w:numId w:val="25"/>
        </w:numPr>
        <w:spacing w:before="0" w:after="240" w:line="288" w:lineRule="auto"/>
        <w:jc w:val="both"/>
      </w:pPr>
    </w:p>
    <w:p w:rsidR="00AF1F9E" w:rsidRPr="008F07A3" w:rsidRDefault="00AF1F9E" w:rsidP="008F07A3">
      <w:pPr>
        <w:sectPr w:rsidR="00AF1F9E"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19895008"/>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9037A2" w:rsidRDefault="00DD5364">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9895007" w:history="1">
            <w:r w:rsidR="009037A2" w:rsidRPr="00130D11">
              <w:rPr>
                <w:rStyle w:val="Hyperlink"/>
              </w:rPr>
              <w:t>Note</w:t>
            </w:r>
            <w:r w:rsidR="009037A2">
              <w:rPr>
                <w:webHidden/>
              </w:rPr>
              <w:tab/>
            </w:r>
            <w:r w:rsidR="009037A2">
              <w:rPr>
                <w:webHidden/>
              </w:rPr>
              <w:fldChar w:fldCharType="begin"/>
            </w:r>
            <w:r w:rsidR="009037A2">
              <w:rPr>
                <w:webHidden/>
              </w:rPr>
              <w:instrText xml:space="preserve"> PAGEREF _Toc419895007 \h </w:instrText>
            </w:r>
            <w:r w:rsidR="009037A2">
              <w:rPr>
                <w:webHidden/>
              </w:rPr>
            </w:r>
            <w:r w:rsidR="009037A2">
              <w:rPr>
                <w:webHidden/>
              </w:rPr>
              <w:fldChar w:fldCharType="separate"/>
            </w:r>
            <w:r w:rsidR="009037A2">
              <w:rPr>
                <w:webHidden/>
              </w:rPr>
              <w:t>2</w:t>
            </w:r>
            <w:r w:rsidR="009037A2">
              <w:rPr>
                <w:webHidden/>
              </w:rPr>
              <w:fldChar w:fldCharType="end"/>
            </w:r>
          </w:hyperlink>
        </w:p>
        <w:p w:rsidR="009037A2" w:rsidRDefault="004F2AA2">
          <w:pPr>
            <w:pStyle w:val="TOC1"/>
            <w:rPr>
              <w:rFonts w:asciiTheme="minorHAnsi" w:eastAsiaTheme="minorEastAsia" w:hAnsiTheme="minorHAnsi"/>
              <w:b w:val="0"/>
              <w:color w:val="auto"/>
              <w:sz w:val="22"/>
              <w:lang w:val="en-AU" w:eastAsia="en-AU"/>
            </w:rPr>
          </w:pPr>
          <w:hyperlink w:anchor="_Toc419895008" w:history="1">
            <w:r w:rsidR="009037A2" w:rsidRPr="00130D11">
              <w:rPr>
                <w:rStyle w:val="Hyperlink"/>
              </w:rPr>
              <w:t>Contents</w:t>
            </w:r>
            <w:r w:rsidR="009037A2">
              <w:rPr>
                <w:webHidden/>
              </w:rPr>
              <w:tab/>
            </w:r>
            <w:r w:rsidR="009037A2">
              <w:rPr>
                <w:webHidden/>
              </w:rPr>
              <w:fldChar w:fldCharType="begin"/>
            </w:r>
            <w:r w:rsidR="009037A2">
              <w:rPr>
                <w:webHidden/>
              </w:rPr>
              <w:instrText xml:space="preserve"> PAGEREF _Toc419895008 \h </w:instrText>
            </w:r>
            <w:r w:rsidR="009037A2">
              <w:rPr>
                <w:webHidden/>
              </w:rPr>
            </w:r>
            <w:r w:rsidR="009037A2">
              <w:rPr>
                <w:webHidden/>
              </w:rPr>
              <w:fldChar w:fldCharType="separate"/>
            </w:r>
            <w:r w:rsidR="009037A2">
              <w:rPr>
                <w:webHidden/>
              </w:rPr>
              <w:t>3</w:t>
            </w:r>
            <w:r w:rsidR="009037A2">
              <w:rPr>
                <w:webHidden/>
              </w:rPr>
              <w:fldChar w:fldCharType="end"/>
            </w:r>
          </w:hyperlink>
        </w:p>
        <w:p w:rsidR="009037A2" w:rsidRDefault="004F2AA2">
          <w:pPr>
            <w:pStyle w:val="TOC1"/>
            <w:rPr>
              <w:rFonts w:asciiTheme="minorHAnsi" w:eastAsiaTheme="minorEastAsia" w:hAnsiTheme="minorHAnsi"/>
              <w:b w:val="0"/>
              <w:color w:val="auto"/>
              <w:sz w:val="22"/>
              <w:lang w:val="en-AU" w:eastAsia="en-AU"/>
            </w:rPr>
          </w:pPr>
          <w:hyperlink w:anchor="_Toc419895009" w:history="1">
            <w:r w:rsidR="009037A2" w:rsidRPr="00130D11">
              <w:rPr>
                <w:rStyle w:val="Hyperlink"/>
              </w:rPr>
              <w:t>Shortened forms</w:t>
            </w:r>
            <w:r w:rsidR="009037A2">
              <w:rPr>
                <w:webHidden/>
              </w:rPr>
              <w:tab/>
            </w:r>
            <w:r w:rsidR="009037A2">
              <w:rPr>
                <w:webHidden/>
              </w:rPr>
              <w:fldChar w:fldCharType="begin"/>
            </w:r>
            <w:r w:rsidR="009037A2">
              <w:rPr>
                <w:webHidden/>
              </w:rPr>
              <w:instrText xml:space="preserve"> PAGEREF _Toc419895009 \h </w:instrText>
            </w:r>
            <w:r w:rsidR="009037A2">
              <w:rPr>
                <w:webHidden/>
              </w:rPr>
            </w:r>
            <w:r w:rsidR="009037A2">
              <w:rPr>
                <w:webHidden/>
              </w:rPr>
              <w:fldChar w:fldCharType="separate"/>
            </w:r>
            <w:r w:rsidR="009037A2">
              <w:rPr>
                <w:webHidden/>
              </w:rPr>
              <w:t>5</w:t>
            </w:r>
            <w:r w:rsidR="009037A2">
              <w:rPr>
                <w:webHidden/>
              </w:rPr>
              <w:fldChar w:fldCharType="end"/>
            </w:r>
          </w:hyperlink>
        </w:p>
        <w:p w:rsidR="009037A2" w:rsidRDefault="004F2AA2">
          <w:pPr>
            <w:pStyle w:val="TOC1"/>
            <w:rPr>
              <w:rFonts w:asciiTheme="minorHAnsi" w:eastAsiaTheme="minorEastAsia" w:hAnsiTheme="minorHAnsi"/>
              <w:b w:val="0"/>
              <w:color w:val="auto"/>
              <w:sz w:val="22"/>
              <w:lang w:val="en-AU" w:eastAsia="en-AU"/>
            </w:rPr>
          </w:pPr>
          <w:hyperlink w:anchor="_Toc419895010" w:history="1">
            <w:r w:rsidR="009037A2" w:rsidRPr="00130D11">
              <w:rPr>
                <w:rStyle w:val="Hyperlink"/>
              </w:rPr>
              <w:t>1</w:t>
            </w:r>
            <w:r w:rsidR="009037A2">
              <w:rPr>
                <w:rFonts w:asciiTheme="minorHAnsi" w:eastAsiaTheme="minorEastAsia" w:hAnsiTheme="minorHAnsi"/>
                <w:b w:val="0"/>
                <w:color w:val="auto"/>
                <w:sz w:val="22"/>
                <w:lang w:val="en-AU" w:eastAsia="en-AU"/>
              </w:rPr>
              <w:tab/>
            </w:r>
            <w:r w:rsidR="009037A2" w:rsidRPr="00130D11">
              <w:rPr>
                <w:rStyle w:val="Hyperlink"/>
              </w:rPr>
              <w:t>Our final decision</w:t>
            </w:r>
            <w:r w:rsidR="009037A2">
              <w:rPr>
                <w:webHidden/>
              </w:rPr>
              <w:tab/>
            </w:r>
            <w:r w:rsidR="009037A2">
              <w:rPr>
                <w:webHidden/>
              </w:rPr>
              <w:fldChar w:fldCharType="begin"/>
            </w:r>
            <w:r w:rsidR="009037A2">
              <w:rPr>
                <w:webHidden/>
              </w:rPr>
              <w:instrText xml:space="preserve"> PAGEREF _Toc419895010 \h </w:instrText>
            </w:r>
            <w:r w:rsidR="009037A2">
              <w:rPr>
                <w:webHidden/>
              </w:rPr>
            </w:r>
            <w:r w:rsidR="009037A2">
              <w:rPr>
                <w:webHidden/>
              </w:rPr>
              <w:fldChar w:fldCharType="separate"/>
            </w:r>
            <w:r w:rsidR="009037A2">
              <w:rPr>
                <w:webHidden/>
              </w:rPr>
              <w:t>7</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11" w:history="1">
            <w:r w:rsidR="009037A2" w:rsidRPr="00130D11">
              <w:rPr>
                <w:rStyle w:val="Hyperlink"/>
              </w:rPr>
              <w:t>1.1</w:t>
            </w:r>
            <w:r w:rsidR="009037A2">
              <w:rPr>
                <w:rFonts w:asciiTheme="minorHAnsi" w:eastAsiaTheme="minorEastAsia" w:hAnsiTheme="minorHAnsi"/>
                <w:b w:val="0"/>
                <w:color w:val="auto"/>
                <w:sz w:val="22"/>
                <w:lang w:eastAsia="en-AU"/>
              </w:rPr>
              <w:tab/>
            </w:r>
            <w:r w:rsidR="009037A2" w:rsidRPr="00130D11">
              <w:rPr>
                <w:rStyle w:val="Hyperlink"/>
              </w:rPr>
              <w:t>Decision</w:t>
            </w:r>
            <w:r w:rsidR="009037A2">
              <w:rPr>
                <w:webHidden/>
              </w:rPr>
              <w:tab/>
            </w:r>
            <w:r w:rsidR="009037A2">
              <w:rPr>
                <w:webHidden/>
              </w:rPr>
              <w:fldChar w:fldCharType="begin"/>
            </w:r>
            <w:r w:rsidR="009037A2">
              <w:rPr>
                <w:webHidden/>
              </w:rPr>
              <w:instrText xml:space="preserve"> PAGEREF _Toc419895011 \h </w:instrText>
            </w:r>
            <w:r w:rsidR="009037A2">
              <w:rPr>
                <w:webHidden/>
              </w:rPr>
            </w:r>
            <w:r w:rsidR="009037A2">
              <w:rPr>
                <w:webHidden/>
              </w:rPr>
              <w:fldChar w:fldCharType="separate"/>
            </w:r>
            <w:r w:rsidR="009037A2">
              <w:rPr>
                <w:webHidden/>
              </w:rPr>
              <w:t>8</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12" w:history="1">
            <w:r w:rsidR="009037A2" w:rsidRPr="00130D11">
              <w:rPr>
                <w:rStyle w:val="Hyperlink"/>
              </w:rPr>
              <w:t>1.2</w:t>
            </w:r>
            <w:r w:rsidR="009037A2">
              <w:rPr>
                <w:rFonts w:asciiTheme="minorHAnsi" w:eastAsiaTheme="minorEastAsia" w:hAnsiTheme="minorHAnsi"/>
                <w:b w:val="0"/>
                <w:color w:val="auto"/>
                <w:sz w:val="22"/>
                <w:lang w:eastAsia="en-AU"/>
              </w:rPr>
              <w:tab/>
            </w:r>
            <w:r w:rsidR="009037A2" w:rsidRPr="00130D11">
              <w:rPr>
                <w:rStyle w:val="Hyperlink"/>
              </w:rPr>
              <w:t>Contribution to achievement of the NGO</w:t>
            </w:r>
            <w:r w:rsidR="009037A2">
              <w:rPr>
                <w:webHidden/>
              </w:rPr>
              <w:tab/>
            </w:r>
            <w:r w:rsidR="009037A2">
              <w:rPr>
                <w:webHidden/>
              </w:rPr>
              <w:fldChar w:fldCharType="begin"/>
            </w:r>
            <w:r w:rsidR="009037A2">
              <w:rPr>
                <w:webHidden/>
              </w:rPr>
              <w:instrText xml:space="preserve"> PAGEREF _Toc419895012 \h </w:instrText>
            </w:r>
            <w:r w:rsidR="009037A2">
              <w:rPr>
                <w:webHidden/>
              </w:rPr>
            </w:r>
            <w:r w:rsidR="009037A2">
              <w:rPr>
                <w:webHidden/>
              </w:rPr>
              <w:fldChar w:fldCharType="separate"/>
            </w:r>
            <w:r w:rsidR="009037A2">
              <w:rPr>
                <w:webHidden/>
              </w:rPr>
              <w:t>10</w:t>
            </w:r>
            <w:r w:rsidR="009037A2">
              <w:rPr>
                <w:webHidden/>
              </w:rPr>
              <w:fldChar w:fldCharType="end"/>
            </w:r>
          </w:hyperlink>
        </w:p>
        <w:p w:rsidR="009037A2" w:rsidRDefault="004F2AA2">
          <w:pPr>
            <w:pStyle w:val="TOC3"/>
            <w:rPr>
              <w:rFonts w:asciiTheme="minorHAnsi" w:eastAsiaTheme="minorEastAsia" w:hAnsiTheme="minorHAnsi"/>
              <w:lang w:eastAsia="en-AU"/>
            </w:rPr>
          </w:pPr>
          <w:hyperlink w:anchor="_Toc419895013" w:history="1">
            <w:r w:rsidR="009037A2" w:rsidRPr="00130D11">
              <w:rPr>
                <w:rStyle w:val="Hyperlink"/>
              </w:rPr>
              <w:t>1.2.1</w:t>
            </w:r>
            <w:r w:rsidR="009037A2">
              <w:rPr>
                <w:rFonts w:asciiTheme="minorHAnsi" w:eastAsiaTheme="minorEastAsia" w:hAnsiTheme="minorHAnsi"/>
                <w:lang w:eastAsia="en-AU"/>
              </w:rPr>
              <w:tab/>
            </w:r>
            <w:r w:rsidR="009037A2" w:rsidRPr="00130D11">
              <w:rPr>
                <w:rStyle w:val="Hyperlink"/>
              </w:rPr>
              <w:t>Rate of return</w:t>
            </w:r>
            <w:r w:rsidR="009037A2">
              <w:rPr>
                <w:webHidden/>
              </w:rPr>
              <w:tab/>
            </w:r>
            <w:r w:rsidR="009037A2">
              <w:rPr>
                <w:webHidden/>
              </w:rPr>
              <w:fldChar w:fldCharType="begin"/>
            </w:r>
            <w:r w:rsidR="009037A2">
              <w:rPr>
                <w:webHidden/>
              </w:rPr>
              <w:instrText xml:space="preserve"> PAGEREF _Toc419895013 \h </w:instrText>
            </w:r>
            <w:r w:rsidR="009037A2">
              <w:rPr>
                <w:webHidden/>
              </w:rPr>
            </w:r>
            <w:r w:rsidR="009037A2">
              <w:rPr>
                <w:webHidden/>
              </w:rPr>
              <w:fldChar w:fldCharType="separate"/>
            </w:r>
            <w:r w:rsidR="009037A2">
              <w:rPr>
                <w:webHidden/>
              </w:rPr>
              <w:t>11</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14" w:history="1">
            <w:r w:rsidR="009037A2" w:rsidRPr="00130D11">
              <w:rPr>
                <w:rStyle w:val="Hyperlink"/>
              </w:rPr>
              <w:t>1.3</w:t>
            </w:r>
            <w:r w:rsidR="009037A2">
              <w:rPr>
                <w:rFonts w:asciiTheme="minorHAnsi" w:eastAsiaTheme="minorEastAsia" w:hAnsiTheme="minorHAnsi"/>
                <w:b w:val="0"/>
                <w:color w:val="auto"/>
                <w:sz w:val="22"/>
                <w:lang w:eastAsia="en-AU"/>
              </w:rPr>
              <w:tab/>
            </w:r>
            <w:r w:rsidR="009037A2" w:rsidRPr="00130D11">
              <w:rPr>
                <w:rStyle w:val="Hyperlink"/>
              </w:rPr>
              <w:t>Assessment of options under the NGO</w:t>
            </w:r>
            <w:r w:rsidR="009037A2">
              <w:rPr>
                <w:webHidden/>
              </w:rPr>
              <w:tab/>
            </w:r>
            <w:r w:rsidR="009037A2">
              <w:rPr>
                <w:webHidden/>
              </w:rPr>
              <w:fldChar w:fldCharType="begin"/>
            </w:r>
            <w:r w:rsidR="009037A2">
              <w:rPr>
                <w:webHidden/>
              </w:rPr>
              <w:instrText xml:space="preserve"> PAGEREF _Toc419895014 \h </w:instrText>
            </w:r>
            <w:r w:rsidR="009037A2">
              <w:rPr>
                <w:webHidden/>
              </w:rPr>
            </w:r>
            <w:r w:rsidR="009037A2">
              <w:rPr>
                <w:webHidden/>
              </w:rPr>
              <w:fldChar w:fldCharType="separate"/>
            </w:r>
            <w:r w:rsidR="009037A2">
              <w:rPr>
                <w:webHidden/>
              </w:rPr>
              <w:t>14</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15" w:history="1">
            <w:r w:rsidR="009037A2" w:rsidRPr="00130D11">
              <w:rPr>
                <w:rStyle w:val="Hyperlink"/>
              </w:rPr>
              <w:t>1.4</w:t>
            </w:r>
            <w:r w:rsidR="009037A2">
              <w:rPr>
                <w:rFonts w:asciiTheme="minorHAnsi" w:eastAsiaTheme="minorEastAsia" w:hAnsiTheme="minorHAnsi"/>
                <w:b w:val="0"/>
                <w:color w:val="auto"/>
                <w:sz w:val="22"/>
                <w:lang w:eastAsia="en-AU"/>
              </w:rPr>
              <w:tab/>
            </w:r>
            <w:r w:rsidR="009037A2" w:rsidRPr="00130D11">
              <w:rPr>
                <w:rStyle w:val="Hyperlink"/>
              </w:rPr>
              <w:t>Structure of the overview</w:t>
            </w:r>
            <w:r w:rsidR="009037A2">
              <w:rPr>
                <w:webHidden/>
              </w:rPr>
              <w:tab/>
            </w:r>
            <w:r w:rsidR="009037A2">
              <w:rPr>
                <w:webHidden/>
              </w:rPr>
              <w:fldChar w:fldCharType="begin"/>
            </w:r>
            <w:r w:rsidR="009037A2">
              <w:rPr>
                <w:webHidden/>
              </w:rPr>
              <w:instrText xml:space="preserve"> PAGEREF _Toc419895015 \h </w:instrText>
            </w:r>
            <w:r w:rsidR="009037A2">
              <w:rPr>
                <w:webHidden/>
              </w:rPr>
            </w:r>
            <w:r w:rsidR="009037A2">
              <w:rPr>
                <w:webHidden/>
              </w:rPr>
              <w:fldChar w:fldCharType="separate"/>
            </w:r>
            <w:r w:rsidR="009037A2">
              <w:rPr>
                <w:webHidden/>
              </w:rPr>
              <w:t>14</w:t>
            </w:r>
            <w:r w:rsidR="009037A2">
              <w:rPr>
                <w:webHidden/>
              </w:rPr>
              <w:fldChar w:fldCharType="end"/>
            </w:r>
          </w:hyperlink>
        </w:p>
        <w:p w:rsidR="009037A2" w:rsidRDefault="004F2AA2">
          <w:pPr>
            <w:pStyle w:val="TOC1"/>
            <w:rPr>
              <w:rFonts w:asciiTheme="minorHAnsi" w:eastAsiaTheme="minorEastAsia" w:hAnsiTheme="minorHAnsi"/>
              <w:b w:val="0"/>
              <w:color w:val="auto"/>
              <w:sz w:val="22"/>
              <w:lang w:val="en-AU" w:eastAsia="en-AU"/>
            </w:rPr>
          </w:pPr>
          <w:hyperlink w:anchor="_Toc419895016" w:history="1">
            <w:r w:rsidR="009037A2" w:rsidRPr="00130D11">
              <w:rPr>
                <w:rStyle w:val="Hyperlink"/>
              </w:rPr>
              <w:t>2</w:t>
            </w:r>
            <w:r w:rsidR="009037A2">
              <w:rPr>
                <w:rFonts w:asciiTheme="minorHAnsi" w:eastAsiaTheme="minorEastAsia" w:hAnsiTheme="minorHAnsi"/>
                <w:b w:val="0"/>
                <w:color w:val="auto"/>
                <w:sz w:val="22"/>
                <w:lang w:val="en-AU" w:eastAsia="en-AU"/>
              </w:rPr>
              <w:tab/>
            </w:r>
            <w:r w:rsidR="009037A2" w:rsidRPr="00130D11">
              <w:rPr>
                <w:rStyle w:val="Hyperlink"/>
              </w:rPr>
              <w:t>Total revenue requirement</w:t>
            </w:r>
            <w:r w:rsidR="009037A2">
              <w:rPr>
                <w:webHidden/>
              </w:rPr>
              <w:tab/>
            </w:r>
            <w:r w:rsidR="009037A2">
              <w:rPr>
                <w:webHidden/>
              </w:rPr>
              <w:fldChar w:fldCharType="begin"/>
            </w:r>
            <w:r w:rsidR="009037A2">
              <w:rPr>
                <w:webHidden/>
              </w:rPr>
              <w:instrText xml:space="preserve"> PAGEREF _Toc419895016 \h </w:instrText>
            </w:r>
            <w:r w:rsidR="009037A2">
              <w:rPr>
                <w:webHidden/>
              </w:rPr>
            </w:r>
            <w:r w:rsidR="009037A2">
              <w:rPr>
                <w:webHidden/>
              </w:rPr>
              <w:fldChar w:fldCharType="separate"/>
            </w:r>
            <w:r w:rsidR="009037A2">
              <w:rPr>
                <w:webHidden/>
              </w:rPr>
              <w:t>16</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17" w:history="1">
            <w:r w:rsidR="009037A2" w:rsidRPr="00130D11">
              <w:rPr>
                <w:rStyle w:val="Hyperlink"/>
              </w:rPr>
              <w:t>2.1</w:t>
            </w:r>
            <w:r w:rsidR="009037A2">
              <w:rPr>
                <w:rFonts w:asciiTheme="minorHAnsi" w:eastAsiaTheme="minorEastAsia" w:hAnsiTheme="minorHAnsi"/>
                <w:b w:val="0"/>
                <w:color w:val="auto"/>
                <w:sz w:val="22"/>
                <w:lang w:eastAsia="en-AU"/>
              </w:rPr>
              <w:tab/>
            </w:r>
            <w:r w:rsidR="009037A2" w:rsidRPr="00130D11">
              <w:rPr>
                <w:rStyle w:val="Hyperlink"/>
              </w:rPr>
              <w:t>The building block approach</w:t>
            </w:r>
            <w:r w:rsidR="009037A2">
              <w:rPr>
                <w:webHidden/>
              </w:rPr>
              <w:tab/>
            </w:r>
            <w:r w:rsidR="009037A2">
              <w:rPr>
                <w:webHidden/>
              </w:rPr>
              <w:fldChar w:fldCharType="begin"/>
            </w:r>
            <w:r w:rsidR="009037A2">
              <w:rPr>
                <w:webHidden/>
              </w:rPr>
              <w:instrText xml:space="preserve"> PAGEREF _Toc419895017 \h </w:instrText>
            </w:r>
            <w:r w:rsidR="009037A2">
              <w:rPr>
                <w:webHidden/>
              </w:rPr>
            </w:r>
            <w:r w:rsidR="009037A2">
              <w:rPr>
                <w:webHidden/>
              </w:rPr>
              <w:fldChar w:fldCharType="separate"/>
            </w:r>
            <w:r w:rsidR="009037A2">
              <w:rPr>
                <w:webHidden/>
              </w:rPr>
              <w:t>16</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18" w:history="1">
            <w:r w:rsidR="009037A2" w:rsidRPr="00130D11">
              <w:rPr>
                <w:rStyle w:val="Hyperlink"/>
              </w:rPr>
              <w:t>2.2</w:t>
            </w:r>
            <w:r w:rsidR="009037A2">
              <w:rPr>
                <w:rFonts w:asciiTheme="minorHAnsi" w:eastAsiaTheme="minorEastAsia" w:hAnsiTheme="minorHAnsi"/>
                <w:b w:val="0"/>
                <w:color w:val="auto"/>
                <w:sz w:val="22"/>
                <w:lang w:eastAsia="en-AU"/>
              </w:rPr>
              <w:tab/>
            </w:r>
            <w:r w:rsidR="009037A2" w:rsidRPr="00130D11">
              <w:rPr>
                <w:rStyle w:val="Hyperlink"/>
              </w:rPr>
              <w:t>Final decision</w:t>
            </w:r>
            <w:r w:rsidR="009037A2">
              <w:rPr>
                <w:webHidden/>
              </w:rPr>
              <w:tab/>
            </w:r>
            <w:r w:rsidR="009037A2">
              <w:rPr>
                <w:webHidden/>
              </w:rPr>
              <w:fldChar w:fldCharType="begin"/>
            </w:r>
            <w:r w:rsidR="009037A2">
              <w:rPr>
                <w:webHidden/>
              </w:rPr>
              <w:instrText xml:space="preserve"> PAGEREF _Toc419895018 \h </w:instrText>
            </w:r>
            <w:r w:rsidR="009037A2">
              <w:rPr>
                <w:webHidden/>
              </w:rPr>
            </w:r>
            <w:r w:rsidR="009037A2">
              <w:rPr>
                <w:webHidden/>
              </w:rPr>
              <w:fldChar w:fldCharType="separate"/>
            </w:r>
            <w:r w:rsidR="009037A2">
              <w:rPr>
                <w:webHidden/>
              </w:rPr>
              <w:t>17</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19" w:history="1">
            <w:r w:rsidR="009037A2" w:rsidRPr="00130D11">
              <w:rPr>
                <w:rStyle w:val="Hyperlink"/>
              </w:rPr>
              <w:t>2.3</w:t>
            </w:r>
            <w:r w:rsidR="009037A2">
              <w:rPr>
                <w:rFonts w:asciiTheme="minorHAnsi" w:eastAsiaTheme="minorEastAsia" w:hAnsiTheme="minorHAnsi"/>
                <w:b w:val="0"/>
                <w:color w:val="auto"/>
                <w:sz w:val="22"/>
                <w:lang w:eastAsia="en-AU"/>
              </w:rPr>
              <w:tab/>
            </w:r>
            <w:r w:rsidR="009037A2" w:rsidRPr="00130D11">
              <w:rPr>
                <w:rStyle w:val="Hyperlink"/>
              </w:rPr>
              <w:t>Total revenue</w:t>
            </w:r>
            <w:r w:rsidR="009037A2">
              <w:rPr>
                <w:webHidden/>
              </w:rPr>
              <w:tab/>
            </w:r>
            <w:r w:rsidR="009037A2">
              <w:rPr>
                <w:webHidden/>
              </w:rPr>
              <w:fldChar w:fldCharType="begin"/>
            </w:r>
            <w:r w:rsidR="009037A2">
              <w:rPr>
                <w:webHidden/>
              </w:rPr>
              <w:instrText xml:space="preserve"> PAGEREF _Toc419895019 \h </w:instrText>
            </w:r>
            <w:r w:rsidR="009037A2">
              <w:rPr>
                <w:webHidden/>
              </w:rPr>
            </w:r>
            <w:r w:rsidR="009037A2">
              <w:rPr>
                <w:webHidden/>
              </w:rPr>
              <w:fldChar w:fldCharType="separate"/>
            </w:r>
            <w:r w:rsidR="009037A2">
              <w:rPr>
                <w:webHidden/>
              </w:rPr>
              <w:t>19</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20" w:history="1">
            <w:r w:rsidR="009037A2" w:rsidRPr="00130D11">
              <w:rPr>
                <w:rStyle w:val="Hyperlink"/>
              </w:rPr>
              <w:t>2.4</w:t>
            </w:r>
            <w:r w:rsidR="009037A2">
              <w:rPr>
                <w:rFonts w:asciiTheme="minorHAnsi" w:eastAsiaTheme="minorEastAsia" w:hAnsiTheme="minorHAnsi"/>
                <w:b w:val="0"/>
                <w:color w:val="auto"/>
                <w:sz w:val="22"/>
                <w:lang w:eastAsia="en-AU"/>
              </w:rPr>
              <w:tab/>
            </w:r>
            <w:r w:rsidR="009037A2" w:rsidRPr="00130D11">
              <w:rPr>
                <w:rStyle w:val="Hyperlink"/>
              </w:rPr>
              <w:t>Smoothed revenue and tariff path</w:t>
            </w:r>
            <w:r w:rsidR="009037A2">
              <w:rPr>
                <w:webHidden/>
              </w:rPr>
              <w:tab/>
            </w:r>
            <w:r w:rsidR="009037A2">
              <w:rPr>
                <w:webHidden/>
              </w:rPr>
              <w:fldChar w:fldCharType="begin"/>
            </w:r>
            <w:r w:rsidR="009037A2">
              <w:rPr>
                <w:webHidden/>
              </w:rPr>
              <w:instrText xml:space="preserve"> PAGEREF _Toc419895020 \h </w:instrText>
            </w:r>
            <w:r w:rsidR="009037A2">
              <w:rPr>
                <w:webHidden/>
              </w:rPr>
            </w:r>
            <w:r w:rsidR="009037A2">
              <w:rPr>
                <w:webHidden/>
              </w:rPr>
              <w:fldChar w:fldCharType="separate"/>
            </w:r>
            <w:r w:rsidR="009037A2">
              <w:rPr>
                <w:webHidden/>
              </w:rPr>
              <w:t>21</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21" w:history="1">
            <w:r w:rsidR="009037A2" w:rsidRPr="00130D11">
              <w:rPr>
                <w:rStyle w:val="Hyperlink"/>
              </w:rPr>
              <w:t>2.5</w:t>
            </w:r>
            <w:r w:rsidR="009037A2">
              <w:rPr>
                <w:rFonts w:asciiTheme="minorHAnsi" w:eastAsiaTheme="minorEastAsia" w:hAnsiTheme="minorHAnsi"/>
                <w:b w:val="0"/>
                <w:color w:val="auto"/>
                <w:sz w:val="22"/>
                <w:lang w:eastAsia="en-AU"/>
              </w:rPr>
              <w:tab/>
            </w:r>
            <w:r w:rsidR="009037A2" w:rsidRPr="00130D11">
              <w:rPr>
                <w:rStyle w:val="Hyperlink"/>
              </w:rPr>
              <w:t>Indicative impact of distribution charges on annual gas bills</w:t>
            </w:r>
            <w:r w:rsidR="009037A2">
              <w:rPr>
                <w:webHidden/>
              </w:rPr>
              <w:tab/>
            </w:r>
            <w:r w:rsidR="009037A2">
              <w:rPr>
                <w:webHidden/>
              </w:rPr>
              <w:fldChar w:fldCharType="begin"/>
            </w:r>
            <w:r w:rsidR="009037A2">
              <w:rPr>
                <w:webHidden/>
              </w:rPr>
              <w:instrText xml:space="preserve"> PAGEREF _Toc419895021 \h </w:instrText>
            </w:r>
            <w:r w:rsidR="009037A2">
              <w:rPr>
                <w:webHidden/>
              </w:rPr>
            </w:r>
            <w:r w:rsidR="009037A2">
              <w:rPr>
                <w:webHidden/>
              </w:rPr>
              <w:fldChar w:fldCharType="separate"/>
            </w:r>
            <w:r w:rsidR="009037A2">
              <w:rPr>
                <w:webHidden/>
              </w:rPr>
              <w:t>25</w:t>
            </w:r>
            <w:r w:rsidR="009037A2">
              <w:rPr>
                <w:webHidden/>
              </w:rPr>
              <w:fldChar w:fldCharType="end"/>
            </w:r>
          </w:hyperlink>
        </w:p>
        <w:p w:rsidR="009037A2" w:rsidRDefault="004F2AA2">
          <w:pPr>
            <w:pStyle w:val="TOC1"/>
            <w:rPr>
              <w:rFonts w:asciiTheme="minorHAnsi" w:eastAsiaTheme="minorEastAsia" w:hAnsiTheme="minorHAnsi"/>
              <w:b w:val="0"/>
              <w:color w:val="auto"/>
              <w:sz w:val="22"/>
              <w:lang w:val="en-AU" w:eastAsia="en-AU"/>
            </w:rPr>
          </w:pPr>
          <w:hyperlink w:anchor="_Toc419895022" w:history="1">
            <w:r w:rsidR="009037A2" w:rsidRPr="00130D11">
              <w:rPr>
                <w:rStyle w:val="Hyperlink"/>
              </w:rPr>
              <w:t>3</w:t>
            </w:r>
            <w:r w:rsidR="009037A2">
              <w:rPr>
                <w:rFonts w:asciiTheme="minorHAnsi" w:eastAsiaTheme="minorEastAsia" w:hAnsiTheme="minorHAnsi"/>
                <w:b w:val="0"/>
                <w:color w:val="auto"/>
                <w:sz w:val="22"/>
                <w:lang w:val="en-AU" w:eastAsia="en-AU"/>
              </w:rPr>
              <w:tab/>
            </w:r>
            <w:r w:rsidR="009037A2" w:rsidRPr="00130D11">
              <w:rPr>
                <w:rStyle w:val="Hyperlink"/>
              </w:rPr>
              <w:t>Key elements of the building blocks</w:t>
            </w:r>
            <w:r w:rsidR="009037A2">
              <w:rPr>
                <w:webHidden/>
              </w:rPr>
              <w:tab/>
            </w:r>
            <w:r w:rsidR="009037A2">
              <w:rPr>
                <w:webHidden/>
              </w:rPr>
              <w:fldChar w:fldCharType="begin"/>
            </w:r>
            <w:r w:rsidR="009037A2">
              <w:rPr>
                <w:webHidden/>
              </w:rPr>
              <w:instrText xml:space="preserve"> PAGEREF _Toc419895022 \h </w:instrText>
            </w:r>
            <w:r w:rsidR="009037A2">
              <w:rPr>
                <w:webHidden/>
              </w:rPr>
            </w:r>
            <w:r w:rsidR="009037A2">
              <w:rPr>
                <w:webHidden/>
              </w:rPr>
              <w:fldChar w:fldCharType="separate"/>
            </w:r>
            <w:r w:rsidR="009037A2">
              <w:rPr>
                <w:webHidden/>
              </w:rPr>
              <w:t>28</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23" w:history="1">
            <w:r w:rsidR="009037A2" w:rsidRPr="00130D11">
              <w:rPr>
                <w:rStyle w:val="Hyperlink"/>
              </w:rPr>
              <w:t>3.1</w:t>
            </w:r>
            <w:r w:rsidR="009037A2">
              <w:rPr>
                <w:rFonts w:asciiTheme="minorHAnsi" w:eastAsiaTheme="minorEastAsia" w:hAnsiTheme="minorHAnsi"/>
                <w:b w:val="0"/>
                <w:color w:val="auto"/>
                <w:sz w:val="22"/>
                <w:lang w:eastAsia="en-AU"/>
              </w:rPr>
              <w:tab/>
            </w:r>
            <w:r w:rsidR="009037A2" w:rsidRPr="00130D11">
              <w:rPr>
                <w:rStyle w:val="Hyperlink"/>
              </w:rPr>
              <w:t>Capital base</w:t>
            </w:r>
            <w:r w:rsidR="009037A2">
              <w:rPr>
                <w:webHidden/>
              </w:rPr>
              <w:tab/>
            </w:r>
            <w:r w:rsidR="009037A2">
              <w:rPr>
                <w:webHidden/>
              </w:rPr>
              <w:fldChar w:fldCharType="begin"/>
            </w:r>
            <w:r w:rsidR="009037A2">
              <w:rPr>
                <w:webHidden/>
              </w:rPr>
              <w:instrText xml:space="preserve"> PAGEREF _Toc419895023 \h </w:instrText>
            </w:r>
            <w:r w:rsidR="009037A2">
              <w:rPr>
                <w:webHidden/>
              </w:rPr>
            </w:r>
            <w:r w:rsidR="009037A2">
              <w:rPr>
                <w:webHidden/>
              </w:rPr>
              <w:fldChar w:fldCharType="separate"/>
            </w:r>
            <w:r w:rsidR="009037A2">
              <w:rPr>
                <w:webHidden/>
              </w:rPr>
              <w:t>28</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24" w:history="1">
            <w:r w:rsidR="009037A2" w:rsidRPr="00130D11">
              <w:rPr>
                <w:rStyle w:val="Hyperlink"/>
              </w:rPr>
              <w:t>3.2</w:t>
            </w:r>
            <w:r w:rsidR="009037A2">
              <w:rPr>
                <w:rFonts w:asciiTheme="minorHAnsi" w:eastAsiaTheme="minorEastAsia" w:hAnsiTheme="minorHAnsi"/>
                <w:b w:val="0"/>
                <w:color w:val="auto"/>
                <w:sz w:val="22"/>
                <w:lang w:eastAsia="en-AU"/>
              </w:rPr>
              <w:tab/>
            </w:r>
            <w:r w:rsidR="009037A2" w:rsidRPr="00130D11">
              <w:rPr>
                <w:rStyle w:val="Hyperlink"/>
              </w:rPr>
              <w:t>Rate of return (return on capital)</w:t>
            </w:r>
            <w:r w:rsidR="009037A2">
              <w:rPr>
                <w:webHidden/>
              </w:rPr>
              <w:tab/>
            </w:r>
            <w:r w:rsidR="009037A2">
              <w:rPr>
                <w:webHidden/>
              </w:rPr>
              <w:fldChar w:fldCharType="begin"/>
            </w:r>
            <w:r w:rsidR="009037A2">
              <w:rPr>
                <w:webHidden/>
              </w:rPr>
              <w:instrText xml:space="preserve"> PAGEREF _Toc419895024 \h </w:instrText>
            </w:r>
            <w:r w:rsidR="009037A2">
              <w:rPr>
                <w:webHidden/>
              </w:rPr>
            </w:r>
            <w:r w:rsidR="009037A2">
              <w:rPr>
                <w:webHidden/>
              </w:rPr>
              <w:fldChar w:fldCharType="separate"/>
            </w:r>
            <w:r w:rsidR="009037A2">
              <w:rPr>
                <w:webHidden/>
              </w:rPr>
              <w:t>30</w:t>
            </w:r>
            <w:r w:rsidR="009037A2">
              <w:rPr>
                <w:webHidden/>
              </w:rPr>
              <w:fldChar w:fldCharType="end"/>
            </w:r>
          </w:hyperlink>
        </w:p>
        <w:p w:rsidR="009037A2" w:rsidRDefault="004F2AA2">
          <w:pPr>
            <w:pStyle w:val="TOC3"/>
            <w:rPr>
              <w:rFonts w:asciiTheme="minorHAnsi" w:eastAsiaTheme="minorEastAsia" w:hAnsiTheme="minorHAnsi"/>
              <w:lang w:eastAsia="en-AU"/>
            </w:rPr>
          </w:pPr>
          <w:hyperlink w:anchor="_Toc419895025" w:history="1">
            <w:r w:rsidR="009037A2" w:rsidRPr="00130D11">
              <w:rPr>
                <w:rStyle w:val="Hyperlink"/>
              </w:rPr>
              <w:t>Our approach</w:t>
            </w:r>
            <w:r w:rsidR="009037A2">
              <w:rPr>
                <w:webHidden/>
              </w:rPr>
              <w:tab/>
            </w:r>
            <w:r w:rsidR="009037A2">
              <w:rPr>
                <w:webHidden/>
              </w:rPr>
              <w:fldChar w:fldCharType="begin"/>
            </w:r>
            <w:r w:rsidR="009037A2">
              <w:rPr>
                <w:webHidden/>
              </w:rPr>
              <w:instrText xml:space="preserve"> PAGEREF _Toc419895025 \h </w:instrText>
            </w:r>
            <w:r w:rsidR="009037A2">
              <w:rPr>
                <w:webHidden/>
              </w:rPr>
            </w:r>
            <w:r w:rsidR="009037A2">
              <w:rPr>
                <w:webHidden/>
              </w:rPr>
              <w:fldChar w:fldCharType="separate"/>
            </w:r>
            <w:r w:rsidR="009037A2">
              <w:rPr>
                <w:webHidden/>
              </w:rPr>
              <w:t>31</w:t>
            </w:r>
            <w:r w:rsidR="009037A2">
              <w:rPr>
                <w:webHidden/>
              </w:rPr>
              <w:fldChar w:fldCharType="end"/>
            </w:r>
          </w:hyperlink>
        </w:p>
        <w:p w:rsidR="009037A2" w:rsidRDefault="004F2AA2">
          <w:pPr>
            <w:pStyle w:val="TOC3"/>
            <w:rPr>
              <w:rFonts w:asciiTheme="minorHAnsi" w:eastAsiaTheme="minorEastAsia" w:hAnsiTheme="minorHAnsi"/>
              <w:lang w:eastAsia="en-AU"/>
            </w:rPr>
          </w:pPr>
          <w:hyperlink w:anchor="_Toc419895026" w:history="1">
            <w:r w:rsidR="009037A2" w:rsidRPr="00130D11">
              <w:rPr>
                <w:rStyle w:val="Hyperlink"/>
              </w:rPr>
              <w:t>Return on debt</w:t>
            </w:r>
            <w:r w:rsidR="009037A2">
              <w:rPr>
                <w:webHidden/>
              </w:rPr>
              <w:tab/>
            </w:r>
            <w:r w:rsidR="009037A2">
              <w:rPr>
                <w:webHidden/>
              </w:rPr>
              <w:fldChar w:fldCharType="begin"/>
            </w:r>
            <w:r w:rsidR="009037A2">
              <w:rPr>
                <w:webHidden/>
              </w:rPr>
              <w:instrText xml:space="preserve"> PAGEREF _Toc419895026 \h </w:instrText>
            </w:r>
            <w:r w:rsidR="009037A2">
              <w:rPr>
                <w:webHidden/>
              </w:rPr>
            </w:r>
            <w:r w:rsidR="009037A2">
              <w:rPr>
                <w:webHidden/>
              </w:rPr>
              <w:fldChar w:fldCharType="separate"/>
            </w:r>
            <w:r w:rsidR="009037A2">
              <w:rPr>
                <w:webHidden/>
              </w:rPr>
              <w:t>31</w:t>
            </w:r>
            <w:r w:rsidR="009037A2">
              <w:rPr>
                <w:webHidden/>
              </w:rPr>
              <w:fldChar w:fldCharType="end"/>
            </w:r>
          </w:hyperlink>
        </w:p>
        <w:p w:rsidR="009037A2" w:rsidRDefault="004F2AA2">
          <w:pPr>
            <w:pStyle w:val="TOC3"/>
            <w:rPr>
              <w:rFonts w:asciiTheme="minorHAnsi" w:eastAsiaTheme="minorEastAsia" w:hAnsiTheme="minorHAnsi"/>
              <w:lang w:eastAsia="en-AU"/>
            </w:rPr>
          </w:pPr>
          <w:hyperlink w:anchor="_Toc419895027" w:history="1">
            <w:r w:rsidR="009037A2" w:rsidRPr="00130D11">
              <w:rPr>
                <w:rStyle w:val="Hyperlink"/>
              </w:rPr>
              <w:t>Return on equity</w:t>
            </w:r>
            <w:r w:rsidR="009037A2">
              <w:rPr>
                <w:webHidden/>
              </w:rPr>
              <w:tab/>
            </w:r>
            <w:r w:rsidR="009037A2">
              <w:rPr>
                <w:webHidden/>
              </w:rPr>
              <w:fldChar w:fldCharType="begin"/>
            </w:r>
            <w:r w:rsidR="009037A2">
              <w:rPr>
                <w:webHidden/>
              </w:rPr>
              <w:instrText xml:space="preserve"> PAGEREF _Toc419895027 \h </w:instrText>
            </w:r>
            <w:r w:rsidR="009037A2">
              <w:rPr>
                <w:webHidden/>
              </w:rPr>
            </w:r>
            <w:r w:rsidR="009037A2">
              <w:rPr>
                <w:webHidden/>
              </w:rPr>
              <w:fldChar w:fldCharType="separate"/>
            </w:r>
            <w:r w:rsidR="009037A2">
              <w:rPr>
                <w:webHidden/>
              </w:rPr>
              <w:t>32</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28" w:history="1">
            <w:r w:rsidR="009037A2" w:rsidRPr="00130D11">
              <w:rPr>
                <w:rStyle w:val="Hyperlink"/>
              </w:rPr>
              <w:t>3.3</w:t>
            </w:r>
            <w:r w:rsidR="009037A2">
              <w:rPr>
                <w:rFonts w:asciiTheme="minorHAnsi" w:eastAsiaTheme="minorEastAsia" w:hAnsiTheme="minorHAnsi"/>
                <w:b w:val="0"/>
                <w:color w:val="auto"/>
                <w:sz w:val="22"/>
                <w:lang w:eastAsia="en-AU"/>
              </w:rPr>
              <w:tab/>
            </w:r>
            <w:r w:rsidR="009037A2" w:rsidRPr="00130D11">
              <w:rPr>
                <w:rStyle w:val="Hyperlink"/>
              </w:rPr>
              <w:t>Value of imputation credits (gamma)</w:t>
            </w:r>
            <w:r w:rsidR="009037A2">
              <w:rPr>
                <w:webHidden/>
              </w:rPr>
              <w:tab/>
            </w:r>
            <w:r w:rsidR="009037A2">
              <w:rPr>
                <w:webHidden/>
              </w:rPr>
              <w:fldChar w:fldCharType="begin"/>
            </w:r>
            <w:r w:rsidR="009037A2">
              <w:rPr>
                <w:webHidden/>
              </w:rPr>
              <w:instrText xml:space="preserve"> PAGEREF _Toc419895028 \h </w:instrText>
            </w:r>
            <w:r w:rsidR="009037A2">
              <w:rPr>
                <w:webHidden/>
              </w:rPr>
            </w:r>
            <w:r w:rsidR="009037A2">
              <w:rPr>
                <w:webHidden/>
              </w:rPr>
              <w:fldChar w:fldCharType="separate"/>
            </w:r>
            <w:r w:rsidR="009037A2">
              <w:rPr>
                <w:webHidden/>
              </w:rPr>
              <w:t>35</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29" w:history="1">
            <w:r w:rsidR="009037A2" w:rsidRPr="00130D11">
              <w:rPr>
                <w:rStyle w:val="Hyperlink"/>
              </w:rPr>
              <w:t>3.4</w:t>
            </w:r>
            <w:r w:rsidR="009037A2">
              <w:rPr>
                <w:rFonts w:asciiTheme="minorHAnsi" w:eastAsiaTheme="minorEastAsia" w:hAnsiTheme="minorHAnsi"/>
                <w:b w:val="0"/>
                <w:color w:val="auto"/>
                <w:sz w:val="22"/>
                <w:lang w:eastAsia="en-AU"/>
              </w:rPr>
              <w:tab/>
            </w:r>
            <w:r w:rsidR="009037A2" w:rsidRPr="00130D11">
              <w:rPr>
                <w:rStyle w:val="Hyperlink"/>
              </w:rPr>
              <w:t>Regulatory depreciation (return of capital)</w:t>
            </w:r>
            <w:r w:rsidR="009037A2">
              <w:rPr>
                <w:webHidden/>
              </w:rPr>
              <w:tab/>
            </w:r>
            <w:r w:rsidR="009037A2">
              <w:rPr>
                <w:webHidden/>
              </w:rPr>
              <w:fldChar w:fldCharType="begin"/>
            </w:r>
            <w:r w:rsidR="009037A2">
              <w:rPr>
                <w:webHidden/>
              </w:rPr>
              <w:instrText xml:space="preserve"> PAGEREF _Toc419895029 \h </w:instrText>
            </w:r>
            <w:r w:rsidR="009037A2">
              <w:rPr>
                <w:webHidden/>
              </w:rPr>
            </w:r>
            <w:r w:rsidR="009037A2">
              <w:rPr>
                <w:webHidden/>
              </w:rPr>
              <w:fldChar w:fldCharType="separate"/>
            </w:r>
            <w:r w:rsidR="009037A2">
              <w:rPr>
                <w:webHidden/>
              </w:rPr>
              <w:t>36</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30" w:history="1">
            <w:r w:rsidR="009037A2" w:rsidRPr="00130D11">
              <w:rPr>
                <w:rStyle w:val="Hyperlink"/>
              </w:rPr>
              <w:t>3.5</w:t>
            </w:r>
            <w:r w:rsidR="009037A2">
              <w:rPr>
                <w:rFonts w:asciiTheme="minorHAnsi" w:eastAsiaTheme="minorEastAsia" w:hAnsiTheme="minorHAnsi"/>
                <w:b w:val="0"/>
                <w:color w:val="auto"/>
                <w:sz w:val="22"/>
                <w:lang w:eastAsia="en-AU"/>
              </w:rPr>
              <w:tab/>
            </w:r>
            <w:r w:rsidR="009037A2" w:rsidRPr="00130D11">
              <w:rPr>
                <w:rStyle w:val="Hyperlink"/>
              </w:rPr>
              <w:t>Capital expenditure (capex)</w:t>
            </w:r>
            <w:r w:rsidR="009037A2">
              <w:rPr>
                <w:webHidden/>
              </w:rPr>
              <w:tab/>
            </w:r>
            <w:r w:rsidR="009037A2">
              <w:rPr>
                <w:webHidden/>
              </w:rPr>
              <w:fldChar w:fldCharType="begin"/>
            </w:r>
            <w:r w:rsidR="009037A2">
              <w:rPr>
                <w:webHidden/>
              </w:rPr>
              <w:instrText xml:space="preserve"> PAGEREF _Toc419895030 \h </w:instrText>
            </w:r>
            <w:r w:rsidR="009037A2">
              <w:rPr>
                <w:webHidden/>
              </w:rPr>
            </w:r>
            <w:r w:rsidR="009037A2">
              <w:rPr>
                <w:webHidden/>
              </w:rPr>
              <w:fldChar w:fldCharType="separate"/>
            </w:r>
            <w:r w:rsidR="009037A2">
              <w:rPr>
                <w:webHidden/>
              </w:rPr>
              <w:t>37</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31" w:history="1">
            <w:r w:rsidR="009037A2" w:rsidRPr="00130D11">
              <w:rPr>
                <w:rStyle w:val="Hyperlink"/>
              </w:rPr>
              <w:t>3.6</w:t>
            </w:r>
            <w:r w:rsidR="009037A2">
              <w:rPr>
                <w:rFonts w:asciiTheme="minorHAnsi" w:eastAsiaTheme="minorEastAsia" w:hAnsiTheme="minorHAnsi"/>
                <w:b w:val="0"/>
                <w:color w:val="auto"/>
                <w:sz w:val="22"/>
                <w:lang w:eastAsia="en-AU"/>
              </w:rPr>
              <w:tab/>
            </w:r>
            <w:r w:rsidR="009037A2" w:rsidRPr="00130D11">
              <w:rPr>
                <w:rStyle w:val="Hyperlink"/>
              </w:rPr>
              <w:t>Operating expenditure (opex)</w:t>
            </w:r>
            <w:r w:rsidR="009037A2">
              <w:rPr>
                <w:webHidden/>
              </w:rPr>
              <w:tab/>
            </w:r>
            <w:r w:rsidR="009037A2">
              <w:rPr>
                <w:webHidden/>
              </w:rPr>
              <w:fldChar w:fldCharType="begin"/>
            </w:r>
            <w:r w:rsidR="009037A2">
              <w:rPr>
                <w:webHidden/>
              </w:rPr>
              <w:instrText xml:space="preserve"> PAGEREF _Toc419895031 \h </w:instrText>
            </w:r>
            <w:r w:rsidR="009037A2">
              <w:rPr>
                <w:webHidden/>
              </w:rPr>
            </w:r>
            <w:r w:rsidR="009037A2">
              <w:rPr>
                <w:webHidden/>
              </w:rPr>
              <w:fldChar w:fldCharType="separate"/>
            </w:r>
            <w:r w:rsidR="009037A2">
              <w:rPr>
                <w:webHidden/>
              </w:rPr>
              <w:t>39</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32" w:history="1">
            <w:r w:rsidR="009037A2" w:rsidRPr="00130D11">
              <w:rPr>
                <w:rStyle w:val="Hyperlink"/>
              </w:rPr>
              <w:t>3.7</w:t>
            </w:r>
            <w:r w:rsidR="009037A2">
              <w:rPr>
                <w:rFonts w:asciiTheme="minorHAnsi" w:eastAsiaTheme="minorEastAsia" w:hAnsiTheme="minorHAnsi"/>
                <w:b w:val="0"/>
                <w:color w:val="auto"/>
                <w:sz w:val="22"/>
                <w:lang w:eastAsia="en-AU"/>
              </w:rPr>
              <w:tab/>
            </w:r>
            <w:r w:rsidR="009037A2" w:rsidRPr="00130D11">
              <w:rPr>
                <w:rStyle w:val="Hyperlink"/>
              </w:rPr>
              <w:t>Corporate income tax</w:t>
            </w:r>
            <w:r w:rsidR="009037A2">
              <w:rPr>
                <w:webHidden/>
              </w:rPr>
              <w:tab/>
            </w:r>
            <w:r w:rsidR="009037A2">
              <w:rPr>
                <w:webHidden/>
              </w:rPr>
              <w:fldChar w:fldCharType="begin"/>
            </w:r>
            <w:r w:rsidR="009037A2">
              <w:rPr>
                <w:webHidden/>
              </w:rPr>
              <w:instrText xml:space="preserve"> PAGEREF _Toc419895032 \h </w:instrText>
            </w:r>
            <w:r w:rsidR="009037A2">
              <w:rPr>
                <w:webHidden/>
              </w:rPr>
            </w:r>
            <w:r w:rsidR="009037A2">
              <w:rPr>
                <w:webHidden/>
              </w:rPr>
              <w:fldChar w:fldCharType="separate"/>
            </w:r>
            <w:r w:rsidR="009037A2">
              <w:rPr>
                <w:webHidden/>
              </w:rPr>
              <w:t>41</w:t>
            </w:r>
            <w:r w:rsidR="009037A2">
              <w:rPr>
                <w:webHidden/>
              </w:rPr>
              <w:fldChar w:fldCharType="end"/>
            </w:r>
          </w:hyperlink>
        </w:p>
        <w:p w:rsidR="009037A2" w:rsidRDefault="004F2AA2">
          <w:pPr>
            <w:pStyle w:val="TOC1"/>
            <w:rPr>
              <w:rFonts w:asciiTheme="minorHAnsi" w:eastAsiaTheme="minorEastAsia" w:hAnsiTheme="minorHAnsi"/>
              <w:b w:val="0"/>
              <w:color w:val="auto"/>
              <w:sz w:val="22"/>
              <w:lang w:val="en-AU" w:eastAsia="en-AU"/>
            </w:rPr>
          </w:pPr>
          <w:hyperlink w:anchor="_Toc419895033" w:history="1">
            <w:r w:rsidR="009037A2" w:rsidRPr="00130D11">
              <w:rPr>
                <w:rStyle w:val="Hyperlink"/>
              </w:rPr>
              <w:t>4</w:t>
            </w:r>
            <w:r w:rsidR="009037A2">
              <w:rPr>
                <w:rFonts w:asciiTheme="minorHAnsi" w:eastAsiaTheme="minorEastAsia" w:hAnsiTheme="minorHAnsi"/>
                <w:b w:val="0"/>
                <w:color w:val="auto"/>
                <w:sz w:val="22"/>
                <w:lang w:val="en-AU" w:eastAsia="en-AU"/>
              </w:rPr>
              <w:tab/>
            </w:r>
            <w:r w:rsidR="009037A2" w:rsidRPr="00130D11">
              <w:rPr>
                <w:rStyle w:val="Hyperlink"/>
              </w:rPr>
              <w:t>Other components of this decision</w:t>
            </w:r>
            <w:r w:rsidR="009037A2">
              <w:rPr>
                <w:webHidden/>
              </w:rPr>
              <w:tab/>
            </w:r>
            <w:r w:rsidR="009037A2">
              <w:rPr>
                <w:webHidden/>
              </w:rPr>
              <w:fldChar w:fldCharType="begin"/>
            </w:r>
            <w:r w:rsidR="009037A2">
              <w:rPr>
                <w:webHidden/>
              </w:rPr>
              <w:instrText xml:space="preserve"> PAGEREF _Toc419895033 \h </w:instrText>
            </w:r>
            <w:r w:rsidR="009037A2">
              <w:rPr>
                <w:webHidden/>
              </w:rPr>
            </w:r>
            <w:r w:rsidR="009037A2">
              <w:rPr>
                <w:webHidden/>
              </w:rPr>
              <w:fldChar w:fldCharType="separate"/>
            </w:r>
            <w:r w:rsidR="009037A2">
              <w:rPr>
                <w:webHidden/>
              </w:rPr>
              <w:t>42</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34" w:history="1">
            <w:r w:rsidR="009037A2" w:rsidRPr="00130D11">
              <w:rPr>
                <w:rStyle w:val="Hyperlink"/>
              </w:rPr>
              <w:t>4.1</w:t>
            </w:r>
            <w:r w:rsidR="009037A2">
              <w:rPr>
                <w:rFonts w:asciiTheme="minorHAnsi" w:eastAsiaTheme="minorEastAsia" w:hAnsiTheme="minorHAnsi"/>
                <w:b w:val="0"/>
                <w:color w:val="auto"/>
                <w:sz w:val="22"/>
                <w:lang w:eastAsia="en-AU"/>
              </w:rPr>
              <w:tab/>
            </w:r>
            <w:r w:rsidR="009037A2" w:rsidRPr="00130D11">
              <w:rPr>
                <w:rStyle w:val="Hyperlink"/>
              </w:rPr>
              <w:t>Demand</w:t>
            </w:r>
            <w:r w:rsidR="009037A2">
              <w:rPr>
                <w:webHidden/>
              </w:rPr>
              <w:tab/>
            </w:r>
            <w:r w:rsidR="009037A2">
              <w:rPr>
                <w:webHidden/>
              </w:rPr>
              <w:fldChar w:fldCharType="begin"/>
            </w:r>
            <w:r w:rsidR="009037A2">
              <w:rPr>
                <w:webHidden/>
              </w:rPr>
              <w:instrText xml:space="preserve"> PAGEREF _Toc419895034 \h </w:instrText>
            </w:r>
            <w:r w:rsidR="009037A2">
              <w:rPr>
                <w:webHidden/>
              </w:rPr>
            </w:r>
            <w:r w:rsidR="009037A2">
              <w:rPr>
                <w:webHidden/>
              </w:rPr>
              <w:fldChar w:fldCharType="separate"/>
            </w:r>
            <w:r w:rsidR="009037A2">
              <w:rPr>
                <w:webHidden/>
              </w:rPr>
              <w:t>42</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35" w:history="1">
            <w:r w:rsidR="009037A2" w:rsidRPr="00130D11">
              <w:rPr>
                <w:rStyle w:val="Hyperlink"/>
              </w:rPr>
              <w:t>4.2</w:t>
            </w:r>
            <w:r w:rsidR="009037A2">
              <w:rPr>
                <w:rFonts w:asciiTheme="minorHAnsi" w:eastAsiaTheme="minorEastAsia" w:hAnsiTheme="minorHAnsi"/>
                <w:b w:val="0"/>
                <w:color w:val="auto"/>
                <w:sz w:val="22"/>
                <w:lang w:eastAsia="en-AU"/>
              </w:rPr>
              <w:tab/>
            </w:r>
            <w:r w:rsidR="009037A2" w:rsidRPr="00130D11">
              <w:rPr>
                <w:rStyle w:val="Hyperlink"/>
              </w:rPr>
              <w:t>Efficiency carryover mechanism</w:t>
            </w:r>
            <w:r w:rsidR="009037A2">
              <w:rPr>
                <w:webHidden/>
              </w:rPr>
              <w:tab/>
            </w:r>
            <w:r w:rsidR="009037A2">
              <w:rPr>
                <w:webHidden/>
              </w:rPr>
              <w:fldChar w:fldCharType="begin"/>
            </w:r>
            <w:r w:rsidR="009037A2">
              <w:rPr>
                <w:webHidden/>
              </w:rPr>
              <w:instrText xml:space="preserve"> PAGEREF _Toc419895035 \h </w:instrText>
            </w:r>
            <w:r w:rsidR="009037A2">
              <w:rPr>
                <w:webHidden/>
              </w:rPr>
            </w:r>
            <w:r w:rsidR="009037A2">
              <w:rPr>
                <w:webHidden/>
              </w:rPr>
              <w:fldChar w:fldCharType="separate"/>
            </w:r>
            <w:r w:rsidR="009037A2">
              <w:rPr>
                <w:webHidden/>
              </w:rPr>
              <w:t>42</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36" w:history="1">
            <w:r w:rsidR="009037A2" w:rsidRPr="00130D11">
              <w:rPr>
                <w:rStyle w:val="Hyperlink"/>
              </w:rPr>
              <w:t>4.3</w:t>
            </w:r>
            <w:r w:rsidR="009037A2">
              <w:rPr>
                <w:rFonts w:asciiTheme="minorHAnsi" w:eastAsiaTheme="minorEastAsia" w:hAnsiTheme="minorHAnsi"/>
                <w:b w:val="0"/>
                <w:color w:val="auto"/>
                <w:sz w:val="22"/>
                <w:lang w:eastAsia="en-AU"/>
              </w:rPr>
              <w:tab/>
            </w:r>
            <w:r w:rsidR="009037A2" w:rsidRPr="00130D11">
              <w:rPr>
                <w:rStyle w:val="Hyperlink"/>
              </w:rPr>
              <w:t>Services covered by the access arrangement</w:t>
            </w:r>
            <w:r w:rsidR="009037A2">
              <w:rPr>
                <w:webHidden/>
              </w:rPr>
              <w:tab/>
            </w:r>
            <w:r w:rsidR="009037A2">
              <w:rPr>
                <w:webHidden/>
              </w:rPr>
              <w:fldChar w:fldCharType="begin"/>
            </w:r>
            <w:r w:rsidR="009037A2">
              <w:rPr>
                <w:webHidden/>
              </w:rPr>
              <w:instrText xml:space="preserve"> PAGEREF _Toc419895036 \h </w:instrText>
            </w:r>
            <w:r w:rsidR="009037A2">
              <w:rPr>
                <w:webHidden/>
              </w:rPr>
            </w:r>
            <w:r w:rsidR="009037A2">
              <w:rPr>
                <w:webHidden/>
              </w:rPr>
              <w:fldChar w:fldCharType="separate"/>
            </w:r>
            <w:r w:rsidR="009037A2">
              <w:rPr>
                <w:webHidden/>
              </w:rPr>
              <w:t>43</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37" w:history="1">
            <w:r w:rsidR="009037A2" w:rsidRPr="00130D11">
              <w:rPr>
                <w:rStyle w:val="Hyperlink"/>
              </w:rPr>
              <w:t>4.4</w:t>
            </w:r>
            <w:r w:rsidR="009037A2">
              <w:rPr>
                <w:rFonts w:asciiTheme="minorHAnsi" w:eastAsiaTheme="minorEastAsia" w:hAnsiTheme="minorHAnsi"/>
                <w:b w:val="0"/>
                <w:color w:val="auto"/>
                <w:sz w:val="22"/>
                <w:lang w:eastAsia="en-AU"/>
              </w:rPr>
              <w:tab/>
            </w:r>
            <w:r w:rsidR="009037A2" w:rsidRPr="00130D11">
              <w:rPr>
                <w:rStyle w:val="Hyperlink"/>
              </w:rPr>
              <w:t>Reference tariff setting</w:t>
            </w:r>
            <w:r w:rsidR="009037A2">
              <w:rPr>
                <w:webHidden/>
              </w:rPr>
              <w:tab/>
            </w:r>
            <w:r w:rsidR="009037A2">
              <w:rPr>
                <w:webHidden/>
              </w:rPr>
              <w:fldChar w:fldCharType="begin"/>
            </w:r>
            <w:r w:rsidR="009037A2">
              <w:rPr>
                <w:webHidden/>
              </w:rPr>
              <w:instrText xml:space="preserve"> PAGEREF _Toc419895037 \h </w:instrText>
            </w:r>
            <w:r w:rsidR="009037A2">
              <w:rPr>
                <w:webHidden/>
              </w:rPr>
            </w:r>
            <w:r w:rsidR="009037A2">
              <w:rPr>
                <w:webHidden/>
              </w:rPr>
              <w:fldChar w:fldCharType="separate"/>
            </w:r>
            <w:r w:rsidR="009037A2">
              <w:rPr>
                <w:webHidden/>
              </w:rPr>
              <w:t>43</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38" w:history="1">
            <w:r w:rsidR="009037A2" w:rsidRPr="00130D11">
              <w:rPr>
                <w:rStyle w:val="Hyperlink"/>
              </w:rPr>
              <w:t>4.5</w:t>
            </w:r>
            <w:r w:rsidR="009037A2">
              <w:rPr>
                <w:rFonts w:asciiTheme="minorHAnsi" w:eastAsiaTheme="minorEastAsia" w:hAnsiTheme="minorHAnsi"/>
                <w:b w:val="0"/>
                <w:color w:val="auto"/>
                <w:sz w:val="22"/>
                <w:lang w:eastAsia="en-AU"/>
              </w:rPr>
              <w:tab/>
            </w:r>
            <w:r w:rsidR="009037A2" w:rsidRPr="00130D11">
              <w:rPr>
                <w:rStyle w:val="Hyperlink"/>
              </w:rPr>
              <w:t>Reference tariff variation mechanism</w:t>
            </w:r>
            <w:r w:rsidR="009037A2">
              <w:rPr>
                <w:webHidden/>
              </w:rPr>
              <w:tab/>
            </w:r>
            <w:r w:rsidR="009037A2">
              <w:rPr>
                <w:webHidden/>
              </w:rPr>
              <w:fldChar w:fldCharType="begin"/>
            </w:r>
            <w:r w:rsidR="009037A2">
              <w:rPr>
                <w:webHidden/>
              </w:rPr>
              <w:instrText xml:space="preserve"> PAGEREF _Toc419895038 \h </w:instrText>
            </w:r>
            <w:r w:rsidR="009037A2">
              <w:rPr>
                <w:webHidden/>
              </w:rPr>
            </w:r>
            <w:r w:rsidR="009037A2">
              <w:rPr>
                <w:webHidden/>
              </w:rPr>
              <w:fldChar w:fldCharType="separate"/>
            </w:r>
            <w:r w:rsidR="009037A2">
              <w:rPr>
                <w:webHidden/>
              </w:rPr>
              <w:t>43</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39" w:history="1">
            <w:r w:rsidR="009037A2" w:rsidRPr="00130D11">
              <w:rPr>
                <w:rStyle w:val="Hyperlink"/>
                <w:rFonts w:cs="Times New Roman"/>
              </w:rPr>
              <w:t>4.6</w:t>
            </w:r>
            <w:r w:rsidR="009037A2">
              <w:rPr>
                <w:rFonts w:asciiTheme="minorHAnsi" w:eastAsiaTheme="minorEastAsia" w:hAnsiTheme="minorHAnsi"/>
                <w:b w:val="0"/>
                <w:color w:val="auto"/>
                <w:sz w:val="22"/>
                <w:lang w:eastAsia="en-AU"/>
              </w:rPr>
              <w:tab/>
            </w:r>
            <w:r w:rsidR="009037A2" w:rsidRPr="00130D11">
              <w:rPr>
                <w:rStyle w:val="Hyperlink"/>
              </w:rPr>
              <w:t>Non-tariff components</w:t>
            </w:r>
            <w:r w:rsidR="009037A2">
              <w:rPr>
                <w:webHidden/>
              </w:rPr>
              <w:tab/>
            </w:r>
            <w:r w:rsidR="009037A2">
              <w:rPr>
                <w:webHidden/>
              </w:rPr>
              <w:fldChar w:fldCharType="begin"/>
            </w:r>
            <w:r w:rsidR="009037A2">
              <w:rPr>
                <w:webHidden/>
              </w:rPr>
              <w:instrText xml:space="preserve"> PAGEREF _Toc419895039 \h </w:instrText>
            </w:r>
            <w:r w:rsidR="009037A2">
              <w:rPr>
                <w:webHidden/>
              </w:rPr>
            </w:r>
            <w:r w:rsidR="009037A2">
              <w:rPr>
                <w:webHidden/>
              </w:rPr>
              <w:fldChar w:fldCharType="separate"/>
            </w:r>
            <w:r w:rsidR="009037A2">
              <w:rPr>
                <w:webHidden/>
              </w:rPr>
              <w:t>44</w:t>
            </w:r>
            <w:r w:rsidR="009037A2">
              <w:rPr>
                <w:webHidden/>
              </w:rPr>
              <w:fldChar w:fldCharType="end"/>
            </w:r>
          </w:hyperlink>
        </w:p>
        <w:p w:rsidR="009037A2" w:rsidRDefault="004F2AA2">
          <w:pPr>
            <w:pStyle w:val="TOC1"/>
            <w:rPr>
              <w:rFonts w:asciiTheme="minorHAnsi" w:eastAsiaTheme="minorEastAsia" w:hAnsiTheme="minorHAnsi"/>
              <w:b w:val="0"/>
              <w:color w:val="auto"/>
              <w:sz w:val="22"/>
              <w:lang w:val="en-AU" w:eastAsia="en-AU"/>
            </w:rPr>
          </w:pPr>
          <w:hyperlink w:anchor="_Toc419895040" w:history="1">
            <w:r w:rsidR="009037A2" w:rsidRPr="00130D11">
              <w:rPr>
                <w:rStyle w:val="Hyperlink"/>
              </w:rPr>
              <w:t>5</w:t>
            </w:r>
            <w:r w:rsidR="009037A2">
              <w:rPr>
                <w:rFonts w:asciiTheme="minorHAnsi" w:eastAsiaTheme="minorEastAsia" w:hAnsiTheme="minorHAnsi"/>
                <w:b w:val="0"/>
                <w:color w:val="auto"/>
                <w:sz w:val="22"/>
                <w:lang w:val="en-AU" w:eastAsia="en-AU"/>
              </w:rPr>
              <w:tab/>
            </w:r>
            <w:r w:rsidR="009037A2" w:rsidRPr="00130D11">
              <w:rPr>
                <w:rStyle w:val="Hyperlink"/>
              </w:rPr>
              <w:t>Regulatory framework</w:t>
            </w:r>
            <w:r w:rsidR="009037A2">
              <w:rPr>
                <w:webHidden/>
              </w:rPr>
              <w:tab/>
            </w:r>
            <w:r w:rsidR="009037A2">
              <w:rPr>
                <w:webHidden/>
              </w:rPr>
              <w:fldChar w:fldCharType="begin"/>
            </w:r>
            <w:r w:rsidR="009037A2">
              <w:rPr>
                <w:webHidden/>
              </w:rPr>
              <w:instrText xml:space="preserve"> PAGEREF _Toc419895040 \h </w:instrText>
            </w:r>
            <w:r w:rsidR="009037A2">
              <w:rPr>
                <w:webHidden/>
              </w:rPr>
            </w:r>
            <w:r w:rsidR="009037A2">
              <w:rPr>
                <w:webHidden/>
              </w:rPr>
              <w:fldChar w:fldCharType="separate"/>
            </w:r>
            <w:r w:rsidR="009037A2">
              <w:rPr>
                <w:webHidden/>
              </w:rPr>
              <w:t>45</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41" w:history="1">
            <w:r w:rsidR="009037A2" w:rsidRPr="00130D11">
              <w:rPr>
                <w:rStyle w:val="Hyperlink"/>
              </w:rPr>
              <w:t>5.1</w:t>
            </w:r>
            <w:r w:rsidR="009037A2">
              <w:rPr>
                <w:rFonts w:asciiTheme="minorHAnsi" w:eastAsiaTheme="minorEastAsia" w:hAnsiTheme="minorHAnsi"/>
                <w:b w:val="0"/>
                <w:color w:val="auto"/>
                <w:sz w:val="22"/>
                <w:lang w:eastAsia="en-AU"/>
              </w:rPr>
              <w:tab/>
            </w:r>
            <w:r w:rsidR="009037A2" w:rsidRPr="00130D11">
              <w:rPr>
                <w:rStyle w:val="Hyperlink"/>
              </w:rPr>
              <w:t>Understanding the NGO</w:t>
            </w:r>
            <w:r w:rsidR="009037A2">
              <w:rPr>
                <w:webHidden/>
              </w:rPr>
              <w:tab/>
            </w:r>
            <w:r w:rsidR="009037A2">
              <w:rPr>
                <w:webHidden/>
              </w:rPr>
              <w:fldChar w:fldCharType="begin"/>
            </w:r>
            <w:r w:rsidR="009037A2">
              <w:rPr>
                <w:webHidden/>
              </w:rPr>
              <w:instrText xml:space="preserve"> PAGEREF _Toc419895041 \h </w:instrText>
            </w:r>
            <w:r w:rsidR="009037A2">
              <w:rPr>
                <w:webHidden/>
              </w:rPr>
            </w:r>
            <w:r w:rsidR="009037A2">
              <w:rPr>
                <w:webHidden/>
              </w:rPr>
              <w:fldChar w:fldCharType="separate"/>
            </w:r>
            <w:r w:rsidR="009037A2">
              <w:rPr>
                <w:webHidden/>
              </w:rPr>
              <w:t>46</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42" w:history="1">
            <w:r w:rsidR="009037A2" w:rsidRPr="00130D11">
              <w:rPr>
                <w:rStyle w:val="Hyperlink"/>
              </w:rPr>
              <w:t>5.2</w:t>
            </w:r>
            <w:r w:rsidR="009037A2">
              <w:rPr>
                <w:rFonts w:asciiTheme="minorHAnsi" w:eastAsiaTheme="minorEastAsia" w:hAnsiTheme="minorHAnsi"/>
                <w:b w:val="0"/>
                <w:color w:val="auto"/>
                <w:sz w:val="22"/>
                <w:lang w:eastAsia="en-AU"/>
              </w:rPr>
              <w:tab/>
            </w:r>
            <w:r w:rsidR="009037A2" w:rsidRPr="00130D11">
              <w:rPr>
                <w:rStyle w:val="Hyperlink"/>
              </w:rPr>
              <w:t>The 2012 framework changes</w:t>
            </w:r>
            <w:r w:rsidR="009037A2">
              <w:rPr>
                <w:webHidden/>
              </w:rPr>
              <w:tab/>
            </w:r>
            <w:r w:rsidR="009037A2">
              <w:rPr>
                <w:webHidden/>
              </w:rPr>
              <w:fldChar w:fldCharType="begin"/>
            </w:r>
            <w:r w:rsidR="009037A2">
              <w:rPr>
                <w:webHidden/>
              </w:rPr>
              <w:instrText xml:space="preserve"> PAGEREF _Toc419895042 \h </w:instrText>
            </w:r>
            <w:r w:rsidR="009037A2">
              <w:rPr>
                <w:webHidden/>
              </w:rPr>
            </w:r>
            <w:r w:rsidR="009037A2">
              <w:rPr>
                <w:webHidden/>
              </w:rPr>
              <w:fldChar w:fldCharType="separate"/>
            </w:r>
            <w:r w:rsidR="009037A2">
              <w:rPr>
                <w:webHidden/>
              </w:rPr>
              <w:t>48</w:t>
            </w:r>
            <w:r w:rsidR="009037A2">
              <w:rPr>
                <w:webHidden/>
              </w:rPr>
              <w:fldChar w:fldCharType="end"/>
            </w:r>
          </w:hyperlink>
        </w:p>
        <w:p w:rsidR="009037A2" w:rsidRDefault="004F2AA2">
          <w:pPr>
            <w:pStyle w:val="TOC3"/>
            <w:rPr>
              <w:rFonts w:asciiTheme="minorHAnsi" w:eastAsiaTheme="minorEastAsia" w:hAnsiTheme="minorHAnsi"/>
              <w:lang w:eastAsia="en-AU"/>
            </w:rPr>
          </w:pPr>
          <w:hyperlink w:anchor="_Toc419895043" w:history="1">
            <w:r w:rsidR="009037A2" w:rsidRPr="00130D11">
              <w:rPr>
                <w:rStyle w:val="Hyperlink"/>
              </w:rPr>
              <w:t>5.2.1</w:t>
            </w:r>
            <w:r w:rsidR="009037A2">
              <w:rPr>
                <w:rFonts w:asciiTheme="minorHAnsi" w:eastAsiaTheme="minorEastAsia" w:hAnsiTheme="minorHAnsi"/>
                <w:lang w:eastAsia="en-AU"/>
              </w:rPr>
              <w:tab/>
            </w:r>
            <w:r w:rsidR="009037A2" w:rsidRPr="00130D11">
              <w:rPr>
                <w:rStyle w:val="Hyperlink"/>
              </w:rPr>
              <w:t>Interrelationships</w:t>
            </w:r>
            <w:r w:rsidR="009037A2">
              <w:rPr>
                <w:webHidden/>
              </w:rPr>
              <w:tab/>
            </w:r>
            <w:r w:rsidR="009037A2">
              <w:rPr>
                <w:webHidden/>
              </w:rPr>
              <w:fldChar w:fldCharType="begin"/>
            </w:r>
            <w:r w:rsidR="009037A2">
              <w:rPr>
                <w:webHidden/>
              </w:rPr>
              <w:instrText xml:space="preserve"> PAGEREF _Toc419895043 \h </w:instrText>
            </w:r>
            <w:r w:rsidR="009037A2">
              <w:rPr>
                <w:webHidden/>
              </w:rPr>
            </w:r>
            <w:r w:rsidR="009037A2">
              <w:rPr>
                <w:webHidden/>
              </w:rPr>
              <w:fldChar w:fldCharType="separate"/>
            </w:r>
            <w:r w:rsidR="009037A2">
              <w:rPr>
                <w:webHidden/>
              </w:rPr>
              <w:t>49</w:t>
            </w:r>
            <w:r w:rsidR="009037A2">
              <w:rPr>
                <w:webHidden/>
              </w:rPr>
              <w:fldChar w:fldCharType="end"/>
            </w:r>
          </w:hyperlink>
        </w:p>
        <w:p w:rsidR="009037A2" w:rsidRDefault="004F2AA2">
          <w:pPr>
            <w:pStyle w:val="TOC1"/>
            <w:rPr>
              <w:rFonts w:asciiTheme="minorHAnsi" w:eastAsiaTheme="minorEastAsia" w:hAnsiTheme="minorHAnsi"/>
              <w:b w:val="0"/>
              <w:color w:val="auto"/>
              <w:sz w:val="22"/>
              <w:lang w:val="en-AU" w:eastAsia="en-AU"/>
            </w:rPr>
          </w:pPr>
          <w:hyperlink w:anchor="_Toc419895044" w:history="1">
            <w:r w:rsidR="009037A2" w:rsidRPr="00130D11">
              <w:rPr>
                <w:rStyle w:val="Hyperlink"/>
              </w:rPr>
              <w:t>6</w:t>
            </w:r>
            <w:r w:rsidR="009037A2">
              <w:rPr>
                <w:rFonts w:asciiTheme="minorHAnsi" w:eastAsiaTheme="minorEastAsia" w:hAnsiTheme="minorHAnsi"/>
                <w:b w:val="0"/>
                <w:color w:val="auto"/>
                <w:sz w:val="22"/>
                <w:lang w:val="en-AU" w:eastAsia="en-AU"/>
              </w:rPr>
              <w:tab/>
            </w:r>
            <w:r w:rsidR="009037A2" w:rsidRPr="00130D11">
              <w:rPr>
                <w:rStyle w:val="Hyperlink"/>
              </w:rPr>
              <w:t>Process</w:t>
            </w:r>
            <w:r w:rsidR="009037A2">
              <w:rPr>
                <w:webHidden/>
              </w:rPr>
              <w:tab/>
            </w:r>
            <w:r w:rsidR="009037A2">
              <w:rPr>
                <w:webHidden/>
              </w:rPr>
              <w:fldChar w:fldCharType="begin"/>
            </w:r>
            <w:r w:rsidR="009037A2">
              <w:rPr>
                <w:webHidden/>
              </w:rPr>
              <w:instrText xml:space="preserve"> PAGEREF _Toc419895044 \h </w:instrText>
            </w:r>
            <w:r w:rsidR="009037A2">
              <w:rPr>
                <w:webHidden/>
              </w:rPr>
            </w:r>
            <w:r w:rsidR="009037A2">
              <w:rPr>
                <w:webHidden/>
              </w:rPr>
              <w:fldChar w:fldCharType="separate"/>
            </w:r>
            <w:r w:rsidR="009037A2">
              <w:rPr>
                <w:webHidden/>
              </w:rPr>
              <w:t>51</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45" w:history="1">
            <w:r w:rsidR="009037A2" w:rsidRPr="00130D11">
              <w:rPr>
                <w:rStyle w:val="Hyperlink"/>
              </w:rPr>
              <w:t>6.1</w:t>
            </w:r>
            <w:r w:rsidR="009037A2">
              <w:rPr>
                <w:rFonts w:asciiTheme="minorHAnsi" w:eastAsiaTheme="minorEastAsia" w:hAnsiTheme="minorHAnsi"/>
                <w:b w:val="0"/>
                <w:color w:val="auto"/>
                <w:sz w:val="22"/>
                <w:lang w:eastAsia="en-AU"/>
              </w:rPr>
              <w:tab/>
            </w:r>
            <w:r w:rsidR="009037A2" w:rsidRPr="00130D11">
              <w:rPr>
                <w:rStyle w:val="Hyperlink"/>
              </w:rPr>
              <w:t>Better Regulation program</w:t>
            </w:r>
            <w:r w:rsidR="009037A2">
              <w:rPr>
                <w:webHidden/>
              </w:rPr>
              <w:tab/>
            </w:r>
            <w:r w:rsidR="009037A2">
              <w:rPr>
                <w:webHidden/>
              </w:rPr>
              <w:fldChar w:fldCharType="begin"/>
            </w:r>
            <w:r w:rsidR="009037A2">
              <w:rPr>
                <w:webHidden/>
              </w:rPr>
              <w:instrText xml:space="preserve"> PAGEREF _Toc419895045 \h </w:instrText>
            </w:r>
            <w:r w:rsidR="009037A2">
              <w:rPr>
                <w:webHidden/>
              </w:rPr>
            </w:r>
            <w:r w:rsidR="009037A2">
              <w:rPr>
                <w:webHidden/>
              </w:rPr>
              <w:fldChar w:fldCharType="separate"/>
            </w:r>
            <w:r w:rsidR="009037A2">
              <w:rPr>
                <w:webHidden/>
              </w:rPr>
              <w:t>51</w:t>
            </w:r>
            <w:r w:rsidR="009037A2">
              <w:rPr>
                <w:webHidden/>
              </w:rPr>
              <w:fldChar w:fldCharType="end"/>
            </w:r>
          </w:hyperlink>
        </w:p>
        <w:p w:rsidR="009037A2" w:rsidRDefault="004F2AA2">
          <w:pPr>
            <w:pStyle w:val="TOC2"/>
            <w:rPr>
              <w:rFonts w:asciiTheme="minorHAnsi" w:eastAsiaTheme="minorEastAsia" w:hAnsiTheme="minorHAnsi"/>
              <w:b w:val="0"/>
              <w:color w:val="auto"/>
              <w:sz w:val="22"/>
              <w:lang w:eastAsia="en-AU"/>
            </w:rPr>
          </w:pPr>
          <w:hyperlink w:anchor="_Toc419895046" w:history="1">
            <w:r w:rsidR="009037A2" w:rsidRPr="00130D11">
              <w:rPr>
                <w:rStyle w:val="Hyperlink"/>
              </w:rPr>
              <w:t>6.2</w:t>
            </w:r>
            <w:r w:rsidR="009037A2">
              <w:rPr>
                <w:rFonts w:asciiTheme="minorHAnsi" w:eastAsiaTheme="minorEastAsia" w:hAnsiTheme="minorHAnsi"/>
                <w:b w:val="0"/>
                <w:color w:val="auto"/>
                <w:sz w:val="22"/>
                <w:lang w:eastAsia="en-AU"/>
              </w:rPr>
              <w:tab/>
            </w:r>
            <w:r w:rsidR="009037A2" w:rsidRPr="00130D11">
              <w:rPr>
                <w:rStyle w:val="Hyperlink"/>
              </w:rPr>
              <w:t>Our engagement during the decision making process</w:t>
            </w:r>
            <w:r w:rsidR="009037A2">
              <w:rPr>
                <w:webHidden/>
              </w:rPr>
              <w:tab/>
            </w:r>
            <w:r w:rsidR="009037A2">
              <w:rPr>
                <w:webHidden/>
              </w:rPr>
              <w:fldChar w:fldCharType="begin"/>
            </w:r>
            <w:r w:rsidR="009037A2">
              <w:rPr>
                <w:webHidden/>
              </w:rPr>
              <w:instrText xml:space="preserve"> PAGEREF _Toc419895046 \h </w:instrText>
            </w:r>
            <w:r w:rsidR="009037A2">
              <w:rPr>
                <w:webHidden/>
              </w:rPr>
            </w:r>
            <w:r w:rsidR="009037A2">
              <w:rPr>
                <w:webHidden/>
              </w:rPr>
              <w:fldChar w:fldCharType="separate"/>
            </w:r>
            <w:r w:rsidR="009037A2">
              <w:rPr>
                <w:webHidden/>
              </w:rPr>
              <w:t>52</w:t>
            </w:r>
            <w:r w:rsidR="009037A2">
              <w:rPr>
                <w:webHidden/>
              </w:rPr>
              <w:fldChar w:fldCharType="end"/>
            </w:r>
          </w:hyperlink>
        </w:p>
        <w:p w:rsidR="009037A2" w:rsidRDefault="004F2AA2">
          <w:pPr>
            <w:pStyle w:val="TOC1"/>
            <w:rPr>
              <w:rFonts w:asciiTheme="minorHAnsi" w:eastAsiaTheme="minorEastAsia" w:hAnsiTheme="minorHAnsi"/>
              <w:b w:val="0"/>
              <w:color w:val="auto"/>
              <w:sz w:val="22"/>
              <w:lang w:val="en-AU" w:eastAsia="en-AU"/>
            </w:rPr>
          </w:pPr>
          <w:hyperlink w:anchor="_Toc419895047" w:history="1">
            <w:r w:rsidR="009037A2" w:rsidRPr="00130D11">
              <w:rPr>
                <w:rStyle w:val="Hyperlink"/>
              </w:rPr>
              <w:t>A</w:t>
            </w:r>
            <w:r w:rsidR="009037A2">
              <w:rPr>
                <w:rFonts w:asciiTheme="minorHAnsi" w:eastAsiaTheme="minorEastAsia" w:hAnsiTheme="minorHAnsi"/>
                <w:b w:val="0"/>
                <w:color w:val="auto"/>
                <w:sz w:val="22"/>
                <w:lang w:val="en-AU" w:eastAsia="en-AU"/>
              </w:rPr>
              <w:tab/>
            </w:r>
            <w:r w:rsidR="009037A2" w:rsidRPr="00130D11">
              <w:rPr>
                <w:rStyle w:val="Hyperlink"/>
              </w:rPr>
              <w:t>List of submissions</w:t>
            </w:r>
            <w:r w:rsidR="009037A2">
              <w:rPr>
                <w:webHidden/>
              </w:rPr>
              <w:tab/>
            </w:r>
            <w:r w:rsidR="009037A2">
              <w:rPr>
                <w:webHidden/>
              </w:rPr>
              <w:fldChar w:fldCharType="begin"/>
            </w:r>
            <w:r w:rsidR="009037A2">
              <w:rPr>
                <w:webHidden/>
              </w:rPr>
              <w:instrText xml:space="preserve"> PAGEREF _Toc419895047 \h </w:instrText>
            </w:r>
            <w:r w:rsidR="009037A2">
              <w:rPr>
                <w:webHidden/>
              </w:rPr>
            </w:r>
            <w:r w:rsidR="009037A2">
              <w:rPr>
                <w:webHidden/>
              </w:rPr>
              <w:fldChar w:fldCharType="separate"/>
            </w:r>
            <w:r w:rsidR="009037A2">
              <w:rPr>
                <w:webHidden/>
              </w:rPr>
              <w:t>53</w:t>
            </w:r>
            <w:r w:rsidR="009037A2">
              <w:rPr>
                <w:webHidden/>
              </w:rPr>
              <w:fldChar w:fldCharType="end"/>
            </w:r>
          </w:hyperlink>
        </w:p>
        <w:p w:rsidR="00DE563D" w:rsidRDefault="00DD5364" w:rsidP="00DD5364">
          <w:pPr>
            <w:pStyle w:val="TOC1"/>
          </w:pPr>
          <w:r>
            <w:rPr>
              <w:color w:val="auto"/>
              <w:sz w:val="22"/>
            </w:rPr>
            <w:fldChar w:fldCharType="end"/>
          </w:r>
        </w:p>
      </w:sdtContent>
    </w:sdt>
    <w:p w:rsidR="00DE563D" w:rsidRDefault="00DE563D">
      <w:pPr>
        <w:spacing w:line="240" w:lineRule="auto"/>
      </w:pPr>
    </w:p>
    <w:p w:rsidR="0072575B" w:rsidRDefault="00DE563D" w:rsidP="00687754">
      <w:pPr>
        <w:pStyle w:val="UnnumberedHeading"/>
        <w:numPr>
          <w:ilvl w:val="0"/>
          <w:numId w:val="24"/>
        </w:numPr>
      </w:pPr>
      <w:bookmarkStart w:id="8" w:name="_Toc404700925"/>
      <w:bookmarkStart w:id="9" w:name="_Toc419895009"/>
      <w:r>
        <w:t>Shortened forms</w:t>
      </w:r>
      <w:bookmarkEnd w:id="8"/>
      <w:bookmarkEnd w:id="9"/>
    </w:p>
    <w:tbl>
      <w:tblPr>
        <w:tblStyle w:val="AERtable-text0"/>
        <w:tblW w:w="0" w:type="auto"/>
        <w:tblLook w:val="04A0" w:firstRow="1" w:lastRow="0" w:firstColumn="1" w:lastColumn="0" w:noHBand="0" w:noVBand="1"/>
      </w:tblPr>
      <w:tblGrid>
        <w:gridCol w:w="3652"/>
        <w:gridCol w:w="5041"/>
      </w:tblGrid>
      <w:tr w:rsidR="00687754" w:rsidTr="00011C37">
        <w:trPr>
          <w:cnfStyle w:val="100000000000" w:firstRow="1" w:lastRow="0" w:firstColumn="0" w:lastColumn="0" w:oddVBand="0" w:evenVBand="0" w:oddHBand="0" w:evenHBand="0" w:firstRowFirstColumn="0" w:firstRowLastColumn="0" w:lastRowFirstColumn="0" w:lastRowLastColumn="0"/>
        </w:trPr>
        <w:tc>
          <w:tcPr>
            <w:tcW w:w="3652" w:type="dxa"/>
          </w:tcPr>
          <w:p w:rsidR="00687754" w:rsidRDefault="00687754" w:rsidP="00687754">
            <w:pPr>
              <w:numPr>
                <w:ilvl w:val="0"/>
                <w:numId w:val="25"/>
              </w:numPr>
            </w:pPr>
            <w:r>
              <w:t>Shortened form</w:t>
            </w:r>
          </w:p>
        </w:tc>
        <w:tc>
          <w:tcPr>
            <w:tcW w:w="5041" w:type="dxa"/>
          </w:tcPr>
          <w:p w:rsidR="00687754" w:rsidRDefault="00687754" w:rsidP="00687754">
            <w:pPr>
              <w:numPr>
                <w:ilvl w:val="0"/>
                <w:numId w:val="25"/>
              </w:numPr>
            </w:pPr>
            <w:r>
              <w:t>Extended form</w:t>
            </w:r>
          </w:p>
        </w:tc>
      </w:tr>
      <w:tr w:rsidR="00687754" w:rsidTr="00011C37">
        <w:tc>
          <w:tcPr>
            <w:tcW w:w="3652" w:type="dxa"/>
          </w:tcPr>
          <w:p w:rsidR="00687754" w:rsidRDefault="00687754" w:rsidP="00687754">
            <w:pPr>
              <w:numPr>
                <w:ilvl w:val="0"/>
                <w:numId w:val="25"/>
              </w:numPr>
            </w:pPr>
            <w:r>
              <w:t>AER</w:t>
            </w:r>
          </w:p>
        </w:tc>
        <w:tc>
          <w:tcPr>
            <w:tcW w:w="5041" w:type="dxa"/>
          </w:tcPr>
          <w:p w:rsidR="00687754" w:rsidRDefault="00687754" w:rsidP="00687754">
            <w:pPr>
              <w:numPr>
                <w:ilvl w:val="0"/>
                <w:numId w:val="25"/>
              </w:numPr>
            </w:pPr>
            <w:r>
              <w:t>Australian Energy Regulator</w:t>
            </w:r>
          </w:p>
        </w:tc>
      </w:tr>
      <w:tr w:rsidR="00687754" w:rsidTr="00011C37">
        <w:trPr>
          <w:cnfStyle w:val="000000010000" w:firstRow="0" w:lastRow="0" w:firstColumn="0" w:lastColumn="0" w:oddVBand="0" w:evenVBand="0" w:oddHBand="0" w:evenHBand="1" w:firstRowFirstColumn="0" w:firstRowLastColumn="0" w:lastRowFirstColumn="0" w:lastRowLastColumn="0"/>
        </w:trPr>
        <w:tc>
          <w:tcPr>
            <w:tcW w:w="3652" w:type="dxa"/>
          </w:tcPr>
          <w:p w:rsidR="00687754" w:rsidRDefault="00687754" w:rsidP="00687754">
            <w:pPr>
              <w:numPr>
                <w:ilvl w:val="0"/>
                <w:numId w:val="25"/>
              </w:numPr>
            </w:pPr>
            <w:r>
              <w:t>capex</w:t>
            </w:r>
          </w:p>
        </w:tc>
        <w:tc>
          <w:tcPr>
            <w:tcW w:w="5041" w:type="dxa"/>
          </w:tcPr>
          <w:p w:rsidR="00687754" w:rsidRDefault="00687754" w:rsidP="00687754">
            <w:pPr>
              <w:numPr>
                <w:ilvl w:val="0"/>
                <w:numId w:val="25"/>
              </w:numPr>
            </w:pPr>
            <w:r>
              <w:t>capital expenditure</w:t>
            </w:r>
          </w:p>
        </w:tc>
      </w:tr>
      <w:tr w:rsidR="00687754" w:rsidTr="00011C37">
        <w:tc>
          <w:tcPr>
            <w:tcW w:w="3652" w:type="dxa"/>
          </w:tcPr>
          <w:p w:rsidR="00687754" w:rsidRDefault="00687754" w:rsidP="00687754">
            <w:pPr>
              <w:numPr>
                <w:ilvl w:val="0"/>
                <w:numId w:val="25"/>
              </w:numPr>
            </w:pPr>
            <w:r>
              <w:t>CAPM</w:t>
            </w:r>
          </w:p>
        </w:tc>
        <w:tc>
          <w:tcPr>
            <w:tcW w:w="5041" w:type="dxa"/>
          </w:tcPr>
          <w:p w:rsidR="00687754" w:rsidRDefault="00687754" w:rsidP="00687754">
            <w:pPr>
              <w:numPr>
                <w:ilvl w:val="0"/>
                <w:numId w:val="25"/>
              </w:numPr>
            </w:pPr>
            <w:r>
              <w:t>capital asset pricing model</w:t>
            </w:r>
          </w:p>
        </w:tc>
      </w:tr>
      <w:tr w:rsidR="00687754" w:rsidTr="00011C37">
        <w:trPr>
          <w:cnfStyle w:val="000000010000" w:firstRow="0" w:lastRow="0" w:firstColumn="0" w:lastColumn="0" w:oddVBand="0" w:evenVBand="0" w:oddHBand="0" w:evenHBand="1" w:firstRowFirstColumn="0" w:firstRowLastColumn="0" w:lastRowFirstColumn="0" w:lastRowLastColumn="0"/>
        </w:trPr>
        <w:tc>
          <w:tcPr>
            <w:tcW w:w="3652" w:type="dxa"/>
          </w:tcPr>
          <w:p w:rsidR="00687754" w:rsidRDefault="00687754" w:rsidP="00687754">
            <w:pPr>
              <w:numPr>
                <w:ilvl w:val="0"/>
                <w:numId w:val="25"/>
              </w:numPr>
            </w:pPr>
            <w:r>
              <w:t>CCP</w:t>
            </w:r>
          </w:p>
        </w:tc>
        <w:tc>
          <w:tcPr>
            <w:tcW w:w="5041" w:type="dxa"/>
          </w:tcPr>
          <w:p w:rsidR="00687754" w:rsidRDefault="00687754" w:rsidP="00687754">
            <w:pPr>
              <w:numPr>
                <w:ilvl w:val="0"/>
                <w:numId w:val="25"/>
              </w:numPr>
            </w:pPr>
            <w:r>
              <w:t>Consumer Challenge Panel</w:t>
            </w:r>
          </w:p>
        </w:tc>
      </w:tr>
      <w:tr w:rsidR="00687754" w:rsidTr="00011C37">
        <w:tc>
          <w:tcPr>
            <w:tcW w:w="3652" w:type="dxa"/>
          </w:tcPr>
          <w:p w:rsidR="00687754" w:rsidRDefault="00687754" w:rsidP="00687754">
            <w:pPr>
              <w:numPr>
                <w:ilvl w:val="0"/>
                <w:numId w:val="25"/>
              </w:numPr>
            </w:pPr>
            <w:r>
              <w:t>Code</w:t>
            </w:r>
          </w:p>
        </w:tc>
        <w:tc>
          <w:tcPr>
            <w:tcW w:w="5041" w:type="dxa"/>
          </w:tcPr>
          <w:p w:rsidR="00687754" w:rsidRDefault="00687754" w:rsidP="00687754">
            <w:pPr>
              <w:numPr>
                <w:ilvl w:val="0"/>
                <w:numId w:val="25"/>
              </w:numPr>
            </w:pPr>
            <w:r>
              <w:t>National Third Party Access Code for Natural Gas Pipeline Systems</w:t>
            </w:r>
          </w:p>
        </w:tc>
      </w:tr>
      <w:tr w:rsidR="00687754" w:rsidTr="00011C37">
        <w:trPr>
          <w:cnfStyle w:val="000000010000" w:firstRow="0" w:lastRow="0" w:firstColumn="0" w:lastColumn="0" w:oddVBand="0" w:evenVBand="0" w:oddHBand="0" w:evenHBand="1" w:firstRowFirstColumn="0" w:firstRowLastColumn="0" w:lastRowFirstColumn="0" w:lastRowLastColumn="0"/>
        </w:trPr>
        <w:tc>
          <w:tcPr>
            <w:tcW w:w="3652" w:type="dxa"/>
          </w:tcPr>
          <w:p w:rsidR="00687754" w:rsidRDefault="00687754" w:rsidP="00687754">
            <w:pPr>
              <w:numPr>
                <w:ilvl w:val="0"/>
                <w:numId w:val="25"/>
              </w:numPr>
            </w:pPr>
            <w:r>
              <w:t>CPI</w:t>
            </w:r>
          </w:p>
        </w:tc>
        <w:tc>
          <w:tcPr>
            <w:tcW w:w="5041" w:type="dxa"/>
          </w:tcPr>
          <w:p w:rsidR="00687754" w:rsidRDefault="00687754" w:rsidP="00687754">
            <w:pPr>
              <w:numPr>
                <w:ilvl w:val="0"/>
                <w:numId w:val="25"/>
              </w:numPr>
            </w:pPr>
            <w:r>
              <w:t>consumer price index</w:t>
            </w:r>
          </w:p>
        </w:tc>
      </w:tr>
      <w:tr w:rsidR="00687754" w:rsidTr="00011C37">
        <w:tc>
          <w:tcPr>
            <w:tcW w:w="3652" w:type="dxa"/>
          </w:tcPr>
          <w:p w:rsidR="00687754" w:rsidRDefault="00687754" w:rsidP="00687754">
            <w:pPr>
              <w:numPr>
                <w:ilvl w:val="0"/>
                <w:numId w:val="25"/>
              </w:numPr>
            </w:pPr>
            <w:r>
              <w:t>DRP</w:t>
            </w:r>
          </w:p>
        </w:tc>
        <w:tc>
          <w:tcPr>
            <w:tcW w:w="5041" w:type="dxa"/>
          </w:tcPr>
          <w:p w:rsidR="00687754" w:rsidRDefault="00687754" w:rsidP="00687754">
            <w:pPr>
              <w:numPr>
                <w:ilvl w:val="0"/>
                <w:numId w:val="25"/>
              </w:numPr>
            </w:pPr>
            <w:r>
              <w:t>debt risk premium</w:t>
            </w:r>
          </w:p>
        </w:tc>
      </w:tr>
      <w:tr w:rsidR="00687754" w:rsidTr="00011C37">
        <w:trPr>
          <w:cnfStyle w:val="000000010000" w:firstRow="0" w:lastRow="0" w:firstColumn="0" w:lastColumn="0" w:oddVBand="0" w:evenVBand="0" w:oddHBand="0" w:evenHBand="1" w:firstRowFirstColumn="0" w:firstRowLastColumn="0" w:lastRowFirstColumn="0" w:lastRowLastColumn="0"/>
        </w:trPr>
        <w:tc>
          <w:tcPr>
            <w:tcW w:w="3652" w:type="dxa"/>
          </w:tcPr>
          <w:p w:rsidR="00687754" w:rsidRDefault="00687754" w:rsidP="00687754">
            <w:pPr>
              <w:numPr>
                <w:ilvl w:val="0"/>
                <w:numId w:val="25"/>
              </w:numPr>
            </w:pPr>
            <w:r>
              <w:t>ERP</w:t>
            </w:r>
          </w:p>
        </w:tc>
        <w:tc>
          <w:tcPr>
            <w:tcW w:w="5041" w:type="dxa"/>
          </w:tcPr>
          <w:p w:rsidR="00687754" w:rsidRDefault="00687754" w:rsidP="00687754">
            <w:pPr>
              <w:numPr>
                <w:ilvl w:val="0"/>
                <w:numId w:val="25"/>
              </w:numPr>
            </w:pPr>
            <w:r>
              <w:t>equity risk premium</w:t>
            </w:r>
          </w:p>
        </w:tc>
      </w:tr>
      <w:tr w:rsidR="00687754" w:rsidTr="00011C37">
        <w:tc>
          <w:tcPr>
            <w:tcW w:w="3652" w:type="dxa"/>
          </w:tcPr>
          <w:p w:rsidR="00687754" w:rsidRDefault="00687754" w:rsidP="00687754">
            <w:pPr>
              <w:numPr>
                <w:ilvl w:val="0"/>
                <w:numId w:val="25"/>
              </w:numPr>
            </w:pPr>
            <w:r>
              <w:t>JGN</w:t>
            </w:r>
          </w:p>
        </w:tc>
        <w:tc>
          <w:tcPr>
            <w:tcW w:w="5041" w:type="dxa"/>
          </w:tcPr>
          <w:p w:rsidR="00687754" w:rsidRDefault="00687754" w:rsidP="00A55C47">
            <w:pPr>
              <w:numPr>
                <w:ilvl w:val="0"/>
                <w:numId w:val="25"/>
              </w:numPr>
            </w:pPr>
            <w:r>
              <w:t>Jemena Gas Networks (NSW) Ltd (A</w:t>
            </w:r>
            <w:r w:rsidR="00A55C47">
              <w:t>C</w:t>
            </w:r>
            <w:r>
              <w:t>N 003 004 322)</w:t>
            </w:r>
          </w:p>
        </w:tc>
      </w:tr>
      <w:tr w:rsidR="00687754" w:rsidTr="00011C37">
        <w:trPr>
          <w:cnfStyle w:val="000000010000" w:firstRow="0" w:lastRow="0" w:firstColumn="0" w:lastColumn="0" w:oddVBand="0" w:evenVBand="0" w:oddHBand="0" w:evenHBand="1" w:firstRowFirstColumn="0" w:firstRowLastColumn="0" w:lastRowFirstColumn="0" w:lastRowLastColumn="0"/>
        </w:trPr>
        <w:tc>
          <w:tcPr>
            <w:tcW w:w="3652" w:type="dxa"/>
          </w:tcPr>
          <w:p w:rsidR="00687754" w:rsidRDefault="00687754" w:rsidP="00687754">
            <w:pPr>
              <w:numPr>
                <w:ilvl w:val="0"/>
                <w:numId w:val="25"/>
              </w:numPr>
            </w:pPr>
            <w:r>
              <w:t>MRP</w:t>
            </w:r>
          </w:p>
        </w:tc>
        <w:tc>
          <w:tcPr>
            <w:tcW w:w="5041" w:type="dxa"/>
          </w:tcPr>
          <w:p w:rsidR="00687754" w:rsidRDefault="00687754" w:rsidP="00687754">
            <w:pPr>
              <w:numPr>
                <w:ilvl w:val="0"/>
                <w:numId w:val="25"/>
              </w:numPr>
            </w:pPr>
            <w:r>
              <w:t>market risk premium</w:t>
            </w:r>
          </w:p>
        </w:tc>
      </w:tr>
      <w:tr w:rsidR="00687754" w:rsidTr="00011C37">
        <w:tc>
          <w:tcPr>
            <w:tcW w:w="3652" w:type="dxa"/>
          </w:tcPr>
          <w:p w:rsidR="00687754" w:rsidRDefault="00687754" w:rsidP="00687754">
            <w:pPr>
              <w:numPr>
                <w:ilvl w:val="0"/>
                <w:numId w:val="25"/>
              </w:numPr>
            </w:pPr>
            <w:r>
              <w:t>NGL</w:t>
            </w:r>
          </w:p>
        </w:tc>
        <w:tc>
          <w:tcPr>
            <w:tcW w:w="5041" w:type="dxa"/>
          </w:tcPr>
          <w:p w:rsidR="00687754" w:rsidRDefault="00687754" w:rsidP="00687754">
            <w:pPr>
              <w:numPr>
                <w:ilvl w:val="0"/>
                <w:numId w:val="25"/>
              </w:numPr>
            </w:pPr>
            <w:r>
              <w:t>national gas law</w:t>
            </w:r>
          </w:p>
        </w:tc>
      </w:tr>
      <w:tr w:rsidR="00687754" w:rsidTr="00011C37">
        <w:trPr>
          <w:cnfStyle w:val="000000010000" w:firstRow="0" w:lastRow="0" w:firstColumn="0" w:lastColumn="0" w:oddVBand="0" w:evenVBand="0" w:oddHBand="0" w:evenHBand="1" w:firstRowFirstColumn="0" w:firstRowLastColumn="0" w:lastRowFirstColumn="0" w:lastRowLastColumn="0"/>
        </w:trPr>
        <w:tc>
          <w:tcPr>
            <w:tcW w:w="3652" w:type="dxa"/>
          </w:tcPr>
          <w:p w:rsidR="00687754" w:rsidRDefault="00687754" w:rsidP="00687754">
            <w:pPr>
              <w:numPr>
                <w:ilvl w:val="0"/>
                <w:numId w:val="25"/>
              </w:numPr>
            </w:pPr>
            <w:r>
              <w:t>NGO</w:t>
            </w:r>
          </w:p>
        </w:tc>
        <w:tc>
          <w:tcPr>
            <w:tcW w:w="5041" w:type="dxa"/>
          </w:tcPr>
          <w:p w:rsidR="00687754" w:rsidRDefault="00687754" w:rsidP="00687754">
            <w:pPr>
              <w:numPr>
                <w:ilvl w:val="0"/>
                <w:numId w:val="25"/>
              </w:numPr>
            </w:pPr>
            <w:r>
              <w:t>national gas objective</w:t>
            </w:r>
          </w:p>
        </w:tc>
      </w:tr>
      <w:tr w:rsidR="00687754" w:rsidTr="00011C37">
        <w:tc>
          <w:tcPr>
            <w:tcW w:w="3652" w:type="dxa"/>
          </w:tcPr>
          <w:p w:rsidR="00687754" w:rsidRDefault="00687754" w:rsidP="00687754">
            <w:pPr>
              <w:numPr>
                <w:ilvl w:val="0"/>
                <w:numId w:val="25"/>
              </w:numPr>
            </w:pPr>
            <w:r>
              <w:t>NGR</w:t>
            </w:r>
          </w:p>
        </w:tc>
        <w:tc>
          <w:tcPr>
            <w:tcW w:w="5041" w:type="dxa"/>
          </w:tcPr>
          <w:p w:rsidR="00687754" w:rsidRDefault="00687754" w:rsidP="00687754">
            <w:pPr>
              <w:numPr>
                <w:ilvl w:val="0"/>
                <w:numId w:val="25"/>
              </w:numPr>
            </w:pPr>
            <w:r>
              <w:t>national gas rules</w:t>
            </w:r>
          </w:p>
        </w:tc>
      </w:tr>
      <w:tr w:rsidR="00687754" w:rsidTr="00011C37">
        <w:trPr>
          <w:cnfStyle w:val="000000010000" w:firstRow="0" w:lastRow="0" w:firstColumn="0" w:lastColumn="0" w:oddVBand="0" w:evenVBand="0" w:oddHBand="0" w:evenHBand="1" w:firstRowFirstColumn="0" w:firstRowLastColumn="0" w:lastRowFirstColumn="0" w:lastRowLastColumn="0"/>
        </w:trPr>
        <w:tc>
          <w:tcPr>
            <w:tcW w:w="3652" w:type="dxa"/>
          </w:tcPr>
          <w:p w:rsidR="00687754" w:rsidRDefault="00687754" w:rsidP="00687754">
            <w:pPr>
              <w:numPr>
                <w:ilvl w:val="0"/>
                <w:numId w:val="25"/>
              </w:numPr>
            </w:pPr>
            <w:r>
              <w:t>opex</w:t>
            </w:r>
          </w:p>
        </w:tc>
        <w:tc>
          <w:tcPr>
            <w:tcW w:w="5041" w:type="dxa"/>
          </w:tcPr>
          <w:p w:rsidR="00687754" w:rsidRDefault="00687754" w:rsidP="00687754">
            <w:pPr>
              <w:numPr>
                <w:ilvl w:val="0"/>
                <w:numId w:val="25"/>
              </w:numPr>
            </w:pPr>
            <w:r>
              <w:t>operating expenditure</w:t>
            </w:r>
          </w:p>
        </w:tc>
      </w:tr>
      <w:tr w:rsidR="00687754" w:rsidTr="00011C37">
        <w:tc>
          <w:tcPr>
            <w:tcW w:w="3652" w:type="dxa"/>
          </w:tcPr>
          <w:p w:rsidR="00687754" w:rsidRDefault="00687754" w:rsidP="00687754">
            <w:pPr>
              <w:numPr>
                <w:ilvl w:val="0"/>
                <w:numId w:val="25"/>
              </w:numPr>
            </w:pPr>
            <w:r>
              <w:t>PPI</w:t>
            </w:r>
          </w:p>
        </w:tc>
        <w:tc>
          <w:tcPr>
            <w:tcW w:w="5041" w:type="dxa"/>
          </w:tcPr>
          <w:p w:rsidR="00687754" w:rsidRDefault="00687754" w:rsidP="00687754">
            <w:pPr>
              <w:numPr>
                <w:ilvl w:val="0"/>
                <w:numId w:val="25"/>
              </w:numPr>
            </w:pPr>
            <w:r>
              <w:t>partial performance indicators</w:t>
            </w:r>
          </w:p>
        </w:tc>
      </w:tr>
      <w:tr w:rsidR="00687754" w:rsidTr="00011C37">
        <w:trPr>
          <w:cnfStyle w:val="000000010000" w:firstRow="0" w:lastRow="0" w:firstColumn="0" w:lastColumn="0" w:oddVBand="0" w:evenVBand="0" w:oddHBand="0" w:evenHBand="1" w:firstRowFirstColumn="0" w:firstRowLastColumn="0" w:lastRowFirstColumn="0" w:lastRowLastColumn="0"/>
        </w:trPr>
        <w:tc>
          <w:tcPr>
            <w:tcW w:w="3652" w:type="dxa"/>
          </w:tcPr>
          <w:p w:rsidR="00687754" w:rsidRDefault="00687754" w:rsidP="00687754">
            <w:pPr>
              <w:numPr>
                <w:ilvl w:val="0"/>
                <w:numId w:val="25"/>
              </w:numPr>
            </w:pPr>
            <w:r>
              <w:t>PTRM</w:t>
            </w:r>
          </w:p>
        </w:tc>
        <w:tc>
          <w:tcPr>
            <w:tcW w:w="5041" w:type="dxa"/>
          </w:tcPr>
          <w:p w:rsidR="00687754" w:rsidRDefault="00687754" w:rsidP="00687754">
            <w:pPr>
              <w:numPr>
                <w:ilvl w:val="0"/>
                <w:numId w:val="25"/>
              </w:numPr>
            </w:pPr>
            <w:r>
              <w:t>post-tax revenue model</w:t>
            </w:r>
          </w:p>
        </w:tc>
      </w:tr>
      <w:tr w:rsidR="00687754" w:rsidTr="00011C37">
        <w:tc>
          <w:tcPr>
            <w:tcW w:w="3652" w:type="dxa"/>
          </w:tcPr>
          <w:p w:rsidR="00687754" w:rsidRDefault="00687754" w:rsidP="00687754">
            <w:pPr>
              <w:numPr>
                <w:ilvl w:val="0"/>
                <w:numId w:val="25"/>
              </w:numPr>
            </w:pPr>
            <w:r>
              <w:t>RAB</w:t>
            </w:r>
          </w:p>
        </w:tc>
        <w:tc>
          <w:tcPr>
            <w:tcW w:w="5041" w:type="dxa"/>
          </w:tcPr>
          <w:p w:rsidR="00687754" w:rsidRDefault="00687754" w:rsidP="00687754">
            <w:pPr>
              <w:numPr>
                <w:ilvl w:val="0"/>
                <w:numId w:val="25"/>
              </w:numPr>
            </w:pPr>
            <w:r>
              <w:t>regulatory asset base</w:t>
            </w:r>
          </w:p>
        </w:tc>
      </w:tr>
      <w:tr w:rsidR="00687754" w:rsidTr="00011C37">
        <w:trPr>
          <w:cnfStyle w:val="000000010000" w:firstRow="0" w:lastRow="0" w:firstColumn="0" w:lastColumn="0" w:oddVBand="0" w:evenVBand="0" w:oddHBand="0" w:evenHBand="1" w:firstRowFirstColumn="0" w:firstRowLastColumn="0" w:lastRowFirstColumn="0" w:lastRowLastColumn="0"/>
        </w:trPr>
        <w:tc>
          <w:tcPr>
            <w:tcW w:w="3652" w:type="dxa"/>
          </w:tcPr>
          <w:p w:rsidR="00687754" w:rsidRDefault="00687754" w:rsidP="00687754">
            <w:pPr>
              <w:numPr>
                <w:ilvl w:val="0"/>
                <w:numId w:val="25"/>
              </w:numPr>
            </w:pPr>
            <w:r>
              <w:t>RBA</w:t>
            </w:r>
          </w:p>
        </w:tc>
        <w:tc>
          <w:tcPr>
            <w:tcW w:w="5041" w:type="dxa"/>
          </w:tcPr>
          <w:p w:rsidR="00687754" w:rsidRDefault="00687754" w:rsidP="00687754">
            <w:pPr>
              <w:numPr>
                <w:ilvl w:val="0"/>
                <w:numId w:val="25"/>
              </w:numPr>
            </w:pPr>
            <w:r>
              <w:t>Reserve Bank of Australia</w:t>
            </w:r>
          </w:p>
        </w:tc>
      </w:tr>
      <w:tr w:rsidR="00687754" w:rsidTr="00011C37">
        <w:tc>
          <w:tcPr>
            <w:tcW w:w="3652" w:type="dxa"/>
          </w:tcPr>
          <w:p w:rsidR="00687754" w:rsidRDefault="00687754" w:rsidP="00687754">
            <w:pPr>
              <w:numPr>
                <w:ilvl w:val="0"/>
                <w:numId w:val="25"/>
              </w:numPr>
            </w:pPr>
            <w:r>
              <w:t>RFM</w:t>
            </w:r>
          </w:p>
        </w:tc>
        <w:tc>
          <w:tcPr>
            <w:tcW w:w="5041" w:type="dxa"/>
          </w:tcPr>
          <w:p w:rsidR="00687754" w:rsidRDefault="00687754" w:rsidP="00687754">
            <w:pPr>
              <w:numPr>
                <w:ilvl w:val="0"/>
                <w:numId w:val="25"/>
              </w:numPr>
            </w:pPr>
            <w:r>
              <w:t>roll forward model</w:t>
            </w:r>
          </w:p>
        </w:tc>
      </w:tr>
      <w:tr w:rsidR="00687754" w:rsidTr="00011C37">
        <w:trPr>
          <w:cnfStyle w:val="000000010000" w:firstRow="0" w:lastRow="0" w:firstColumn="0" w:lastColumn="0" w:oddVBand="0" w:evenVBand="0" w:oddHBand="0" w:evenHBand="1" w:firstRowFirstColumn="0" w:firstRowLastColumn="0" w:lastRowFirstColumn="0" w:lastRowLastColumn="0"/>
        </w:trPr>
        <w:tc>
          <w:tcPr>
            <w:tcW w:w="3652" w:type="dxa"/>
          </w:tcPr>
          <w:p w:rsidR="00687754" w:rsidRDefault="00687754" w:rsidP="00687754">
            <w:pPr>
              <w:numPr>
                <w:ilvl w:val="0"/>
                <w:numId w:val="25"/>
              </w:numPr>
            </w:pPr>
            <w:r>
              <w:t>RIN</w:t>
            </w:r>
          </w:p>
        </w:tc>
        <w:tc>
          <w:tcPr>
            <w:tcW w:w="5041" w:type="dxa"/>
          </w:tcPr>
          <w:p w:rsidR="00687754" w:rsidRDefault="00687754" w:rsidP="00687754">
            <w:pPr>
              <w:numPr>
                <w:ilvl w:val="0"/>
                <w:numId w:val="25"/>
              </w:numPr>
            </w:pPr>
            <w:r>
              <w:t>regulatory information notice</w:t>
            </w:r>
          </w:p>
        </w:tc>
      </w:tr>
      <w:tr w:rsidR="00687754" w:rsidTr="00011C37">
        <w:tc>
          <w:tcPr>
            <w:tcW w:w="3652" w:type="dxa"/>
          </w:tcPr>
          <w:p w:rsidR="00687754" w:rsidRDefault="00687754" w:rsidP="00687754">
            <w:pPr>
              <w:numPr>
                <w:ilvl w:val="0"/>
                <w:numId w:val="25"/>
              </w:numPr>
            </w:pPr>
            <w:r>
              <w:t>RPP</w:t>
            </w:r>
          </w:p>
        </w:tc>
        <w:tc>
          <w:tcPr>
            <w:tcW w:w="5041" w:type="dxa"/>
          </w:tcPr>
          <w:p w:rsidR="00687754" w:rsidRDefault="00687754" w:rsidP="00687754">
            <w:pPr>
              <w:numPr>
                <w:ilvl w:val="0"/>
                <w:numId w:val="25"/>
              </w:numPr>
            </w:pPr>
            <w:r>
              <w:t>revenue and pricing principles</w:t>
            </w:r>
          </w:p>
        </w:tc>
      </w:tr>
      <w:tr w:rsidR="00687754" w:rsidTr="00011C37">
        <w:trPr>
          <w:cnfStyle w:val="000000010000" w:firstRow="0" w:lastRow="0" w:firstColumn="0" w:lastColumn="0" w:oddVBand="0" w:evenVBand="0" w:oddHBand="0" w:evenHBand="1" w:firstRowFirstColumn="0" w:firstRowLastColumn="0" w:lastRowFirstColumn="0" w:lastRowLastColumn="0"/>
        </w:trPr>
        <w:tc>
          <w:tcPr>
            <w:tcW w:w="3652" w:type="dxa"/>
          </w:tcPr>
          <w:p w:rsidR="00687754" w:rsidRDefault="00687754" w:rsidP="00687754">
            <w:pPr>
              <w:numPr>
                <w:ilvl w:val="0"/>
                <w:numId w:val="25"/>
              </w:numPr>
            </w:pPr>
            <w:r>
              <w:t>SLCAPM</w:t>
            </w:r>
          </w:p>
        </w:tc>
        <w:tc>
          <w:tcPr>
            <w:tcW w:w="5041" w:type="dxa"/>
          </w:tcPr>
          <w:p w:rsidR="00687754" w:rsidRDefault="00687754" w:rsidP="00687754">
            <w:pPr>
              <w:numPr>
                <w:ilvl w:val="0"/>
                <w:numId w:val="25"/>
              </w:numPr>
            </w:pPr>
            <w:r>
              <w:t>Sharpe-Lintner capital asset pricing model</w:t>
            </w:r>
          </w:p>
        </w:tc>
      </w:tr>
      <w:tr w:rsidR="00687754" w:rsidTr="00011C37">
        <w:tc>
          <w:tcPr>
            <w:tcW w:w="3652" w:type="dxa"/>
          </w:tcPr>
          <w:p w:rsidR="00687754" w:rsidRDefault="00687754" w:rsidP="00687754">
            <w:pPr>
              <w:numPr>
                <w:ilvl w:val="0"/>
                <w:numId w:val="25"/>
              </w:numPr>
            </w:pPr>
            <w:r>
              <w:t>WACC</w:t>
            </w:r>
          </w:p>
        </w:tc>
        <w:tc>
          <w:tcPr>
            <w:tcW w:w="5041" w:type="dxa"/>
          </w:tcPr>
          <w:p w:rsidR="00687754" w:rsidRDefault="00687754" w:rsidP="00687754">
            <w:pPr>
              <w:numPr>
                <w:ilvl w:val="0"/>
                <w:numId w:val="25"/>
              </w:numPr>
            </w:pPr>
            <w:r>
              <w:t>weighted average cost of capital</w:t>
            </w:r>
          </w:p>
        </w:tc>
      </w:tr>
    </w:tbl>
    <w:p w:rsidR="00687754" w:rsidRPr="00687754" w:rsidRDefault="00687754" w:rsidP="00687754"/>
    <w:p w:rsidR="0072575B" w:rsidRPr="0072575B" w:rsidRDefault="0072575B" w:rsidP="0072575B">
      <w:r>
        <w:br w:type="page"/>
      </w:r>
    </w:p>
    <w:p w:rsidR="008E433E" w:rsidRPr="008F3A0D" w:rsidRDefault="008E433E" w:rsidP="008E433E">
      <w:pPr>
        <w:pStyle w:val="Heading1"/>
      </w:pPr>
      <w:bookmarkStart w:id="10" w:name="_Ref416285082"/>
      <w:bookmarkStart w:id="11" w:name="_Ref416341032"/>
      <w:bookmarkStart w:id="12" w:name="_Toc417993953"/>
      <w:bookmarkStart w:id="13" w:name="_Toc419895010"/>
      <w:bookmarkStart w:id="14" w:name="_Toc408404603"/>
      <w:r w:rsidRPr="008F3A0D">
        <w:t xml:space="preserve">Our </w:t>
      </w:r>
      <w:r>
        <w:t>final</w:t>
      </w:r>
      <w:r w:rsidRPr="008F3A0D">
        <w:t xml:space="preserve"> decision</w:t>
      </w:r>
      <w:bookmarkEnd w:id="10"/>
      <w:bookmarkEnd w:id="11"/>
      <w:bookmarkEnd w:id="12"/>
      <w:bookmarkEnd w:id="13"/>
    </w:p>
    <w:p w:rsidR="008E433E" w:rsidRDefault="008E433E" w:rsidP="008E433E">
      <w:r>
        <w:t xml:space="preserve">The Australian Energy Regulator (AER) is responsible for the economic regulation of </w:t>
      </w:r>
      <w:r w:rsidR="006A58DD">
        <w:t>covered gas pipelines</w:t>
      </w:r>
      <w:r>
        <w:t xml:space="preserve"> in all states and territories except Western Australia. </w:t>
      </w:r>
    </w:p>
    <w:p w:rsidR="008E433E" w:rsidRDefault="008E433E" w:rsidP="008E433E">
      <w:pPr>
        <w:numPr>
          <w:ilvl w:val="0"/>
          <w:numId w:val="25"/>
        </w:numPr>
      </w:pPr>
      <w:r w:rsidRPr="006C7462">
        <w:t xml:space="preserve">The </w:t>
      </w:r>
      <w:r>
        <w:t xml:space="preserve">National </w:t>
      </w:r>
      <w:r w:rsidR="006A58DD">
        <w:t xml:space="preserve">Gas </w:t>
      </w:r>
      <w:r>
        <w:t>Law (</w:t>
      </w:r>
      <w:r w:rsidRPr="006C7462">
        <w:t>N</w:t>
      </w:r>
      <w:r w:rsidR="006A58DD">
        <w:t>G</w:t>
      </w:r>
      <w:r w:rsidRPr="006C7462">
        <w:t>L</w:t>
      </w:r>
      <w:r>
        <w:t>)</w:t>
      </w:r>
      <w:r w:rsidRPr="006C7462">
        <w:t xml:space="preserve"> and </w:t>
      </w:r>
      <w:r>
        <w:t xml:space="preserve">National </w:t>
      </w:r>
      <w:r w:rsidR="006A58DD">
        <w:t xml:space="preserve">Gas </w:t>
      </w:r>
      <w:r>
        <w:t>Rules (</w:t>
      </w:r>
      <w:r w:rsidRPr="006C7462">
        <w:t>N</w:t>
      </w:r>
      <w:r w:rsidR="006A58DD">
        <w:t>G</w:t>
      </w:r>
      <w:r w:rsidRPr="006C7462">
        <w:t>R</w:t>
      </w:r>
      <w:r>
        <w:t>)</w:t>
      </w:r>
      <w:r w:rsidRPr="006C7462">
        <w:t xml:space="preserve"> provide the </w:t>
      </w:r>
      <w:r>
        <w:t>regulatory</w:t>
      </w:r>
      <w:r w:rsidRPr="006C7462">
        <w:t xml:space="preserve"> framework under which we operate. </w:t>
      </w:r>
      <w:r>
        <w:t xml:space="preserve">Most relevantly, they set out how we must assess </w:t>
      </w:r>
      <w:r w:rsidR="002E5F30">
        <w:t xml:space="preserve">an </w:t>
      </w:r>
      <w:r w:rsidR="006A58DD">
        <w:t>access arrangement</w:t>
      </w:r>
      <w:r>
        <w:t xml:space="preserve"> </w:t>
      </w:r>
      <w:r w:rsidR="002E5F30">
        <w:t>revision</w:t>
      </w:r>
      <w:r w:rsidR="00D52BCC">
        <w:t xml:space="preserve"> </w:t>
      </w:r>
      <w:r>
        <w:t xml:space="preserve">proposal and make our decision. </w:t>
      </w:r>
    </w:p>
    <w:p w:rsidR="008E433E" w:rsidRDefault="008E433E" w:rsidP="005C0A22">
      <w:pPr>
        <w:pStyle w:val="AERbulletlistfirststyle"/>
        <w:numPr>
          <w:ilvl w:val="0"/>
          <w:numId w:val="25"/>
        </w:numPr>
      </w:pPr>
      <w:r>
        <w:t xml:space="preserve">The National </w:t>
      </w:r>
      <w:r w:rsidR="006A58DD">
        <w:t xml:space="preserve">Gas </w:t>
      </w:r>
      <w:r>
        <w:t>Objective (N</w:t>
      </w:r>
      <w:r w:rsidR="006A58DD">
        <w:t>G</w:t>
      </w:r>
      <w:r>
        <w:t>O) sits at the centre of the N</w:t>
      </w:r>
      <w:r w:rsidR="006A58DD">
        <w:t>G</w:t>
      </w:r>
      <w:r>
        <w:t>L and N</w:t>
      </w:r>
      <w:r w:rsidR="006A58DD">
        <w:t>G</w:t>
      </w:r>
      <w:r>
        <w:t>R.</w:t>
      </w:r>
      <w:r w:rsidRPr="006C7462">
        <w:t xml:space="preserve"> The N</w:t>
      </w:r>
      <w:r w:rsidR="006A58DD">
        <w:t>G</w:t>
      </w:r>
      <w:r w:rsidRPr="006C7462">
        <w:t xml:space="preserve">O is to promote efficient investment in, and efficient operation and use of, </w:t>
      </w:r>
      <w:r w:rsidR="00C5352F">
        <w:t xml:space="preserve">natural gas </w:t>
      </w:r>
      <w:r w:rsidRPr="006C7462">
        <w:t xml:space="preserve">services for the long term interests of consumers of </w:t>
      </w:r>
      <w:r w:rsidR="00C5352F">
        <w:t>natural gas</w:t>
      </w:r>
      <w:r w:rsidR="00C5352F" w:rsidRPr="006C7462">
        <w:t xml:space="preserve"> </w:t>
      </w:r>
      <w:r w:rsidRPr="006C7462">
        <w:t>with respect to</w:t>
      </w:r>
      <w:r w:rsidR="00C5352F" w:rsidRPr="00C5352F">
        <w:t xml:space="preserve"> </w:t>
      </w:r>
      <w:r w:rsidR="00C5352F" w:rsidRPr="006C7462">
        <w:t xml:space="preserve">price, quality, safety, reliability and security of supply of </w:t>
      </w:r>
      <w:r w:rsidR="00C5352F">
        <w:t>natural gas.</w:t>
      </w:r>
      <w:r w:rsidRPr="006C7462">
        <w:rPr>
          <w:rStyle w:val="FootnoteReference"/>
        </w:rPr>
        <w:footnoteReference w:id="1"/>
      </w:r>
    </w:p>
    <w:p w:rsidR="00493154" w:rsidRDefault="00BC3F1E" w:rsidP="008E433E">
      <w:r>
        <w:t xml:space="preserve">Jemena Gas Networks (NSW) Limited (JGN) operates the largest gas distribution network in NSW. </w:t>
      </w:r>
      <w:r w:rsidR="00172AA9">
        <w:t>This is our final decision on JGN's prop</w:t>
      </w:r>
      <w:r w:rsidR="00011C37">
        <w:t>osed revisions to its access a</w:t>
      </w:r>
      <w:r w:rsidR="00172AA9">
        <w:t>rrangement for the 2015–20 period</w:t>
      </w:r>
      <w:r w:rsidR="00646EE5">
        <w:t>.</w:t>
      </w:r>
      <w:r w:rsidR="00646EE5">
        <w:rPr>
          <w:rStyle w:val="FootnoteReference"/>
        </w:rPr>
        <w:footnoteReference w:id="2"/>
      </w:r>
      <w:r w:rsidR="00172AA9">
        <w:t xml:space="preserve"> It includes our final decision on the reference tariffs and terms and conditions that apply to services provided through JGN's distribution pipelines.</w:t>
      </w:r>
      <w:r w:rsidR="009726AD">
        <w:rPr>
          <w:rStyle w:val="FootnoteReference"/>
        </w:rPr>
        <w:footnoteReference w:id="3"/>
      </w:r>
    </w:p>
    <w:p w:rsidR="008E433E" w:rsidRDefault="008E433E" w:rsidP="008E433E">
      <w:r>
        <w:t xml:space="preserve">Under the </w:t>
      </w:r>
      <w:r w:rsidR="00C5352F">
        <w:t>NGL</w:t>
      </w:r>
      <w:r>
        <w:t xml:space="preserve">, </w:t>
      </w:r>
      <w:r w:rsidR="00C5352F">
        <w:t>JGN must submit revisio</w:t>
      </w:r>
      <w:r w:rsidR="00011C37">
        <w:t>ns to its access a</w:t>
      </w:r>
      <w:r w:rsidR="00C5352F">
        <w:t>rrangement</w:t>
      </w:r>
      <w:r>
        <w:t xml:space="preserve"> to us for approval.</w:t>
      </w:r>
      <w:r>
        <w:rPr>
          <w:rStyle w:val="FootnoteReference"/>
        </w:rPr>
        <w:footnoteReference w:id="4"/>
      </w:r>
      <w:r>
        <w:t xml:space="preserve"> </w:t>
      </w:r>
      <w:r w:rsidRPr="003B504B">
        <w:t xml:space="preserve">The central component of </w:t>
      </w:r>
      <w:r w:rsidR="002F578A">
        <w:t>JGN's</w:t>
      </w:r>
      <w:r w:rsidRPr="003B504B">
        <w:t xml:space="preserve"> proposal is the amount of revenue </w:t>
      </w:r>
      <w:r w:rsidR="002F578A">
        <w:t>JGN</w:t>
      </w:r>
      <w:r w:rsidR="002F578A" w:rsidRPr="003B504B">
        <w:t xml:space="preserve"> </w:t>
      </w:r>
      <w:r w:rsidRPr="003B504B">
        <w:t xml:space="preserve">proposes to recover from consumers over the </w:t>
      </w:r>
      <w:r w:rsidR="00011C37">
        <w:t>2015</w:t>
      </w:r>
      <w:r w:rsidR="00011C37">
        <w:rPr>
          <w:rFonts w:cs="Arial"/>
        </w:rPr>
        <w:t>−</w:t>
      </w:r>
      <w:r w:rsidR="002F578A">
        <w:t>20</w:t>
      </w:r>
      <w:r w:rsidRPr="003B504B">
        <w:t xml:space="preserve"> </w:t>
      </w:r>
      <w:r w:rsidR="00011C37">
        <w:t xml:space="preserve">access arrangement </w:t>
      </w:r>
      <w:r w:rsidRPr="003B504B">
        <w:t>period.</w:t>
      </w:r>
      <w:r>
        <w:rPr>
          <w:rStyle w:val="FootnoteReference"/>
        </w:rPr>
        <w:footnoteReference w:id="5"/>
      </w:r>
      <w:r w:rsidRPr="003B504B">
        <w:t xml:space="preserve"> </w:t>
      </w:r>
      <w:r>
        <w:t>We</w:t>
      </w:r>
      <w:r w:rsidRPr="003B504B">
        <w:t xml:space="preserve"> must assess </w:t>
      </w:r>
      <w:r w:rsidR="002F578A">
        <w:t xml:space="preserve">JGN's </w:t>
      </w:r>
      <w:r w:rsidRPr="003B504B">
        <w:t>proposal</w:t>
      </w:r>
      <w:r>
        <w:t>, using the N</w:t>
      </w:r>
      <w:r w:rsidR="002F578A">
        <w:t>G</w:t>
      </w:r>
      <w:r>
        <w:t>R's detailed rules. The N</w:t>
      </w:r>
      <w:r w:rsidR="002F578A">
        <w:t>G</w:t>
      </w:r>
      <w:r>
        <w:t xml:space="preserve">R address a range of components of </w:t>
      </w:r>
      <w:r w:rsidR="002F578A">
        <w:t>proposed revenue</w:t>
      </w:r>
      <w:r>
        <w:t xml:space="preserve">. We must decide </w:t>
      </w:r>
      <w:r w:rsidRPr="003B504B">
        <w:t xml:space="preserve">whether to accept </w:t>
      </w:r>
      <w:r w:rsidR="002F578A">
        <w:t xml:space="preserve">JGN's </w:t>
      </w:r>
      <w:r>
        <w:t xml:space="preserve">proposal. If we do not accept that </w:t>
      </w:r>
      <w:r w:rsidR="002F578A">
        <w:t xml:space="preserve">JGN's </w:t>
      </w:r>
      <w:r>
        <w:t>proposal complies with the requirements of the N</w:t>
      </w:r>
      <w:r w:rsidR="002F578A">
        <w:t>G</w:t>
      </w:r>
      <w:r>
        <w:t xml:space="preserve">R, we must </w:t>
      </w:r>
      <w:r w:rsidRPr="003B504B">
        <w:t xml:space="preserve">substitute an alternative amount of revenue that </w:t>
      </w:r>
      <w:r>
        <w:t>we are satisfied does comply. We must undertake this assessment and make this decision in a manner that will or is likely to contribute to the achievement of the N</w:t>
      </w:r>
      <w:r w:rsidR="002F578A">
        <w:t>G</w:t>
      </w:r>
      <w:r>
        <w:t xml:space="preserve">O and, where appropriate, contribute to the greatest degree. </w:t>
      </w:r>
    </w:p>
    <w:p w:rsidR="008E433E" w:rsidRPr="003424EA" w:rsidRDefault="00271C70" w:rsidP="008E433E">
      <w:pPr>
        <w:rPr>
          <w:rStyle w:val="AERbody"/>
        </w:rPr>
      </w:pPr>
      <w:r>
        <w:rPr>
          <w:rStyle w:val="AERbody"/>
        </w:rPr>
        <w:t>As with other covered pipelines, w</w:t>
      </w:r>
      <w:r w:rsidR="008E433E" w:rsidRPr="003424EA">
        <w:rPr>
          <w:rStyle w:val="AERbody"/>
        </w:rPr>
        <w:t xml:space="preserve">e </w:t>
      </w:r>
      <w:r w:rsidR="005B49AF">
        <w:rPr>
          <w:rStyle w:val="AERbody"/>
        </w:rPr>
        <w:t>regulate</w:t>
      </w:r>
      <w:r w:rsidR="002E5F30">
        <w:rPr>
          <w:rStyle w:val="AERbody"/>
        </w:rPr>
        <w:t xml:space="preserve"> JGN's reference tariffs, and through this, its</w:t>
      </w:r>
      <w:r w:rsidR="002F578A" w:rsidRPr="003424EA">
        <w:rPr>
          <w:rStyle w:val="AERbody"/>
        </w:rPr>
        <w:t xml:space="preserve"> </w:t>
      </w:r>
      <w:r w:rsidR="008E433E" w:rsidRPr="003424EA">
        <w:rPr>
          <w:rStyle w:val="AERbody"/>
        </w:rPr>
        <w:t>revenue</w:t>
      </w:r>
      <w:r w:rsidR="002E5F30">
        <w:rPr>
          <w:rStyle w:val="AERbody"/>
        </w:rPr>
        <w:t>. We do not regulate JGN's</w:t>
      </w:r>
      <w:r w:rsidR="008E433E" w:rsidRPr="003424EA">
        <w:rPr>
          <w:rStyle w:val="AERbody"/>
        </w:rPr>
        <w:t xml:space="preserve"> costs. </w:t>
      </w:r>
      <w:r w:rsidR="002F578A">
        <w:rPr>
          <w:rStyle w:val="AERbody"/>
        </w:rPr>
        <w:t>JGN</w:t>
      </w:r>
      <w:r w:rsidR="002F578A" w:rsidRPr="003424EA">
        <w:rPr>
          <w:rStyle w:val="AERbody"/>
        </w:rPr>
        <w:t xml:space="preserve"> </w:t>
      </w:r>
      <w:r w:rsidR="008E433E">
        <w:rPr>
          <w:rStyle w:val="AERbody"/>
        </w:rPr>
        <w:t xml:space="preserve">must </w:t>
      </w:r>
      <w:r w:rsidR="005B49AF">
        <w:rPr>
          <w:rStyle w:val="AERbody"/>
        </w:rPr>
        <w:t xml:space="preserve">then </w:t>
      </w:r>
      <w:r w:rsidR="008E433E">
        <w:rPr>
          <w:rStyle w:val="AERbody"/>
        </w:rPr>
        <w:t xml:space="preserve">decide how best to use </w:t>
      </w:r>
      <w:r w:rsidR="005B49AF">
        <w:rPr>
          <w:rStyle w:val="AERbody"/>
        </w:rPr>
        <w:t xml:space="preserve">the </w:t>
      </w:r>
      <w:r w:rsidR="008E433E">
        <w:rPr>
          <w:rStyle w:val="AERbody"/>
        </w:rPr>
        <w:t>revenue</w:t>
      </w:r>
      <w:r w:rsidR="002E5F30">
        <w:rPr>
          <w:rStyle w:val="AERbody"/>
        </w:rPr>
        <w:t xml:space="preserve"> </w:t>
      </w:r>
      <w:r w:rsidR="005B49AF">
        <w:rPr>
          <w:rStyle w:val="AERbody"/>
        </w:rPr>
        <w:t>it recovers through reference</w:t>
      </w:r>
      <w:r w:rsidR="002E5F30">
        <w:rPr>
          <w:rStyle w:val="AERbody"/>
        </w:rPr>
        <w:t xml:space="preserve"> tariffs</w:t>
      </w:r>
      <w:r w:rsidR="008E433E" w:rsidRPr="003424EA">
        <w:rPr>
          <w:rStyle w:val="AERbody"/>
        </w:rPr>
        <w:t xml:space="preserve"> in providing </w:t>
      </w:r>
      <w:r w:rsidR="003A295A">
        <w:rPr>
          <w:rStyle w:val="AERbody"/>
        </w:rPr>
        <w:t>pipeline</w:t>
      </w:r>
      <w:r w:rsidR="002F578A">
        <w:rPr>
          <w:rStyle w:val="AERbody"/>
        </w:rPr>
        <w:t xml:space="preserve"> </w:t>
      </w:r>
      <w:r w:rsidR="008E433E" w:rsidRPr="003424EA">
        <w:rPr>
          <w:rStyle w:val="AERbody"/>
        </w:rPr>
        <w:t>services and fulfil</w:t>
      </w:r>
      <w:r w:rsidR="008E433E">
        <w:rPr>
          <w:rStyle w:val="AERbody"/>
        </w:rPr>
        <w:t>ling</w:t>
      </w:r>
      <w:r w:rsidR="008E433E" w:rsidRPr="003424EA">
        <w:rPr>
          <w:rStyle w:val="AERbody"/>
        </w:rPr>
        <w:t xml:space="preserve"> its obligations. This provides incentives for </w:t>
      </w:r>
      <w:r w:rsidR="002F578A">
        <w:rPr>
          <w:rStyle w:val="AERbody"/>
        </w:rPr>
        <w:t>service providers</w:t>
      </w:r>
      <w:r w:rsidR="008E433E" w:rsidRPr="003424EA">
        <w:rPr>
          <w:rStyle w:val="AERbody"/>
        </w:rPr>
        <w:t xml:space="preserve">, such as </w:t>
      </w:r>
      <w:r w:rsidR="002F578A">
        <w:rPr>
          <w:rStyle w:val="AERbody"/>
        </w:rPr>
        <w:t>JGN</w:t>
      </w:r>
      <w:r w:rsidR="008E433E" w:rsidRPr="003424EA">
        <w:rPr>
          <w:rStyle w:val="AERbody"/>
        </w:rPr>
        <w:t xml:space="preserve">, to operate their businesses efficiently and, in the long run, at least cost to consumers. It also provides incentives for </w:t>
      </w:r>
      <w:r w:rsidR="002F578A">
        <w:rPr>
          <w:rStyle w:val="AERbody"/>
        </w:rPr>
        <w:t>service providers</w:t>
      </w:r>
      <w:r w:rsidR="002F578A" w:rsidRPr="003424EA">
        <w:rPr>
          <w:rStyle w:val="AERbody"/>
        </w:rPr>
        <w:t xml:space="preserve"> </w:t>
      </w:r>
      <w:r w:rsidR="008E433E" w:rsidRPr="003424EA">
        <w:rPr>
          <w:rStyle w:val="AERbody"/>
        </w:rPr>
        <w:t>to innovate and invest in response to changes in consumer needs and productive opportunities.</w:t>
      </w:r>
      <w:r w:rsidR="008E433E">
        <w:rPr>
          <w:rStyle w:val="FootnoteReference"/>
        </w:rPr>
        <w:footnoteReference w:id="6"/>
      </w:r>
      <w:r w:rsidR="008E433E" w:rsidRPr="003424EA">
        <w:rPr>
          <w:rStyle w:val="AERbody"/>
        </w:rPr>
        <w:t xml:space="preserve"> This is consistent with economic efficiency principles. It</w:t>
      </w:r>
      <w:r w:rsidR="008E433E">
        <w:rPr>
          <w:rStyle w:val="AERbody"/>
        </w:rPr>
        <w:t xml:space="preserve"> also</w:t>
      </w:r>
      <w:r w:rsidR="008E433E" w:rsidRPr="003424EA">
        <w:rPr>
          <w:rStyle w:val="AERbody"/>
        </w:rPr>
        <w:t xml:space="preserve"> means that the person who is best able to manage a risk generally carries that risk</w:t>
      </w:r>
      <w:r w:rsidR="008E433E">
        <w:rPr>
          <w:rStyle w:val="AERbody"/>
        </w:rPr>
        <w:t>.</w:t>
      </w:r>
      <w:r>
        <w:rPr>
          <w:rStyle w:val="AERbody"/>
        </w:rPr>
        <w:t xml:space="preserve"> To the extent that JGN incurs costs above what we assess to be efficient, these will be recovered from JGN's shareholders and not its customers. Consumers should not pay more than necessary for safe and reliable gas services.</w:t>
      </w:r>
    </w:p>
    <w:p w:rsidR="008E433E" w:rsidRPr="003B504B" w:rsidRDefault="00380B09" w:rsidP="008E433E">
      <w:r>
        <w:t xml:space="preserve">JGN </w:t>
      </w:r>
      <w:r w:rsidR="008E433E">
        <w:t xml:space="preserve">submitted its proposal in June 2014. In November 2014 we made a draft decision and, in </w:t>
      </w:r>
      <w:r>
        <w:t xml:space="preserve">February </w:t>
      </w:r>
      <w:r w:rsidR="008E433E">
        <w:t xml:space="preserve">2015, </w:t>
      </w:r>
      <w:r>
        <w:t xml:space="preserve">JGN </w:t>
      </w:r>
      <w:r w:rsidR="008E433E">
        <w:t xml:space="preserve">submitted a revised proposal. We also received submissions from various stakeholders on </w:t>
      </w:r>
      <w:r>
        <w:t xml:space="preserve">JGN's </w:t>
      </w:r>
      <w:r w:rsidR="008E433E">
        <w:t>initial and revised proposals as well as our draft decision.</w:t>
      </w:r>
      <w:r w:rsidR="00011C37">
        <w:rPr>
          <w:rStyle w:val="FootnoteReference"/>
        </w:rPr>
        <w:footnoteReference w:id="7"/>
      </w:r>
    </w:p>
    <w:p w:rsidR="008E433E" w:rsidRDefault="008E433E" w:rsidP="008E433E">
      <w:r>
        <w:t xml:space="preserve">This overview, together with its </w:t>
      </w:r>
      <w:r w:rsidR="00271C70">
        <w:t>a</w:t>
      </w:r>
      <w:r w:rsidRPr="003B504B">
        <w:t xml:space="preserve">ttachments, constitutes our final decision on </w:t>
      </w:r>
      <w:r w:rsidR="00380B09">
        <w:t xml:space="preserve">JGN's </w:t>
      </w:r>
      <w:r>
        <w:t>revised proposal. The overview provides a summary of our final decision and its constituent components. It sets out the issues we covered, the conclusions we made, and how those conclusions were reached. We also explain</w:t>
      </w:r>
      <w:r w:rsidRPr="003B504B">
        <w:t xml:space="preserve"> why</w:t>
      </w:r>
      <w:r>
        <w:t xml:space="preserve"> we are satisfied our decision</w:t>
      </w:r>
      <w:r w:rsidRPr="003B504B">
        <w:t xml:space="preserve"> contributes to the achievement of the</w:t>
      </w:r>
      <w:r>
        <w:t xml:space="preserve"> N</w:t>
      </w:r>
      <w:r w:rsidR="003A295A">
        <w:t>G</w:t>
      </w:r>
      <w:r>
        <w:t xml:space="preserve">O to the greatest degree and why we do not consider that </w:t>
      </w:r>
      <w:r w:rsidR="003A295A">
        <w:t xml:space="preserve">JGN's </w:t>
      </w:r>
      <w:r>
        <w:t>revised proposal contributes to the N</w:t>
      </w:r>
      <w:r w:rsidR="003A295A">
        <w:t>G</w:t>
      </w:r>
      <w:r>
        <w:t>O to a satisfactory degree</w:t>
      </w:r>
      <w:r w:rsidRPr="003B504B">
        <w:t xml:space="preserve">. In </w:t>
      </w:r>
      <w:r>
        <w:t>our</w:t>
      </w:r>
      <w:r w:rsidRPr="003B504B">
        <w:t xml:space="preserve"> </w:t>
      </w:r>
      <w:r w:rsidR="00271C70">
        <w:t>a</w:t>
      </w:r>
      <w:r w:rsidRPr="003B504B">
        <w:t xml:space="preserve">ttachments we set out detailed analysis of the components that make up </w:t>
      </w:r>
      <w:r w:rsidR="003A295A">
        <w:t>JGN</w:t>
      </w:r>
      <w:r w:rsidR="003A295A" w:rsidRPr="003B504B">
        <w:t xml:space="preserve">'s </w:t>
      </w:r>
      <w:r>
        <w:t>revised proposal</w:t>
      </w:r>
      <w:r w:rsidRPr="003B504B">
        <w:t xml:space="preserve"> and our decision on each of them.</w:t>
      </w:r>
    </w:p>
    <w:p w:rsidR="008E433E" w:rsidRPr="003B504B" w:rsidRDefault="008E433E" w:rsidP="008E433E">
      <w:pPr>
        <w:pStyle w:val="Heading2"/>
      </w:pPr>
      <w:bookmarkStart w:id="15" w:name="_Toc409422582"/>
      <w:bookmarkStart w:id="16" w:name="_Ref411418182"/>
      <w:bookmarkStart w:id="17" w:name="_Toc411428009"/>
      <w:bookmarkStart w:id="18" w:name="_Toc417993954"/>
      <w:bookmarkStart w:id="19" w:name="_Ref419890976"/>
      <w:bookmarkStart w:id="20" w:name="_Toc419895011"/>
      <w:r>
        <w:t>Decision</w:t>
      </w:r>
      <w:bookmarkEnd w:id="15"/>
      <w:bookmarkEnd w:id="16"/>
      <w:bookmarkEnd w:id="17"/>
      <w:bookmarkEnd w:id="18"/>
      <w:bookmarkEnd w:id="19"/>
      <w:bookmarkEnd w:id="20"/>
    </w:p>
    <w:p w:rsidR="008E433E" w:rsidRDefault="008E433E" w:rsidP="008E433E">
      <w:r w:rsidRPr="003424EA">
        <w:rPr>
          <w:rStyle w:val="AERbody"/>
        </w:rPr>
        <w:t xml:space="preserve">Our final decision </w:t>
      </w:r>
      <w:r>
        <w:rPr>
          <w:rStyle w:val="AERbody"/>
        </w:rPr>
        <w:t xml:space="preserve">is that </w:t>
      </w:r>
      <w:r w:rsidR="00380B09">
        <w:rPr>
          <w:rStyle w:val="AERbody"/>
        </w:rPr>
        <w:t xml:space="preserve">JGN </w:t>
      </w:r>
      <w:r>
        <w:rPr>
          <w:rStyle w:val="AERbody"/>
        </w:rPr>
        <w:t xml:space="preserve">can recover </w:t>
      </w:r>
      <w:r w:rsidRPr="000E4AA9">
        <w:t>$</w:t>
      </w:r>
      <w:r w:rsidR="00493154">
        <w:t>222</w:t>
      </w:r>
      <w:r w:rsidR="0067058B">
        <w:t xml:space="preserve">9 </w:t>
      </w:r>
      <w:r w:rsidRPr="000E4AA9">
        <w:t>million ($nominal) from consumers over the 2015–</w:t>
      </w:r>
      <w:r w:rsidR="00380B09">
        <w:t xml:space="preserve">20 </w:t>
      </w:r>
      <w:r w:rsidR="00D52BCC">
        <w:t>a</w:t>
      </w:r>
      <w:r w:rsidR="00380B09">
        <w:t xml:space="preserve">ccess </w:t>
      </w:r>
      <w:r w:rsidR="00D52BCC">
        <w:t>a</w:t>
      </w:r>
      <w:r w:rsidR="00380B09">
        <w:t>rrangement</w:t>
      </w:r>
      <w:r w:rsidRPr="000E4AA9">
        <w:t xml:space="preserve"> period. </w:t>
      </w:r>
      <w:r w:rsidR="00271C70">
        <w:fldChar w:fldCharType="begin"/>
      </w:r>
      <w:r w:rsidR="00271C70">
        <w:instrText xml:space="preserve"> REF _Ref419712503 \h </w:instrText>
      </w:r>
      <w:r w:rsidR="00271C70">
        <w:fldChar w:fldCharType="separate"/>
      </w:r>
      <w:r w:rsidR="009037A2">
        <w:t xml:space="preserve">Figure </w:t>
      </w:r>
      <w:r w:rsidR="009037A2">
        <w:rPr>
          <w:noProof/>
        </w:rPr>
        <w:t>1</w:t>
      </w:r>
      <w:r w:rsidR="00271C70">
        <w:fldChar w:fldCharType="end"/>
      </w:r>
      <w:r w:rsidR="00271C70">
        <w:t xml:space="preserve"> </w:t>
      </w:r>
      <w:r>
        <w:t>illustrates our overall decision.</w:t>
      </w:r>
    </w:p>
    <w:p w:rsidR="00962121" w:rsidRDefault="00271C70" w:rsidP="00271C70">
      <w:pPr>
        <w:pStyle w:val="Caption"/>
      </w:pPr>
      <w:bookmarkStart w:id="21" w:name="_Ref419712503"/>
      <w:r>
        <w:t xml:space="preserve">Figure </w:t>
      </w:r>
      <w:fldSimple w:instr=" SEQ Figure \* ARABIC ">
        <w:r w:rsidR="009037A2">
          <w:rPr>
            <w:noProof/>
          </w:rPr>
          <w:t>1</w:t>
        </w:r>
      </w:fldSimple>
      <w:bookmarkEnd w:id="21"/>
      <w:r w:rsidR="00962121">
        <w:tab/>
      </w:r>
      <w:r w:rsidR="00962121" w:rsidRPr="00962121">
        <w:t>JGN's past total revenue, proposed total revenue and AER total revenue allowance ($ million, 2014–15)</w:t>
      </w:r>
    </w:p>
    <w:p w:rsidR="002C1364" w:rsidRPr="00122C40" w:rsidRDefault="004842D3" w:rsidP="00122C40">
      <w:r>
        <w:rPr>
          <w:noProof/>
          <w:lang w:eastAsia="en-AU"/>
        </w:rPr>
        <w:drawing>
          <wp:inline distT="0" distB="0" distL="0" distR="0" wp14:anchorId="19CC8083" wp14:editId="556AD763">
            <wp:extent cx="5212715" cy="324358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715" cy="3243580"/>
                    </a:xfrm>
                    <a:prstGeom prst="rect">
                      <a:avLst/>
                    </a:prstGeom>
                    <a:noFill/>
                  </pic:spPr>
                </pic:pic>
              </a:graphicData>
            </a:graphic>
          </wp:inline>
        </w:drawing>
      </w:r>
    </w:p>
    <w:p w:rsidR="008E433E" w:rsidRDefault="008E433E" w:rsidP="008E433E">
      <w:pPr>
        <w:pStyle w:val="AERtablesource"/>
      </w:pPr>
      <w:r w:rsidRPr="002B4076">
        <w:t xml:space="preserve">Source: </w:t>
      </w:r>
      <w:r w:rsidRPr="002B4076">
        <w:tab/>
        <w:t>AER analysis.</w:t>
      </w:r>
    </w:p>
    <w:p w:rsidR="00A278B0" w:rsidRDefault="00A278B0" w:rsidP="00A278B0">
      <w:r>
        <w:fldChar w:fldCharType="begin"/>
      </w:r>
      <w:r>
        <w:instrText xml:space="preserve"> REF _Ref419447405 \h </w:instrText>
      </w:r>
      <w:r>
        <w:fldChar w:fldCharType="separate"/>
      </w:r>
      <w:r w:rsidR="009037A2">
        <w:t xml:space="preserve">Table </w:t>
      </w:r>
      <w:r w:rsidR="009037A2">
        <w:rPr>
          <w:noProof/>
        </w:rPr>
        <w:t>1</w:t>
      </w:r>
      <w:r>
        <w:fldChar w:fldCharType="end"/>
      </w:r>
      <w:r>
        <w:t xml:space="preserve"> shows the </w:t>
      </w:r>
      <w:r w:rsidRPr="00C729DC">
        <w:t xml:space="preserve">estimated impact of our </w:t>
      </w:r>
      <w:r>
        <w:t>final</w:t>
      </w:r>
      <w:r w:rsidRPr="00C729DC">
        <w:t xml:space="preserve"> decision </w:t>
      </w:r>
      <w:r>
        <w:t>on the average JGN customer's annual gas bills over the 2015–20 access arrangement period, compared with what was proposed.</w:t>
      </w:r>
      <w:r>
        <w:rPr>
          <w:rStyle w:val="FootnoteReference"/>
        </w:rPr>
        <w:footnoteReference w:id="8"/>
      </w:r>
      <w:r>
        <w:t xml:space="preserve"> </w:t>
      </w:r>
    </w:p>
    <w:p w:rsidR="00A278B0" w:rsidRDefault="004331D0" w:rsidP="00AA0EC9">
      <w:r w:rsidRPr="004932D6">
        <w:t xml:space="preserve">In NSW, </w:t>
      </w:r>
      <w:r w:rsidRPr="00A278B0">
        <w:t>gas distribution charges represent approximately 50 per cent of a customer's average annual gas bill.</w:t>
      </w:r>
      <w:r w:rsidRPr="00A278B0">
        <w:rPr>
          <w:rStyle w:val="FootnoteReference"/>
        </w:rPr>
        <w:footnoteReference w:id="9"/>
      </w:r>
      <w:r w:rsidRPr="00A278B0">
        <w:t xml:space="preserve"> </w:t>
      </w:r>
      <w:r w:rsidR="00F921EF">
        <w:t xml:space="preserve">If all other components of a customer's bill remain constant, and </w:t>
      </w:r>
      <w:r w:rsidR="008E433E">
        <w:t xml:space="preserve">the lower </w:t>
      </w:r>
      <w:r w:rsidR="00380B09">
        <w:t xml:space="preserve">distribution </w:t>
      </w:r>
      <w:r w:rsidR="008E433E">
        <w:t xml:space="preserve">charges flowing from </w:t>
      </w:r>
      <w:r w:rsidR="008E433E" w:rsidRPr="00D7786B">
        <w:t xml:space="preserve">our </w:t>
      </w:r>
      <w:r w:rsidR="008E433E">
        <w:t>final</w:t>
      </w:r>
      <w:r w:rsidR="008E433E" w:rsidRPr="00D7786B">
        <w:t xml:space="preserve"> decision for </w:t>
      </w:r>
      <w:r w:rsidR="00380B09">
        <w:t xml:space="preserve">JGN </w:t>
      </w:r>
      <w:r w:rsidR="008E433E">
        <w:t>are passed</w:t>
      </w:r>
      <w:r w:rsidR="008E433E" w:rsidRPr="0087380F">
        <w:t xml:space="preserve"> through to customers, we would expect the average annual </w:t>
      </w:r>
      <w:r w:rsidR="00380B09">
        <w:t>gas</w:t>
      </w:r>
      <w:r w:rsidR="00380B09" w:rsidRPr="0087380F">
        <w:t xml:space="preserve"> </w:t>
      </w:r>
      <w:r w:rsidR="008E433E" w:rsidRPr="0087380F">
        <w:t>bill</w:t>
      </w:r>
      <w:r w:rsidR="00BC3F1E">
        <w:t>s</w:t>
      </w:r>
      <w:r w:rsidR="008E433E" w:rsidRPr="0087380F">
        <w:t xml:space="preserve"> for residential and small business customers</w:t>
      </w:r>
      <w:r w:rsidR="008E433E">
        <w:t xml:space="preserve"> </w:t>
      </w:r>
      <w:r w:rsidR="00380B09">
        <w:t>on JGN's network</w:t>
      </w:r>
      <w:r w:rsidR="008E433E" w:rsidRPr="0087380F">
        <w:t xml:space="preserve"> to reduce </w:t>
      </w:r>
      <w:r w:rsidR="008E433E">
        <w:t>over the</w:t>
      </w:r>
      <w:r w:rsidR="008E433E" w:rsidRPr="0087380F">
        <w:t xml:space="preserve"> 2015–</w:t>
      </w:r>
      <w:r w:rsidR="00380B09">
        <w:t>20</w:t>
      </w:r>
      <w:r w:rsidR="008E433E">
        <w:t xml:space="preserve"> </w:t>
      </w:r>
      <w:r w:rsidR="008D6A44">
        <w:t>access arrangement</w:t>
      </w:r>
      <w:r w:rsidR="008E433E">
        <w:t xml:space="preserve"> period</w:t>
      </w:r>
      <w:r w:rsidR="008E433E" w:rsidRPr="0087380F">
        <w:t xml:space="preserve">. </w:t>
      </w:r>
      <w:r w:rsidR="0052170C">
        <w:fldChar w:fldCharType="begin"/>
      </w:r>
      <w:r w:rsidR="0052170C">
        <w:instrText xml:space="preserve"> REF _Ref419447384 \h </w:instrText>
      </w:r>
      <w:r w:rsidR="0052170C">
        <w:fldChar w:fldCharType="separate"/>
      </w:r>
      <w:r w:rsidR="009037A2">
        <w:t xml:space="preserve">Table </w:t>
      </w:r>
      <w:r w:rsidR="009037A2">
        <w:rPr>
          <w:noProof/>
        </w:rPr>
        <w:t>1</w:t>
      </w:r>
      <w:r w:rsidR="0052170C">
        <w:fldChar w:fldCharType="end"/>
      </w:r>
      <w:r w:rsidR="0052170C">
        <w:t xml:space="preserve"> presents the indicative impact of the final decision on </w:t>
      </w:r>
      <w:r w:rsidR="00C07523">
        <w:t xml:space="preserve">average </w:t>
      </w:r>
      <w:r w:rsidR="0052170C">
        <w:t>annual gas bills in JGN's distribution area. It estimates the indicative impact for both residential and small business customers</w:t>
      </w:r>
      <w:r w:rsidR="00BA211A">
        <w:t>, and compares our decision against JGN's revised proposal</w:t>
      </w:r>
      <w:r w:rsidR="00A278B0">
        <w:t>.</w:t>
      </w:r>
      <w:r w:rsidR="0052170C">
        <w:t xml:space="preserve"> </w:t>
      </w:r>
    </w:p>
    <w:p w:rsidR="00011C37" w:rsidRDefault="00011C37" w:rsidP="00AA0EC9"/>
    <w:p w:rsidR="007B2346" w:rsidRDefault="00271C70" w:rsidP="00D22BC0">
      <w:pPr>
        <w:pStyle w:val="Caption"/>
        <w:rPr>
          <w:rStyle w:val="AERtexthighlight"/>
        </w:rPr>
      </w:pPr>
      <w:bookmarkStart w:id="22" w:name="_Ref419447384"/>
      <w:bookmarkStart w:id="23" w:name="_Ref419447405"/>
      <w:r>
        <w:t xml:space="preserve">Table </w:t>
      </w:r>
      <w:fldSimple w:instr=" SEQ Table \* ARABIC ">
        <w:r w:rsidR="009037A2">
          <w:rPr>
            <w:noProof/>
          </w:rPr>
          <w:t>1</w:t>
        </w:r>
      </w:fldSimple>
      <w:bookmarkEnd w:id="22"/>
      <w:bookmarkEnd w:id="23"/>
      <w:r w:rsidR="00784189">
        <w:tab/>
      </w:r>
      <w:r w:rsidR="007B2346" w:rsidRPr="007B2346">
        <w:rPr>
          <w:rStyle w:val="AERtexthighlight"/>
          <w:shd w:val="clear" w:color="auto" w:fill="auto"/>
        </w:rPr>
        <w:t xml:space="preserve">Indicative </w:t>
      </w:r>
      <w:r w:rsidR="007B2346" w:rsidRPr="00D22BC0">
        <w:rPr>
          <w:rStyle w:val="AERtexthighlight"/>
          <w:shd w:val="clear" w:color="auto" w:fill="auto"/>
        </w:rPr>
        <w:t>impact of final decision</w:t>
      </w:r>
      <w:r w:rsidR="0052170C" w:rsidRPr="00D22BC0">
        <w:rPr>
          <w:rStyle w:val="AERtexthighlight"/>
          <w:shd w:val="clear" w:color="auto" w:fill="auto"/>
        </w:rPr>
        <w:t>—</w:t>
      </w:r>
      <w:r w:rsidR="007B2346" w:rsidRPr="00D22BC0">
        <w:rPr>
          <w:rStyle w:val="AERtexthighlight"/>
          <w:shd w:val="clear" w:color="auto" w:fill="auto"/>
        </w:rPr>
        <w:t xml:space="preserve">residential </w:t>
      </w:r>
      <w:r w:rsidR="0052170C" w:rsidRPr="00D22BC0">
        <w:rPr>
          <w:rStyle w:val="AERtexthighlight"/>
          <w:shd w:val="clear" w:color="auto" w:fill="auto"/>
        </w:rPr>
        <w:t xml:space="preserve">and small business </w:t>
      </w:r>
      <w:r w:rsidR="007B2346" w:rsidRPr="00D22BC0">
        <w:rPr>
          <w:rStyle w:val="AERtexthighlight"/>
          <w:shd w:val="clear" w:color="auto" w:fill="auto"/>
        </w:rPr>
        <w:t>customer</w:t>
      </w:r>
      <w:r w:rsidR="0052170C" w:rsidRPr="00D22BC0">
        <w:rPr>
          <w:rStyle w:val="AERtexthighlight"/>
          <w:shd w:val="clear" w:color="auto" w:fill="auto"/>
        </w:rPr>
        <w:t>s</w:t>
      </w:r>
      <w:r w:rsidR="007B2346" w:rsidRPr="00D22BC0">
        <w:rPr>
          <w:rStyle w:val="AERtexthighlight"/>
          <w:shd w:val="clear" w:color="auto" w:fill="auto"/>
        </w:rPr>
        <w:t xml:space="preserve"> ($</w:t>
      </w:r>
      <w:r w:rsidR="007B2346" w:rsidRPr="007B2346">
        <w:rPr>
          <w:rStyle w:val="AERtexthighlight"/>
          <w:shd w:val="clear" w:color="auto" w:fill="auto"/>
        </w:rPr>
        <w:t>nominal)</w:t>
      </w:r>
    </w:p>
    <w:tbl>
      <w:tblPr>
        <w:tblStyle w:val="AERtable-numbers"/>
        <w:tblW w:w="8693" w:type="dxa"/>
        <w:tblLayout w:type="fixed"/>
        <w:tblLook w:val="04A0" w:firstRow="1" w:lastRow="0" w:firstColumn="1" w:lastColumn="0" w:noHBand="0" w:noVBand="1"/>
      </w:tblPr>
      <w:tblGrid>
        <w:gridCol w:w="2860"/>
        <w:gridCol w:w="972"/>
        <w:gridCol w:w="972"/>
        <w:gridCol w:w="972"/>
        <w:gridCol w:w="972"/>
        <w:gridCol w:w="972"/>
        <w:gridCol w:w="973"/>
      </w:tblGrid>
      <w:tr w:rsidR="00B92532" w:rsidRPr="00B92532" w:rsidTr="006D4F2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rsidR="00B92532" w:rsidRPr="00B92532" w:rsidRDefault="00B92532" w:rsidP="00B92532"/>
        </w:tc>
        <w:tc>
          <w:tcPr>
            <w:tcW w:w="972" w:type="dxa"/>
            <w:noWrap/>
            <w:hideMark/>
          </w:tcPr>
          <w:p w:rsidR="00B92532" w:rsidRPr="00B92532" w:rsidRDefault="00B92532" w:rsidP="00B92532">
            <w:pPr>
              <w:cnfStyle w:val="100000000000" w:firstRow="1" w:lastRow="0" w:firstColumn="0" w:lastColumn="0" w:oddVBand="0" w:evenVBand="0" w:oddHBand="0" w:evenHBand="0" w:firstRowFirstColumn="0" w:firstRowLastColumn="0" w:lastRowFirstColumn="0" w:lastRowLastColumn="0"/>
            </w:pPr>
            <w:r w:rsidRPr="00B92532">
              <w:t>2014–15</w:t>
            </w:r>
          </w:p>
        </w:tc>
        <w:tc>
          <w:tcPr>
            <w:tcW w:w="972" w:type="dxa"/>
            <w:noWrap/>
            <w:hideMark/>
          </w:tcPr>
          <w:p w:rsidR="00B92532" w:rsidRPr="00B92532" w:rsidRDefault="00B92532" w:rsidP="00B92532">
            <w:pPr>
              <w:cnfStyle w:val="100000000000" w:firstRow="1" w:lastRow="0" w:firstColumn="0" w:lastColumn="0" w:oddVBand="0" w:evenVBand="0" w:oddHBand="0" w:evenHBand="0" w:firstRowFirstColumn="0" w:firstRowLastColumn="0" w:lastRowFirstColumn="0" w:lastRowLastColumn="0"/>
            </w:pPr>
            <w:r w:rsidRPr="00B92532">
              <w:t>2015–16</w:t>
            </w:r>
          </w:p>
        </w:tc>
        <w:tc>
          <w:tcPr>
            <w:tcW w:w="972" w:type="dxa"/>
            <w:noWrap/>
            <w:hideMark/>
          </w:tcPr>
          <w:p w:rsidR="00B92532" w:rsidRPr="00B92532" w:rsidRDefault="00B92532" w:rsidP="00B92532">
            <w:pPr>
              <w:cnfStyle w:val="100000000000" w:firstRow="1" w:lastRow="0" w:firstColumn="0" w:lastColumn="0" w:oddVBand="0" w:evenVBand="0" w:oddHBand="0" w:evenHBand="0" w:firstRowFirstColumn="0" w:firstRowLastColumn="0" w:lastRowFirstColumn="0" w:lastRowLastColumn="0"/>
            </w:pPr>
            <w:r w:rsidRPr="00B92532">
              <w:t>2016–17</w:t>
            </w:r>
          </w:p>
        </w:tc>
        <w:tc>
          <w:tcPr>
            <w:tcW w:w="972" w:type="dxa"/>
            <w:noWrap/>
            <w:hideMark/>
          </w:tcPr>
          <w:p w:rsidR="00B92532" w:rsidRPr="00B92532" w:rsidRDefault="00B92532" w:rsidP="00B92532">
            <w:pPr>
              <w:cnfStyle w:val="100000000000" w:firstRow="1" w:lastRow="0" w:firstColumn="0" w:lastColumn="0" w:oddVBand="0" w:evenVBand="0" w:oddHBand="0" w:evenHBand="0" w:firstRowFirstColumn="0" w:firstRowLastColumn="0" w:lastRowFirstColumn="0" w:lastRowLastColumn="0"/>
            </w:pPr>
            <w:r w:rsidRPr="00B92532">
              <w:t>2017–18</w:t>
            </w:r>
          </w:p>
        </w:tc>
        <w:tc>
          <w:tcPr>
            <w:tcW w:w="972" w:type="dxa"/>
            <w:noWrap/>
            <w:hideMark/>
          </w:tcPr>
          <w:p w:rsidR="00B92532" w:rsidRPr="00B92532" w:rsidRDefault="00B92532" w:rsidP="00B92532">
            <w:pPr>
              <w:cnfStyle w:val="100000000000" w:firstRow="1" w:lastRow="0" w:firstColumn="0" w:lastColumn="0" w:oddVBand="0" w:evenVBand="0" w:oddHBand="0" w:evenHBand="0" w:firstRowFirstColumn="0" w:firstRowLastColumn="0" w:lastRowFirstColumn="0" w:lastRowLastColumn="0"/>
            </w:pPr>
            <w:r w:rsidRPr="00B92532">
              <w:t>2018–19</w:t>
            </w:r>
          </w:p>
        </w:tc>
        <w:tc>
          <w:tcPr>
            <w:tcW w:w="973" w:type="dxa"/>
            <w:noWrap/>
            <w:hideMark/>
          </w:tcPr>
          <w:p w:rsidR="00B92532" w:rsidRPr="00B92532" w:rsidRDefault="00B92532" w:rsidP="00B92532">
            <w:pPr>
              <w:cnfStyle w:val="100000000000" w:firstRow="1" w:lastRow="0" w:firstColumn="0" w:lastColumn="0" w:oddVBand="0" w:evenVBand="0" w:oddHBand="0" w:evenHBand="0" w:firstRowFirstColumn="0" w:firstRowLastColumn="0" w:lastRowFirstColumn="0" w:lastRowLastColumn="0"/>
            </w:pPr>
            <w:r w:rsidRPr="00B92532">
              <w:t>2019–20</w:t>
            </w:r>
          </w:p>
        </w:tc>
      </w:tr>
      <w:tr w:rsidR="00B92532" w:rsidRPr="0052170C" w:rsidTr="006D4F27">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rsidR="00B92532" w:rsidRPr="0052170C" w:rsidRDefault="00B92532" w:rsidP="00B92532">
            <w:pPr>
              <w:rPr>
                <w:rStyle w:val="Strong"/>
              </w:rPr>
            </w:pPr>
            <w:r w:rsidRPr="0052170C">
              <w:rPr>
                <w:rStyle w:val="Strong"/>
              </w:rPr>
              <w:t>JGN revised proposal</w:t>
            </w:r>
          </w:p>
        </w:tc>
        <w:tc>
          <w:tcPr>
            <w:tcW w:w="972" w:type="dxa"/>
            <w:noWrap/>
            <w:hideMark/>
          </w:tcPr>
          <w:p w:rsidR="00B92532" w:rsidRPr="0052170C" w:rsidRDefault="00B92532" w:rsidP="00B92532">
            <w:pPr>
              <w:cnfStyle w:val="000000000000" w:firstRow="0" w:lastRow="0" w:firstColumn="0" w:lastColumn="0" w:oddVBand="0" w:evenVBand="0" w:oddHBand="0" w:evenHBand="0" w:firstRowFirstColumn="0" w:firstRowLastColumn="0" w:lastRowFirstColumn="0" w:lastRowLastColumn="0"/>
              <w:rPr>
                <w:rStyle w:val="Strong"/>
              </w:rPr>
            </w:pPr>
          </w:p>
        </w:tc>
        <w:tc>
          <w:tcPr>
            <w:tcW w:w="972" w:type="dxa"/>
            <w:noWrap/>
            <w:hideMark/>
          </w:tcPr>
          <w:p w:rsidR="00B92532" w:rsidRPr="0052170C" w:rsidRDefault="00B92532" w:rsidP="00B92532">
            <w:pPr>
              <w:cnfStyle w:val="000000000000" w:firstRow="0" w:lastRow="0" w:firstColumn="0" w:lastColumn="0" w:oddVBand="0" w:evenVBand="0" w:oddHBand="0" w:evenHBand="0" w:firstRowFirstColumn="0" w:firstRowLastColumn="0" w:lastRowFirstColumn="0" w:lastRowLastColumn="0"/>
              <w:rPr>
                <w:rStyle w:val="Strong"/>
              </w:rPr>
            </w:pPr>
          </w:p>
        </w:tc>
        <w:tc>
          <w:tcPr>
            <w:tcW w:w="972" w:type="dxa"/>
            <w:noWrap/>
            <w:hideMark/>
          </w:tcPr>
          <w:p w:rsidR="00B92532" w:rsidRPr="0052170C" w:rsidRDefault="00B92532" w:rsidP="00B92532">
            <w:pPr>
              <w:cnfStyle w:val="000000000000" w:firstRow="0" w:lastRow="0" w:firstColumn="0" w:lastColumn="0" w:oddVBand="0" w:evenVBand="0" w:oddHBand="0" w:evenHBand="0" w:firstRowFirstColumn="0" w:firstRowLastColumn="0" w:lastRowFirstColumn="0" w:lastRowLastColumn="0"/>
              <w:rPr>
                <w:rStyle w:val="Strong"/>
              </w:rPr>
            </w:pPr>
          </w:p>
        </w:tc>
        <w:tc>
          <w:tcPr>
            <w:tcW w:w="972" w:type="dxa"/>
            <w:noWrap/>
            <w:hideMark/>
          </w:tcPr>
          <w:p w:rsidR="00B92532" w:rsidRPr="0052170C" w:rsidRDefault="00B92532" w:rsidP="00B92532">
            <w:pPr>
              <w:cnfStyle w:val="000000000000" w:firstRow="0" w:lastRow="0" w:firstColumn="0" w:lastColumn="0" w:oddVBand="0" w:evenVBand="0" w:oddHBand="0" w:evenHBand="0" w:firstRowFirstColumn="0" w:firstRowLastColumn="0" w:lastRowFirstColumn="0" w:lastRowLastColumn="0"/>
              <w:rPr>
                <w:rStyle w:val="Strong"/>
              </w:rPr>
            </w:pPr>
          </w:p>
        </w:tc>
        <w:tc>
          <w:tcPr>
            <w:tcW w:w="972" w:type="dxa"/>
            <w:noWrap/>
            <w:hideMark/>
          </w:tcPr>
          <w:p w:rsidR="00B92532" w:rsidRPr="0052170C" w:rsidRDefault="00B92532" w:rsidP="00B92532">
            <w:pPr>
              <w:cnfStyle w:val="000000000000" w:firstRow="0" w:lastRow="0" w:firstColumn="0" w:lastColumn="0" w:oddVBand="0" w:evenVBand="0" w:oddHBand="0" w:evenHBand="0" w:firstRowFirstColumn="0" w:firstRowLastColumn="0" w:lastRowFirstColumn="0" w:lastRowLastColumn="0"/>
              <w:rPr>
                <w:rStyle w:val="Strong"/>
              </w:rPr>
            </w:pPr>
          </w:p>
        </w:tc>
        <w:tc>
          <w:tcPr>
            <w:tcW w:w="973" w:type="dxa"/>
            <w:noWrap/>
            <w:hideMark/>
          </w:tcPr>
          <w:p w:rsidR="00B92532" w:rsidRPr="0052170C" w:rsidRDefault="00B92532" w:rsidP="00B92532">
            <w:pPr>
              <w:cnfStyle w:val="000000000000" w:firstRow="0" w:lastRow="0" w:firstColumn="0" w:lastColumn="0" w:oddVBand="0" w:evenVBand="0" w:oddHBand="0" w:evenHBand="0" w:firstRowFirstColumn="0" w:firstRowLastColumn="0" w:lastRowFirstColumn="0" w:lastRowLastColumn="0"/>
              <w:rPr>
                <w:rStyle w:val="Strong"/>
              </w:rPr>
            </w:pPr>
          </w:p>
        </w:tc>
      </w:tr>
      <w:tr w:rsidR="00B92532" w:rsidRPr="00B92532"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rsidR="00B92532" w:rsidRPr="00B92532" w:rsidRDefault="00B92532" w:rsidP="00B92532">
            <w:r w:rsidRPr="00B92532">
              <w:t>Residential annual gas bill</w:t>
            </w:r>
            <w:r w:rsidRPr="0052170C">
              <w:rPr>
                <w:rStyle w:val="AERsuperscript"/>
              </w:rPr>
              <w:t>a</w:t>
            </w:r>
          </w:p>
        </w:tc>
        <w:tc>
          <w:tcPr>
            <w:tcW w:w="972" w:type="dxa"/>
            <w:noWrap/>
            <w:hideMark/>
          </w:tcPr>
          <w:p w:rsidR="00B92532" w:rsidRPr="00B92532" w:rsidRDefault="00B92532" w:rsidP="00B92532">
            <w:pPr>
              <w:cnfStyle w:val="000000010000" w:firstRow="0" w:lastRow="0" w:firstColumn="0" w:lastColumn="0" w:oddVBand="0" w:evenVBand="0" w:oddHBand="0" w:evenHBand="1" w:firstRowFirstColumn="0" w:firstRowLastColumn="0" w:lastRowFirstColumn="0" w:lastRowLastColumn="0"/>
            </w:pPr>
            <w:r>
              <w:t>$</w:t>
            </w:r>
            <w:r w:rsidRPr="00B92532">
              <w:t>1</w:t>
            </w:r>
            <w:r w:rsidR="00CD1A33">
              <w:t>,</w:t>
            </w:r>
            <w:r w:rsidRPr="00B92532">
              <w:t>042</w:t>
            </w:r>
          </w:p>
        </w:tc>
        <w:tc>
          <w:tcPr>
            <w:tcW w:w="972" w:type="dxa"/>
            <w:noWrap/>
            <w:hideMark/>
          </w:tcPr>
          <w:p w:rsidR="00B92532" w:rsidRPr="00B92532" w:rsidRDefault="00B92532" w:rsidP="00B92532">
            <w:pPr>
              <w:cnfStyle w:val="000000010000" w:firstRow="0" w:lastRow="0" w:firstColumn="0" w:lastColumn="0" w:oddVBand="0" w:evenVBand="0" w:oddHBand="0" w:evenHBand="1" w:firstRowFirstColumn="0" w:firstRowLastColumn="0" w:lastRowFirstColumn="0" w:lastRowLastColumn="0"/>
            </w:pPr>
            <w:r>
              <w:t>$</w:t>
            </w:r>
            <w:r w:rsidRPr="00B92532">
              <w:t>1</w:t>
            </w:r>
            <w:r w:rsidR="00CD1A33">
              <w:t>,</w:t>
            </w:r>
            <w:r w:rsidRPr="00B92532">
              <w:t>021</w:t>
            </w:r>
          </w:p>
        </w:tc>
        <w:tc>
          <w:tcPr>
            <w:tcW w:w="972" w:type="dxa"/>
            <w:noWrap/>
            <w:hideMark/>
          </w:tcPr>
          <w:p w:rsidR="00B92532" w:rsidRPr="00B92532" w:rsidRDefault="00B92532" w:rsidP="00B92532">
            <w:pPr>
              <w:cnfStyle w:val="000000010000" w:firstRow="0" w:lastRow="0" w:firstColumn="0" w:lastColumn="0" w:oddVBand="0" w:evenVBand="0" w:oddHBand="0" w:evenHBand="1" w:firstRowFirstColumn="0" w:firstRowLastColumn="0" w:lastRowFirstColumn="0" w:lastRowLastColumn="0"/>
            </w:pPr>
            <w:r>
              <w:t>$</w:t>
            </w:r>
            <w:r w:rsidRPr="00B92532">
              <w:t>991</w:t>
            </w:r>
          </w:p>
        </w:tc>
        <w:tc>
          <w:tcPr>
            <w:tcW w:w="972" w:type="dxa"/>
            <w:noWrap/>
            <w:hideMark/>
          </w:tcPr>
          <w:p w:rsidR="00B92532" w:rsidRPr="00B92532" w:rsidRDefault="00B92532" w:rsidP="00B92532">
            <w:pPr>
              <w:cnfStyle w:val="000000010000" w:firstRow="0" w:lastRow="0" w:firstColumn="0" w:lastColumn="0" w:oddVBand="0" w:evenVBand="0" w:oddHBand="0" w:evenHBand="1" w:firstRowFirstColumn="0" w:firstRowLastColumn="0" w:lastRowFirstColumn="0" w:lastRowLastColumn="0"/>
            </w:pPr>
            <w:r>
              <w:t>$</w:t>
            </w:r>
            <w:r w:rsidRPr="00B92532">
              <w:t>963</w:t>
            </w:r>
          </w:p>
        </w:tc>
        <w:tc>
          <w:tcPr>
            <w:tcW w:w="972" w:type="dxa"/>
            <w:noWrap/>
            <w:hideMark/>
          </w:tcPr>
          <w:p w:rsidR="00B92532" w:rsidRPr="00B92532" w:rsidRDefault="00B92532" w:rsidP="00B92532">
            <w:pPr>
              <w:cnfStyle w:val="000000010000" w:firstRow="0" w:lastRow="0" w:firstColumn="0" w:lastColumn="0" w:oddVBand="0" w:evenVBand="0" w:oddHBand="0" w:evenHBand="1" w:firstRowFirstColumn="0" w:firstRowLastColumn="0" w:lastRowFirstColumn="0" w:lastRowLastColumn="0"/>
            </w:pPr>
            <w:r>
              <w:t>$</w:t>
            </w:r>
            <w:r w:rsidRPr="00B92532">
              <w:t>937</w:t>
            </w:r>
          </w:p>
        </w:tc>
        <w:tc>
          <w:tcPr>
            <w:tcW w:w="973" w:type="dxa"/>
            <w:noWrap/>
            <w:hideMark/>
          </w:tcPr>
          <w:p w:rsidR="00B92532" w:rsidRPr="00B92532" w:rsidRDefault="00B92532">
            <w:pPr>
              <w:cnfStyle w:val="000000010000" w:firstRow="0" w:lastRow="0" w:firstColumn="0" w:lastColumn="0" w:oddVBand="0" w:evenVBand="0" w:oddHBand="0" w:evenHBand="1" w:firstRowFirstColumn="0" w:firstRowLastColumn="0" w:lastRowFirstColumn="0" w:lastRowLastColumn="0"/>
            </w:pPr>
            <w:r>
              <w:t>$</w:t>
            </w:r>
            <w:r w:rsidRPr="00B92532">
              <w:t>95</w:t>
            </w:r>
            <w:r w:rsidR="002C0716">
              <w:t>5</w:t>
            </w:r>
          </w:p>
        </w:tc>
      </w:tr>
      <w:tr w:rsidR="00B92532" w:rsidRPr="00B92532" w:rsidTr="006D4F27">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rsidR="00B92532" w:rsidRPr="00B92532" w:rsidRDefault="00B92532" w:rsidP="00B92532">
            <w:r w:rsidRPr="00B92532">
              <w:t xml:space="preserve">Annual change in distribution bill component </w:t>
            </w:r>
            <w:r w:rsidR="0052170C">
              <w:t>—residential</w:t>
            </w:r>
          </w:p>
        </w:tc>
        <w:tc>
          <w:tcPr>
            <w:tcW w:w="972" w:type="dxa"/>
            <w:noWrap/>
            <w:hideMark/>
          </w:tcPr>
          <w:p w:rsidR="00B92532" w:rsidRPr="00B92532" w:rsidRDefault="00B92532" w:rsidP="00B92532">
            <w:pPr>
              <w:cnfStyle w:val="000000000000" w:firstRow="0" w:lastRow="0" w:firstColumn="0" w:lastColumn="0" w:oddVBand="0" w:evenVBand="0" w:oddHBand="0" w:evenHBand="0" w:firstRowFirstColumn="0" w:firstRowLastColumn="0" w:lastRowFirstColumn="0" w:lastRowLastColumn="0"/>
            </w:pPr>
          </w:p>
        </w:tc>
        <w:tc>
          <w:tcPr>
            <w:tcW w:w="972" w:type="dxa"/>
            <w:noWrap/>
            <w:hideMark/>
          </w:tcPr>
          <w:p w:rsidR="00B92532" w:rsidRPr="00B92532" w:rsidRDefault="00B92532" w:rsidP="00B92532">
            <w:pPr>
              <w:cnfStyle w:val="000000000000" w:firstRow="0" w:lastRow="0" w:firstColumn="0" w:lastColumn="0" w:oddVBand="0" w:evenVBand="0" w:oddHBand="0" w:evenHBand="0" w:firstRowFirstColumn="0" w:firstRowLastColumn="0" w:lastRowFirstColumn="0" w:lastRowLastColumn="0"/>
            </w:pPr>
            <w:r>
              <w:t>–$</w:t>
            </w:r>
            <w:r w:rsidRPr="00B92532">
              <w:t>21</w:t>
            </w:r>
            <w:r w:rsidR="0052170C">
              <w:br/>
              <w:t>(–2.1%)</w:t>
            </w:r>
          </w:p>
        </w:tc>
        <w:tc>
          <w:tcPr>
            <w:tcW w:w="972" w:type="dxa"/>
            <w:noWrap/>
            <w:hideMark/>
          </w:tcPr>
          <w:p w:rsidR="00B92532" w:rsidRPr="00B92532" w:rsidRDefault="00B92532">
            <w:pPr>
              <w:cnfStyle w:val="000000000000" w:firstRow="0" w:lastRow="0" w:firstColumn="0" w:lastColumn="0" w:oddVBand="0" w:evenVBand="0" w:oddHBand="0" w:evenHBand="0" w:firstRowFirstColumn="0" w:firstRowLastColumn="0" w:lastRowFirstColumn="0" w:lastRowLastColumn="0"/>
            </w:pPr>
            <w:r>
              <w:t>–$</w:t>
            </w:r>
            <w:r w:rsidR="002C0716">
              <w:t>30</w:t>
            </w:r>
            <w:r w:rsidR="0052170C">
              <w:br/>
              <w:t>(–2.9%)</w:t>
            </w:r>
          </w:p>
        </w:tc>
        <w:tc>
          <w:tcPr>
            <w:tcW w:w="972" w:type="dxa"/>
            <w:noWrap/>
            <w:hideMark/>
          </w:tcPr>
          <w:p w:rsidR="00B92532" w:rsidRPr="00B92532" w:rsidRDefault="00B92532" w:rsidP="00B92532">
            <w:pPr>
              <w:cnfStyle w:val="000000000000" w:firstRow="0" w:lastRow="0" w:firstColumn="0" w:lastColumn="0" w:oddVBand="0" w:evenVBand="0" w:oddHBand="0" w:evenHBand="0" w:firstRowFirstColumn="0" w:firstRowLastColumn="0" w:lastRowFirstColumn="0" w:lastRowLastColumn="0"/>
            </w:pPr>
            <w:r>
              <w:t>–$</w:t>
            </w:r>
            <w:r w:rsidRPr="00B92532">
              <w:t>28</w:t>
            </w:r>
            <w:r w:rsidR="0052170C">
              <w:br/>
              <w:t>(–2.8%)</w:t>
            </w:r>
          </w:p>
        </w:tc>
        <w:tc>
          <w:tcPr>
            <w:tcW w:w="972" w:type="dxa"/>
            <w:noWrap/>
            <w:hideMark/>
          </w:tcPr>
          <w:p w:rsidR="00B92532" w:rsidRPr="00B92532" w:rsidRDefault="00B92532" w:rsidP="00B92532">
            <w:pPr>
              <w:cnfStyle w:val="000000000000" w:firstRow="0" w:lastRow="0" w:firstColumn="0" w:lastColumn="0" w:oddVBand="0" w:evenVBand="0" w:oddHBand="0" w:evenHBand="0" w:firstRowFirstColumn="0" w:firstRowLastColumn="0" w:lastRowFirstColumn="0" w:lastRowLastColumn="0"/>
            </w:pPr>
            <w:r>
              <w:t>–$</w:t>
            </w:r>
            <w:r w:rsidRPr="00B92532">
              <w:t>26</w:t>
            </w:r>
            <w:r w:rsidR="0052170C">
              <w:br/>
              <w:t>(–2.7%)</w:t>
            </w:r>
          </w:p>
        </w:tc>
        <w:tc>
          <w:tcPr>
            <w:tcW w:w="973" w:type="dxa"/>
            <w:noWrap/>
            <w:hideMark/>
          </w:tcPr>
          <w:p w:rsidR="00B92532" w:rsidRPr="00B92532" w:rsidRDefault="00B92532">
            <w:pPr>
              <w:cnfStyle w:val="000000000000" w:firstRow="0" w:lastRow="0" w:firstColumn="0" w:lastColumn="0" w:oddVBand="0" w:evenVBand="0" w:oddHBand="0" w:evenHBand="0" w:firstRowFirstColumn="0" w:firstRowLastColumn="0" w:lastRowFirstColumn="0" w:lastRowLastColumn="0"/>
            </w:pPr>
            <w:r>
              <w:t>$</w:t>
            </w:r>
            <w:r w:rsidRPr="00B92532">
              <w:t>18</w:t>
            </w:r>
            <w:r w:rsidR="0052170C">
              <w:br/>
              <w:t>(+</w:t>
            </w:r>
            <w:r w:rsidR="00E64A8E">
              <w:t>2</w:t>
            </w:r>
            <w:r w:rsidR="0052170C">
              <w:t>.</w:t>
            </w:r>
            <w:r w:rsidR="00E64A8E">
              <w:t>0</w:t>
            </w:r>
            <w:r w:rsidR="0052170C">
              <w:t>%)</w:t>
            </w:r>
          </w:p>
        </w:tc>
      </w:tr>
      <w:tr w:rsidR="0052170C" w:rsidRPr="00B92532"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rsidR="0052170C" w:rsidRPr="0052170C" w:rsidRDefault="0052170C" w:rsidP="0052170C">
            <w:r>
              <w:t>Small business</w:t>
            </w:r>
            <w:r w:rsidRPr="00B92532">
              <w:t xml:space="preserve"> annual gas bill</w:t>
            </w:r>
            <w:r w:rsidRPr="0052170C">
              <w:rPr>
                <w:rStyle w:val="AERsuperscript"/>
              </w:rPr>
              <w:t>a</w:t>
            </w:r>
          </w:p>
        </w:tc>
        <w:tc>
          <w:tcPr>
            <w:tcW w:w="972" w:type="dxa"/>
            <w:noWrap/>
            <w:hideMark/>
          </w:tcPr>
          <w:p w:rsidR="0052170C" w:rsidRPr="0052170C" w:rsidRDefault="0052170C">
            <w:pPr>
              <w:cnfStyle w:val="000000010000" w:firstRow="0" w:lastRow="0" w:firstColumn="0" w:lastColumn="0" w:oddVBand="0" w:evenVBand="0" w:oddHBand="0" w:evenHBand="1" w:firstRowFirstColumn="0" w:firstRowLastColumn="0" w:lastRowFirstColumn="0" w:lastRowLastColumn="0"/>
            </w:pPr>
            <w:r>
              <w:t>$</w:t>
            </w:r>
            <w:r w:rsidR="00E64A8E">
              <w:t>5</w:t>
            </w:r>
            <w:r w:rsidR="00CD1A33">
              <w:t>,</w:t>
            </w:r>
            <w:r w:rsidR="00E64A8E">
              <w:t>021</w:t>
            </w:r>
          </w:p>
        </w:tc>
        <w:tc>
          <w:tcPr>
            <w:tcW w:w="972" w:type="dxa"/>
            <w:noWrap/>
            <w:hideMark/>
          </w:tcPr>
          <w:p w:rsidR="0052170C" w:rsidRPr="0052170C" w:rsidRDefault="0052170C">
            <w:pPr>
              <w:cnfStyle w:val="000000010000" w:firstRow="0" w:lastRow="0" w:firstColumn="0" w:lastColumn="0" w:oddVBand="0" w:evenVBand="0" w:oddHBand="0" w:evenHBand="1" w:firstRowFirstColumn="0" w:firstRowLastColumn="0" w:lastRowFirstColumn="0" w:lastRowLastColumn="0"/>
            </w:pPr>
            <w:r>
              <w:t>$</w:t>
            </w:r>
            <w:r w:rsidR="00E64A8E">
              <w:t>4</w:t>
            </w:r>
            <w:r w:rsidR="00CD1A33">
              <w:t>,</w:t>
            </w:r>
            <w:r w:rsidR="00E64A8E">
              <w:t>918</w:t>
            </w:r>
          </w:p>
        </w:tc>
        <w:tc>
          <w:tcPr>
            <w:tcW w:w="972" w:type="dxa"/>
            <w:noWrap/>
            <w:hideMark/>
          </w:tcPr>
          <w:p w:rsidR="0052170C" w:rsidRPr="0052170C" w:rsidRDefault="0052170C">
            <w:pPr>
              <w:cnfStyle w:val="000000010000" w:firstRow="0" w:lastRow="0" w:firstColumn="0" w:lastColumn="0" w:oddVBand="0" w:evenVBand="0" w:oddHBand="0" w:evenHBand="1" w:firstRowFirstColumn="0" w:firstRowLastColumn="0" w:lastRowFirstColumn="0" w:lastRowLastColumn="0"/>
            </w:pPr>
            <w:r>
              <w:t>$</w:t>
            </w:r>
            <w:r w:rsidR="00E64A8E">
              <w:t>4</w:t>
            </w:r>
            <w:r w:rsidR="00CD1A33">
              <w:t>,</w:t>
            </w:r>
            <w:r w:rsidR="00E64A8E">
              <w:t>77</w:t>
            </w:r>
            <w:r w:rsidR="002C0716">
              <w:t>5</w:t>
            </w:r>
          </w:p>
        </w:tc>
        <w:tc>
          <w:tcPr>
            <w:tcW w:w="972" w:type="dxa"/>
            <w:noWrap/>
            <w:hideMark/>
          </w:tcPr>
          <w:p w:rsidR="0052170C" w:rsidRPr="0052170C" w:rsidRDefault="0052170C">
            <w:pPr>
              <w:cnfStyle w:val="000000010000" w:firstRow="0" w:lastRow="0" w:firstColumn="0" w:lastColumn="0" w:oddVBand="0" w:evenVBand="0" w:oddHBand="0" w:evenHBand="1" w:firstRowFirstColumn="0" w:firstRowLastColumn="0" w:lastRowFirstColumn="0" w:lastRowLastColumn="0"/>
            </w:pPr>
            <w:r>
              <w:t>$</w:t>
            </w:r>
            <w:r w:rsidR="00E64A8E">
              <w:t>4</w:t>
            </w:r>
            <w:r w:rsidR="00CD1A33">
              <w:t>,</w:t>
            </w:r>
            <w:r w:rsidR="00E64A8E">
              <w:t>64</w:t>
            </w:r>
            <w:r w:rsidR="002C0716">
              <w:t>0</w:t>
            </w:r>
          </w:p>
        </w:tc>
        <w:tc>
          <w:tcPr>
            <w:tcW w:w="972" w:type="dxa"/>
            <w:noWrap/>
            <w:hideMark/>
          </w:tcPr>
          <w:p w:rsidR="0052170C" w:rsidRPr="0052170C" w:rsidRDefault="0052170C">
            <w:pPr>
              <w:cnfStyle w:val="000000010000" w:firstRow="0" w:lastRow="0" w:firstColumn="0" w:lastColumn="0" w:oddVBand="0" w:evenVBand="0" w:oddHBand="0" w:evenHBand="1" w:firstRowFirstColumn="0" w:firstRowLastColumn="0" w:lastRowFirstColumn="0" w:lastRowLastColumn="0"/>
            </w:pPr>
            <w:r>
              <w:t>$</w:t>
            </w:r>
            <w:r w:rsidR="00E64A8E">
              <w:t>4</w:t>
            </w:r>
            <w:r w:rsidR="00CD1A33">
              <w:t>,</w:t>
            </w:r>
            <w:r w:rsidR="00E64A8E">
              <w:t>51</w:t>
            </w:r>
            <w:r w:rsidR="002C0716">
              <w:t>4</w:t>
            </w:r>
          </w:p>
        </w:tc>
        <w:tc>
          <w:tcPr>
            <w:tcW w:w="973" w:type="dxa"/>
            <w:noWrap/>
            <w:hideMark/>
          </w:tcPr>
          <w:p w:rsidR="0052170C" w:rsidRPr="0052170C" w:rsidRDefault="0052170C">
            <w:pPr>
              <w:cnfStyle w:val="000000010000" w:firstRow="0" w:lastRow="0" w:firstColumn="0" w:lastColumn="0" w:oddVBand="0" w:evenVBand="0" w:oddHBand="0" w:evenHBand="1" w:firstRowFirstColumn="0" w:firstRowLastColumn="0" w:lastRowFirstColumn="0" w:lastRowLastColumn="0"/>
            </w:pPr>
            <w:r>
              <w:t>$</w:t>
            </w:r>
            <w:r w:rsidR="00E64A8E">
              <w:t>4</w:t>
            </w:r>
            <w:r w:rsidR="00CD1A33">
              <w:t>,</w:t>
            </w:r>
            <w:r w:rsidR="00E64A8E">
              <w:t>60</w:t>
            </w:r>
            <w:r w:rsidR="002C0716">
              <w:t>3</w:t>
            </w:r>
          </w:p>
        </w:tc>
      </w:tr>
      <w:tr w:rsidR="0052170C" w:rsidRPr="00B92532" w:rsidTr="006D4F27">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rsidR="0052170C" w:rsidRPr="00B92532" w:rsidRDefault="0052170C" w:rsidP="0052170C">
            <w:r w:rsidRPr="00B92532">
              <w:t>Annual change</w:t>
            </w:r>
            <w:r>
              <w:t xml:space="preserve"> in distribution bill component—small business</w:t>
            </w:r>
          </w:p>
        </w:tc>
        <w:tc>
          <w:tcPr>
            <w:tcW w:w="972" w:type="dxa"/>
            <w:noWrap/>
            <w:hideMark/>
          </w:tcPr>
          <w:p w:rsidR="0052170C" w:rsidRPr="00B92532" w:rsidRDefault="0052170C" w:rsidP="0052170C">
            <w:pPr>
              <w:cnfStyle w:val="000000000000" w:firstRow="0" w:lastRow="0" w:firstColumn="0" w:lastColumn="0" w:oddVBand="0" w:evenVBand="0" w:oddHBand="0" w:evenHBand="0" w:firstRowFirstColumn="0" w:firstRowLastColumn="0" w:lastRowFirstColumn="0" w:lastRowLastColumn="0"/>
            </w:pPr>
          </w:p>
        </w:tc>
        <w:tc>
          <w:tcPr>
            <w:tcW w:w="972" w:type="dxa"/>
            <w:noWrap/>
            <w:hideMark/>
          </w:tcPr>
          <w:p w:rsidR="0052170C" w:rsidRPr="0052170C" w:rsidRDefault="0052170C">
            <w:pPr>
              <w:cnfStyle w:val="000000000000" w:firstRow="0" w:lastRow="0" w:firstColumn="0" w:lastColumn="0" w:oddVBand="0" w:evenVBand="0" w:oddHBand="0" w:evenHBand="0" w:firstRowFirstColumn="0" w:firstRowLastColumn="0" w:lastRowFirstColumn="0" w:lastRowLastColumn="0"/>
            </w:pPr>
            <w:r>
              <w:t>–$</w:t>
            </w:r>
            <w:r w:rsidR="00E64A8E">
              <w:t>103</w:t>
            </w:r>
            <w:r>
              <w:br/>
            </w:r>
            <w:r w:rsidRPr="0052170C">
              <w:t>(–2.1%)</w:t>
            </w:r>
          </w:p>
        </w:tc>
        <w:tc>
          <w:tcPr>
            <w:tcW w:w="972" w:type="dxa"/>
            <w:noWrap/>
            <w:hideMark/>
          </w:tcPr>
          <w:p w:rsidR="0052170C" w:rsidRPr="0052170C" w:rsidRDefault="0052170C">
            <w:pPr>
              <w:cnfStyle w:val="000000000000" w:firstRow="0" w:lastRow="0" w:firstColumn="0" w:lastColumn="0" w:oddVBand="0" w:evenVBand="0" w:oddHBand="0" w:evenHBand="0" w:firstRowFirstColumn="0" w:firstRowLastColumn="0" w:lastRowFirstColumn="0" w:lastRowLastColumn="0"/>
            </w:pPr>
            <w:r>
              <w:t>–$</w:t>
            </w:r>
            <w:r w:rsidR="00E64A8E">
              <w:t>14</w:t>
            </w:r>
            <w:r w:rsidR="002C0716">
              <w:t>3</w:t>
            </w:r>
            <w:r>
              <w:br/>
            </w:r>
            <w:r w:rsidRPr="0052170C">
              <w:t>(–2.9%)</w:t>
            </w:r>
          </w:p>
        </w:tc>
        <w:tc>
          <w:tcPr>
            <w:tcW w:w="972" w:type="dxa"/>
            <w:noWrap/>
            <w:hideMark/>
          </w:tcPr>
          <w:p w:rsidR="0052170C" w:rsidRPr="0052170C" w:rsidRDefault="0052170C">
            <w:pPr>
              <w:cnfStyle w:val="000000000000" w:firstRow="0" w:lastRow="0" w:firstColumn="0" w:lastColumn="0" w:oddVBand="0" w:evenVBand="0" w:oddHBand="0" w:evenHBand="0" w:firstRowFirstColumn="0" w:firstRowLastColumn="0" w:lastRowFirstColumn="0" w:lastRowLastColumn="0"/>
            </w:pPr>
            <w:r>
              <w:t>–$</w:t>
            </w:r>
            <w:r w:rsidR="00E64A8E">
              <w:t>134</w:t>
            </w:r>
            <w:r>
              <w:br/>
            </w:r>
            <w:r w:rsidRPr="0052170C">
              <w:t>(–2.8%)</w:t>
            </w:r>
          </w:p>
        </w:tc>
        <w:tc>
          <w:tcPr>
            <w:tcW w:w="972" w:type="dxa"/>
            <w:noWrap/>
            <w:hideMark/>
          </w:tcPr>
          <w:p w:rsidR="0052170C" w:rsidRPr="0052170C" w:rsidRDefault="0052170C" w:rsidP="0052170C">
            <w:pPr>
              <w:cnfStyle w:val="000000000000" w:firstRow="0" w:lastRow="0" w:firstColumn="0" w:lastColumn="0" w:oddVBand="0" w:evenVBand="0" w:oddHBand="0" w:evenHBand="0" w:firstRowFirstColumn="0" w:firstRowLastColumn="0" w:lastRowFirstColumn="0" w:lastRowLastColumn="0"/>
            </w:pPr>
            <w:r>
              <w:t>–$</w:t>
            </w:r>
            <w:r w:rsidR="00E64A8E">
              <w:t>1</w:t>
            </w:r>
            <w:r w:rsidRPr="0052170C">
              <w:t>26</w:t>
            </w:r>
            <w:r>
              <w:br/>
            </w:r>
            <w:r w:rsidRPr="0052170C">
              <w:t>(–2.7%)</w:t>
            </w:r>
          </w:p>
        </w:tc>
        <w:tc>
          <w:tcPr>
            <w:tcW w:w="973" w:type="dxa"/>
            <w:noWrap/>
            <w:hideMark/>
          </w:tcPr>
          <w:p w:rsidR="0052170C" w:rsidRPr="0052170C" w:rsidRDefault="0052170C">
            <w:pPr>
              <w:cnfStyle w:val="000000000000" w:firstRow="0" w:lastRow="0" w:firstColumn="0" w:lastColumn="0" w:oddVBand="0" w:evenVBand="0" w:oddHBand="0" w:evenHBand="0" w:firstRowFirstColumn="0" w:firstRowLastColumn="0" w:lastRowFirstColumn="0" w:lastRowLastColumn="0"/>
            </w:pPr>
            <w:r>
              <w:t>$</w:t>
            </w:r>
            <w:r w:rsidR="00E64A8E">
              <w:t>89</w:t>
            </w:r>
            <w:r>
              <w:br/>
            </w:r>
            <w:r w:rsidRPr="0052170C">
              <w:t>(+</w:t>
            </w:r>
            <w:r w:rsidR="00E64A8E">
              <w:t>2</w:t>
            </w:r>
            <w:r w:rsidRPr="0052170C">
              <w:t>.</w:t>
            </w:r>
            <w:r w:rsidR="00E64A8E">
              <w:t>0</w:t>
            </w:r>
            <w:r w:rsidRPr="0052170C">
              <w:t>%)</w:t>
            </w:r>
          </w:p>
        </w:tc>
      </w:tr>
      <w:tr w:rsidR="00B92532" w:rsidRPr="0052170C"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rsidR="00B92532" w:rsidRPr="0052170C" w:rsidRDefault="00B92532" w:rsidP="00B92532">
            <w:pPr>
              <w:rPr>
                <w:rStyle w:val="Strong"/>
              </w:rPr>
            </w:pPr>
            <w:r w:rsidRPr="0052170C">
              <w:rPr>
                <w:rStyle w:val="Strong"/>
              </w:rPr>
              <w:t>AER final decision</w:t>
            </w:r>
          </w:p>
        </w:tc>
        <w:tc>
          <w:tcPr>
            <w:tcW w:w="972" w:type="dxa"/>
            <w:noWrap/>
            <w:hideMark/>
          </w:tcPr>
          <w:p w:rsidR="00B92532" w:rsidRPr="0052170C" w:rsidRDefault="00B92532" w:rsidP="00B92532">
            <w:pPr>
              <w:cnfStyle w:val="000000010000" w:firstRow="0" w:lastRow="0" w:firstColumn="0" w:lastColumn="0" w:oddVBand="0" w:evenVBand="0" w:oddHBand="0" w:evenHBand="1" w:firstRowFirstColumn="0" w:firstRowLastColumn="0" w:lastRowFirstColumn="0" w:lastRowLastColumn="0"/>
              <w:rPr>
                <w:rStyle w:val="Strong"/>
              </w:rPr>
            </w:pPr>
          </w:p>
        </w:tc>
        <w:tc>
          <w:tcPr>
            <w:tcW w:w="972" w:type="dxa"/>
            <w:noWrap/>
            <w:hideMark/>
          </w:tcPr>
          <w:p w:rsidR="00B92532" w:rsidRPr="0052170C" w:rsidRDefault="00B92532" w:rsidP="00B92532">
            <w:pPr>
              <w:cnfStyle w:val="000000010000" w:firstRow="0" w:lastRow="0" w:firstColumn="0" w:lastColumn="0" w:oddVBand="0" w:evenVBand="0" w:oddHBand="0" w:evenHBand="1" w:firstRowFirstColumn="0" w:firstRowLastColumn="0" w:lastRowFirstColumn="0" w:lastRowLastColumn="0"/>
              <w:rPr>
                <w:rStyle w:val="Strong"/>
              </w:rPr>
            </w:pPr>
          </w:p>
        </w:tc>
        <w:tc>
          <w:tcPr>
            <w:tcW w:w="972" w:type="dxa"/>
            <w:noWrap/>
            <w:hideMark/>
          </w:tcPr>
          <w:p w:rsidR="00B92532" w:rsidRPr="0052170C" w:rsidRDefault="00B92532" w:rsidP="00B92532">
            <w:pPr>
              <w:cnfStyle w:val="000000010000" w:firstRow="0" w:lastRow="0" w:firstColumn="0" w:lastColumn="0" w:oddVBand="0" w:evenVBand="0" w:oddHBand="0" w:evenHBand="1" w:firstRowFirstColumn="0" w:firstRowLastColumn="0" w:lastRowFirstColumn="0" w:lastRowLastColumn="0"/>
              <w:rPr>
                <w:rStyle w:val="Strong"/>
              </w:rPr>
            </w:pPr>
          </w:p>
        </w:tc>
        <w:tc>
          <w:tcPr>
            <w:tcW w:w="972" w:type="dxa"/>
            <w:noWrap/>
            <w:hideMark/>
          </w:tcPr>
          <w:p w:rsidR="00B92532" w:rsidRPr="0052170C" w:rsidRDefault="00B92532" w:rsidP="00B92532">
            <w:pPr>
              <w:cnfStyle w:val="000000010000" w:firstRow="0" w:lastRow="0" w:firstColumn="0" w:lastColumn="0" w:oddVBand="0" w:evenVBand="0" w:oddHBand="0" w:evenHBand="1" w:firstRowFirstColumn="0" w:firstRowLastColumn="0" w:lastRowFirstColumn="0" w:lastRowLastColumn="0"/>
              <w:rPr>
                <w:rStyle w:val="Strong"/>
              </w:rPr>
            </w:pPr>
          </w:p>
        </w:tc>
        <w:tc>
          <w:tcPr>
            <w:tcW w:w="972" w:type="dxa"/>
            <w:noWrap/>
            <w:hideMark/>
          </w:tcPr>
          <w:p w:rsidR="00B92532" w:rsidRPr="0052170C" w:rsidRDefault="00B92532" w:rsidP="00B92532">
            <w:pPr>
              <w:cnfStyle w:val="000000010000" w:firstRow="0" w:lastRow="0" w:firstColumn="0" w:lastColumn="0" w:oddVBand="0" w:evenVBand="0" w:oddHBand="0" w:evenHBand="1" w:firstRowFirstColumn="0" w:firstRowLastColumn="0" w:lastRowFirstColumn="0" w:lastRowLastColumn="0"/>
              <w:rPr>
                <w:rStyle w:val="Strong"/>
              </w:rPr>
            </w:pPr>
          </w:p>
        </w:tc>
        <w:tc>
          <w:tcPr>
            <w:tcW w:w="973" w:type="dxa"/>
            <w:noWrap/>
            <w:hideMark/>
          </w:tcPr>
          <w:p w:rsidR="00B92532" w:rsidRPr="0052170C" w:rsidRDefault="00B92532" w:rsidP="00B92532">
            <w:pPr>
              <w:cnfStyle w:val="000000010000" w:firstRow="0" w:lastRow="0" w:firstColumn="0" w:lastColumn="0" w:oddVBand="0" w:evenVBand="0" w:oddHBand="0" w:evenHBand="1" w:firstRowFirstColumn="0" w:firstRowLastColumn="0" w:lastRowFirstColumn="0" w:lastRowLastColumn="0"/>
              <w:rPr>
                <w:rStyle w:val="Strong"/>
              </w:rPr>
            </w:pPr>
          </w:p>
        </w:tc>
      </w:tr>
      <w:tr w:rsidR="00B92532" w:rsidRPr="00B92532" w:rsidTr="006D4F27">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rsidR="00B92532" w:rsidRPr="00B92532" w:rsidRDefault="00B92532" w:rsidP="00B92532">
            <w:r w:rsidRPr="00B92532">
              <w:t>Residential annual gas bill</w:t>
            </w:r>
            <w:r w:rsidRPr="0052170C">
              <w:rPr>
                <w:rStyle w:val="AERsuperscript"/>
              </w:rPr>
              <w:t>a</w:t>
            </w:r>
          </w:p>
        </w:tc>
        <w:tc>
          <w:tcPr>
            <w:tcW w:w="972" w:type="dxa"/>
            <w:noWrap/>
            <w:hideMark/>
          </w:tcPr>
          <w:p w:rsidR="00B92532" w:rsidRPr="00B92532" w:rsidRDefault="00B92532" w:rsidP="00B92532">
            <w:pPr>
              <w:cnfStyle w:val="000000000000" w:firstRow="0" w:lastRow="0" w:firstColumn="0" w:lastColumn="0" w:oddVBand="0" w:evenVBand="0" w:oddHBand="0" w:evenHBand="0" w:firstRowFirstColumn="0" w:firstRowLastColumn="0" w:lastRowFirstColumn="0" w:lastRowLastColumn="0"/>
            </w:pPr>
            <w:r>
              <w:t>$</w:t>
            </w:r>
            <w:r w:rsidRPr="00B92532">
              <w:t>1</w:t>
            </w:r>
            <w:r w:rsidR="00CD1A33">
              <w:t>,</w:t>
            </w:r>
            <w:r w:rsidRPr="00B92532">
              <w:t>042</w:t>
            </w:r>
          </w:p>
        </w:tc>
        <w:tc>
          <w:tcPr>
            <w:tcW w:w="972" w:type="dxa"/>
            <w:noWrap/>
            <w:hideMark/>
          </w:tcPr>
          <w:p w:rsidR="00B92532" w:rsidRPr="00B92532" w:rsidRDefault="00B92532" w:rsidP="00B92532">
            <w:pPr>
              <w:cnfStyle w:val="000000000000" w:firstRow="0" w:lastRow="0" w:firstColumn="0" w:lastColumn="0" w:oddVBand="0" w:evenVBand="0" w:oddHBand="0" w:evenHBand="0" w:firstRowFirstColumn="0" w:firstRowLastColumn="0" w:lastRowFirstColumn="0" w:lastRowLastColumn="0"/>
            </w:pPr>
            <w:r>
              <w:t>$</w:t>
            </w:r>
            <w:r w:rsidRPr="00B92532">
              <w:t>946</w:t>
            </w:r>
          </w:p>
        </w:tc>
        <w:tc>
          <w:tcPr>
            <w:tcW w:w="972" w:type="dxa"/>
            <w:noWrap/>
            <w:hideMark/>
          </w:tcPr>
          <w:p w:rsidR="00B92532" w:rsidRPr="00B92532" w:rsidRDefault="00B92532">
            <w:pPr>
              <w:cnfStyle w:val="000000000000" w:firstRow="0" w:lastRow="0" w:firstColumn="0" w:lastColumn="0" w:oddVBand="0" w:evenVBand="0" w:oddHBand="0" w:evenHBand="0" w:firstRowFirstColumn="0" w:firstRowLastColumn="0" w:lastRowFirstColumn="0" w:lastRowLastColumn="0"/>
            </w:pPr>
            <w:r>
              <w:t>$</w:t>
            </w:r>
            <w:r w:rsidRPr="00B92532">
              <w:t>90</w:t>
            </w:r>
            <w:r w:rsidR="00E64A8E">
              <w:t>5</w:t>
            </w:r>
          </w:p>
        </w:tc>
        <w:tc>
          <w:tcPr>
            <w:tcW w:w="972" w:type="dxa"/>
            <w:noWrap/>
            <w:hideMark/>
          </w:tcPr>
          <w:p w:rsidR="00B92532" w:rsidRPr="00B92532" w:rsidRDefault="00B92532" w:rsidP="00B92532">
            <w:pPr>
              <w:cnfStyle w:val="000000000000" w:firstRow="0" w:lastRow="0" w:firstColumn="0" w:lastColumn="0" w:oddVBand="0" w:evenVBand="0" w:oddHBand="0" w:evenHBand="0" w:firstRowFirstColumn="0" w:firstRowLastColumn="0" w:lastRowFirstColumn="0" w:lastRowLastColumn="0"/>
            </w:pPr>
            <w:r>
              <w:t>$</w:t>
            </w:r>
            <w:r w:rsidRPr="00B92532">
              <w:t>88</w:t>
            </w:r>
            <w:r w:rsidR="00E64A8E">
              <w:t>7</w:t>
            </w:r>
          </w:p>
        </w:tc>
        <w:tc>
          <w:tcPr>
            <w:tcW w:w="972" w:type="dxa"/>
            <w:noWrap/>
            <w:hideMark/>
          </w:tcPr>
          <w:p w:rsidR="00B92532" w:rsidRPr="00B92532" w:rsidRDefault="00B92532">
            <w:pPr>
              <w:cnfStyle w:val="000000000000" w:firstRow="0" w:lastRow="0" w:firstColumn="0" w:lastColumn="0" w:oddVBand="0" w:evenVBand="0" w:oddHBand="0" w:evenHBand="0" w:firstRowFirstColumn="0" w:firstRowLastColumn="0" w:lastRowFirstColumn="0" w:lastRowLastColumn="0"/>
            </w:pPr>
            <w:r>
              <w:t>$</w:t>
            </w:r>
            <w:r w:rsidRPr="00B92532">
              <w:t>87</w:t>
            </w:r>
            <w:r w:rsidR="00E64A8E">
              <w:t>8</w:t>
            </w:r>
          </w:p>
        </w:tc>
        <w:tc>
          <w:tcPr>
            <w:tcW w:w="973" w:type="dxa"/>
            <w:noWrap/>
            <w:hideMark/>
          </w:tcPr>
          <w:p w:rsidR="00B92532" w:rsidRPr="00B92532" w:rsidRDefault="00B92532">
            <w:pPr>
              <w:cnfStyle w:val="000000000000" w:firstRow="0" w:lastRow="0" w:firstColumn="0" w:lastColumn="0" w:oddVBand="0" w:evenVBand="0" w:oddHBand="0" w:evenHBand="0" w:firstRowFirstColumn="0" w:firstRowLastColumn="0" w:lastRowFirstColumn="0" w:lastRowLastColumn="0"/>
            </w:pPr>
            <w:r>
              <w:t>$</w:t>
            </w:r>
            <w:r w:rsidRPr="00B92532">
              <w:t>88</w:t>
            </w:r>
            <w:r w:rsidR="00E64A8E">
              <w:t>7</w:t>
            </w:r>
          </w:p>
        </w:tc>
      </w:tr>
      <w:tr w:rsidR="00B92532" w:rsidRPr="00B92532"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rsidR="00B92532" w:rsidRPr="00B92532" w:rsidRDefault="00B92532" w:rsidP="0052170C">
            <w:r w:rsidRPr="00B92532">
              <w:t>Annual change in distribution bill component</w:t>
            </w:r>
            <w:r w:rsidR="0052170C">
              <w:t>—r</w:t>
            </w:r>
            <w:r w:rsidRPr="00B92532">
              <w:t>esidential</w:t>
            </w:r>
          </w:p>
        </w:tc>
        <w:tc>
          <w:tcPr>
            <w:tcW w:w="972" w:type="dxa"/>
            <w:noWrap/>
            <w:hideMark/>
          </w:tcPr>
          <w:p w:rsidR="00B92532" w:rsidRPr="00B92532" w:rsidRDefault="00B92532" w:rsidP="00B92532">
            <w:pPr>
              <w:cnfStyle w:val="000000010000" w:firstRow="0" w:lastRow="0" w:firstColumn="0" w:lastColumn="0" w:oddVBand="0" w:evenVBand="0" w:oddHBand="0" w:evenHBand="1" w:firstRowFirstColumn="0" w:firstRowLastColumn="0" w:lastRowFirstColumn="0" w:lastRowLastColumn="0"/>
            </w:pPr>
          </w:p>
        </w:tc>
        <w:tc>
          <w:tcPr>
            <w:tcW w:w="972" w:type="dxa"/>
            <w:noWrap/>
            <w:hideMark/>
          </w:tcPr>
          <w:p w:rsidR="00B92532" w:rsidRPr="00B92532" w:rsidRDefault="00B92532" w:rsidP="00B92532">
            <w:pPr>
              <w:cnfStyle w:val="000000010000" w:firstRow="0" w:lastRow="0" w:firstColumn="0" w:lastColumn="0" w:oddVBand="0" w:evenVBand="0" w:oddHBand="0" w:evenHBand="1" w:firstRowFirstColumn="0" w:firstRowLastColumn="0" w:lastRowFirstColumn="0" w:lastRowLastColumn="0"/>
            </w:pPr>
            <w:r>
              <w:t>–$</w:t>
            </w:r>
            <w:r w:rsidRPr="00B92532">
              <w:t>96</w:t>
            </w:r>
            <w:r w:rsidR="0052170C">
              <w:br/>
              <w:t>(–9.2%</w:t>
            </w:r>
            <w:r w:rsidR="002C0716">
              <w:t>)</w:t>
            </w:r>
          </w:p>
        </w:tc>
        <w:tc>
          <w:tcPr>
            <w:tcW w:w="972" w:type="dxa"/>
            <w:noWrap/>
            <w:hideMark/>
          </w:tcPr>
          <w:p w:rsidR="00B92532" w:rsidRPr="00B92532" w:rsidRDefault="00B92532">
            <w:pPr>
              <w:cnfStyle w:val="000000010000" w:firstRow="0" w:lastRow="0" w:firstColumn="0" w:lastColumn="0" w:oddVBand="0" w:evenVBand="0" w:oddHBand="0" w:evenHBand="1" w:firstRowFirstColumn="0" w:firstRowLastColumn="0" w:lastRowFirstColumn="0" w:lastRowLastColumn="0"/>
            </w:pPr>
            <w:r>
              <w:t>–$</w:t>
            </w:r>
            <w:r w:rsidRPr="00B92532">
              <w:t>4</w:t>
            </w:r>
            <w:r w:rsidR="00E64A8E">
              <w:t>1</w:t>
            </w:r>
            <w:r w:rsidR="0052170C">
              <w:br/>
              <w:t>(–4.</w:t>
            </w:r>
            <w:r w:rsidR="00E64A8E">
              <w:t>4</w:t>
            </w:r>
            <w:r w:rsidR="0052170C">
              <w:t>%)</w:t>
            </w:r>
          </w:p>
        </w:tc>
        <w:tc>
          <w:tcPr>
            <w:tcW w:w="972" w:type="dxa"/>
            <w:noWrap/>
            <w:hideMark/>
          </w:tcPr>
          <w:p w:rsidR="00B92532" w:rsidRPr="00B92532" w:rsidRDefault="00B92532">
            <w:pPr>
              <w:cnfStyle w:val="000000010000" w:firstRow="0" w:lastRow="0" w:firstColumn="0" w:lastColumn="0" w:oddVBand="0" w:evenVBand="0" w:oddHBand="0" w:evenHBand="1" w:firstRowFirstColumn="0" w:firstRowLastColumn="0" w:lastRowFirstColumn="0" w:lastRowLastColumn="0"/>
            </w:pPr>
            <w:r>
              <w:t>–$</w:t>
            </w:r>
            <w:r w:rsidR="00E64A8E">
              <w:t>18</w:t>
            </w:r>
            <w:r w:rsidR="0052170C">
              <w:br/>
              <w:t>(–2.</w:t>
            </w:r>
            <w:r w:rsidR="00E64A8E">
              <w:t>0</w:t>
            </w:r>
            <w:r w:rsidR="0052170C">
              <w:t>%)</w:t>
            </w:r>
          </w:p>
        </w:tc>
        <w:tc>
          <w:tcPr>
            <w:tcW w:w="972" w:type="dxa"/>
            <w:noWrap/>
            <w:hideMark/>
          </w:tcPr>
          <w:p w:rsidR="00B92532" w:rsidRPr="00B92532" w:rsidRDefault="0052170C">
            <w:pPr>
              <w:cnfStyle w:val="000000010000" w:firstRow="0" w:lastRow="0" w:firstColumn="0" w:lastColumn="0" w:oddVBand="0" w:evenVBand="0" w:oddHBand="0" w:evenHBand="1" w:firstRowFirstColumn="0" w:firstRowLastColumn="0" w:lastRowFirstColumn="0" w:lastRowLastColumn="0"/>
            </w:pPr>
            <w:r>
              <w:t>–</w:t>
            </w:r>
            <w:r w:rsidR="00B92532">
              <w:t>$</w:t>
            </w:r>
            <w:r w:rsidR="00B92532" w:rsidRPr="00B92532">
              <w:t>9</w:t>
            </w:r>
            <w:r>
              <w:br/>
              <w:t>(–1.</w:t>
            </w:r>
            <w:r w:rsidR="002C0716">
              <w:t>0</w:t>
            </w:r>
            <w:r>
              <w:t>%)</w:t>
            </w:r>
          </w:p>
        </w:tc>
        <w:tc>
          <w:tcPr>
            <w:tcW w:w="973" w:type="dxa"/>
            <w:noWrap/>
            <w:hideMark/>
          </w:tcPr>
          <w:p w:rsidR="00B92532" w:rsidRPr="00B92532" w:rsidRDefault="00B92532" w:rsidP="00B92532">
            <w:pPr>
              <w:cnfStyle w:val="000000010000" w:firstRow="0" w:lastRow="0" w:firstColumn="0" w:lastColumn="0" w:oddVBand="0" w:evenVBand="0" w:oddHBand="0" w:evenHBand="1" w:firstRowFirstColumn="0" w:firstRowLastColumn="0" w:lastRowFirstColumn="0" w:lastRowLastColumn="0"/>
            </w:pPr>
            <w:r>
              <w:t>$</w:t>
            </w:r>
            <w:r w:rsidRPr="00B92532">
              <w:t>9</w:t>
            </w:r>
            <w:r w:rsidR="0052170C">
              <w:br/>
              <w:t>(+1.0%)</w:t>
            </w:r>
          </w:p>
        </w:tc>
      </w:tr>
      <w:tr w:rsidR="0052170C" w:rsidRPr="00B92532" w:rsidTr="006D4F27">
        <w:trPr>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rsidR="0052170C" w:rsidRPr="0052170C" w:rsidRDefault="0052170C" w:rsidP="0052170C">
            <w:r>
              <w:t>Small business</w:t>
            </w:r>
            <w:r w:rsidRPr="00B92532">
              <w:t xml:space="preserve"> annual gas bill</w:t>
            </w:r>
            <w:r w:rsidRPr="0052170C">
              <w:rPr>
                <w:rStyle w:val="AERsuperscript"/>
              </w:rPr>
              <w:t>a</w:t>
            </w:r>
          </w:p>
        </w:tc>
        <w:tc>
          <w:tcPr>
            <w:tcW w:w="972" w:type="dxa"/>
            <w:noWrap/>
            <w:hideMark/>
          </w:tcPr>
          <w:p w:rsidR="0052170C" w:rsidRPr="0052170C" w:rsidRDefault="0052170C">
            <w:pPr>
              <w:cnfStyle w:val="000000000000" w:firstRow="0" w:lastRow="0" w:firstColumn="0" w:lastColumn="0" w:oddVBand="0" w:evenVBand="0" w:oddHBand="0" w:evenHBand="0" w:firstRowFirstColumn="0" w:firstRowLastColumn="0" w:lastRowFirstColumn="0" w:lastRowLastColumn="0"/>
            </w:pPr>
            <w:r>
              <w:t>$</w:t>
            </w:r>
            <w:r w:rsidR="002C0716">
              <w:t>5</w:t>
            </w:r>
            <w:r w:rsidR="00CD1A33">
              <w:t>,</w:t>
            </w:r>
            <w:r w:rsidR="002C0716">
              <w:t>021</w:t>
            </w:r>
          </w:p>
        </w:tc>
        <w:tc>
          <w:tcPr>
            <w:tcW w:w="972" w:type="dxa"/>
            <w:noWrap/>
            <w:hideMark/>
          </w:tcPr>
          <w:p w:rsidR="0052170C" w:rsidRPr="0052170C" w:rsidRDefault="0052170C">
            <w:pPr>
              <w:cnfStyle w:val="000000000000" w:firstRow="0" w:lastRow="0" w:firstColumn="0" w:lastColumn="0" w:oddVBand="0" w:evenVBand="0" w:oddHBand="0" w:evenHBand="0" w:firstRowFirstColumn="0" w:firstRowLastColumn="0" w:lastRowFirstColumn="0" w:lastRowLastColumn="0"/>
            </w:pPr>
            <w:r>
              <w:t>$</w:t>
            </w:r>
            <w:r w:rsidR="002C0716">
              <w:t>4</w:t>
            </w:r>
            <w:r w:rsidR="00CD1A33">
              <w:t>,</w:t>
            </w:r>
            <w:r w:rsidR="002C0716">
              <w:t>559</w:t>
            </w:r>
          </w:p>
        </w:tc>
        <w:tc>
          <w:tcPr>
            <w:tcW w:w="972" w:type="dxa"/>
            <w:noWrap/>
            <w:hideMark/>
          </w:tcPr>
          <w:p w:rsidR="0052170C" w:rsidRPr="0052170C" w:rsidRDefault="0052170C">
            <w:pPr>
              <w:cnfStyle w:val="000000000000" w:firstRow="0" w:lastRow="0" w:firstColumn="0" w:lastColumn="0" w:oddVBand="0" w:evenVBand="0" w:oddHBand="0" w:evenHBand="0" w:firstRowFirstColumn="0" w:firstRowLastColumn="0" w:lastRowFirstColumn="0" w:lastRowLastColumn="0"/>
            </w:pPr>
            <w:r>
              <w:t>$</w:t>
            </w:r>
            <w:r w:rsidR="002C0716">
              <w:t>4</w:t>
            </w:r>
            <w:r w:rsidR="00CD1A33">
              <w:t>,</w:t>
            </w:r>
            <w:r w:rsidR="002C0716">
              <w:t>359</w:t>
            </w:r>
          </w:p>
        </w:tc>
        <w:tc>
          <w:tcPr>
            <w:tcW w:w="972" w:type="dxa"/>
            <w:noWrap/>
            <w:hideMark/>
          </w:tcPr>
          <w:p w:rsidR="0052170C" w:rsidRPr="0052170C" w:rsidRDefault="0052170C">
            <w:pPr>
              <w:cnfStyle w:val="000000000000" w:firstRow="0" w:lastRow="0" w:firstColumn="0" w:lastColumn="0" w:oddVBand="0" w:evenVBand="0" w:oddHBand="0" w:evenHBand="0" w:firstRowFirstColumn="0" w:firstRowLastColumn="0" w:lastRowFirstColumn="0" w:lastRowLastColumn="0"/>
            </w:pPr>
            <w:r>
              <w:t>$</w:t>
            </w:r>
            <w:r w:rsidR="002C0716">
              <w:t>4</w:t>
            </w:r>
            <w:r w:rsidR="00CD1A33">
              <w:t>,</w:t>
            </w:r>
            <w:r w:rsidR="002C0716">
              <w:t>274</w:t>
            </w:r>
          </w:p>
        </w:tc>
        <w:tc>
          <w:tcPr>
            <w:tcW w:w="972" w:type="dxa"/>
            <w:noWrap/>
            <w:hideMark/>
          </w:tcPr>
          <w:p w:rsidR="0052170C" w:rsidRPr="0052170C" w:rsidRDefault="0052170C">
            <w:pPr>
              <w:cnfStyle w:val="000000000000" w:firstRow="0" w:lastRow="0" w:firstColumn="0" w:lastColumn="0" w:oddVBand="0" w:evenVBand="0" w:oddHBand="0" w:evenHBand="0" w:firstRowFirstColumn="0" w:firstRowLastColumn="0" w:lastRowFirstColumn="0" w:lastRowLastColumn="0"/>
            </w:pPr>
            <w:r>
              <w:t>$</w:t>
            </w:r>
            <w:r w:rsidR="002C0716">
              <w:t>4</w:t>
            </w:r>
            <w:r w:rsidR="00CD1A33">
              <w:t>,</w:t>
            </w:r>
            <w:r w:rsidR="002C0716">
              <w:t>230</w:t>
            </w:r>
          </w:p>
        </w:tc>
        <w:tc>
          <w:tcPr>
            <w:tcW w:w="973" w:type="dxa"/>
            <w:noWrap/>
            <w:hideMark/>
          </w:tcPr>
          <w:p w:rsidR="0052170C" w:rsidRPr="0052170C" w:rsidRDefault="0052170C">
            <w:pPr>
              <w:cnfStyle w:val="000000000000" w:firstRow="0" w:lastRow="0" w:firstColumn="0" w:lastColumn="0" w:oddVBand="0" w:evenVBand="0" w:oddHBand="0" w:evenHBand="0" w:firstRowFirstColumn="0" w:firstRowLastColumn="0" w:lastRowFirstColumn="0" w:lastRowLastColumn="0"/>
            </w:pPr>
            <w:r>
              <w:t>$</w:t>
            </w:r>
            <w:r w:rsidR="002C0716">
              <w:t>4</w:t>
            </w:r>
            <w:r w:rsidR="00CD1A33">
              <w:t>,</w:t>
            </w:r>
            <w:r w:rsidR="002C0716">
              <w:t>274</w:t>
            </w:r>
          </w:p>
        </w:tc>
      </w:tr>
      <w:tr w:rsidR="0052170C" w:rsidRPr="00B92532"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0" w:type="dxa"/>
            <w:noWrap/>
            <w:hideMark/>
          </w:tcPr>
          <w:p w:rsidR="0052170C" w:rsidRPr="00B92532" w:rsidRDefault="0052170C" w:rsidP="0052170C">
            <w:r w:rsidRPr="00B92532">
              <w:t>Annual change in di</w:t>
            </w:r>
            <w:r>
              <w:t>stribution bill component—small business</w:t>
            </w:r>
          </w:p>
        </w:tc>
        <w:tc>
          <w:tcPr>
            <w:tcW w:w="972" w:type="dxa"/>
            <w:noWrap/>
            <w:hideMark/>
          </w:tcPr>
          <w:p w:rsidR="0052170C" w:rsidRPr="00B92532" w:rsidRDefault="0052170C" w:rsidP="0052170C">
            <w:pPr>
              <w:cnfStyle w:val="000000010000" w:firstRow="0" w:lastRow="0" w:firstColumn="0" w:lastColumn="0" w:oddVBand="0" w:evenVBand="0" w:oddHBand="0" w:evenHBand="1" w:firstRowFirstColumn="0" w:firstRowLastColumn="0" w:lastRowFirstColumn="0" w:lastRowLastColumn="0"/>
            </w:pPr>
          </w:p>
        </w:tc>
        <w:tc>
          <w:tcPr>
            <w:tcW w:w="972" w:type="dxa"/>
            <w:noWrap/>
            <w:hideMark/>
          </w:tcPr>
          <w:p w:rsidR="0052170C" w:rsidRPr="0052170C" w:rsidRDefault="0052170C">
            <w:pPr>
              <w:cnfStyle w:val="000000010000" w:firstRow="0" w:lastRow="0" w:firstColumn="0" w:lastColumn="0" w:oddVBand="0" w:evenVBand="0" w:oddHBand="0" w:evenHBand="1" w:firstRowFirstColumn="0" w:firstRowLastColumn="0" w:lastRowFirstColumn="0" w:lastRowLastColumn="0"/>
            </w:pPr>
            <w:r>
              <w:t>–$</w:t>
            </w:r>
            <w:r w:rsidR="002C0716">
              <w:t>462</w:t>
            </w:r>
            <w:r w:rsidRPr="0052170C">
              <w:br/>
              <w:t>(–9.2%</w:t>
            </w:r>
            <w:r w:rsidR="002C0716">
              <w:t>)</w:t>
            </w:r>
          </w:p>
        </w:tc>
        <w:tc>
          <w:tcPr>
            <w:tcW w:w="972" w:type="dxa"/>
            <w:noWrap/>
            <w:hideMark/>
          </w:tcPr>
          <w:p w:rsidR="0052170C" w:rsidRPr="0052170C" w:rsidRDefault="0052170C">
            <w:pPr>
              <w:cnfStyle w:val="000000010000" w:firstRow="0" w:lastRow="0" w:firstColumn="0" w:lastColumn="0" w:oddVBand="0" w:evenVBand="0" w:oddHBand="0" w:evenHBand="1" w:firstRowFirstColumn="0" w:firstRowLastColumn="0" w:lastRowFirstColumn="0" w:lastRowLastColumn="0"/>
            </w:pPr>
            <w:r>
              <w:t>–$</w:t>
            </w:r>
            <w:r w:rsidR="002C0716">
              <w:t>200</w:t>
            </w:r>
            <w:r w:rsidRPr="0052170C">
              <w:br/>
              <w:t>(–4.</w:t>
            </w:r>
            <w:r w:rsidR="002C0716">
              <w:t>4</w:t>
            </w:r>
            <w:r w:rsidRPr="0052170C">
              <w:t>%)</w:t>
            </w:r>
          </w:p>
        </w:tc>
        <w:tc>
          <w:tcPr>
            <w:tcW w:w="972" w:type="dxa"/>
            <w:noWrap/>
            <w:hideMark/>
          </w:tcPr>
          <w:p w:rsidR="0052170C" w:rsidRPr="0052170C" w:rsidRDefault="0052170C">
            <w:pPr>
              <w:cnfStyle w:val="000000010000" w:firstRow="0" w:lastRow="0" w:firstColumn="0" w:lastColumn="0" w:oddVBand="0" w:evenVBand="0" w:oddHBand="0" w:evenHBand="1" w:firstRowFirstColumn="0" w:firstRowLastColumn="0" w:lastRowFirstColumn="0" w:lastRowLastColumn="0"/>
            </w:pPr>
            <w:r>
              <w:t>–$</w:t>
            </w:r>
            <w:r w:rsidR="002C0716">
              <w:t>86</w:t>
            </w:r>
            <w:r w:rsidRPr="0052170C">
              <w:br/>
              <w:t>(–2</w:t>
            </w:r>
            <w:r w:rsidR="002C0716">
              <w:t>.0</w:t>
            </w:r>
            <w:r w:rsidRPr="0052170C">
              <w:t>%)</w:t>
            </w:r>
          </w:p>
        </w:tc>
        <w:tc>
          <w:tcPr>
            <w:tcW w:w="972" w:type="dxa"/>
            <w:noWrap/>
            <w:hideMark/>
          </w:tcPr>
          <w:p w:rsidR="0052170C" w:rsidRPr="0052170C" w:rsidRDefault="0052170C">
            <w:pPr>
              <w:cnfStyle w:val="000000010000" w:firstRow="0" w:lastRow="0" w:firstColumn="0" w:lastColumn="0" w:oddVBand="0" w:evenVBand="0" w:oddHBand="0" w:evenHBand="1" w:firstRowFirstColumn="0" w:firstRowLastColumn="0" w:lastRowFirstColumn="0" w:lastRowLastColumn="0"/>
            </w:pPr>
            <w:r>
              <w:t>–</w:t>
            </w:r>
            <w:r w:rsidRPr="0052170C">
              <w:t>$</w:t>
            </w:r>
            <w:r w:rsidR="002C0716">
              <w:t>44</w:t>
            </w:r>
            <w:r w:rsidRPr="0052170C">
              <w:br/>
              <w:t>(–1.</w:t>
            </w:r>
            <w:r w:rsidR="002C0716">
              <w:t>0</w:t>
            </w:r>
            <w:r w:rsidRPr="0052170C">
              <w:t>%)</w:t>
            </w:r>
          </w:p>
        </w:tc>
        <w:tc>
          <w:tcPr>
            <w:tcW w:w="973" w:type="dxa"/>
            <w:noWrap/>
            <w:hideMark/>
          </w:tcPr>
          <w:p w:rsidR="0052170C" w:rsidRPr="0052170C" w:rsidRDefault="0052170C">
            <w:pPr>
              <w:cnfStyle w:val="000000010000" w:firstRow="0" w:lastRow="0" w:firstColumn="0" w:lastColumn="0" w:oddVBand="0" w:evenVBand="0" w:oddHBand="0" w:evenHBand="1" w:firstRowFirstColumn="0" w:firstRowLastColumn="0" w:lastRowFirstColumn="0" w:lastRowLastColumn="0"/>
            </w:pPr>
            <w:r>
              <w:t>$</w:t>
            </w:r>
            <w:r w:rsidR="002C0716">
              <w:t>44</w:t>
            </w:r>
            <w:r w:rsidRPr="0052170C">
              <w:br/>
              <w:t>(+1.0%)</w:t>
            </w:r>
          </w:p>
        </w:tc>
      </w:tr>
    </w:tbl>
    <w:p w:rsidR="00153CE4" w:rsidRDefault="00B92532" w:rsidP="004E1372">
      <w:pPr>
        <w:pStyle w:val="AERtablesource"/>
      </w:pPr>
      <w:r w:rsidRPr="00B92532">
        <w:t>Source:</w:t>
      </w:r>
      <w:r w:rsidRPr="00B92532">
        <w:tab/>
      </w:r>
      <w:r w:rsidR="007B7287" w:rsidRPr="007B7287">
        <w:t xml:space="preserve">AER analysis; </w:t>
      </w:r>
      <w:r w:rsidR="004E1372" w:rsidRPr="004E1372">
        <w:t xml:space="preserve">JGN, </w:t>
      </w:r>
      <w:r w:rsidR="004E1372" w:rsidRPr="004E1372">
        <w:rPr>
          <w:rStyle w:val="AERtextitalic"/>
        </w:rPr>
        <w:t>Submissions on draft decision,</w:t>
      </w:r>
      <w:r w:rsidR="004E1372" w:rsidRPr="004E1372">
        <w:t xml:space="preserve"> </w:t>
      </w:r>
      <w:r w:rsidR="004E1372" w:rsidRPr="004E1372">
        <w:rPr>
          <w:rStyle w:val="AERtextitalic"/>
        </w:rPr>
        <w:t>Attachment N - updated appendix 10.1 - JGN revenue forecast model</w:t>
      </w:r>
      <w:r w:rsidR="004E1372">
        <w:t>, 27 March 2015.</w:t>
      </w:r>
    </w:p>
    <w:p w:rsidR="00985871" w:rsidRDefault="007B2346" w:rsidP="00626C66">
      <w:pPr>
        <w:pStyle w:val="AERtablesource"/>
      </w:pPr>
      <w:r w:rsidRPr="00BB62E8">
        <w:t>a</w:t>
      </w:r>
      <w:r w:rsidRPr="00BB62E8">
        <w:tab/>
      </w:r>
      <w:r w:rsidR="003424EB">
        <w:t xml:space="preserve">The </w:t>
      </w:r>
      <w:r w:rsidRPr="00BB62E8">
        <w:t xml:space="preserve">2014–15 annual </w:t>
      </w:r>
      <w:r w:rsidR="00D22BC0">
        <w:t xml:space="preserve">gas </w:t>
      </w:r>
      <w:r w:rsidRPr="00BB62E8">
        <w:t xml:space="preserve">bill </w:t>
      </w:r>
      <w:r w:rsidR="003424EB">
        <w:t xml:space="preserve">was </w:t>
      </w:r>
      <w:r w:rsidR="007D5408">
        <w:t xml:space="preserve">calculated </w:t>
      </w:r>
      <w:r w:rsidRPr="00BB62E8">
        <w:t xml:space="preserve">based on IPART, </w:t>
      </w:r>
      <w:r w:rsidRPr="00BB62E8">
        <w:rPr>
          <w:rStyle w:val="AERtextitalic"/>
        </w:rPr>
        <w:t>Fact sheet – Removing carbon costs from regulated gas prices</w:t>
      </w:r>
      <w:r w:rsidRPr="00BB62E8">
        <w:t xml:space="preserve">, 15 August 2014. </w:t>
      </w:r>
      <w:r w:rsidR="007E1ABC">
        <w:t xml:space="preserve">The </w:t>
      </w:r>
      <w:r w:rsidRPr="00BB62E8">
        <w:t xml:space="preserve">2015–16 to 2019–20 annual </w:t>
      </w:r>
      <w:r w:rsidR="00D22BC0">
        <w:t xml:space="preserve">gas </w:t>
      </w:r>
      <w:r w:rsidRPr="00BB62E8">
        <w:t xml:space="preserve">bills </w:t>
      </w:r>
      <w:r w:rsidR="007E1ABC">
        <w:t xml:space="preserve">were </w:t>
      </w:r>
      <w:r w:rsidR="00985871">
        <w:t xml:space="preserve">calculated </w:t>
      </w:r>
      <w:r w:rsidR="003424EB">
        <w:t xml:space="preserve">from this starting point, </w:t>
      </w:r>
      <w:r w:rsidR="00985871">
        <w:t xml:space="preserve">applying </w:t>
      </w:r>
      <w:r w:rsidR="003424EB">
        <w:t xml:space="preserve">each year </w:t>
      </w:r>
      <w:r w:rsidR="00E41A22">
        <w:t xml:space="preserve">the </w:t>
      </w:r>
      <w:r w:rsidR="00E41A22" w:rsidRPr="004E1372">
        <w:t>weighted</w:t>
      </w:r>
      <w:r w:rsidR="004E1372" w:rsidRPr="004E1372">
        <w:t xml:space="preserve"> average </w:t>
      </w:r>
      <w:r w:rsidR="007D5408">
        <w:t>price change</w:t>
      </w:r>
      <w:r w:rsidR="004E1372" w:rsidRPr="004E1372">
        <w:t xml:space="preserve"> (CPI</w:t>
      </w:r>
      <w:r w:rsidR="00C07523">
        <w:t>–</w:t>
      </w:r>
      <w:r w:rsidR="004E1372" w:rsidRPr="004E1372">
        <w:t xml:space="preserve">X) </w:t>
      </w:r>
      <w:r w:rsidR="003424EB">
        <w:t xml:space="preserve">to the </w:t>
      </w:r>
      <w:r w:rsidR="004E1372" w:rsidRPr="004E1372">
        <w:t>distribution charge</w:t>
      </w:r>
      <w:r w:rsidR="003424EB">
        <w:t xml:space="preserve"> component</w:t>
      </w:r>
      <w:r w:rsidR="007D5408">
        <w:t>. All other component</w:t>
      </w:r>
      <w:r w:rsidR="00F67161">
        <w:t>s</w:t>
      </w:r>
      <w:r w:rsidR="007D5408">
        <w:t xml:space="preserve"> of the bill </w:t>
      </w:r>
      <w:r w:rsidR="00F67161">
        <w:t xml:space="preserve">are </w:t>
      </w:r>
      <w:r w:rsidR="007D5408">
        <w:t xml:space="preserve">assumed to </w:t>
      </w:r>
      <w:r w:rsidR="00F04631">
        <w:t xml:space="preserve">be </w:t>
      </w:r>
      <w:r w:rsidR="007D5408">
        <w:t>h</w:t>
      </w:r>
      <w:r w:rsidR="00F04631">
        <w:t>e</w:t>
      </w:r>
      <w:r w:rsidR="007D5408">
        <w:t>ld constant</w:t>
      </w:r>
      <w:r w:rsidR="004E1372">
        <w:t>.</w:t>
      </w:r>
    </w:p>
    <w:p w:rsidR="00234DBB" w:rsidRDefault="004331D0" w:rsidP="004331D0">
      <w:r>
        <w:t>O</w:t>
      </w:r>
      <w:r w:rsidRPr="00AA0EC9">
        <w:rPr>
          <w:rStyle w:val="AERbody"/>
        </w:rPr>
        <w:t>ther factors also affect</w:t>
      </w:r>
      <w:r w:rsidRPr="0087380F">
        <w:t xml:space="preserve"> a customer’s </w:t>
      </w:r>
      <w:r w:rsidR="009F0F90">
        <w:t xml:space="preserve">annual </w:t>
      </w:r>
      <w:r>
        <w:t>gas</w:t>
      </w:r>
      <w:r w:rsidRPr="0087380F">
        <w:t xml:space="preserve"> bill, such as the wholesale price of </w:t>
      </w:r>
      <w:r>
        <w:t>gas</w:t>
      </w:r>
      <w:r w:rsidRPr="0087380F">
        <w:t>.</w:t>
      </w:r>
      <w:r>
        <w:rPr>
          <w:rStyle w:val="FootnoteReference"/>
        </w:rPr>
        <w:footnoteReference w:id="10"/>
      </w:r>
      <w:r>
        <w:t xml:space="preserve"> </w:t>
      </w:r>
      <w:r w:rsidR="00234DBB">
        <w:t xml:space="preserve">In section </w:t>
      </w:r>
      <w:r w:rsidR="00234DBB">
        <w:fldChar w:fldCharType="begin"/>
      </w:r>
      <w:r w:rsidR="00234DBB">
        <w:instrText xml:space="preserve"> REF _Ref419734802 \n \h </w:instrText>
      </w:r>
      <w:r w:rsidR="00234DBB">
        <w:fldChar w:fldCharType="separate"/>
      </w:r>
      <w:r w:rsidR="009037A2">
        <w:t>2.5</w:t>
      </w:r>
      <w:r w:rsidR="00234DBB">
        <w:fldChar w:fldCharType="end"/>
      </w:r>
      <w:r w:rsidR="00234DBB">
        <w:t xml:space="preserve"> we model the potential impact of our final decision on customer gas bills if we also allow for forecast increases in the wholesale gas price.</w:t>
      </w:r>
      <w:r w:rsidR="00234DBB">
        <w:rPr>
          <w:rStyle w:val="FootnoteReference"/>
        </w:rPr>
        <w:footnoteReference w:id="11"/>
      </w:r>
    </w:p>
    <w:p w:rsidR="008E433E" w:rsidRDefault="008E433E" w:rsidP="008E433E">
      <w:pPr>
        <w:pStyle w:val="Heading2"/>
      </w:pPr>
      <w:bookmarkStart w:id="24" w:name="_Ref417715446"/>
      <w:bookmarkStart w:id="25" w:name="_Toc417993955"/>
      <w:bookmarkStart w:id="26" w:name="_Toc419895012"/>
      <w:r>
        <w:t>Contribution to achievement of the N</w:t>
      </w:r>
      <w:r w:rsidR="007B2346">
        <w:t>G</w:t>
      </w:r>
      <w:r>
        <w:t>O</w:t>
      </w:r>
      <w:bookmarkEnd w:id="24"/>
      <w:bookmarkEnd w:id="25"/>
      <w:bookmarkEnd w:id="26"/>
    </w:p>
    <w:p w:rsidR="008E433E" w:rsidRPr="0087380F" w:rsidRDefault="008E433E" w:rsidP="008E433E">
      <w:pPr>
        <w:rPr>
          <w:rStyle w:val="AERbody"/>
        </w:rPr>
      </w:pPr>
      <w:r w:rsidRPr="0087380F">
        <w:rPr>
          <w:rStyle w:val="AERbody"/>
        </w:rPr>
        <w:t xml:space="preserve">We are satisfied that the </w:t>
      </w:r>
      <w:r w:rsidR="0075159E">
        <w:rPr>
          <w:rStyle w:val="AERbody"/>
        </w:rPr>
        <w:t xml:space="preserve">price </w:t>
      </w:r>
      <w:r w:rsidR="00FE57C6">
        <w:rPr>
          <w:rStyle w:val="AERbody"/>
        </w:rPr>
        <w:t xml:space="preserve">path and </w:t>
      </w:r>
      <w:r w:rsidR="00FE57C6" w:rsidRPr="0087380F">
        <w:rPr>
          <w:rStyle w:val="AERbody"/>
        </w:rPr>
        <w:t xml:space="preserve">total revenue </w:t>
      </w:r>
      <w:r w:rsidRPr="0087380F">
        <w:rPr>
          <w:rStyle w:val="AERbody"/>
        </w:rPr>
        <w:t>approved in our final decision contribute to the achievement of the N</w:t>
      </w:r>
      <w:r w:rsidR="007B2346">
        <w:rPr>
          <w:rStyle w:val="AERbody"/>
        </w:rPr>
        <w:t>G</w:t>
      </w:r>
      <w:r w:rsidRPr="0087380F">
        <w:rPr>
          <w:rStyle w:val="AERbody"/>
        </w:rPr>
        <w:t xml:space="preserve">O to the greatest degree. </w:t>
      </w:r>
      <w:r w:rsidR="00271C70">
        <w:rPr>
          <w:rStyle w:val="AERbody"/>
        </w:rPr>
        <w:t>O</w:t>
      </w:r>
      <w:r w:rsidRPr="0087380F">
        <w:rPr>
          <w:rStyle w:val="AERbody"/>
        </w:rPr>
        <w:t xml:space="preserve">ur </w:t>
      </w:r>
      <w:r w:rsidR="00FE57C6">
        <w:rPr>
          <w:rStyle w:val="AERbody"/>
        </w:rPr>
        <w:t xml:space="preserve">price path and </w:t>
      </w:r>
      <w:r w:rsidRPr="0087380F">
        <w:rPr>
          <w:rStyle w:val="AERbody"/>
        </w:rPr>
        <w:t xml:space="preserve">total revenue reflect the efficient, sustainable costs of providing network services in </w:t>
      </w:r>
      <w:r w:rsidR="007B2346">
        <w:rPr>
          <w:rStyle w:val="AERbody"/>
        </w:rPr>
        <w:t>JGN</w:t>
      </w:r>
      <w:r w:rsidR="007B2346" w:rsidRPr="0087380F">
        <w:rPr>
          <w:rStyle w:val="AERbody"/>
        </w:rPr>
        <w:t xml:space="preserve">'s </w:t>
      </w:r>
      <w:r w:rsidRPr="0087380F">
        <w:rPr>
          <w:rStyle w:val="AERbody"/>
        </w:rPr>
        <w:t>operating environment</w:t>
      </w:r>
      <w:r w:rsidR="00D52BCC">
        <w:rPr>
          <w:rStyle w:val="AERbody"/>
        </w:rPr>
        <w:t xml:space="preserve">. </w:t>
      </w:r>
      <w:r w:rsidR="005B49AF">
        <w:rPr>
          <w:rStyle w:val="AERbody"/>
        </w:rPr>
        <w:t xml:space="preserve">Our final decision </w:t>
      </w:r>
      <w:r w:rsidR="00D52BCC">
        <w:rPr>
          <w:rStyle w:val="AERbody"/>
        </w:rPr>
        <w:t>also reflects</w:t>
      </w:r>
      <w:r w:rsidRPr="0087380F">
        <w:rPr>
          <w:rStyle w:val="AERbody"/>
        </w:rPr>
        <w:t xml:space="preserve"> the key drivers of </w:t>
      </w:r>
      <w:r>
        <w:rPr>
          <w:rStyle w:val="AERbody"/>
        </w:rPr>
        <w:t xml:space="preserve">efficient </w:t>
      </w:r>
      <w:r w:rsidRPr="0087380F">
        <w:rPr>
          <w:rStyle w:val="AERbody"/>
        </w:rPr>
        <w:t xml:space="preserve">costs facing </w:t>
      </w:r>
      <w:r w:rsidR="007B2346">
        <w:rPr>
          <w:rStyle w:val="AERbody"/>
        </w:rPr>
        <w:t>JGN</w:t>
      </w:r>
      <w:r w:rsidRPr="0087380F">
        <w:rPr>
          <w:rStyle w:val="AERbody"/>
        </w:rPr>
        <w:t xml:space="preserve">. For the reasons set out below and in our </w:t>
      </w:r>
      <w:r w:rsidR="00271C70">
        <w:rPr>
          <w:rStyle w:val="AERbody"/>
        </w:rPr>
        <w:t>a</w:t>
      </w:r>
      <w:r w:rsidRPr="0087380F">
        <w:rPr>
          <w:rStyle w:val="AERbody"/>
        </w:rPr>
        <w:t xml:space="preserve">ttachments, we consider our decision will promote the efficient investment in, and efficient operation and use of, </w:t>
      </w:r>
      <w:r w:rsidR="007B2346">
        <w:rPr>
          <w:rStyle w:val="AERbody"/>
        </w:rPr>
        <w:t>natural gas</w:t>
      </w:r>
      <w:r w:rsidR="007B2346" w:rsidRPr="0087380F">
        <w:rPr>
          <w:rStyle w:val="AERbody"/>
        </w:rPr>
        <w:t xml:space="preserve"> </w:t>
      </w:r>
      <w:r w:rsidRPr="0087380F">
        <w:rPr>
          <w:rStyle w:val="AERbody"/>
        </w:rPr>
        <w:t>services for the long term interests of consumers, as required by the N</w:t>
      </w:r>
      <w:r w:rsidR="007B2346">
        <w:rPr>
          <w:rStyle w:val="AERbody"/>
        </w:rPr>
        <w:t>G</w:t>
      </w:r>
      <w:r w:rsidRPr="0087380F">
        <w:rPr>
          <w:rStyle w:val="AERbody"/>
        </w:rPr>
        <w:t xml:space="preserve">O. </w:t>
      </w:r>
    </w:p>
    <w:p w:rsidR="008E433E" w:rsidRPr="0087380F" w:rsidRDefault="008E433E" w:rsidP="008E433E">
      <w:pPr>
        <w:rPr>
          <w:rStyle w:val="AERbody"/>
        </w:rPr>
      </w:pPr>
      <w:r w:rsidRPr="0087380F">
        <w:rPr>
          <w:rStyle w:val="AERbody"/>
        </w:rPr>
        <w:t>The key drivers of costs facing a service provider are:</w:t>
      </w:r>
      <w:r w:rsidRPr="0087380F">
        <w:rPr>
          <w:rStyle w:val="FootnoteReference"/>
        </w:rPr>
        <w:footnoteReference w:id="12"/>
      </w:r>
    </w:p>
    <w:p w:rsidR="008E433E" w:rsidRPr="0087380F" w:rsidRDefault="008E433E" w:rsidP="008E433E">
      <w:pPr>
        <w:pStyle w:val="AERbulletlistfirststyle"/>
        <w:rPr>
          <w:rStyle w:val="AERbody"/>
        </w:rPr>
      </w:pPr>
      <w:r w:rsidRPr="0087380F">
        <w:rPr>
          <w:rStyle w:val="AERbody"/>
        </w:rPr>
        <w:t xml:space="preserve">its accumulated network investment (reflected in the size of its </w:t>
      </w:r>
      <w:r w:rsidR="00C55C3E">
        <w:rPr>
          <w:rStyle w:val="AERbody"/>
        </w:rPr>
        <w:t>capital base</w:t>
      </w:r>
      <w:r w:rsidRPr="0087380F">
        <w:rPr>
          <w:rStyle w:val="AERbody"/>
        </w:rPr>
        <w:t>)</w:t>
      </w:r>
    </w:p>
    <w:p w:rsidR="008E433E" w:rsidRPr="0087380F" w:rsidRDefault="008E433E" w:rsidP="008E433E">
      <w:pPr>
        <w:pStyle w:val="AERbulletlistfirststyle"/>
        <w:rPr>
          <w:rStyle w:val="AERbody"/>
        </w:rPr>
      </w:pPr>
      <w:r w:rsidRPr="0087380F">
        <w:rPr>
          <w:rStyle w:val="AERbody"/>
        </w:rPr>
        <w:t xml:space="preserve">its expected growth in network investment (reflected in its </w:t>
      </w:r>
      <w:r>
        <w:rPr>
          <w:rStyle w:val="AERbody"/>
        </w:rPr>
        <w:t>capital expenditure (</w:t>
      </w:r>
      <w:r w:rsidRPr="0087380F">
        <w:rPr>
          <w:rStyle w:val="AERbody"/>
        </w:rPr>
        <w:t>capex</w:t>
      </w:r>
      <w:r>
        <w:rPr>
          <w:rStyle w:val="AERbody"/>
        </w:rPr>
        <w:t>)</w:t>
      </w:r>
      <w:r w:rsidRPr="0087380F">
        <w:rPr>
          <w:rStyle w:val="AERbody"/>
        </w:rPr>
        <w:t xml:space="preserve"> program net of capital returned to the shareholders through depreciation)</w:t>
      </w:r>
    </w:p>
    <w:p w:rsidR="008E433E" w:rsidRPr="0087380F" w:rsidRDefault="008E433E" w:rsidP="008E433E">
      <w:pPr>
        <w:pStyle w:val="AERbulletlistfirststyle"/>
        <w:rPr>
          <w:rStyle w:val="AERbody"/>
        </w:rPr>
      </w:pPr>
      <w:r w:rsidRPr="0087380F">
        <w:rPr>
          <w:rStyle w:val="AERbody"/>
        </w:rPr>
        <w:t>its financing costs (interest on borrowings and a return on equity to shareholders)</w:t>
      </w:r>
    </w:p>
    <w:p w:rsidR="008E433E" w:rsidRDefault="008E433E" w:rsidP="008E433E">
      <w:pPr>
        <w:pStyle w:val="AERbulletlistfirststyle"/>
        <w:rPr>
          <w:rStyle w:val="AERbody"/>
        </w:rPr>
      </w:pPr>
      <w:r w:rsidRPr="0087380F">
        <w:rPr>
          <w:rStyle w:val="AERbody"/>
        </w:rPr>
        <w:t>its operating expenditure (opex) program (the cost of operating and maintaining its network)</w:t>
      </w:r>
    </w:p>
    <w:p w:rsidR="008E433E" w:rsidRPr="0087380F" w:rsidRDefault="008E433E" w:rsidP="008E433E">
      <w:pPr>
        <w:pStyle w:val="AERbulletlistfirststyle"/>
        <w:rPr>
          <w:rStyle w:val="AERbody"/>
        </w:rPr>
      </w:pPr>
      <w:r>
        <w:rPr>
          <w:rStyle w:val="AERbody"/>
        </w:rPr>
        <w:t>its taxation cost (taxable income at the corporate tax rate adjusted for the value of imputation credits).</w:t>
      </w:r>
    </w:p>
    <w:p w:rsidR="008E433E" w:rsidRPr="0087380F" w:rsidRDefault="008E433E" w:rsidP="008E433E">
      <w:r w:rsidRPr="0087380F">
        <w:t xml:space="preserve">From one </w:t>
      </w:r>
      <w:r w:rsidR="00E36DBE">
        <w:t xml:space="preserve">access arrangement </w:t>
      </w:r>
      <w:r w:rsidRPr="0087380F">
        <w:t xml:space="preserve">period to the next, the pressures on each of these drivers may change. For example, in periods of high demand growth, a service provider would expect to need a larger capex program. Similarly, during periods of high interest rates, a service provider would expect to pay more in financing costs. </w:t>
      </w:r>
    </w:p>
    <w:p w:rsidR="008E433E" w:rsidRDefault="008E433E" w:rsidP="00122C40">
      <w:pPr>
        <w:rPr>
          <w:rStyle w:val="AERbody"/>
        </w:rPr>
      </w:pPr>
      <w:r w:rsidRPr="0087380F">
        <w:t xml:space="preserve">The most important factor we see impacting on </w:t>
      </w:r>
      <w:r w:rsidR="00C55C3E">
        <w:t>JGN's</w:t>
      </w:r>
      <w:r w:rsidR="00C55C3E" w:rsidRPr="0087380F">
        <w:t xml:space="preserve"> </w:t>
      </w:r>
      <w:r w:rsidRPr="0087380F">
        <w:t xml:space="preserve">costs in the </w:t>
      </w:r>
      <w:r>
        <w:t>201</w:t>
      </w:r>
      <w:r w:rsidR="00C55C3E">
        <w:t>5</w:t>
      </w:r>
      <w:r w:rsidR="00011C37">
        <w:rPr>
          <w:rFonts w:cs="Arial"/>
        </w:rPr>
        <w:t>−</w:t>
      </w:r>
      <w:r w:rsidR="00C55C3E">
        <w:t>20</w:t>
      </w:r>
      <w:r w:rsidRPr="0087380F">
        <w:t xml:space="preserve"> period </w:t>
      </w:r>
      <w:r w:rsidR="00FE57C6">
        <w:t>is</w:t>
      </w:r>
      <w:r w:rsidR="00122C40">
        <w:rPr>
          <w:rStyle w:val="AERbody"/>
        </w:rPr>
        <w:t xml:space="preserve"> </w:t>
      </w:r>
      <w:r w:rsidRPr="003424EA">
        <w:rPr>
          <w:rStyle w:val="AERbody"/>
        </w:rPr>
        <w:t>an improved investment environment</w:t>
      </w:r>
      <w:r>
        <w:rPr>
          <w:rStyle w:val="AERbody"/>
        </w:rPr>
        <w:t>, which translates to lower financing costs necessary to attract efficient investment</w:t>
      </w:r>
      <w:r w:rsidR="00FE57C6">
        <w:rPr>
          <w:rStyle w:val="AERbody"/>
        </w:rPr>
        <w:t>.</w:t>
      </w:r>
      <w:r w:rsidRPr="003424EA" w:rsidDel="00D663CD">
        <w:rPr>
          <w:rStyle w:val="AERbody"/>
        </w:rPr>
        <w:t xml:space="preserve"> </w:t>
      </w:r>
    </w:p>
    <w:p w:rsidR="008E433E" w:rsidRPr="0038415D" w:rsidRDefault="008E433E" w:rsidP="008E433E">
      <w:pPr>
        <w:rPr>
          <w:rStyle w:val="AERbody"/>
        </w:rPr>
      </w:pPr>
      <w:r w:rsidRPr="0038415D">
        <w:rPr>
          <w:rStyle w:val="AERbody"/>
        </w:rPr>
        <w:t>Th</w:t>
      </w:r>
      <w:r w:rsidR="00FE57C6">
        <w:rPr>
          <w:rStyle w:val="AERbody"/>
        </w:rPr>
        <w:t>i</w:t>
      </w:r>
      <w:r w:rsidRPr="0038415D">
        <w:rPr>
          <w:rStyle w:val="AERbody"/>
        </w:rPr>
        <w:t xml:space="preserve">s </w:t>
      </w:r>
      <w:r w:rsidR="00FE57C6">
        <w:rPr>
          <w:rStyle w:val="AERbody"/>
        </w:rPr>
        <w:t>is</w:t>
      </w:r>
      <w:r w:rsidRPr="0038415D">
        <w:rPr>
          <w:rStyle w:val="AERbody"/>
        </w:rPr>
        <w:t xml:space="preserve"> reflected throughout our final decision and impact</w:t>
      </w:r>
      <w:r w:rsidR="00FE57C6">
        <w:rPr>
          <w:rStyle w:val="AERbody"/>
        </w:rPr>
        <w:t>s</w:t>
      </w:r>
      <w:r w:rsidRPr="0038415D">
        <w:rPr>
          <w:rStyle w:val="AERbody"/>
        </w:rPr>
        <w:t xml:space="preserve"> the different components of our decision to varying degrees. At the total revenue level </w:t>
      </w:r>
      <w:r w:rsidR="00D52BCC">
        <w:rPr>
          <w:rStyle w:val="AERbody"/>
        </w:rPr>
        <w:t xml:space="preserve">it indicates that </w:t>
      </w:r>
      <w:r>
        <w:rPr>
          <w:rStyle w:val="AERbody"/>
        </w:rPr>
        <w:t xml:space="preserve">a prudent operator of </w:t>
      </w:r>
      <w:r w:rsidR="00C55C3E">
        <w:rPr>
          <w:rStyle w:val="AERbody"/>
        </w:rPr>
        <w:t xml:space="preserve">JGN's </w:t>
      </w:r>
      <w:r>
        <w:rPr>
          <w:rStyle w:val="AERbody"/>
        </w:rPr>
        <w:t>network</w:t>
      </w:r>
      <w:r>
        <w:t>—</w:t>
      </w:r>
      <w:r w:rsidR="00C55C3E">
        <w:t>acting efficiently, in accordance with accepted good industry practice, to achieve the lowest sustainable cost of providing services</w:t>
      </w:r>
      <w:r>
        <w:t>—would need</w:t>
      </w:r>
      <w:r w:rsidRPr="00D86DFA">
        <w:rPr>
          <w:rStyle w:val="AERbody"/>
        </w:rPr>
        <w:t xml:space="preserve"> </w:t>
      </w:r>
      <w:r w:rsidRPr="0038415D">
        <w:rPr>
          <w:rStyle w:val="AERbody"/>
        </w:rPr>
        <w:t xml:space="preserve">materially less revenue than </w:t>
      </w:r>
      <w:r w:rsidR="00C55C3E">
        <w:rPr>
          <w:rStyle w:val="AERbody"/>
        </w:rPr>
        <w:t>JGN</w:t>
      </w:r>
      <w:r w:rsidR="00C55C3E" w:rsidRPr="0038415D">
        <w:rPr>
          <w:rStyle w:val="AERbody"/>
        </w:rPr>
        <w:t xml:space="preserve"> </w:t>
      </w:r>
      <w:r w:rsidRPr="0038415D">
        <w:rPr>
          <w:rStyle w:val="AERbody"/>
        </w:rPr>
        <w:t xml:space="preserve">has proposed for the </w:t>
      </w:r>
      <w:r>
        <w:rPr>
          <w:rStyle w:val="AERbody"/>
        </w:rPr>
        <w:t>201</w:t>
      </w:r>
      <w:r w:rsidR="00C55C3E">
        <w:rPr>
          <w:rStyle w:val="AERbody"/>
        </w:rPr>
        <w:t>5</w:t>
      </w:r>
      <w:r w:rsidR="00011C37">
        <w:rPr>
          <w:rStyle w:val="AERbody"/>
          <w:rFonts w:cs="Arial"/>
        </w:rPr>
        <w:t>−</w:t>
      </w:r>
      <w:r w:rsidR="00C55C3E">
        <w:rPr>
          <w:rStyle w:val="AERbody"/>
        </w:rPr>
        <w:t>20</w:t>
      </w:r>
      <w:r w:rsidRPr="0038415D">
        <w:rPr>
          <w:rStyle w:val="AERbody"/>
        </w:rPr>
        <w:t xml:space="preserve"> </w:t>
      </w:r>
      <w:r w:rsidR="00D52BCC">
        <w:rPr>
          <w:rStyle w:val="AERbody"/>
        </w:rPr>
        <w:t xml:space="preserve">access arrangement </w:t>
      </w:r>
      <w:r w:rsidRPr="0038415D">
        <w:rPr>
          <w:rStyle w:val="AERbody"/>
        </w:rPr>
        <w:t xml:space="preserve">period. </w:t>
      </w:r>
    </w:p>
    <w:p w:rsidR="008E433E" w:rsidRPr="00A046FA" w:rsidRDefault="008E433E" w:rsidP="008E433E">
      <w:pPr>
        <w:rPr>
          <w:rStyle w:val="AERbody"/>
        </w:rPr>
      </w:pPr>
      <w:r w:rsidRPr="00C91D6E">
        <w:rPr>
          <w:rStyle w:val="AERbody"/>
        </w:rPr>
        <w:t xml:space="preserve">In our final decision we consider that </w:t>
      </w:r>
      <w:r w:rsidR="003C025B">
        <w:rPr>
          <w:rStyle w:val="AERbody"/>
        </w:rPr>
        <w:t>JGN</w:t>
      </w:r>
      <w:r w:rsidR="003C025B" w:rsidRPr="00C91D6E">
        <w:rPr>
          <w:rStyle w:val="AERbody"/>
        </w:rPr>
        <w:t xml:space="preserve">'s </w:t>
      </w:r>
      <w:r>
        <w:rPr>
          <w:rStyle w:val="AERbody"/>
        </w:rPr>
        <w:t xml:space="preserve">revised </w:t>
      </w:r>
      <w:r w:rsidRPr="00C91D6E">
        <w:rPr>
          <w:rStyle w:val="AERbody"/>
        </w:rPr>
        <w:t xml:space="preserve">proposal does not reflect the factors impacting on its cost drivers to a satisfactory extent. As a consequence, we consider that </w:t>
      </w:r>
      <w:r w:rsidR="003C025B">
        <w:rPr>
          <w:rStyle w:val="AERbody"/>
        </w:rPr>
        <w:t>JGN</w:t>
      </w:r>
      <w:r w:rsidR="003C025B" w:rsidRPr="00C91D6E">
        <w:rPr>
          <w:rStyle w:val="AERbody"/>
        </w:rPr>
        <w:t xml:space="preserve"> </w:t>
      </w:r>
      <w:r w:rsidRPr="00C91D6E">
        <w:rPr>
          <w:rStyle w:val="AERbody"/>
        </w:rPr>
        <w:t>has proposed to recover more revenue from customers than is necessary for the safe and reliable operation of its network.</w:t>
      </w:r>
      <w:r>
        <w:rPr>
          <w:rStyle w:val="AERbody"/>
        </w:rPr>
        <w:t xml:space="preserve"> It follows that we consider that </w:t>
      </w:r>
      <w:r w:rsidR="003C025B">
        <w:rPr>
          <w:rStyle w:val="AERbody"/>
        </w:rPr>
        <w:t xml:space="preserve">JGN's </w:t>
      </w:r>
      <w:r>
        <w:rPr>
          <w:rStyle w:val="AERbody"/>
        </w:rPr>
        <w:t>revised proposal does not contribute to the achievement of the N</w:t>
      </w:r>
      <w:r w:rsidR="003C025B">
        <w:rPr>
          <w:rStyle w:val="AERbody"/>
        </w:rPr>
        <w:t>G</w:t>
      </w:r>
      <w:r>
        <w:rPr>
          <w:rStyle w:val="AERbody"/>
        </w:rPr>
        <w:t>O to a satisfactory degree.</w:t>
      </w:r>
    </w:p>
    <w:p w:rsidR="008E433E" w:rsidRPr="00AC7282" w:rsidRDefault="008E433E" w:rsidP="008E433E">
      <w:r>
        <w:rPr>
          <w:rStyle w:val="AERbody"/>
        </w:rPr>
        <w:fldChar w:fldCharType="begin"/>
      </w:r>
      <w:r>
        <w:rPr>
          <w:rStyle w:val="AERbody"/>
        </w:rPr>
        <w:instrText xml:space="preserve"> REF _Ref415899520 \h </w:instrText>
      </w:r>
      <w:r>
        <w:rPr>
          <w:rStyle w:val="AERbody"/>
        </w:rPr>
      </w:r>
      <w:r>
        <w:rPr>
          <w:rStyle w:val="AERbody"/>
        </w:rPr>
        <w:fldChar w:fldCharType="separate"/>
      </w:r>
      <w:r w:rsidR="009037A2" w:rsidRPr="00D7786B">
        <w:t xml:space="preserve">Figure </w:t>
      </w:r>
      <w:r w:rsidR="009037A2">
        <w:rPr>
          <w:noProof/>
        </w:rPr>
        <w:t>2</w:t>
      </w:r>
      <w:r>
        <w:rPr>
          <w:rStyle w:val="AERbody"/>
        </w:rPr>
        <w:fldChar w:fldCharType="end"/>
      </w:r>
      <w:r>
        <w:rPr>
          <w:rStyle w:val="AERbody"/>
        </w:rPr>
        <w:t xml:space="preserve"> illustrates the key differences (in terms of constituent components, or building blocks, making up total revenue) between our decision and </w:t>
      </w:r>
      <w:r w:rsidR="003C025B">
        <w:rPr>
          <w:rStyle w:val="AERbody"/>
        </w:rPr>
        <w:t xml:space="preserve">JGN's </w:t>
      </w:r>
      <w:r>
        <w:rPr>
          <w:rStyle w:val="AERbody"/>
        </w:rPr>
        <w:t>revised proposal.</w:t>
      </w:r>
    </w:p>
    <w:p w:rsidR="008E433E" w:rsidRPr="008E433E" w:rsidRDefault="008E433E" w:rsidP="00F04631">
      <w:pPr>
        <w:pStyle w:val="Caption"/>
        <w:rPr>
          <w:rStyle w:val="Strong"/>
        </w:rPr>
      </w:pPr>
      <w:bookmarkStart w:id="27" w:name="_Ref415899520"/>
      <w:r w:rsidRPr="00D7786B">
        <w:t xml:space="preserve">Figure </w:t>
      </w:r>
      <w:fldSimple w:instr=" SEQ Figure \* ARABIC ">
        <w:r w:rsidR="009037A2">
          <w:rPr>
            <w:noProof/>
          </w:rPr>
          <w:t>2</w:t>
        </w:r>
      </w:fldSimple>
      <w:bookmarkEnd w:id="27"/>
      <w:r w:rsidRPr="00D7786B">
        <w:tab/>
      </w:r>
      <w:r w:rsidRPr="00F04631">
        <w:rPr>
          <w:rStyle w:val="Strong"/>
          <w:b/>
          <w:bCs/>
        </w:rPr>
        <w:t>AER's final decision on building block costs ($ million 201</w:t>
      </w:r>
      <w:r w:rsidR="0083197C" w:rsidRPr="00F04631">
        <w:rPr>
          <w:rStyle w:val="Strong"/>
          <w:b/>
          <w:bCs/>
        </w:rPr>
        <w:t>4</w:t>
      </w:r>
      <w:r w:rsidRPr="00F04631">
        <w:rPr>
          <w:rStyle w:val="Strong"/>
          <w:b/>
          <w:bCs/>
        </w:rPr>
        <w:t>–1</w:t>
      </w:r>
      <w:r w:rsidR="0083197C" w:rsidRPr="00F04631">
        <w:rPr>
          <w:rStyle w:val="Strong"/>
          <w:b/>
          <w:bCs/>
        </w:rPr>
        <w:t>5</w:t>
      </w:r>
      <w:r w:rsidRPr="00F04631">
        <w:rPr>
          <w:rStyle w:val="Strong"/>
          <w:b/>
          <w:bCs/>
        </w:rPr>
        <w:t>)</w:t>
      </w:r>
    </w:p>
    <w:p w:rsidR="008E433E" w:rsidRDefault="004842D3" w:rsidP="008E433E">
      <w:r>
        <w:rPr>
          <w:noProof/>
          <w:lang w:eastAsia="en-AU"/>
        </w:rPr>
        <w:drawing>
          <wp:inline distT="0" distB="0" distL="0" distR="0" wp14:anchorId="714BA806" wp14:editId="7E79D235">
            <wp:extent cx="5212715" cy="3237230"/>
            <wp:effectExtent l="0" t="0" r="698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2715" cy="3237230"/>
                    </a:xfrm>
                    <a:prstGeom prst="rect">
                      <a:avLst/>
                    </a:prstGeom>
                    <a:noFill/>
                  </pic:spPr>
                </pic:pic>
              </a:graphicData>
            </a:graphic>
          </wp:inline>
        </w:drawing>
      </w:r>
    </w:p>
    <w:p w:rsidR="008E433E" w:rsidRDefault="008E433E" w:rsidP="008E433E">
      <w:pPr>
        <w:pStyle w:val="AERtablesource"/>
      </w:pPr>
      <w:r w:rsidRPr="00A81B80">
        <w:t>Source:</w:t>
      </w:r>
      <w:r w:rsidRPr="00A81B80">
        <w:tab/>
        <w:t>AER analysis</w:t>
      </w:r>
      <w:r w:rsidR="007D5408">
        <w:t>;</w:t>
      </w:r>
      <w:r w:rsidR="007D5408" w:rsidRPr="007D5408">
        <w:t xml:space="preserve"> </w:t>
      </w:r>
      <w:r w:rsidR="007D5408" w:rsidRPr="004E1372">
        <w:t xml:space="preserve">JGN, </w:t>
      </w:r>
      <w:r w:rsidR="007D5408" w:rsidRPr="004E1372">
        <w:rPr>
          <w:rStyle w:val="AERtextitalic"/>
        </w:rPr>
        <w:t>Submissions on draft decision,</w:t>
      </w:r>
      <w:r w:rsidR="007D5408" w:rsidRPr="004E1372">
        <w:t xml:space="preserve"> </w:t>
      </w:r>
      <w:r w:rsidR="007D5408" w:rsidRPr="004E1372">
        <w:rPr>
          <w:rStyle w:val="AERtextitalic"/>
        </w:rPr>
        <w:t>Attachment N - updated appendix 10.1 - JGN revenue forecast model</w:t>
      </w:r>
      <w:r w:rsidR="007D5408">
        <w:t>, 27 March 2015</w:t>
      </w:r>
    </w:p>
    <w:p w:rsidR="008E433E" w:rsidRPr="00767B5E" w:rsidRDefault="002B7DF0" w:rsidP="008E433E">
      <w:r>
        <w:rPr>
          <w:rStyle w:val="AERbody"/>
        </w:rPr>
        <w:t xml:space="preserve">For reasons outlined in our </w:t>
      </w:r>
      <w:r w:rsidR="00F17CFE">
        <w:rPr>
          <w:rStyle w:val="AERbody"/>
        </w:rPr>
        <w:t>a</w:t>
      </w:r>
      <w:r>
        <w:rPr>
          <w:rStyle w:val="AERbody"/>
        </w:rPr>
        <w:t>ttachments and later in this overview, our final decision differs from JGN's revised proposal in a number of ways. However, t</w:t>
      </w:r>
      <w:r w:rsidR="00D52BCC">
        <w:rPr>
          <w:rStyle w:val="AERbody"/>
        </w:rPr>
        <w:t xml:space="preserve">he </w:t>
      </w:r>
      <w:r w:rsidR="00E36DBE">
        <w:rPr>
          <w:rStyle w:val="AERbody"/>
        </w:rPr>
        <w:t>component of our</w:t>
      </w:r>
      <w:r w:rsidR="00D52BCC">
        <w:rPr>
          <w:rStyle w:val="AERbody"/>
        </w:rPr>
        <w:t xml:space="preserve"> decision that has had the greatest impact on the total revenue </w:t>
      </w:r>
      <w:r w:rsidR="00FE673D">
        <w:rPr>
          <w:rStyle w:val="AERbody"/>
        </w:rPr>
        <w:t xml:space="preserve">requirement </w:t>
      </w:r>
      <w:r w:rsidR="00D52BCC">
        <w:rPr>
          <w:rStyle w:val="AERbody"/>
        </w:rPr>
        <w:t xml:space="preserve">and that drives most of the revenue gap between us and JGN is the rate of return. </w:t>
      </w:r>
    </w:p>
    <w:p w:rsidR="008E433E" w:rsidRPr="008E433E" w:rsidRDefault="008E433E" w:rsidP="008E433E">
      <w:pPr>
        <w:pStyle w:val="Heading3"/>
      </w:pPr>
      <w:bookmarkStart w:id="28" w:name="_Toc411428011"/>
      <w:bookmarkStart w:id="29" w:name="_Ref417126115"/>
      <w:bookmarkStart w:id="30" w:name="_Toc417993956"/>
      <w:bookmarkStart w:id="31" w:name="_Toc419895013"/>
      <w:r>
        <w:t>Rate of return</w:t>
      </w:r>
      <w:bookmarkEnd w:id="28"/>
      <w:bookmarkEnd w:id="29"/>
      <w:bookmarkEnd w:id="30"/>
      <w:bookmarkEnd w:id="31"/>
    </w:p>
    <w:p w:rsidR="00376056" w:rsidRDefault="00376056" w:rsidP="00376056">
      <w:r w:rsidRPr="0016716A">
        <w:t xml:space="preserve">The rate of return </w:t>
      </w:r>
      <w:r w:rsidRPr="00486693">
        <w:t xml:space="preserve">provides a service provider with revenue to service the interest on its </w:t>
      </w:r>
      <w:r>
        <w:t>borrowings</w:t>
      </w:r>
      <w:r w:rsidRPr="00486693">
        <w:t xml:space="preserve"> and to give a return on equity to shareholders.</w:t>
      </w:r>
      <w:r w:rsidRPr="0016716A">
        <w:t xml:space="preserve"> </w:t>
      </w:r>
      <w:r>
        <w:t>The allowed rate of return is a key determinant of allowed revenue.</w:t>
      </w:r>
    </w:p>
    <w:p w:rsidR="00376056" w:rsidRPr="00823B8F" w:rsidRDefault="00376056" w:rsidP="00376056">
      <w:r w:rsidRPr="00823B8F">
        <w:t xml:space="preserve">The rate of return must be commensurate with the efficient financing costs of a benchmark efficient entity with a similar degree of risk as that which applies to the </w:t>
      </w:r>
      <w:r>
        <w:rPr>
          <w:rStyle w:val="AERbody"/>
        </w:rPr>
        <w:t>service provider</w:t>
      </w:r>
      <w:r w:rsidRPr="008E538D">
        <w:rPr>
          <w:rStyle w:val="AERbody"/>
        </w:rPr>
        <w:t xml:space="preserve"> in respect of the provision of </w:t>
      </w:r>
      <w:r>
        <w:rPr>
          <w:rStyle w:val="AERbody"/>
        </w:rPr>
        <w:t>reference</w:t>
      </w:r>
      <w:r w:rsidRPr="008E538D">
        <w:rPr>
          <w:rStyle w:val="AERbody"/>
        </w:rPr>
        <w:t xml:space="preserve"> services</w:t>
      </w:r>
      <w:r w:rsidRPr="00823B8F">
        <w:t>.</w:t>
      </w:r>
      <w:r w:rsidRPr="00823B8F">
        <w:rPr>
          <w:rStyle w:val="FootnoteReference"/>
        </w:rPr>
        <w:footnoteReference w:id="13"/>
      </w:r>
      <w:r w:rsidRPr="00823B8F">
        <w:t xml:space="preserve"> The </w:t>
      </w:r>
      <w:r w:rsidRPr="008E538D">
        <w:rPr>
          <w:rStyle w:val="AERbody"/>
        </w:rPr>
        <w:t>N</w:t>
      </w:r>
      <w:r>
        <w:rPr>
          <w:rStyle w:val="AERbody"/>
        </w:rPr>
        <w:t>G</w:t>
      </w:r>
      <w:r w:rsidRPr="008E538D">
        <w:rPr>
          <w:rStyle w:val="AERbody"/>
        </w:rPr>
        <w:t>R r</w:t>
      </w:r>
      <w:r w:rsidRPr="00823B8F">
        <w:t xml:space="preserve">efer to this requirement as the </w:t>
      </w:r>
      <w:r>
        <w:t>a</w:t>
      </w:r>
      <w:r w:rsidRPr="00823B8F">
        <w:t xml:space="preserve">llowed </w:t>
      </w:r>
      <w:r>
        <w:t>r</w:t>
      </w:r>
      <w:r w:rsidRPr="00823B8F">
        <w:t xml:space="preserve">ate of </w:t>
      </w:r>
      <w:r>
        <w:t>r</w:t>
      </w:r>
      <w:r w:rsidRPr="00823B8F">
        <w:t xml:space="preserve">eturn </w:t>
      </w:r>
      <w:r>
        <w:t>o</w:t>
      </w:r>
      <w:r w:rsidRPr="00823B8F">
        <w:t xml:space="preserve">bjective. </w:t>
      </w:r>
    </w:p>
    <w:p w:rsidR="00376056" w:rsidRPr="00D5607F" w:rsidRDefault="00376056" w:rsidP="00376056">
      <w:r w:rsidRPr="00D5607F">
        <w:t xml:space="preserve">Our final decision is for a </w:t>
      </w:r>
      <w:r>
        <w:t>rate of return of 5.41</w:t>
      </w:r>
      <w:r w:rsidRPr="008A370D">
        <w:rPr>
          <w:rStyle w:val="AERbody"/>
        </w:rPr>
        <w:t xml:space="preserve"> per cent</w:t>
      </w:r>
      <w:r w:rsidRPr="000273B3">
        <w:t xml:space="preserve"> (nominal vanilla</w:t>
      </w:r>
      <w:r w:rsidRPr="000273B3">
        <w:rPr>
          <w:rStyle w:val="FootnoteReference"/>
        </w:rPr>
        <w:footnoteReference w:id="14"/>
      </w:r>
      <w:r w:rsidRPr="000273B3">
        <w:t>)</w:t>
      </w:r>
      <w:r>
        <w:t xml:space="preserve"> for 2015–16 </w:t>
      </w:r>
      <w:r w:rsidRPr="00D5607F">
        <w:t xml:space="preserve">compared to </w:t>
      </w:r>
      <w:r>
        <w:t>JGN's proposed rate of return which was 7.06</w:t>
      </w:r>
      <w:r w:rsidRPr="00D5607F">
        <w:t xml:space="preserve"> per cent</w:t>
      </w:r>
      <w:r>
        <w:t>.</w:t>
      </w:r>
      <w:r>
        <w:rPr>
          <w:rStyle w:val="FootnoteReference"/>
        </w:rPr>
        <w:footnoteReference w:id="15"/>
      </w:r>
      <w:r w:rsidRPr="00CF5EAA">
        <w:t xml:space="preserve"> For the rest of the </w:t>
      </w:r>
      <w:r>
        <w:t>access arrangement</w:t>
      </w:r>
      <w:r w:rsidRPr="00CF5EAA">
        <w:t xml:space="preserve"> period, we will update the rate of return annually.</w:t>
      </w:r>
    </w:p>
    <w:p w:rsidR="00376056" w:rsidRPr="0016716A" w:rsidRDefault="00376056" w:rsidP="00376056">
      <w:r w:rsidRPr="0016716A">
        <w:t xml:space="preserve">We set out our approach to determining the allowed rate of return in </w:t>
      </w:r>
      <w:r>
        <w:t>the rate of return guideline (G</w:t>
      </w:r>
      <w:r w:rsidRPr="0016716A">
        <w:t>uideline</w:t>
      </w:r>
      <w:r>
        <w:t>)</w:t>
      </w:r>
      <w:r w:rsidRPr="0016716A">
        <w:t xml:space="preserve"> we published in December 20</w:t>
      </w:r>
      <w:r>
        <w:t>1</w:t>
      </w:r>
      <w:r w:rsidRPr="0016716A">
        <w:t>3.</w:t>
      </w:r>
      <w:r>
        <w:rPr>
          <w:rStyle w:val="FootnoteReference"/>
        </w:rPr>
        <w:footnoteReference w:id="16"/>
      </w:r>
      <w:r w:rsidRPr="0016716A">
        <w:t xml:space="preserve"> This </w:t>
      </w:r>
      <w:r>
        <w:t>G</w:t>
      </w:r>
      <w:r w:rsidRPr="0016716A">
        <w:t xml:space="preserve">uideline is not binding. However, a </w:t>
      </w:r>
      <w:r>
        <w:t>service provider</w:t>
      </w:r>
      <w:r w:rsidRPr="0016716A">
        <w:t xml:space="preserve"> must provide reasons to justify any departure from the </w:t>
      </w:r>
      <w:r>
        <w:t>G</w:t>
      </w:r>
      <w:r w:rsidRPr="0016716A">
        <w:t>uideline</w:t>
      </w:r>
      <w:r w:rsidR="00BC3F1E">
        <w:rPr>
          <w:rStyle w:val="FootnoteReference"/>
        </w:rPr>
        <w:footnoteReference w:id="17"/>
      </w:r>
      <w:r w:rsidRPr="0016716A">
        <w:t xml:space="preserve">. </w:t>
      </w:r>
      <w:r>
        <w:t>JGN</w:t>
      </w:r>
      <w:r w:rsidRPr="0016716A">
        <w:t xml:space="preserve"> has proposed we depart from the </w:t>
      </w:r>
      <w:r>
        <w:t>G</w:t>
      </w:r>
      <w:r w:rsidRPr="0016716A">
        <w:t xml:space="preserve">uideline. </w:t>
      </w:r>
      <w:r>
        <w:t>However, w</w:t>
      </w:r>
      <w:r w:rsidRPr="0016716A">
        <w:t xml:space="preserve">e </w:t>
      </w:r>
      <w:r>
        <w:t>are not satisfied that there are sufficient grounds to justify doing so</w:t>
      </w:r>
      <w:r w:rsidRPr="0016716A">
        <w:t xml:space="preserve">. </w:t>
      </w:r>
    </w:p>
    <w:p w:rsidR="00376056" w:rsidRPr="0016716A" w:rsidRDefault="00376056" w:rsidP="00376056">
      <w:r w:rsidRPr="0016716A">
        <w:t>Prevailing market conditions for debt and equity heavily influence the rate of return. In our draft decision we pointed out that financial conditions have improved markedly since our 20</w:t>
      </w:r>
      <w:r>
        <w:t>10</w:t>
      </w:r>
      <w:r w:rsidRPr="0016716A">
        <w:t xml:space="preserve"> final decision, resulting in a lower rate of return. </w:t>
      </w:r>
      <w:r>
        <w:t xml:space="preserve">This meant that our draft decision contained an indicative (placeholder) rate of return of 6.80 per cent, which was markedly lower than the 10.43 per cent rate of return adopted for the previous access arrangement period. </w:t>
      </w:r>
      <w:r w:rsidRPr="0016716A">
        <w:t xml:space="preserve">Since our draft decision, interest rates have fallen further and financial market conditions have continued to ease. This means that the cost of debt and the returns required to attract equity are lower than when we made our draft decision. We consider these factors should be reflected in the final approved rate of return. </w:t>
      </w:r>
      <w:r>
        <w:t>This has led to our final decision rate of return of 5.41 per cent.</w:t>
      </w:r>
    </w:p>
    <w:p w:rsidR="00376056" w:rsidRPr="0016716A" w:rsidRDefault="00376056" w:rsidP="00376056">
      <w:r>
        <w:t>On a more technical level, t</w:t>
      </w:r>
      <w:r w:rsidRPr="0016716A">
        <w:t xml:space="preserve">here are </w:t>
      </w:r>
      <w:r>
        <w:t>several</w:t>
      </w:r>
      <w:r w:rsidRPr="0016716A">
        <w:t xml:space="preserve"> key difference</w:t>
      </w:r>
      <w:r>
        <w:t>s</w:t>
      </w:r>
      <w:r w:rsidRPr="0016716A">
        <w:t xml:space="preserve"> between our final decision and </w:t>
      </w:r>
      <w:r>
        <w:t>JGN</w:t>
      </w:r>
      <w:r w:rsidRPr="0016716A">
        <w:t xml:space="preserve">'s revised proposal </w:t>
      </w:r>
      <w:r>
        <w:t>in relation to the rate of return</w:t>
      </w:r>
      <w:r w:rsidRPr="0016716A">
        <w:t>:</w:t>
      </w:r>
    </w:p>
    <w:p w:rsidR="00376056" w:rsidRDefault="00376056" w:rsidP="00376056">
      <w:pPr>
        <w:pStyle w:val="AERbulletlistfirststyle"/>
      </w:pPr>
      <w:r>
        <w:t xml:space="preserve">Whether to gradually transition between approaches to estimating the return on debt, as we have decided, or to use </w:t>
      </w:r>
      <w:r w:rsidRPr="00230343">
        <w:t xml:space="preserve">a hybrid transition which combines a gradual transition </w:t>
      </w:r>
      <w:r>
        <w:t xml:space="preserve">for </w:t>
      </w:r>
      <w:r w:rsidRPr="00230343">
        <w:t xml:space="preserve">the base rate </w:t>
      </w:r>
      <w:r>
        <w:t xml:space="preserve">component of the return on debt </w:t>
      </w:r>
      <w:r w:rsidRPr="00230343">
        <w:t>and a backwards looking debt risk premium</w:t>
      </w:r>
      <w:r>
        <w:t>, as JGN has proposed. JGN's revised proposal on this matter is a departure from its (initial) access arrangement proposal. The NGR state a service provider may submit amendments in its revised access arrangement proposal. The NGR requires "the amendments must be limited to those necessary to address matters raised in the access arrangement draft decision unless the AER approves further amendments."</w:t>
      </w:r>
      <w:r>
        <w:rPr>
          <w:rStyle w:val="FootnoteReference"/>
        </w:rPr>
        <w:footnoteReference w:id="18"/>
      </w:r>
      <w:r>
        <w:t xml:space="preserve"> </w:t>
      </w:r>
      <w:r w:rsidRPr="002C434D">
        <w:t xml:space="preserve">We do not consider the NGR permit JGN to depart from its (initial) access arrangement proposal </w:t>
      </w:r>
      <w:r>
        <w:t>on this matter</w:t>
      </w:r>
      <w:r w:rsidRPr="002C434D">
        <w:t>.</w:t>
      </w:r>
      <w:r w:rsidRPr="002C434D">
        <w:rPr>
          <w:rStyle w:val="FootnoteReference"/>
        </w:rPr>
        <w:footnoteReference w:id="19"/>
      </w:r>
      <w:r w:rsidRPr="002C434D">
        <w:t xml:space="preserve"> This is because in the draft decision we accepted this aspect of JGN's (initial) access arrangement proposal and we have not approved JGN making further amendments to its access arrangement on this matter.</w:t>
      </w:r>
      <w:r w:rsidRPr="002C434D">
        <w:rPr>
          <w:rStyle w:val="FootnoteReference"/>
        </w:rPr>
        <w:footnoteReference w:id="20"/>
      </w:r>
    </w:p>
    <w:p w:rsidR="00376056" w:rsidRDefault="00376056" w:rsidP="00376056">
      <w:pPr>
        <w:pStyle w:val="AERbulletlistfirststyle"/>
      </w:pPr>
      <w:r>
        <w:t>Whether to determine the averaging period and choice of data series to estimate the return on debt by running a separate process every year during the access arrangement process, as JGN proposed, or to determine these matters upfront at the start of the access arrangement period as we set out in the Guideline and have decided here.</w:t>
      </w:r>
    </w:p>
    <w:p w:rsidR="00376056" w:rsidRPr="0016716A" w:rsidRDefault="00376056" w:rsidP="00376056">
      <w:pPr>
        <w:pStyle w:val="AERbulletlistfirststyle"/>
      </w:pPr>
      <w:r>
        <w:t>W</w:t>
      </w:r>
      <w:r w:rsidRPr="0016716A">
        <w:t>hether to give weight to indicators of the return on equity that we do not consider to be robust and which other regulators do not use</w:t>
      </w:r>
      <w:r>
        <w:t>, as JGN has proposed, or to adopt a standard and commonly adopted approach to estimating the return on equity, as we have decided.</w:t>
      </w:r>
    </w:p>
    <w:p w:rsidR="00376056" w:rsidRPr="0016716A" w:rsidRDefault="00376056" w:rsidP="00376056">
      <w:r>
        <w:t xml:space="preserve">The Guideline (and this decision) marks a departure from the approach we used in previous regulatory decisions to estimating the return on debt and the return on equity. For the return on debt, we have used a gradual, forward-looking transition to do so. We set out this transition in the Guideline. Our approach to setting the return on debt </w:t>
      </w:r>
      <w:r w:rsidRPr="0016716A">
        <w:t xml:space="preserve">received broad support amongst many stakeholders, </w:t>
      </w:r>
      <w:r>
        <w:t>including JGN in its (initial) access arrangement proposal.</w:t>
      </w:r>
      <w:r w:rsidRPr="0016716A">
        <w:rPr>
          <w:rStyle w:val="FootnoteReference"/>
        </w:rPr>
        <w:footnoteReference w:id="21"/>
      </w:r>
      <w:r w:rsidRPr="0016716A">
        <w:t xml:space="preserve"> </w:t>
      </w:r>
      <w:r>
        <w:t xml:space="preserve">Notwithstanding our position that the NGR do not allow JGN to submit a revised proposal in respect of the approach to the transition to the trailing average for debt, the subsequent evidence provided by JGN in support of its new position does not convince us </w:t>
      </w:r>
      <w:r w:rsidRPr="0016716A">
        <w:t xml:space="preserve">that we should depart from the approach in our </w:t>
      </w:r>
      <w:r>
        <w:t>G</w:t>
      </w:r>
      <w:r w:rsidRPr="0016716A">
        <w:t>uideline</w:t>
      </w:r>
      <w:r>
        <w:t xml:space="preserve"> in this final decision</w:t>
      </w:r>
      <w:r w:rsidRPr="0016716A">
        <w:t>.</w:t>
      </w:r>
      <w:r w:rsidRPr="0016716A">
        <w:rPr>
          <w:rStyle w:val="FootnoteReference"/>
        </w:rPr>
        <w:footnoteReference w:id="22"/>
      </w:r>
      <w:r w:rsidRPr="0016716A">
        <w:t xml:space="preserve"> </w:t>
      </w:r>
      <w:r>
        <w:t>For the return on equity, the evidence before us indicates that employing our approach is generally expected to lead to a rate of return that achieves the allowed rate of return objective.</w:t>
      </w:r>
    </w:p>
    <w:p w:rsidR="008E433E" w:rsidRDefault="008E433E" w:rsidP="008E433E">
      <w:pPr>
        <w:pStyle w:val="Heading2"/>
      </w:pPr>
      <w:bookmarkStart w:id="32" w:name="_Toc416278247"/>
      <w:bookmarkStart w:id="33" w:name="_Toc417993957"/>
      <w:bookmarkStart w:id="34" w:name="_Toc419895014"/>
      <w:bookmarkEnd w:id="32"/>
      <w:r>
        <w:t>Assessment of options under the N</w:t>
      </w:r>
      <w:r w:rsidR="004E3148">
        <w:t>G</w:t>
      </w:r>
      <w:r>
        <w:t>O</w:t>
      </w:r>
      <w:bookmarkEnd w:id="33"/>
      <w:bookmarkEnd w:id="34"/>
    </w:p>
    <w:p w:rsidR="008E433E" w:rsidRPr="00A046FA" w:rsidRDefault="008E433E" w:rsidP="008E433E">
      <w:pPr>
        <w:numPr>
          <w:ilvl w:val="0"/>
          <w:numId w:val="25"/>
        </w:numPr>
      </w:pPr>
      <w:r w:rsidRPr="00A046FA">
        <w:t>The N</w:t>
      </w:r>
      <w:r w:rsidR="004E3148">
        <w:t>G</w:t>
      </w:r>
      <w:r w:rsidRPr="00A046FA">
        <w:t>R recognise that there may be several decisions that contribute to the achievement of the N</w:t>
      </w:r>
      <w:r w:rsidR="004E3148">
        <w:t>G</w:t>
      </w:r>
      <w:r w:rsidRPr="00A046FA">
        <w:t>O. Our role is to make a decision that we are satisfied contributes to the achievement of the N</w:t>
      </w:r>
      <w:r w:rsidR="004E3148">
        <w:t>G</w:t>
      </w:r>
      <w:r w:rsidRPr="00A046FA">
        <w:t xml:space="preserve">O to the </w:t>
      </w:r>
      <w:r w:rsidRPr="00A046FA">
        <w:rPr>
          <w:rStyle w:val="AERtextitalic"/>
        </w:rPr>
        <w:t>greatest</w:t>
      </w:r>
      <w:r w:rsidRPr="00A046FA">
        <w:t xml:space="preserve"> degree.</w:t>
      </w:r>
      <w:r w:rsidRPr="00A046FA">
        <w:rPr>
          <w:rStyle w:val="FootnoteReference"/>
        </w:rPr>
        <w:footnoteReference w:id="23"/>
      </w:r>
      <w:r w:rsidRPr="00A046FA">
        <w:t xml:space="preserve"> </w:t>
      </w:r>
    </w:p>
    <w:p w:rsidR="008E433E" w:rsidRDefault="008E433E" w:rsidP="008E433E">
      <w:pPr>
        <w:numPr>
          <w:ilvl w:val="0"/>
          <w:numId w:val="25"/>
        </w:numPr>
      </w:pPr>
      <w:r w:rsidRPr="00A046FA">
        <w:t>For at least two reasons, we consider that there will almost always be several decisions that might contribute to the achievement of the N</w:t>
      </w:r>
      <w:r w:rsidR="004E3148">
        <w:t>G</w:t>
      </w:r>
      <w:r w:rsidRPr="00A046FA">
        <w:t>O. First, the N</w:t>
      </w:r>
      <w:r w:rsidR="004E3148">
        <w:t>G</w:t>
      </w:r>
      <w:r w:rsidRPr="00A046FA">
        <w:t xml:space="preserve">R requires us to make forecasts, which are predictions about unknown future circumstances. As a result, there will </w:t>
      </w:r>
      <w:r>
        <w:t xml:space="preserve">likely </w:t>
      </w:r>
      <w:r w:rsidRPr="00A046FA">
        <w:t>always be more than one plausible forecast. Second, there is substantial debate amongst stakeholders about the costs we must forecast, with both sides often supported by expert opinion. As a result, for several components of our decision</w:t>
      </w:r>
      <w:r>
        <w:t xml:space="preserve"> </w:t>
      </w:r>
      <w:r w:rsidRPr="00A046FA">
        <w:t xml:space="preserve">there </w:t>
      </w:r>
      <w:r>
        <w:t xml:space="preserve">may be </w:t>
      </w:r>
      <w:r w:rsidRPr="00A046FA">
        <w:t xml:space="preserve">several plausible answers or several point estimates from within a range. This </w:t>
      </w:r>
      <w:r>
        <w:t xml:space="preserve">has the potential to </w:t>
      </w:r>
      <w:r w:rsidRPr="00A046FA">
        <w:t>create a multitude of potential overall decisions.</w:t>
      </w:r>
      <w:r>
        <w:t xml:space="preserve"> In this decision we have approached this from a practical perspective, accepting that it is not possible </w:t>
      </w:r>
      <w:r w:rsidRPr="00A046FA">
        <w:t xml:space="preserve">to consider every possible permutation specifically. </w:t>
      </w:r>
      <w:r>
        <w:t>Where there are several plausible answers, we have selected what we are satisfied is the best outcome under the N</w:t>
      </w:r>
      <w:r w:rsidR="004E3148">
        <w:t>G</w:t>
      </w:r>
      <w:r>
        <w:t>L and N</w:t>
      </w:r>
      <w:r w:rsidR="004E3148">
        <w:t>G</w:t>
      </w:r>
      <w:r>
        <w:t>R.</w:t>
      </w:r>
      <w:r w:rsidRPr="006A243D" w:rsidDel="00A046FA">
        <w:t xml:space="preserve"> </w:t>
      </w:r>
    </w:p>
    <w:p w:rsidR="008E433E" w:rsidRPr="006A243D" w:rsidRDefault="008E433E" w:rsidP="008E433E">
      <w:pPr>
        <w:numPr>
          <w:ilvl w:val="0"/>
          <w:numId w:val="25"/>
        </w:numPr>
      </w:pPr>
      <w:r w:rsidRPr="007D5837">
        <w:t xml:space="preserve">In many cases, </w:t>
      </w:r>
      <w:r>
        <w:t xml:space="preserve">our approach results in an outcome </w:t>
      </w:r>
      <w:r w:rsidRPr="007D5837">
        <w:t xml:space="preserve">towards the end of the range of options </w:t>
      </w:r>
      <w:r>
        <w:t>materially</w:t>
      </w:r>
      <w:r w:rsidRPr="007D5837">
        <w:t xml:space="preserve"> favourable to </w:t>
      </w:r>
      <w:r w:rsidR="004E3148">
        <w:t xml:space="preserve">JGN </w:t>
      </w:r>
      <w:r>
        <w:t xml:space="preserve">(for example, our choice of equity beta). </w:t>
      </w:r>
      <w:r w:rsidRPr="007D5837">
        <w:t xml:space="preserve"> While it can be difficult to quantify the exact revenue impact of these individual decisions, we have identified where we have done so in our </w:t>
      </w:r>
      <w:r w:rsidR="00011C37">
        <w:t>a</w:t>
      </w:r>
      <w:r w:rsidRPr="007D5837">
        <w:t>ttachments. Some of these decisions include:</w:t>
      </w:r>
    </w:p>
    <w:p w:rsidR="008E433E" w:rsidRPr="006A243D" w:rsidRDefault="008E433E" w:rsidP="008E433E">
      <w:pPr>
        <w:pStyle w:val="AERbulletlistfirststyle"/>
      </w:pPr>
      <w:r w:rsidRPr="006A243D">
        <w:t>selecting the top of the range for the equity beta</w:t>
      </w:r>
    </w:p>
    <w:p w:rsidR="008E433E" w:rsidRPr="006A243D" w:rsidRDefault="008E433E" w:rsidP="008E433E">
      <w:pPr>
        <w:pStyle w:val="AERbulletlistfirststyle"/>
      </w:pPr>
      <w:r w:rsidRPr="006A243D">
        <w:t>setting the return on debt by reference to data for a BBB broad band credit rating, when the benchmark is BBB+</w:t>
      </w:r>
    </w:p>
    <w:p w:rsidR="008E433E" w:rsidRDefault="008E433E" w:rsidP="008E433E">
      <w:pPr>
        <w:pStyle w:val="AERbulletlistfirststyle"/>
      </w:pPr>
      <w:r w:rsidRPr="006A243D">
        <w:t xml:space="preserve">the cash flow timing assumptions in </w:t>
      </w:r>
      <w:r w:rsidR="00122C40">
        <w:t>JGN's</w:t>
      </w:r>
      <w:r w:rsidRPr="006A243D">
        <w:t xml:space="preserve"> revenue model</w:t>
      </w:r>
      <w:r>
        <w:t>.</w:t>
      </w:r>
    </w:p>
    <w:p w:rsidR="008E433E" w:rsidRDefault="008E433E" w:rsidP="008E433E">
      <w:pPr>
        <w:numPr>
          <w:ilvl w:val="0"/>
          <w:numId w:val="25"/>
        </w:numPr>
      </w:pPr>
      <w:r>
        <w:t>We set o</w:t>
      </w:r>
      <w:r w:rsidR="00011C37">
        <w:t>ut our detailed reasons in the a</w:t>
      </w:r>
      <w:r>
        <w:t xml:space="preserve">ttachments. They demonstrate that the components </w:t>
      </w:r>
      <w:r w:rsidR="004E3148">
        <w:t>making up</w:t>
      </w:r>
      <w:r>
        <w:t xml:space="preserve"> our decision comply with the N</w:t>
      </w:r>
      <w:r w:rsidR="004E3148">
        <w:t>G</w:t>
      </w:r>
      <w:r>
        <w:t xml:space="preserve">R's requirements. At an overall level our decision reflects the </w:t>
      </w:r>
      <w:r w:rsidR="00BA77C4">
        <w:t>factors</w:t>
      </w:r>
      <w:r>
        <w:t xml:space="preserve"> set out above, which indicate that </w:t>
      </w:r>
      <w:r w:rsidR="004E3148">
        <w:t xml:space="preserve">JGN </w:t>
      </w:r>
      <w:r>
        <w:t xml:space="preserve">should recover less revenue from customers than it has proposed or recovered in recent years. Our decision reflects these at both the </w:t>
      </w:r>
      <w:r w:rsidR="004E3148">
        <w:t xml:space="preserve">individual </w:t>
      </w:r>
      <w:r>
        <w:t>component and overall revenue levels.</w:t>
      </w:r>
    </w:p>
    <w:p w:rsidR="008E433E" w:rsidRDefault="008E433E" w:rsidP="008E433E">
      <w:pPr>
        <w:numPr>
          <w:ilvl w:val="0"/>
          <w:numId w:val="25"/>
        </w:numPr>
      </w:pPr>
      <w:r>
        <w:t>Given our approach, we are satisfied that our decision will or is likely to contribute to the achievement of the N</w:t>
      </w:r>
      <w:r w:rsidR="004E3148">
        <w:t>G</w:t>
      </w:r>
      <w:r>
        <w:t>O to the greatest degree.</w:t>
      </w:r>
    </w:p>
    <w:p w:rsidR="008E433E" w:rsidRDefault="008E433E" w:rsidP="008E433E">
      <w:pPr>
        <w:pStyle w:val="Heading2"/>
      </w:pPr>
      <w:bookmarkStart w:id="35" w:name="_Toc415577264"/>
      <w:bookmarkStart w:id="36" w:name="_Toc411428015"/>
      <w:bookmarkStart w:id="37" w:name="_Toc417993958"/>
      <w:bookmarkStart w:id="38" w:name="_Toc419895015"/>
      <w:bookmarkStart w:id="39" w:name="_Toc409422585"/>
      <w:bookmarkEnd w:id="35"/>
      <w:r>
        <w:t xml:space="preserve">Structure of </w:t>
      </w:r>
      <w:bookmarkEnd w:id="36"/>
      <w:r>
        <w:t>the overview</w:t>
      </w:r>
      <w:bookmarkEnd w:id="37"/>
      <w:bookmarkEnd w:id="38"/>
    </w:p>
    <w:p w:rsidR="008E433E" w:rsidRDefault="008E433E" w:rsidP="008E433E">
      <w:r>
        <w:t>The remainder of this overview is structured as follows:</w:t>
      </w:r>
    </w:p>
    <w:p w:rsidR="004E3148" w:rsidRDefault="004E3148" w:rsidP="008E433E">
      <w:pPr>
        <w:pStyle w:val="AERbulletlistfirststyle"/>
      </w:pPr>
      <w:r>
        <w:t xml:space="preserve">Section </w:t>
      </w:r>
      <w:r>
        <w:fldChar w:fldCharType="begin"/>
      </w:r>
      <w:r>
        <w:instrText xml:space="preserve"> REF _Ref418255454 \r \h </w:instrText>
      </w:r>
      <w:r>
        <w:fldChar w:fldCharType="separate"/>
      </w:r>
      <w:r w:rsidR="009037A2">
        <w:t>2</w:t>
      </w:r>
      <w:r>
        <w:fldChar w:fldCharType="end"/>
      </w:r>
      <w:r w:rsidR="007E1C72">
        <w:t xml:space="preserve"> sets out our final decision on JGN's revenue</w:t>
      </w:r>
    </w:p>
    <w:p w:rsidR="008E433E" w:rsidRDefault="008E433E" w:rsidP="008E433E">
      <w:pPr>
        <w:pStyle w:val="AERbulletlistfirststyle"/>
      </w:pPr>
      <w:r>
        <w:t xml:space="preserve">Section </w:t>
      </w:r>
      <w:r w:rsidR="004E3148">
        <w:fldChar w:fldCharType="begin"/>
      </w:r>
      <w:r w:rsidR="004E3148">
        <w:instrText xml:space="preserve"> REF _Ref418255462 \r \h </w:instrText>
      </w:r>
      <w:r w:rsidR="004E3148">
        <w:fldChar w:fldCharType="separate"/>
      </w:r>
      <w:r w:rsidR="009037A2">
        <w:t>3</w:t>
      </w:r>
      <w:r w:rsidR="004E3148">
        <w:fldChar w:fldCharType="end"/>
      </w:r>
      <w:r>
        <w:t xml:space="preserve"> sets out the key components making up our final decision on </w:t>
      </w:r>
      <w:r w:rsidR="009F0D00">
        <w:t xml:space="preserve">JGN's </w:t>
      </w:r>
      <w:r>
        <w:t>revenue</w:t>
      </w:r>
    </w:p>
    <w:p w:rsidR="008E433E" w:rsidRDefault="008E433E" w:rsidP="008E433E">
      <w:pPr>
        <w:pStyle w:val="AERbulletlistfirststyle"/>
      </w:pPr>
      <w:r>
        <w:t xml:space="preserve">Section </w:t>
      </w:r>
      <w:r w:rsidR="004E3148">
        <w:fldChar w:fldCharType="begin"/>
      </w:r>
      <w:r w:rsidR="004E3148">
        <w:instrText xml:space="preserve"> REF _Ref418255676 \r \h </w:instrText>
      </w:r>
      <w:r w:rsidR="004E3148">
        <w:fldChar w:fldCharType="separate"/>
      </w:r>
      <w:r w:rsidR="009037A2">
        <w:t>4</w:t>
      </w:r>
      <w:r w:rsidR="004E3148">
        <w:fldChar w:fldCharType="end"/>
      </w:r>
      <w:r w:rsidR="004E3148">
        <w:t xml:space="preserve"> </w:t>
      </w:r>
      <w:r>
        <w:t xml:space="preserve">sets out our decision on the incentive schemes that will apply to </w:t>
      </w:r>
      <w:r w:rsidR="009F0D00">
        <w:t>JGN</w:t>
      </w:r>
    </w:p>
    <w:p w:rsidR="008E433E" w:rsidRDefault="008E433E" w:rsidP="008E433E">
      <w:pPr>
        <w:pStyle w:val="AERbulletlistfirststyle"/>
      </w:pPr>
      <w:r>
        <w:t xml:space="preserve">Section </w:t>
      </w:r>
      <w:r w:rsidR="004E3148">
        <w:fldChar w:fldCharType="begin"/>
      </w:r>
      <w:r w:rsidR="004E3148">
        <w:instrText xml:space="preserve"> REF _Ref418255695 \r \h </w:instrText>
      </w:r>
      <w:r w:rsidR="004E3148">
        <w:fldChar w:fldCharType="separate"/>
      </w:r>
      <w:r w:rsidR="009037A2">
        <w:t>5</w:t>
      </w:r>
      <w:r w:rsidR="004E3148">
        <w:fldChar w:fldCharType="end"/>
      </w:r>
      <w:r>
        <w:t xml:space="preserve"> explains our views on the regulatory framework</w:t>
      </w:r>
    </w:p>
    <w:p w:rsidR="008E433E" w:rsidRDefault="008E433E" w:rsidP="008E433E">
      <w:pPr>
        <w:pStyle w:val="AERbulletlistfirststyle"/>
      </w:pPr>
      <w:r>
        <w:t xml:space="preserve">Section </w:t>
      </w:r>
      <w:r w:rsidR="004E3148">
        <w:fldChar w:fldCharType="begin"/>
      </w:r>
      <w:r w:rsidR="004E3148">
        <w:instrText xml:space="preserve"> REF _Ref418255708 \r \h </w:instrText>
      </w:r>
      <w:r w:rsidR="004E3148">
        <w:fldChar w:fldCharType="separate"/>
      </w:r>
      <w:r w:rsidR="009037A2">
        <w:t>6</w:t>
      </w:r>
      <w:r w:rsidR="004E3148">
        <w:fldChar w:fldCharType="end"/>
      </w:r>
      <w:r>
        <w:t xml:space="preserve"> outlines the process we undertook in reaching our final decision.</w:t>
      </w:r>
    </w:p>
    <w:p w:rsidR="00825A8D" w:rsidRDefault="00825A8D" w:rsidP="00825A8D">
      <w:pPr>
        <w:pStyle w:val="Heading1"/>
      </w:pPr>
      <w:bookmarkStart w:id="40" w:name="_Toc409638420"/>
      <w:bookmarkStart w:id="41" w:name="_Toc410815344"/>
      <w:bookmarkStart w:id="42" w:name="_Toc410818096"/>
      <w:bookmarkStart w:id="43" w:name="_Toc409638421"/>
      <w:bookmarkStart w:id="44" w:name="_Toc410815345"/>
      <w:bookmarkStart w:id="45" w:name="_Toc410818097"/>
      <w:bookmarkStart w:id="46" w:name="_Toc409638422"/>
      <w:bookmarkStart w:id="47" w:name="_Toc410815346"/>
      <w:bookmarkStart w:id="48" w:name="_Toc410818098"/>
      <w:bookmarkStart w:id="49" w:name="_Toc402794974"/>
      <w:bookmarkStart w:id="50" w:name="_Toc402795062"/>
      <w:bookmarkStart w:id="51" w:name="_Toc402869224"/>
      <w:bookmarkStart w:id="52" w:name="_Toc415577274"/>
      <w:bookmarkStart w:id="53" w:name="_Toc419895016"/>
      <w:bookmarkStart w:id="54" w:name="_Ref419186513"/>
      <w:bookmarkStart w:id="55" w:name="_Toc408404618"/>
      <w:bookmarkStart w:id="56" w:name="_Ref418255454"/>
      <w:bookmarkStart w:id="57" w:name="_Toc404437124"/>
      <w:bookmarkStart w:id="58" w:name="_Ref411507029"/>
      <w:bookmarkStart w:id="59" w:name="_Toc417993959"/>
      <w:bookmarkStart w:id="60" w:name="_Ref409434592"/>
      <w:bookmarkStart w:id="61" w:name="_Ref409434609"/>
      <w:bookmarkStart w:id="62" w:name="_Toc411428024"/>
      <w:bookmarkStart w:id="63" w:name="_Toc404437108"/>
      <w:bookmarkEnd w:id="39"/>
      <w:bookmarkEnd w:id="40"/>
      <w:bookmarkEnd w:id="41"/>
      <w:bookmarkEnd w:id="42"/>
      <w:bookmarkEnd w:id="43"/>
      <w:bookmarkEnd w:id="44"/>
      <w:bookmarkEnd w:id="45"/>
      <w:bookmarkEnd w:id="46"/>
      <w:bookmarkEnd w:id="47"/>
      <w:bookmarkEnd w:id="48"/>
      <w:bookmarkEnd w:id="49"/>
      <w:bookmarkEnd w:id="50"/>
      <w:bookmarkEnd w:id="51"/>
      <w:bookmarkEnd w:id="52"/>
      <w:r>
        <w:t>Total revenue</w:t>
      </w:r>
      <w:r w:rsidR="00D43187">
        <w:t xml:space="preserve"> requirement</w:t>
      </w:r>
      <w:bookmarkEnd w:id="53"/>
      <w:r>
        <w:t xml:space="preserve"> </w:t>
      </w:r>
      <w:bookmarkEnd w:id="54"/>
      <w:bookmarkEnd w:id="55"/>
      <w:bookmarkEnd w:id="56"/>
    </w:p>
    <w:p w:rsidR="004D0BCD" w:rsidRDefault="004D0BCD" w:rsidP="004D0BCD">
      <w:pPr>
        <w:numPr>
          <w:ilvl w:val="0"/>
          <w:numId w:val="25"/>
        </w:numPr>
      </w:pPr>
      <w:r w:rsidRPr="007C3463">
        <w:t xml:space="preserve">The total revenue requirement is a forecast of the efficient cost of providing gas distribution services over the access arrangement period. </w:t>
      </w:r>
    </w:p>
    <w:p w:rsidR="004D0BCD" w:rsidRDefault="004D0BCD" w:rsidP="004D0BCD">
      <w:pPr>
        <w:numPr>
          <w:ilvl w:val="0"/>
          <w:numId w:val="25"/>
        </w:numPr>
      </w:pPr>
      <w:r w:rsidRPr="004D0BCD">
        <w:t xml:space="preserve">Tariffs are derived from the total revenue requirement </w:t>
      </w:r>
      <w:r w:rsidRPr="000935F8">
        <w:rPr>
          <w:rStyle w:val="Emphasis"/>
        </w:rPr>
        <w:t>after</w:t>
      </w:r>
      <w:r w:rsidRPr="004D0BCD">
        <w:t xml:space="preserve"> consideration of demand for each tariff category. JGN operates under a weighted average price cap.</w:t>
      </w:r>
      <w:r w:rsidRPr="004D0BCD">
        <w:rPr>
          <w:rStyle w:val="FootnoteReference"/>
        </w:rPr>
        <w:footnoteReference w:id="24"/>
      </w:r>
      <w:r w:rsidRPr="004D0BCD">
        <w:t xml:space="preserve"> This means the tariffs we determine (including the means of varying the tariffs from year to year) are the binding constraint across the 2015–20 access arrangement period</w:t>
      </w:r>
      <w:r w:rsidR="00C334AC">
        <w:t>, rather than the total revenue requirement in this final decision</w:t>
      </w:r>
      <w:r w:rsidRPr="004D0BCD">
        <w:t>.</w:t>
      </w:r>
      <w:r w:rsidRPr="004D0BCD">
        <w:rPr>
          <w:rStyle w:val="FootnoteReference"/>
        </w:rPr>
        <w:footnoteReference w:id="25"/>
      </w:r>
    </w:p>
    <w:p w:rsidR="00C90091" w:rsidRPr="00EE5F0C" w:rsidRDefault="00C90091" w:rsidP="00C90091">
      <w:pPr>
        <w:pStyle w:val="Heading2"/>
      </w:pPr>
      <w:bookmarkStart w:id="64" w:name="_Toc419895017"/>
      <w:r>
        <w:t xml:space="preserve">The building block </w:t>
      </w:r>
      <w:r w:rsidRPr="008E217A">
        <w:t>approach</w:t>
      </w:r>
      <w:bookmarkEnd w:id="64"/>
    </w:p>
    <w:p w:rsidR="00C90091" w:rsidRPr="00EE5F0C" w:rsidRDefault="00C90091" w:rsidP="00C90091">
      <w:pPr>
        <w:numPr>
          <w:ilvl w:val="0"/>
          <w:numId w:val="25"/>
        </w:numPr>
      </w:pPr>
      <w:r w:rsidRPr="00EE5F0C">
        <w:t xml:space="preserve">We have employed the building block approach to determine </w:t>
      </w:r>
      <w:r>
        <w:t>JGN's total revenue</w:t>
      </w:r>
      <w:r w:rsidRPr="00EE5F0C">
        <w:t>. The building block costs</w:t>
      </w:r>
      <w:r>
        <w:t>, illustrated in</w:t>
      </w:r>
      <w:r w:rsidR="00383D4A">
        <w:t xml:space="preserve"> </w:t>
      </w:r>
      <w:r w:rsidR="00383D4A">
        <w:fldChar w:fldCharType="begin"/>
      </w:r>
      <w:r w:rsidR="00383D4A">
        <w:instrText xml:space="preserve"> REF _Ref419797272 \h </w:instrText>
      </w:r>
      <w:r w:rsidR="00383D4A">
        <w:fldChar w:fldCharType="separate"/>
      </w:r>
      <w:r w:rsidR="00011C37">
        <w:t>f</w:t>
      </w:r>
      <w:r w:rsidR="009037A2">
        <w:t xml:space="preserve">igure </w:t>
      </w:r>
      <w:r w:rsidR="009037A2">
        <w:rPr>
          <w:noProof/>
        </w:rPr>
        <w:t>3</w:t>
      </w:r>
      <w:r w:rsidR="00383D4A">
        <w:fldChar w:fldCharType="end"/>
      </w:r>
      <w:r>
        <w:t>,</w:t>
      </w:r>
      <w:r w:rsidRPr="00EE5F0C">
        <w:t xml:space="preserve"> include:</w:t>
      </w:r>
      <w:r>
        <w:rPr>
          <w:rStyle w:val="FootnoteReference"/>
        </w:rPr>
        <w:footnoteReference w:id="26"/>
      </w:r>
    </w:p>
    <w:p w:rsidR="00C90091" w:rsidRPr="007C4B82" w:rsidRDefault="00C90091" w:rsidP="00C90091">
      <w:pPr>
        <w:pStyle w:val="AERbulletlistfirststyle"/>
      </w:pPr>
      <w:r w:rsidRPr="00EE5F0C">
        <w:t xml:space="preserve">a return on the </w:t>
      </w:r>
      <w:r>
        <w:t xml:space="preserve">capital base </w:t>
      </w:r>
      <w:r w:rsidRPr="00EE5F0C">
        <w:t>(return on capital)</w:t>
      </w:r>
    </w:p>
    <w:p w:rsidR="00C90091" w:rsidRPr="007C4B82" w:rsidRDefault="00C90091" w:rsidP="00C90091">
      <w:pPr>
        <w:pStyle w:val="AERbulletlistfirststyle"/>
      </w:pPr>
      <w:r w:rsidRPr="00EE5F0C">
        <w:t xml:space="preserve">depreciation of the </w:t>
      </w:r>
      <w:r>
        <w:t>capital base</w:t>
      </w:r>
      <w:r w:rsidRPr="00EE5F0C">
        <w:t xml:space="preserve"> (return of capital)</w:t>
      </w:r>
    </w:p>
    <w:p w:rsidR="00C90091" w:rsidRPr="007C4B82" w:rsidRDefault="00D43187" w:rsidP="00C90091">
      <w:pPr>
        <w:pStyle w:val="AERbulletlistfirststyle"/>
      </w:pPr>
      <w:r w:rsidRPr="00EE5F0C">
        <w:t xml:space="preserve">the estimated cost of corporate income tax </w:t>
      </w:r>
    </w:p>
    <w:p w:rsidR="00C90091" w:rsidRPr="007C4B82" w:rsidRDefault="00C90091" w:rsidP="00C90091">
      <w:pPr>
        <w:pStyle w:val="AERbulletlistfirststyle"/>
      </w:pPr>
      <w:r w:rsidRPr="00EE5F0C">
        <w:t xml:space="preserve">increments or decrements resulting from incentive schemes such as the efficiency </w:t>
      </w:r>
      <w:r w:rsidR="00D43187">
        <w:t>carryover mechanism</w:t>
      </w:r>
      <w:r w:rsidR="00D43187">
        <w:rPr>
          <w:rStyle w:val="FootnoteReference"/>
        </w:rPr>
        <w:footnoteReference w:id="27"/>
      </w:r>
    </w:p>
    <w:p w:rsidR="00C90091" w:rsidRPr="007C4B82" w:rsidRDefault="00D43187" w:rsidP="00C90091">
      <w:pPr>
        <w:pStyle w:val="AERbulletlistfirststyle"/>
      </w:pPr>
      <w:r w:rsidRPr="00EE5F0C">
        <w:t>forecast opex</w:t>
      </w:r>
      <w:r>
        <w:t>.</w:t>
      </w:r>
    </w:p>
    <w:p w:rsidR="00C90091" w:rsidRDefault="00C90091" w:rsidP="00C90091">
      <w:pPr>
        <w:numPr>
          <w:ilvl w:val="0"/>
          <w:numId w:val="25"/>
        </w:numPr>
      </w:pPr>
      <w:r w:rsidRPr="00EE5F0C">
        <w:t xml:space="preserve">Our assessment of capex directly affects the size of the </w:t>
      </w:r>
      <w:r>
        <w:t>capital base</w:t>
      </w:r>
      <w:r w:rsidRPr="00EE5F0C">
        <w:t xml:space="preserve"> and therefore the revenue generated from the return on capital and return of capital building blocks. </w:t>
      </w:r>
    </w:p>
    <w:p w:rsidR="00C90091" w:rsidRPr="008E433E" w:rsidRDefault="00383D4A" w:rsidP="00383D4A">
      <w:pPr>
        <w:pStyle w:val="Caption"/>
        <w:rPr>
          <w:rStyle w:val="Strong"/>
        </w:rPr>
      </w:pPr>
      <w:bookmarkStart w:id="65" w:name="_Ref419797272"/>
      <w:r>
        <w:t xml:space="preserve">Figure </w:t>
      </w:r>
      <w:fldSimple w:instr=" SEQ Figure \* ARABIC ">
        <w:r w:rsidR="009037A2">
          <w:rPr>
            <w:noProof/>
          </w:rPr>
          <w:t>3</w:t>
        </w:r>
      </w:fldSimple>
      <w:bookmarkEnd w:id="65"/>
      <w:r>
        <w:tab/>
        <w:t>T</w:t>
      </w:r>
      <w:r w:rsidR="00C90091" w:rsidRPr="00383D4A">
        <w:rPr>
          <w:rStyle w:val="Strong"/>
          <w:b/>
          <w:bCs/>
        </w:rPr>
        <w:t>he building block approach for determining total revenue</w:t>
      </w:r>
    </w:p>
    <w:p w:rsidR="00C90091" w:rsidRPr="007C4B82" w:rsidRDefault="00C90091" w:rsidP="00C90091">
      <w:pPr>
        <w:pStyle w:val="ListParagraph"/>
        <w:numPr>
          <w:ilvl w:val="0"/>
          <w:numId w:val="25"/>
        </w:numPr>
      </w:pPr>
      <w:r w:rsidRPr="00C90091">
        <w:rPr>
          <w:noProof/>
          <w:lang w:eastAsia="en-AU"/>
        </w:rPr>
        <mc:AlternateContent>
          <mc:Choice Requires="wpc">
            <w:drawing>
              <wp:inline distT="0" distB="0" distL="0" distR="0" wp14:anchorId="2683BC87" wp14:editId="26E4495B">
                <wp:extent cx="5567010" cy="3490622"/>
                <wp:effectExtent l="0" t="0" r="15240" b="14605"/>
                <wp:docPr id="37" name="Canvas 37"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Text Box 4"/>
                        <wps:cNvSpPr txBox="1">
                          <a:spLocks noChangeArrowheads="1"/>
                        </wps:cNvSpPr>
                        <wps:spPr bwMode="auto">
                          <a:xfrm>
                            <a:off x="1643787" y="0"/>
                            <a:ext cx="2470150" cy="633730"/>
                          </a:xfrm>
                          <a:prstGeom prst="rect">
                            <a:avLst/>
                          </a:prstGeom>
                          <a:gradFill rotWithShape="0">
                            <a:gsLst>
                              <a:gs pos="0">
                                <a:srgbClr val="C00000">
                                  <a:alpha val="50000"/>
                                </a:srgbClr>
                              </a:gs>
                              <a:gs pos="100000">
                                <a:srgbClr val="C00000">
                                  <a:gamma/>
                                  <a:tint val="88235"/>
                                  <a:invGamma/>
                                </a:srgbClr>
                              </a:gs>
                            </a:gsLst>
                            <a:path path="shape">
                              <a:fillToRect l="50000" t="50000" r="50000" b="50000"/>
                            </a:path>
                          </a:gradFill>
                          <a:ln w="0">
                            <a:solidFill>
                              <a:srgbClr val="C00000"/>
                            </a:solidFill>
                            <a:miter lim="800000"/>
                            <a:headEnd/>
                            <a:tailEnd/>
                          </a:ln>
                          <a:effectLst>
                            <a:outerShdw dist="28398" dir="3806097" algn="ctr" rotWithShape="0">
                              <a:srgbClr val="622423"/>
                            </a:outerShdw>
                          </a:effectLst>
                        </wps:spPr>
                        <wps:txbx>
                          <w:txbxContent>
                            <w:p w:rsidR="00BC3F1E" w:rsidRPr="009A07AA" w:rsidRDefault="00BC3F1E" w:rsidP="00C90091">
                              <w:pPr>
                                <w:rPr>
                                  <w:rFonts w:ascii="Calibri" w:hAnsi="Calibri"/>
                                  <w:b/>
                                  <w:color w:val="FFFFFF"/>
                                </w:rPr>
                              </w:pPr>
                              <w:r w:rsidRPr="009A07AA">
                                <w:rPr>
                                  <w:rFonts w:ascii="Calibri" w:hAnsi="Calibri"/>
                                  <w:color w:val="FFFFFF"/>
                                </w:rPr>
                                <w:t xml:space="preserve">Return on capital (forecast </w:t>
                              </w:r>
                              <w:r w:rsidRPr="009A07AA">
                                <w:rPr>
                                  <w:rFonts w:ascii="Calibri" w:hAnsi="Calibri"/>
                                  <w:color w:val="FFFFFF" w:themeColor="background1"/>
                                </w:rPr>
                                <w:t xml:space="preserve">capital base </w:t>
                              </w:r>
                              <w:r w:rsidRPr="009A07AA">
                                <w:rPr>
                                  <w:rFonts w:ascii="Calibri" w:hAnsi="Calibri"/>
                                  <w:color w:val="FFFFFF"/>
                                </w:rPr>
                                <w:t>× cost of capital)</w:t>
                              </w:r>
                            </w:p>
                          </w:txbxContent>
                        </wps:txbx>
                        <wps:bodyPr rot="0" vert="horz" wrap="square" lIns="91440" tIns="45720" rIns="91440" bIns="45720" anchor="t" anchorCtr="0" upright="1">
                          <a:noAutofit/>
                        </wps:bodyPr>
                      </wps:wsp>
                      <wps:wsp>
                        <wps:cNvPr id="25" name="Text Box 5"/>
                        <wps:cNvSpPr txBox="1">
                          <a:spLocks noChangeArrowheads="1"/>
                        </wps:cNvSpPr>
                        <wps:spPr bwMode="auto">
                          <a:xfrm>
                            <a:off x="1643787" y="688975"/>
                            <a:ext cx="2470150" cy="789966"/>
                          </a:xfrm>
                          <a:prstGeom prst="rect">
                            <a:avLst/>
                          </a:prstGeom>
                          <a:gradFill rotWithShape="0">
                            <a:gsLst>
                              <a:gs pos="0">
                                <a:srgbClr val="C0504D"/>
                              </a:gs>
                              <a:gs pos="50000">
                                <a:srgbClr val="C0504D">
                                  <a:gamma/>
                                  <a:tint val="97647"/>
                                  <a:invGamma/>
                                </a:srgbClr>
                              </a:gs>
                              <a:gs pos="100000">
                                <a:srgbClr val="C0504D"/>
                              </a:gs>
                            </a:gsLst>
                            <a:lin ang="5400000" scaled="1"/>
                          </a:gradFill>
                          <a:ln w="12700">
                            <a:solidFill>
                              <a:srgbClr val="D99594"/>
                            </a:solidFill>
                            <a:miter lim="800000"/>
                            <a:headEnd/>
                            <a:tailEnd/>
                          </a:ln>
                          <a:effectLst>
                            <a:outerShdw dist="28398" dir="3806097" algn="ctr" rotWithShape="0">
                              <a:srgbClr val="622423"/>
                            </a:outerShdw>
                          </a:effectLst>
                        </wps:spPr>
                        <wps:txbx>
                          <w:txbxContent>
                            <w:p w:rsidR="00BC3F1E" w:rsidRPr="009A07AA" w:rsidRDefault="00BC3F1E" w:rsidP="00C90091">
                              <w:pPr>
                                <w:rPr>
                                  <w:rFonts w:ascii="Calibri" w:hAnsi="Calibri"/>
                                  <w:color w:val="FFFFFF" w:themeColor="background1"/>
                                </w:rPr>
                              </w:pPr>
                              <w:r w:rsidRPr="009A07AA">
                                <w:rPr>
                                  <w:rFonts w:ascii="Calibri" w:hAnsi="Calibri"/>
                                  <w:color w:val="FFFFFF" w:themeColor="background1"/>
                                </w:rPr>
                                <w:t>Regulatory depreciation (depreciation net of indexation applied to capital base)</w:t>
                              </w:r>
                            </w:p>
                          </w:txbxContent>
                        </wps:txbx>
                        <wps:bodyPr rot="0" vert="horz" wrap="square" lIns="91440" tIns="45720" rIns="91440" bIns="45720" anchor="t" anchorCtr="0" upright="1">
                          <a:noAutofit/>
                        </wps:bodyPr>
                      </wps:wsp>
                      <wps:wsp>
                        <wps:cNvPr id="26" name="Text Box 26"/>
                        <wps:cNvSpPr txBox="1">
                          <a:spLocks noChangeArrowheads="1"/>
                        </wps:cNvSpPr>
                        <wps:spPr bwMode="auto">
                          <a:xfrm>
                            <a:off x="1643787" y="2821415"/>
                            <a:ext cx="2470150" cy="633730"/>
                          </a:xfrm>
                          <a:prstGeom prst="rect">
                            <a:avLst/>
                          </a:prstGeom>
                          <a:gradFill rotWithShape="0">
                            <a:gsLst>
                              <a:gs pos="0">
                                <a:srgbClr val="76923C"/>
                              </a:gs>
                              <a:gs pos="100000">
                                <a:srgbClr val="76923C">
                                  <a:gamma/>
                                  <a:shade val="97647"/>
                                  <a:invGamma/>
                                </a:srgbClr>
                              </a:gs>
                            </a:gsLst>
                            <a:lin ang="5400000" scaled="1"/>
                          </a:gradFill>
                          <a:ln w="12700">
                            <a:solidFill>
                              <a:srgbClr val="548DD4"/>
                            </a:solidFill>
                            <a:miter lim="800000"/>
                            <a:headEnd/>
                            <a:tailEnd/>
                          </a:ln>
                          <a:effectLst>
                            <a:outerShdw dist="28398" dir="3806097" algn="ctr" rotWithShape="0">
                              <a:srgbClr val="622423">
                                <a:alpha val="50000"/>
                              </a:srgbClr>
                            </a:outerShdw>
                          </a:effectLst>
                        </wps:spPr>
                        <wps:txbx>
                          <w:txbxContent>
                            <w:p w:rsidR="00BC3F1E" w:rsidRPr="009A07AA" w:rsidRDefault="00BC3F1E" w:rsidP="00C90091">
                              <w:pPr>
                                <w:spacing w:after="200"/>
                                <w:rPr>
                                  <w:rStyle w:val="AERbody"/>
                                  <w:rFonts w:ascii="Calibri" w:hAnsi="Calibri"/>
                                </w:rPr>
                              </w:pPr>
                              <w:r w:rsidRPr="009A07AA">
                                <w:rPr>
                                  <w:rStyle w:val="AERbody"/>
                                  <w:rFonts w:ascii="Calibri" w:hAnsi="Calibri"/>
                                  <w:color w:val="FFFFFF"/>
                                </w:rPr>
                                <w:t>Corporate income tax (net of value of imputation credits)</w:t>
                              </w:r>
                            </w:p>
                            <w:p w:rsidR="00BC3F1E" w:rsidRPr="007F7192" w:rsidRDefault="00BC3F1E" w:rsidP="00C90091">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27" name="Line 7"/>
                        <wps:cNvCnPr/>
                        <wps:spPr bwMode="auto">
                          <a:xfrm>
                            <a:off x="4204107"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
                        <wps:cNvCnPr/>
                        <wps:spPr bwMode="auto">
                          <a:xfrm>
                            <a:off x="4204107" y="333248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wps:spPr bwMode="auto">
                          <a:xfrm>
                            <a:off x="4548912" y="0"/>
                            <a:ext cx="0" cy="333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0"/>
                        <wps:cNvCnPr/>
                        <wps:spPr bwMode="auto">
                          <a:xfrm flipH="1">
                            <a:off x="1215797"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1"/>
                        <wps:cNvCnPr/>
                        <wps:spPr bwMode="auto">
                          <a:xfrm flipH="1">
                            <a:off x="1215797" y="137922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2"/>
                        <wps:cNvCnPr/>
                        <wps:spPr bwMode="auto">
                          <a:xfrm>
                            <a:off x="1215797" y="0"/>
                            <a:ext cx="0" cy="137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13"/>
                        <wps:cNvSpPr txBox="1">
                          <a:spLocks noChangeArrowheads="1"/>
                        </wps:cNvSpPr>
                        <wps:spPr bwMode="auto">
                          <a:xfrm>
                            <a:off x="152172" y="407034"/>
                            <a:ext cx="1026795" cy="678815"/>
                          </a:xfrm>
                          <a:prstGeom prst="rect">
                            <a:avLst/>
                          </a:prstGeom>
                          <a:solidFill>
                            <a:srgbClr val="FFFFFF"/>
                          </a:solidFill>
                          <a:ln w="9525">
                            <a:solidFill>
                              <a:srgbClr val="FFFFFF"/>
                            </a:solidFill>
                            <a:miter lim="800000"/>
                            <a:headEnd/>
                            <a:tailEnd/>
                          </a:ln>
                        </wps:spPr>
                        <wps:txbx>
                          <w:txbxContent>
                            <w:p w:rsidR="00BC3F1E" w:rsidRPr="002569F7" w:rsidRDefault="00BC3F1E" w:rsidP="00C90091">
                              <w:pPr>
                                <w:rPr>
                                  <w:rFonts w:ascii="Calibri" w:hAnsi="Calibri"/>
                                </w:rPr>
                              </w:pPr>
                              <w:r w:rsidRPr="002569F7">
                                <w:rPr>
                                  <w:rFonts w:ascii="Calibri" w:hAnsi="Calibri"/>
                                </w:rPr>
                                <w:t>Capital costs</w:t>
                              </w:r>
                            </w:p>
                          </w:txbxContent>
                        </wps:txbx>
                        <wps:bodyPr rot="0" vert="horz" wrap="square" lIns="91440" tIns="45720" rIns="91440" bIns="45720" anchor="t" anchorCtr="0" upright="1">
                          <a:noAutofit/>
                        </wps:bodyPr>
                      </wps:wsp>
                      <wps:wsp>
                        <wps:cNvPr id="34" name="Text Box 14"/>
                        <wps:cNvSpPr txBox="1">
                          <a:spLocks noChangeArrowheads="1"/>
                        </wps:cNvSpPr>
                        <wps:spPr bwMode="auto">
                          <a:xfrm>
                            <a:off x="1649427" y="1557806"/>
                            <a:ext cx="2470150" cy="534643"/>
                          </a:xfrm>
                          <a:prstGeom prst="rect">
                            <a:avLst/>
                          </a:prstGeom>
                          <a:gradFill rotWithShape="0">
                            <a:gsLst>
                              <a:gs pos="0">
                                <a:srgbClr val="365F91"/>
                              </a:gs>
                              <a:gs pos="100000">
                                <a:srgbClr val="365F91"/>
                              </a:gs>
                            </a:gsLst>
                            <a:lin ang="5400000" scaled="1"/>
                          </a:gradFill>
                          <a:ln w="12700">
                            <a:solidFill>
                              <a:srgbClr val="365F91"/>
                            </a:solidFill>
                            <a:miter lim="800000"/>
                            <a:headEnd/>
                            <a:tailEnd/>
                          </a:ln>
                          <a:effectLst>
                            <a:outerShdw dist="28398" dir="3806097" algn="ctr" rotWithShape="0">
                              <a:srgbClr val="3F3151">
                                <a:alpha val="50000"/>
                              </a:srgbClr>
                            </a:outerShdw>
                          </a:effectLst>
                        </wps:spPr>
                        <wps:txbx>
                          <w:txbxContent>
                            <w:p w:rsidR="00BC3F1E" w:rsidRPr="008D2606" w:rsidRDefault="00BC3F1E" w:rsidP="00C90091">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BC3F1E" w:rsidRPr="004414F4" w:rsidRDefault="00BC3F1E" w:rsidP="00C90091">
                              <w:pPr>
                                <w:rPr>
                                  <w:color w:val="FFFFFF"/>
                                </w:rPr>
                              </w:pPr>
                            </w:p>
                          </w:txbxContent>
                        </wps:txbx>
                        <wps:bodyPr rot="0" vert="horz" wrap="square" lIns="91440" tIns="45720" rIns="91440" bIns="45720" anchor="t" anchorCtr="0" upright="1">
                          <a:noAutofit/>
                        </wps:bodyPr>
                      </wps:wsp>
                      <wps:wsp>
                        <wps:cNvPr id="35" name="Text Box 15"/>
                        <wps:cNvSpPr txBox="1">
                          <a:spLocks noChangeArrowheads="1"/>
                        </wps:cNvSpPr>
                        <wps:spPr bwMode="auto">
                          <a:xfrm>
                            <a:off x="1649428" y="2147377"/>
                            <a:ext cx="2470150" cy="633730"/>
                          </a:xfrm>
                          <a:prstGeom prst="rect">
                            <a:avLst/>
                          </a:prstGeom>
                          <a:gradFill rotWithShape="0">
                            <a:gsLst>
                              <a:gs pos="0">
                                <a:srgbClr val="548DD4"/>
                              </a:gs>
                              <a:gs pos="100000">
                                <a:srgbClr val="548DD4"/>
                              </a:gs>
                            </a:gsLst>
                            <a:lin ang="5400000" scaled="1"/>
                          </a:gradFill>
                          <a:ln w="12700">
                            <a:solidFill>
                              <a:srgbClr val="76923C"/>
                            </a:solidFill>
                            <a:miter lim="800000"/>
                            <a:headEnd/>
                            <a:tailEnd/>
                          </a:ln>
                          <a:effectLst>
                            <a:outerShdw dist="28398" dir="3806097" algn="ctr" rotWithShape="0">
                              <a:srgbClr val="205867">
                                <a:alpha val="50000"/>
                              </a:srgbClr>
                            </a:outerShdw>
                          </a:effectLst>
                        </wps:spPr>
                        <wps:txbx>
                          <w:txbxContent>
                            <w:p w:rsidR="00BC3F1E" w:rsidRPr="00784189" w:rsidRDefault="00BC3F1E" w:rsidP="00784189">
                              <w:pPr>
                                <w:rPr>
                                  <w:rFonts w:ascii="Calibri" w:hAnsi="Calibri"/>
                                  <w:color w:val="FFFFFF"/>
                                </w:rPr>
                              </w:pPr>
                              <w:r w:rsidRPr="00784189">
                                <w:rPr>
                                  <w:rFonts w:ascii="Calibri" w:hAnsi="Calibri"/>
                                  <w:color w:val="FFFFFF"/>
                                </w:rPr>
                                <w:t>Incentive mechanisms (increment or decrement)</w:t>
                              </w:r>
                            </w:p>
                            <w:p w:rsidR="00BC3F1E" w:rsidRPr="00F51767" w:rsidRDefault="00BC3F1E" w:rsidP="00C90091"/>
                          </w:txbxContent>
                        </wps:txbx>
                        <wps:bodyPr rot="0" vert="horz" wrap="square" lIns="91440" tIns="45720" rIns="91440" bIns="45720" anchor="t" anchorCtr="0" upright="1">
                          <a:noAutofit/>
                        </wps:bodyPr>
                      </wps:wsp>
                      <wps:wsp>
                        <wps:cNvPr id="36" name="Text Box 16"/>
                        <wps:cNvSpPr txBox="1">
                          <a:spLocks noChangeArrowheads="1"/>
                        </wps:cNvSpPr>
                        <wps:spPr bwMode="auto">
                          <a:xfrm>
                            <a:off x="4667022" y="1579880"/>
                            <a:ext cx="895350" cy="314325"/>
                          </a:xfrm>
                          <a:prstGeom prst="rect">
                            <a:avLst/>
                          </a:prstGeom>
                          <a:solidFill>
                            <a:srgbClr val="FFFFFF"/>
                          </a:solidFill>
                          <a:ln w="9525">
                            <a:solidFill>
                              <a:schemeClr val="bg1">
                                <a:lumMod val="100000"/>
                                <a:lumOff val="0"/>
                              </a:schemeClr>
                            </a:solidFill>
                            <a:miter lim="800000"/>
                            <a:headEnd/>
                            <a:tailEnd/>
                          </a:ln>
                        </wps:spPr>
                        <wps:txbx>
                          <w:txbxContent>
                            <w:p w:rsidR="00BC3F1E" w:rsidRPr="00E91FF0" w:rsidRDefault="00BC3F1E" w:rsidP="00C90091">
                              <w:pPr>
                                <w:pStyle w:val="AERtabletextleft"/>
                              </w:pPr>
                              <w:r w:rsidRPr="00E91FF0">
                                <w:t xml:space="preserve">Total </w:t>
                              </w:r>
                              <w:r>
                                <w:t>r</w:t>
                              </w:r>
                              <w:r w:rsidRPr="00E91FF0">
                                <w:t>evenue</w:t>
                              </w:r>
                            </w:p>
                            <w:p w:rsidR="00BC3F1E" w:rsidRDefault="00BC3F1E" w:rsidP="00C90091"/>
                          </w:txbxContent>
                        </wps:txbx>
                        <wps:bodyPr rot="0" vert="horz" wrap="square" lIns="91440" tIns="45720" rIns="91440" bIns="45720" anchor="t" anchorCtr="0" upright="1">
                          <a:noAutofit/>
                        </wps:bodyPr>
                      </wps:wsp>
                    </wpc:wpc>
                  </a:graphicData>
                </a:graphic>
              </wp:inline>
            </w:drawing>
          </mc:Choice>
          <mc:Fallback>
            <w:pict>
              <v:group id="Canvas 37" o:spid="_x0000_s1026" editas="canvas" alt="Image outlining the bulding block model. The table's contents were described in the previous paragraph." style="width:438.35pt;height:274.85pt;mso-position-horizontal-relative:char;mso-position-vertical-relative:line" coordsize="55664,3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5664;height:3490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6437;width:24702;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OZ8UA&#10;AADbAAAADwAAAGRycy9kb3ducmV2LnhtbESPX2sCMRDE3wt+h7CCL6Xm/FfkNIoIQqG0tFoKvi2X&#10;9RK9bI5LPM9v3xQKfRxm5zc7y3XnKtFSE6xnBaNhBoK48NpyqeDrsHuagwgRWWPlmRTcKcB61XtY&#10;Yq79jT+p3cdSJAiHHBWYGOtcylAYchiGviZO3sk3DmOSTSl1g7cEd5UcZ9mzdGg5NRisaWuouOyv&#10;Lr0x+9i0x60J+Pj2PZm+ny3FV6vUoN9tFiAidfH/+C/9ohWMp/C7JQF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Y5nxQAAANsAAAAPAAAAAAAAAAAAAAAAAJgCAABkcnMv&#10;ZG93bnJldi54bWxQSwUGAAAAAAQABAD1AAAAigMAAAAA&#10;" fillcolor="#c00000" strokecolor="#c00000" strokeweight="0">
                  <v:fill opacity=".5" color2="#c71e1e" focusposition=".5,.5" focussize="" focus="100%" type="gradientRadial"/>
                  <v:shadow on="t" color="#622423" offset="1pt"/>
                  <v:textbox>
                    <w:txbxContent>
                      <w:p w:rsidR="00BC3F1E" w:rsidRPr="009A07AA" w:rsidRDefault="00BC3F1E" w:rsidP="00C90091">
                        <w:pPr>
                          <w:rPr>
                            <w:rFonts w:ascii="Calibri" w:hAnsi="Calibri"/>
                            <w:b/>
                            <w:color w:val="FFFFFF"/>
                          </w:rPr>
                        </w:pPr>
                        <w:r w:rsidRPr="009A07AA">
                          <w:rPr>
                            <w:rFonts w:ascii="Calibri" w:hAnsi="Calibri"/>
                            <w:color w:val="FFFFFF"/>
                          </w:rPr>
                          <w:t xml:space="preserve">Return on capital (forecast </w:t>
                        </w:r>
                        <w:r w:rsidRPr="009A07AA">
                          <w:rPr>
                            <w:rFonts w:ascii="Calibri" w:hAnsi="Calibri"/>
                            <w:color w:val="FFFFFF" w:themeColor="background1"/>
                          </w:rPr>
                          <w:t xml:space="preserve">capital base </w:t>
                        </w:r>
                        <w:r w:rsidRPr="009A07AA">
                          <w:rPr>
                            <w:rFonts w:ascii="Calibri" w:hAnsi="Calibri"/>
                            <w:color w:val="FFFFFF"/>
                          </w:rPr>
                          <w:t>× cost of capital)</w:t>
                        </w:r>
                      </w:p>
                    </w:txbxContent>
                  </v:textbox>
                </v:shape>
                <v:shape id="Text Box 5" o:spid="_x0000_s1029" type="#_x0000_t202" style="position:absolute;left:16437;top:6889;width:24702;height:7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2JdMYA&#10;AADbAAAADwAAAGRycy9kb3ducmV2LnhtbESPT2vCQBTE74LfYXlCb3Wj2NpGV/EPxV5aMBV6fWSf&#10;2Wj2bciuJvXTdwsFj8PM/IaZLztbiSs1vnSsYDRMQBDnTpdcKDh8vT2+gPABWWPlmBT8kIflot+b&#10;Y6pdy3u6ZqEQEcI+RQUmhDqV0ueGLPqhq4mjd3SNxRBlU0jdYBvhtpLjJHmWFkuOCwZr2hjKz9nF&#10;KrhMD8koP20/zOv37nOScbe9tWulHgbdagYiUBfu4f/2u1YwfoK/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2JdMYAAADbAAAADwAAAAAAAAAAAAAAAACYAgAAZHJz&#10;L2Rvd25yZXYueG1sUEsFBgAAAAAEAAQA9QAAAIsDAAAAAA==&#10;" fillcolor="#c0504d" strokecolor="#d99594" strokeweight="1pt">
                  <v:fill color2="#c15451" focus="50%" type="gradient"/>
                  <v:shadow on="t" color="#622423" offset="1pt"/>
                  <v:textbox>
                    <w:txbxContent>
                      <w:p w:rsidR="00BC3F1E" w:rsidRPr="009A07AA" w:rsidRDefault="00BC3F1E" w:rsidP="00C90091">
                        <w:pPr>
                          <w:rPr>
                            <w:rFonts w:ascii="Calibri" w:hAnsi="Calibri"/>
                            <w:color w:val="FFFFFF" w:themeColor="background1"/>
                          </w:rPr>
                        </w:pPr>
                        <w:r w:rsidRPr="009A07AA">
                          <w:rPr>
                            <w:rFonts w:ascii="Calibri" w:hAnsi="Calibri"/>
                            <w:color w:val="FFFFFF" w:themeColor="background1"/>
                          </w:rPr>
                          <w:t>Regulatory depreciation (depreciation net of indexation applied to capital base)</w:t>
                        </w:r>
                      </w:p>
                    </w:txbxContent>
                  </v:textbox>
                </v:shape>
                <v:shape id="Text Box 26" o:spid="_x0000_s1030" type="#_x0000_t202" style="position:absolute;left:16437;top:28214;width:24702;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0vMYA&#10;AADbAAAADwAAAGRycy9kb3ducmV2LnhtbESPQWsCMRSE74L/IbyCl1Kz1WLL1ihFEBbrRdtSj8/N&#10;cze6eVk2Ubf+eiMUPA4z8w0znra2EidqvHGs4LmfgCDOnTZcKPj+mj+9gfABWWPlmBT8kYfppNsZ&#10;Y6rdmVd0WodCRAj7FBWUIdSplD4vyaLvu5o4ejvXWAxRNoXUDZ4j3FZykCQjadFwXCixpllJ+WF9&#10;tAouj9nrp8kW25dazs3vcLff/Cz3SvUe2o93EIHacA//tzOtYDCC25f4A+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O0vMYAAADbAAAADwAAAAAAAAAAAAAAAACYAgAAZHJz&#10;L2Rvd25yZXYueG1sUEsFBgAAAAAEAAQA9QAAAIsDAAAAAA==&#10;" fillcolor="#76923c" strokecolor="#548dd4" strokeweight="1pt">
                  <v:fill color2="#738f3b" focus="100%" type="gradient"/>
                  <v:shadow on="t" color="#622423" opacity=".5" offset="1pt"/>
                  <v:textbox>
                    <w:txbxContent>
                      <w:p w:rsidR="00BC3F1E" w:rsidRPr="009A07AA" w:rsidRDefault="00BC3F1E" w:rsidP="00C90091">
                        <w:pPr>
                          <w:spacing w:after="200"/>
                          <w:rPr>
                            <w:rStyle w:val="AERbody"/>
                            <w:rFonts w:ascii="Calibri" w:hAnsi="Calibri"/>
                          </w:rPr>
                        </w:pPr>
                        <w:r w:rsidRPr="009A07AA">
                          <w:rPr>
                            <w:rStyle w:val="AERbody"/>
                            <w:rFonts w:ascii="Calibri" w:hAnsi="Calibri"/>
                            <w:color w:val="FFFFFF"/>
                          </w:rPr>
                          <w:t>Corporate income tax (net of value of imputation credits)</w:t>
                        </w:r>
                      </w:p>
                      <w:p w:rsidR="00BC3F1E" w:rsidRPr="007F7192" w:rsidRDefault="00BC3F1E" w:rsidP="00C90091">
                        <w:pPr>
                          <w:spacing w:after="200"/>
                          <w:rPr>
                            <w:rStyle w:val="AERbody"/>
                            <w:color w:val="FFFFFF"/>
                          </w:rPr>
                        </w:pPr>
                        <w:r w:rsidRPr="007F7192">
                          <w:rPr>
                            <w:rStyle w:val="AERbody"/>
                            <w:color w:val="FFFFFF"/>
                          </w:rPr>
                          <w:br/>
                        </w:r>
                      </w:p>
                    </w:txbxContent>
                  </v:textbox>
                </v:shape>
                <v:line id="Line 7" o:spid="_x0000_s1031" style="position:absolute;visibility:visible;mso-wrap-style:square" from="42041,0" to="45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8" o:spid="_x0000_s1032" style="position:absolute;visibility:visible;mso-wrap-style:square" from="42041,33324" to="45489,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9" o:spid="_x0000_s1033" style="position:absolute;visibility:visible;mso-wrap-style:square" from="45489,0" to="45489,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0" o:spid="_x0000_s1034" style="position:absolute;flip:x;visibility:visible;mso-wrap-style:square" from="12157,0" to="15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11" o:spid="_x0000_s1035" style="position:absolute;flip:x;visibility:visible;mso-wrap-style:square" from="12157,13792" to="15606,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12" o:spid="_x0000_s1036" style="position:absolute;visibility:visible;mso-wrap-style:square" from="12157,0" to="12157,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13" o:spid="_x0000_s1037" type="#_x0000_t202" style="position:absolute;left:1521;top:4070;width:10268;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w:txbxContent>
                      <w:p w:rsidR="00BC3F1E" w:rsidRPr="002569F7" w:rsidRDefault="00BC3F1E" w:rsidP="00C90091">
                        <w:pPr>
                          <w:rPr>
                            <w:rFonts w:ascii="Calibri" w:hAnsi="Calibri"/>
                          </w:rPr>
                        </w:pPr>
                        <w:r w:rsidRPr="002569F7">
                          <w:rPr>
                            <w:rFonts w:ascii="Calibri" w:hAnsi="Calibri"/>
                          </w:rPr>
                          <w:t>Capital costs</w:t>
                        </w:r>
                      </w:p>
                    </w:txbxContent>
                  </v:textbox>
                </v:shape>
                <v:shape id="Text Box 14" o:spid="_x0000_s1038" type="#_x0000_t202" style="position:absolute;left:16494;top:15578;width:24701;height: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e08YA&#10;AADbAAAADwAAAGRycy9kb3ducmV2LnhtbESPQWvCQBSE70L/w/IKvYhuWm2V1FVSQdCLtCrY3h7Z&#10;1yQ0+zbsbk38964geBxm5htmtuhMLU7kfGVZwfMwAUGcW11xoeCwXw2mIHxA1lhbJgVn8rCYP/Rm&#10;mGrb8heddqEQEcI+RQVlCE0qpc9LMuiHtiGO3q91BkOUrpDaYRvhppYvSfImDVYcF0psaFlS/rf7&#10;Nwqmk+X+2Gw/9GfrXjf5j8+6736m1NNjl72DCNSFe/jWXmsFozFcv8Qf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e08YAAADbAAAADwAAAAAAAAAAAAAAAACYAgAAZHJz&#10;L2Rvd25yZXYueG1sUEsFBgAAAAAEAAQA9QAAAIsDAAAAAA==&#10;" fillcolor="#365f91" strokecolor="#365f91" strokeweight="1pt">
                  <v:fill color2="#365f91" focus="100%" type="gradient"/>
                  <v:shadow on="t" color="#3f3151" opacity=".5" offset="1pt"/>
                  <v:textbox>
                    <w:txbxContent>
                      <w:p w:rsidR="00BC3F1E" w:rsidRPr="008D2606" w:rsidRDefault="00BC3F1E" w:rsidP="00C90091">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BC3F1E" w:rsidRPr="004414F4" w:rsidRDefault="00BC3F1E" w:rsidP="00C90091">
                        <w:pPr>
                          <w:rPr>
                            <w:color w:val="FFFFFF"/>
                          </w:rPr>
                        </w:pPr>
                      </w:p>
                    </w:txbxContent>
                  </v:textbox>
                </v:shape>
                <v:shape id="Text Box 15" o:spid="_x0000_s1039" type="#_x0000_t202" style="position:absolute;left:16494;top:21473;width:24701;height:6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3fH8UA&#10;AADbAAAADwAAAGRycy9kb3ducmV2LnhtbESPQWsCMRSE74L/ITzBm2a1aGVrlFIrinjpWorHx+Z1&#10;s7h5WTZRV399UxA8DjPzDTNftrYSF2p86VjBaJiAIM6dLrlQ8H1YD2YgfEDWWDkmBTfysFx0O3NM&#10;tbvyF12yUIgIYZ+iAhNCnUrpc0MW/dDVxNH7dY3FEGVTSN3gNcJtJcdJMpUWS44LBmv6MJSfsrNV&#10;cNzcfvbuvKo/s8nWvLrdtLgfd0r1e+37G4hAbXiGH+2tVvAygf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d8fxQAAANsAAAAPAAAAAAAAAAAAAAAAAJgCAABkcnMv&#10;ZG93bnJldi54bWxQSwUGAAAAAAQABAD1AAAAigMAAAAA&#10;" fillcolor="#548dd4" strokecolor="#76923c" strokeweight="1pt">
                  <v:fill color2="#548dd4" focus="100%" type="gradient"/>
                  <v:shadow on="t" color="#205867" opacity=".5" offset="1pt"/>
                  <v:textbox>
                    <w:txbxContent>
                      <w:p w:rsidR="00BC3F1E" w:rsidRPr="00784189" w:rsidRDefault="00BC3F1E" w:rsidP="00784189">
                        <w:pPr>
                          <w:rPr>
                            <w:rFonts w:ascii="Calibri" w:hAnsi="Calibri"/>
                            <w:color w:val="FFFFFF"/>
                          </w:rPr>
                        </w:pPr>
                        <w:r w:rsidRPr="00784189">
                          <w:rPr>
                            <w:rFonts w:ascii="Calibri" w:hAnsi="Calibri"/>
                            <w:color w:val="FFFFFF"/>
                          </w:rPr>
                          <w:t>Incentive mechanisms (increment or decrement)</w:t>
                        </w:r>
                      </w:p>
                      <w:p w:rsidR="00BC3F1E" w:rsidRPr="00F51767" w:rsidRDefault="00BC3F1E" w:rsidP="00C90091"/>
                    </w:txbxContent>
                  </v:textbox>
                </v:shape>
                <v:shape id="Text Box 16" o:spid="_x0000_s1040" type="#_x0000_t202" style="position:absolute;left:46670;top:15798;width:895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NGMQA&#10;AADbAAAADwAAAGRycy9kb3ducmV2LnhtbESPQWvCQBSE7wX/w/IEb3WjlqDRVURRepHSKOrxmX0m&#10;wezbkN1q6q/vFgo9DjPzDTNbtKYSd2pcaVnBoB+BIM6sLjlXcNhvXscgnEfWWFkmBd/kYDHvvMww&#10;0fbBn3RPfS4ChF2CCgrv60RKlxVk0PVtTRy8q20M+iCbXOoGHwFuKjmMolgaLDksFFjTqqDsln4Z&#10;BS6L4uPHW3o8XeSWnhOt1+ftTqlet11OQXhq/X/4r/2uFYx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dzRjEAAAA2wAAAA8AAAAAAAAAAAAAAAAAmAIAAGRycy9k&#10;b3ducmV2LnhtbFBLBQYAAAAABAAEAPUAAACJAwAAAAA=&#10;" strokecolor="white [3212]">
                  <v:textbox>
                    <w:txbxContent>
                      <w:p w:rsidR="00BC3F1E" w:rsidRPr="00E91FF0" w:rsidRDefault="00BC3F1E" w:rsidP="00C90091">
                        <w:pPr>
                          <w:pStyle w:val="AERtabletextleft"/>
                        </w:pPr>
                        <w:r w:rsidRPr="00E91FF0">
                          <w:t xml:space="preserve">Total </w:t>
                        </w:r>
                        <w:r>
                          <w:t>r</w:t>
                        </w:r>
                        <w:r w:rsidRPr="00E91FF0">
                          <w:t>evenue</w:t>
                        </w:r>
                      </w:p>
                      <w:p w:rsidR="00BC3F1E" w:rsidRDefault="00BC3F1E" w:rsidP="00C90091"/>
                    </w:txbxContent>
                  </v:textbox>
                </v:shape>
                <w10:anchorlock/>
              </v:group>
            </w:pict>
          </mc:Fallback>
        </mc:AlternateContent>
      </w:r>
    </w:p>
    <w:p w:rsidR="00C90091" w:rsidRPr="007C4B82" w:rsidRDefault="00C90091" w:rsidP="00C90091">
      <w:pPr>
        <w:pStyle w:val="ListParagraph"/>
        <w:numPr>
          <w:ilvl w:val="0"/>
          <w:numId w:val="25"/>
        </w:numPr>
      </w:pPr>
      <w:r>
        <w:t xml:space="preserve">Section </w:t>
      </w:r>
      <w:r>
        <w:fldChar w:fldCharType="begin"/>
      </w:r>
      <w:r>
        <w:instrText xml:space="preserve"> REF _Ref418255462 \r \h </w:instrText>
      </w:r>
      <w:r>
        <w:fldChar w:fldCharType="separate"/>
      </w:r>
      <w:r w:rsidR="009037A2">
        <w:t>3</w:t>
      </w:r>
      <w:r>
        <w:fldChar w:fldCharType="end"/>
      </w:r>
      <w:r w:rsidRPr="007C4B82">
        <w:t xml:space="preserve"> summarises our decision by building block and provides our high level reasons and analysis. </w:t>
      </w:r>
      <w:r w:rsidR="00011C37">
        <w:t>The a</w:t>
      </w:r>
      <w:r>
        <w:t>ttachments provide a more detailed explanation of our analysis and findings.</w:t>
      </w:r>
    </w:p>
    <w:p w:rsidR="00C90091" w:rsidRPr="0058438C" w:rsidRDefault="00C90091" w:rsidP="004D0BCD">
      <w:pPr>
        <w:numPr>
          <w:ilvl w:val="0"/>
          <w:numId w:val="25"/>
        </w:numPr>
      </w:pPr>
      <w:r>
        <w:t xml:space="preserve">In this section </w:t>
      </w:r>
      <w:r>
        <w:fldChar w:fldCharType="begin"/>
      </w:r>
      <w:r>
        <w:instrText xml:space="preserve"> REF _Ref419186513 \r \h </w:instrText>
      </w:r>
      <w:r>
        <w:fldChar w:fldCharType="separate"/>
      </w:r>
      <w:r w:rsidR="009037A2">
        <w:t>2</w:t>
      </w:r>
      <w:r>
        <w:fldChar w:fldCharType="end"/>
      </w:r>
      <w:r>
        <w:t xml:space="preserve"> </w:t>
      </w:r>
      <w:r w:rsidR="00233838">
        <w:t>we set out our decision on JGN's total revenue requirement and the tariffs derived from that total revenue requirement.</w:t>
      </w:r>
    </w:p>
    <w:p w:rsidR="00825A8D" w:rsidRPr="0072575B" w:rsidRDefault="00825A8D" w:rsidP="00825A8D">
      <w:pPr>
        <w:pStyle w:val="Heading2"/>
      </w:pPr>
      <w:bookmarkStart w:id="66" w:name="_Toc408404619"/>
      <w:bookmarkStart w:id="67" w:name="_Toc419895018"/>
      <w:r>
        <w:t>Final decision</w:t>
      </w:r>
      <w:bookmarkEnd w:id="66"/>
      <w:bookmarkEnd w:id="67"/>
    </w:p>
    <w:p w:rsidR="004D0BCD" w:rsidRPr="004D0BCD" w:rsidRDefault="004D0BCD" w:rsidP="0056459D">
      <w:r w:rsidRPr="004D0BCD">
        <w:t xml:space="preserve">We do not approve JGN's </w:t>
      </w:r>
      <w:r>
        <w:t xml:space="preserve">revised </w:t>
      </w:r>
      <w:r w:rsidRPr="004D0BCD">
        <w:t>propos</w:t>
      </w:r>
      <w:r>
        <w:t>al</w:t>
      </w:r>
      <w:r w:rsidRPr="004D0BCD">
        <w:t xml:space="preserve"> </w:t>
      </w:r>
      <w:r w:rsidR="00C334AC">
        <w:t xml:space="preserve">for a </w:t>
      </w:r>
      <w:r w:rsidRPr="004D0BCD">
        <w:t>total revenue requirement (smoothed) of $</w:t>
      </w:r>
      <w:r w:rsidR="000935F8">
        <w:t>2605.2 </w:t>
      </w:r>
      <w:r w:rsidRPr="004D0BCD">
        <w:t xml:space="preserve">million ($nominal) for </w:t>
      </w:r>
      <w:r w:rsidR="00C334AC">
        <w:t xml:space="preserve">its </w:t>
      </w:r>
      <w:r w:rsidRPr="004D0BCD">
        <w:t>reference</w:t>
      </w:r>
      <w:r w:rsidR="000935F8">
        <w:t>, negotiated and other</w:t>
      </w:r>
      <w:r w:rsidRPr="004D0BCD">
        <w:t xml:space="preserve"> service</w:t>
      </w:r>
      <w:r w:rsidR="000935F8">
        <w:t>s</w:t>
      </w:r>
      <w:r w:rsidRPr="004D0BCD">
        <w:t>.</w:t>
      </w:r>
      <w:r w:rsidRPr="004D0BCD">
        <w:rPr>
          <w:rStyle w:val="FootnoteReference"/>
        </w:rPr>
        <w:footnoteReference w:id="28"/>
      </w:r>
      <w:r w:rsidRPr="004D0BCD">
        <w:t xml:space="preserve"> Based on our assessment of the building block costs, we determine a total revenue requirement </w:t>
      </w:r>
      <w:r w:rsidRPr="0056459D">
        <w:t>of $</w:t>
      </w:r>
      <w:r w:rsidR="000935F8" w:rsidRPr="0056459D">
        <w:t>22</w:t>
      </w:r>
      <w:r w:rsidR="00811C49">
        <w:t>29</w:t>
      </w:r>
      <w:r w:rsidR="007439ED">
        <w:t>.0</w:t>
      </w:r>
      <w:r w:rsidR="00811C49">
        <w:t xml:space="preserve"> </w:t>
      </w:r>
      <w:r w:rsidRPr="0056459D">
        <w:t>million ($nominal, smoothed) for JGN</w:t>
      </w:r>
      <w:r w:rsidRPr="004D0BCD">
        <w:t xml:space="preserve"> over the 2015–20 access arrangement period.</w:t>
      </w:r>
      <w:r w:rsidRPr="004D0BCD">
        <w:rPr>
          <w:rStyle w:val="FootnoteReference"/>
        </w:rPr>
        <w:footnoteReference w:id="29"/>
      </w:r>
      <w:r w:rsidRPr="004D0BCD">
        <w:t xml:space="preserve"> We are satisfied that this amount meets the requirement of rule 76 of the NGR. This amount includes revenue for</w:t>
      </w:r>
      <w:r w:rsidR="00BC1F06">
        <w:t xml:space="preserve"> the</w:t>
      </w:r>
      <w:r w:rsidRPr="004D0BCD">
        <w:t xml:space="preserve"> reference service of</w:t>
      </w:r>
      <w:r w:rsidR="00707DDE">
        <w:t xml:space="preserve"> </w:t>
      </w:r>
      <w:r w:rsidR="007C38E4">
        <w:t>$</w:t>
      </w:r>
      <w:r w:rsidR="000935F8" w:rsidRPr="0056459D">
        <w:t>221</w:t>
      </w:r>
      <w:r w:rsidR="007C38E4">
        <w:t>8.1</w:t>
      </w:r>
      <w:r w:rsidR="00630FAB">
        <w:t> </w:t>
      </w:r>
      <w:r w:rsidRPr="0056459D">
        <w:t>million ($nominal)</w:t>
      </w:r>
      <w:r w:rsidRPr="004D0BCD">
        <w:t xml:space="preserve"> and $1</w:t>
      </w:r>
      <w:r w:rsidR="000935F8">
        <w:t>1.0</w:t>
      </w:r>
      <w:r w:rsidRPr="004D0BCD">
        <w:t> million ($nominal) for negotiated and other services. This total smoothed revenue requirement</w:t>
      </w:r>
      <w:r w:rsidR="000935F8">
        <w:t xml:space="preserve"> means we have approved 85.</w:t>
      </w:r>
      <w:r w:rsidR="007C38E4">
        <w:t>6</w:t>
      </w:r>
      <w:r w:rsidR="000935F8">
        <w:t> per cent of</w:t>
      </w:r>
      <w:r w:rsidRPr="004D0BCD">
        <w:t xml:space="preserve"> JGN's </w:t>
      </w:r>
      <w:r>
        <w:t xml:space="preserve">revised </w:t>
      </w:r>
      <w:r w:rsidRPr="004D0BCD">
        <w:t>proposal over the 2015–20 access arrangement period</w:t>
      </w:r>
      <w:r w:rsidR="000935F8">
        <w:t xml:space="preserve"> (taking into account </w:t>
      </w:r>
      <w:r w:rsidR="00BA77C4">
        <w:t xml:space="preserve">JGN's 27 March </w:t>
      </w:r>
      <w:r w:rsidR="000935F8">
        <w:t>submission</w:t>
      </w:r>
      <w:r w:rsidR="00BA77C4">
        <w:t xml:space="preserve"> on its revised proposal, which put forward changes to the smoothed revenue requirement</w:t>
      </w:r>
      <w:r w:rsidR="000935F8">
        <w:t>)</w:t>
      </w:r>
      <w:r w:rsidRPr="004D0BCD">
        <w:t>.</w:t>
      </w:r>
      <w:r w:rsidR="00E8354B">
        <w:rPr>
          <w:rStyle w:val="FootnoteReference"/>
        </w:rPr>
        <w:footnoteReference w:id="30"/>
      </w:r>
    </w:p>
    <w:p w:rsidR="00A33EA9" w:rsidRDefault="004D0BCD" w:rsidP="004D0BCD">
      <w:pPr>
        <w:numPr>
          <w:ilvl w:val="0"/>
          <w:numId w:val="25"/>
        </w:numPr>
      </w:pPr>
      <w:r w:rsidRPr="004D0BCD">
        <w:t xml:space="preserve">We do not approve JGN's </w:t>
      </w:r>
      <w:r w:rsidR="00E8354B">
        <w:t xml:space="preserve">revised </w:t>
      </w:r>
      <w:r w:rsidRPr="004D0BCD">
        <w:t xml:space="preserve">proposed 2015–16 tariffs, which imply a weighted average decrease in </w:t>
      </w:r>
      <w:r w:rsidR="00E229BA">
        <w:t>nominal</w:t>
      </w:r>
      <w:r w:rsidR="00E229BA" w:rsidRPr="004D0BCD">
        <w:t xml:space="preserve"> </w:t>
      </w:r>
      <w:r w:rsidR="00CD1A33">
        <w:t>tariffs</w:t>
      </w:r>
      <w:r w:rsidR="00CD1A33" w:rsidRPr="004D0BCD">
        <w:t xml:space="preserve"> </w:t>
      </w:r>
      <w:r w:rsidRPr="004D0BCD">
        <w:t xml:space="preserve">of </w:t>
      </w:r>
      <w:r w:rsidR="00E229BA">
        <w:t>4.1</w:t>
      </w:r>
      <w:r w:rsidRPr="004D0BCD">
        <w:t> per cent</w:t>
      </w:r>
      <w:r w:rsidR="00287EB9">
        <w:t>.</w:t>
      </w:r>
      <w:r w:rsidR="00E229BA">
        <w:rPr>
          <w:rStyle w:val="FootnoteReference"/>
        </w:rPr>
        <w:footnoteReference w:id="31"/>
      </w:r>
      <w:r w:rsidR="00287EB9">
        <w:t xml:space="preserve"> Nor do we approve</w:t>
      </w:r>
      <w:r w:rsidRPr="004D0BCD">
        <w:t xml:space="preserve"> its 2016–20 tariff path, which is for a </w:t>
      </w:r>
      <w:r w:rsidR="00E229BA">
        <w:t>nominal</w:t>
      </w:r>
      <w:r w:rsidR="00E229BA" w:rsidRPr="004D0BCD">
        <w:t xml:space="preserve"> </w:t>
      </w:r>
      <w:r w:rsidRPr="004D0BCD">
        <w:t xml:space="preserve">decrease of </w:t>
      </w:r>
      <w:r w:rsidR="00E229BA">
        <w:t>5.9</w:t>
      </w:r>
      <w:r w:rsidRPr="004D0BCD">
        <w:t xml:space="preserve"> per cent </w:t>
      </w:r>
      <w:r w:rsidR="00E8354B">
        <w:t xml:space="preserve">each year from 2016–17 to 2018–19 and a </w:t>
      </w:r>
      <w:r w:rsidR="00E229BA">
        <w:t xml:space="preserve">nominal </w:t>
      </w:r>
      <w:r w:rsidR="00E8354B">
        <w:t xml:space="preserve">increase of </w:t>
      </w:r>
      <w:r w:rsidR="00E229BA">
        <w:t>4.4</w:t>
      </w:r>
      <w:r w:rsidR="00E8354B">
        <w:t> per cent in 2019–20</w:t>
      </w:r>
      <w:r w:rsidRPr="004D0BCD">
        <w:t>.</w:t>
      </w:r>
      <w:r w:rsidR="00E8354B">
        <w:rPr>
          <w:rStyle w:val="FootnoteReference"/>
        </w:rPr>
        <w:footnoteReference w:id="32"/>
      </w:r>
      <w:r w:rsidRPr="004D0BCD">
        <w:t xml:space="preserve"> </w:t>
      </w:r>
      <w:r>
        <w:t xml:space="preserve">As a result of our lower total revenue requirement and higher demand forecast, our final decision is for a </w:t>
      </w:r>
      <w:r w:rsidR="00E229BA">
        <w:t xml:space="preserve">nominal </w:t>
      </w:r>
      <w:r>
        <w:t xml:space="preserve">decrease in weighted average tariffs </w:t>
      </w:r>
      <w:r w:rsidR="00E8354B">
        <w:t>in the first four years of the</w:t>
      </w:r>
      <w:r w:rsidR="00A33EA9">
        <w:t xml:space="preserve"> access arrangement period. </w:t>
      </w:r>
      <w:r w:rsidR="00E229BA">
        <w:t>After factoring in our inflation forecast of 2.</w:t>
      </w:r>
      <w:r w:rsidR="007C38E4">
        <w:t>6</w:t>
      </w:r>
      <w:r w:rsidR="00E229BA">
        <w:t> per cent</w:t>
      </w:r>
      <w:r w:rsidR="00B440A0">
        <w:t xml:space="preserve"> per annum</w:t>
      </w:r>
      <w:r w:rsidR="00E229BA">
        <w:t xml:space="preserve">, this </w:t>
      </w:r>
      <w:r w:rsidR="00A33EA9">
        <w:t>means</w:t>
      </w:r>
      <w:r w:rsidR="00BA77C4">
        <w:t xml:space="preserve"> a </w:t>
      </w:r>
      <w:r w:rsidR="00E229BA">
        <w:t>nominal</w:t>
      </w:r>
      <w:r w:rsidR="00BA77C4">
        <w:t xml:space="preserve"> decrease of</w:t>
      </w:r>
      <w:r w:rsidR="00A33EA9">
        <w:t>:</w:t>
      </w:r>
    </w:p>
    <w:p w:rsidR="00A33EA9" w:rsidRDefault="00E229BA" w:rsidP="00A33EA9">
      <w:pPr>
        <w:pStyle w:val="AERbulletlistfirststyle"/>
      </w:pPr>
      <w:r>
        <w:rPr>
          <w:rStyle w:val="AERbody"/>
        </w:rPr>
        <w:t>18.4</w:t>
      </w:r>
      <w:r w:rsidR="00E8354B" w:rsidRPr="00A33EA9">
        <w:rPr>
          <w:rStyle w:val="AERbody"/>
        </w:rPr>
        <w:t> </w:t>
      </w:r>
      <w:r w:rsidR="004D0BCD" w:rsidRPr="00A33EA9">
        <w:rPr>
          <w:rStyle w:val="AERbody"/>
        </w:rPr>
        <w:t>per cent in 2015</w:t>
      </w:r>
      <w:r w:rsidR="004D0BCD">
        <w:t>–16</w:t>
      </w:r>
      <w:r w:rsidR="00CD1A33">
        <w:rPr>
          <w:rStyle w:val="FootnoteReference"/>
        </w:rPr>
        <w:footnoteReference w:id="33"/>
      </w:r>
    </w:p>
    <w:p w:rsidR="00A33EA9" w:rsidRDefault="00E229BA" w:rsidP="00A33EA9">
      <w:pPr>
        <w:pStyle w:val="AERbulletlistfirststyle"/>
      </w:pPr>
      <w:r>
        <w:t>9.</w:t>
      </w:r>
      <w:r w:rsidR="007C38E4">
        <w:t>8</w:t>
      </w:r>
      <w:r w:rsidR="00A33EA9">
        <w:t> per cent in 2016–17</w:t>
      </w:r>
    </w:p>
    <w:p w:rsidR="00A33EA9" w:rsidRDefault="00A073F1" w:rsidP="00A33EA9">
      <w:pPr>
        <w:pStyle w:val="AERbulletlistfirststyle"/>
      </w:pPr>
      <w:r>
        <w:t>4</w:t>
      </w:r>
      <w:r w:rsidR="00E229BA">
        <w:t>.</w:t>
      </w:r>
      <w:r>
        <w:t>6</w:t>
      </w:r>
      <w:r w:rsidR="00A33EA9">
        <w:t> per cent in 2017–18</w:t>
      </w:r>
    </w:p>
    <w:p w:rsidR="00A33EA9" w:rsidRDefault="00E229BA" w:rsidP="00A33EA9">
      <w:pPr>
        <w:pStyle w:val="AERbulletlistfirststyle"/>
      </w:pPr>
      <w:r>
        <w:t>2.</w:t>
      </w:r>
      <w:r w:rsidR="007C38E4">
        <w:t>5</w:t>
      </w:r>
      <w:r w:rsidR="00A33EA9">
        <w:t> per cent in 2018–19.</w:t>
      </w:r>
    </w:p>
    <w:p w:rsidR="004D0BCD" w:rsidRPr="004D0BCD" w:rsidRDefault="00E229BA" w:rsidP="00A33EA9">
      <w:pPr>
        <w:numPr>
          <w:ilvl w:val="0"/>
          <w:numId w:val="25"/>
        </w:numPr>
      </w:pPr>
      <w:r>
        <w:t>Nominal p</w:t>
      </w:r>
      <w:r w:rsidR="00A33EA9">
        <w:t xml:space="preserve">rices then </w:t>
      </w:r>
      <w:r>
        <w:t xml:space="preserve">increase in line with inflation </w:t>
      </w:r>
      <w:r w:rsidR="00A33EA9">
        <w:t>for the final year, 2019–20.</w:t>
      </w:r>
    </w:p>
    <w:p w:rsidR="004D0BCD" w:rsidRPr="004D0BCD" w:rsidRDefault="004D0BCD" w:rsidP="004D0BCD">
      <w:pPr>
        <w:numPr>
          <w:ilvl w:val="0"/>
          <w:numId w:val="25"/>
        </w:numPr>
        <w:rPr>
          <w:rStyle w:val="AERtexthighlight"/>
        </w:rPr>
      </w:pPr>
      <w:r w:rsidRPr="004D0BCD">
        <w:t xml:space="preserve">We accept that some aspects of JGN's </w:t>
      </w:r>
      <w:r>
        <w:t xml:space="preserve">revised </w:t>
      </w:r>
      <w:r w:rsidRPr="004D0BCD">
        <w:t>proposal are consistent with the requirements of the NGR. However, we have not approved all elements, and so have not approved JGN's access arrangement proposal as a whole.</w:t>
      </w:r>
      <w:r w:rsidRPr="004D0BCD">
        <w:rPr>
          <w:rStyle w:val="FootnoteReference"/>
        </w:rPr>
        <w:footnoteReference w:id="34"/>
      </w:r>
      <w:r w:rsidRPr="004D0BCD">
        <w:t xml:space="preserve"> </w:t>
      </w:r>
    </w:p>
    <w:p w:rsidR="004D0BCD" w:rsidRDefault="004D0BCD" w:rsidP="004D0BCD">
      <w:pPr>
        <w:numPr>
          <w:ilvl w:val="0"/>
          <w:numId w:val="25"/>
        </w:numPr>
      </w:pPr>
      <w:r w:rsidRPr="006E00F6">
        <w:t xml:space="preserve">Our </w:t>
      </w:r>
      <w:r>
        <w:t>final</w:t>
      </w:r>
      <w:r w:rsidRPr="006E00F6">
        <w:t xml:space="preserve"> decision on JGN's revenue requirement </w:t>
      </w:r>
      <w:r>
        <w:t xml:space="preserve">by building block costs </w:t>
      </w:r>
      <w:r w:rsidRPr="006E00F6">
        <w:t>for each year of the 2015–20 acc</w:t>
      </w:r>
      <w:r>
        <w:t>ess arrangement period, its total revenue after equalisation (smoothing) and the X factors for use in the tariff variation mechanism are set out in</w:t>
      </w:r>
      <w:r w:rsidR="0056459D">
        <w:t xml:space="preserve"> </w:t>
      </w:r>
      <w:r w:rsidR="00011C7C">
        <w:fldChar w:fldCharType="begin"/>
      </w:r>
      <w:r w:rsidR="00011C7C">
        <w:instrText xml:space="preserve"> REF _Ref419466998 \h </w:instrText>
      </w:r>
      <w:r w:rsidR="00011C7C">
        <w:fldChar w:fldCharType="separate"/>
      </w:r>
      <w:r w:rsidR="00707DDE">
        <w:t>t</w:t>
      </w:r>
      <w:r w:rsidR="009037A2">
        <w:t xml:space="preserve">able </w:t>
      </w:r>
      <w:r w:rsidR="009037A2">
        <w:rPr>
          <w:noProof/>
        </w:rPr>
        <w:t>2</w:t>
      </w:r>
      <w:r w:rsidR="00011C7C">
        <w:fldChar w:fldCharType="end"/>
      </w:r>
      <w:r w:rsidR="00323D0E">
        <w:t>.</w:t>
      </w:r>
    </w:p>
    <w:p w:rsidR="006D4F27" w:rsidRDefault="006D4F27" w:rsidP="006D4F27"/>
    <w:p w:rsidR="006D4F27" w:rsidRDefault="006D4F27" w:rsidP="006D4F27"/>
    <w:p w:rsidR="006D4F27" w:rsidRDefault="006D4F27" w:rsidP="006D4F27"/>
    <w:p w:rsidR="006D4F27" w:rsidRDefault="006D4F27" w:rsidP="006D4F27"/>
    <w:p w:rsidR="004D0BCD" w:rsidRDefault="00011C7C" w:rsidP="00011C7C">
      <w:pPr>
        <w:pStyle w:val="Caption"/>
      </w:pPr>
      <w:bookmarkStart w:id="68" w:name="_Ref419466998"/>
      <w:r>
        <w:t xml:space="preserve">Table </w:t>
      </w:r>
      <w:fldSimple w:instr=" SEQ Table \* ARABIC ">
        <w:r w:rsidR="009037A2">
          <w:rPr>
            <w:noProof/>
          </w:rPr>
          <w:t>2</w:t>
        </w:r>
      </w:fldSimple>
      <w:bookmarkEnd w:id="68"/>
      <w:r w:rsidR="00323D0E">
        <w:tab/>
      </w:r>
      <w:r w:rsidR="004D0BCD" w:rsidRPr="00323D0E">
        <w:t xml:space="preserve">AER's </w:t>
      </w:r>
      <w:r w:rsidR="00323D0E">
        <w:t>final</w:t>
      </w:r>
      <w:r w:rsidR="004D0BCD" w:rsidRPr="00323D0E">
        <w:t xml:space="preserve"> decision on JGN's smoothed total revenue and X</w:t>
      </w:r>
      <w:r w:rsidR="00A33EA9">
        <w:t> </w:t>
      </w:r>
      <w:r w:rsidR="004D0BCD" w:rsidRPr="00323D0E">
        <w:t>factors for the 2015–20 access arrangement period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910B4A" w:rsidRPr="00910B4A" w:rsidTr="006D4F2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910B4A" w:rsidRPr="00910B4A" w:rsidRDefault="00910B4A" w:rsidP="00910B4A">
            <w:r w:rsidRPr="00910B4A">
              <w:t>Building block</w:t>
            </w:r>
          </w:p>
        </w:tc>
        <w:tc>
          <w:tcPr>
            <w:tcW w:w="897" w:type="dxa"/>
            <w:noWrap/>
            <w:hideMark/>
          </w:tcPr>
          <w:p w:rsidR="00910B4A" w:rsidRPr="00910B4A" w:rsidRDefault="00910B4A" w:rsidP="00910B4A">
            <w:pPr>
              <w:cnfStyle w:val="100000000000" w:firstRow="1" w:lastRow="0" w:firstColumn="0" w:lastColumn="0" w:oddVBand="0" w:evenVBand="0" w:oddHBand="0" w:evenHBand="0" w:firstRowFirstColumn="0" w:firstRowLastColumn="0" w:lastRowFirstColumn="0" w:lastRowLastColumn="0"/>
            </w:pPr>
            <w:r w:rsidRPr="00910B4A">
              <w:t>2015–16</w:t>
            </w:r>
          </w:p>
        </w:tc>
        <w:tc>
          <w:tcPr>
            <w:tcW w:w="898" w:type="dxa"/>
            <w:noWrap/>
            <w:hideMark/>
          </w:tcPr>
          <w:p w:rsidR="00910B4A" w:rsidRPr="00910B4A" w:rsidRDefault="00910B4A" w:rsidP="00910B4A">
            <w:pPr>
              <w:cnfStyle w:val="100000000000" w:firstRow="1" w:lastRow="0" w:firstColumn="0" w:lastColumn="0" w:oddVBand="0" w:evenVBand="0" w:oddHBand="0" w:evenHBand="0" w:firstRowFirstColumn="0" w:firstRowLastColumn="0" w:lastRowFirstColumn="0" w:lastRowLastColumn="0"/>
            </w:pPr>
            <w:r w:rsidRPr="00910B4A">
              <w:t>2016–17</w:t>
            </w:r>
          </w:p>
        </w:tc>
        <w:tc>
          <w:tcPr>
            <w:tcW w:w="898" w:type="dxa"/>
            <w:noWrap/>
            <w:hideMark/>
          </w:tcPr>
          <w:p w:rsidR="00910B4A" w:rsidRPr="00910B4A" w:rsidRDefault="00910B4A" w:rsidP="00910B4A">
            <w:pPr>
              <w:cnfStyle w:val="100000000000" w:firstRow="1" w:lastRow="0" w:firstColumn="0" w:lastColumn="0" w:oddVBand="0" w:evenVBand="0" w:oddHBand="0" w:evenHBand="0" w:firstRowFirstColumn="0" w:firstRowLastColumn="0" w:lastRowFirstColumn="0" w:lastRowLastColumn="0"/>
            </w:pPr>
            <w:r w:rsidRPr="00910B4A">
              <w:t>2017–18</w:t>
            </w:r>
          </w:p>
        </w:tc>
        <w:tc>
          <w:tcPr>
            <w:tcW w:w="897" w:type="dxa"/>
            <w:noWrap/>
            <w:hideMark/>
          </w:tcPr>
          <w:p w:rsidR="00910B4A" w:rsidRPr="00910B4A" w:rsidRDefault="00910B4A" w:rsidP="00910B4A">
            <w:pPr>
              <w:cnfStyle w:val="100000000000" w:firstRow="1" w:lastRow="0" w:firstColumn="0" w:lastColumn="0" w:oddVBand="0" w:evenVBand="0" w:oddHBand="0" w:evenHBand="0" w:firstRowFirstColumn="0" w:firstRowLastColumn="0" w:lastRowFirstColumn="0" w:lastRowLastColumn="0"/>
            </w:pPr>
            <w:r w:rsidRPr="00910B4A">
              <w:t>2018–19</w:t>
            </w:r>
          </w:p>
        </w:tc>
        <w:tc>
          <w:tcPr>
            <w:tcW w:w="898" w:type="dxa"/>
            <w:noWrap/>
            <w:hideMark/>
          </w:tcPr>
          <w:p w:rsidR="00910B4A" w:rsidRPr="00910B4A" w:rsidRDefault="00910B4A" w:rsidP="00910B4A">
            <w:pPr>
              <w:cnfStyle w:val="100000000000" w:firstRow="1" w:lastRow="0" w:firstColumn="0" w:lastColumn="0" w:oddVBand="0" w:evenVBand="0" w:oddHBand="0" w:evenHBand="0" w:firstRowFirstColumn="0" w:firstRowLastColumn="0" w:lastRowFirstColumn="0" w:lastRowLastColumn="0"/>
            </w:pPr>
            <w:r w:rsidRPr="00910B4A">
              <w:t>2019–20</w:t>
            </w:r>
          </w:p>
        </w:tc>
        <w:tc>
          <w:tcPr>
            <w:tcW w:w="898" w:type="dxa"/>
            <w:noWrap/>
            <w:hideMark/>
          </w:tcPr>
          <w:p w:rsidR="00910B4A" w:rsidRPr="00910B4A" w:rsidRDefault="00910B4A" w:rsidP="00910B4A">
            <w:pPr>
              <w:cnfStyle w:val="100000000000" w:firstRow="1" w:lastRow="0" w:firstColumn="0" w:lastColumn="0" w:oddVBand="0" w:evenVBand="0" w:oddHBand="0" w:evenHBand="0" w:firstRowFirstColumn="0" w:firstRowLastColumn="0" w:lastRowFirstColumn="0" w:lastRowLastColumn="0"/>
            </w:pPr>
            <w:r w:rsidRPr="00910B4A">
              <w:t>Total</w:t>
            </w:r>
          </w:p>
        </w:tc>
      </w:tr>
      <w:tr w:rsidR="007C38E4" w:rsidRPr="00910B4A" w:rsidTr="006D4F27">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7C38E4" w:rsidRPr="007C38E4" w:rsidRDefault="007C38E4" w:rsidP="007C38E4">
            <w:r w:rsidRPr="007C38E4">
              <w:t>Return on capital</w:t>
            </w:r>
          </w:p>
        </w:tc>
        <w:tc>
          <w:tcPr>
            <w:tcW w:w="897" w:type="dxa"/>
            <w:noWrap/>
          </w:tcPr>
          <w:p w:rsidR="007C38E4" w:rsidRPr="007C38E4" w:rsidRDefault="007C38E4" w:rsidP="007C38E4">
            <w:pPr>
              <w:cnfStyle w:val="000000000000" w:firstRow="0" w:lastRow="0" w:firstColumn="0" w:lastColumn="0" w:oddVBand="0" w:evenVBand="0" w:oddHBand="0" w:evenHBand="0" w:firstRowFirstColumn="0" w:firstRowLastColumn="0" w:lastRowFirstColumn="0" w:lastRowLastColumn="0"/>
            </w:pPr>
            <w:r w:rsidRPr="007C38E4">
              <w:t>167.0</w:t>
            </w:r>
          </w:p>
        </w:tc>
        <w:tc>
          <w:tcPr>
            <w:tcW w:w="898" w:type="dxa"/>
            <w:noWrap/>
          </w:tcPr>
          <w:p w:rsidR="007C38E4" w:rsidRPr="007C38E4" w:rsidRDefault="007C38E4" w:rsidP="007C38E4">
            <w:pPr>
              <w:cnfStyle w:val="000000000000" w:firstRow="0" w:lastRow="0" w:firstColumn="0" w:lastColumn="0" w:oddVBand="0" w:evenVBand="0" w:oddHBand="0" w:evenHBand="0" w:firstRowFirstColumn="0" w:firstRowLastColumn="0" w:lastRowFirstColumn="0" w:lastRowLastColumn="0"/>
            </w:pPr>
            <w:r w:rsidRPr="007C38E4">
              <w:t>174.9</w:t>
            </w:r>
          </w:p>
        </w:tc>
        <w:tc>
          <w:tcPr>
            <w:tcW w:w="898" w:type="dxa"/>
            <w:noWrap/>
          </w:tcPr>
          <w:p w:rsidR="007C38E4" w:rsidRPr="007C38E4" w:rsidRDefault="007C38E4" w:rsidP="007C38E4">
            <w:pPr>
              <w:cnfStyle w:val="000000000000" w:firstRow="0" w:lastRow="0" w:firstColumn="0" w:lastColumn="0" w:oddVBand="0" w:evenVBand="0" w:oddHBand="0" w:evenHBand="0" w:firstRowFirstColumn="0" w:firstRowLastColumn="0" w:lastRowFirstColumn="0" w:lastRowLastColumn="0"/>
            </w:pPr>
            <w:r w:rsidRPr="007C38E4">
              <w:t>182.2</w:t>
            </w:r>
          </w:p>
        </w:tc>
        <w:tc>
          <w:tcPr>
            <w:tcW w:w="897" w:type="dxa"/>
            <w:noWrap/>
          </w:tcPr>
          <w:p w:rsidR="007C38E4" w:rsidRPr="007C38E4" w:rsidRDefault="007C38E4" w:rsidP="007C38E4">
            <w:pPr>
              <w:cnfStyle w:val="000000000000" w:firstRow="0" w:lastRow="0" w:firstColumn="0" w:lastColumn="0" w:oddVBand="0" w:evenVBand="0" w:oddHBand="0" w:evenHBand="0" w:firstRowFirstColumn="0" w:firstRowLastColumn="0" w:lastRowFirstColumn="0" w:lastRowLastColumn="0"/>
            </w:pPr>
            <w:r w:rsidRPr="007C38E4">
              <w:t>188.4</w:t>
            </w:r>
          </w:p>
        </w:tc>
        <w:tc>
          <w:tcPr>
            <w:tcW w:w="898" w:type="dxa"/>
            <w:noWrap/>
          </w:tcPr>
          <w:p w:rsidR="007C38E4" w:rsidRPr="007C38E4" w:rsidRDefault="007C38E4" w:rsidP="007C38E4">
            <w:pPr>
              <w:cnfStyle w:val="000000000000" w:firstRow="0" w:lastRow="0" w:firstColumn="0" w:lastColumn="0" w:oddVBand="0" w:evenVBand="0" w:oddHBand="0" w:evenHBand="0" w:firstRowFirstColumn="0" w:firstRowLastColumn="0" w:lastRowFirstColumn="0" w:lastRowLastColumn="0"/>
            </w:pPr>
            <w:r w:rsidRPr="007C38E4">
              <w:t>192.9</w:t>
            </w:r>
          </w:p>
        </w:tc>
        <w:tc>
          <w:tcPr>
            <w:tcW w:w="898" w:type="dxa"/>
            <w:noWrap/>
          </w:tcPr>
          <w:p w:rsidR="007C38E4" w:rsidRPr="007C38E4" w:rsidRDefault="007C38E4" w:rsidP="007C38E4">
            <w:pPr>
              <w:cnfStyle w:val="000000000000" w:firstRow="0" w:lastRow="0" w:firstColumn="0" w:lastColumn="0" w:oddVBand="0" w:evenVBand="0" w:oddHBand="0" w:evenHBand="0" w:firstRowFirstColumn="0" w:firstRowLastColumn="0" w:lastRowFirstColumn="0" w:lastRowLastColumn="0"/>
            </w:pPr>
            <w:r w:rsidRPr="007C38E4">
              <w:t>905.4</w:t>
            </w:r>
          </w:p>
        </w:tc>
      </w:tr>
      <w:tr w:rsidR="007C38E4" w:rsidRPr="00910B4A"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7C38E4" w:rsidRPr="007C38E4" w:rsidRDefault="007C38E4" w:rsidP="007C38E4">
            <w:r w:rsidRPr="007C38E4">
              <w:t>Regulatory depreciation</w:t>
            </w:r>
          </w:p>
        </w:tc>
        <w:tc>
          <w:tcPr>
            <w:tcW w:w="897" w:type="dxa"/>
            <w:noWrap/>
          </w:tcPr>
          <w:p w:rsidR="007C38E4" w:rsidRPr="007C38E4" w:rsidRDefault="007C38E4" w:rsidP="007C38E4">
            <w:pPr>
              <w:cnfStyle w:val="000000010000" w:firstRow="0" w:lastRow="0" w:firstColumn="0" w:lastColumn="0" w:oddVBand="0" w:evenVBand="0" w:oddHBand="0" w:evenHBand="1" w:firstRowFirstColumn="0" w:firstRowLastColumn="0" w:lastRowFirstColumn="0" w:lastRowLastColumn="0"/>
            </w:pPr>
            <w:r w:rsidRPr="007C38E4">
              <w:t>66.6</w:t>
            </w:r>
          </w:p>
        </w:tc>
        <w:tc>
          <w:tcPr>
            <w:tcW w:w="898" w:type="dxa"/>
            <w:noWrap/>
          </w:tcPr>
          <w:p w:rsidR="007C38E4" w:rsidRPr="007C38E4" w:rsidRDefault="007C38E4" w:rsidP="007C38E4">
            <w:pPr>
              <w:cnfStyle w:val="000000010000" w:firstRow="0" w:lastRow="0" w:firstColumn="0" w:lastColumn="0" w:oddVBand="0" w:evenVBand="0" w:oddHBand="0" w:evenHBand="1" w:firstRowFirstColumn="0" w:firstRowLastColumn="0" w:lastRowFirstColumn="0" w:lastRowLastColumn="0"/>
            </w:pPr>
            <w:r w:rsidRPr="007C38E4">
              <w:t>79.0</w:t>
            </w:r>
          </w:p>
        </w:tc>
        <w:tc>
          <w:tcPr>
            <w:tcW w:w="898" w:type="dxa"/>
            <w:noWrap/>
          </w:tcPr>
          <w:p w:rsidR="007C38E4" w:rsidRPr="007C38E4" w:rsidRDefault="007C38E4" w:rsidP="007C38E4">
            <w:pPr>
              <w:cnfStyle w:val="000000010000" w:firstRow="0" w:lastRow="0" w:firstColumn="0" w:lastColumn="0" w:oddVBand="0" w:evenVBand="0" w:oddHBand="0" w:evenHBand="1" w:firstRowFirstColumn="0" w:firstRowLastColumn="0" w:lastRowFirstColumn="0" w:lastRowLastColumn="0"/>
            </w:pPr>
            <w:r w:rsidRPr="007C38E4">
              <w:t>92.2</w:t>
            </w:r>
          </w:p>
        </w:tc>
        <w:tc>
          <w:tcPr>
            <w:tcW w:w="897" w:type="dxa"/>
            <w:noWrap/>
          </w:tcPr>
          <w:p w:rsidR="007C38E4" w:rsidRPr="007C38E4" w:rsidRDefault="007C38E4" w:rsidP="007C38E4">
            <w:pPr>
              <w:cnfStyle w:val="000000010000" w:firstRow="0" w:lastRow="0" w:firstColumn="0" w:lastColumn="0" w:oddVBand="0" w:evenVBand="0" w:oddHBand="0" w:evenHBand="1" w:firstRowFirstColumn="0" w:firstRowLastColumn="0" w:lastRowFirstColumn="0" w:lastRowLastColumn="0"/>
            </w:pPr>
            <w:r w:rsidRPr="007C38E4">
              <w:t>103.0</w:t>
            </w:r>
          </w:p>
        </w:tc>
        <w:tc>
          <w:tcPr>
            <w:tcW w:w="898" w:type="dxa"/>
            <w:noWrap/>
          </w:tcPr>
          <w:p w:rsidR="007C38E4" w:rsidRPr="007C38E4" w:rsidRDefault="007C38E4" w:rsidP="007C38E4">
            <w:pPr>
              <w:cnfStyle w:val="000000010000" w:firstRow="0" w:lastRow="0" w:firstColumn="0" w:lastColumn="0" w:oddVBand="0" w:evenVBand="0" w:oddHBand="0" w:evenHBand="1" w:firstRowFirstColumn="0" w:firstRowLastColumn="0" w:lastRowFirstColumn="0" w:lastRowLastColumn="0"/>
            </w:pPr>
            <w:r w:rsidRPr="007C38E4">
              <w:t>88.1</w:t>
            </w:r>
          </w:p>
        </w:tc>
        <w:tc>
          <w:tcPr>
            <w:tcW w:w="898" w:type="dxa"/>
            <w:noWrap/>
          </w:tcPr>
          <w:p w:rsidR="007C38E4" w:rsidRPr="007C38E4" w:rsidRDefault="007C38E4" w:rsidP="007C38E4">
            <w:pPr>
              <w:cnfStyle w:val="000000010000" w:firstRow="0" w:lastRow="0" w:firstColumn="0" w:lastColumn="0" w:oddVBand="0" w:evenVBand="0" w:oddHBand="0" w:evenHBand="1" w:firstRowFirstColumn="0" w:firstRowLastColumn="0" w:lastRowFirstColumn="0" w:lastRowLastColumn="0"/>
            </w:pPr>
            <w:r w:rsidRPr="007C38E4">
              <w:t>428.9</w:t>
            </w:r>
          </w:p>
        </w:tc>
      </w:tr>
      <w:tr w:rsidR="007C38E4" w:rsidRPr="00910B4A" w:rsidTr="006D4F27">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7C38E4" w:rsidRPr="007C38E4" w:rsidRDefault="007C38E4" w:rsidP="007C38E4">
            <w:r w:rsidRPr="007C38E4">
              <w:t>Operating expenditure</w:t>
            </w:r>
          </w:p>
        </w:tc>
        <w:tc>
          <w:tcPr>
            <w:tcW w:w="897" w:type="dxa"/>
            <w:noWrap/>
          </w:tcPr>
          <w:p w:rsidR="007C38E4" w:rsidRPr="007C38E4" w:rsidRDefault="007C38E4" w:rsidP="007C38E4">
            <w:pPr>
              <w:cnfStyle w:val="000000000000" w:firstRow="0" w:lastRow="0" w:firstColumn="0" w:lastColumn="0" w:oddVBand="0" w:evenVBand="0" w:oddHBand="0" w:evenHBand="0" w:firstRowFirstColumn="0" w:firstRowLastColumn="0" w:lastRowFirstColumn="0" w:lastRowLastColumn="0"/>
            </w:pPr>
            <w:r w:rsidRPr="007C38E4">
              <w:t>162.6</w:t>
            </w:r>
          </w:p>
        </w:tc>
        <w:tc>
          <w:tcPr>
            <w:tcW w:w="898" w:type="dxa"/>
            <w:noWrap/>
          </w:tcPr>
          <w:p w:rsidR="007C38E4" w:rsidRPr="007C38E4" w:rsidRDefault="007C38E4" w:rsidP="007C38E4">
            <w:pPr>
              <w:cnfStyle w:val="000000000000" w:firstRow="0" w:lastRow="0" w:firstColumn="0" w:lastColumn="0" w:oddVBand="0" w:evenVBand="0" w:oddHBand="0" w:evenHBand="0" w:firstRowFirstColumn="0" w:firstRowLastColumn="0" w:lastRowFirstColumn="0" w:lastRowLastColumn="0"/>
            </w:pPr>
            <w:r w:rsidRPr="007C38E4">
              <w:t>167.7</w:t>
            </w:r>
          </w:p>
        </w:tc>
        <w:tc>
          <w:tcPr>
            <w:tcW w:w="898" w:type="dxa"/>
            <w:noWrap/>
          </w:tcPr>
          <w:p w:rsidR="007C38E4" w:rsidRPr="007C38E4" w:rsidRDefault="007C38E4" w:rsidP="007C38E4">
            <w:pPr>
              <w:cnfStyle w:val="000000000000" w:firstRow="0" w:lastRow="0" w:firstColumn="0" w:lastColumn="0" w:oddVBand="0" w:evenVBand="0" w:oddHBand="0" w:evenHBand="0" w:firstRowFirstColumn="0" w:firstRowLastColumn="0" w:lastRowFirstColumn="0" w:lastRowLastColumn="0"/>
            </w:pPr>
            <w:r w:rsidRPr="007C38E4">
              <w:t>173.0</w:t>
            </w:r>
          </w:p>
        </w:tc>
        <w:tc>
          <w:tcPr>
            <w:tcW w:w="897" w:type="dxa"/>
            <w:noWrap/>
          </w:tcPr>
          <w:p w:rsidR="007C38E4" w:rsidRPr="007C38E4" w:rsidRDefault="007C38E4" w:rsidP="007C38E4">
            <w:pPr>
              <w:cnfStyle w:val="000000000000" w:firstRow="0" w:lastRow="0" w:firstColumn="0" w:lastColumn="0" w:oddVBand="0" w:evenVBand="0" w:oddHBand="0" w:evenHBand="0" w:firstRowFirstColumn="0" w:firstRowLastColumn="0" w:lastRowFirstColumn="0" w:lastRowLastColumn="0"/>
            </w:pPr>
            <w:r w:rsidRPr="007C38E4">
              <w:t>182.5</w:t>
            </w:r>
          </w:p>
        </w:tc>
        <w:tc>
          <w:tcPr>
            <w:tcW w:w="898" w:type="dxa"/>
            <w:noWrap/>
          </w:tcPr>
          <w:p w:rsidR="007C38E4" w:rsidRPr="007C38E4" w:rsidRDefault="007C38E4" w:rsidP="007C38E4">
            <w:pPr>
              <w:cnfStyle w:val="000000000000" w:firstRow="0" w:lastRow="0" w:firstColumn="0" w:lastColumn="0" w:oddVBand="0" w:evenVBand="0" w:oddHBand="0" w:evenHBand="0" w:firstRowFirstColumn="0" w:firstRowLastColumn="0" w:lastRowFirstColumn="0" w:lastRowLastColumn="0"/>
            </w:pPr>
            <w:r w:rsidRPr="007C38E4">
              <w:t>186.3</w:t>
            </w:r>
          </w:p>
        </w:tc>
        <w:tc>
          <w:tcPr>
            <w:tcW w:w="898" w:type="dxa"/>
            <w:noWrap/>
          </w:tcPr>
          <w:p w:rsidR="007C38E4" w:rsidRPr="007C38E4" w:rsidRDefault="007C38E4" w:rsidP="007C38E4">
            <w:pPr>
              <w:cnfStyle w:val="000000000000" w:firstRow="0" w:lastRow="0" w:firstColumn="0" w:lastColumn="0" w:oddVBand="0" w:evenVBand="0" w:oddHBand="0" w:evenHBand="0" w:firstRowFirstColumn="0" w:firstRowLastColumn="0" w:lastRowFirstColumn="0" w:lastRowLastColumn="0"/>
            </w:pPr>
            <w:r w:rsidRPr="007C38E4">
              <w:t>872.0</w:t>
            </w:r>
          </w:p>
        </w:tc>
      </w:tr>
      <w:tr w:rsidR="007C38E4" w:rsidRPr="00910B4A"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7C38E4" w:rsidRPr="007C38E4" w:rsidRDefault="007C38E4" w:rsidP="007C38E4">
            <w:r w:rsidRPr="007C38E4">
              <w:t>Corporate income tax</w:t>
            </w:r>
          </w:p>
        </w:tc>
        <w:tc>
          <w:tcPr>
            <w:tcW w:w="897" w:type="dxa"/>
            <w:noWrap/>
          </w:tcPr>
          <w:p w:rsidR="007C38E4" w:rsidRPr="007C38E4" w:rsidRDefault="007C38E4">
            <w:pPr>
              <w:cnfStyle w:val="000000010000" w:firstRow="0" w:lastRow="0" w:firstColumn="0" w:lastColumn="0" w:oddVBand="0" w:evenVBand="0" w:oddHBand="0" w:evenHBand="1" w:firstRowFirstColumn="0" w:firstRowLastColumn="0" w:lastRowFirstColumn="0" w:lastRowLastColumn="0"/>
            </w:pPr>
            <w:r w:rsidRPr="007C38E4">
              <w:t>5.8</w:t>
            </w:r>
          </w:p>
        </w:tc>
        <w:tc>
          <w:tcPr>
            <w:tcW w:w="898" w:type="dxa"/>
            <w:noWrap/>
          </w:tcPr>
          <w:p w:rsidR="007C38E4" w:rsidRPr="007C38E4" w:rsidRDefault="007C38E4">
            <w:pPr>
              <w:cnfStyle w:val="000000010000" w:firstRow="0" w:lastRow="0" w:firstColumn="0" w:lastColumn="0" w:oddVBand="0" w:evenVBand="0" w:oddHBand="0" w:evenHBand="1" w:firstRowFirstColumn="0" w:firstRowLastColumn="0" w:lastRowFirstColumn="0" w:lastRowLastColumn="0"/>
            </w:pPr>
            <w:r w:rsidRPr="007C38E4">
              <w:t>6.9</w:t>
            </w:r>
          </w:p>
        </w:tc>
        <w:tc>
          <w:tcPr>
            <w:tcW w:w="898" w:type="dxa"/>
            <w:noWrap/>
          </w:tcPr>
          <w:p w:rsidR="007C38E4" w:rsidRPr="007C38E4" w:rsidRDefault="007C38E4">
            <w:pPr>
              <w:cnfStyle w:val="000000010000" w:firstRow="0" w:lastRow="0" w:firstColumn="0" w:lastColumn="0" w:oddVBand="0" w:evenVBand="0" w:oddHBand="0" w:evenHBand="1" w:firstRowFirstColumn="0" w:firstRowLastColumn="0" w:lastRowFirstColumn="0" w:lastRowLastColumn="0"/>
            </w:pPr>
            <w:r w:rsidRPr="007C38E4">
              <w:t>9.1</w:t>
            </w:r>
          </w:p>
        </w:tc>
        <w:tc>
          <w:tcPr>
            <w:tcW w:w="897" w:type="dxa"/>
            <w:noWrap/>
          </w:tcPr>
          <w:p w:rsidR="007C38E4" w:rsidRPr="007C38E4" w:rsidRDefault="007C38E4">
            <w:pPr>
              <w:cnfStyle w:val="000000010000" w:firstRow="0" w:lastRow="0" w:firstColumn="0" w:lastColumn="0" w:oddVBand="0" w:evenVBand="0" w:oddHBand="0" w:evenHBand="1" w:firstRowFirstColumn="0" w:firstRowLastColumn="0" w:lastRowFirstColumn="0" w:lastRowLastColumn="0"/>
            </w:pPr>
            <w:r w:rsidRPr="007C38E4">
              <w:t>11.</w:t>
            </w:r>
            <w:r w:rsidR="003029CD">
              <w:t>4</w:t>
            </w:r>
          </w:p>
        </w:tc>
        <w:tc>
          <w:tcPr>
            <w:tcW w:w="898" w:type="dxa"/>
            <w:noWrap/>
          </w:tcPr>
          <w:p w:rsidR="007C38E4" w:rsidRPr="007C38E4" w:rsidRDefault="007C38E4">
            <w:pPr>
              <w:cnfStyle w:val="000000010000" w:firstRow="0" w:lastRow="0" w:firstColumn="0" w:lastColumn="0" w:oddVBand="0" w:evenVBand="0" w:oddHBand="0" w:evenHBand="1" w:firstRowFirstColumn="0" w:firstRowLastColumn="0" w:lastRowFirstColumn="0" w:lastRowLastColumn="0"/>
            </w:pPr>
            <w:r w:rsidRPr="007C38E4">
              <w:t>9.1</w:t>
            </w:r>
          </w:p>
        </w:tc>
        <w:tc>
          <w:tcPr>
            <w:tcW w:w="898" w:type="dxa"/>
            <w:noWrap/>
          </w:tcPr>
          <w:p w:rsidR="007C38E4" w:rsidRPr="007C38E4" w:rsidRDefault="007C38E4" w:rsidP="007C38E4">
            <w:pPr>
              <w:cnfStyle w:val="000000010000" w:firstRow="0" w:lastRow="0" w:firstColumn="0" w:lastColumn="0" w:oddVBand="0" w:evenVBand="0" w:oddHBand="0" w:evenHBand="1" w:firstRowFirstColumn="0" w:firstRowLastColumn="0" w:lastRowFirstColumn="0" w:lastRowLastColumn="0"/>
            </w:pPr>
            <w:r w:rsidRPr="007C38E4">
              <w:t>42.4</w:t>
            </w:r>
          </w:p>
        </w:tc>
      </w:tr>
      <w:tr w:rsidR="007C38E4" w:rsidRPr="00C35158" w:rsidTr="006D4F27">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7C38E4" w:rsidRPr="006D4F27" w:rsidRDefault="007C38E4" w:rsidP="007C38E4">
            <w:pPr>
              <w:rPr>
                <w:rStyle w:val="Strong"/>
              </w:rPr>
            </w:pPr>
            <w:r w:rsidRPr="006D4F27">
              <w:rPr>
                <w:rStyle w:val="Strong"/>
              </w:rPr>
              <w:t>Building block revenue – unsmoothed</w:t>
            </w:r>
          </w:p>
        </w:tc>
        <w:tc>
          <w:tcPr>
            <w:tcW w:w="897" w:type="dxa"/>
            <w:noWrap/>
          </w:tcPr>
          <w:p w:rsidR="007C38E4" w:rsidRPr="006D4F27" w:rsidRDefault="007C38E4">
            <w:pPr>
              <w:cnfStyle w:val="000000000000" w:firstRow="0" w:lastRow="0" w:firstColumn="0" w:lastColumn="0" w:oddVBand="0" w:evenVBand="0" w:oddHBand="0" w:evenHBand="0" w:firstRowFirstColumn="0" w:firstRowLastColumn="0" w:lastRowFirstColumn="0" w:lastRowLastColumn="0"/>
              <w:rPr>
                <w:rStyle w:val="Strong"/>
              </w:rPr>
            </w:pPr>
            <w:r w:rsidRPr="006D4F27">
              <w:rPr>
                <w:rStyle w:val="Strong"/>
              </w:rPr>
              <w:t>40</w:t>
            </w:r>
            <w:r w:rsidR="003029CD" w:rsidRPr="006D4F27">
              <w:rPr>
                <w:rStyle w:val="Strong"/>
              </w:rPr>
              <w:t>2</w:t>
            </w:r>
            <w:r w:rsidRPr="006D4F27">
              <w:rPr>
                <w:rStyle w:val="Strong"/>
              </w:rPr>
              <w:t>.</w:t>
            </w:r>
            <w:r w:rsidR="003029CD" w:rsidRPr="006D4F27">
              <w:rPr>
                <w:rStyle w:val="Strong"/>
              </w:rPr>
              <w:t>0</w:t>
            </w:r>
          </w:p>
        </w:tc>
        <w:tc>
          <w:tcPr>
            <w:tcW w:w="898" w:type="dxa"/>
            <w:noWrap/>
          </w:tcPr>
          <w:p w:rsidR="007C38E4" w:rsidRPr="006D4F27" w:rsidRDefault="007C38E4">
            <w:pPr>
              <w:cnfStyle w:val="000000000000" w:firstRow="0" w:lastRow="0" w:firstColumn="0" w:lastColumn="0" w:oddVBand="0" w:evenVBand="0" w:oddHBand="0" w:evenHBand="0" w:firstRowFirstColumn="0" w:firstRowLastColumn="0" w:lastRowFirstColumn="0" w:lastRowLastColumn="0"/>
              <w:rPr>
                <w:rStyle w:val="Strong"/>
              </w:rPr>
            </w:pPr>
            <w:r w:rsidRPr="006D4F27">
              <w:rPr>
                <w:rStyle w:val="Strong"/>
              </w:rPr>
              <w:t>428.5</w:t>
            </w:r>
          </w:p>
        </w:tc>
        <w:tc>
          <w:tcPr>
            <w:tcW w:w="898" w:type="dxa"/>
            <w:noWrap/>
          </w:tcPr>
          <w:p w:rsidR="007C38E4" w:rsidRPr="006D4F27" w:rsidRDefault="007C38E4">
            <w:pPr>
              <w:cnfStyle w:val="000000000000" w:firstRow="0" w:lastRow="0" w:firstColumn="0" w:lastColumn="0" w:oddVBand="0" w:evenVBand="0" w:oddHBand="0" w:evenHBand="0" w:firstRowFirstColumn="0" w:firstRowLastColumn="0" w:lastRowFirstColumn="0" w:lastRowLastColumn="0"/>
              <w:rPr>
                <w:rStyle w:val="Strong"/>
              </w:rPr>
            </w:pPr>
            <w:r w:rsidRPr="006D4F27">
              <w:rPr>
                <w:rStyle w:val="Strong"/>
              </w:rPr>
              <w:t>456.5</w:t>
            </w:r>
          </w:p>
        </w:tc>
        <w:tc>
          <w:tcPr>
            <w:tcW w:w="897" w:type="dxa"/>
            <w:noWrap/>
          </w:tcPr>
          <w:p w:rsidR="007C38E4" w:rsidRPr="006D4F27" w:rsidRDefault="007C38E4">
            <w:pPr>
              <w:cnfStyle w:val="000000000000" w:firstRow="0" w:lastRow="0" w:firstColumn="0" w:lastColumn="0" w:oddVBand="0" w:evenVBand="0" w:oddHBand="0" w:evenHBand="0" w:firstRowFirstColumn="0" w:firstRowLastColumn="0" w:lastRowFirstColumn="0" w:lastRowLastColumn="0"/>
              <w:rPr>
                <w:rStyle w:val="Strong"/>
              </w:rPr>
            </w:pPr>
            <w:r w:rsidRPr="006D4F27">
              <w:rPr>
                <w:rStyle w:val="Strong"/>
              </w:rPr>
              <w:t>485.2</w:t>
            </w:r>
          </w:p>
        </w:tc>
        <w:tc>
          <w:tcPr>
            <w:tcW w:w="898" w:type="dxa"/>
            <w:noWrap/>
          </w:tcPr>
          <w:p w:rsidR="007C38E4" w:rsidRPr="006D4F27" w:rsidRDefault="007C38E4">
            <w:pPr>
              <w:cnfStyle w:val="000000000000" w:firstRow="0" w:lastRow="0" w:firstColumn="0" w:lastColumn="0" w:oddVBand="0" w:evenVBand="0" w:oddHBand="0" w:evenHBand="0" w:firstRowFirstColumn="0" w:firstRowLastColumn="0" w:lastRowFirstColumn="0" w:lastRowLastColumn="0"/>
              <w:rPr>
                <w:rStyle w:val="Strong"/>
              </w:rPr>
            </w:pPr>
            <w:r w:rsidRPr="006D4F27">
              <w:rPr>
                <w:rStyle w:val="Strong"/>
              </w:rPr>
              <w:t>476.3</w:t>
            </w:r>
          </w:p>
        </w:tc>
        <w:tc>
          <w:tcPr>
            <w:tcW w:w="898" w:type="dxa"/>
            <w:noWrap/>
          </w:tcPr>
          <w:p w:rsidR="007C38E4" w:rsidRPr="006D4F27" w:rsidRDefault="007C38E4" w:rsidP="007C38E4">
            <w:pPr>
              <w:cnfStyle w:val="000000000000" w:firstRow="0" w:lastRow="0" w:firstColumn="0" w:lastColumn="0" w:oddVBand="0" w:evenVBand="0" w:oddHBand="0" w:evenHBand="0" w:firstRowFirstColumn="0" w:firstRowLastColumn="0" w:lastRowFirstColumn="0" w:lastRowLastColumn="0"/>
              <w:rPr>
                <w:rStyle w:val="Strong"/>
              </w:rPr>
            </w:pPr>
            <w:r w:rsidRPr="006D4F27">
              <w:rPr>
                <w:rStyle w:val="Strong"/>
              </w:rPr>
              <w:t>2248.6</w:t>
            </w:r>
          </w:p>
        </w:tc>
      </w:tr>
      <w:tr w:rsidR="007C38E4" w:rsidRPr="00C35158"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7C38E4" w:rsidRPr="006D4F27" w:rsidRDefault="007C38E4" w:rsidP="007C38E4">
            <w:pPr>
              <w:rPr>
                <w:rStyle w:val="Strong"/>
              </w:rPr>
            </w:pPr>
            <w:r w:rsidRPr="006D4F27">
              <w:rPr>
                <w:rStyle w:val="Strong"/>
              </w:rPr>
              <w:t>Building block revenue – smoothed</w:t>
            </w:r>
          </w:p>
        </w:tc>
        <w:tc>
          <w:tcPr>
            <w:tcW w:w="897" w:type="dxa"/>
            <w:noWrap/>
          </w:tcPr>
          <w:p w:rsidR="007C38E4" w:rsidRPr="006D4F27" w:rsidRDefault="007C38E4" w:rsidP="007C38E4">
            <w:pPr>
              <w:cnfStyle w:val="000000010000" w:firstRow="0" w:lastRow="0" w:firstColumn="0" w:lastColumn="0" w:oddVBand="0" w:evenVBand="0" w:oddHBand="0" w:evenHBand="1" w:firstRowFirstColumn="0" w:firstRowLastColumn="0" w:lastRowFirstColumn="0" w:lastRowLastColumn="0"/>
              <w:rPr>
                <w:rStyle w:val="Strong"/>
              </w:rPr>
            </w:pPr>
            <w:r w:rsidRPr="006D4F27">
              <w:rPr>
                <w:rStyle w:val="Strong"/>
              </w:rPr>
              <w:t>497.4</w:t>
            </w:r>
          </w:p>
        </w:tc>
        <w:tc>
          <w:tcPr>
            <w:tcW w:w="898" w:type="dxa"/>
            <w:noWrap/>
          </w:tcPr>
          <w:p w:rsidR="007C38E4" w:rsidRPr="006D4F27" w:rsidRDefault="007C38E4" w:rsidP="007C38E4">
            <w:pPr>
              <w:cnfStyle w:val="000000010000" w:firstRow="0" w:lastRow="0" w:firstColumn="0" w:lastColumn="0" w:oddVBand="0" w:evenVBand="0" w:oddHBand="0" w:evenHBand="1" w:firstRowFirstColumn="0" w:firstRowLastColumn="0" w:lastRowFirstColumn="0" w:lastRowLastColumn="0"/>
              <w:rPr>
                <w:rStyle w:val="Strong"/>
              </w:rPr>
            </w:pPr>
            <w:r w:rsidRPr="006D4F27">
              <w:rPr>
                <w:rStyle w:val="Strong"/>
              </w:rPr>
              <w:t>450.3</w:t>
            </w:r>
          </w:p>
        </w:tc>
        <w:tc>
          <w:tcPr>
            <w:tcW w:w="898" w:type="dxa"/>
            <w:noWrap/>
          </w:tcPr>
          <w:p w:rsidR="007C38E4" w:rsidRPr="006D4F27" w:rsidRDefault="007C38E4" w:rsidP="007C38E4">
            <w:pPr>
              <w:cnfStyle w:val="000000010000" w:firstRow="0" w:lastRow="0" w:firstColumn="0" w:lastColumn="0" w:oddVBand="0" w:evenVBand="0" w:oddHBand="0" w:evenHBand="1" w:firstRowFirstColumn="0" w:firstRowLastColumn="0" w:lastRowFirstColumn="0" w:lastRowLastColumn="0"/>
              <w:rPr>
                <w:rStyle w:val="Strong"/>
              </w:rPr>
            </w:pPr>
            <w:r w:rsidRPr="006D4F27">
              <w:rPr>
                <w:rStyle w:val="Strong"/>
              </w:rPr>
              <w:t>429.6</w:t>
            </w:r>
          </w:p>
        </w:tc>
        <w:tc>
          <w:tcPr>
            <w:tcW w:w="897" w:type="dxa"/>
            <w:noWrap/>
          </w:tcPr>
          <w:p w:rsidR="007C38E4" w:rsidRPr="006D4F27" w:rsidRDefault="007C38E4" w:rsidP="007C38E4">
            <w:pPr>
              <w:cnfStyle w:val="000000010000" w:firstRow="0" w:lastRow="0" w:firstColumn="0" w:lastColumn="0" w:oddVBand="0" w:evenVBand="0" w:oddHBand="0" w:evenHBand="1" w:firstRowFirstColumn="0" w:firstRowLastColumn="0" w:lastRowFirstColumn="0" w:lastRowLastColumn="0"/>
              <w:rPr>
                <w:rStyle w:val="Strong"/>
              </w:rPr>
            </w:pPr>
            <w:r w:rsidRPr="006D4F27">
              <w:rPr>
                <w:rStyle w:val="Strong"/>
              </w:rPr>
              <w:t>419.6</w:t>
            </w:r>
          </w:p>
        </w:tc>
        <w:tc>
          <w:tcPr>
            <w:tcW w:w="898" w:type="dxa"/>
            <w:noWrap/>
          </w:tcPr>
          <w:p w:rsidR="007C38E4" w:rsidRPr="006D4F27" w:rsidRDefault="007C38E4" w:rsidP="007C38E4">
            <w:pPr>
              <w:cnfStyle w:val="000000010000" w:firstRow="0" w:lastRow="0" w:firstColumn="0" w:lastColumn="0" w:oddVBand="0" w:evenVBand="0" w:oddHBand="0" w:evenHBand="1" w:firstRowFirstColumn="0" w:firstRowLastColumn="0" w:lastRowFirstColumn="0" w:lastRowLastColumn="0"/>
              <w:rPr>
                <w:rStyle w:val="Strong"/>
              </w:rPr>
            </w:pPr>
            <w:r w:rsidRPr="006D4F27">
              <w:rPr>
                <w:rStyle w:val="Strong"/>
              </w:rPr>
              <w:t>432.2</w:t>
            </w:r>
          </w:p>
        </w:tc>
        <w:tc>
          <w:tcPr>
            <w:tcW w:w="898" w:type="dxa"/>
            <w:noWrap/>
          </w:tcPr>
          <w:p w:rsidR="007C38E4" w:rsidRPr="006D4F27" w:rsidRDefault="007C38E4" w:rsidP="007C38E4">
            <w:pPr>
              <w:cnfStyle w:val="000000010000" w:firstRow="0" w:lastRow="0" w:firstColumn="0" w:lastColumn="0" w:oddVBand="0" w:evenVBand="0" w:oddHBand="0" w:evenHBand="1" w:firstRowFirstColumn="0" w:firstRowLastColumn="0" w:lastRowFirstColumn="0" w:lastRowLastColumn="0"/>
              <w:rPr>
                <w:rStyle w:val="Strong"/>
              </w:rPr>
            </w:pPr>
            <w:r w:rsidRPr="006D4F27">
              <w:rPr>
                <w:rStyle w:val="Strong"/>
              </w:rPr>
              <w:t>2229.0</w:t>
            </w:r>
          </w:p>
        </w:tc>
      </w:tr>
      <w:tr w:rsidR="007C38E4" w:rsidRPr="00910B4A" w:rsidTr="006D4F27">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7C38E4" w:rsidRPr="007C38E4" w:rsidRDefault="007C38E4" w:rsidP="007C38E4">
            <w:r w:rsidRPr="007C38E4">
              <w:t>X factor</w:t>
            </w:r>
            <w:r w:rsidRPr="007C38E4">
              <w:rPr>
                <w:rStyle w:val="AERsuperscript"/>
              </w:rPr>
              <w:t>a</w:t>
            </w:r>
          </w:p>
        </w:tc>
        <w:tc>
          <w:tcPr>
            <w:tcW w:w="897" w:type="dxa"/>
            <w:noWrap/>
            <w:hideMark/>
          </w:tcPr>
          <w:p w:rsidR="007C38E4" w:rsidRPr="007C38E4" w:rsidRDefault="007C38E4" w:rsidP="007C38E4">
            <w:pPr>
              <w:cnfStyle w:val="000000000000" w:firstRow="0" w:lastRow="0" w:firstColumn="0" w:lastColumn="0" w:oddVBand="0" w:evenVBand="0" w:oddHBand="0" w:evenHBand="0" w:firstRowFirstColumn="0" w:firstRowLastColumn="0" w:lastRowFirstColumn="0" w:lastRowLastColumn="0"/>
            </w:pPr>
            <w:r w:rsidRPr="007C38E4">
              <w:t>20.43%</w:t>
            </w:r>
            <w:r w:rsidR="009F0F90" w:rsidRPr="006D4F27">
              <w:rPr>
                <w:rStyle w:val="AERsuperscript"/>
              </w:rPr>
              <w:t>b</w:t>
            </w:r>
          </w:p>
        </w:tc>
        <w:tc>
          <w:tcPr>
            <w:tcW w:w="898" w:type="dxa"/>
            <w:noWrap/>
            <w:hideMark/>
          </w:tcPr>
          <w:p w:rsidR="007C38E4" w:rsidRPr="007C38E4" w:rsidRDefault="007C38E4" w:rsidP="007C38E4">
            <w:pPr>
              <w:cnfStyle w:val="000000000000" w:firstRow="0" w:lastRow="0" w:firstColumn="0" w:lastColumn="0" w:oddVBand="0" w:evenVBand="0" w:oddHBand="0" w:evenHBand="0" w:firstRowFirstColumn="0" w:firstRowLastColumn="0" w:lastRowFirstColumn="0" w:lastRowLastColumn="0"/>
            </w:pPr>
            <w:r w:rsidRPr="007C38E4">
              <w:t>12.00%</w:t>
            </w:r>
          </w:p>
        </w:tc>
        <w:tc>
          <w:tcPr>
            <w:tcW w:w="898" w:type="dxa"/>
            <w:noWrap/>
            <w:hideMark/>
          </w:tcPr>
          <w:p w:rsidR="007C38E4" w:rsidRPr="007C38E4" w:rsidRDefault="007C38E4" w:rsidP="007C38E4">
            <w:pPr>
              <w:cnfStyle w:val="000000000000" w:firstRow="0" w:lastRow="0" w:firstColumn="0" w:lastColumn="0" w:oddVBand="0" w:evenVBand="0" w:oddHBand="0" w:evenHBand="0" w:firstRowFirstColumn="0" w:firstRowLastColumn="0" w:lastRowFirstColumn="0" w:lastRowLastColumn="0"/>
            </w:pPr>
            <w:r w:rsidRPr="007C38E4">
              <w:t>7.00%</w:t>
            </w:r>
          </w:p>
        </w:tc>
        <w:tc>
          <w:tcPr>
            <w:tcW w:w="897" w:type="dxa"/>
            <w:noWrap/>
            <w:hideMark/>
          </w:tcPr>
          <w:p w:rsidR="007C38E4" w:rsidRPr="007C38E4" w:rsidRDefault="007C38E4" w:rsidP="007C38E4">
            <w:pPr>
              <w:cnfStyle w:val="000000000000" w:firstRow="0" w:lastRow="0" w:firstColumn="0" w:lastColumn="0" w:oddVBand="0" w:evenVBand="0" w:oddHBand="0" w:evenHBand="0" w:firstRowFirstColumn="0" w:firstRowLastColumn="0" w:lastRowFirstColumn="0" w:lastRowLastColumn="0"/>
            </w:pPr>
            <w:r w:rsidRPr="007C38E4">
              <w:t>4.90%</w:t>
            </w:r>
          </w:p>
        </w:tc>
        <w:tc>
          <w:tcPr>
            <w:tcW w:w="898" w:type="dxa"/>
            <w:noWrap/>
            <w:hideMark/>
          </w:tcPr>
          <w:p w:rsidR="007C38E4" w:rsidRPr="007C38E4" w:rsidRDefault="007C38E4" w:rsidP="007C38E4">
            <w:pPr>
              <w:cnfStyle w:val="000000000000" w:firstRow="0" w:lastRow="0" w:firstColumn="0" w:lastColumn="0" w:oddVBand="0" w:evenVBand="0" w:oddHBand="0" w:evenHBand="0" w:firstRowFirstColumn="0" w:firstRowLastColumn="0" w:lastRowFirstColumn="0" w:lastRowLastColumn="0"/>
            </w:pPr>
            <w:r w:rsidRPr="007C38E4">
              <w:t>0.00%</w:t>
            </w:r>
          </w:p>
        </w:tc>
        <w:tc>
          <w:tcPr>
            <w:tcW w:w="898" w:type="dxa"/>
            <w:noWrap/>
            <w:hideMark/>
          </w:tcPr>
          <w:p w:rsidR="007C38E4" w:rsidRPr="007C38E4" w:rsidRDefault="007C38E4" w:rsidP="007C38E4">
            <w:pPr>
              <w:cnfStyle w:val="000000000000" w:firstRow="0" w:lastRow="0" w:firstColumn="0" w:lastColumn="0" w:oddVBand="0" w:evenVBand="0" w:oddHBand="0" w:evenHBand="0" w:firstRowFirstColumn="0" w:firstRowLastColumn="0" w:lastRowFirstColumn="0" w:lastRowLastColumn="0"/>
            </w:pPr>
            <w:r w:rsidRPr="007C38E4">
              <w:t>n/a</w:t>
            </w:r>
          </w:p>
        </w:tc>
      </w:tr>
      <w:tr w:rsidR="007C38E4" w:rsidRPr="00910B4A"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7C38E4" w:rsidRPr="007C38E4" w:rsidRDefault="007C38E4" w:rsidP="007C38E4">
            <w:r w:rsidRPr="007C38E4">
              <w:t>Inflation forecast</w:t>
            </w:r>
          </w:p>
        </w:tc>
        <w:tc>
          <w:tcPr>
            <w:tcW w:w="897" w:type="dxa"/>
            <w:noWrap/>
            <w:hideMark/>
          </w:tcPr>
          <w:p w:rsidR="007C38E4" w:rsidRPr="007C38E4" w:rsidRDefault="007C38E4" w:rsidP="007C38E4">
            <w:pPr>
              <w:cnfStyle w:val="000000010000" w:firstRow="0" w:lastRow="0" w:firstColumn="0" w:lastColumn="0" w:oddVBand="0" w:evenVBand="0" w:oddHBand="0" w:evenHBand="1" w:firstRowFirstColumn="0" w:firstRowLastColumn="0" w:lastRowFirstColumn="0" w:lastRowLastColumn="0"/>
            </w:pPr>
            <w:r w:rsidRPr="007C38E4">
              <w:t>2.55%</w:t>
            </w:r>
          </w:p>
        </w:tc>
        <w:tc>
          <w:tcPr>
            <w:tcW w:w="898" w:type="dxa"/>
            <w:noWrap/>
            <w:hideMark/>
          </w:tcPr>
          <w:p w:rsidR="007C38E4" w:rsidRPr="007C38E4" w:rsidRDefault="007C38E4" w:rsidP="007C38E4">
            <w:pPr>
              <w:cnfStyle w:val="000000010000" w:firstRow="0" w:lastRow="0" w:firstColumn="0" w:lastColumn="0" w:oddVBand="0" w:evenVBand="0" w:oddHBand="0" w:evenHBand="1" w:firstRowFirstColumn="0" w:firstRowLastColumn="0" w:lastRowFirstColumn="0" w:lastRowLastColumn="0"/>
            </w:pPr>
            <w:r w:rsidRPr="007C38E4">
              <w:t>2.55%</w:t>
            </w:r>
          </w:p>
        </w:tc>
        <w:tc>
          <w:tcPr>
            <w:tcW w:w="898" w:type="dxa"/>
            <w:noWrap/>
            <w:hideMark/>
          </w:tcPr>
          <w:p w:rsidR="007C38E4" w:rsidRPr="007C38E4" w:rsidRDefault="007C38E4" w:rsidP="007C38E4">
            <w:pPr>
              <w:cnfStyle w:val="000000010000" w:firstRow="0" w:lastRow="0" w:firstColumn="0" w:lastColumn="0" w:oddVBand="0" w:evenVBand="0" w:oddHBand="0" w:evenHBand="1" w:firstRowFirstColumn="0" w:firstRowLastColumn="0" w:lastRowFirstColumn="0" w:lastRowLastColumn="0"/>
            </w:pPr>
            <w:r w:rsidRPr="007C38E4">
              <w:t>2.55%</w:t>
            </w:r>
          </w:p>
        </w:tc>
        <w:tc>
          <w:tcPr>
            <w:tcW w:w="897" w:type="dxa"/>
            <w:noWrap/>
            <w:hideMark/>
          </w:tcPr>
          <w:p w:rsidR="007C38E4" w:rsidRPr="007C38E4" w:rsidRDefault="007C38E4" w:rsidP="007C38E4">
            <w:pPr>
              <w:cnfStyle w:val="000000010000" w:firstRow="0" w:lastRow="0" w:firstColumn="0" w:lastColumn="0" w:oddVBand="0" w:evenVBand="0" w:oddHBand="0" w:evenHBand="1" w:firstRowFirstColumn="0" w:firstRowLastColumn="0" w:lastRowFirstColumn="0" w:lastRowLastColumn="0"/>
            </w:pPr>
            <w:r w:rsidRPr="007C38E4">
              <w:t>2.55%</w:t>
            </w:r>
          </w:p>
        </w:tc>
        <w:tc>
          <w:tcPr>
            <w:tcW w:w="898" w:type="dxa"/>
            <w:noWrap/>
            <w:hideMark/>
          </w:tcPr>
          <w:p w:rsidR="007C38E4" w:rsidRPr="007C38E4" w:rsidRDefault="007C38E4" w:rsidP="007C38E4">
            <w:pPr>
              <w:cnfStyle w:val="000000010000" w:firstRow="0" w:lastRow="0" w:firstColumn="0" w:lastColumn="0" w:oddVBand="0" w:evenVBand="0" w:oddHBand="0" w:evenHBand="1" w:firstRowFirstColumn="0" w:firstRowLastColumn="0" w:lastRowFirstColumn="0" w:lastRowLastColumn="0"/>
            </w:pPr>
            <w:r w:rsidRPr="007C38E4">
              <w:t>2.55%</w:t>
            </w:r>
          </w:p>
        </w:tc>
        <w:tc>
          <w:tcPr>
            <w:tcW w:w="898" w:type="dxa"/>
            <w:noWrap/>
            <w:hideMark/>
          </w:tcPr>
          <w:p w:rsidR="007C38E4" w:rsidRPr="007C38E4" w:rsidRDefault="007C38E4" w:rsidP="007C38E4">
            <w:pPr>
              <w:cnfStyle w:val="000000010000" w:firstRow="0" w:lastRow="0" w:firstColumn="0" w:lastColumn="0" w:oddVBand="0" w:evenVBand="0" w:oddHBand="0" w:evenHBand="1" w:firstRowFirstColumn="0" w:firstRowLastColumn="0" w:lastRowFirstColumn="0" w:lastRowLastColumn="0"/>
            </w:pPr>
            <w:r w:rsidRPr="007C38E4">
              <w:t>n/a</w:t>
            </w:r>
          </w:p>
        </w:tc>
      </w:tr>
      <w:tr w:rsidR="007C38E4" w:rsidRPr="00910B4A" w:rsidTr="006D4F27">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7C38E4" w:rsidRPr="007C38E4" w:rsidRDefault="007C38E4" w:rsidP="007C38E4">
            <w:r w:rsidRPr="007C38E4">
              <w:t>Nominal price change</w:t>
            </w:r>
            <w:r w:rsidRPr="007C38E4">
              <w:rPr>
                <w:rStyle w:val="AERsuperscript"/>
              </w:rPr>
              <w:t>c</w:t>
            </w:r>
          </w:p>
        </w:tc>
        <w:tc>
          <w:tcPr>
            <w:tcW w:w="897" w:type="dxa"/>
            <w:noWrap/>
            <w:hideMark/>
          </w:tcPr>
          <w:p w:rsidR="007C38E4" w:rsidRPr="007C38E4" w:rsidRDefault="00C07523" w:rsidP="007C38E4">
            <w:pPr>
              <w:cnfStyle w:val="000000000000" w:firstRow="0" w:lastRow="0" w:firstColumn="0" w:lastColumn="0" w:oddVBand="0" w:evenVBand="0" w:oddHBand="0" w:evenHBand="0" w:firstRowFirstColumn="0" w:firstRowLastColumn="0" w:lastRowFirstColumn="0" w:lastRowLastColumn="0"/>
            </w:pPr>
            <w:r>
              <w:t>–</w:t>
            </w:r>
            <w:r w:rsidR="007C38E4" w:rsidRPr="007C38E4">
              <w:t>18.40%</w:t>
            </w:r>
          </w:p>
        </w:tc>
        <w:tc>
          <w:tcPr>
            <w:tcW w:w="898" w:type="dxa"/>
            <w:noWrap/>
            <w:hideMark/>
          </w:tcPr>
          <w:p w:rsidR="007C38E4" w:rsidRPr="007C38E4" w:rsidRDefault="00C07523" w:rsidP="007C38E4">
            <w:pPr>
              <w:cnfStyle w:val="000000000000" w:firstRow="0" w:lastRow="0" w:firstColumn="0" w:lastColumn="0" w:oddVBand="0" w:evenVBand="0" w:oddHBand="0" w:evenHBand="0" w:firstRowFirstColumn="0" w:firstRowLastColumn="0" w:lastRowFirstColumn="0" w:lastRowLastColumn="0"/>
            </w:pPr>
            <w:r>
              <w:t>–</w:t>
            </w:r>
            <w:r w:rsidR="007C38E4" w:rsidRPr="007C38E4">
              <w:t>9.76%</w:t>
            </w:r>
          </w:p>
        </w:tc>
        <w:tc>
          <w:tcPr>
            <w:tcW w:w="898" w:type="dxa"/>
            <w:noWrap/>
            <w:hideMark/>
          </w:tcPr>
          <w:p w:rsidR="007C38E4" w:rsidRPr="007C38E4" w:rsidRDefault="00C07523" w:rsidP="007C38E4">
            <w:pPr>
              <w:cnfStyle w:val="000000000000" w:firstRow="0" w:lastRow="0" w:firstColumn="0" w:lastColumn="0" w:oddVBand="0" w:evenVBand="0" w:oddHBand="0" w:evenHBand="0" w:firstRowFirstColumn="0" w:firstRowLastColumn="0" w:lastRowFirstColumn="0" w:lastRowLastColumn="0"/>
            </w:pPr>
            <w:r>
              <w:t>–</w:t>
            </w:r>
            <w:r w:rsidR="007C38E4" w:rsidRPr="007C38E4">
              <w:t>4.63%</w:t>
            </w:r>
          </w:p>
        </w:tc>
        <w:tc>
          <w:tcPr>
            <w:tcW w:w="897" w:type="dxa"/>
            <w:noWrap/>
            <w:hideMark/>
          </w:tcPr>
          <w:p w:rsidR="007C38E4" w:rsidRPr="007C38E4" w:rsidRDefault="00C07523" w:rsidP="007C38E4">
            <w:pPr>
              <w:cnfStyle w:val="000000000000" w:firstRow="0" w:lastRow="0" w:firstColumn="0" w:lastColumn="0" w:oddVBand="0" w:evenVBand="0" w:oddHBand="0" w:evenHBand="0" w:firstRowFirstColumn="0" w:firstRowLastColumn="0" w:lastRowFirstColumn="0" w:lastRowLastColumn="0"/>
            </w:pPr>
            <w:r>
              <w:t>–</w:t>
            </w:r>
            <w:r w:rsidR="007C38E4" w:rsidRPr="007C38E4">
              <w:t>2.47%</w:t>
            </w:r>
          </w:p>
        </w:tc>
        <w:tc>
          <w:tcPr>
            <w:tcW w:w="898" w:type="dxa"/>
            <w:noWrap/>
            <w:hideMark/>
          </w:tcPr>
          <w:p w:rsidR="007C38E4" w:rsidRPr="007C38E4" w:rsidRDefault="007C38E4" w:rsidP="007C38E4">
            <w:pPr>
              <w:cnfStyle w:val="000000000000" w:firstRow="0" w:lastRow="0" w:firstColumn="0" w:lastColumn="0" w:oddVBand="0" w:evenVBand="0" w:oddHBand="0" w:evenHBand="0" w:firstRowFirstColumn="0" w:firstRowLastColumn="0" w:lastRowFirstColumn="0" w:lastRowLastColumn="0"/>
            </w:pPr>
            <w:r w:rsidRPr="007C38E4">
              <w:t>2.55%</w:t>
            </w:r>
          </w:p>
        </w:tc>
        <w:tc>
          <w:tcPr>
            <w:tcW w:w="898" w:type="dxa"/>
            <w:noWrap/>
            <w:hideMark/>
          </w:tcPr>
          <w:p w:rsidR="007C38E4" w:rsidRPr="007C38E4" w:rsidRDefault="007C38E4" w:rsidP="007C38E4">
            <w:pPr>
              <w:cnfStyle w:val="000000000000" w:firstRow="0" w:lastRow="0" w:firstColumn="0" w:lastColumn="0" w:oddVBand="0" w:evenVBand="0" w:oddHBand="0" w:evenHBand="0" w:firstRowFirstColumn="0" w:firstRowLastColumn="0" w:lastRowFirstColumn="0" w:lastRowLastColumn="0"/>
            </w:pPr>
            <w:r w:rsidRPr="007C38E4">
              <w:t>n/a</w:t>
            </w:r>
          </w:p>
        </w:tc>
      </w:tr>
    </w:tbl>
    <w:p w:rsidR="00323D0E" w:rsidRPr="00323D0E" w:rsidRDefault="004D0BCD" w:rsidP="00323D0E">
      <w:pPr>
        <w:pStyle w:val="AERtablesource"/>
      </w:pPr>
      <w:r w:rsidRPr="004D0BCD">
        <w:rPr>
          <w:rFonts w:eastAsia="Calibri"/>
        </w:rPr>
        <w:t xml:space="preserve">Source: </w:t>
      </w:r>
      <w:r w:rsidRPr="004D0BCD">
        <w:rPr>
          <w:rFonts w:eastAsia="Calibri"/>
        </w:rPr>
        <w:tab/>
      </w:r>
      <w:r w:rsidRPr="00CB6E5B">
        <w:t>AER analysis</w:t>
      </w:r>
      <w:r w:rsidR="007D5408">
        <w:t>;</w:t>
      </w:r>
      <w:r w:rsidR="00323D0E" w:rsidRPr="00323D0E">
        <w:rPr>
          <w:rFonts w:eastAsia="Calibri"/>
        </w:rPr>
        <w:t xml:space="preserve"> </w:t>
      </w:r>
      <w:r w:rsidR="007D5408" w:rsidRPr="004E1372">
        <w:t xml:space="preserve">JGN, </w:t>
      </w:r>
      <w:r w:rsidR="007D5408" w:rsidRPr="004E1372">
        <w:rPr>
          <w:rStyle w:val="AERtextitalic"/>
        </w:rPr>
        <w:t>Submissions on draft decision,</w:t>
      </w:r>
      <w:r w:rsidR="007D5408" w:rsidRPr="004E1372">
        <w:t xml:space="preserve"> </w:t>
      </w:r>
      <w:r w:rsidR="007D5408" w:rsidRPr="004E1372">
        <w:rPr>
          <w:rStyle w:val="AERtextitalic"/>
        </w:rPr>
        <w:t>Attachment N - updated appendix 10.1 - JGN revenue forecast model</w:t>
      </w:r>
      <w:r w:rsidR="007D5408">
        <w:t>, 27 March 2015</w:t>
      </w:r>
    </w:p>
    <w:p w:rsidR="004D0BCD" w:rsidRPr="004D0BCD" w:rsidRDefault="004D0BCD" w:rsidP="004D0BCD">
      <w:pPr>
        <w:pStyle w:val="AERtablesource"/>
      </w:pPr>
      <w:r w:rsidRPr="00CB6E5B">
        <w:t xml:space="preserve">n/a </w:t>
      </w:r>
      <w:r w:rsidRPr="00CB6E5B">
        <w:tab/>
        <w:t>not applicable.</w:t>
      </w:r>
    </w:p>
    <w:p w:rsidR="004D0BCD" w:rsidRPr="00EF51EE" w:rsidRDefault="004D0BCD" w:rsidP="004D0BCD">
      <w:pPr>
        <w:pStyle w:val="AERtablesource"/>
      </w:pPr>
      <w:r>
        <w:t>a</w:t>
      </w:r>
      <w:r w:rsidRPr="00D2764A">
        <w:tab/>
        <w:t>Under the CPI</w:t>
      </w:r>
      <w:r>
        <w:t>–</w:t>
      </w:r>
      <w:r w:rsidRPr="00D2764A">
        <w:t xml:space="preserve">X form of control, a </w:t>
      </w:r>
      <w:r>
        <w:t>positive</w:t>
      </w:r>
      <w:r w:rsidRPr="00D2764A">
        <w:t xml:space="preserve"> X factor is a </w:t>
      </w:r>
      <w:r>
        <w:t xml:space="preserve">decrease </w:t>
      </w:r>
      <w:r w:rsidRPr="00D2764A">
        <w:t xml:space="preserve">in price (and therefore revenue). </w:t>
      </w:r>
    </w:p>
    <w:p w:rsidR="00AF65C8" w:rsidRDefault="004D0BCD" w:rsidP="00AF65C8">
      <w:pPr>
        <w:pStyle w:val="AERtablesource"/>
      </w:pPr>
      <w:r>
        <w:t>b</w:t>
      </w:r>
      <w:r w:rsidRPr="00D2764A">
        <w:tab/>
        <w:t xml:space="preserve">The X factor for 2015–16 is indicative only; the </w:t>
      </w:r>
      <w:r w:rsidR="00910B4A">
        <w:t>final</w:t>
      </w:r>
      <w:r w:rsidRPr="00D2764A">
        <w:t xml:space="preserve"> decision establishes 2015–16 tariffs directly, rather than referencing a change from 2014–15 tariffs.</w:t>
      </w:r>
      <w:r w:rsidR="00AF65C8">
        <w:t xml:space="preserve"> </w:t>
      </w:r>
    </w:p>
    <w:p w:rsidR="00AF65C8" w:rsidRPr="00AF65C8" w:rsidRDefault="00AF65C8" w:rsidP="00AF65C8">
      <w:pPr>
        <w:pStyle w:val="AERtablesource"/>
      </w:pPr>
      <w:r>
        <w:t>c</w:t>
      </w:r>
      <w:r>
        <w:tab/>
        <w:t xml:space="preserve">The mathematical formula for </w:t>
      </w:r>
      <w:r w:rsidR="004A6503">
        <w:t xml:space="preserve">a </w:t>
      </w:r>
      <w:r>
        <w:t xml:space="preserve">nominal price change under the CPI–X form of control is </w:t>
      </w:r>
      <w:r w:rsidR="004A6503">
        <w:br/>
        <w:t>[</w:t>
      </w:r>
      <w:r>
        <w:t>(1+CPI)*(1</w:t>
      </w:r>
      <w:r w:rsidR="004A6503">
        <w:t>–</w:t>
      </w:r>
      <w:r>
        <w:t>X factor)</w:t>
      </w:r>
      <w:r w:rsidR="004A6503">
        <w:t>] – 1</w:t>
      </w:r>
      <w:r>
        <w:t xml:space="preserve">. </w:t>
      </w:r>
      <w:r>
        <w:tab/>
      </w:r>
    </w:p>
    <w:p w:rsidR="00323D0E" w:rsidRDefault="00C334AC" w:rsidP="00287EB9">
      <w:r>
        <w:t>S</w:t>
      </w:r>
      <w:r w:rsidR="004D0BCD">
        <w:t xml:space="preserve">ections </w:t>
      </w:r>
      <w:r w:rsidR="00E229BA">
        <w:fldChar w:fldCharType="begin"/>
      </w:r>
      <w:r w:rsidR="00E229BA">
        <w:instrText xml:space="preserve"> REF _Ref419186014 \n \h </w:instrText>
      </w:r>
      <w:r w:rsidR="00E229BA">
        <w:fldChar w:fldCharType="separate"/>
      </w:r>
      <w:r w:rsidR="009037A2">
        <w:t>2.3</w:t>
      </w:r>
      <w:r w:rsidR="00E229BA">
        <w:fldChar w:fldCharType="end"/>
      </w:r>
      <w:r w:rsidR="00E229BA">
        <w:t xml:space="preserve">, </w:t>
      </w:r>
      <w:r w:rsidR="00E229BA">
        <w:fldChar w:fldCharType="begin"/>
      </w:r>
      <w:r w:rsidR="00E229BA">
        <w:instrText xml:space="preserve"> REF _Ref419813379 \n \h </w:instrText>
      </w:r>
      <w:r w:rsidR="00E229BA">
        <w:fldChar w:fldCharType="separate"/>
      </w:r>
      <w:r w:rsidR="009037A2">
        <w:t>2.4</w:t>
      </w:r>
      <w:r w:rsidR="00E229BA">
        <w:fldChar w:fldCharType="end"/>
      </w:r>
      <w:r w:rsidR="00E229BA">
        <w:t xml:space="preserve"> and </w:t>
      </w:r>
      <w:r w:rsidR="00E229BA">
        <w:fldChar w:fldCharType="begin"/>
      </w:r>
      <w:r w:rsidR="00E229BA">
        <w:instrText xml:space="preserve"> REF _Ref419734802 \n \h </w:instrText>
      </w:r>
      <w:r w:rsidR="00E229BA">
        <w:fldChar w:fldCharType="separate"/>
      </w:r>
      <w:r w:rsidR="009037A2">
        <w:t>2.5</w:t>
      </w:r>
      <w:r w:rsidR="00E229BA">
        <w:fldChar w:fldCharType="end"/>
      </w:r>
      <w:r w:rsidR="00E229BA">
        <w:t xml:space="preserve"> </w:t>
      </w:r>
      <w:r w:rsidR="004D0BCD">
        <w:t xml:space="preserve">focus on the derivation of total revenue from </w:t>
      </w:r>
      <w:r>
        <w:t xml:space="preserve">the </w:t>
      </w:r>
      <w:r w:rsidR="004D0BCD">
        <w:t xml:space="preserve">building block components, the derivation of </w:t>
      </w:r>
      <w:r w:rsidR="00011C7C">
        <w:t>smoothed revenue and tariffs, and the derivation of indicative bill impacts</w:t>
      </w:r>
      <w:r w:rsidR="004D0BCD">
        <w:t xml:space="preserve">. </w:t>
      </w:r>
      <w:bookmarkStart w:id="69" w:name="_Toc408404620"/>
    </w:p>
    <w:p w:rsidR="00323D0E" w:rsidRDefault="00323D0E" w:rsidP="00825A8D">
      <w:pPr>
        <w:pStyle w:val="Heading2"/>
      </w:pPr>
      <w:bookmarkStart w:id="70" w:name="_Ref419186014"/>
      <w:bookmarkStart w:id="71" w:name="_Toc419895019"/>
      <w:r>
        <w:t>Total revenue</w:t>
      </w:r>
      <w:bookmarkEnd w:id="70"/>
      <w:bookmarkEnd w:id="71"/>
    </w:p>
    <w:p w:rsidR="00323D0E" w:rsidRPr="00323D0E" w:rsidRDefault="00323D0E" w:rsidP="00323D0E">
      <w:pPr>
        <w:numPr>
          <w:ilvl w:val="0"/>
          <w:numId w:val="25"/>
        </w:numPr>
      </w:pPr>
      <w:r>
        <w:fldChar w:fldCharType="begin"/>
      </w:r>
      <w:r>
        <w:instrText xml:space="preserve"> REF _Ref418838581 \h </w:instrText>
      </w:r>
      <w:r>
        <w:fldChar w:fldCharType="separate"/>
      </w:r>
      <w:r w:rsidR="009037A2">
        <w:t xml:space="preserve">Figure </w:t>
      </w:r>
      <w:r w:rsidR="009037A2">
        <w:rPr>
          <w:noProof/>
        </w:rPr>
        <w:t>4</w:t>
      </w:r>
      <w:r>
        <w:fldChar w:fldCharType="end"/>
      </w:r>
      <w:r>
        <w:t xml:space="preserve"> </w:t>
      </w:r>
      <w:r w:rsidRPr="00323D0E">
        <w:t xml:space="preserve">compares the average annual building block revenue from our </w:t>
      </w:r>
      <w:r>
        <w:t>final</w:t>
      </w:r>
      <w:r w:rsidRPr="00323D0E">
        <w:t xml:space="preserve"> decision against that proposed by JGN for the 2015–20 access arrangement period, as well as the approved average amount for the 2010</w:t>
      </w:r>
      <w:r w:rsidR="007F1411">
        <w:t>–15 access arrangement period. It shows the relative size of each building block component, and illustrates that the most significant change is the reduction in the return on capital allowance.</w:t>
      </w:r>
    </w:p>
    <w:p w:rsidR="00323D0E" w:rsidRPr="00323D0E" w:rsidRDefault="00323D0E" w:rsidP="00323D0E">
      <w:pPr>
        <w:pStyle w:val="Caption"/>
      </w:pPr>
      <w:bookmarkStart w:id="72" w:name="_Ref418838581"/>
      <w:r>
        <w:t xml:space="preserve">Figure </w:t>
      </w:r>
      <w:fldSimple w:instr=" SEQ Figure \* ARABIC ">
        <w:r w:rsidR="009037A2">
          <w:rPr>
            <w:noProof/>
          </w:rPr>
          <w:t>4</w:t>
        </w:r>
      </w:fldSimple>
      <w:bookmarkEnd w:id="72"/>
      <w:r>
        <w:tab/>
      </w:r>
      <w:r w:rsidRPr="00323D0E">
        <w:t xml:space="preserve">AER's </w:t>
      </w:r>
      <w:r>
        <w:t>final</w:t>
      </w:r>
      <w:r w:rsidRPr="00323D0E">
        <w:t xml:space="preserve"> decision average annual revenue (unsmoothed) compared with JGN's </w:t>
      </w:r>
      <w:r>
        <w:t xml:space="preserve">revised </w:t>
      </w:r>
      <w:r w:rsidRPr="00323D0E">
        <w:t>propos</w:t>
      </w:r>
      <w:r>
        <w:t>al</w:t>
      </w:r>
      <w:r w:rsidRPr="00323D0E">
        <w:t xml:space="preserve"> average annual revenue and approved average annual revenue for 2010–15 ($ million, 2014–15)</w:t>
      </w:r>
    </w:p>
    <w:p w:rsidR="00323D0E" w:rsidRPr="00323D0E" w:rsidRDefault="004842D3" w:rsidP="00323D0E">
      <w:pPr>
        <w:numPr>
          <w:ilvl w:val="0"/>
          <w:numId w:val="25"/>
        </w:numPr>
        <w:rPr>
          <w:rStyle w:val="AERtextitalic"/>
        </w:rPr>
      </w:pPr>
      <w:r w:rsidRPr="006D4F27">
        <w:rPr>
          <w:i/>
          <w:noProof/>
          <w:lang w:eastAsia="en-AU"/>
        </w:rPr>
        <w:drawing>
          <wp:inline distT="0" distB="0" distL="0" distR="0" wp14:anchorId="1EDEF862" wp14:editId="6AEB96A6">
            <wp:extent cx="5224780" cy="32435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4780" cy="3243580"/>
                    </a:xfrm>
                    <a:prstGeom prst="rect">
                      <a:avLst/>
                    </a:prstGeom>
                    <a:noFill/>
                  </pic:spPr>
                </pic:pic>
              </a:graphicData>
            </a:graphic>
          </wp:inline>
        </w:drawing>
      </w:r>
    </w:p>
    <w:p w:rsidR="00323D0E" w:rsidRPr="00323D0E" w:rsidRDefault="00323D0E" w:rsidP="00323D0E">
      <w:pPr>
        <w:pStyle w:val="AERtablesource"/>
      </w:pPr>
      <w:r w:rsidRPr="00323D0E">
        <w:rPr>
          <w:rFonts w:eastAsia="Calibri"/>
        </w:rPr>
        <w:t xml:space="preserve">Source: </w:t>
      </w:r>
      <w:r w:rsidRPr="00323D0E">
        <w:rPr>
          <w:rFonts w:eastAsia="Calibri"/>
        </w:rPr>
        <w:tab/>
        <w:t xml:space="preserve">AER analysis, </w:t>
      </w:r>
      <w:r w:rsidR="005F49EE" w:rsidRPr="00C43639">
        <w:t xml:space="preserve">JGN, </w:t>
      </w:r>
      <w:r w:rsidR="005F49EE" w:rsidRPr="00B642F3">
        <w:rPr>
          <w:rStyle w:val="AERtextitalic"/>
        </w:rPr>
        <w:t xml:space="preserve">Submissions on draft decision, </w:t>
      </w:r>
      <w:r w:rsidR="005F49EE" w:rsidRPr="00C43639">
        <w:rPr>
          <w:rStyle w:val="AERtextitalic"/>
        </w:rPr>
        <w:t>Attachment N - updated appendix 10.1 - JGN revenue forecast model</w:t>
      </w:r>
      <w:r w:rsidR="005F49EE" w:rsidRPr="00C43639">
        <w:t>, 27 March 2015</w:t>
      </w:r>
      <w:r w:rsidR="005F49EE">
        <w:t>.</w:t>
      </w:r>
    </w:p>
    <w:p w:rsidR="00323D0E" w:rsidRPr="00323D0E" w:rsidRDefault="00323D0E" w:rsidP="00323D0E">
      <w:pPr>
        <w:numPr>
          <w:ilvl w:val="0"/>
          <w:numId w:val="25"/>
        </w:numPr>
      </w:pPr>
      <w:r w:rsidRPr="00323D0E">
        <w:fldChar w:fldCharType="begin"/>
      </w:r>
      <w:r w:rsidRPr="00323D0E">
        <w:instrText xml:space="preserve"> REF _Ref401651183 \h </w:instrText>
      </w:r>
      <w:r w:rsidRPr="00323D0E">
        <w:fldChar w:fldCharType="separate"/>
      </w:r>
      <w:r w:rsidR="009037A2" w:rsidRPr="00323D0E">
        <w:t xml:space="preserve">Figure </w:t>
      </w:r>
      <w:r w:rsidR="009037A2">
        <w:rPr>
          <w:noProof/>
        </w:rPr>
        <w:t>5</w:t>
      </w:r>
      <w:r w:rsidRPr="00323D0E">
        <w:fldChar w:fldCharType="end"/>
      </w:r>
      <w:r w:rsidRPr="00323D0E">
        <w:t xml:space="preserve"> shows the effect of our </w:t>
      </w:r>
      <w:r>
        <w:t>final</w:t>
      </w:r>
      <w:r w:rsidRPr="00323D0E">
        <w:t xml:space="preserve"> decision adjustments on JGN's </w:t>
      </w:r>
      <w:r>
        <w:t>revised proposal</w:t>
      </w:r>
      <w:r w:rsidRPr="00323D0E">
        <w:t xml:space="preserve"> building blocks for the 2015–20 access arrangement period. It shows o</w:t>
      </w:r>
      <w:r>
        <w:t xml:space="preserve">ur final </w:t>
      </w:r>
      <w:r w:rsidRPr="00323D0E">
        <w:t xml:space="preserve">decision will reduce JGN's proposal for the </w:t>
      </w:r>
      <w:r w:rsidRPr="00323D0E">
        <w:rPr>
          <w:rStyle w:val="AERbody"/>
        </w:rPr>
        <w:t>return on capital, opex</w:t>
      </w:r>
      <w:r w:rsidRPr="00323D0E">
        <w:t xml:space="preserve"> and tax building blocks.</w:t>
      </w:r>
    </w:p>
    <w:p w:rsidR="00323D0E" w:rsidRPr="00323D0E" w:rsidRDefault="00323D0E" w:rsidP="00323D0E">
      <w:pPr>
        <w:pStyle w:val="Caption"/>
      </w:pPr>
      <w:bookmarkStart w:id="73" w:name="_Ref401651183"/>
      <w:r w:rsidRPr="00323D0E">
        <w:t xml:space="preserve">Figure </w:t>
      </w:r>
      <w:fldSimple w:instr=" SEQ Figure \* ARABIC ">
        <w:r w:rsidR="009037A2">
          <w:rPr>
            <w:noProof/>
          </w:rPr>
          <w:t>5</w:t>
        </w:r>
      </w:fldSimple>
      <w:bookmarkEnd w:id="73"/>
      <w:r w:rsidRPr="00323D0E">
        <w:tab/>
        <w:t xml:space="preserve">AER’s </w:t>
      </w:r>
      <w:r>
        <w:t>final</w:t>
      </w:r>
      <w:r w:rsidRPr="00323D0E">
        <w:t xml:space="preserve"> decision and JGN's proposed building block revenue (unsmoothed) ($million, nominal)</w:t>
      </w:r>
    </w:p>
    <w:p w:rsidR="00323D0E" w:rsidRPr="00323D0E" w:rsidRDefault="004842D3" w:rsidP="00323D0E">
      <w:pPr>
        <w:numPr>
          <w:ilvl w:val="0"/>
          <w:numId w:val="25"/>
        </w:numPr>
      </w:pPr>
      <w:r>
        <w:rPr>
          <w:noProof/>
          <w:lang w:eastAsia="en-AU"/>
        </w:rPr>
        <w:drawing>
          <wp:inline distT="0" distB="0" distL="0" distR="0" wp14:anchorId="6AFF5058" wp14:editId="5FBA2B57">
            <wp:extent cx="5231130" cy="360299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1130" cy="3602990"/>
                    </a:xfrm>
                    <a:prstGeom prst="rect">
                      <a:avLst/>
                    </a:prstGeom>
                    <a:noFill/>
                  </pic:spPr>
                </pic:pic>
              </a:graphicData>
            </a:graphic>
          </wp:inline>
        </w:drawing>
      </w:r>
    </w:p>
    <w:p w:rsidR="00323D0E" w:rsidRPr="00323D0E" w:rsidRDefault="00323D0E" w:rsidP="00323D0E">
      <w:pPr>
        <w:pStyle w:val="AERtablesource"/>
      </w:pPr>
      <w:r w:rsidRPr="00323D0E">
        <w:rPr>
          <w:rFonts w:eastAsia="Calibri"/>
        </w:rPr>
        <w:t xml:space="preserve">Source: </w:t>
      </w:r>
      <w:r w:rsidRPr="00323D0E">
        <w:rPr>
          <w:rFonts w:eastAsia="Calibri"/>
        </w:rPr>
        <w:tab/>
      </w:r>
      <w:r w:rsidRPr="00323D0E">
        <w:t>AER analysis</w:t>
      </w:r>
      <w:r w:rsidR="005F49EE">
        <w:t xml:space="preserve">, </w:t>
      </w:r>
      <w:r w:rsidR="005F49EE" w:rsidRPr="00C43639">
        <w:t xml:space="preserve">JGN, </w:t>
      </w:r>
      <w:r w:rsidR="005F49EE" w:rsidRPr="00B642F3">
        <w:rPr>
          <w:rStyle w:val="AERtextitalic"/>
        </w:rPr>
        <w:t xml:space="preserve">Submissions on draft decision, </w:t>
      </w:r>
      <w:r w:rsidR="005F49EE" w:rsidRPr="00C43639">
        <w:rPr>
          <w:rStyle w:val="AERtextitalic"/>
        </w:rPr>
        <w:t>Attachment N - updated appendix 10.1 - JGN revenue forecast model</w:t>
      </w:r>
      <w:r w:rsidR="005F49EE" w:rsidRPr="00C43639">
        <w:t>, 27 March 2015</w:t>
      </w:r>
    </w:p>
    <w:p w:rsidR="00825A8D" w:rsidRDefault="00011C7C" w:rsidP="00825A8D">
      <w:pPr>
        <w:pStyle w:val="Heading2"/>
      </w:pPr>
      <w:bookmarkStart w:id="74" w:name="_Ref419813379"/>
      <w:bookmarkStart w:id="75" w:name="_Toc419895020"/>
      <w:bookmarkEnd w:id="69"/>
      <w:r>
        <w:t>Smoothed revenue and tariff path</w:t>
      </w:r>
      <w:bookmarkEnd w:id="74"/>
      <w:bookmarkEnd w:id="75"/>
    </w:p>
    <w:p w:rsidR="001077E3" w:rsidRPr="001077E3" w:rsidRDefault="001077E3" w:rsidP="001077E3">
      <w:r w:rsidRPr="001077E3">
        <w:t>After our assessment of JGN’s total unsmoothed revenue, we need to determine the smoothed revenue profile across the five year access arrangement period. JGN operates under a weighted average price cap as its tariff variation mechanism.</w:t>
      </w:r>
      <w:r>
        <w:rPr>
          <w:rStyle w:val="FootnoteReference"/>
        </w:rPr>
        <w:footnoteReference w:id="35"/>
      </w:r>
      <w:r w:rsidRPr="001077E3">
        <w:t xml:space="preserve"> This means we determine the weighted average price change each year such that the net present value of unsmoothed and smoothed revenue is equal across the entire period.</w:t>
      </w:r>
      <w:r>
        <w:rPr>
          <w:rStyle w:val="FootnoteReference"/>
        </w:rPr>
        <w:footnoteReference w:id="36"/>
      </w:r>
      <w:r w:rsidRPr="001077E3">
        <w:t xml:space="preserve"> This weighted average price change is labelled the 'X factor'. The mechanics of the tariff variation mechanism are addressed in attachment</w:t>
      </w:r>
      <w:r>
        <w:t> 11.</w:t>
      </w:r>
    </w:p>
    <w:p w:rsidR="009F0F90" w:rsidRPr="001077E3" w:rsidRDefault="00BD6BE8" w:rsidP="001077E3">
      <w:r>
        <w:fldChar w:fldCharType="begin"/>
      </w:r>
      <w:r>
        <w:instrText xml:space="preserve"> REF _Ref419448329 \h </w:instrText>
      </w:r>
      <w:r>
        <w:fldChar w:fldCharType="separate"/>
      </w:r>
      <w:r w:rsidR="009037A2">
        <w:t xml:space="preserve">Table </w:t>
      </w:r>
      <w:r w:rsidR="009037A2">
        <w:rPr>
          <w:noProof/>
        </w:rPr>
        <w:t>3</w:t>
      </w:r>
      <w:r>
        <w:fldChar w:fldCharType="end"/>
      </w:r>
      <w:r>
        <w:t xml:space="preserve"> </w:t>
      </w:r>
      <w:r w:rsidR="001077E3" w:rsidRPr="001077E3">
        <w:t xml:space="preserve">presents our final decision X factors, and compares them to </w:t>
      </w:r>
      <w:r w:rsidR="00685E96">
        <w:t xml:space="preserve">JGN's proposal, </w:t>
      </w:r>
      <w:r w:rsidR="001077E3" w:rsidRPr="001077E3">
        <w:t>our draft decision and JGN’s revised proposal.</w:t>
      </w:r>
      <w:r w:rsidR="00783B73">
        <w:rPr>
          <w:rStyle w:val="FootnoteReference"/>
        </w:rPr>
        <w:footnoteReference w:id="37"/>
      </w:r>
    </w:p>
    <w:p w:rsidR="00784189" w:rsidRDefault="004A6503" w:rsidP="004A6503">
      <w:pPr>
        <w:pStyle w:val="Caption"/>
      </w:pPr>
      <w:bookmarkStart w:id="76" w:name="_Ref419448329"/>
      <w:r>
        <w:t xml:space="preserve">Table </w:t>
      </w:r>
      <w:fldSimple w:instr=" SEQ Table \* ARABIC ">
        <w:r w:rsidR="009037A2">
          <w:rPr>
            <w:noProof/>
          </w:rPr>
          <w:t>3</w:t>
        </w:r>
      </w:fldSimple>
      <w:bookmarkEnd w:id="76"/>
      <w:r w:rsidR="00BD6BE8">
        <w:tab/>
      </w:r>
      <w:r w:rsidR="00784189">
        <w:t xml:space="preserve">Weighted average price change across the access arrangement period (X factors) – comparison of </w:t>
      </w:r>
      <w:r w:rsidR="00685E96">
        <w:t>JGN and AER positions</w:t>
      </w:r>
      <w:r w:rsidR="00784189">
        <w:t xml:space="preserve"> (per cent)</w:t>
      </w:r>
    </w:p>
    <w:tbl>
      <w:tblPr>
        <w:tblStyle w:val="AERtable-numbers"/>
        <w:tblW w:w="8613" w:type="dxa"/>
        <w:tblLayout w:type="fixed"/>
        <w:tblLook w:val="04A0" w:firstRow="1" w:lastRow="0" w:firstColumn="1" w:lastColumn="0" w:noHBand="0" w:noVBand="1"/>
      </w:tblPr>
      <w:tblGrid>
        <w:gridCol w:w="2943"/>
        <w:gridCol w:w="1134"/>
        <w:gridCol w:w="1134"/>
        <w:gridCol w:w="1134"/>
        <w:gridCol w:w="1134"/>
        <w:gridCol w:w="1134"/>
      </w:tblGrid>
      <w:tr w:rsidR="00947A55" w:rsidRPr="00947A55" w:rsidTr="006D4F2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rsidR="00947A55" w:rsidRPr="00947A55" w:rsidRDefault="00947A55" w:rsidP="00947A55"/>
        </w:tc>
        <w:tc>
          <w:tcPr>
            <w:tcW w:w="1134" w:type="dxa"/>
            <w:noWrap/>
            <w:hideMark/>
          </w:tcPr>
          <w:p w:rsidR="00947A55" w:rsidRPr="00947A55" w:rsidRDefault="00947A55" w:rsidP="00947A55">
            <w:pPr>
              <w:cnfStyle w:val="100000000000" w:firstRow="1" w:lastRow="0" w:firstColumn="0" w:lastColumn="0" w:oddVBand="0" w:evenVBand="0" w:oddHBand="0" w:evenHBand="0" w:firstRowFirstColumn="0" w:firstRowLastColumn="0" w:lastRowFirstColumn="0" w:lastRowLastColumn="0"/>
            </w:pPr>
            <w:r w:rsidRPr="00947A55">
              <w:t>2015–16</w:t>
            </w:r>
          </w:p>
        </w:tc>
        <w:tc>
          <w:tcPr>
            <w:tcW w:w="1134" w:type="dxa"/>
            <w:noWrap/>
            <w:hideMark/>
          </w:tcPr>
          <w:p w:rsidR="00947A55" w:rsidRPr="00947A55" w:rsidRDefault="00947A55" w:rsidP="00947A55">
            <w:pPr>
              <w:cnfStyle w:val="100000000000" w:firstRow="1" w:lastRow="0" w:firstColumn="0" w:lastColumn="0" w:oddVBand="0" w:evenVBand="0" w:oddHBand="0" w:evenHBand="0" w:firstRowFirstColumn="0" w:firstRowLastColumn="0" w:lastRowFirstColumn="0" w:lastRowLastColumn="0"/>
            </w:pPr>
            <w:r w:rsidRPr="00947A55">
              <w:t>2016–17</w:t>
            </w:r>
          </w:p>
        </w:tc>
        <w:tc>
          <w:tcPr>
            <w:tcW w:w="1134" w:type="dxa"/>
            <w:noWrap/>
            <w:hideMark/>
          </w:tcPr>
          <w:p w:rsidR="00947A55" w:rsidRPr="00947A55" w:rsidRDefault="00947A55" w:rsidP="00947A55">
            <w:pPr>
              <w:cnfStyle w:val="100000000000" w:firstRow="1" w:lastRow="0" w:firstColumn="0" w:lastColumn="0" w:oddVBand="0" w:evenVBand="0" w:oddHBand="0" w:evenHBand="0" w:firstRowFirstColumn="0" w:firstRowLastColumn="0" w:lastRowFirstColumn="0" w:lastRowLastColumn="0"/>
            </w:pPr>
            <w:r w:rsidRPr="00947A55">
              <w:t>2017–18</w:t>
            </w:r>
          </w:p>
        </w:tc>
        <w:tc>
          <w:tcPr>
            <w:tcW w:w="1134" w:type="dxa"/>
            <w:noWrap/>
            <w:hideMark/>
          </w:tcPr>
          <w:p w:rsidR="00947A55" w:rsidRPr="00947A55" w:rsidRDefault="00947A55" w:rsidP="00947A55">
            <w:pPr>
              <w:cnfStyle w:val="100000000000" w:firstRow="1" w:lastRow="0" w:firstColumn="0" w:lastColumn="0" w:oddVBand="0" w:evenVBand="0" w:oddHBand="0" w:evenHBand="0" w:firstRowFirstColumn="0" w:firstRowLastColumn="0" w:lastRowFirstColumn="0" w:lastRowLastColumn="0"/>
            </w:pPr>
            <w:r w:rsidRPr="00947A55">
              <w:t>2018–19</w:t>
            </w:r>
          </w:p>
        </w:tc>
        <w:tc>
          <w:tcPr>
            <w:tcW w:w="1134" w:type="dxa"/>
            <w:noWrap/>
            <w:hideMark/>
          </w:tcPr>
          <w:p w:rsidR="00947A55" w:rsidRPr="00947A55" w:rsidRDefault="00947A55" w:rsidP="004A6503">
            <w:pPr>
              <w:cnfStyle w:val="100000000000" w:firstRow="1" w:lastRow="0" w:firstColumn="0" w:lastColumn="0" w:oddVBand="0" w:evenVBand="0" w:oddHBand="0" w:evenHBand="0" w:firstRowFirstColumn="0" w:firstRowLastColumn="0" w:lastRowFirstColumn="0" w:lastRowLastColumn="0"/>
            </w:pPr>
            <w:r w:rsidRPr="00947A55">
              <w:t>2019–20</w:t>
            </w:r>
          </w:p>
        </w:tc>
      </w:tr>
      <w:tr w:rsidR="009F0F90" w:rsidRPr="00947A55" w:rsidTr="006D4F27">
        <w:trPr>
          <w:trHeight w:val="300"/>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noWrap/>
            <w:hideMark/>
          </w:tcPr>
          <w:p w:rsidR="009F0F90" w:rsidRPr="007F1411" w:rsidRDefault="009F0F90" w:rsidP="009F0F90">
            <w:pPr>
              <w:rPr>
                <w:rStyle w:val="Strong"/>
              </w:rPr>
            </w:pPr>
            <w:r>
              <w:rPr>
                <w:rStyle w:val="Strong"/>
              </w:rPr>
              <w:t>Real price change (</w:t>
            </w:r>
            <w:r w:rsidRPr="007F1411">
              <w:rPr>
                <w:rStyle w:val="Strong"/>
              </w:rPr>
              <w:t>X</w:t>
            </w:r>
            <w:r>
              <w:rPr>
                <w:rStyle w:val="Strong"/>
              </w:rPr>
              <w:t xml:space="preserve"> </w:t>
            </w:r>
            <w:r w:rsidRPr="007F1411">
              <w:rPr>
                <w:rStyle w:val="Strong"/>
              </w:rPr>
              <w:t>factor</w:t>
            </w:r>
            <w:r>
              <w:rPr>
                <w:rStyle w:val="Strong"/>
              </w:rPr>
              <w:t>)</w:t>
            </w:r>
            <w:r w:rsidRPr="009037A2">
              <w:rPr>
                <w:rStyle w:val="AERsuperscript"/>
              </w:rPr>
              <w:t>a</w:t>
            </w:r>
          </w:p>
        </w:tc>
        <w:tc>
          <w:tcPr>
            <w:tcW w:w="1134" w:type="dxa"/>
            <w:shd w:val="clear" w:color="auto" w:fill="auto"/>
            <w:noWrap/>
            <w:hideMark/>
          </w:tcPr>
          <w:p w:rsidR="009F0F90" w:rsidRPr="00947A55" w:rsidRDefault="009F0F90" w:rsidP="00947A55">
            <w:pPr>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auto"/>
          </w:tcPr>
          <w:p w:rsidR="009F0F90" w:rsidRPr="00947A55" w:rsidRDefault="009F0F90" w:rsidP="00947A55">
            <w:pPr>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auto"/>
          </w:tcPr>
          <w:p w:rsidR="009F0F90" w:rsidRPr="00947A55" w:rsidRDefault="009F0F90" w:rsidP="00947A55">
            <w:pPr>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auto"/>
          </w:tcPr>
          <w:p w:rsidR="009F0F90" w:rsidRPr="00947A55" w:rsidRDefault="009F0F90" w:rsidP="00947A55">
            <w:pPr>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auto"/>
          </w:tcPr>
          <w:p w:rsidR="009F0F90" w:rsidRPr="00947A55" w:rsidRDefault="009F0F90" w:rsidP="00947A55">
            <w:pPr>
              <w:cnfStyle w:val="000000000000" w:firstRow="0" w:lastRow="0" w:firstColumn="0" w:lastColumn="0" w:oddVBand="0" w:evenVBand="0" w:oddHBand="0" w:evenHBand="0" w:firstRowFirstColumn="0" w:firstRowLastColumn="0" w:lastRowFirstColumn="0" w:lastRowLastColumn="0"/>
            </w:pPr>
          </w:p>
        </w:tc>
      </w:tr>
      <w:tr w:rsidR="00685E96" w:rsidRPr="00947A55"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rsidR="00685E96" w:rsidRPr="00947A55" w:rsidRDefault="00685E96" w:rsidP="00947A55">
            <w:r>
              <w:t>JGN proposal</w:t>
            </w:r>
          </w:p>
        </w:tc>
        <w:tc>
          <w:tcPr>
            <w:tcW w:w="1134" w:type="dxa"/>
            <w:noWrap/>
          </w:tcPr>
          <w:p w:rsidR="00685E96" w:rsidRPr="00947A55" w:rsidRDefault="00685E96" w:rsidP="00947A55">
            <w:pPr>
              <w:cnfStyle w:val="000000010000" w:firstRow="0" w:lastRow="0" w:firstColumn="0" w:lastColumn="0" w:oddVBand="0" w:evenVBand="0" w:oddHBand="0" w:evenHBand="1" w:firstRowFirstColumn="0" w:firstRowLastColumn="0" w:lastRowFirstColumn="0" w:lastRowLastColumn="0"/>
            </w:pPr>
            <w:r>
              <w:t>4.0</w:t>
            </w:r>
            <w:r w:rsidRPr="00947A55">
              <w:t>0%</w:t>
            </w:r>
            <w:r w:rsidRPr="00685E96">
              <w:rPr>
                <w:rStyle w:val="AERsuperscript"/>
              </w:rPr>
              <w:t>b</w:t>
            </w:r>
          </w:p>
        </w:tc>
        <w:tc>
          <w:tcPr>
            <w:tcW w:w="1134" w:type="dxa"/>
            <w:noWrap/>
          </w:tcPr>
          <w:p w:rsidR="00685E96" w:rsidRPr="00947A55" w:rsidRDefault="00685E96" w:rsidP="00947A55">
            <w:pPr>
              <w:cnfStyle w:val="000000010000" w:firstRow="0" w:lastRow="0" w:firstColumn="0" w:lastColumn="0" w:oddVBand="0" w:evenVBand="0" w:oddHBand="0" w:evenHBand="1" w:firstRowFirstColumn="0" w:firstRowLastColumn="0" w:lastRowFirstColumn="0" w:lastRowLastColumn="0"/>
            </w:pPr>
            <w:r>
              <w:t>2.71%</w:t>
            </w:r>
          </w:p>
        </w:tc>
        <w:tc>
          <w:tcPr>
            <w:tcW w:w="1134" w:type="dxa"/>
            <w:noWrap/>
          </w:tcPr>
          <w:p w:rsidR="00685E96" w:rsidRPr="00947A55" w:rsidRDefault="00685E96" w:rsidP="00947A55">
            <w:pPr>
              <w:cnfStyle w:val="000000010000" w:firstRow="0" w:lastRow="0" w:firstColumn="0" w:lastColumn="0" w:oddVBand="0" w:evenVBand="0" w:oddHBand="0" w:evenHBand="1" w:firstRowFirstColumn="0" w:firstRowLastColumn="0" w:lastRowFirstColumn="0" w:lastRowLastColumn="0"/>
            </w:pPr>
            <w:r>
              <w:t>2.71%</w:t>
            </w:r>
          </w:p>
        </w:tc>
        <w:tc>
          <w:tcPr>
            <w:tcW w:w="1134" w:type="dxa"/>
            <w:noWrap/>
          </w:tcPr>
          <w:p w:rsidR="00685E96" w:rsidRPr="00947A55" w:rsidRDefault="00685E96" w:rsidP="00947A55">
            <w:pPr>
              <w:cnfStyle w:val="000000010000" w:firstRow="0" w:lastRow="0" w:firstColumn="0" w:lastColumn="0" w:oddVBand="0" w:evenVBand="0" w:oddHBand="0" w:evenHBand="1" w:firstRowFirstColumn="0" w:firstRowLastColumn="0" w:lastRowFirstColumn="0" w:lastRowLastColumn="0"/>
            </w:pPr>
            <w:r>
              <w:t>2.71%</w:t>
            </w:r>
          </w:p>
        </w:tc>
        <w:tc>
          <w:tcPr>
            <w:tcW w:w="1134" w:type="dxa"/>
            <w:noWrap/>
          </w:tcPr>
          <w:p w:rsidR="00685E96" w:rsidRPr="00947A55" w:rsidRDefault="00685E96" w:rsidP="00947A55">
            <w:pPr>
              <w:cnfStyle w:val="000000010000" w:firstRow="0" w:lastRow="0" w:firstColumn="0" w:lastColumn="0" w:oddVBand="0" w:evenVBand="0" w:oddHBand="0" w:evenHBand="1" w:firstRowFirstColumn="0" w:firstRowLastColumn="0" w:lastRowFirstColumn="0" w:lastRowLastColumn="0"/>
            </w:pPr>
            <w:r>
              <w:t>2.71%</w:t>
            </w:r>
          </w:p>
        </w:tc>
      </w:tr>
      <w:tr w:rsidR="00947A55" w:rsidRPr="00947A55" w:rsidTr="006D4F27">
        <w:trPr>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rsidR="00947A55" w:rsidRPr="00947A55" w:rsidRDefault="00947A55" w:rsidP="00947A55">
            <w:r w:rsidRPr="00947A55">
              <w:t>AER draft decision</w:t>
            </w:r>
          </w:p>
        </w:tc>
        <w:tc>
          <w:tcPr>
            <w:tcW w:w="1134" w:type="dxa"/>
            <w:noWrap/>
            <w:hideMark/>
          </w:tcPr>
          <w:p w:rsidR="00947A55" w:rsidRPr="00947A55" w:rsidRDefault="00947A55" w:rsidP="00947A55">
            <w:pPr>
              <w:cnfStyle w:val="000000000000" w:firstRow="0" w:lastRow="0" w:firstColumn="0" w:lastColumn="0" w:oddVBand="0" w:evenVBand="0" w:oddHBand="0" w:evenHBand="0" w:firstRowFirstColumn="0" w:firstRowLastColumn="0" w:lastRowFirstColumn="0" w:lastRowLastColumn="0"/>
            </w:pPr>
            <w:r w:rsidRPr="00947A55">
              <w:t>23.44%</w:t>
            </w:r>
            <w:r w:rsidR="00E229BA" w:rsidRPr="009037A2">
              <w:rPr>
                <w:rStyle w:val="AERsuperscript"/>
              </w:rPr>
              <w:t>b</w:t>
            </w:r>
          </w:p>
        </w:tc>
        <w:tc>
          <w:tcPr>
            <w:tcW w:w="1134" w:type="dxa"/>
            <w:noWrap/>
            <w:hideMark/>
          </w:tcPr>
          <w:p w:rsidR="00947A55" w:rsidRPr="00947A55" w:rsidRDefault="00947A55" w:rsidP="00947A55">
            <w:pPr>
              <w:cnfStyle w:val="000000000000" w:firstRow="0" w:lastRow="0" w:firstColumn="0" w:lastColumn="0" w:oddVBand="0" w:evenVBand="0" w:oddHBand="0" w:evenHBand="0" w:firstRowFirstColumn="0" w:firstRowLastColumn="0" w:lastRowFirstColumn="0" w:lastRowLastColumn="0"/>
            </w:pPr>
            <w:r w:rsidRPr="00947A55">
              <w:t>2.09%</w:t>
            </w:r>
          </w:p>
        </w:tc>
        <w:tc>
          <w:tcPr>
            <w:tcW w:w="1134" w:type="dxa"/>
            <w:noWrap/>
            <w:hideMark/>
          </w:tcPr>
          <w:p w:rsidR="00947A55" w:rsidRPr="00947A55" w:rsidRDefault="00947A55" w:rsidP="00947A55">
            <w:pPr>
              <w:cnfStyle w:val="000000000000" w:firstRow="0" w:lastRow="0" w:firstColumn="0" w:lastColumn="0" w:oddVBand="0" w:evenVBand="0" w:oddHBand="0" w:evenHBand="0" w:firstRowFirstColumn="0" w:firstRowLastColumn="0" w:lastRowFirstColumn="0" w:lastRowLastColumn="0"/>
            </w:pPr>
            <w:r w:rsidRPr="00947A55">
              <w:t>2.09%</w:t>
            </w:r>
          </w:p>
        </w:tc>
        <w:tc>
          <w:tcPr>
            <w:tcW w:w="1134" w:type="dxa"/>
            <w:noWrap/>
            <w:hideMark/>
          </w:tcPr>
          <w:p w:rsidR="00947A55" w:rsidRPr="00947A55" w:rsidRDefault="00947A55" w:rsidP="00947A55">
            <w:pPr>
              <w:cnfStyle w:val="000000000000" w:firstRow="0" w:lastRow="0" w:firstColumn="0" w:lastColumn="0" w:oddVBand="0" w:evenVBand="0" w:oddHBand="0" w:evenHBand="0" w:firstRowFirstColumn="0" w:firstRowLastColumn="0" w:lastRowFirstColumn="0" w:lastRowLastColumn="0"/>
            </w:pPr>
            <w:r w:rsidRPr="00947A55">
              <w:t>2.09%</w:t>
            </w:r>
          </w:p>
        </w:tc>
        <w:tc>
          <w:tcPr>
            <w:tcW w:w="1134" w:type="dxa"/>
            <w:noWrap/>
            <w:hideMark/>
          </w:tcPr>
          <w:p w:rsidR="00947A55" w:rsidRPr="00947A55" w:rsidRDefault="00947A55" w:rsidP="00947A55">
            <w:pPr>
              <w:cnfStyle w:val="000000000000" w:firstRow="0" w:lastRow="0" w:firstColumn="0" w:lastColumn="0" w:oddVBand="0" w:evenVBand="0" w:oddHBand="0" w:evenHBand="0" w:firstRowFirstColumn="0" w:firstRowLastColumn="0" w:lastRowFirstColumn="0" w:lastRowLastColumn="0"/>
            </w:pPr>
            <w:r w:rsidRPr="00947A55">
              <w:t>2.09%</w:t>
            </w:r>
          </w:p>
        </w:tc>
      </w:tr>
      <w:tr w:rsidR="00947A55" w:rsidRPr="00947A55"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rsidR="00947A55" w:rsidRPr="00947A55" w:rsidRDefault="00947A55" w:rsidP="00947A55">
            <w:r w:rsidRPr="00947A55">
              <w:t>JGN revised proposal</w:t>
            </w:r>
          </w:p>
        </w:tc>
        <w:tc>
          <w:tcPr>
            <w:tcW w:w="1134" w:type="dxa"/>
            <w:noWrap/>
            <w:hideMark/>
          </w:tcPr>
          <w:p w:rsidR="00947A55" w:rsidRPr="00947A55" w:rsidRDefault="00947A55" w:rsidP="00947A55">
            <w:pPr>
              <w:cnfStyle w:val="000000010000" w:firstRow="0" w:lastRow="0" w:firstColumn="0" w:lastColumn="0" w:oddVBand="0" w:evenVBand="0" w:oddHBand="0" w:evenHBand="1" w:firstRowFirstColumn="0" w:firstRowLastColumn="0" w:lastRowFirstColumn="0" w:lastRowLastColumn="0"/>
            </w:pPr>
            <w:r w:rsidRPr="00947A55">
              <w:t>6.50%</w:t>
            </w:r>
            <w:r w:rsidR="00E229BA" w:rsidRPr="009037A2">
              <w:rPr>
                <w:rStyle w:val="AERsuperscript"/>
              </w:rPr>
              <w:t>b</w:t>
            </w:r>
          </w:p>
        </w:tc>
        <w:tc>
          <w:tcPr>
            <w:tcW w:w="1134" w:type="dxa"/>
            <w:noWrap/>
            <w:hideMark/>
          </w:tcPr>
          <w:p w:rsidR="00947A55" w:rsidRPr="00947A55" w:rsidRDefault="00947A55" w:rsidP="009037A2">
            <w:pPr>
              <w:cnfStyle w:val="000000010000" w:firstRow="0" w:lastRow="0" w:firstColumn="0" w:lastColumn="0" w:oddVBand="0" w:evenVBand="0" w:oddHBand="0" w:evenHBand="1" w:firstRowFirstColumn="0" w:firstRowLastColumn="0" w:lastRowFirstColumn="0" w:lastRowLastColumn="0"/>
            </w:pPr>
            <w:r w:rsidRPr="00947A55">
              <w:t>8.</w:t>
            </w:r>
            <w:r w:rsidR="00783B73" w:rsidRPr="00947A55">
              <w:t>2</w:t>
            </w:r>
            <w:r w:rsidR="00783B73">
              <w:t>7</w:t>
            </w:r>
            <w:r w:rsidRPr="00947A55">
              <w:t>%</w:t>
            </w:r>
          </w:p>
        </w:tc>
        <w:tc>
          <w:tcPr>
            <w:tcW w:w="1134" w:type="dxa"/>
            <w:noWrap/>
            <w:hideMark/>
          </w:tcPr>
          <w:p w:rsidR="00947A55" w:rsidRPr="00947A55" w:rsidRDefault="00947A55" w:rsidP="009037A2">
            <w:pPr>
              <w:cnfStyle w:val="000000010000" w:firstRow="0" w:lastRow="0" w:firstColumn="0" w:lastColumn="0" w:oddVBand="0" w:evenVBand="0" w:oddHBand="0" w:evenHBand="1" w:firstRowFirstColumn="0" w:firstRowLastColumn="0" w:lastRowFirstColumn="0" w:lastRowLastColumn="0"/>
            </w:pPr>
            <w:r w:rsidRPr="00947A55">
              <w:t>8.</w:t>
            </w:r>
            <w:r w:rsidR="00783B73" w:rsidRPr="00947A55">
              <w:t>2</w:t>
            </w:r>
            <w:r w:rsidR="00783B73">
              <w:t>7</w:t>
            </w:r>
            <w:r w:rsidRPr="00947A55">
              <w:t>%</w:t>
            </w:r>
          </w:p>
        </w:tc>
        <w:tc>
          <w:tcPr>
            <w:tcW w:w="1134" w:type="dxa"/>
            <w:noWrap/>
            <w:hideMark/>
          </w:tcPr>
          <w:p w:rsidR="00947A55" w:rsidRPr="00947A55" w:rsidRDefault="00947A55" w:rsidP="0048645A">
            <w:pPr>
              <w:cnfStyle w:val="000000010000" w:firstRow="0" w:lastRow="0" w:firstColumn="0" w:lastColumn="0" w:oddVBand="0" w:evenVBand="0" w:oddHBand="0" w:evenHBand="1" w:firstRowFirstColumn="0" w:firstRowLastColumn="0" w:lastRowFirstColumn="0" w:lastRowLastColumn="0"/>
            </w:pPr>
            <w:r w:rsidRPr="00947A55">
              <w:t>8.</w:t>
            </w:r>
            <w:r w:rsidR="00783B73" w:rsidRPr="00947A55">
              <w:t>2</w:t>
            </w:r>
            <w:r w:rsidR="00783B73">
              <w:t>7</w:t>
            </w:r>
            <w:r w:rsidRPr="00947A55">
              <w:t>%</w:t>
            </w:r>
          </w:p>
        </w:tc>
        <w:tc>
          <w:tcPr>
            <w:tcW w:w="1134" w:type="dxa"/>
            <w:noWrap/>
            <w:hideMark/>
          </w:tcPr>
          <w:p w:rsidR="00947A55" w:rsidRPr="00947A55" w:rsidRDefault="00E348B7" w:rsidP="00947A55">
            <w:pPr>
              <w:cnfStyle w:val="000000010000" w:firstRow="0" w:lastRow="0" w:firstColumn="0" w:lastColumn="0" w:oddVBand="0" w:evenVBand="0" w:oddHBand="0" w:evenHBand="1" w:firstRowFirstColumn="0" w:firstRowLastColumn="0" w:lastRowFirstColumn="0" w:lastRowLastColumn="0"/>
            </w:pPr>
            <w:r>
              <w:t>–</w:t>
            </w:r>
            <w:r w:rsidR="00947A55" w:rsidRPr="00947A55">
              <w:t>1.84%</w:t>
            </w:r>
          </w:p>
        </w:tc>
      </w:tr>
      <w:tr w:rsidR="00947A55" w:rsidRPr="00947A55" w:rsidTr="006D4F27">
        <w:trPr>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rsidR="00947A55" w:rsidRPr="00947A55" w:rsidRDefault="00947A55" w:rsidP="00947A55">
            <w:r w:rsidRPr="00947A55">
              <w:t>AER final decision</w:t>
            </w:r>
          </w:p>
        </w:tc>
        <w:tc>
          <w:tcPr>
            <w:tcW w:w="1134" w:type="dxa"/>
            <w:noWrap/>
            <w:hideMark/>
          </w:tcPr>
          <w:p w:rsidR="00947A55" w:rsidRPr="00947A55" w:rsidRDefault="00947A55" w:rsidP="00947A55">
            <w:pPr>
              <w:cnfStyle w:val="000000000000" w:firstRow="0" w:lastRow="0" w:firstColumn="0" w:lastColumn="0" w:oddVBand="0" w:evenVBand="0" w:oddHBand="0" w:evenHBand="0" w:firstRowFirstColumn="0" w:firstRowLastColumn="0" w:lastRowFirstColumn="0" w:lastRowLastColumn="0"/>
            </w:pPr>
            <w:r w:rsidRPr="00947A55">
              <w:t>20.43%</w:t>
            </w:r>
            <w:r w:rsidR="00E229BA" w:rsidRPr="009037A2">
              <w:rPr>
                <w:rStyle w:val="AERsuperscript"/>
              </w:rPr>
              <w:t>b</w:t>
            </w:r>
          </w:p>
        </w:tc>
        <w:tc>
          <w:tcPr>
            <w:tcW w:w="1134" w:type="dxa"/>
            <w:noWrap/>
            <w:hideMark/>
          </w:tcPr>
          <w:p w:rsidR="00947A55" w:rsidRPr="00947A55" w:rsidRDefault="00947A55" w:rsidP="007C38E4">
            <w:pPr>
              <w:cnfStyle w:val="000000000000" w:firstRow="0" w:lastRow="0" w:firstColumn="0" w:lastColumn="0" w:oddVBand="0" w:evenVBand="0" w:oddHBand="0" w:evenHBand="0" w:firstRowFirstColumn="0" w:firstRowLastColumn="0" w:lastRowFirstColumn="0" w:lastRowLastColumn="0"/>
            </w:pPr>
            <w:r w:rsidRPr="00947A55">
              <w:t>1</w:t>
            </w:r>
            <w:r w:rsidR="007C38E4">
              <w:t>2</w:t>
            </w:r>
            <w:r w:rsidRPr="00947A55">
              <w:t>.</w:t>
            </w:r>
            <w:r w:rsidR="007C38E4">
              <w:t>00</w:t>
            </w:r>
            <w:r w:rsidRPr="00947A55">
              <w:t>%</w:t>
            </w:r>
          </w:p>
        </w:tc>
        <w:tc>
          <w:tcPr>
            <w:tcW w:w="1134" w:type="dxa"/>
            <w:noWrap/>
            <w:hideMark/>
          </w:tcPr>
          <w:p w:rsidR="00947A55" w:rsidRPr="00947A55" w:rsidRDefault="00947A55">
            <w:pPr>
              <w:cnfStyle w:val="000000000000" w:firstRow="0" w:lastRow="0" w:firstColumn="0" w:lastColumn="0" w:oddVBand="0" w:evenVBand="0" w:oddHBand="0" w:evenHBand="0" w:firstRowFirstColumn="0" w:firstRowLastColumn="0" w:lastRowFirstColumn="0" w:lastRowLastColumn="0"/>
            </w:pPr>
            <w:r w:rsidRPr="00947A55">
              <w:t>7.</w:t>
            </w:r>
            <w:r w:rsidR="008132C8">
              <w:t>0</w:t>
            </w:r>
            <w:r w:rsidRPr="00947A55">
              <w:t>0%</w:t>
            </w:r>
          </w:p>
        </w:tc>
        <w:tc>
          <w:tcPr>
            <w:tcW w:w="1134" w:type="dxa"/>
            <w:noWrap/>
            <w:hideMark/>
          </w:tcPr>
          <w:p w:rsidR="00947A55" w:rsidRPr="00947A55" w:rsidRDefault="007C38E4" w:rsidP="007C38E4">
            <w:pPr>
              <w:cnfStyle w:val="000000000000" w:firstRow="0" w:lastRow="0" w:firstColumn="0" w:lastColumn="0" w:oddVBand="0" w:evenVBand="0" w:oddHBand="0" w:evenHBand="0" w:firstRowFirstColumn="0" w:firstRowLastColumn="0" w:lastRowFirstColumn="0" w:lastRowLastColumn="0"/>
            </w:pPr>
            <w:r>
              <w:t>4</w:t>
            </w:r>
            <w:r w:rsidR="00947A55" w:rsidRPr="00947A55">
              <w:t>.</w:t>
            </w:r>
            <w:r>
              <w:t>9</w:t>
            </w:r>
            <w:r w:rsidR="00947A55" w:rsidRPr="00947A55">
              <w:t>0%</w:t>
            </w:r>
          </w:p>
        </w:tc>
        <w:tc>
          <w:tcPr>
            <w:tcW w:w="1134" w:type="dxa"/>
            <w:noWrap/>
            <w:hideMark/>
          </w:tcPr>
          <w:p w:rsidR="00947A55" w:rsidRPr="00947A55" w:rsidRDefault="00947A55" w:rsidP="00947A55">
            <w:pPr>
              <w:cnfStyle w:val="000000000000" w:firstRow="0" w:lastRow="0" w:firstColumn="0" w:lastColumn="0" w:oddVBand="0" w:evenVBand="0" w:oddHBand="0" w:evenHBand="0" w:firstRowFirstColumn="0" w:firstRowLastColumn="0" w:lastRowFirstColumn="0" w:lastRowLastColumn="0"/>
            </w:pPr>
            <w:r w:rsidRPr="00947A55">
              <w:t>0.00%</w:t>
            </w:r>
          </w:p>
        </w:tc>
      </w:tr>
      <w:tr w:rsidR="009F0F90" w:rsidRPr="00947A55"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rsidR="009F0F90" w:rsidRPr="007F1411" w:rsidRDefault="009F0F90" w:rsidP="009F0F90">
            <w:pPr>
              <w:rPr>
                <w:rStyle w:val="Strong"/>
              </w:rPr>
            </w:pPr>
            <w:r w:rsidRPr="007F1411">
              <w:rPr>
                <w:rStyle w:val="Strong"/>
              </w:rPr>
              <w:t>Nominal price change</w:t>
            </w:r>
            <w:r>
              <w:rPr>
                <w:rStyle w:val="Strong"/>
              </w:rPr>
              <w:t xml:space="preserve"> (</w:t>
            </w:r>
            <w:r w:rsidRPr="007F1411">
              <w:rPr>
                <w:rStyle w:val="Strong"/>
              </w:rPr>
              <w:t>CPI</w:t>
            </w:r>
            <w:r>
              <w:rPr>
                <w:rStyle w:val="Strong"/>
              </w:rPr>
              <w:t>–</w:t>
            </w:r>
            <w:r w:rsidRPr="007F1411">
              <w:rPr>
                <w:rStyle w:val="Strong"/>
              </w:rPr>
              <w:t>X</w:t>
            </w:r>
            <w:r>
              <w:rPr>
                <w:rStyle w:val="Strong"/>
              </w:rPr>
              <w:t>)</w:t>
            </w:r>
          </w:p>
        </w:tc>
        <w:tc>
          <w:tcPr>
            <w:tcW w:w="1134" w:type="dxa"/>
            <w:noWrap/>
            <w:hideMark/>
          </w:tcPr>
          <w:p w:rsidR="009F0F90" w:rsidRPr="00947A55" w:rsidRDefault="009F0F90" w:rsidP="00947A55">
            <w:pPr>
              <w:cnfStyle w:val="000000010000" w:firstRow="0" w:lastRow="0" w:firstColumn="0" w:lastColumn="0" w:oddVBand="0" w:evenVBand="0" w:oddHBand="0" w:evenHBand="1" w:firstRowFirstColumn="0" w:firstRowLastColumn="0" w:lastRowFirstColumn="0" w:lastRowLastColumn="0"/>
            </w:pPr>
          </w:p>
        </w:tc>
        <w:tc>
          <w:tcPr>
            <w:tcW w:w="1134" w:type="dxa"/>
          </w:tcPr>
          <w:p w:rsidR="009F0F90" w:rsidRPr="00947A55" w:rsidRDefault="009F0F90" w:rsidP="00947A55">
            <w:pPr>
              <w:cnfStyle w:val="000000010000" w:firstRow="0" w:lastRow="0" w:firstColumn="0" w:lastColumn="0" w:oddVBand="0" w:evenVBand="0" w:oddHBand="0" w:evenHBand="1" w:firstRowFirstColumn="0" w:firstRowLastColumn="0" w:lastRowFirstColumn="0" w:lastRowLastColumn="0"/>
            </w:pPr>
          </w:p>
        </w:tc>
        <w:tc>
          <w:tcPr>
            <w:tcW w:w="1134" w:type="dxa"/>
          </w:tcPr>
          <w:p w:rsidR="009F0F90" w:rsidRPr="00947A55" w:rsidRDefault="009F0F90" w:rsidP="00947A55">
            <w:pPr>
              <w:cnfStyle w:val="000000010000" w:firstRow="0" w:lastRow="0" w:firstColumn="0" w:lastColumn="0" w:oddVBand="0" w:evenVBand="0" w:oddHBand="0" w:evenHBand="1" w:firstRowFirstColumn="0" w:firstRowLastColumn="0" w:lastRowFirstColumn="0" w:lastRowLastColumn="0"/>
            </w:pPr>
          </w:p>
        </w:tc>
        <w:tc>
          <w:tcPr>
            <w:tcW w:w="1134" w:type="dxa"/>
          </w:tcPr>
          <w:p w:rsidR="009F0F90" w:rsidRPr="00947A55" w:rsidRDefault="009F0F90" w:rsidP="00947A55">
            <w:pPr>
              <w:cnfStyle w:val="000000010000" w:firstRow="0" w:lastRow="0" w:firstColumn="0" w:lastColumn="0" w:oddVBand="0" w:evenVBand="0" w:oddHBand="0" w:evenHBand="1" w:firstRowFirstColumn="0" w:firstRowLastColumn="0" w:lastRowFirstColumn="0" w:lastRowLastColumn="0"/>
            </w:pPr>
          </w:p>
        </w:tc>
        <w:tc>
          <w:tcPr>
            <w:tcW w:w="1134" w:type="dxa"/>
          </w:tcPr>
          <w:p w:rsidR="009F0F90" w:rsidRPr="00947A55" w:rsidRDefault="009F0F90" w:rsidP="00947A55">
            <w:pPr>
              <w:cnfStyle w:val="000000010000" w:firstRow="0" w:lastRow="0" w:firstColumn="0" w:lastColumn="0" w:oddVBand="0" w:evenVBand="0" w:oddHBand="0" w:evenHBand="1" w:firstRowFirstColumn="0" w:firstRowLastColumn="0" w:lastRowFirstColumn="0" w:lastRowLastColumn="0"/>
            </w:pPr>
          </w:p>
        </w:tc>
      </w:tr>
      <w:tr w:rsidR="00685E96" w:rsidRPr="00947A55" w:rsidTr="006D4F27">
        <w:trPr>
          <w:trHeight w:val="300"/>
        </w:trPr>
        <w:tc>
          <w:tcPr>
            <w:cnfStyle w:val="001000000000" w:firstRow="0" w:lastRow="0" w:firstColumn="1" w:lastColumn="0" w:oddVBand="0" w:evenVBand="0" w:oddHBand="0" w:evenHBand="0" w:firstRowFirstColumn="0" w:firstRowLastColumn="0" w:lastRowFirstColumn="0" w:lastRowLastColumn="0"/>
            <w:tcW w:w="2943" w:type="dxa"/>
            <w:noWrap/>
          </w:tcPr>
          <w:p w:rsidR="00685E96" w:rsidRPr="00947A55" w:rsidRDefault="00685E96" w:rsidP="00947A55">
            <w:r>
              <w:t>JGN proposal</w:t>
            </w:r>
          </w:p>
        </w:tc>
        <w:tc>
          <w:tcPr>
            <w:tcW w:w="1134" w:type="dxa"/>
            <w:noWrap/>
          </w:tcPr>
          <w:p w:rsidR="00685E96" w:rsidRPr="00947A55" w:rsidDel="00E348B7" w:rsidRDefault="00685E96" w:rsidP="00947A55">
            <w:pPr>
              <w:cnfStyle w:val="000000000000" w:firstRow="0" w:lastRow="0" w:firstColumn="0" w:lastColumn="0" w:oddVBand="0" w:evenVBand="0" w:oddHBand="0" w:evenHBand="0" w:firstRowFirstColumn="0" w:firstRowLastColumn="0" w:lastRowFirstColumn="0" w:lastRowLastColumn="0"/>
            </w:pPr>
            <w:r>
              <w:t>–1.56%</w:t>
            </w:r>
          </w:p>
        </w:tc>
        <w:tc>
          <w:tcPr>
            <w:tcW w:w="1134" w:type="dxa"/>
            <w:noWrap/>
          </w:tcPr>
          <w:p w:rsidR="00685E96" w:rsidRPr="00947A55" w:rsidRDefault="00685E96" w:rsidP="00947A55">
            <w:pPr>
              <w:cnfStyle w:val="000000000000" w:firstRow="0" w:lastRow="0" w:firstColumn="0" w:lastColumn="0" w:oddVBand="0" w:evenVBand="0" w:oddHBand="0" w:evenHBand="0" w:firstRowFirstColumn="0" w:firstRowLastColumn="0" w:lastRowFirstColumn="0" w:lastRowLastColumn="0"/>
            </w:pPr>
            <w:r>
              <w:t>–0.23%</w:t>
            </w:r>
          </w:p>
        </w:tc>
        <w:tc>
          <w:tcPr>
            <w:tcW w:w="1134" w:type="dxa"/>
            <w:noWrap/>
          </w:tcPr>
          <w:p w:rsidR="00685E96" w:rsidRPr="00947A55" w:rsidRDefault="00685E96" w:rsidP="00947A55">
            <w:pPr>
              <w:cnfStyle w:val="000000000000" w:firstRow="0" w:lastRow="0" w:firstColumn="0" w:lastColumn="0" w:oddVBand="0" w:evenVBand="0" w:oddHBand="0" w:evenHBand="0" w:firstRowFirstColumn="0" w:firstRowLastColumn="0" w:lastRowFirstColumn="0" w:lastRowLastColumn="0"/>
            </w:pPr>
            <w:r>
              <w:t>–0.23%</w:t>
            </w:r>
          </w:p>
        </w:tc>
        <w:tc>
          <w:tcPr>
            <w:tcW w:w="1134" w:type="dxa"/>
            <w:noWrap/>
          </w:tcPr>
          <w:p w:rsidR="00685E96" w:rsidRPr="00947A55" w:rsidRDefault="00685E96" w:rsidP="00947A55">
            <w:pPr>
              <w:cnfStyle w:val="000000000000" w:firstRow="0" w:lastRow="0" w:firstColumn="0" w:lastColumn="0" w:oddVBand="0" w:evenVBand="0" w:oddHBand="0" w:evenHBand="0" w:firstRowFirstColumn="0" w:firstRowLastColumn="0" w:lastRowFirstColumn="0" w:lastRowLastColumn="0"/>
            </w:pPr>
            <w:r>
              <w:t>–0.23%</w:t>
            </w:r>
          </w:p>
        </w:tc>
        <w:tc>
          <w:tcPr>
            <w:tcW w:w="1134" w:type="dxa"/>
            <w:noWrap/>
          </w:tcPr>
          <w:p w:rsidR="00685E96" w:rsidRPr="00947A55" w:rsidRDefault="00685E96" w:rsidP="00947A55">
            <w:pPr>
              <w:cnfStyle w:val="000000000000" w:firstRow="0" w:lastRow="0" w:firstColumn="0" w:lastColumn="0" w:oddVBand="0" w:evenVBand="0" w:oddHBand="0" w:evenHBand="0" w:firstRowFirstColumn="0" w:firstRowLastColumn="0" w:lastRowFirstColumn="0" w:lastRowLastColumn="0"/>
            </w:pPr>
            <w:r>
              <w:t>–0.23%</w:t>
            </w:r>
          </w:p>
        </w:tc>
      </w:tr>
      <w:tr w:rsidR="00947A55" w:rsidRPr="00947A55"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rsidR="00947A55" w:rsidRPr="00947A55" w:rsidRDefault="00947A55" w:rsidP="00947A55">
            <w:r w:rsidRPr="00947A55">
              <w:t xml:space="preserve">AER draft decision </w:t>
            </w:r>
          </w:p>
        </w:tc>
        <w:tc>
          <w:tcPr>
            <w:tcW w:w="1134" w:type="dxa"/>
            <w:noWrap/>
            <w:hideMark/>
          </w:tcPr>
          <w:p w:rsidR="00947A55" w:rsidRPr="00947A55" w:rsidRDefault="00E348B7" w:rsidP="00947A55">
            <w:pPr>
              <w:cnfStyle w:val="000000010000" w:firstRow="0" w:lastRow="0" w:firstColumn="0" w:lastColumn="0" w:oddVBand="0" w:evenVBand="0" w:oddHBand="0" w:evenHBand="1" w:firstRowFirstColumn="0" w:firstRowLastColumn="0" w:lastRowFirstColumn="0" w:lastRowLastColumn="0"/>
            </w:pPr>
            <w:r>
              <w:t>–</w:t>
            </w:r>
            <w:r w:rsidR="00947A55" w:rsidRPr="00947A55">
              <w:t>21.49%</w:t>
            </w:r>
          </w:p>
        </w:tc>
        <w:tc>
          <w:tcPr>
            <w:tcW w:w="1134" w:type="dxa"/>
            <w:noWrap/>
            <w:hideMark/>
          </w:tcPr>
          <w:p w:rsidR="00947A55" w:rsidRPr="00947A55" w:rsidRDefault="00947A55" w:rsidP="00947A55">
            <w:pPr>
              <w:cnfStyle w:val="000000010000" w:firstRow="0" w:lastRow="0" w:firstColumn="0" w:lastColumn="0" w:oddVBand="0" w:evenVBand="0" w:oddHBand="0" w:evenHBand="1" w:firstRowFirstColumn="0" w:firstRowLastColumn="0" w:lastRowFirstColumn="0" w:lastRowLastColumn="0"/>
            </w:pPr>
            <w:r w:rsidRPr="00947A55">
              <w:t>0.41%</w:t>
            </w:r>
          </w:p>
        </w:tc>
        <w:tc>
          <w:tcPr>
            <w:tcW w:w="1134" w:type="dxa"/>
            <w:noWrap/>
            <w:hideMark/>
          </w:tcPr>
          <w:p w:rsidR="00947A55" w:rsidRPr="00947A55" w:rsidRDefault="00947A55" w:rsidP="00947A55">
            <w:pPr>
              <w:cnfStyle w:val="000000010000" w:firstRow="0" w:lastRow="0" w:firstColumn="0" w:lastColumn="0" w:oddVBand="0" w:evenVBand="0" w:oddHBand="0" w:evenHBand="1" w:firstRowFirstColumn="0" w:firstRowLastColumn="0" w:lastRowFirstColumn="0" w:lastRowLastColumn="0"/>
            </w:pPr>
            <w:r w:rsidRPr="00947A55">
              <w:t>0.41%</w:t>
            </w:r>
          </w:p>
        </w:tc>
        <w:tc>
          <w:tcPr>
            <w:tcW w:w="1134" w:type="dxa"/>
            <w:noWrap/>
            <w:hideMark/>
          </w:tcPr>
          <w:p w:rsidR="00947A55" w:rsidRPr="00947A55" w:rsidRDefault="00947A55" w:rsidP="00947A55">
            <w:pPr>
              <w:cnfStyle w:val="000000010000" w:firstRow="0" w:lastRow="0" w:firstColumn="0" w:lastColumn="0" w:oddVBand="0" w:evenVBand="0" w:oddHBand="0" w:evenHBand="1" w:firstRowFirstColumn="0" w:firstRowLastColumn="0" w:lastRowFirstColumn="0" w:lastRowLastColumn="0"/>
            </w:pPr>
            <w:r w:rsidRPr="00947A55">
              <w:t>0.41%</w:t>
            </w:r>
          </w:p>
        </w:tc>
        <w:tc>
          <w:tcPr>
            <w:tcW w:w="1134" w:type="dxa"/>
            <w:noWrap/>
            <w:hideMark/>
          </w:tcPr>
          <w:p w:rsidR="00947A55" w:rsidRPr="00947A55" w:rsidRDefault="00947A55" w:rsidP="00947A55">
            <w:pPr>
              <w:cnfStyle w:val="000000010000" w:firstRow="0" w:lastRow="0" w:firstColumn="0" w:lastColumn="0" w:oddVBand="0" w:evenVBand="0" w:oddHBand="0" w:evenHBand="1" w:firstRowFirstColumn="0" w:firstRowLastColumn="0" w:lastRowFirstColumn="0" w:lastRowLastColumn="0"/>
            </w:pPr>
            <w:r w:rsidRPr="00947A55">
              <w:t>0.41%</w:t>
            </w:r>
          </w:p>
        </w:tc>
      </w:tr>
      <w:tr w:rsidR="008132C8" w:rsidRPr="00947A55" w:rsidTr="006D4F27">
        <w:trPr>
          <w:trHeight w:val="300"/>
        </w:trPr>
        <w:tc>
          <w:tcPr>
            <w:cnfStyle w:val="001000000000" w:firstRow="0" w:lastRow="0" w:firstColumn="1" w:lastColumn="0" w:oddVBand="0" w:evenVBand="0" w:oddHBand="0" w:evenHBand="0" w:firstRowFirstColumn="0" w:firstRowLastColumn="0" w:lastRowFirstColumn="0" w:lastRowLastColumn="0"/>
            <w:tcW w:w="2943" w:type="dxa"/>
            <w:shd w:val="clear" w:color="auto" w:fill="auto"/>
            <w:noWrap/>
            <w:hideMark/>
          </w:tcPr>
          <w:p w:rsidR="008132C8" w:rsidRPr="008132C8" w:rsidRDefault="008132C8" w:rsidP="008132C8">
            <w:r w:rsidRPr="008132C8">
              <w:t>JGN revised proposal</w:t>
            </w:r>
          </w:p>
        </w:tc>
        <w:tc>
          <w:tcPr>
            <w:tcW w:w="1134" w:type="dxa"/>
            <w:shd w:val="clear" w:color="auto" w:fill="auto"/>
            <w:noWrap/>
          </w:tcPr>
          <w:p w:rsidR="008132C8" w:rsidRPr="008132C8" w:rsidRDefault="00C07523" w:rsidP="008132C8">
            <w:pPr>
              <w:cnfStyle w:val="000000000000" w:firstRow="0" w:lastRow="0" w:firstColumn="0" w:lastColumn="0" w:oddVBand="0" w:evenVBand="0" w:oddHBand="0" w:evenHBand="0" w:firstRowFirstColumn="0" w:firstRowLastColumn="0" w:lastRowFirstColumn="0" w:lastRowLastColumn="0"/>
            </w:pPr>
            <w:r>
              <w:t>–</w:t>
            </w:r>
            <w:r w:rsidR="008132C8" w:rsidRPr="008132C8">
              <w:t>4.12%</w:t>
            </w:r>
          </w:p>
        </w:tc>
        <w:tc>
          <w:tcPr>
            <w:tcW w:w="1134" w:type="dxa"/>
            <w:shd w:val="clear" w:color="auto" w:fill="auto"/>
            <w:noWrap/>
          </w:tcPr>
          <w:p w:rsidR="008132C8" w:rsidRPr="008132C8" w:rsidRDefault="00C07523" w:rsidP="008132C8">
            <w:pPr>
              <w:cnfStyle w:val="000000000000" w:firstRow="0" w:lastRow="0" w:firstColumn="0" w:lastColumn="0" w:oddVBand="0" w:evenVBand="0" w:oddHBand="0" w:evenHBand="0" w:firstRowFirstColumn="0" w:firstRowLastColumn="0" w:lastRowFirstColumn="0" w:lastRowLastColumn="0"/>
            </w:pPr>
            <w:r>
              <w:t>–</w:t>
            </w:r>
            <w:r w:rsidR="008132C8" w:rsidRPr="008132C8">
              <w:t>5.93%</w:t>
            </w:r>
          </w:p>
        </w:tc>
        <w:tc>
          <w:tcPr>
            <w:tcW w:w="1134" w:type="dxa"/>
            <w:shd w:val="clear" w:color="auto" w:fill="auto"/>
            <w:noWrap/>
          </w:tcPr>
          <w:p w:rsidR="008132C8" w:rsidRPr="008132C8" w:rsidRDefault="00C07523" w:rsidP="008132C8">
            <w:pPr>
              <w:cnfStyle w:val="000000000000" w:firstRow="0" w:lastRow="0" w:firstColumn="0" w:lastColumn="0" w:oddVBand="0" w:evenVBand="0" w:oddHBand="0" w:evenHBand="0" w:firstRowFirstColumn="0" w:firstRowLastColumn="0" w:lastRowFirstColumn="0" w:lastRowLastColumn="0"/>
            </w:pPr>
            <w:r>
              <w:t>–</w:t>
            </w:r>
            <w:r w:rsidR="008132C8" w:rsidRPr="008132C8">
              <w:t>5.93%</w:t>
            </w:r>
          </w:p>
        </w:tc>
        <w:tc>
          <w:tcPr>
            <w:tcW w:w="1134" w:type="dxa"/>
            <w:shd w:val="clear" w:color="auto" w:fill="auto"/>
            <w:noWrap/>
          </w:tcPr>
          <w:p w:rsidR="008132C8" w:rsidRPr="008132C8" w:rsidRDefault="00C07523" w:rsidP="008132C8">
            <w:pPr>
              <w:cnfStyle w:val="000000000000" w:firstRow="0" w:lastRow="0" w:firstColumn="0" w:lastColumn="0" w:oddVBand="0" w:evenVBand="0" w:oddHBand="0" w:evenHBand="0" w:firstRowFirstColumn="0" w:firstRowLastColumn="0" w:lastRowFirstColumn="0" w:lastRowLastColumn="0"/>
            </w:pPr>
            <w:r>
              <w:t>–</w:t>
            </w:r>
            <w:r w:rsidR="008132C8" w:rsidRPr="008132C8">
              <w:t>5.93%</w:t>
            </w:r>
          </w:p>
        </w:tc>
        <w:tc>
          <w:tcPr>
            <w:tcW w:w="1134" w:type="dxa"/>
            <w:shd w:val="clear" w:color="auto" w:fill="auto"/>
            <w:noWrap/>
          </w:tcPr>
          <w:p w:rsidR="008132C8" w:rsidRPr="008132C8" w:rsidRDefault="008132C8" w:rsidP="008132C8">
            <w:pPr>
              <w:cnfStyle w:val="000000000000" w:firstRow="0" w:lastRow="0" w:firstColumn="0" w:lastColumn="0" w:oddVBand="0" w:evenVBand="0" w:oddHBand="0" w:evenHBand="0" w:firstRowFirstColumn="0" w:firstRowLastColumn="0" w:lastRowFirstColumn="0" w:lastRowLastColumn="0"/>
            </w:pPr>
            <w:r w:rsidRPr="008132C8">
              <w:t>4.44%</w:t>
            </w:r>
          </w:p>
        </w:tc>
      </w:tr>
      <w:tr w:rsidR="00A073F1" w:rsidRPr="00947A55"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rsidR="00A073F1" w:rsidRPr="00A073F1" w:rsidRDefault="00A073F1" w:rsidP="00A073F1">
            <w:r w:rsidRPr="00A073F1">
              <w:t>AER final decision</w:t>
            </w:r>
          </w:p>
        </w:tc>
        <w:tc>
          <w:tcPr>
            <w:tcW w:w="1134" w:type="dxa"/>
            <w:noWrap/>
          </w:tcPr>
          <w:p w:rsidR="00A073F1" w:rsidRPr="00A073F1" w:rsidRDefault="00C07523" w:rsidP="00A073F1">
            <w:pPr>
              <w:cnfStyle w:val="000000010000" w:firstRow="0" w:lastRow="0" w:firstColumn="0" w:lastColumn="0" w:oddVBand="0" w:evenVBand="0" w:oddHBand="0" w:evenHBand="1" w:firstRowFirstColumn="0" w:firstRowLastColumn="0" w:lastRowFirstColumn="0" w:lastRowLastColumn="0"/>
            </w:pPr>
            <w:r>
              <w:t>–</w:t>
            </w:r>
            <w:r w:rsidR="00A073F1" w:rsidRPr="00A073F1">
              <w:t>18.40%</w:t>
            </w:r>
          </w:p>
        </w:tc>
        <w:tc>
          <w:tcPr>
            <w:tcW w:w="1134" w:type="dxa"/>
            <w:noWrap/>
          </w:tcPr>
          <w:p w:rsidR="00A073F1" w:rsidRPr="00A073F1" w:rsidRDefault="00C07523" w:rsidP="007C38E4">
            <w:pPr>
              <w:cnfStyle w:val="000000010000" w:firstRow="0" w:lastRow="0" w:firstColumn="0" w:lastColumn="0" w:oddVBand="0" w:evenVBand="0" w:oddHBand="0" w:evenHBand="1" w:firstRowFirstColumn="0" w:firstRowLastColumn="0" w:lastRowFirstColumn="0" w:lastRowLastColumn="0"/>
            </w:pPr>
            <w:r>
              <w:t>–</w:t>
            </w:r>
            <w:r w:rsidR="00A073F1" w:rsidRPr="00A073F1">
              <w:t>9.7</w:t>
            </w:r>
            <w:r w:rsidR="007C38E4">
              <w:t>6</w:t>
            </w:r>
            <w:r w:rsidR="00A073F1" w:rsidRPr="00A073F1">
              <w:t>%</w:t>
            </w:r>
          </w:p>
        </w:tc>
        <w:tc>
          <w:tcPr>
            <w:tcW w:w="1134" w:type="dxa"/>
            <w:noWrap/>
          </w:tcPr>
          <w:p w:rsidR="00A073F1" w:rsidRPr="00A073F1" w:rsidRDefault="00C07523" w:rsidP="00A073F1">
            <w:pPr>
              <w:cnfStyle w:val="000000010000" w:firstRow="0" w:lastRow="0" w:firstColumn="0" w:lastColumn="0" w:oddVBand="0" w:evenVBand="0" w:oddHBand="0" w:evenHBand="1" w:firstRowFirstColumn="0" w:firstRowLastColumn="0" w:lastRowFirstColumn="0" w:lastRowLastColumn="0"/>
            </w:pPr>
            <w:r>
              <w:t>–</w:t>
            </w:r>
            <w:r w:rsidR="00A073F1" w:rsidRPr="00A073F1">
              <w:t>4.63%</w:t>
            </w:r>
          </w:p>
        </w:tc>
        <w:tc>
          <w:tcPr>
            <w:tcW w:w="1134" w:type="dxa"/>
            <w:noWrap/>
          </w:tcPr>
          <w:p w:rsidR="00A073F1" w:rsidRPr="00A073F1" w:rsidRDefault="00C07523" w:rsidP="007C38E4">
            <w:pPr>
              <w:cnfStyle w:val="000000010000" w:firstRow="0" w:lastRow="0" w:firstColumn="0" w:lastColumn="0" w:oddVBand="0" w:evenVBand="0" w:oddHBand="0" w:evenHBand="1" w:firstRowFirstColumn="0" w:firstRowLastColumn="0" w:lastRowFirstColumn="0" w:lastRowLastColumn="0"/>
            </w:pPr>
            <w:r>
              <w:t>–</w:t>
            </w:r>
            <w:r w:rsidR="00A073F1" w:rsidRPr="00A073F1">
              <w:t>2.</w:t>
            </w:r>
            <w:r w:rsidR="007C38E4">
              <w:t>47</w:t>
            </w:r>
            <w:r w:rsidR="00A073F1" w:rsidRPr="00A073F1">
              <w:t>%</w:t>
            </w:r>
          </w:p>
        </w:tc>
        <w:tc>
          <w:tcPr>
            <w:tcW w:w="1134" w:type="dxa"/>
            <w:noWrap/>
          </w:tcPr>
          <w:p w:rsidR="00A073F1" w:rsidRPr="00A073F1" w:rsidRDefault="00A073F1" w:rsidP="00A073F1">
            <w:pPr>
              <w:cnfStyle w:val="000000010000" w:firstRow="0" w:lastRow="0" w:firstColumn="0" w:lastColumn="0" w:oddVBand="0" w:evenVBand="0" w:oddHBand="0" w:evenHBand="1" w:firstRowFirstColumn="0" w:firstRowLastColumn="0" w:lastRowFirstColumn="0" w:lastRowLastColumn="0"/>
            </w:pPr>
            <w:r w:rsidRPr="00A073F1">
              <w:t>2.55%</w:t>
            </w:r>
          </w:p>
        </w:tc>
      </w:tr>
    </w:tbl>
    <w:p w:rsidR="001077E3" w:rsidRPr="001077E3" w:rsidRDefault="001077E3" w:rsidP="001077E3">
      <w:pPr>
        <w:pStyle w:val="AERtablesource"/>
      </w:pPr>
      <w:r w:rsidRPr="001077E3">
        <w:t xml:space="preserve">Source: </w:t>
      </w:r>
      <w:r>
        <w:tab/>
      </w:r>
      <w:r w:rsidRPr="001077E3">
        <w:t>AER analysis</w:t>
      </w:r>
      <w:r w:rsidR="005F49EE">
        <w:t xml:space="preserve">, </w:t>
      </w:r>
      <w:r w:rsidR="005F49EE" w:rsidRPr="00C43639">
        <w:t xml:space="preserve">JGN, </w:t>
      </w:r>
      <w:r w:rsidR="005F49EE" w:rsidRPr="00B642F3">
        <w:rPr>
          <w:rStyle w:val="AERtextitalic"/>
        </w:rPr>
        <w:t xml:space="preserve">Submissions on draft decision, </w:t>
      </w:r>
      <w:r w:rsidR="005F49EE" w:rsidRPr="00C43639">
        <w:rPr>
          <w:rStyle w:val="AERtextitalic"/>
        </w:rPr>
        <w:t>Attachment N - updated appendix 10.1 - JGN revenue forecast model</w:t>
      </w:r>
      <w:r w:rsidR="005F49EE" w:rsidRPr="00C43639">
        <w:t>, 27 March 2015</w:t>
      </w:r>
      <w:r w:rsidR="005F49EE">
        <w:t>.</w:t>
      </w:r>
    </w:p>
    <w:p w:rsidR="001077E3" w:rsidRPr="001077E3" w:rsidRDefault="001077E3" w:rsidP="001077E3">
      <w:pPr>
        <w:pStyle w:val="AERtablesource"/>
      </w:pPr>
      <w:r w:rsidRPr="001077E3">
        <w:t xml:space="preserve">a </w:t>
      </w:r>
      <w:r>
        <w:tab/>
      </w:r>
      <w:r w:rsidRPr="001077E3">
        <w:t xml:space="preserve">Under the CPI–X form of control, a positive X factor is a decrease in price (and therefore revenue). For example, an X factor of </w:t>
      </w:r>
      <w:r w:rsidR="00947A55">
        <w:t>1</w:t>
      </w:r>
      <w:r w:rsidR="00C07523">
        <w:t>2</w:t>
      </w:r>
      <w:r w:rsidR="003A0BA7">
        <w:t>.00</w:t>
      </w:r>
      <w:r w:rsidRPr="001077E3">
        <w:t xml:space="preserve"> per cent in 2016–17 means a real price decrease of </w:t>
      </w:r>
      <w:r w:rsidR="00947A55">
        <w:t>1</w:t>
      </w:r>
      <w:r w:rsidR="00C07523">
        <w:t>2</w:t>
      </w:r>
      <w:r w:rsidR="003A0BA7">
        <w:t>.00</w:t>
      </w:r>
      <w:r w:rsidR="00947A55">
        <w:t xml:space="preserve"> </w:t>
      </w:r>
      <w:r w:rsidRPr="001077E3">
        <w:t xml:space="preserve">per cent that year. After consideration of inflation (estimated at 2.55 per cent) this becomes a nominal price decrease of </w:t>
      </w:r>
      <w:r w:rsidR="00CD1A33">
        <w:t>9.76 </w:t>
      </w:r>
      <w:r w:rsidRPr="001077E3">
        <w:t>per cent.</w:t>
      </w:r>
      <w:r w:rsidR="00E348B7">
        <w:t xml:space="preserve"> The mathematical formula for a nominal price change under the CPI–X form of control is </w:t>
      </w:r>
      <w:r w:rsidR="00E348B7">
        <w:br/>
        <w:t>[(1+CPI)*(1–X factor)] – 1.</w:t>
      </w:r>
    </w:p>
    <w:p w:rsidR="001077E3" w:rsidRPr="001077E3" w:rsidRDefault="001077E3" w:rsidP="001077E3">
      <w:pPr>
        <w:pStyle w:val="AERtablesource"/>
      </w:pPr>
      <w:r w:rsidRPr="001077E3">
        <w:t xml:space="preserve">b </w:t>
      </w:r>
      <w:r>
        <w:tab/>
      </w:r>
      <w:r w:rsidRPr="001077E3">
        <w:t xml:space="preserve">The X factor for 2015–16 is indicative only; the </w:t>
      </w:r>
      <w:r w:rsidR="009037A2">
        <w:t>final</w:t>
      </w:r>
      <w:r w:rsidR="009037A2" w:rsidRPr="001077E3">
        <w:t xml:space="preserve"> </w:t>
      </w:r>
      <w:r w:rsidRPr="001077E3">
        <w:t>decision establishes 2015–16 tariffs directly, rather than referencing a change from 2014–15 tariffs.</w:t>
      </w:r>
    </w:p>
    <w:p w:rsidR="001077E3" w:rsidRPr="001077E3" w:rsidRDefault="001077E3" w:rsidP="001077E3">
      <w:r w:rsidRPr="001077E3">
        <w:t>In broad terms, JGN’s revised proposal was for tariff decreases for the first four years of the period, with a small tariff increase in year</w:t>
      </w:r>
      <w:r w:rsidR="00E348B7">
        <w:t xml:space="preserve"> five</w:t>
      </w:r>
      <w:r w:rsidRPr="001077E3">
        <w:t>.</w:t>
      </w:r>
      <w:r>
        <w:rPr>
          <w:rStyle w:val="FootnoteReference"/>
        </w:rPr>
        <w:footnoteReference w:id="38"/>
      </w:r>
      <w:r w:rsidRPr="001077E3">
        <w:t xml:space="preserve"> The largest tariff decreases were targeted to the three middle years of the five year period, in order to offset predicted increases in the wholesale gas prices in those years. Since the unsmoothed building block costs are generally increasing across the period, such a tariff path meant that JGN would over-recover revenue in the earlier years and then under-recover in later years of the 2015–20 access arrangement period.</w:t>
      </w:r>
      <w:r>
        <w:rPr>
          <w:rStyle w:val="FootnoteReference"/>
        </w:rPr>
        <w:footnoteReference w:id="39"/>
      </w:r>
    </w:p>
    <w:p w:rsidR="001077E3" w:rsidRPr="001077E3" w:rsidRDefault="001077E3" w:rsidP="001077E3">
      <w:r w:rsidRPr="001077E3">
        <w:t xml:space="preserve">Our final decision tariff path produces lower total smoothed revenue than JGN’s proposal, in line with our reductions to total unsmoothed revenue. This tariff path maintains tariff decreases in the first four years, as </w:t>
      </w:r>
      <w:r w:rsidR="00F54867">
        <w:t>did</w:t>
      </w:r>
      <w:r w:rsidR="00F54867" w:rsidRPr="001077E3">
        <w:t xml:space="preserve"> </w:t>
      </w:r>
      <w:r w:rsidRPr="001077E3">
        <w:t xml:space="preserve">JGN’s </w:t>
      </w:r>
      <w:r w:rsidR="00BD6BE8">
        <w:t xml:space="preserve">revised </w:t>
      </w:r>
      <w:r w:rsidRPr="001077E3">
        <w:t xml:space="preserve">proposal, but the decreases are larger in the earlier years of the period. In year five, tariffs </w:t>
      </w:r>
      <w:r w:rsidR="0046096F">
        <w:t>increase slightly in nominal terms</w:t>
      </w:r>
      <w:r w:rsidR="00BD6BE8">
        <w:t xml:space="preserve">, </w:t>
      </w:r>
      <w:r w:rsidR="0046096F">
        <w:t xml:space="preserve">though at a smaller rate than </w:t>
      </w:r>
      <w:r w:rsidR="00BD6BE8">
        <w:t>under JGN's revised proposal</w:t>
      </w:r>
      <w:r w:rsidRPr="001077E3">
        <w:t>.</w:t>
      </w:r>
    </w:p>
    <w:p w:rsidR="001077E3" w:rsidRPr="001077E3" w:rsidRDefault="00BD6BE8" w:rsidP="001077E3">
      <w:r>
        <w:fldChar w:fldCharType="begin"/>
      </w:r>
      <w:r>
        <w:instrText xml:space="preserve"> REF _Ref419448461 \h </w:instrText>
      </w:r>
      <w:r>
        <w:fldChar w:fldCharType="separate"/>
      </w:r>
      <w:r w:rsidR="009037A2">
        <w:t xml:space="preserve">Figure </w:t>
      </w:r>
      <w:r w:rsidR="009037A2">
        <w:rPr>
          <w:noProof/>
        </w:rPr>
        <w:t>6</w:t>
      </w:r>
      <w:r>
        <w:fldChar w:fldCharType="end"/>
      </w:r>
      <w:r>
        <w:t xml:space="preserve"> </w:t>
      </w:r>
      <w:r w:rsidR="00E348B7">
        <w:t>sets out</w:t>
      </w:r>
      <w:r w:rsidR="001077E3" w:rsidRPr="001077E3">
        <w:t xml:space="preserve"> a nominal index that shows indicative changes in JGN's distribution charges across the 2010–20 period. This index is calculated using the approved X</w:t>
      </w:r>
      <w:r w:rsidR="009037A2">
        <w:t> </w:t>
      </w:r>
      <w:r w:rsidR="001077E3" w:rsidRPr="001077E3">
        <w:t>factors from JGN's 2010–15 access arrangement, and then for 2015–20</w:t>
      </w:r>
      <w:r w:rsidR="00784189">
        <w:t xml:space="preserve"> the X</w:t>
      </w:r>
      <w:r w:rsidR="009037A2">
        <w:t> </w:t>
      </w:r>
      <w:r w:rsidR="00784189">
        <w:t>factors from</w:t>
      </w:r>
      <w:r>
        <w:t xml:space="preserve"> </w:t>
      </w:r>
      <w:r w:rsidR="0046096F">
        <w:t xml:space="preserve">different </w:t>
      </w:r>
      <w:r>
        <w:t>sources</w:t>
      </w:r>
      <w:r w:rsidR="001077E3" w:rsidRPr="001077E3">
        <w:t>:</w:t>
      </w:r>
      <w:r w:rsidR="001077E3">
        <w:rPr>
          <w:rStyle w:val="FootnoteReference"/>
        </w:rPr>
        <w:footnoteReference w:id="40"/>
      </w:r>
    </w:p>
    <w:p w:rsidR="0046096F" w:rsidRDefault="0046096F" w:rsidP="00784189">
      <w:pPr>
        <w:pStyle w:val="AERbulletlistfirststyle"/>
      </w:pPr>
      <w:r>
        <w:t>JGN's proposal and revised proposal</w:t>
      </w:r>
    </w:p>
    <w:p w:rsidR="001077E3" w:rsidRPr="001077E3" w:rsidRDefault="00784189" w:rsidP="00784189">
      <w:pPr>
        <w:pStyle w:val="AERbulletlistfirststyle"/>
      </w:pPr>
      <w:r>
        <w:t xml:space="preserve">the </w:t>
      </w:r>
      <w:r w:rsidR="001077E3" w:rsidRPr="001077E3">
        <w:t>AER</w:t>
      </w:r>
      <w:r>
        <w:t>'s</w:t>
      </w:r>
      <w:r w:rsidR="001077E3" w:rsidRPr="001077E3">
        <w:t xml:space="preserve"> draft decision</w:t>
      </w:r>
      <w:r w:rsidR="0046096F">
        <w:t xml:space="preserve"> and final decision.</w:t>
      </w:r>
    </w:p>
    <w:p w:rsidR="001077E3" w:rsidRPr="001077E3" w:rsidRDefault="001077E3" w:rsidP="001077E3">
      <w:r w:rsidRPr="001077E3">
        <w:t xml:space="preserve">This provides a broad overall indication of the average </w:t>
      </w:r>
      <w:r w:rsidR="00E348B7">
        <w:t>tariff path</w:t>
      </w:r>
      <w:r w:rsidRPr="001077E3">
        <w:t xml:space="preserve"> across this period.</w:t>
      </w:r>
    </w:p>
    <w:p w:rsidR="00BD6BE8" w:rsidRDefault="00BD6BE8" w:rsidP="00BD6BE8">
      <w:pPr>
        <w:pStyle w:val="Caption"/>
      </w:pPr>
      <w:bookmarkStart w:id="77" w:name="_Ref419448461"/>
      <w:r>
        <w:t xml:space="preserve">Figure </w:t>
      </w:r>
      <w:fldSimple w:instr=" SEQ Figure \* ARABIC ">
        <w:r w:rsidR="009037A2">
          <w:rPr>
            <w:noProof/>
          </w:rPr>
          <w:t>6</w:t>
        </w:r>
      </w:fldSimple>
      <w:bookmarkEnd w:id="77"/>
      <w:r>
        <w:tab/>
        <w:t>Indicative reference tariff paths for JGN's reference services from 2010 to 2020 (nominal index)</w:t>
      </w:r>
    </w:p>
    <w:p w:rsidR="00AE3B90" w:rsidRDefault="004842D3" w:rsidP="007F1411">
      <w:r>
        <w:rPr>
          <w:noProof/>
          <w:lang w:eastAsia="en-AU"/>
        </w:rPr>
        <w:drawing>
          <wp:inline distT="0" distB="0" distL="0" distR="0" wp14:anchorId="041D8DB0" wp14:editId="7CD14DAF">
            <wp:extent cx="5212715" cy="3243580"/>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2715" cy="3243580"/>
                    </a:xfrm>
                    <a:prstGeom prst="rect">
                      <a:avLst/>
                    </a:prstGeom>
                    <a:noFill/>
                  </pic:spPr>
                </pic:pic>
              </a:graphicData>
            </a:graphic>
          </wp:inline>
        </w:drawing>
      </w:r>
    </w:p>
    <w:p w:rsidR="00BD6BE8" w:rsidRDefault="00BD6BE8" w:rsidP="00BD6BE8">
      <w:pPr>
        <w:pStyle w:val="AERtablesource"/>
      </w:pPr>
      <w:r>
        <w:t>Source:</w:t>
      </w:r>
      <w:r>
        <w:tab/>
      </w:r>
      <w:r w:rsidRPr="00BD6BE8">
        <w:t xml:space="preserve">AER analysis, </w:t>
      </w:r>
      <w:r w:rsidR="005F49EE" w:rsidRPr="00C43639">
        <w:t xml:space="preserve">JGN, </w:t>
      </w:r>
      <w:r w:rsidR="005F49EE" w:rsidRPr="00B642F3">
        <w:rPr>
          <w:rStyle w:val="AERtextitalic"/>
        </w:rPr>
        <w:t xml:space="preserve">Submissions on draft decision, </w:t>
      </w:r>
      <w:r w:rsidR="005F49EE" w:rsidRPr="00C43639">
        <w:rPr>
          <w:rStyle w:val="AERtextitalic"/>
        </w:rPr>
        <w:t>Attachment N - updated appendix 10.1 - JGN revenue forecast model</w:t>
      </w:r>
      <w:r w:rsidR="005F49EE" w:rsidRPr="00C43639">
        <w:t>, 27 March 2015</w:t>
      </w:r>
      <w:r>
        <w:t>;</w:t>
      </w:r>
      <w:r w:rsidRPr="00BD6BE8">
        <w:t xml:space="preserve"> AER, </w:t>
      </w:r>
      <w:r w:rsidRPr="00BD6BE8">
        <w:rPr>
          <w:rStyle w:val="AERtextitalic"/>
        </w:rPr>
        <w:t xml:space="preserve">Access arrangement information for JGN's </w:t>
      </w:r>
      <w:r w:rsidR="006D4F27">
        <w:rPr>
          <w:rStyle w:val="AERtextitalic"/>
        </w:rPr>
        <w:t xml:space="preserve">NSW </w:t>
      </w:r>
      <w:r w:rsidRPr="00BD6BE8">
        <w:rPr>
          <w:rStyle w:val="AERtextitalic"/>
        </w:rPr>
        <w:t>gas distribution net</w:t>
      </w:r>
      <w:r w:rsidR="006D4F27">
        <w:rPr>
          <w:rStyle w:val="AERtextitalic"/>
        </w:rPr>
        <w:t>-</w:t>
      </w:r>
      <w:r w:rsidRPr="00BD6BE8">
        <w:rPr>
          <w:rStyle w:val="AERtextitalic"/>
        </w:rPr>
        <w:t>works, 2010–2015, Further amended with regard to mine subsidence expenditure</w:t>
      </w:r>
      <w:r w:rsidRPr="00BD6BE8">
        <w:t>, September 2011, p.</w:t>
      </w:r>
      <w:r w:rsidR="006D4F27">
        <w:t> </w:t>
      </w:r>
      <w:r w:rsidRPr="00BD6BE8">
        <w:t>26.</w:t>
      </w:r>
    </w:p>
    <w:p w:rsidR="001077E3" w:rsidRPr="001077E3" w:rsidRDefault="001077E3" w:rsidP="00BD6BE8">
      <w:r w:rsidRPr="001077E3">
        <w:t>We are satisfied that our final decision tariff path for JGN's 2015–20 access arrangement period achieves revenue equalisation as required by rule 92(2) of the NGR. It reflects our balanced consideration of a number of competing objectives, because the tariff path:</w:t>
      </w:r>
    </w:p>
    <w:p w:rsidR="001077E3" w:rsidRPr="001077E3" w:rsidRDefault="00383D4A" w:rsidP="00784189">
      <w:pPr>
        <w:pStyle w:val="AERbulletlistfirststyle"/>
      </w:pPr>
      <w:r>
        <w:t>A</w:t>
      </w:r>
      <w:r w:rsidR="001077E3" w:rsidRPr="001077E3">
        <w:t>djusts smoothed revenue downward in the first few years of the access arrangement period, to better reflect the unsmoothed building block costs. Closer alignment of tariffs and costs aids the achievement of the NGO and the revenue and pricing principles, including through providing a price signal that facilitates efficient use of natural gas services.</w:t>
      </w:r>
      <w:r w:rsidR="00784189">
        <w:rPr>
          <w:rStyle w:val="FootnoteReference"/>
        </w:rPr>
        <w:footnoteReference w:id="41"/>
      </w:r>
      <w:r w:rsidR="001077E3" w:rsidRPr="001077E3">
        <w:t xml:space="preserve"> </w:t>
      </w:r>
    </w:p>
    <w:p w:rsidR="001077E3" w:rsidRPr="001077E3" w:rsidRDefault="00383D4A" w:rsidP="00784189">
      <w:pPr>
        <w:pStyle w:val="AERbulletlistfirststyle"/>
      </w:pPr>
      <w:r>
        <w:t>R</w:t>
      </w:r>
      <w:r w:rsidR="001077E3" w:rsidRPr="001077E3">
        <w:t>etains significant decreases in the middle years of the access arrangement</w:t>
      </w:r>
      <w:r>
        <w:t xml:space="preserve"> period</w:t>
      </w:r>
      <w:r w:rsidR="001077E3" w:rsidRPr="001077E3">
        <w:t xml:space="preserve"> to mitigate forecast increases in the wholesale gas prices in these years.</w:t>
      </w:r>
      <w:r w:rsidR="00784189">
        <w:rPr>
          <w:rStyle w:val="FootnoteReference"/>
        </w:rPr>
        <w:footnoteReference w:id="42"/>
      </w:r>
      <w:r w:rsidR="001077E3" w:rsidRPr="001077E3">
        <w:t xml:space="preserve"> This means there will be less movement in final retail prices (which reflect the net impact of decreases to distribution tariffs and increases in wholesale gas prices) in keeping with the customer preferences expressed in JGN’s revised proposal.</w:t>
      </w:r>
    </w:p>
    <w:p w:rsidR="001077E3" w:rsidRPr="001077E3" w:rsidRDefault="00383D4A" w:rsidP="00784189">
      <w:pPr>
        <w:pStyle w:val="AERbulletlistfirststyle"/>
      </w:pPr>
      <w:r>
        <w:t>A</w:t>
      </w:r>
      <w:r w:rsidR="001077E3" w:rsidRPr="001077E3">
        <w:t>ligns</w:t>
      </w:r>
      <w:r>
        <w:t xml:space="preserve"> the</w:t>
      </w:r>
      <w:r w:rsidR="001077E3" w:rsidRPr="001077E3">
        <w:t xml:space="preserve"> final year unsmoothed and smoothed revenue</w:t>
      </w:r>
      <w:r>
        <w:t>s</w:t>
      </w:r>
      <w:r w:rsidR="001077E3" w:rsidRPr="001077E3">
        <w:t>, within 10 per cent. All else</w:t>
      </w:r>
      <w:r>
        <w:t xml:space="preserve"> being</w:t>
      </w:r>
      <w:r w:rsidR="001077E3" w:rsidRPr="001077E3">
        <w:t xml:space="preserve"> equal, this minimises price shocks at the start of the next access arrangement period, an objective endorsed in JGN’s revised proposal as being in customer’s interests</w:t>
      </w:r>
      <w:r w:rsidR="00784189">
        <w:t>.</w:t>
      </w:r>
      <w:r w:rsidR="00784189">
        <w:rPr>
          <w:rStyle w:val="FootnoteReference"/>
        </w:rPr>
        <w:footnoteReference w:id="43"/>
      </w:r>
    </w:p>
    <w:p w:rsidR="001077E3" w:rsidRDefault="00FE673D" w:rsidP="001077E3">
      <w:r>
        <w:t>O</w:t>
      </w:r>
      <w:r w:rsidR="001077E3" w:rsidRPr="001077E3">
        <w:t>ur tariff path retain</w:t>
      </w:r>
      <w:r>
        <w:t>s</w:t>
      </w:r>
      <w:r w:rsidR="001077E3" w:rsidRPr="001077E3">
        <w:t xml:space="preserve"> elements of JGN’s proposed </w:t>
      </w:r>
      <w:r w:rsidR="00383D4A">
        <w:t>tariff</w:t>
      </w:r>
      <w:r w:rsidR="001077E3" w:rsidRPr="001077E3">
        <w:t xml:space="preserve"> path</w:t>
      </w:r>
      <w:r w:rsidR="00C43D34">
        <w:t>:</w:t>
      </w:r>
    </w:p>
    <w:p w:rsidR="00C43D34" w:rsidRDefault="00C43D34" w:rsidP="00C43D34">
      <w:pPr>
        <w:pStyle w:val="AERbulletlistfirststyle"/>
      </w:pPr>
      <w:r w:rsidRPr="00C43D34">
        <w:t xml:space="preserve">We have had regard to JGN’s submission that smoothing should </w:t>
      </w:r>
      <w:r w:rsidR="00FE673D">
        <w:t>take into account</w:t>
      </w:r>
      <w:r w:rsidRPr="00C43D34">
        <w:t xml:space="preserve"> end consumer impact (retail prices).</w:t>
      </w:r>
      <w:r>
        <w:rPr>
          <w:rStyle w:val="FootnoteReference"/>
        </w:rPr>
        <w:footnoteReference w:id="44"/>
      </w:r>
      <w:r w:rsidRPr="00C43D34">
        <w:t xml:space="preserve"> This aligns with our draft decision position that minimising consumer price shocks is desirable.</w:t>
      </w:r>
      <w:r>
        <w:rPr>
          <w:rStyle w:val="FootnoteReference"/>
        </w:rPr>
        <w:footnoteReference w:id="45"/>
      </w:r>
      <w:r w:rsidR="00971287">
        <w:t xml:space="preserve"> We acknowledge</w:t>
      </w:r>
      <w:r w:rsidRPr="00C43D34">
        <w:t xml:space="preserve"> </w:t>
      </w:r>
      <w:r w:rsidR="00971287">
        <w:t xml:space="preserve">the </w:t>
      </w:r>
      <w:r w:rsidRPr="00C43D34">
        <w:t>uncertainty around forecast wholesale gas prices</w:t>
      </w:r>
      <w:r w:rsidR="00971287">
        <w:t xml:space="preserve"> themselves, and their effect on </w:t>
      </w:r>
      <w:r w:rsidRPr="00C43D34">
        <w:t>retail prices.</w:t>
      </w:r>
      <w:r>
        <w:rPr>
          <w:rStyle w:val="FootnoteReference"/>
        </w:rPr>
        <w:footnoteReference w:id="46"/>
      </w:r>
      <w:r w:rsidRPr="00C43D34">
        <w:t xml:space="preserve"> Our final decision price path includes real decreases in the affected years to help mitigate the </w:t>
      </w:r>
      <w:r w:rsidR="00383D4A">
        <w:t xml:space="preserve">expected </w:t>
      </w:r>
      <w:r w:rsidRPr="00C43D34">
        <w:t>impact of wholesal</w:t>
      </w:r>
      <w:r w:rsidR="00971287">
        <w:t>e gas price rises on consumers.</w:t>
      </w:r>
      <w:r w:rsidR="00971287">
        <w:rPr>
          <w:rStyle w:val="FootnoteReference"/>
        </w:rPr>
        <w:footnoteReference w:id="47"/>
      </w:r>
    </w:p>
    <w:p w:rsidR="00971287" w:rsidRDefault="00971287" w:rsidP="00971287">
      <w:pPr>
        <w:pStyle w:val="AERbulletlistfirststyle"/>
      </w:pPr>
      <w:r w:rsidRPr="00971287">
        <w:t>We have had regard to JGN’s submission that we should allow a greater difference between unsmoothed and smoothed revenue in the final year.</w:t>
      </w:r>
      <w:r w:rsidR="007F1411">
        <w:rPr>
          <w:rStyle w:val="FootnoteReference"/>
        </w:rPr>
        <w:footnoteReference w:id="48"/>
      </w:r>
      <w:r w:rsidRPr="00971287">
        <w:t xml:space="preserve"> In JGN’s revised proposal, smo</w:t>
      </w:r>
      <w:r>
        <w:t>othed revenue in 2019–20 was 12 </w:t>
      </w:r>
      <w:r w:rsidRPr="00971287">
        <w:t xml:space="preserve">per cent below the unsmoothed building block requirement for that year. </w:t>
      </w:r>
      <w:r w:rsidR="0046096F">
        <w:t>All else equal, t</w:t>
      </w:r>
      <w:r w:rsidRPr="00971287">
        <w:t>his means tariffs will need to increase at the start of the next access arrangement period. JGN has committed to smoothing th</w:t>
      </w:r>
      <w:r w:rsidR="009240D5">
        <w:t xml:space="preserve">is </w:t>
      </w:r>
      <w:r w:rsidRPr="00971287">
        <w:t xml:space="preserve">increase across the </w:t>
      </w:r>
      <w:r w:rsidR="009240D5">
        <w:t xml:space="preserve">next access arrangement </w:t>
      </w:r>
      <w:r w:rsidRPr="00971287">
        <w:t>period,</w:t>
      </w:r>
      <w:r w:rsidR="007F1411">
        <w:rPr>
          <w:rStyle w:val="FootnoteReference"/>
        </w:rPr>
        <w:footnoteReference w:id="49"/>
      </w:r>
      <w:r w:rsidRPr="00971287">
        <w:t xml:space="preserve"> but the magnitude of the required </w:t>
      </w:r>
      <w:r w:rsidR="00C3659A">
        <w:t>increases</w:t>
      </w:r>
      <w:r w:rsidR="009240D5">
        <w:t xml:space="preserve"> </w:t>
      </w:r>
      <w:r w:rsidRPr="00971287">
        <w:t>is still of concern.</w:t>
      </w:r>
      <w:r>
        <w:rPr>
          <w:rStyle w:val="FootnoteReference"/>
        </w:rPr>
        <w:footnoteReference w:id="50"/>
      </w:r>
      <w:r w:rsidRPr="00971287">
        <w:t xml:space="preserve"> On balance, our final decision constrains the difference between unsmoothed and smoothed </w:t>
      </w:r>
      <w:r w:rsidR="007F1411">
        <w:t>2019–20 revenue</w:t>
      </w:r>
      <w:r w:rsidR="009240D5">
        <w:t>s</w:t>
      </w:r>
      <w:r w:rsidR="007F1411">
        <w:t xml:space="preserve"> to be within 10 </w:t>
      </w:r>
      <w:r w:rsidRPr="00971287">
        <w:t>per cent.</w:t>
      </w:r>
      <w:r>
        <w:rPr>
          <w:rStyle w:val="FootnoteReference"/>
        </w:rPr>
        <w:footnoteReference w:id="51"/>
      </w:r>
    </w:p>
    <w:p w:rsidR="00011C7C" w:rsidRDefault="00011C7C" w:rsidP="00011C7C">
      <w:pPr>
        <w:pStyle w:val="Heading2"/>
      </w:pPr>
      <w:bookmarkStart w:id="78" w:name="_Ref419734802"/>
      <w:bookmarkStart w:id="79" w:name="_Toc419895021"/>
      <w:r>
        <w:t>Indicative impact of distribution charges on annual gas bills</w:t>
      </w:r>
      <w:bookmarkEnd w:id="78"/>
      <w:bookmarkEnd w:id="79"/>
    </w:p>
    <w:p w:rsidR="00011C7C" w:rsidRDefault="00011C7C" w:rsidP="00011C7C">
      <w:r w:rsidRPr="00011C7C">
        <w:t xml:space="preserve">Distribution charges are just one component of the customer's annual gas bill, which also includes wholesale, transmission and retail </w:t>
      </w:r>
      <w:r w:rsidR="00BC3F1E">
        <w:t>charges.</w:t>
      </w:r>
    </w:p>
    <w:p w:rsidR="00234DBB" w:rsidRDefault="00011C7C" w:rsidP="00011C7C">
      <w:r w:rsidRPr="00011C7C">
        <w:t xml:space="preserve">To estimate the effect of our </w:t>
      </w:r>
      <w:r>
        <w:t>final</w:t>
      </w:r>
      <w:r w:rsidRPr="00011C7C">
        <w:t xml:space="preserve"> decision on annual gas bills, we begin with the </w:t>
      </w:r>
      <w:r w:rsidR="009240D5">
        <w:t xml:space="preserve">determined </w:t>
      </w:r>
      <w:r w:rsidRPr="00011C7C">
        <w:t>weighted average price change (X factors), which provides the indicative change in distribution charges.</w:t>
      </w:r>
      <w:r w:rsidR="00556470">
        <w:rPr>
          <w:rStyle w:val="FootnoteReference"/>
        </w:rPr>
        <w:footnoteReference w:id="52"/>
      </w:r>
      <w:r w:rsidRPr="00011C7C">
        <w:t xml:space="preserve"> For customers on JGN's network, distribution charges account for approximately 50 per cent of the annual gas bill.</w:t>
      </w:r>
      <w:r>
        <w:rPr>
          <w:rStyle w:val="FootnoteReference"/>
        </w:rPr>
        <w:footnoteReference w:id="53"/>
      </w:r>
      <w:r w:rsidRPr="00011C7C">
        <w:t xml:space="preserve"> To calculate the impact of our </w:t>
      </w:r>
      <w:r w:rsidR="00D53BF2">
        <w:t>final</w:t>
      </w:r>
      <w:r w:rsidRPr="00011C7C">
        <w:t xml:space="preserve"> decision on customers' </w:t>
      </w:r>
      <w:r w:rsidR="00781281">
        <w:t xml:space="preserve">gas </w:t>
      </w:r>
      <w:r w:rsidRPr="00011C7C">
        <w:t>bills we assume that our changes to distribution charges are passed through to customers.</w:t>
      </w:r>
      <w:r w:rsidR="00AC74BB">
        <w:t xml:space="preserve"> </w:t>
      </w:r>
      <w:r w:rsidR="00234DBB">
        <w:t xml:space="preserve">In section </w:t>
      </w:r>
      <w:r w:rsidR="00234DBB">
        <w:fldChar w:fldCharType="begin"/>
      </w:r>
      <w:r w:rsidR="00234DBB">
        <w:instrText xml:space="preserve"> REF _Ref419890976 \n \h </w:instrText>
      </w:r>
      <w:r w:rsidR="00234DBB">
        <w:fldChar w:fldCharType="separate"/>
      </w:r>
      <w:r w:rsidR="009037A2">
        <w:t>1.1</w:t>
      </w:r>
      <w:r w:rsidR="00234DBB">
        <w:fldChar w:fldCharType="end"/>
      </w:r>
      <w:r w:rsidR="00234DBB">
        <w:t xml:space="preserve">, </w:t>
      </w:r>
      <w:r w:rsidR="00781281">
        <w:t xml:space="preserve">above, </w:t>
      </w:r>
      <w:r w:rsidR="00234DBB">
        <w:t xml:space="preserve">we </w:t>
      </w:r>
      <w:r w:rsidR="00781281">
        <w:t xml:space="preserve">isolated the </w:t>
      </w:r>
      <w:r w:rsidR="00234DBB">
        <w:t>impact of our final decision by holding all other components of the retail bill constant.</w:t>
      </w:r>
      <w:r w:rsidR="00781281">
        <w:t xml:space="preserve"> </w:t>
      </w:r>
      <w:r w:rsidR="00781281">
        <w:fldChar w:fldCharType="begin"/>
      </w:r>
      <w:r w:rsidR="00781281">
        <w:instrText xml:space="preserve"> REF _Ref419447384 \h </w:instrText>
      </w:r>
      <w:r w:rsidR="00781281">
        <w:fldChar w:fldCharType="separate"/>
      </w:r>
      <w:r w:rsidR="009037A2">
        <w:t xml:space="preserve">Table </w:t>
      </w:r>
      <w:r w:rsidR="009037A2">
        <w:rPr>
          <w:noProof/>
        </w:rPr>
        <w:t>1</w:t>
      </w:r>
      <w:r w:rsidR="00781281">
        <w:fldChar w:fldCharType="end"/>
      </w:r>
      <w:r w:rsidR="00781281">
        <w:t xml:space="preserve"> in that section shows the change in annual gas bills for residential and small business customers in this case.</w:t>
      </w:r>
    </w:p>
    <w:p w:rsidR="00011C7C" w:rsidRDefault="002075B2" w:rsidP="00011C7C">
      <w:r>
        <w:t>However, forecast increases in the wholesale gas price are expected to flow through to customer bills during the 2015</w:t>
      </w:r>
      <w:r w:rsidR="00B440A0">
        <w:t>–20 access arrangement</w:t>
      </w:r>
      <w:r>
        <w:t xml:space="preserve"> period. </w:t>
      </w:r>
      <w:r w:rsidR="00234DBB">
        <w:t xml:space="preserve">We do not regulate wholesale gas prices, and these are also outside JGN's control. </w:t>
      </w:r>
      <w:r w:rsidR="00781281">
        <w:t>Below, w</w:t>
      </w:r>
      <w:r w:rsidR="00AC74BB">
        <w:t xml:space="preserve">e have included </w:t>
      </w:r>
      <w:r w:rsidR="00BD7DAE">
        <w:t xml:space="preserve">JGN's </w:t>
      </w:r>
      <w:r w:rsidR="00AC74BB" w:rsidRPr="00011C7C">
        <w:t>forecast impact of changes in the wholesale price of gas</w:t>
      </w:r>
      <w:r w:rsidR="00AC74BB">
        <w:t xml:space="preserve"> in our modelling of end customer bill impact</w:t>
      </w:r>
      <w:r w:rsidR="00011C7C" w:rsidRPr="00011C7C">
        <w:t>.</w:t>
      </w:r>
      <w:r w:rsidR="00B5255B">
        <w:rPr>
          <w:rStyle w:val="FootnoteReference"/>
        </w:rPr>
        <w:footnoteReference w:id="54"/>
      </w:r>
      <w:r w:rsidR="00011C7C" w:rsidRPr="00011C7C">
        <w:t xml:space="preserve"> </w:t>
      </w:r>
      <w:r w:rsidR="0046096F">
        <w:t>While we acknowledge the uncertainty around forecasts of the wholesale gas price, this approach preserves comparability with JGN's revised proposal.</w:t>
      </w:r>
      <w:r w:rsidR="00C3659A">
        <w:t xml:space="preserve"> The indicative bill impact</w:t>
      </w:r>
      <w:r>
        <w:t xml:space="preserve"> </w:t>
      </w:r>
      <w:r w:rsidR="00C3659A">
        <w:t>therefore presents the combined impact of forecast changes to the distribution and wholesale components of the bill.</w:t>
      </w:r>
      <w:r w:rsidR="00781281">
        <w:rPr>
          <w:rStyle w:val="FootnoteReference"/>
        </w:rPr>
        <w:footnoteReference w:id="55"/>
      </w:r>
      <w:r w:rsidR="00C3659A">
        <w:t xml:space="preserve"> W</w:t>
      </w:r>
      <w:r w:rsidR="00011C7C" w:rsidRPr="00011C7C">
        <w:t>e assume that oth</w:t>
      </w:r>
      <w:r w:rsidR="00D53BF2">
        <w:t xml:space="preserve">er components of the retail gas </w:t>
      </w:r>
      <w:r w:rsidR="007E1ABC">
        <w:t>bill</w:t>
      </w:r>
      <w:r w:rsidR="00011C7C" w:rsidRPr="00011C7C">
        <w:t xml:space="preserve"> remain constant</w:t>
      </w:r>
      <w:r w:rsidR="00D53BF2">
        <w:t>.</w:t>
      </w:r>
    </w:p>
    <w:p w:rsidR="00FB25B5" w:rsidRDefault="00FB25B5" w:rsidP="00011C7C">
      <w:r>
        <w:fldChar w:fldCharType="begin"/>
      </w:r>
      <w:r>
        <w:instrText xml:space="preserve"> REF _Ref419892055 \h </w:instrText>
      </w:r>
      <w:r>
        <w:fldChar w:fldCharType="separate"/>
      </w:r>
      <w:r w:rsidR="009037A2">
        <w:t xml:space="preserve">Table </w:t>
      </w:r>
      <w:r w:rsidR="009037A2">
        <w:rPr>
          <w:noProof/>
        </w:rPr>
        <w:t>4</w:t>
      </w:r>
      <w:r>
        <w:fldChar w:fldCharType="end"/>
      </w:r>
      <w:r>
        <w:t xml:space="preserve"> presents the indicative impact of our final decision and potential wholesale gas price increases for residential customer annual gas bills in JGN's distribution area over the 2015–20 access arrangement period.</w:t>
      </w:r>
    </w:p>
    <w:p w:rsidR="00FB25B5" w:rsidRPr="00EC5608" w:rsidRDefault="00FB25B5" w:rsidP="00FB25B5">
      <w:pPr>
        <w:pStyle w:val="Caption"/>
      </w:pPr>
      <w:bookmarkStart w:id="80" w:name="_Ref419892055"/>
      <w:r>
        <w:t xml:space="preserve">Table </w:t>
      </w:r>
      <w:r w:rsidRPr="00FB25B5">
        <w:fldChar w:fldCharType="begin"/>
      </w:r>
      <w:r>
        <w:instrText xml:space="preserve"> SEQ Table \* ARABIC </w:instrText>
      </w:r>
      <w:r w:rsidRPr="00FB25B5">
        <w:fldChar w:fldCharType="separate"/>
      </w:r>
      <w:r w:rsidR="009037A2">
        <w:rPr>
          <w:noProof/>
        </w:rPr>
        <w:t>4</w:t>
      </w:r>
      <w:r w:rsidRPr="00FB25B5">
        <w:fldChar w:fldCharType="end"/>
      </w:r>
      <w:bookmarkEnd w:id="80"/>
      <w:r>
        <w:tab/>
      </w:r>
      <w:r w:rsidRPr="00EC5608">
        <w:t>Indicative impact o</w:t>
      </w:r>
      <w:r>
        <w:t>f final decision and potential wholesale gas price increases—residential cu</w:t>
      </w:r>
      <w:r w:rsidRPr="00EC5608">
        <w:t>stomer</w:t>
      </w:r>
      <w:r>
        <w:t>s</w:t>
      </w:r>
      <w:r w:rsidRPr="00EC5608">
        <w:t xml:space="preserve">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FB25B5" w:rsidRPr="00EC5608" w:rsidTr="006D4F2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FB25B5" w:rsidRPr="00EC5608" w:rsidRDefault="00FB25B5" w:rsidP="00FB25B5"/>
        </w:tc>
        <w:tc>
          <w:tcPr>
            <w:tcW w:w="897" w:type="dxa"/>
            <w:noWrap/>
            <w:hideMark/>
          </w:tcPr>
          <w:p w:rsidR="00FB25B5" w:rsidRPr="00EC5608" w:rsidRDefault="00FB25B5" w:rsidP="00FB25B5">
            <w:pPr>
              <w:cnfStyle w:val="100000000000" w:firstRow="1" w:lastRow="0" w:firstColumn="0" w:lastColumn="0" w:oddVBand="0" w:evenVBand="0" w:oddHBand="0" w:evenHBand="0" w:firstRowFirstColumn="0" w:firstRowLastColumn="0" w:lastRowFirstColumn="0" w:lastRowLastColumn="0"/>
            </w:pPr>
            <w:r w:rsidRPr="00EC5608">
              <w:t>2014–15</w:t>
            </w:r>
          </w:p>
        </w:tc>
        <w:tc>
          <w:tcPr>
            <w:tcW w:w="898" w:type="dxa"/>
            <w:noWrap/>
            <w:hideMark/>
          </w:tcPr>
          <w:p w:rsidR="00FB25B5" w:rsidRPr="00EC5608" w:rsidRDefault="00FB25B5" w:rsidP="00FB25B5">
            <w:pPr>
              <w:cnfStyle w:val="100000000000" w:firstRow="1" w:lastRow="0" w:firstColumn="0" w:lastColumn="0" w:oddVBand="0" w:evenVBand="0" w:oddHBand="0" w:evenHBand="0" w:firstRowFirstColumn="0" w:firstRowLastColumn="0" w:lastRowFirstColumn="0" w:lastRowLastColumn="0"/>
            </w:pPr>
            <w:r w:rsidRPr="00EC5608">
              <w:t>2015–16</w:t>
            </w:r>
          </w:p>
        </w:tc>
        <w:tc>
          <w:tcPr>
            <w:tcW w:w="898" w:type="dxa"/>
            <w:noWrap/>
            <w:hideMark/>
          </w:tcPr>
          <w:p w:rsidR="00FB25B5" w:rsidRPr="00EC5608" w:rsidRDefault="00FB25B5" w:rsidP="00FB25B5">
            <w:pPr>
              <w:cnfStyle w:val="100000000000" w:firstRow="1" w:lastRow="0" w:firstColumn="0" w:lastColumn="0" w:oddVBand="0" w:evenVBand="0" w:oddHBand="0" w:evenHBand="0" w:firstRowFirstColumn="0" w:firstRowLastColumn="0" w:lastRowFirstColumn="0" w:lastRowLastColumn="0"/>
            </w:pPr>
            <w:r w:rsidRPr="00EC5608">
              <w:t>2016–17</w:t>
            </w:r>
          </w:p>
        </w:tc>
        <w:tc>
          <w:tcPr>
            <w:tcW w:w="897" w:type="dxa"/>
            <w:noWrap/>
            <w:hideMark/>
          </w:tcPr>
          <w:p w:rsidR="00FB25B5" w:rsidRPr="00EC5608" w:rsidRDefault="00FB25B5" w:rsidP="00FB25B5">
            <w:pPr>
              <w:cnfStyle w:val="100000000000" w:firstRow="1" w:lastRow="0" w:firstColumn="0" w:lastColumn="0" w:oddVBand="0" w:evenVBand="0" w:oddHBand="0" w:evenHBand="0" w:firstRowFirstColumn="0" w:firstRowLastColumn="0" w:lastRowFirstColumn="0" w:lastRowLastColumn="0"/>
            </w:pPr>
            <w:r w:rsidRPr="00EC5608">
              <w:t>2017–18</w:t>
            </w:r>
          </w:p>
        </w:tc>
        <w:tc>
          <w:tcPr>
            <w:tcW w:w="898" w:type="dxa"/>
            <w:noWrap/>
            <w:hideMark/>
          </w:tcPr>
          <w:p w:rsidR="00FB25B5" w:rsidRPr="00EC5608" w:rsidRDefault="00FB25B5" w:rsidP="00FB25B5">
            <w:pPr>
              <w:cnfStyle w:val="100000000000" w:firstRow="1" w:lastRow="0" w:firstColumn="0" w:lastColumn="0" w:oddVBand="0" w:evenVBand="0" w:oddHBand="0" w:evenHBand="0" w:firstRowFirstColumn="0" w:firstRowLastColumn="0" w:lastRowFirstColumn="0" w:lastRowLastColumn="0"/>
            </w:pPr>
            <w:r w:rsidRPr="00EC5608">
              <w:t>2018–19</w:t>
            </w:r>
          </w:p>
        </w:tc>
        <w:tc>
          <w:tcPr>
            <w:tcW w:w="898" w:type="dxa"/>
            <w:noWrap/>
            <w:hideMark/>
          </w:tcPr>
          <w:p w:rsidR="00FB25B5" w:rsidRPr="00EC5608" w:rsidRDefault="00FB25B5" w:rsidP="00FB25B5">
            <w:pPr>
              <w:cnfStyle w:val="100000000000" w:firstRow="1" w:lastRow="0" w:firstColumn="0" w:lastColumn="0" w:oddVBand="0" w:evenVBand="0" w:oddHBand="0" w:evenHBand="0" w:firstRowFirstColumn="0" w:firstRowLastColumn="0" w:lastRowFirstColumn="0" w:lastRowLastColumn="0"/>
            </w:pPr>
            <w:r>
              <w:t>2019</w:t>
            </w:r>
            <w:r w:rsidRPr="00EC5608">
              <w:t>–20</w:t>
            </w:r>
          </w:p>
        </w:tc>
      </w:tr>
      <w:tr w:rsidR="00FB25B5" w:rsidRPr="00EC5608" w:rsidTr="006D4F27">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FB25B5" w:rsidRPr="00EC5608" w:rsidRDefault="00FB25B5" w:rsidP="00FB25B5">
            <w:pPr>
              <w:rPr>
                <w:rStyle w:val="Strong"/>
              </w:rPr>
            </w:pPr>
            <w:r w:rsidRPr="00EC5608">
              <w:rPr>
                <w:rStyle w:val="Strong"/>
              </w:rPr>
              <w:t>JGN revised proposal</w:t>
            </w:r>
          </w:p>
        </w:tc>
        <w:tc>
          <w:tcPr>
            <w:tcW w:w="897" w:type="dxa"/>
            <w:noWrap/>
          </w:tcPr>
          <w:p w:rsidR="00FB25B5" w:rsidRPr="00EC5608" w:rsidRDefault="00FB25B5" w:rsidP="00FB25B5">
            <w:pPr>
              <w:cnfStyle w:val="000000000000" w:firstRow="0" w:lastRow="0" w:firstColumn="0" w:lastColumn="0" w:oddVBand="0" w:evenVBand="0" w:oddHBand="0" w:evenHBand="0" w:firstRowFirstColumn="0" w:firstRowLastColumn="0" w:lastRowFirstColumn="0" w:lastRowLastColumn="0"/>
            </w:pPr>
          </w:p>
        </w:tc>
        <w:tc>
          <w:tcPr>
            <w:tcW w:w="898" w:type="dxa"/>
            <w:noWrap/>
          </w:tcPr>
          <w:p w:rsidR="00FB25B5" w:rsidRPr="00EC5608" w:rsidRDefault="00FB25B5" w:rsidP="00FB25B5">
            <w:pPr>
              <w:cnfStyle w:val="000000000000" w:firstRow="0" w:lastRow="0" w:firstColumn="0" w:lastColumn="0" w:oddVBand="0" w:evenVBand="0" w:oddHBand="0" w:evenHBand="0" w:firstRowFirstColumn="0" w:firstRowLastColumn="0" w:lastRowFirstColumn="0" w:lastRowLastColumn="0"/>
            </w:pPr>
          </w:p>
        </w:tc>
        <w:tc>
          <w:tcPr>
            <w:tcW w:w="898" w:type="dxa"/>
            <w:noWrap/>
          </w:tcPr>
          <w:p w:rsidR="00FB25B5" w:rsidRPr="00EC5608" w:rsidRDefault="00FB25B5" w:rsidP="00FB25B5">
            <w:pPr>
              <w:cnfStyle w:val="000000000000" w:firstRow="0" w:lastRow="0" w:firstColumn="0" w:lastColumn="0" w:oddVBand="0" w:evenVBand="0" w:oddHBand="0" w:evenHBand="0" w:firstRowFirstColumn="0" w:firstRowLastColumn="0" w:lastRowFirstColumn="0" w:lastRowLastColumn="0"/>
            </w:pPr>
          </w:p>
        </w:tc>
        <w:tc>
          <w:tcPr>
            <w:tcW w:w="897" w:type="dxa"/>
            <w:noWrap/>
          </w:tcPr>
          <w:p w:rsidR="00FB25B5" w:rsidRPr="00EC5608" w:rsidRDefault="00FB25B5" w:rsidP="00FB25B5">
            <w:pPr>
              <w:cnfStyle w:val="000000000000" w:firstRow="0" w:lastRow="0" w:firstColumn="0" w:lastColumn="0" w:oddVBand="0" w:evenVBand="0" w:oddHBand="0" w:evenHBand="0" w:firstRowFirstColumn="0" w:firstRowLastColumn="0" w:lastRowFirstColumn="0" w:lastRowLastColumn="0"/>
            </w:pPr>
          </w:p>
        </w:tc>
        <w:tc>
          <w:tcPr>
            <w:tcW w:w="898" w:type="dxa"/>
            <w:noWrap/>
          </w:tcPr>
          <w:p w:rsidR="00FB25B5" w:rsidRPr="00EC5608" w:rsidRDefault="00FB25B5" w:rsidP="00FB25B5">
            <w:pPr>
              <w:cnfStyle w:val="000000000000" w:firstRow="0" w:lastRow="0" w:firstColumn="0" w:lastColumn="0" w:oddVBand="0" w:evenVBand="0" w:oddHBand="0" w:evenHBand="0" w:firstRowFirstColumn="0" w:firstRowLastColumn="0" w:lastRowFirstColumn="0" w:lastRowLastColumn="0"/>
            </w:pPr>
          </w:p>
        </w:tc>
        <w:tc>
          <w:tcPr>
            <w:tcW w:w="898" w:type="dxa"/>
            <w:noWrap/>
          </w:tcPr>
          <w:p w:rsidR="00FB25B5" w:rsidRPr="00EC5608" w:rsidRDefault="00FB25B5" w:rsidP="00FB25B5">
            <w:pPr>
              <w:cnfStyle w:val="000000000000" w:firstRow="0" w:lastRow="0" w:firstColumn="0" w:lastColumn="0" w:oddVBand="0" w:evenVBand="0" w:oddHBand="0" w:evenHBand="0" w:firstRowFirstColumn="0" w:firstRowLastColumn="0" w:lastRowFirstColumn="0" w:lastRowLastColumn="0"/>
            </w:pPr>
          </w:p>
        </w:tc>
      </w:tr>
      <w:tr w:rsidR="00A073F1" w:rsidRPr="00EC5608"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A073F1" w:rsidRPr="00A073F1" w:rsidRDefault="00A073F1" w:rsidP="00A073F1">
            <w:r w:rsidRPr="00A073F1">
              <w:t>Residential annual gas bill</w:t>
            </w:r>
            <w:r w:rsidRPr="00A073F1">
              <w:rPr>
                <w:rStyle w:val="AERsuperscript"/>
              </w:rPr>
              <w:t>a</w:t>
            </w:r>
          </w:p>
        </w:tc>
        <w:tc>
          <w:tcPr>
            <w:tcW w:w="897" w:type="dxa"/>
            <w:noWrap/>
          </w:tcPr>
          <w:p w:rsidR="00A073F1" w:rsidRPr="00A073F1" w:rsidRDefault="00A073F1" w:rsidP="00345EFF">
            <w:pPr>
              <w:cnfStyle w:val="000000010000" w:firstRow="0" w:lastRow="0" w:firstColumn="0" w:lastColumn="0" w:oddVBand="0" w:evenVBand="0" w:oddHBand="0" w:evenHBand="1" w:firstRowFirstColumn="0" w:firstRowLastColumn="0" w:lastRowFirstColumn="0" w:lastRowLastColumn="0"/>
            </w:pPr>
            <w:r w:rsidRPr="00A073F1">
              <w:t>$1</w:t>
            </w:r>
            <w:r w:rsidR="00CD1A33">
              <w:t>,</w:t>
            </w:r>
            <w:r w:rsidRPr="00A073F1">
              <w:t>042</w:t>
            </w:r>
          </w:p>
        </w:tc>
        <w:tc>
          <w:tcPr>
            <w:tcW w:w="898" w:type="dxa"/>
            <w:noWrap/>
          </w:tcPr>
          <w:p w:rsidR="00A073F1" w:rsidRPr="00A073F1" w:rsidRDefault="00A073F1" w:rsidP="00345EFF">
            <w:pPr>
              <w:cnfStyle w:val="000000010000" w:firstRow="0" w:lastRow="0" w:firstColumn="0" w:lastColumn="0" w:oddVBand="0" w:evenVBand="0" w:oddHBand="0" w:evenHBand="1" w:firstRowFirstColumn="0" w:firstRowLastColumn="0" w:lastRowFirstColumn="0" w:lastRowLastColumn="0"/>
            </w:pPr>
            <w:r w:rsidRPr="00A073F1">
              <w:t>$1</w:t>
            </w:r>
            <w:r w:rsidR="00CD1A33">
              <w:t>,</w:t>
            </w:r>
            <w:r w:rsidRPr="00A073F1">
              <w:t>021</w:t>
            </w:r>
          </w:p>
        </w:tc>
        <w:tc>
          <w:tcPr>
            <w:tcW w:w="898" w:type="dxa"/>
            <w:noWrap/>
          </w:tcPr>
          <w:p w:rsidR="00A073F1" w:rsidRPr="00A073F1" w:rsidRDefault="00A073F1" w:rsidP="00345EFF">
            <w:pPr>
              <w:cnfStyle w:val="000000010000" w:firstRow="0" w:lastRow="0" w:firstColumn="0" w:lastColumn="0" w:oddVBand="0" w:evenVBand="0" w:oddHBand="0" w:evenHBand="1" w:firstRowFirstColumn="0" w:firstRowLastColumn="0" w:lastRowFirstColumn="0" w:lastRowLastColumn="0"/>
            </w:pPr>
            <w:r w:rsidRPr="00A073F1">
              <w:t>$1</w:t>
            </w:r>
            <w:r w:rsidR="00CD1A33">
              <w:t>,</w:t>
            </w:r>
            <w:r w:rsidRPr="00A073F1">
              <w:t>021</w:t>
            </w:r>
          </w:p>
        </w:tc>
        <w:tc>
          <w:tcPr>
            <w:tcW w:w="897" w:type="dxa"/>
            <w:noWrap/>
          </w:tcPr>
          <w:p w:rsidR="00A073F1" w:rsidRPr="00A073F1" w:rsidRDefault="00A073F1" w:rsidP="00345EFF">
            <w:pPr>
              <w:cnfStyle w:val="000000010000" w:firstRow="0" w:lastRow="0" w:firstColumn="0" w:lastColumn="0" w:oddVBand="0" w:evenVBand="0" w:oddHBand="0" w:evenHBand="1" w:firstRowFirstColumn="0" w:firstRowLastColumn="0" w:lastRowFirstColumn="0" w:lastRowLastColumn="0"/>
            </w:pPr>
            <w:r w:rsidRPr="00A073F1">
              <w:t>$1</w:t>
            </w:r>
            <w:r w:rsidR="00CD1A33">
              <w:t>,</w:t>
            </w:r>
            <w:r w:rsidRPr="00A073F1">
              <w:t>02</w:t>
            </w:r>
            <w:r w:rsidR="00345EFF">
              <w:t>3</w:t>
            </w:r>
          </w:p>
        </w:tc>
        <w:tc>
          <w:tcPr>
            <w:tcW w:w="898" w:type="dxa"/>
            <w:noWrap/>
          </w:tcPr>
          <w:p w:rsidR="00A073F1" w:rsidRPr="00A073F1" w:rsidRDefault="00A073F1" w:rsidP="00345EFF">
            <w:pPr>
              <w:cnfStyle w:val="000000010000" w:firstRow="0" w:lastRow="0" w:firstColumn="0" w:lastColumn="0" w:oddVBand="0" w:evenVBand="0" w:oddHBand="0" w:evenHBand="1" w:firstRowFirstColumn="0" w:firstRowLastColumn="0" w:lastRowFirstColumn="0" w:lastRowLastColumn="0"/>
            </w:pPr>
            <w:r w:rsidRPr="00A073F1">
              <w:t>$1</w:t>
            </w:r>
            <w:r w:rsidR="00CD1A33">
              <w:t>,</w:t>
            </w:r>
            <w:r w:rsidRPr="00A073F1">
              <w:t>026</w:t>
            </w:r>
          </w:p>
        </w:tc>
        <w:tc>
          <w:tcPr>
            <w:tcW w:w="898" w:type="dxa"/>
            <w:noWrap/>
          </w:tcPr>
          <w:p w:rsidR="00A073F1" w:rsidRPr="00A073F1" w:rsidRDefault="00A073F1" w:rsidP="00345EFF">
            <w:pPr>
              <w:cnfStyle w:val="000000010000" w:firstRow="0" w:lastRow="0" w:firstColumn="0" w:lastColumn="0" w:oddVBand="0" w:evenVBand="0" w:oddHBand="0" w:evenHBand="1" w:firstRowFirstColumn="0" w:firstRowLastColumn="0" w:lastRowFirstColumn="0" w:lastRowLastColumn="0"/>
            </w:pPr>
            <w:r w:rsidRPr="00A073F1">
              <w:t>$1</w:t>
            </w:r>
            <w:r w:rsidR="00CD1A33">
              <w:t>,</w:t>
            </w:r>
            <w:r w:rsidRPr="00A073F1">
              <w:t>044</w:t>
            </w:r>
          </w:p>
        </w:tc>
      </w:tr>
      <w:tr w:rsidR="00A073F1" w:rsidRPr="00EC5608" w:rsidTr="006D4F27">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A073F1" w:rsidRPr="00A073F1" w:rsidRDefault="00A073F1" w:rsidP="00A073F1">
            <w:r w:rsidRPr="00A073F1">
              <w:t xml:space="preserve">Annual change in JGN's distribution bill component </w:t>
            </w:r>
          </w:p>
        </w:tc>
        <w:tc>
          <w:tcPr>
            <w:tcW w:w="897" w:type="dxa"/>
            <w:noWrap/>
          </w:tcPr>
          <w:p w:rsidR="00A073F1" w:rsidRPr="00A073F1" w:rsidRDefault="00A073F1" w:rsidP="00A073F1">
            <w:pPr>
              <w:cnfStyle w:val="000000000000" w:firstRow="0" w:lastRow="0" w:firstColumn="0" w:lastColumn="0" w:oddVBand="0" w:evenVBand="0" w:oddHBand="0" w:evenHBand="0" w:firstRowFirstColumn="0" w:firstRowLastColumn="0" w:lastRowFirstColumn="0" w:lastRowLastColumn="0"/>
            </w:pPr>
          </w:p>
        </w:tc>
        <w:tc>
          <w:tcPr>
            <w:tcW w:w="898" w:type="dxa"/>
            <w:noWrap/>
          </w:tcPr>
          <w:p w:rsidR="00A073F1" w:rsidRPr="00A073F1" w:rsidRDefault="00A073F1" w:rsidP="00A073F1">
            <w:pPr>
              <w:cnfStyle w:val="000000000000" w:firstRow="0" w:lastRow="0" w:firstColumn="0" w:lastColumn="0" w:oddVBand="0" w:evenVBand="0" w:oddHBand="0" w:evenHBand="0" w:firstRowFirstColumn="0" w:firstRowLastColumn="0" w:lastRowFirstColumn="0" w:lastRowLastColumn="0"/>
            </w:pPr>
            <w:r>
              <w:t>–</w:t>
            </w:r>
            <w:r w:rsidRPr="00A073F1">
              <w:t>$21</w:t>
            </w:r>
          </w:p>
        </w:tc>
        <w:tc>
          <w:tcPr>
            <w:tcW w:w="898" w:type="dxa"/>
            <w:noWrap/>
          </w:tcPr>
          <w:p w:rsidR="00A073F1" w:rsidRPr="00A073F1" w:rsidRDefault="00A073F1" w:rsidP="00A073F1">
            <w:pPr>
              <w:cnfStyle w:val="000000000000" w:firstRow="0" w:lastRow="0" w:firstColumn="0" w:lastColumn="0" w:oddVBand="0" w:evenVBand="0" w:oddHBand="0" w:evenHBand="0" w:firstRowFirstColumn="0" w:firstRowLastColumn="0" w:lastRowFirstColumn="0" w:lastRowLastColumn="0"/>
            </w:pPr>
            <w:r>
              <w:t>–</w:t>
            </w:r>
            <w:r w:rsidRPr="00A073F1">
              <w:t>$30</w:t>
            </w:r>
          </w:p>
        </w:tc>
        <w:tc>
          <w:tcPr>
            <w:tcW w:w="897" w:type="dxa"/>
            <w:noWrap/>
          </w:tcPr>
          <w:p w:rsidR="00A073F1" w:rsidRPr="00A073F1" w:rsidRDefault="00A073F1" w:rsidP="00A073F1">
            <w:pPr>
              <w:cnfStyle w:val="000000000000" w:firstRow="0" w:lastRow="0" w:firstColumn="0" w:lastColumn="0" w:oddVBand="0" w:evenVBand="0" w:oddHBand="0" w:evenHBand="0" w:firstRowFirstColumn="0" w:firstRowLastColumn="0" w:lastRowFirstColumn="0" w:lastRowLastColumn="0"/>
            </w:pPr>
            <w:r>
              <w:t>–</w:t>
            </w:r>
            <w:r w:rsidRPr="00A073F1">
              <w:t>$28</w:t>
            </w:r>
          </w:p>
        </w:tc>
        <w:tc>
          <w:tcPr>
            <w:tcW w:w="898" w:type="dxa"/>
            <w:noWrap/>
          </w:tcPr>
          <w:p w:rsidR="00A073F1" w:rsidRPr="00A073F1" w:rsidRDefault="00A073F1" w:rsidP="00A073F1">
            <w:pPr>
              <w:cnfStyle w:val="000000000000" w:firstRow="0" w:lastRow="0" w:firstColumn="0" w:lastColumn="0" w:oddVBand="0" w:evenVBand="0" w:oddHBand="0" w:evenHBand="0" w:firstRowFirstColumn="0" w:firstRowLastColumn="0" w:lastRowFirstColumn="0" w:lastRowLastColumn="0"/>
            </w:pPr>
            <w:r>
              <w:t>–</w:t>
            </w:r>
            <w:r w:rsidRPr="00A073F1">
              <w:t>$26</w:t>
            </w:r>
          </w:p>
        </w:tc>
        <w:tc>
          <w:tcPr>
            <w:tcW w:w="898" w:type="dxa"/>
            <w:noWrap/>
          </w:tcPr>
          <w:p w:rsidR="00A073F1" w:rsidRPr="00A073F1" w:rsidRDefault="00A073F1" w:rsidP="00A073F1">
            <w:pPr>
              <w:cnfStyle w:val="000000000000" w:firstRow="0" w:lastRow="0" w:firstColumn="0" w:lastColumn="0" w:oddVBand="0" w:evenVBand="0" w:oddHBand="0" w:evenHBand="0" w:firstRowFirstColumn="0" w:firstRowLastColumn="0" w:lastRowFirstColumn="0" w:lastRowLastColumn="0"/>
            </w:pPr>
            <w:r w:rsidRPr="00A073F1">
              <w:t>$18</w:t>
            </w:r>
          </w:p>
        </w:tc>
      </w:tr>
      <w:tr w:rsidR="00A073F1" w:rsidRPr="00EC5608"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A073F1" w:rsidRPr="00A073F1" w:rsidRDefault="00A073F1" w:rsidP="00A073F1">
            <w:r w:rsidRPr="00A073F1">
              <w:t>Annual change in wholesale gas price bill component</w:t>
            </w:r>
          </w:p>
        </w:tc>
        <w:tc>
          <w:tcPr>
            <w:tcW w:w="897" w:type="dxa"/>
            <w:noWrap/>
          </w:tcPr>
          <w:p w:rsidR="00A073F1" w:rsidRPr="00A073F1" w:rsidRDefault="00A073F1" w:rsidP="00A073F1">
            <w:pPr>
              <w:cnfStyle w:val="000000010000" w:firstRow="0" w:lastRow="0" w:firstColumn="0" w:lastColumn="0" w:oddVBand="0" w:evenVBand="0" w:oddHBand="0" w:evenHBand="1" w:firstRowFirstColumn="0" w:firstRowLastColumn="0" w:lastRowFirstColumn="0" w:lastRowLastColumn="0"/>
            </w:pPr>
            <w:r w:rsidRPr="00A073F1">
              <w:t> </w:t>
            </w:r>
          </w:p>
        </w:tc>
        <w:tc>
          <w:tcPr>
            <w:tcW w:w="898" w:type="dxa"/>
            <w:noWrap/>
          </w:tcPr>
          <w:p w:rsidR="00A073F1" w:rsidRPr="00A073F1" w:rsidRDefault="00A073F1" w:rsidP="00A073F1">
            <w:pPr>
              <w:cnfStyle w:val="000000010000" w:firstRow="0" w:lastRow="0" w:firstColumn="0" w:lastColumn="0" w:oddVBand="0" w:evenVBand="0" w:oddHBand="0" w:evenHBand="1" w:firstRowFirstColumn="0" w:firstRowLastColumn="0" w:lastRowFirstColumn="0" w:lastRowLastColumn="0"/>
            </w:pPr>
            <w:r w:rsidRPr="00A073F1">
              <w:t>$0</w:t>
            </w:r>
          </w:p>
        </w:tc>
        <w:tc>
          <w:tcPr>
            <w:tcW w:w="898" w:type="dxa"/>
            <w:noWrap/>
          </w:tcPr>
          <w:p w:rsidR="00A073F1" w:rsidRPr="00A073F1" w:rsidRDefault="00A073F1" w:rsidP="00A073F1">
            <w:pPr>
              <w:cnfStyle w:val="000000010000" w:firstRow="0" w:lastRow="0" w:firstColumn="0" w:lastColumn="0" w:oddVBand="0" w:evenVBand="0" w:oddHBand="0" w:evenHBand="1" w:firstRowFirstColumn="0" w:firstRowLastColumn="0" w:lastRowFirstColumn="0" w:lastRowLastColumn="0"/>
            </w:pPr>
            <w:r w:rsidRPr="00A073F1">
              <w:t>$30</w:t>
            </w:r>
          </w:p>
        </w:tc>
        <w:tc>
          <w:tcPr>
            <w:tcW w:w="897" w:type="dxa"/>
            <w:noWrap/>
          </w:tcPr>
          <w:p w:rsidR="00A073F1" w:rsidRPr="00A073F1" w:rsidRDefault="00A073F1" w:rsidP="00A073F1">
            <w:pPr>
              <w:cnfStyle w:val="000000010000" w:firstRow="0" w:lastRow="0" w:firstColumn="0" w:lastColumn="0" w:oddVBand="0" w:evenVBand="0" w:oddHBand="0" w:evenHBand="1" w:firstRowFirstColumn="0" w:firstRowLastColumn="0" w:lastRowFirstColumn="0" w:lastRowLastColumn="0"/>
            </w:pPr>
            <w:r w:rsidRPr="00A073F1">
              <w:t>$30</w:t>
            </w:r>
          </w:p>
        </w:tc>
        <w:tc>
          <w:tcPr>
            <w:tcW w:w="898" w:type="dxa"/>
            <w:noWrap/>
          </w:tcPr>
          <w:p w:rsidR="00A073F1" w:rsidRPr="00A073F1" w:rsidRDefault="00A073F1" w:rsidP="00A073F1">
            <w:pPr>
              <w:cnfStyle w:val="000000010000" w:firstRow="0" w:lastRow="0" w:firstColumn="0" w:lastColumn="0" w:oddVBand="0" w:evenVBand="0" w:oddHBand="0" w:evenHBand="1" w:firstRowFirstColumn="0" w:firstRowLastColumn="0" w:lastRowFirstColumn="0" w:lastRowLastColumn="0"/>
            </w:pPr>
            <w:r w:rsidRPr="00A073F1">
              <w:t>$30</w:t>
            </w:r>
          </w:p>
        </w:tc>
        <w:tc>
          <w:tcPr>
            <w:tcW w:w="898" w:type="dxa"/>
            <w:noWrap/>
          </w:tcPr>
          <w:p w:rsidR="00A073F1" w:rsidRPr="00A073F1" w:rsidRDefault="00A073F1" w:rsidP="00A073F1">
            <w:pPr>
              <w:cnfStyle w:val="000000010000" w:firstRow="0" w:lastRow="0" w:firstColumn="0" w:lastColumn="0" w:oddVBand="0" w:evenVBand="0" w:oddHBand="0" w:evenHBand="1" w:firstRowFirstColumn="0" w:firstRowLastColumn="0" w:lastRowFirstColumn="0" w:lastRowLastColumn="0"/>
            </w:pPr>
            <w:r w:rsidRPr="00A073F1">
              <w:t>$0</w:t>
            </w:r>
          </w:p>
        </w:tc>
      </w:tr>
      <w:tr w:rsidR="00A073F1" w:rsidRPr="00A073F1" w:rsidTr="006D4F27">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A073F1" w:rsidRPr="00A073F1" w:rsidRDefault="00A073F1" w:rsidP="00A073F1">
            <w:pPr>
              <w:rPr>
                <w:rStyle w:val="Strong"/>
              </w:rPr>
            </w:pPr>
            <w:r w:rsidRPr="00A073F1">
              <w:rPr>
                <w:rStyle w:val="Strong"/>
              </w:rPr>
              <w:t>Total change in residential annual gas bill (distribution and wholesale)</w:t>
            </w:r>
          </w:p>
        </w:tc>
        <w:tc>
          <w:tcPr>
            <w:tcW w:w="897" w:type="dxa"/>
            <w:noWrap/>
          </w:tcPr>
          <w:p w:rsidR="00A073F1" w:rsidRPr="00BA211A" w:rsidRDefault="00A073F1" w:rsidP="00A073F1">
            <w:pPr>
              <w:cnfStyle w:val="000000000000" w:firstRow="0" w:lastRow="0" w:firstColumn="0" w:lastColumn="0" w:oddVBand="0" w:evenVBand="0" w:oddHBand="0" w:evenHBand="0" w:firstRowFirstColumn="0" w:firstRowLastColumn="0" w:lastRowFirstColumn="0" w:lastRowLastColumn="0"/>
              <w:rPr>
                <w:rStyle w:val="Strong"/>
              </w:rPr>
            </w:pPr>
          </w:p>
        </w:tc>
        <w:tc>
          <w:tcPr>
            <w:tcW w:w="898" w:type="dxa"/>
            <w:noWrap/>
          </w:tcPr>
          <w:p w:rsidR="00A073F1" w:rsidRPr="00A073F1" w:rsidRDefault="00A073F1" w:rsidP="00D21F3B">
            <w:pPr>
              <w:cnfStyle w:val="000000000000" w:firstRow="0" w:lastRow="0" w:firstColumn="0" w:lastColumn="0" w:oddVBand="0" w:evenVBand="0" w:oddHBand="0" w:evenHBand="0" w:firstRowFirstColumn="0" w:firstRowLastColumn="0" w:lastRowFirstColumn="0" w:lastRowLastColumn="0"/>
              <w:rPr>
                <w:rStyle w:val="Strong"/>
              </w:rPr>
            </w:pPr>
            <w:r w:rsidRPr="00BA211A">
              <w:rPr>
                <w:rStyle w:val="Strong"/>
              </w:rPr>
              <w:t>–$21</w:t>
            </w:r>
            <w:r w:rsidR="00D21F3B">
              <w:rPr>
                <w:rStyle w:val="Strong"/>
              </w:rPr>
              <w:br/>
            </w:r>
            <w:r w:rsidR="0039505D">
              <w:rPr>
                <w:rStyle w:val="Strong"/>
              </w:rPr>
              <w:t>(–2.1%)</w:t>
            </w:r>
          </w:p>
        </w:tc>
        <w:tc>
          <w:tcPr>
            <w:tcW w:w="898" w:type="dxa"/>
            <w:noWrap/>
          </w:tcPr>
          <w:p w:rsidR="00A073F1" w:rsidRPr="00BA211A" w:rsidRDefault="00A073F1" w:rsidP="00D21F3B">
            <w:pPr>
              <w:cnfStyle w:val="000000000000" w:firstRow="0" w:lastRow="0" w:firstColumn="0" w:lastColumn="0" w:oddVBand="0" w:evenVBand="0" w:oddHBand="0" w:evenHBand="0" w:firstRowFirstColumn="0" w:firstRowLastColumn="0" w:lastRowFirstColumn="0" w:lastRowLastColumn="0"/>
              <w:rPr>
                <w:rStyle w:val="Strong"/>
              </w:rPr>
            </w:pPr>
            <w:r w:rsidRPr="00BA211A">
              <w:rPr>
                <w:rStyle w:val="Strong"/>
              </w:rPr>
              <w:t>$0</w:t>
            </w:r>
            <w:r w:rsidR="00D21F3B">
              <w:rPr>
                <w:rStyle w:val="Strong"/>
              </w:rPr>
              <w:br/>
            </w:r>
            <w:r w:rsidR="0039505D">
              <w:rPr>
                <w:rStyle w:val="Strong"/>
              </w:rPr>
              <w:t xml:space="preserve"> (0.0%)</w:t>
            </w:r>
          </w:p>
        </w:tc>
        <w:tc>
          <w:tcPr>
            <w:tcW w:w="897" w:type="dxa"/>
            <w:noWrap/>
          </w:tcPr>
          <w:p w:rsidR="00A073F1" w:rsidRPr="00BA211A" w:rsidRDefault="00A073F1" w:rsidP="00D21F3B">
            <w:pPr>
              <w:cnfStyle w:val="000000000000" w:firstRow="0" w:lastRow="0" w:firstColumn="0" w:lastColumn="0" w:oddVBand="0" w:evenVBand="0" w:oddHBand="0" w:evenHBand="0" w:firstRowFirstColumn="0" w:firstRowLastColumn="0" w:lastRowFirstColumn="0" w:lastRowLastColumn="0"/>
              <w:rPr>
                <w:rStyle w:val="Strong"/>
              </w:rPr>
            </w:pPr>
            <w:r w:rsidRPr="00BA211A">
              <w:rPr>
                <w:rStyle w:val="Strong"/>
              </w:rPr>
              <w:t>$2</w:t>
            </w:r>
            <w:r w:rsidR="00D21F3B">
              <w:rPr>
                <w:rStyle w:val="Strong"/>
              </w:rPr>
              <w:br/>
            </w:r>
            <w:r w:rsidR="0039505D">
              <w:rPr>
                <w:rStyle w:val="Strong"/>
              </w:rPr>
              <w:t>(+0.2%)</w:t>
            </w:r>
          </w:p>
        </w:tc>
        <w:tc>
          <w:tcPr>
            <w:tcW w:w="898" w:type="dxa"/>
            <w:noWrap/>
          </w:tcPr>
          <w:p w:rsidR="00A073F1" w:rsidRPr="00BA211A" w:rsidRDefault="00A073F1" w:rsidP="00D21F3B">
            <w:pPr>
              <w:cnfStyle w:val="000000000000" w:firstRow="0" w:lastRow="0" w:firstColumn="0" w:lastColumn="0" w:oddVBand="0" w:evenVBand="0" w:oddHBand="0" w:evenHBand="0" w:firstRowFirstColumn="0" w:firstRowLastColumn="0" w:lastRowFirstColumn="0" w:lastRowLastColumn="0"/>
              <w:rPr>
                <w:rStyle w:val="Strong"/>
              </w:rPr>
            </w:pPr>
            <w:r w:rsidRPr="00BA211A">
              <w:rPr>
                <w:rStyle w:val="Strong"/>
              </w:rPr>
              <w:t>$3</w:t>
            </w:r>
            <w:r w:rsidR="00D21F3B">
              <w:rPr>
                <w:rStyle w:val="Strong"/>
              </w:rPr>
              <w:br/>
            </w:r>
            <w:r w:rsidR="0084674C">
              <w:rPr>
                <w:rStyle w:val="Strong"/>
              </w:rPr>
              <w:t>(+0.3%)</w:t>
            </w:r>
          </w:p>
        </w:tc>
        <w:tc>
          <w:tcPr>
            <w:tcW w:w="898" w:type="dxa"/>
            <w:noWrap/>
          </w:tcPr>
          <w:p w:rsidR="00A073F1" w:rsidRPr="00BA211A" w:rsidRDefault="00A073F1" w:rsidP="00D21F3B">
            <w:pPr>
              <w:cnfStyle w:val="000000000000" w:firstRow="0" w:lastRow="0" w:firstColumn="0" w:lastColumn="0" w:oddVBand="0" w:evenVBand="0" w:oddHBand="0" w:evenHBand="0" w:firstRowFirstColumn="0" w:firstRowLastColumn="0" w:lastRowFirstColumn="0" w:lastRowLastColumn="0"/>
              <w:rPr>
                <w:rStyle w:val="Strong"/>
              </w:rPr>
            </w:pPr>
            <w:r w:rsidRPr="00BA211A">
              <w:rPr>
                <w:rStyle w:val="Strong"/>
              </w:rPr>
              <w:t>$18</w:t>
            </w:r>
            <w:r w:rsidR="00D21F3B">
              <w:rPr>
                <w:rStyle w:val="Strong"/>
              </w:rPr>
              <w:br/>
            </w:r>
            <w:r w:rsidR="0084674C">
              <w:rPr>
                <w:rStyle w:val="Strong"/>
              </w:rPr>
              <w:t>(+1.8%)</w:t>
            </w:r>
          </w:p>
        </w:tc>
      </w:tr>
      <w:tr w:rsidR="00FB25B5" w:rsidRPr="00EC5608"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FB25B5" w:rsidRPr="00CE701A" w:rsidRDefault="00FB25B5" w:rsidP="00FB25B5">
            <w:pPr>
              <w:rPr>
                <w:rStyle w:val="Strong"/>
              </w:rPr>
            </w:pPr>
            <w:r w:rsidRPr="00CE701A">
              <w:rPr>
                <w:rStyle w:val="Strong"/>
              </w:rPr>
              <w:t>AER final decision</w:t>
            </w:r>
          </w:p>
        </w:tc>
        <w:tc>
          <w:tcPr>
            <w:tcW w:w="897" w:type="dxa"/>
            <w:noWrap/>
            <w:vAlign w:val="bottom"/>
          </w:tcPr>
          <w:p w:rsidR="00FB25B5" w:rsidRPr="00CE701A" w:rsidRDefault="00FB25B5" w:rsidP="00FB25B5">
            <w:pPr>
              <w:cnfStyle w:val="000000010000" w:firstRow="0" w:lastRow="0" w:firstColumn="0" w:lastColumn="0" w:oddVBand="0" w:evenVBand="0" w:oddHBand="0" w:evenHBand="1" w:firstRowFirstColumn="0" w:firstRowLastColumn="0" w:lastRowFirstColumn="0" w:lastRowLastColumn="0"/>
            </w:pPr>
          </w:p>
        </w:tc>
        <w:tc>
          <w:tcPr>
            <w:tcW w:w="898" w:type="dxa"/>
            <w:noWrap/>
            <w:vAlign w:val="bottom"/>
          </w:tcPr>
          <w:p w:rsidR="00FB25B5" w:rsidRPr="00CE701A" w:rsidRDefault="00FB25B5" w:rsidP="00FB25B5">
            <w:pPr>
              <w:cnfStyle w:val="000000010000" w:firstRow="0" w:lastRow="0" w:firstColumn="0" w:lastColumn="0" w:oddVBand="0" w:evenVBand="0" w:oddHBand="0" w:evenHBand="1" w:firstRowFirstColumn="0" w:firstRowLastColumn="0" w:lastRowFirstColumn="0" w:lastRowLastColumn="0"/>
            </w:pPr>
          </w:p>
        </w:tc>
        <w:tc>
          <w:tcPr>
            <w:tcW w:w="898" w:type="dxa"/>
            <w:noWrap/>
            <w:vAlign w:val="bottom"/>
          </w:tcPr>
          <w:p w:rsidR="00FB25B5" w:rsidRPr="00CE701A" w:rsidRDefault="00FB25B5" w:rsidP="00FB25B5">
            <w:pPr>
              <w:cnfStyle w:val="000000010000" w:firstRow="0" w:lastRow="0" w:firstColumn="0" w:lastColumn="0" w:oddVBand="0" w:evenVBand="0" w:oddHBand="0" w:evenHBand="1" w:firstRowFirstColumn="0" w:firstRowLastColumn="0" w:lastRowFirstColumn="0" w:lastRowLastColumn="0"/>
            </w:pPr>
          </w:p>
        </w:tc>
        <w:tc>
          <w:tcPr>
            <w:tcW w:w="897" w:type="dxa"/>
            <w:noWrap/>
            <w:vAlign w:val="bottom"/>
          </w:tcPr>
          <w:p w:rsidR="00FB25B5" w:rsidRPr="00CE701A" w:rsidRDefault="00FB25B5" w:rsidP="00FB25B5">
            <w:pPr>
              <w:cnfStyle w:val="000000010000" w:firstRow="0" w:lastRow="0" w:firstColumn="0" w:lastColumn="0" w:oddVBand="0" w:evenVBand="0" w:oddHBand="0" w:evenHBand="1" w:firstRowFirstColumn="0" w:firstRowLastColumn="0" w:lastRowFirstColumn="0" w:lastRowLastColumn="0"/>
            </w:pPr>
          </w:p>
        </w:tc>
        <w:tc>
          <w:tcPr>
            <w:tcW w:w="898" w:type="dxa"/>
            <w:noWrap/>
            <w:vAlign w:val="bottom"/>
          </w:tcPr>
          <w:p w:rsidR="00FB25B5" w:rsidRPr="00CE701A" w:rsidRDefault="00FB25B5" w:rsidP="00FB25B5">
            <w:pPr>
              <w:cnfStyle w:val="000000010000" w:firstRow="0" w:lastRow="0" w:firstColumn="0" w:lastColumn="0" w:oddVBand="0" w:evenVBand="0" w:oddHBand="0" w:evenHBand="1" w:firstRowFirstColumn="0" w:firstRowLastColumn="0" w:lastRowFirstColumn="0" w:lastRowLastColumn="0"/>
            </w:pPr>
          </w:p>
        </w:tc>
        <w:tc>
          <w:tcPr>
            <w:tcW w:w="898" w:type="dxa"/>
            <w:noWrap/>
            <w:vAlign w:val="bottom"/>
          </w:tcPr>
          <w:p w:rsidR="00FB25B5" w:rsidRPr="00CE701A" w:rsidRDefault="00FB25B5" w:rsidP="00FB25B5">
            <w:pPr>
              <w:cnfStyle w:val="000000010000" w:firstRow="0" w:lastRow="0" w:firstColumn="0" w:lastColumn="0" w:oddVBand="0" w:evenVBand="0" w:oddHBand="0" w:evenHBand="1" w:firstRowFirstColumn="0" w:firstRowLastColumn="0" w:lastRowFirstColumn="0" w:lastRowLastColumn="0"/>
            </w:pPr>
          </w:p>
        </w:tc>
      </w:tr>
      <w:tr w:rsidR="00A073F1" w:rsidRPr="00EC5608" w:rsidTr="006D4F27">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A073F1" w:rsidRPr="00A073F1" w:rsidRDefault="00A073F1" w:rsidP="00A073F1">
            <w:r w:rsidRPr="00A073F1">
              <w:t>Residential annual gas bill</w:t>
            </w:r>
            <w:r w:rsidRPr="00A073F1">
              <w:rPr>
                <w:rStyle w:val="AERsuperscript"/>
              </w:rPr>
              <w:t>a</w:t>
            </w:r>
          </w:p>
        </w:tc>
        <w:tc>
          <w:tcPr>
            <w:tcW w:w="897" w:type="dxa"/>
            <w:noWrap/>
          </w:tcPr>
          <w:p w:rsidR="00A073F1" w:rsidRPr="00A073F1" w:rsidRDefault="00A073F1" w:rsidP="00A073F1">
            <w:pPr>
              <w:cnfStyle w:val="000000000000" w:firstRow="0" w:lastRow="0" w:firstColumn="0" w:lastColumn="0" w:oddVBand="0" w:evenVBand="0" w:oddHBand="0" w:evenHBand="0" w:firstRowFirstColumn="0" w:firstRowLastColumn="0" w:lastRowFirstColumn="0" w:lastRowLastColumn="0"/>
            </w:pPr>
            <w:r w:rsidRPr="00A073F1">
              <w:t>$1</w:t>
            </w:r>
            <w:r w:rsidR="00CD1A33">
              <w:t>,</w:t>
            </w:r>
            <w:r w:rsidRPr="00A073F1">
              <w:t>042</w:t>
            </w:r>
          </w:p>
        </w:tc>
        <w:tc>
          <w:tcPr>
            <w:tcW w:w="898" w:type="dxa"/>
            <w:noWrap/>
          </w:tcPr>
          <w:p w:rsidR="00A073F1" w:rsidRPr="00A073F1" w:rsidRDefault="00A073F1" w:rsidP="00A073F1">
            <w:pPr>
              <w:cnfStyle w:val="000000000000" w:firstRow="0" w:lastRow="0" w:firstColumn="0" w:lastColumn="0" w:oddVBand="0" w:evenVBand="0" w:oddHBand="0" w:evenHBand="0" w:firstRowFirstColumn="0" w:firstRowLastColumn="0" w:lastRowFirstColumn="0" w:lastRowLastColumn="0"/>
            </w:pPr>
            <w:r w:rsidRPr="00A073F1">
              <w:t>$946</w:t>
            </w:r>
          </w:p>
        </w:tc>
        <w:tc>
          <w:tcPr>
            <w:tcW w:w="898" w:type="dxa"/>
            <w:noWrap/>
          </w:tcPr>
          <w:p w:rsidR="00A073F1" w:rsidRPr="00A073F1" w:rsidRDefault="00A073F1" w:rsidP="00A073F1">
            <w:pPr>
              <w:cnfStyle w:val="000000000000" w:firstRow="0" w:lastRow="0" w:firstColumn="0" w:lastColumn="0" w:oddVBand="0" w:evenVBand="0" w:oddHBand="0" w:evenHBand="0" w:firstRowFirstColumn="0" w:firstRowLastColumn="0" w:lastRowFirstColumn="0" w:lastRowLastColumn="0"/>
            </w:pPr>
            <w:r w:rsidRPr="00A073F1">
              <w:t>$934</w:t>
            </w:r>
          </w:p>
        </w:tc>
        <w:tc>
          <w:tcPr>
            <w:tcW w:w="897" w:type="dxa"/>
            <w:noWrap/>
          </w:tcPr>
          <w:p w:rsidR="00A073F1" w:rsidRPr="00A073F1" w:rsidRDefault="00A073F1" w:rsidP="00A073F1">
            <w:pPr>
              <w:cnfStyle w:val="000000000000" w:firstRow="0" w:lastRow="0" w:firstColumn="0" w:lastColumn="0" w:oddVBand="0" w:evenVBand="0" w:oddHBand="0" w:evenHBand="0" w:firstRowFirstColumn="0" w:firstRowLastColumn="0" w:lastRowFirstColumn="0" w:lastRowLastColumn="0"/>
            </w:pPr>
            <w:r w:rsidRPr="00A073F1">
              <w:t>$946</w:t>
            </w:r>
          </w:p>
        </w:tc>
        <w:tc>
          <w:tcPr>
            <w:tcW w:w="898" w:type="dxa"/>
            <w:noWrap/>
          </w:tcPr>
          <w:p w:rsidR="00A073F1" w:rsidRPr="00A073F1" w:rsidRDefault="00A073F1" w:rsidP="00A073F1">
            <w:pPr>
              <w:cnfStyle w:val="000000000000" w:firstRow="0" w:lastRow="0" w:firstColumn="0" w:lastColumn="0" w:oddVBand="0" w:evenVBand="0" w:oddHBand="0" w:evenHBand="0" w:firstRowFirstColumn="0" w:firstRowLastColumn="0" w:lastRowFirstColumn="0" w:lastRowLastColumn="0"/>
            </w:pPr>
            <w:r w:rsidRPr="00A073F1">
              <w:t>$967</w:t>
            </w:r>
          </w:p>
        </w:tc>
        <w:tc>
          <w:tcPr>
            <w:tcW w:w="898" w:type="dxa"/>
            <w:noWrap/>
          </w:tcPr>
          <w:p w:rsidR="00A073F1" w:rsidRPr="00A073F1" w:rsidRDefault="00A073F1" w:rsidP="00A073F1">
            <w:pPr>
              <w:cnfStyle w:val="000000000000" w:firstRow="0" w:lastRow="0" w:firstColumn="0" w:lastColumn="0" w:oddVBand="0" w:evenVBand="0" w:oddHBand="0" w:evenHBand="0" w:firstRowFirstColumn="0" w:firstRowLastColumn="0" w:lastRowFirstColumn="0" w:lastRowLastColumn="0"/>
            </w:pPr>
            <w:r w:rsidRPr="00A073F1">
              <w:t>$976</w:t>
            </w:r>
          </w:p>
        </w:tc>
      </w:tr>
      <w:tr w:rsidR="00A073F1" w:rsidRPr="00EC5608"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A073F1" w:rsidRPr="00A073F1" w:rsidRDefault="00A073F1" w:rsidP="00A073F1">
            <w:r w:rsidRPr="00A073F1">
              <w:t xml:space="preserve">Annual change in JGN's distribution bill component </w:t>
            </w:r>
          </w:p>
        </w:tc>
        <w:tc>
          <w:tcPr>
            <w:tcW w:w="897" w:type="dxa"/>
            <w:noWrap/>
          </w:tcPr>
          <w:p w:rsidR="00A073F1" w:rsidRPr="00A073F1" w:rsidRDefault="00A073F1" w:rsidP="00A073F1">
            <w:pPr>
              <w:cnfStyle w:val="000000010000" w:firstRow="0" w:lastRow="0" w:firstColumn="0" w:lastColumn="0" w:oddVBand="0" w:evenVBand="0" w:oddHBand="0" w:evenHBand="1" w:firstRowFirstColumn="0" w:firstRowLastColumn="0" w:lastRowFirstColumn="0" w:lastRowLastColumn="0"/>
            </w:pPr>
            <w:r w:rsidRPr="00A073F1">
              <w:t> </w:t>
            </w:r>
          </w:p>
        </w:tc>
        <w:tc>
          <w:tcPr>
            <w:tcW w:w="898" w:type="dxa"/>
            <w:noWrap/>
          </w:tcPr>
          <w:p w:rsidR="00A073F1" w:rsidRPr="00A073F1" w:rsidRDefault="00A073F1" w:rsidP="00A073F1">
            <w:pPr>
              <w:cnfStyle w:val="000000010000" w:firstRow="0" w:lastRow="0" w:firstColumn="0" w:lastColumn="0" w:oddVBand="0" w:evenVBand="0" w:oddHBand="0" w:evenHBand="1" w:firstRowFirstColumn="0" w:firstRowLastColumn="0" w:lastRowFirstColumn="0" w:lastRowLastColumn="0"/>
            </w:pPr>
            <w:r>
              <w:t>–</w:t>
            </w:r>
            <w:r w:rsidRPr="00A073F1">
              <w:t>$96</w:t>
            </w:r>
          </w:p>
        </w:tc>
        <w:tc>
          <w:tcPr>
            <w:tcW w:w="898" w:type="dxa"/>
            <w:noWrap/>
          </w:tcPr>
          <w:p w:rsidR="00A073F1" w:rsidRPr="00A073F1" w:rsidRDefault="00A073F1" w:rsidP="00A073F1">
            <w:pPr>
              <w:cnfStyle w:val="000000010000" w:firstRow="0" w:lastRow="0" w:firstColumn="0" w:lastColumn="0" w:oddVBand="0" w:evenVBand="0" w:oddHBand="0" w:evenHBand="1" w:firstRowFirstColumn="0" w:firstRowLastColumn="0" w:lastRowFirstColumn="0" w:lastRowLastColumn="0"/>
            </w:pPr>
            <w:r>
              <w:t>–</w:t>
            </w:r>
            <w:r w:rsidRPr="00A073F1">
              <w:t>$41</w:t>
            </w:r>
          </w:p>
        </w:tc>
        <w:tc>
          <w:tcPr>
            <w:tcW w:w="897" w:type="dxa"/>
            <w:noWrap/>
          </w:tcPr>
          <w:p w:rsidR="00A073F1" w:rsidRPr="00A073F1" w:rsidRDefault="00A073F1" w:rsidP="00A073F1">
            <w:pPr>
              <w:cnfStyle w:val="000000010000" w:firstRow="0" w:lastRow="0" w:firstColumn="0" w:lastColumn="0" w:oddVBand="0" w:evenVBand="0" w:oddHBand="0" w:evenHBand="1" w:firstRowFirstColumn="0" w:firstRowLastColumn="0" w:lastRowFirstColumn="0" w:lastRowLastColumn="0"/>
            </w:pPr>
            <w:r>
              <w:t>–</w:t>
            </w:r>
            <w:r w:rsidRPr="00A073F1">
              <w:t>$18</w:t>
            </w:r>
          </w:p>
        </w:tc>
        <w:tc>
          <w:tcPr>
            <w:tcW w:w="898" w:type="dxa"/>
            <w:noWrap/>
          </w:tcPr>
          <w:p w:rsidR="00A073F1" w:rsidRPr="00A073F1" w:rsidRDefault="00A073F1" w:rsidP="00A073F1">
            <w:pPr>
              <w:cnfStyle w:val="000000010000" w:firstRow="0" w:lastRow="0" w:firstColumn="0" w:lastColumn="0" w:oddVBand="0" w:evenVBand="0" w:oddHBand="0" w:evenHBand="1" w:firstRowFirstColumn="0" w:firstRowLastColumn="0" w:lastRowFirstColumn="0" w:lastRowLastColumn="0"/>
            </w:pPr>
            <w:r>
              <w:t>–</w:t>
            </w:r>
            <w:r w:rsidRPr="00A073F1">
              <w:t>$9</w:t>
            </w:r>
          </w:p>
        </w:tc>
        <w:tc>
          <w:tcPr>
            <w:tcW w:w="898" w:type="dxa"/>
            <w:noWrap/>
          </w:tcPr>
          <w:p w:rsidR="00A073F1" w:rsidRPr="00A073F1" w:rsidRDefault="00A073F1" w:rsidP="00A073F1">
            <w:pPr>
              <w:cnfStyle w:val="000000010000" w:firstRow="0" w:lastRow="0" w:firstColumn="0" w:lastColumn="0" w:oddVBand="0" w:evenVBand="0" w:oddHBand="0" w:evenHBand="1" w:firstRowFirstColumn="0" w:firstRowLastColumn="0" w:lastRowFirstColumn="0" w:lastRowLastColumn="0"/>
            </w:pPr>
            <w:r w:rsidRPr="00A073F1">
              <w:t>$9</w:t>
            </w:r>
          </w:p>
        </w:tc>
      </w:tr>
      <w:tr w:rsidR="00A073F1" w:rsidRPr="00EC5608" w:rsidTr="006D4F27">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A073F1" w:rsidRPr="00A073F1" w:rsidRDefault="00A073F1" w:rsidP="00A073F1">
            <w:r w:rsidRPr="00A073F1">
              <w:t>Annual change in wholesale gas price bill component</w:t>
            </w:r>
          </w:p>
        </w:tc>
        <w:tc>
          <w:tcPr>
            <w:tcW w:w="897" w:type="dxa"/>
            <w:noWrap/>
          </w:tcPr>
          <w:p w:rsidR="00A073F1" w:rsidRPr="00A073F1" w:rsidRDefault="00A073F1" w:rsidP="00A073F1">
            <w:pPr>
              <w:cnfStyle w:val="000000000000" w:firstRow="0" w:lastRow="0" w:firstColumn="0" w:lastColumn="0" w:oddVBand="0" w:evenVBand="0" w:oddHBand="0" w:evenHBand="0" w:firstRowFirstColumn="0" w:firstRowLastColumn="0" w:lastRowFirstColumn="0" w:lastRowLastColumn="0"/>
            </w:pPr>
          </w:p>
        </w:tc>
        <w:tc>
          <w:tcPr>
            <w:tcW w:w="898" w:type="dxa"/>
            <w:noWrap/>
          </w:tcPr>
          <w:p w:rsidR="00A073F1" w:rsidRPr="00A073F1" w:rsidRDefault="00A073F1" w:rsidP="00A073F1">
            <w:pPr>
              <w:cnfStyle w:val="000000000000" w:firstRow="0" w:lastRow="0" w:firstColumn="0" w:lastColumn="0" w:oddVBand="0" w:evenVBand="0" w:oddHBand="0" w:evenHBand="0" w:firstRowFirstColumn="0" w:firstRowLastColumn="0" w:lastRowFirstColumn="0" w:lastRowLastColumn="0"/>
            </w:pPr>
            <w:r w:rsidRPr="00A073F1">
              <w:t>$0</w:t>
            </w:r>
          </w:p>
        </w:tc>
        <w:tc>
          <w:tcPr>
            <w:tcW w:w="898" w:type="dxa"/>
            <w:noWrap/>
          </w:tcPr>
          <w:p w:rsidR="00A073F1" w:rsidRPr="00A073F1" w:rsidRDefault="00A073F1" w:rsidP="00A073F1">
            <w:pPr>
              <w:cnfStyle w:val="000000000000" w:firstRow="0" w:lastRow="0" w:firstColumn="0" w:lastColumn="0" w:oddVBand="0" w:evenVBand="0" w:oddHBand="0" w:evenHBand="0" w:firstRowFirstColumn="0" w:firstRowLastColumn="0" w:lastRowFirstColumn="0" w:lastRowLastColumn="0"/>
            </w:pPr>
            <w:r w:rsidRPr="00A073F1">
              <w:t>$30</w:t>
            </w:r>
          </w:p>
        </w:tc>
        <w:tc>
          <w:tcPr>
            <w:tcW w:w="897" w:type="dxa"/>
            <w:noWrap/>
          </w:tcPr>
          <w:p w:rsidR="00A073F1" w:rsidRPr="00A073F1" w:rsidRDefault="00A073F1" w:rsidP="00A073F1">
            <w:pPr>
              <w:cnfStyle w:val="000000000000" w:firstRow="0" w:lastRow="0" w:firstColumn="0" w:lastColumn="0" w:oddVBand="0" w:evenVBand="0" w:oddHBand="0" w:evenHBand="0" w:firstRowFirstColumn="0" w:firstRowLastColumn="0" w:lastRowFirstColumn="0" w:lastRowLastColumn="0"/>
            </w:pPr>
            <w:r w:rsidRPr="00A073F1">
              <w:t>$30</w:t>
            </w:r>
          </w:p>
        </w:tc>
        <w:tc>
          <w:tcPr>
            <w:tcW w:w="898" w:type="dxa"/>
            <w:noWrap/>
          </w:tcPr>
          <w:p w:rsidR="00A073F1" w:rsidRPr="00A073F1" w:rsidRDefault="00A073F1" w:rsidP="00A073F1">
            <w:pPr>
              <w:cnfStyle w:val="000000000000" w:firstRow="0" w:lastRow="0" w:firstColumn="0" w:lastColumn="0" w:oddVBand="0" w:evenVBand="0" w:oddHBand="0" w:evenHBand="0" w:firstRowFirstColumn="0" w:firstRowLastColumn="0" w:lastRowFirstColumn="0" w:lastRowLastColumn="0"/>
            </w:pPr>
            <w:r w:rsidRPr="00A073F1">
              <w:t>$30</w:t>
            </w:r>
          </w:p>
        </w:tc>
        <w:tc>
          <w:tcPr>
            <w:tcW w:w="898" w:type="dxa"/>
            <w:noWrap/>
          </w:tcPr>
          <w:p w:rsidR="00A073F1" w:rsidRPr="00A073F1" w:rsidRDefault="00A073F1" w:rsidP="00A073F1">
            <w:pPr>
              <w:cnfStyle w:val="000000000000" w:firstRow="0" w:lastRow="0" w:firstColumn="0" w:lastColumn="0" w:oddVBand="0" w:evenVBand="0" w:oddHBand="0" w:evenHBand="0" w:firstRowFirstColumn="0" w:firstRowLastColumn="0" w:lastRowFirstColumn="0" w:lastRowLastColumn="0"/>
            </w:pPr>
            <w:r w:rsidRPr="00A073F1">
              <w:t>$0</w:t>
            </w:r>
          </w:p>
        </w:tc>
      </w:tr>
      <w:tr w:rsidR="00A073F1" w:rsidRPr="00A073F1"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A073F1" w:rsidRPr="00A073F1" w:rsidRDefault="00A073F1" w:rsidP="00A073F1">
            <w:r w:rsidRPr="00A073F1">
              <w:rPr>
                <w:rStyle w:val="Strong"/>
              </w:rPr>
              <w:t>Total change in residential annual gas bill (distribution and wholesale)</w:t>
            </w:r>
          </w:p>
        </w:tc>
        <w:tc>
          <w:tcPr>
            <w:tcW w:w="897" w:type="dxa"/>
            <w:noWrap/>
          </w:tcPr>
          <w:p w:rsidR="00A073F1" w:rsidRPr="00A073F1" w:rsidRDefault="00A073F1" w:rsidP="00A073F1">
            <w:pPr>
              <w:cnfStyle w:val="000000010000" w:firstRow="0" w:lastRow="0" w:firstColumn="0" w:lastColumn="0" w:oddVBand="0" w:evenVBand="0" w:oddHBand="0" w:evenHBand="1" w:firstRowFirstColumn="0" w:firstRowLastColumn="0" w:lastRowFirstColumn="0" w:lastRowLastColumn="0"/>
            </w:pPr>
            <w:r w:rsidRPr="00A073F1">
              <w:t> </w:t>
            </w:r>
          </w:p>
        </w:tc>
        <w:tc>
          <w:tcPr>
            <w:tcW w:w="898" w:type="dxa"/>
            <w:noWrap/>
          </w:tcPr>
          <w:p w:rsidR="00A073F1" w:rsidRPr="00A073F1" w:rsidRDefault="00A073F1" w:rsidP="00D21F3B">
            <w:pPr>
              <w:cnfStyle w:val="000000010000" w:firstRow="0" w:lastRow="0" w:firstColumn="0" w:lastColumn="0" w:oddVBand="0" w:evenVBand="0" w:oddHBand="0" w:evenHBand="1" w:firstRowFirstColumn="0" w:firstRowLastColumn="0" w:lastRowFirstColumn="0" w:lastRowLastColumn="0"/>
              <w:rPr>
                <w:rStyle w:val="Strong"/>
              </w:rPr>
            </w:pPr>
            <w:r>
              <w:rPr>
                <w:rStyle w:val="Strong"/>
              </w:rPr>
              <w:t>–</w:t>
            </w:r>
            <w:r w:rsidRPr="00BA211A">
              <w:rPr>
                <w:rStyle w:val="Strong"/>
              </w:rPr>
              <w:t>$96</w:t>
            </w:r>
            <w:r w:rsidR="00D21F3B">
              <w:rPr>
                <w:rStyle w:val="Strong"/>
              </w:rPr>
              <w:br/>
            </w:r>
            <w:r w:rsidR="0084674C">
              <w:rPr>
                <w:rStyle w:val="Strong"/>
              </w:rPr>
              <w:t>(–9.2%)</w:t>
            </w:r>
          </w:p>
        </w:tc>
        <w:tc>
          <w:tcPr>
            <w:tcW w:w="898" w:type="dxa"/>
            <w:noWrap/>
          </w:tcPr>
          <w:p w:rsidR="00A073F1" w:rsidRPr="00BA211A" w:rsidRDefault="00A073F1" w:rsidP="00685E96">
            <w:pPr>
              <w:cnfStyle w:val="000000010000" w:firstRow="0" w:lastRow="0" w:firstColumn="0" w:lastColumn="0" w:oddVBand="0" w:evenVBand="0" w:oddHBand="0" w:evenHBand="1" w:firstRowFirstColumn="0" w:firstRowLastColumn="0" w:lastRowFirstColumn="0" w:lastRowLastColumn="0"/>
              <w:rPr>
                <w:rStyle w:val="Strong"/>
              </w:rPr>
            </w:pPr>
            <w:r>
              <w:rPr>
                <w:rStyle w:val="Strong"/>
              </w:rPr>
              <w:t>–</w:t>
            </w:r>
            <w:r w:rsidRPr="00BA211A">
              <w:rPr>
                <w:rStyle w:val="Strong"/>
              </w:rPr>
              <w:t>$12</w:t>
            </w:r>
            <w:r w:rsidR="00D21F3B">
              <w:rPr>
                <w:rStyle w:val="Strong"/>
              </w:rPr>
              <w:br/>
            </w:r>
            <w:r w:rsidR="0084674C">
              <w:rPr>
                <w:rStyle w:val="Strong"/>
              </w:rPr>
              <w:t>(–1.2</w:t>
            </w:r>
            <w:r w:rsidR="00017D7C">
              <w:rPr>
                <w:rStyle w:val="Strong"/>
              </w:rPr>
              <w:t xml:space="preserve">%) </w:t>
            </w:r>
          </w:p>
        </w:tc>
        <w:tc>
          <w:tcPr>
            <w:tcW w:w="897" w:type="dxa"/>
            <w:noWrap/>
          </w:tcPr>
          <w:p w:rsidR="00A073F1" w:rsidRPr="00BA211A" w:rsidRDefault="00A073F1" w:rsidP="00685E96">
            <w:pPr>
              <w:cnfStyle w:val="000000010000" w:firstRow="0" w:lastRow="0" w:firstColumn="0" w:lastColumn="0" w:oddVBand="0" w:evenVBand="0" w:oddHBand="0" w:evenHBand="1" w:firstRowFirstColumn="0" w:firstRowLastColumn="0" w:lastRowFirstColumn="0" w:lastRowLastColumn="0"/>
              <w:rPr>
                <w:rStyle w:val="Strong"/>
              </w:rPr>
            </w:pPr>
            <w:r w:rsidRPr="00BA211A">
              <w:rPr>
                <w:rStyle w:val="Strong"/>
              </w:rPr>
              <w:t>$12</w:t>
            </w:r>
            <w:r w:rsidR="00D21F3B">
              <w:rPr>
                <w:rStyle w:val="Strong"/>
              </w:rPr>
              <w:br/>
            </w:r>
            <w:r w:rsidR="00017D7C">
              <w:rPr>
                <w:rStyle w:val="Strong"/>
              </w:rPr>
              <w:t>(+1.3%)</w:t>
            </w:r>
          </w:p>
        </w:tc>
        <w:tc>
          <w:tcPr>
            <w:tcW w:w="898" w:type="dxa"/>
            <w:noWrap/>
          </w:tcPr>
          <w:p w:rsidR="00A073F1" w:rsidRPr="00BA211A" w:rsidRDefault="00A073F1">
            <w:pPr>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BA211A">
              <w:rPr>
                <w:rStyle w:val="Strong"/>
              </w:rPr>
              <w:t>$2</w:t>
            </w:r>
            <w:r w:rsidR="000607A2">
              <w:rPr>
                <w:rStyle w:val="Strong"/>
              </w:rPr>
              <w:t>1</w:t>
            </w:r>
            <w:r w:rsidR="00D21F3B">
              <w:rPr>
                <w:rStyle w:val="Strong"/>
              </w:rPr>
              <w:br/>
            </w:r>
            <w:r w:rsidR="00017D7C">
              <w:rPr>
                <w:rStyle w:val="Strong"/>
              </w:rPr>
              <w:t>(+2.2%)</w:t>
            </w:r>
          </w:p>
        </w:tc>
        <w:tc>
          <w:tcPr>
            <w:tcW w:w="898" w:type="dxa"/>
            <w:noWrap/>
          </w:tcPr>
          <w:p w:rsidR="00A073F1" w:rsidRPr="00BA211A" w:rsidRDefault="00A073F1">
            <w:pPr>
              <w:cnfStyle w:val="000000010000" w:firstRow="0" w:lastRow="0" w:firstColumn="0" w:lastColumn="0" w:oddVBand="0" w:evenVBand="0" w:oddHBand="0" w:evenHBand="1" w:firstRowFirstColumn="0" w:firstRowLastColumn="0" w:lastRowFirstColumn="0" w:lastRowLastColumn="0"/>
              <w:rPr>
                <w:rStyle w:val="Strong"/>
                <w:rFonts w:eastAsiaTheme="minorHAnsi" w:cstheme="minorBidi"/>
                <w:sz w:val="22"/>
                <w:szCs w:val="22"/>
                <w:lang w:eastAsia="en-US"/>
              </w:rPr>
            </w:pPr>
            <w:r w:rsidRPr="00BA211A">
              <w:rPr>
                <w:rStyle w:val="Strong"/>
              </w:rPr>
              <w:t>$9</w:t>
            </w:r>
            <w:r w:rsidR="00D21F3B">
              <w:rPr>
                <w:rStyle w:val="Strong"/>
              </w:rPr>
              <w:br/>
            </w:r>
            <w:r w:rsidR="00017D7C">
              <w:rPr>
                <w:rStyle w:val="Strong"/>
              </w:rPr>
              <w:t>(+0.9%)</w:t>
            </w:r>
          </w:p>
        </w:tc>
      </w:tr>
    </w:tbl>
    <w:p w:rsidR="00FB25B5" w:rsidRPr="00EC5608" w:rsidRDefault="00FB25B5" w:rsidP="00FB25B5">
      <w:pPr>
        <w:pStyle w:val="AERtablesource"/>
      </w:pPr>
      <w:r w:rsidRPr="00EC5608">
        <w:t>Source:</w:t>
      </w:r>
      <w:r w:rsidRPr="00EC5608">
        <w:tab/>
        <w:t xml:space="preserve">AER analysis; JGN, </w:t>
      </w:r>
      <w:r w:rsidRPr="00EC5608">
        <w:rPr>
          <w:rStyle w:val="AERtextitalic"/>
        </w:rPr>
        <w:t>Submissions on draft decision,</w:t>
      </w:r>
      <w:r w:rsidRPr="00EC5608">
        <w:t xml:space="preserve"> </w:t>
      </w:r>
      <w:r w:rsidRPr="00EC5608">
        <w:rPr>
          <w:rStyle w:val="AERtextitalic"/>
        </w:rPr>
        <w:t>Attachment N - updated appendix 10.1 - JGN revenue forecast model</w:t>
      </w:r>
      <w:r w:rsidRPr="00EC5608">
        <w:t xml:space="preserve">, 27 March 2015; JGN, </w:t>
      </w:r>
      <w:r w:rsidRPr="00EC5608">
        <w:rPr>
          <w:rStyle w:val="AERtextitalic"/>
        </w:rPr>
        <w:t>Appendix  03.02 Core Energy models and supporting spreadsheets - revised JGN demand and customer forecast</w:t>
      </w:r>
      <w:r w:rsidRPr="00EC5608">
        <w:t>, February 2015.</w:t>
      </w:r>
    </w:p>
    <w:p w:rsidR="00FB25B5" w:rsidRPr="00EC5608" w:rsidRDefault="00FB25B5" w:rsidP="00FB25B5">
      <w:pPr>
        <w:pStyle w:val="AERtablesource"/>
      </w:pPr>
      <w:r w:rsidRPr="00EC5608">
        <w:t>a</w:t>
      </w:r>
      <w:r w:rsidRPr="00EC5608">
        <w:tab/>
      </w:r>
      <w:r>
        <w:t xml:space="preserve">The </w:t>
      </w:r>
      <w:r w:rsidRPr="00EC5608">
        <w:t xml:space="preserve">2014–15 annual bill </w:t>
      </w:r>
      <w:r>
        <w:t xml:space="preserve">was </w:t>
      </w:r>
      <w:r w:rsidRPr="00EC5608">
        <w:t xml:space="preserve">calculated based on IPART, </w:t>
      </w:r>
      <w:r w:rsidRPr="00EC5608">
        <w:rPr>
          <w:rStyle w:val="AERtextitalic"/>
        </w:rPr>
        <w:t>Fact sheet – Removing carbon costs from regulated gas prices</w:t>
      </w:r>
      <w:r w:rsidRPr="00EC5608">
        <w:t xml:space="preserve">, 15 August 2014. </w:t>
      </w:r>
      <w:r>
        <w:t xml:space="preserve">The </w:t>
      </w:r>
      <w:r w:rsidRPr="00EC5608">
        <w:t xml:space="preserve">2015–16 to 2019–20 annual bills </w:t>
      </w:r>
      <w:r>
        <w:t xml:space="preserve">were </w:t>
      </w:r>
      <w:r w:rsidRPr="00EC5608">
        <w:t xml:space="preserve">calculated </w:t>
      </w:r>
      <w:r>
        <w:t xml:space="preserve">from this starting point, </w:t>
      </w:r>
      <w:r w:rsidRPr="00EC5608">
        <w:t xml:space="preserve">applying </w:t>
      </w:r>
      <w:r>
        <w:t xml:space="preserve">each year </w:t>
      </w:r>
      <w:r w:rsidRPr="00EC5608">
        <w:t>the weighted average price change (CPI</w:t>
      </w:r>
      <w:r w:rsidR="00345EFF">
        <w:t>–</w:t>
      </w:r>
      <w:r>
        <w:t xml:space="preserve">X) to the distribution charge component, and </w:t>
      </w:r>
      <w:r w:rsidRPr="00EC5608">
        <w:t>JGN</w:t>
      </w:r>
      <w:r>
        <w:t>'s</w:t>
      </w:r>
      <w:r w:rsidRPr="00EC5608">
        <w:t xml:space="preserve"> forecast increase to </w:t>
      </w:r>
      <w:r>
        <w:t xml:space="preserve">the </w:t>
      </w:r>
      <w:r w:rsidRPr="00EC5608">
        <w:t xml:space="preserve">wholesale gas price </w:t>
      </w:r>
      <w:r>
        <w:t>component</w:t>
      </w:r>
      <w:r w:rsidRPr="00EC5608">
        <w:t>. All other component</w:t>
      </w:r>
      <w:r>
        <w:t>s</w:t>
      </w:r>
      <w:r w:rsidRPr="00EC5608">
        <w:t xml:space="preserve"> of the bill </w:t>
      </w:r>
      <w:r>
        <w:t>are</w:t>
      </w:r>
      <w:r w:rsidRPr="00EC5608">
        <w:t xml:space="preserve"> assumed to</w:t>
      </w:r>
      <w:r>
        <w:t xml:space="preserve"> be</w:t>
      </w:r>
      <w:r w:rsidRPr="00EC5608">
        <w:t xml:space="preserve"> h</w:t>
      </w:r>
      <w:r>
        <w:t>e</w:t>
      </w:r>
      <w:r w:rsidRPr="00EC5608">
        <w:t>ld constant.</w:t>
      </w:r>
    </w:p>
    <w:p w:rsidR="00011C7C" w:rsidRDefault="00FB25B5" w:rsidP="00011C7C">
      <w:r>
        <w:fldChar w:fldCharType="begin"/>
      </w:r>
      <w:r>
        <w:instrText xml:space="preserve"> REF _Ref419734224 \h </w:instrText>
      </w:r>
      <w:r>
        <w:fldChar w:fldCharType="separate"/>
      </w:r>
      <w:r w:rsidR="009037A2">
        <w:t xml:space="preserve">Table </w:t>
      </w:r>
      <w:r w:rsidR="009037A2">
        <w:rPr>
          <w:noProof/>
        </w:rPr>
        <w:t>5</w:t>
      </w:r>
      <w:r>
        <w:fldChar w:fldCharType="end"/>
      </w:r>
      <w:r>
        <w:t xml:space="preserve"> presents the indicative</w:t>
      </w:r>
      <w:r w:rsidRPr="00FB25B5">
        <w:t xml:space="preserve"> </w:t>
      </w:r>
      <w:r w:rsidRPr="00EC5608">
        <w:t>impact o</w:t>
      </w:r>
      <w:r>
        <w:t>f our final decision and potential wholesale gas price increases on small</w:t>
      </w:r>
      <w:r w:rsidRPr="00EC5608">
        <w:t xml:space="preserve"> </w:t>
      </w:r>
      <w:r>
        <w:t>business cu</w:t>
      </w:r>
      <w:r w:rsidRPr="00EC5608">
        <w:t>stomer annual gas bill</w:t>
      </w:r>
      <w:r>
        <w:t>s</w:t>
      </w:r>
      <w:r w:rsidRPr="00EC5608">
        <w:t xml:space="preserve"> in JGN's distribution area over the 2015–20 access arrangement period</w:t>
      </w:r>
      <w:r>
        <w:t>.</w:t>
      </w:r>
    </w:p>
    <w:p w:rsidR="00EC5608" w:rsidRPr="00EC5608" w:rsidRDefault="00F81556" w:rsidP="00F81556">
      <w:pPr>
        <w:pStyle w:val="Caption"/>
      </w:pPr>
      <w:bookmarkStart w:id="81" w:name="_Ref419734224"/>
      <w:r>
        <w:t xml:space="preserve">Table </w:t>
      </w:r>
      <w:fldSimple w:instr=" SEQ Table \* ARABIC ">
        <w:r w:rsidR="009037A2">
          <w:rPr>
            <w:noProof/>
          </w:rPr>
          <w:t>5</w:t>
        </w:r>
      </w:fldSimple>
      <w:bookmarkEnd w:id="81"/>
      <w:r w:rsidR="00EC5608">
        <w:tab/>
      </w:r>
      <w:r w:rsidR="00EC5608" w:rsidRPr="00EC5608">
        <w:t>Indicative impact o</w:t>
      </w:r>
      <w:r w:rsidR="00EC5608">
        <w:t xml:space="preserve">f final decision </w:t>
      </w:r>
      <w:r w:rsidR="00FB25B5">
        <w:t>and potential wholesale gas price increases—</w:t>
      </w:r>
      <w:r w:rsidR="00EC5608">
        <w:t>small</w:t>
      </w:r>
      <w:r w:rsidR="00EC5608" w:rsidRPr="00EC5608">
        <w:t xml:space="preserve"> </w:t>
      </w:r>
      <w:r w:rsidR="00EC5608">
        <w:t>business cu</w:t>
      </w:r>
      <w:r w:rsidR="00EC5608" w:rsidRPr="00EC5608">
        <w:t>stomer</w:t>
      </w:r>
      <w:r w:rsidR="00FB25B5">
        <w:t>s</w:t>
      </w:r>
      <w:r w:rsidR="00EC5608" w:rsidRPr="00EC5608">
        <w:t xml:space="preserve">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EC5608" w:rsidRPr="00EC5608" w:rsidTr="006D4F2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EC5608" w:rsidRPr="00EC5608" w:rsidRDefault="00EC5608" w:rsidP="00EC5608"/>
        </w:tc>
        <w:tc>
          <w:tcPr>
            <w:tcW w:w="897" w:type="dxa"/>
            <w:noWrap/>
            <w:hideMark/>
          </w:tcPr>
          <w:p w:rsidR="00EC5608" w:rsidRPr="00EC5608" w:rsidRDefault="00EC5608" w:rsidP="00EC5608">
            <w:pPr>
              <w:cnfStyle w:val="100000000000" w:firstRow="1" w:lastRow="0" w:firstColumn="0" w:lastColumn="0" w:oddVBand="0" w:evenVBand="0" w:oddHBand="0" w:evenHBand="0" w:firstRowFirstColumn="0" w:firstRowLastColumn="0" w:lastRowFirstColumn="0" w:lastRowLastColumn="0"/>
            </w:pPr>
            <w:r w:rsidRPr="00EC5608">
              <w:t>2014–15</w:t>
            </w:r>
          </w:p>
        </w:tc>
        <w:tc>
          <w:tcPr>
            <w:tcW w:w="898" w:type="dxa"/>
            <w:noWrap/>
            <w:hideMark/>
          </w:tcPr>
          <w:p w:rsidR="00EC5608" w:rsidRPr="00EC5608" w:rsidRDefault="00EC5608" w:rsidP="00EC5608">
            <w:pPr>
              <w:cnfStyle w:val="100000000000" w:firstRow="1" w:lastRow="0" w:firstColumn="0" w:lastColumn="0" w:oddVBand="0" w:evenVBand="0" w:oddHBand="0" w:evenHBand="0" w:firstRowFirstColumn="0" w:firstRowLastColumn="0" w:lastRowFirstColumn="0" w:lastRowLastColumn="0"/>
            </w:pPr>
            <w:r w:rsidRPr="00EC5608">
              <w:t>2015–16</w:t>
            </w:r>
          </w:p>
        </w:tc>
        <w:tc>
          <w:tcPr>
            <w:tcW w:w="898" w:type="dxa"/>
            <w:noWrap/>
            <w:hideMark/>
          </w:tcPr>
          <w:p w:rsidR="00EC5608" w:rsidRPr="00EC5608" w:rsidRDefault="00EC5608" w:rsidP="00EC5608">
            <w:pPr>
              <w:cnfStyle w:val="100000000000" w:firstRow="1" w:lastRow="0" w:firstColumn="0" w:lastColumn="0" w:oddVBand="0" w:evenVBand="0" w:oddHBand="0" w:evenHBand="0" w:firstRowFirstColumn="0" w:firstRowLastColumn="0" w:lastRowFirstColumn="0" w:lastRowLastColumn="0"/>
            </w:pPr>
            <w:r w:rsidRPr="00EC5608">
              <w:t>2016–17</w:t>
            </w:r>
          </w:p>
        </w:tc>
        <w:tc>
          <w:tcPr>
            <w:tcW w:w="897" w:type="dxa"/>
            <w:noWrap/>
            <w:hideMark/>
          </w:tcPr>
          <w:p w:rsidR="00EC5608" w:rsidRPr="00EC5608" w:rsidRDefault="00EC5608" w:rsidP="00EC5608">
            <w:pPr>
              <w:cnfStyle w:val="100000000000" w:firstRow="1" w:lastRow="0" w:firstColumn="0" w:lastColumn="0" w:oddVBand="0" w:evenVBand="0" w:oddHBand="0" w:evenHBand="0" w:firstRowFirstColumn="0" w:firstRowLastColumn="0" w:lastRowFirstColumn="0" w:lastRowLastColumn="0"/>
            </w:pPr>
            <w:r w:rsidRPr="00EC5608">
              <w:t>2017–18</w:t>
            </w:r>
          </w:p>
        </w:tc>
        <w:tc>
          <w:tcPr>
            <w:tcW w:w="898" w:type="dxa"/>
            <w:noWrap/>
            <w:hideMark/>
          </w:tcPr>
          <w:p w:rsidR="00EC5608" w:rsidRPr="00EC5608" w:rsidRDefault="00EC5608" w:rsidP="00EC5608">
            <w:pPr>
              <w:cnfStyle w:val="100000000000" w:firstRow="1" w:lastRow="0" w:firstColumn="0" w:lastColumn="0" w:oddVBand="0" w:evenVBand="0" w:oddHBand="0" w:evenHBand="0" w:firstRowFirstColumn="0" w:firstRowLastColumn="0" w:lastRowFirstColumn="0" w:lastRowLastColumn="0"/>
            </w:pPr>
            <w:r w:rsidRPr="00EC5608">
              <w:t>2018–19</w:t>
            </w:r>
          </w:p>
        </w:tc>
        <w:tc>
          <w:tcPr>
            <w:tcW w:w="898" w:type="dxa"/>
            <w:noWrap/>
            <w:hideMark/>
          </w:tcPr>
          <w:p w:rsidR="00EC5608" w:rsidRPr="00EC5608" w:rsidRDefault="00EC5608" w:rsidP="00EC5608">
            <w:pPr>
              <w:cnfStyle w:val="100000000000" w:firstRow="1" w:lastRow="0" w:firstColumn="0" w:lastColumn="0" w:oddVBand="0" w:evenVBand="0" w:oddHBand="0" w:evenHBand="0" w:firstRowFirstColumn="0" w:firstRowLastColumn="0" w:lastRowFirstColumn="0" w:lastRowLastColumn="0"/>
            </w:pPr>
            <w:r w:rsidRPr="00EC5608">
              <w:t>2019–20</w:t>
            </w:r>
          </w:p>
        </w:tc>
      </w:tr>
      <w:tr w:rsidR="00EC5608" w:rsidRPr="00EC5608" w:rsidTr="006D4F27">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EC5608" w:rsidRPr="00EC5608" w:rsidRDefault="00EC5608" w:rsidP="00EC5608">
            <w:pPr>
              <w:rPr>
                <w:rStyle w:val="Strong"/>
              </w:rPr>
            </w:pPr>
            <w:r w:rsidRPr="00EC5608">
              <w:rPr>
                <w:rStyle w:val="Strong"/>
              </w:rPr>
              <w:t>JGN revised proposal</w:t>
            </w:r>
          </w:p>
        </w:tc>
        <w:tc>
          <w:tcPr>
            <w:tcW w:w="897" w:type="dxa"/>
            <w:noWrap/>
          </w:tcPr>
          <w:p w:rsidR="00EC5608" w:rsidRPr="00EC5608" w:rsidRDefault="00EC5608" w:rsidP="00EC5608">
            <w:pPr>
              <w:cnfStyle w:val="000000000000" w:firstRow="0" w:lastRow="0" w:firstColumn="0" w:lastColumn="0" w:oddVBand="0" w:evenVBand="0" w:oddHBand="0" w:evenHBand="0" w:firstRowFirstColumn="0" w:firstRowLastColumn="0" w:lastRowFirstColumn="0" w:lastRowLastColumn="0"/>
            </w:pPr>
          </w:p>
        </w:tc>
        <w:tc>
          <w:tcPr>
            <w:tcW w:w="898" w:type="dxa"/>
            <w:noWrap/>
          </w:tcPr>
          <w:p w:rsidR="00EC5608" w:rsidRPr="00EC5608" w:rsidRDefault="00EC5608" w:rsidP="00EC5608">
            <w:pPr>
              <w:cnfStyle w:val="000000000000" w:firstRow="0" w:lastRow="0" w:firstColumn="0" w:lastColumn="0" w:oddVBand="0" w:evenVBand="0" w:oddHBand="0" w:evenHBand="0" w:firstRowFirstColumn="0" w:firstRowLastColumn="0" w:lastRowFirstColumn="0" w:lastRowLastColumn="0"/>
            </w:pPr>
          </w:p>
        </w:tc>
        <w:tc>
          <w:tcPr>
            <w:tcW w:w="898" w:type="dxa"/>
            <w:noWrap/>
          </w:tcPr>
          <w:p w:rsidR="00EC5608" w:rsidRPr="00EC5608" w:rsidRDefault="00EC5608" w:rsidP="00EC5608">
            <w:pPr>
              <w:cnfStyle w:val="000000000000" w:firstRow="0" w:lastRow="0" w:firstColumn="0" w:lastColumn="0" w:oddVBand="0" w:evenVBand="0" w:oddHBand="0" w:evenHBand="0" w:firstRowFirstColumn="0" w:firstRowLastColumn="0" w:lastRowFirstColumn="0" w:lastRowLastColumn="0"/>
            </w:pPr>
          </w:p>
        </w:tc>
        <w:tc>
          <w:tcPr>
            <w:tcW w:w="897" w:type="dxa"/>
            <w:noWrap/>
          </w:tcPr>
          <w:p w:rsidR="00EC5608" w:rsidRPr="00EC5608" w:rsidRDefault="00EC5608" w:rsidP="00EC5608">
            <w:pPr>
              <w:cnfStyle w:val="000000000000" w:firstRow="0" w:lastRow="0" w:firstColumn="0" w:lastColumn="0" w:oddVBand="0" w:evenVBand="0" w:oddHBand="0" w:evenHBand="0" w:firstRowFirstColumn="0" w:firstRowLastColumn="0" w:lastRowFirstColumn="0" w:lastRowLastColumn="0"/>
            </w:pPr>
          </w:p>
        </w:tc>
        <w:tc>
          <w:tcPr>
            <w:tcW w:w="898" w:type="dxa"/>
            <w:noWrap/>
          </w:tcPr>
          <w:p w:rsidR="00EC5608" w:rsidRPr="00EC5608" w:rsidRDefault="00EC5608" w:rsidP="00EC5608">
            <w:pPr>
              <w:cnfStyle w:val="000000000000" w:firstRow="0" w:lastRow="0" w:firstColumn="0" w:lastColumn="0" w:oddVBand="0" w:evenVBand="0" w:oddHBand="0" w:evenHBand="0" w:firstRowFirstColumn="0" w:firstRowLastColumn="0" w:lastRowFirstColumn="0" w:lastRowLastColumn="0"/>
            </w:pPr>
          </w:p>
        </w:tc>
        <w:tc>
          <w:tcPr>
            <w:tcW w:w="898" w:type="dxa"/>
            <w:noWrap/>
          </w:tcPr>
          <w:p w:rsidR="00EC5608" w:rsidRPr="00EC5608" w:rsidRDefault="00EC5608" w:rsidP="00EC5608">
            <w:pPr>
              <w:cnfStyle w:val="000000000000" w:firstRow="0" w:lastRow="0" w:firstColumn="0" w:lastColumn="0" w:oddVBand="0" w:evenVBand="0" w:oddHBand="0" w:evenHBand="0" w:firstRowFirstColumn="0" w:firstRowLastColumn="0" w:lastRowFirstColumn="0" w:lastRowLastColumn="0"/>
            </w:pPr>
          </w:p>
        </w:tc>
      </w:tr>
      <w:tr w:rsidR="00CE701A" w:rsidRPr="00EC5608"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CE701A" w:rsidRPr="00CE701A" w:rsidRDefault="00CE701A" w:rsidP="00CE701A">
            <w:r w:rsidRPr="00CE701A">
              <w:t>Small business annual gas bill</w:t>
            </w:r>
            <w:r w:rsidRPr="00CE701A">
              <w:rPr>
                <w:rStyle w:val="AERsuperscript"/>
              </w:rPr>
              <w:t>a</w:t>
            </w:r>
          </w:p>
        </w:tc>
        <w:tc>
          <w:tcPr>
            <w:tcW w:w="897" w:type="dxa"/>
            <w:noWrap/>
            <w:vAlign w:val="bottom"/>
          </w:tcPr>
          <w:p w:rsidR="00CE701A" w:rsidRPr="00CE701A" w:rsidRDefault="00CE701A" w:rsidP="00CE701A">
            <w:pPr>
              <w:cnfStyle w:val="000000010000" w:firstRow="0" w:lastRow="0" w:firstColumn="0" w:lastColumn="0" w:oddVBand="0" w:evenVBand="0" w:oddHBand="0" w:evenHBand="1" w:firstRowFirstColumn="0" w:firstRowLastColumn="0" w:lastRowFirstColumn="0" w:lastRowLastColumn="0"/>
            </w:pPr>
            <w:r w:rsidRPr="00CE701A">
              <w:t>$5</w:t>
            </w:r>
            <w:r w:rsidR="00CD1A33">
              <w:t>,</w:t>
            </w:r>
            <w:r w:rsidRPr="00CE701A">
              <w:t>021</w:t>
            </w:r>
          </w:p>
        </w:tc>
        <w:tc>
          <w:tcPr>
            <w:tcW w:w="898" w:type="dxa"/>
            <w:noWrap/>
            <w:vAlign w:val="bottom"/>
          </w:tcPr>
          <w:p w:rsidR="00CE701A" w:rsidRPr="00CE701A" w:rsidRDefault="00CE701A" w:rsidP="007E1ABC">
            <w:pPr>
              <w:cnfStyle w:val="000000010000" w:firstRow="0" w:lastRow="0" w:firstColumn="0" w:lastColumn="0" w:oddVBand="0" w:evenVBand="0" w:oddHBand="0" w:evenHBand="1" w:firstRowFirstColumn="0" w:firstRowLastColumn="0" w:lastRowFirstColumn="0" w:lastRowLastColumn="0"/>
            </w:pPr>
            <w:r w:rsidRPr="00CE701A">
              <w:t>$4</w:t>
            </w:r>
            <w:r w:rsidR="00CD1A33">
              <w:t>,</w:t>
            </w:r>
            <w:r w:rsidRPr="00CE701A">
              <w:t>918</w:t>
            </w:r>
          </w:p>
        </w:tc>
        <w:tc>
          <w:tcPr>
            <w:tcW w:w="898" w:type="dxa"/>
            <w:noWrap/>
            <w:vAlign w:val="bottom"/>
          </w:tcPr>
          <w:p w:rsidR="00CE701A" w:rsidRPr="00CE701A" w:rsidRDefault="00CE701A" w:rsidP="00D21F3B">
            <w:pPr>
              <w:cnfStyle w:val="000000010000" w:firstRow="0" w:lastRow="0" w:firstColumn="0" w:lastColumn="0" w:oddVBand="0" w:evenVBand="0" w:oddHBand="0" w:evenHBand="1" w:firstRowFirstColumn="0" w:firstRowLastColumn="0" w:lastRowFirstColumn="0" w:lastRowLastColumn="0"/>
            </w:pPr>
            <w:r w:rsidRPr="00CE701A">
              <w:t>$</w:t>
            </w:r>
            <w:r w:rsidR="00D21F3B">
              <w:t>4,987</w:t>
            </w:r>
          </w:p>
        </w:tc>
        <w:tc>
          <w:tcPr>
            <w:tcW w:w="897" w:type="dxa"/>
            <w:noWrap/>
            <w:vAlign w:val="bottom"/>
          </w:tcPr>
          <w:p w:rsidR="00CE701A" w:rsidRPr="00CE701A" w:rsidRDefault="00CE701A" w:rsidP="00D21F3B">
            <w:pPr>
              <w:cnfStyle w:val="000000010000" w:firstRow="0" w:lastRow="0" w:firstColumn="0" w:lastColumn="0" w:oddVBand="0" w:evenVBand="0" w:oddHBand="0" w:evenHBand="1" w:firstRowFirstColumn="0" w:firstRowLastColumn="0" w:lastRowFirstColumn="0" w:lastRowLastColumn="0"/>
            </w:pPr>
            <w:r w:rsidRPr="00CE701A">
              <w:t>$</w:t>
            </w:r>
            <w:r w:rsidR="00D21F3B">
              <w:t>5,065</w:t>
            </w:r>
          </w:p>
        </w:tc>
        <w:tc>
          <w:tcPr>
            <w:tcW w:w="898" w:type="dxa"/>
            <w:noWrap/>
            <w:vAlign w:val="bottom"/>
          </w:tcPr>
          <w:p w:rsidR="00CE701A" w:rsidRPr="00CE701A" w:rsidRDefault="00CE701A" w:rsidP="00D21F3B">
            <w:pPr>
              <w:cnfStyle w:val="000000010000" w:firstRow="0" w:lastRow="0" w:firstColumn="0" w:lastColumn="0" w:oddVBand="0" w:evenVBand="0" w:oddHBand="0" w:evenHBand="1" w:firstRowFirstColumn="0" w:firstRowLastColumn="0" w:lastRowFirstColumn="0" w:lastRowLastColumn="0"/>
            </w:pPr>
            <w:r w:rsidRPr="00CE701A">
              <w:t>$</w:t>
            </w:r>
            <w:r w:rsidR="00D21F3B">
              <w:t>5,151</w:t>
            </w:r>
          </w:p>
        </w:tc>
        <w:tc>
          <w:tcPr>
            <w:tcW w:w="898" w:type="dxa"/>
            <w:noWrap/>
            <w:vAlign w:val="bottom"/>
          </w:tcPr>
          <w:p w:rsidR="00CE701A" w:rsidRPr="00CE701A" w:rsidRDefault="00CE701A" w:rsidP="00D21F3B">
            <w:pPr>
              <w:cnfStyle w:val="000000010000" w:firstRow="0" w:lastRow="0" w:firstColumn="0" w:lastColumn="0" w:oddVBand="0" w:evenVBand="0" w:oddHBand="0" w:evenHBand="1" w:firstRowFirstColumn="0" w:firstRowLastColumn="0" w:lastRowFirstColumn="0" w:lastRowLastColumn="0"/>
            </w:pPr>
            <w:r w:rsidRPr="00CE701A">
              <w:t>$</w:t>
            </w:r>
            <w:r w:rsidR="00D21F3B">
              <w:t>5,240</w:t>
            </w:r>
          </w:p>
        </w:tc>
      </w:tr>
      <w:tr w:rsidR="00CE701A" w:rsidRPr="00EC5608" w:rsidTr="006D4F27">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CE701A" w:rsidRPr="00CE701A" w:rsidRDefault="00CE701A" w:rsidP="00CE701A">
            <w:r w:rsidRPr="00CE701A">
              <w:t xml:space="preserve">Annual change in </w:t>
            </w:r>
            <w:r w:rsidR="003424EB">
              <w:t xml:space="preserve">JGN's </w:t>
            </w:r>
            <w:r w:rsidRPr="00CE701A">
              <w:t xml:space="preserve">distribution bill component </w:t>
            </w:r>
          </w:p>
        </w:tc>
        <w:tc>
          <w:tcPr>
            <w:tcW w:w="897" w:type="dxa"/>
            <w:noWrap/>
            <w:vAlign w:val="bottom"/>
          </w:tcPr>
          <w:p w:rsidR="00CE701A" w:rsidRPr="00CE701A" w:rsidRDefault="00CE701A">
            <w:pPr>
              <w:cnfStyle w:val="000000000000" w:firstRow="0" w:lastRow="0" w:firstColumn="0" w:lastColumn="0" w:oddVBand="0" w:evenVBand="0" w:oddHBand="0" w:evenHBand="0" w:firstRowFirstColumn="0" w:firstRowLastColumn="0" w:lastRowFirstColumn="0" w:lastRowLastColumn="0"/>
            </w:pPr>
          </w:p>
        </w:tc>
        <w:tc>
          <w:tcPr>
            <w:tcW w:w="898" w:type="dxa"/>
            <w:noWrap/>
            <w:vAlign w:val="bottom"/>
          </w:tcPr>
          <w:p w:rsidR="00CE701A" w:rsidRPr="00CE701A" w:rsidRDefault="007E1ABC" w:rsidP="00CE701A">
            <w:pPr>
              <w:cnfStyle w:val="000000000000" w:firstRow="0" w:lastRow="0" w:firstColumn="0" w:lastColumn="0" w:oddVBand="0" w:evenVBand="0" w:oddHBand="0" w:evenHBand="0" w:firstRowFirstColumn="0" w:firstRowLastColumn="0" w:lastRowFirstColumn="0" w:lastRowLastColumn="0"/>
            </w:pPr>
            <w:r>
              <w:t>–</w:t>
            </w:r>
            <w:r w:rsidR="00CE701A" w:rsidRPr="00CE701A">
              <w:t>$103</w:t>
            </w:r>
          </w:p>
        </w:tc>
        <w:tc>
          <w:tcPr>
            <w:tcW w:w="898" w:type="dxa"/>
            <w:noWrap/>
            <w:vAlign w:val="bottom"/>
          </w:tcPr>
          <w:p w:rsidR="00CE701A" w:rsidRPr="00CE701A" w:rsidRDefault="007E1ABC" w:rsidP="00D21F3B">
            <w:pPr>
              <w:cnfStyle w:val="000000000000" w:firstRow="0" w:lastRow="0" w:firstColumn="0" w:lastColumn="0" w:oddVBand="0" w:evenVBand="0" w:oddHBand="0" w:evenHBand="0" w:firstRowFirstColumn="0" w:firstRowLastColumn="0" w:lastRowFirstColumn="0" w:lastRowLastColumn="0"/>
            </w:pPr>
            <w:r>
              <w:t>–</w:t>
            </w:r>
            <w:r w:rsidR="00CE701A" w:rsidRPr="00CE701A">
              <w:t>$</w:t>
            </w:r>
            <w:r w:rsidR="00D21F3B">
              <w:t>143</w:t>
            </w:r>
          </w:p>
        </w:tc>
        <w:tc>
          <w:tcPr>
            <w:tcW w:w="897" w:type="dxa"/>
            <w:noWrap/>
            <w:vAlign w:val="bottom"/>
          </w:tcPr>
          <w:p w:rsidR="00CE701A" w:rsidRPr="00CE701A" w:rsidRDefault="007E1ABC" w:rsidP="007E1ABC">
            <w:pPr>
              <w:cnfStyle w:val="000000000000" w:firstRow="0" w:lastRow="0" w:firstColumn="0" w:lastColumn="0" w:oddVBand="0" w:evenVBand="0" w:oddHBand="0" w:evenHBand="0" w:firstRowFirstColumn="0" w:firstRowLastColumn="0" w:lastRowFirstColumn="0" w:lastRowLastColumn="0"/>
            </w:pPr>
            <w:r>
              <w:t>–</w:t>
            </w:r>
            <w:r w:rsidR="00CE701A" w:rsidRPr="00CE701A">
              <w:t>$134</w:t>
            </w:r>
          </w:p>
        </w:tc>
        <w:tc>
          <w:tcPr>
            <w:tcW w:w="898" w:type="dxa"/>
            <w:noWrap/>
            <w:vAlign w:val="bottom"/>
          </w:tcPr>
          <w:p w:rsidR="00CE701A" w:rsidRPr="00CE701A" w:rsidRDefault="007E1ABC" w:rsidP="007E1ABC">
            <w:pPr>
              <w:cnfStyle w:val="000000000000" w:firstRow="0" w:lastRow="0" w:firstColumn="0" w:lastColumn="0" w:oddVBand="0" w:evenVBand="0" w:oddHBand="0" w:evenHBand="0" w:firstRowFirstColumn="0" w:firstRowLastColumn="0" w:lastRowFirstColumn="0" w:lastRowLastColumn="0"/>
            </w:pPr>
            <w:r>
              <w:t>–</w:t>
            </w:r>
            <w:r w:rsidR="00CE701A" w:rsidRPr="00CE701A">
              <w:t>$126</w:t>
            </w:r>
          </w:p>
        </w:tc>
        <w:tc>
          <w:tcPr>
            <w:tcW w:w="898" w:type="dxa"/>
            <w:noWrap/>
            <w:vAlign w:val="bottom"/>
          </w:tcPr>
          <w:p w:rsidR="00CE701A" w:rsidRPr="00CE701A" w:rsidRDefault="00CE701A" w:rsidP="00CE701A">
            <w:pPr>
              <w:cnfStyle w:val="000000000000" w:firstRow="0" w:lastRow="0" w:firstColumn="0" w:lastColumn="0" w:oddVBand="0" w:evenVBand="0" w:oddHBand="0" w:evenHBand="0" w:firstRowFirstColumn="0" w:firstRowLastColumn="0" w:lastRowFirstColumn="0" w:lastRowLastColumn="0"/>
            </w:pPr>
            <w:r w:rsidRPr="00CE701A">
              <w:t>$89</w:t>
            </w:r>
          </w:p>
        </w:tc>
      </w:tr>
      <w:tr w:rsidR="00CE701A" w:rsidRPr="00EC5608"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CE701A" w:rsidRPr="00CE701A" w:rsidRDefault="00CE701A" w:rsidP="00CE701A">
            <w:r w:rsidRPr="00CE701A">
              <w:t xml:space="preserve">Annual change in wholesale </w:t>
            </w:r>
            <w:r w:rsidR="003424EB">
              <w:t xml:space="preserve">gas </w:t>
            </w:r>
            <w:r w:rsidRPr="00CE701A">
              <w:t>price bill component</w:t>
            </w:r>
          </w:p>
        </w:tc>
        <w:tc>
          <w:tcPr>
            <w:tcW w:w="897" w:type="dxa"/>
            <w:noWrap/>
            <w:vAlign w:val="bottom"/>
          </w:tcPr>
          <w:p w:rsidR="00CE701A" w:rsidRPr="00CE701A" w:rsidRDefault="00CE701A">
            <w:pPr>
              <w:cnfStyle w:val="000000010000" w:firstRow="0" w:lastRow="0" w:firstColumn="0" w:lastColumn="0" w:oddVBand="0" w:evenVBand="0" w:oddHBand="0" w:evenHBand="1" w:firstRowFirstColumn="0" w:firstRowLastColumn="0" w:lastRowFirstColumn="0" w:lastRowLastColumn="0"/>
            </w:pPr>
          </w:p>
        </w:tc>
        <w:tc>
          <w:tcPr>
            <w:tcW w:w="898" w:type="dxa"/>
            <w:noWrap/>
            <w:vAlign w:val="bottom"/>
          </w:tcPr>
          <w:p w:rsidR="00CE701A" w:rsidRPr="00CE701A" w:rsidRDefault="00CE701A" w:rsidP="00CE701A">
            <w:pPr>
              <w:cnfStyle w:val="000000010000" w:firstRow="0" w:lastRow="0" w:firstColumn="0" w:lastColumn="0" w:oddVBand="0" w:evenVBand="0" w:oddHBand="0" w:evenHBand="1" w:firstRowFirstColumn="0" w:firstRowLastColumn="0" w:lastRowFirstColumn="0" w:lastRowLastColumn="0"/>
            </w:pPr>
            <w:r w:rsidRPr="00CE701A">
              <w:t>$0</w:t>
            </w:r>
          </w:p>
        </w:tc>
        <w:tc>
          <w:tcPr>
            <w:tcW w:w="898" w:type="dxa"/>
            <w:noWrap/>
            <w:vAlign w:val="bottom"/>
          </w:tcPr>
          <w:p w:rsidR="00CE701A" w:rsidRPr="00CE701A" w:rsidRDefault="00CE701A" w:rsidP="00CE701A">
            <w:pPr>
              <w:cnfStyle w:val="000000010000" w:firstRow="0" w:lastRow="0" w:firstColumn="0" w:lastColumn="0" w:oddVBand="0" w:evenVBand="0" w:oddHBand="0" w:evenHBand="1" w:firstRowFirstColumn="0" w:firstRowLastColumn="0" w:lastRowFirstColumn="0" w:lastRowLastColumn="0"/>
            </w:pPr>
            <w:r w:rsidRPr="00CE701A">
              <w:t>$212</w:t>
            </w:r>
          </w:p>
        </w:tc>
        <w:tc>
          <w:tcPr>
            <w:tcW w:w="897" w:type="dxa"/>
            <w:noWrap/>
            <w:vAlign w:val="bottom"/>
          </w:tcPr>
          <w:p w:rsidR="00CE701A" w:rsidRPr="00CE701A" w:rsidRDefault="00CE701A" w:rsidP="00CE701A">
            <w:pPr>
              <w:cnfStyle w:val="000000010000" w:firstRow="0" w:lastRow="0" w:firstColumn="0" w:lastColumn="0" w:oddVBand="0" w:evenVBand="0" w:oddHBand="0" w:evenHBand="1" w:firstRowFirstColumn="0" w:firstRowLastColumn="0" w:lastRowFirstColumn="0" w:lastRowLastColumn="0"/>
            </w:pPr>
            <w:r w:rsidRPr="00CE701A">
              <w:t>$212</w:t>
            </w:r>
          </w:p>
        </w:tc>
        <w:tc>
          <w:tcPr>
            <w:tcW w:w="898" w:type="dxa"/>
            <w:noWrap/>
            <w:vAlign w:val="bottom"/>
          </w:tcPr>
          <w:p w:rsidR="00CE701A" w:rsidRPr="00CE701A" w:rsidRDefault="00CE701A" w:rsidP="00CE701A">
            <w:pPr>
              <w:cnfStyle w:val="000000010000" w:firstRow="0" w:lastRow="0" w:firstColumn="0" w:lastColumn="0" w:oddVBand="0" w:evenVBand="0" w:oddHBand="0" w:evenHBand="1" w:firstRowFirstColumn="0" w:firstRowLastColumn="0" w:lastRowFirstColumn="0" w:lastRowLastColumn="0"/>
            </w:pPr>
            <w:r w:rsidRPr="00CE701A">
              <w:t>$212</w:t>
            </w:r>
          </w:p>
        </w:tc>
        <w:tc>
          <w:tcPr>
            <w:tcW w:w="898" w:type="dxa"/>
            <w:noWrap/>
            <w:vAlign w:val="bottom"/>
          </w:tcPr>
          <w:p w:rsidR="00CE701A" w:rsidRPr="00CE701A" w:rsidRDefault="00CE701A" w:rsidP="00CE701A">
            <w:pPr>
              <w:cnfStyle w:val="000000010000" w:firstRow="0" w:lastRow="0" w:firstColumn="0" w:lastColumn="0" w:oddVBand="0" w:evenVBand="0" w:oddHBand="0" w:evenHBand="1" w:firstRowFirstColumn="0" w:firstRowLastColumn="0" w:lastRowFirstColumn="0" w:lastRowLastColumn="0"/>
            </w:pPr>
            <w:r w:rsidRPr="00CE701A">
              <w:t>$0</w:t>
            </w:r>
          </w:p>
        </w:tc>
      </w:tr>
      <w:tr w:rsidR="00CE701A" w:rsidRPr="00CE701A" w:rsidTr="006D4F27">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CE701A" w:rsidRPr="00CE701A" w:rsidRDefault="00CE701A" w:rsidP="00CE701A">
            <w:pPr>
              <w:rPr>
                <w:rStyle w:val="Strong"/>
              </w:rPr>
            </w:pPr>
            <w:r w:rsidRPr="00CE701A">
              <w:rPr>
                <w:rStyle w:val="Strong"/>
              </w:rPr>
              <w:t xml:space="preserve">Total change in </w:t>
            </w:r>
            <w:r w:rsidR="00FB25B5">
              <w:rPr>
                <w:rStyle w:val="Strong"/>
              </w:rPr>
              <w:t xml:space="preserve">small business </w:t>
            </w:r>
            <w:r w:rsidRPr="00CE701A">
              <w:rPr>
                <w:rStyle w:val="Strong"/>
              </w:rPr>
              <w:t>annual gas bill (distribution and wholesale)</w:t>
            </w:r>
          </w:p>
        </w:tc>
        <w:tc>
          <w:tcPr>
            <w:tcW w:w="897" w:type="dxa"/>
            <w:noWrap/>
            <w:vAlign w:val="bottom"/>
          </w:tcPr>
          <w:p w:rsidR="00CE701A" w:rsidRPr="00CE701A" w:rsidRDefault="00CE701A">
            <w:pPr>
              <w:cnfStyle w:val="000000000000" w:firstRow="0" w:lastRow="0" w:firstColumn="0" w:lastColumn="0" w:oddVBand="0" w:evenVBand="0" w:oddHBand="0" w:evenHBand="0" w:firstRowFirstColumn="0" w:firstRowLastColumn="0" w:lastRowFirstColumn="0" w:lastRowLastColumn="0"/>
            </w:pPr>
          </w:p>
        </w:tc>
        <w:tc>
          <w:tcPr>
            <w:tcW w:w="898" w:type="dxa"/>
            <w:noWrap/>
            <w:vAlign w:val="bottom"/>
          </w:tcPr>
          <w:p w:rsidR="00CE701A" w:rsidRPr="00CE701A" w:rsidRDefault="007E1ABC" w:rsidP="00D21F3B">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CE701A" w:rsidRPr="00CE701A">
              <w:rPr>
                <w:rStyle w:val="Strong"/>
              </w:rPr>
              <w:t>$103</w:t>
            </w:r>
            <w:r w:rsidR="00D21F3B">
              <w:rPr>
                <w:rStyle w:val="Strong"/>
              </w:rPr>
              <w:br/>
            </w:r>
            <w:r w:rsidR="00017D7C">
              <w:rPr>
                <w:rStyle w:val="Strong"/>
              </w:rPr>
              <w:t>(–2.1%)</w:t>
            </w:r>
          </w:p>
        </w:tc>
        <w:tc>
          <w:tcPr>
            <w:tcW w:w="898" w:type="dxa"/>
            <w:noWrap/>
            <w:vAlign w:val="bottom"/>
          </w:tcPr>
          <w:p w:rsidR="00CE701A" w:rsidRPr="00CE701A" w:rsidRDefault="00CE701A" w:rsidP="00D21F3B">
            <w:pPr>
              <w:cnfStyle w:val="000000000000" w:firstRow="0" w:lastRow="0" w:firstColumn="0" w:lastColumn="0" w:oddVBand="0" w:evenVBand="0" w:oddHBand="0" w:evenHBand="0" w:firstRowFirstColumn="0" w:firstRowLastColumn="0" w:lastRowFirstColumn="0" w:lastRowLastColumn="0"/>
              <w:rPr>
                <w:rStyle w:val="Strong"/>
              </w:rPr>
            </w:pPr>
            <w:r w:rsidRPr="00CE701A">
              <w:rPr>
                <w:rStyle w:val="Strong"/>
              </w:rPr>
              <w:t>$</w:t>
            </w:r>
            <w:r w:rsidR="00D21F3B">
              <w:rPr>
                <w:rStyle w:val="Strong"/>
              </w:rPr>
              <w:t>69</w:t>
            </w:r>
            <w:r w:rsidR="00D21F3B">
              <w:rPr>
                <w:rStyle w:val="Strong"/>
              </w:rPr>
              <w:br/>
            </w:r>
            <w:r w:rsidR="00017D7C">
              <w:rPr>
                <w:rStyle w:val="Strong"/>
              </w:rPr>
              <w:t>(+1.4%)</w:t>
            </w:r>
          </w:p>
        </w:tc>
        <w:tc>
          <w:tcPr>
            <w:tcW w:w="897" w:type="dxa"/>
            <w:noWrap/>
            <w:vAlign w:val="bottom"/>
          </w:tcPr>
          <w:p w:rsidR="00CE701A" w:rsidRPr="00CE701A" w:rsidRDefault="00CE701A" w:rsidP="00D21F3B">
            <w:pPr>
              <w:cnfStyle w:val="000000000000" w:firstRow="0" w:lastRow="0" w:firstColumn="0" w:lastColumn="0" w:oddVBand="0" w:evenVBand="0" w:oddHBand="0" w:evenHBand="0" w:firstRowFirstColumn="0" w:firstRowLastColumn="0" w:lastRowFirstColumn="0" w:lastRowLastColumn="0"/>
              <w:rPr>
                <w:rStyle w:val="Strong"/>
              </w:rPr>
            </w:pPr>
            <w:r w:rsidRPr="00CE701A">
              <w:rPr>
                <w:rStyle w:val="Strong"/>
              </w:rPr>
              <w:t>$</w:t>
            </w:r>
            <w:r w:rsidR="00D21F3B">
              <w:rPr>
                <w:rStyle w:val="Strong"/>
              </w:rPr>
              <w:t>78</w:t>
            </w:r>
            <w:r w:rsidR="00D21F3B">
              <w:rPr>
                <w:rStyle w:val="Strong"/>
              </w:rPr>
              <w:br/>
            </w:r>
            <w:r w:rsidR="00017D7C">
              <w:rPr>
                <w:rStyle w:val="Strong"/>
              </w:rPr>
              <w:t>(+1.6%)</w:t>
            </w:r>
          </w:p>
        </w:tc>
        <w:tc>
          <w:tcPr>
            <w:tcW w:w="898" w:type="dxa"/>
            <w:noWrap/>
            <w:vAlign w:val="bottom"/>
          </w:tcPr>
          <w:p w:rsidR="00CE701A" w:rsidRPr="00CE701A" w:rsidRDefault="00CE701A" w:rsidP="00D21F3B">
            <w:pPr>
              <w:cnfStyle w:val="000000000000" w:firstRow="0" w:lastRow="0" w:firstColumn="0" w:lastColumn="0" w:oddVBand="0" w:evenVBand="0" w:oddHBand="0" w:evenHBand="0" w:firstRowFirstColumn="0" w:firstRowLastColumn="0" w:lastRowFirstColumn="0" w:lastRowLastColumn="0"/>
              <w:rPr>
                <w:rStyle w:val="Strong"/>
              </w:rPr>
            </w:pPr>
            <w:r w:rsidRPr="00CE701A">
              <w:rPr>
                <w:rStyle w:val="Strong"/>
              </w:rPr>
              <w:t>$</w:t>
            </w:r>
            <w:r w:rsidR="00D21F3B">
              <w:rPr>
                <w:rStyle w:val="Strong"/>
              </w:rPr>
              <w:t>86</w:t>
            </w:r>
            <w:r w:rsidR="00D21F3B">
              <w:rPr>
                <w:rStyle w:val="Strong"/>
              </w:rPr>
              <w:br/>
            </w:r>
            <w:r w:rsidR="00017D7C">
              <w:rPr>
                <w:rStyle w:val="Strong"/>
              </w:rPr>
              <w:t>(+1.7%)</w:t>
            </w:r>
          </w:p>
        </w:tc>
        <w:tc>
          <w:tcPr>
            <w:tcW w:w="898" w:type="dxa"/>
            <w:noWrap/>
            <w:vAlign w:val="bottom"/>
          </w:tcPr>
          <w:p w:rsidR="00CE701A" w:rsidRPr="00CE701A" w:rsidRDefault="00CE701A" w:rsidP="00685E96">
            <w:pPr>
              <w:cnfStyle w:val="000000000000" w:firstRow="0" w:lastRow="0" w:firstColumn="0" w:lastColumn="0" w:oddVBand="0" w:evenVBand="0" w:oddHBand="0" w:evenHBand="0" w:firstRowFirstColumn="0" w:firstRowLastColumn="0" w:lastRowFirstColumn="0" w:lastRowLastColumn="0"/>
              <w:rPr>
                <w:rStyle w:val="Strong"/>
              </w:rPr>
            </w:pPr>
            <w:r w:rsidRPr="00CE701A">
              <w:rPr>
                <w:rStyle w:val="Strong"/>
              </w:rPr>
              <w:t>$89</w:t>
            </w:r>
            <w:r w:rsidR="00D21F3B">
              <w:rPr>
                <w:rStyle w:val="Strong"/>
              </w:rPr>
              <w:br/>
            </w:r>
            <w:r w:rsidR="00017D7C">
              <w:rPr>
                <w:rStyle w:val="Strong"/>
              </w:rPr>
              <w:t>(+1.7%)</w:t>
            </w:r>
          </w:p>
        </w:tc>
      </w:tr>
      <w:tr w:rsidR="00CE701A" w:rsidRPr="00EC5608"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CE701A" w:rsidRPr="00CE701A" w:rsidRDefault="00CE701A" w:rsidP="00CE701A">
            <w:pPr>
              <w:rPr>
                <w:rStyle w:val="Strong"/>
              </w:rPr>
            </w:pPr>
            <w:r w:rsidRPr="00CE701A">
              <w:rPr>
                <w:rStyle w:val="Strong"/>
              </w:rPr>
              <w:t>AER final decision</w:t>
            </w:r>
          </w:p>
        </w:tc>
        <w:tc>
          <w:tcPr>
            <w:tcW w:w="897" w:type="dxa"/>
            <w:noWrap/>
            <w:vAlign w:val="bottom"/>
          </w:tcPr>
          <w:p w:rsidR="00CE701A" w:rsidRPr="00CE701A" w:rsidRDefault="00CE701A">
            <w:pPr>
              <w:cnfStyle w:val="000000010000" w:firstRow="0" w:lastRow="0" w:firstColumn="0" w:lastColumn="0" w:oddVBand="0" w:evenVBand="0" w:oddHBand="0" w:evenHBand="1" w:firstRowFirstColumn="0" w:firstRowLastColumn="0" w:lastRowFirstColumn="0" w:lastRowLastColumn="0"/>
            </w:pPr>
          </w:p>
        </w:tc>
        <w:tc>
          <w:tcPr>
            <w:tcW w:w="898" w:type="dxa"/>
            <w:noWrap/>
            <w:vAlign w:val="bottom"/>
          </w:tcPr>
          <w:p w:rsidR="00CE701A" w:rsidRPr="00CE701A" w:rsidRDefault="00CE701A">
            <w:pPr>
              <w:cnfStyle w:val="000000010000" w:firstRow="0" w:lastRow="0" w:firstColumn="0" w:lastColumn="0" w:oddVBand="0" w:evenVBand="0" w:oddHBand="0" w:evenHBand="1" w:firstRowFirstColumn="0" w:firstRowLastColumn="0" w:lastRowFirstColumn="0" w:lastRowLastColumn="0"/>
            </w:pPr>
          </w:p>
        </w:tc>
        <w:tc>
          <w:tcPr>
            <w:tcW w:w="898" w:type="dxa"/>
            <w:noWrap/>
            <w:vAlign w:val="bottom"/>
          </w:tcPr>
          <w:p w:rsidR="00CE701A" w:rsidRPr="00CE701A" w:rsidRDefault="00CE701A">
            <w:pPr>
              <w:cnfStyle w:val="000000010000" w:firstRow="0" w:lastRow="0" w:firstColumn="0" w:lastColumn="0" w:oddVBand="0" w:evenVBand="0" w:oddHBand="0" w:evenHBand="1" w:firstRowFirstColumn="0" w:firstRowLastColumn="0" w:lastRowFirstColumn="0" w:lastRowLastColumn="0"/>
            </w:pPr>
          </w:p>
        </w:tc>
        <w:tc>
          <w:tcPr>
            <w:tcW w:w="897" w:type="dxa"/>
            <w:noWrap/>
            <w:vAlign w:val="bottom"/>
          </w:tcPr>
          <w:p w:rsidR="00CE701A" w:rsidRPr="00CE701A" w:rsidRDefault="00CE701A">
            <w:pPr>
              <w:cnfStyle w:val="000000010000" w:firstRow="0" w:lastRow="0" w:firstColumn="0" w:lastColumn="0" w:oddVBand="0" w:evenVBand="0" w:oddHBand="0" w:evenHBand="1" w:firstRowFirstColumn="0" w:firstRowLastColumn="0" w:lastRowFirstColumn="0" w:lastRowLastColumn="0"/>
            </w:pPr>
          </w:p>
        </w:tc>
        <w:tc>
          <w:tcPr>
            <w:tcW w:w="898" w:type="dxa"/>
            <w:noWrap/>
            <w:vAlign w:val="bottom"/>
          </w:tcPr>
          <w:p w:rsidR="00CE701A" w:rsidRPr="00CE701A" w:rsidRDefault="00CE701A">
            <w:pPr>
              <w:cnfStyle w:val="000000010000" w:firstRow="0" w:lastRow="0" w:firstColumn="0" w:lastColumn="0" w:oddVBand="0" w:evenVBand="0" w:oddHBand="0" w:evenHBand="1" w:firstRowFirstColumn="0" w:firstRowLastColumn="0" w:lastRowFirstColumn="0" w:lastRowLastColumn="0"/>
            </w:pPr>
          </w:p>
        </w:tc>
        <w:tc>
          <w:tcPr>
            <w:tcW w:w="898" w:type="dxa"/>
            <w:noWrap/>
            <w:vAlign w:val="bottom"/>
          </w:tcPr>
          <w:p w:rsidR="00CE701A" w:rsidRPr="00CE701A" w:rsidRDefault="00CE701A">
            <w:pPr>
              <w:cnfStyle w:val="000000010000" w:firstRow="0" w:lastRow="0" w:firstColumn="0" w:lastColumn="0" w:oddVBand="0" w:evenVBand="0" w:oddHBand="0" w:evenHBand="1" w:firstRowFirstColumn="0" w:firstRowLastColumn="0" w:lastRowFirstColumn="0" w:lastRowLastColumn="0"/>
            </w:pPr>
          </w:p>
        </w:tc>
      </w:tr>
      <w:tr w:rsidR="00890694" w:rsidRPr="00EC5608" w:rsidTr="006D4F27">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890694" w:rsidRPr="00890694" w:rsidRDefault="00890694" w:rsidP="00890694">
            <w:r w:rsidRPr="00890694">
              <w:t>Small business annual gas bill</w:t>
            </w:r>
            <w:r w:rsidRPr="00890694">
              <w:rPr>
                <w:rStyle w:val="AERsuperscript"/>
              </w:rPr>
              <w:t>a</w:t>
            </w:r>
          </w:p>
        </w:tc>
        <w:tc>
          <w:tcPr>
            <w:tcW w:w="897" w:type="dxa"/>
            <w:noWrap/>
          </w:tcPr>
          <w:p w:rsidR="00890694" w:rsidRPr="00890694" w:rsidRDefault="00890694" w:rsidP="00345EFF">
            <w:pPr>
              <w:cnfStyle w:val="000000000000" w:firstRow="0" w:lastRow="0" w:firstColumn="0" w:lastColumn="0" w:oddVBand="0" w:evenVBand="0" w:oddHBand="0" w:evenHBand="0" w:firstRowFirstColumn="0" w:firstRowLastColumn="0" w:lastRowFirstColumn="0" w:lastRowLastColumn="0"/>
            </w:pPr>
            <w:r w:rsidRPr="00890694">
              <w:t>$5</w:t>
            </w:r>
            <w:r w:rsidR="00CD1A33">
              <w:t>,</w:t>
            </w:r>
            <w:r w:rsidRPr="00890694">
              <w:t>021</w:t>
            </w:r>
          </w:p>
        </w:tc>
        <w:tc>
          <w:tcPr>
            <w:tcW w:w="898" w:type="dxa"/>
            <w:noWrap/>
          </w:tcPr>
          <w:p w:rsidR="00890694" w:rsidRPr="00890694" w:rsidRDefault="00890694">
            <w:pPr>
              <w:cnfStyle w:val="000000000000" w:firstRow="0" w:lastRow="0" w:firstColumn="0" w:lastColumn="0" w:oddVBand="0" w:evenVBand="0" w:oddHBand="0" w:evenHBand="0" w:firstRowFirstColumn="0" w:firstRowLastColumn="0" w:lastRowFirstColumn="0" w:lastRowLastColumn="0"/>
            </w:pPr>
            <w:r w:rsidRPr="00890694">
              <w:t>$4</w:t>
            </w:r>
            <w:r w:rsidR="00CD1A33">
              <w:t>,</w:t>
            </w:r>
            <w:r w:rsidRPr="00890694">
              <w:t>559</w:t>
            </w:r>
          </w:p>
        </w:tc>
        <w:tc>
          <w:tcPr>
            <w:tcW w:w="898" w:type="dxa"/>
            <w:noWrap/>
          </w:tcPr>
          <w:p w:rsidR="00890694" w:rsidRPr="00890694" w:rsidRDefault="00890694">
            <w:pPr>
              <w:cnfStyle w:val="000000000000" w:firstRow="0" w:lastRow="0" w:firstColumn="0" w:lastColumn="0" w:oddVBand="0" w:evenVBand="0" w:oddHBand="0" w:evenHBand="0" w:firstRowFirstColumn="0" w:firstRowLastColumn="0" w:lastRowFirstColumn="0" w:lastRowLastColumn="0"/>
            </w:pPr>
            <w:r w:rsidRPr="00890694">
              <w:t>$4</w:t>
            </w:r>
            <w:r w:rsidR="00CD1A33">
              <w:t>,</w:t>
            </w:r>
            <w:r w:rsidRPr="00890694">
              <w:t>57</w:t>
            </w:r>
            <w:r w:rsidR="000607A2">
              <w:t>1</w:t>
            </w:r>
          </w:p>
        </w:tc>
        <w:tc>
          <w:tcPr>
            <w:tcW w:w="897" w:type="dxa"/>
            <w:noWrap/>
          </w:tcPr>
          <w:p w:rsidR="00890694" w:rsidRPr="00890694" w:rsidRDefault="00890694">
            <w:pPr>
              <w:cnfStyle w:val="000000000000" w:firstRow="0" w:lastRow="0" w:firstColumn="0" w:lastColumn="0" w:oddVBand="0" w:evenVBand="0" w:oddHBand="0" w:evenHBand="0" w:firstRowFirstColumn="0" w:firstRowLastColumn="0" w:lastRowFirstColumn="0" w:lastRowLastColumn="0"/>
            </w:pPr>
            <w:r w:rsidRPr="00890694">
              <w:t>$4</w:t>
            </w:r>
            <w:r w:rsidR="00CD1A33">
              <w:t>,</w:t>
            </w:r>
            <w:r w:rsidRPr="00890694">
              <w:t>69</w:t>
            </w:r>
            <w:r w:rsidR="000607A2">
              <w:t>8</w:t>
            </w:r>
          </w:p>
        </w:tc>
        <w:tc>
          <w:tcPr>
            <w:tcW w:w="898" w:type="dxa"/>
            <w:noWrap/>
          </w:tcPr>
          <w:p w:rsidR="00890694" w:rsidRPr="00890694" w:rsidRDefault="00890694">
            <w:pPr>
              <w:cnfStyle w:val="000000000000" w:firstRow="0" w:lastRow="0" w:firstColumn="0" w:lastColumn="0" w:oddVBand="0" w:evenVBand="0" w:oddHBand="0" w:evenHBand="0" w:firstRowFirstColumn="0" w:firstRowLastColumn="0" w:lastRowFirstColumn="0" w:lastRowLastColumn="0"/>
            </w:pPr>
            <w:r w:rsidRPr="00890694">
              <w:t>$4</w:t>
            </w:r>
            <w:r w:rsidR="00CD1A33">
              <w:t>,</w:t>
            </w:r>
            <w:r w:rsidRPr="00890694">
              <w:t>86</w:t>
            </w:r>
            <w:r w:rsidR="000607A2">
              <w:t>7</w:t>
            </w:r>
          </w:p>
        </w:tc>
        <w:tc>
          <w:tcPr>
            <w:tcW w:w="898" w:type="dxa"/>
            <w:noWrap/>
          </w:tcPr>
          <w:p w:rsidR="00890694" w:rsidRPr="00890694" w:rsidRDefault="00890694">
            <w:pPr>
              <w:cnfStyle w:val="000000000000" w:firstRow="0" w:lastRow="0" w:firstColumn="0" w:lastColumn="0" w:oddVBand="0" w:evenVBand="0" w:oddHBand="0" w:evenHBand="0" w:firstRowFirstColumn="0" w:firstRowLastColumn="0" w:lastRowFirstColumn="0" w:lastRowLastColumn="0"/>
            </w:pPr>
            <w:r w:rsidRPr="00890694">
              <w:t>$4</w:t>
            </w:r>
            <w:r w:rsidR="00CD1A33">
              <w:t>,</w:t>
            </w:r>
            <w:r w:rsidRPr="00890694">
              <w:t>9</w:t>
            </w:r>
            <w:r w:rsidR="000607A2">
              <w:t>11</w:t>
            </w:r>
          </w:p>
        </w:tc>
      </w:tr>
      <w:tr w:rsidR="00890694" w:rsidRPr="00EC5608"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890694" w:rsidRPr="00890694" w:rsidRDefault="00890694" w:rsidP="00890694">
            <w:r w:rsidRPr="00890694">
              <w:t xml:space="preserve">Annual change in JGN's distribution bill component </w:t>
            </w:r>
          </w:p>
        </w:tc>
        <w:tc>
          <w:tcPr>
            <w:tcW w:w="897" w:type="dxa"/>
            <w:noWrap/>
          </w:tcPr>
          <w:p w:rsidR="00890694" w:rsidRPr="00890694" w:rsidRDefault="00890694" w:rsidP="00890694">
            <w:pPr>
              <w:cnfStyle w:val="000000010000" w:firstRow="0" w:lastRow="0" w:firstColumn="0" w:lastColumn="0" w:oddVBand="0" w:evenVBand="0" w:oddHBand="0" w:evenHBand="1" w:firstRowFirstColumn="0" w:firstRowLastColumn="0" w:lastRowFirstColumn="0" w:lastRowLastColumn="0"/>
            </w:pPr>
            <w:r w:rsidRPr="00890694">
              <w:t> </w:t>
            </w:r>
          </w:p>
        </w:tc>
        <w:tc>
          <w:tcPr>
            <w:tcW w:w="898" w:type="dxa"/>
            <w:noWrap/>
          </w:tcPr>
          <w:p w:rsidR="00890694" w:rsidRPr="00890694" w:rsidRDefault="00890694" w:rsidP="00890694">
            <w:pPr>
              <w:cnfStyle w:val="000000010000" w:firstRow="0" w:lastRow="0" w:firstColumn="0" w:lastColumn="0" w:oddVBand="0" w:evenVBand="0" w:oddHBand="0" w:evenHBand="1" w:firstRowFirstColumn="0" w:firstRowLastColumn="0" w:lastRowFirstColumn="0" w:lastRowLastColumn="0"/>
            </w:pPr>
            <w:r>
              <w:t>–</w:t>
            </w:r>
            <w:r w:rsidRPr="00890694">
              <w:t>$462</w:t>
            </w:r>
          </w:p>
        </w:tc>
        <w:tc>
          <w:tcPr>
            <w:tcW w:w="898" w:type="dxa"/>
            <w:noWrap/>
          </w:tcPr>
          <w:p w:rsidR="00890694" w:rsidRPr="00890694" w:rsidRDefault="00890694" w:rsidP="00890694">
            <w:pPr>
              <w:cnfStyle w:val="000000010000" w:firstRow="0" w:lastRow="0" w:firstColumn="0" w:lastColumn="0" w:oddVBand="0" w:evenVBand="0" w:oddHBand="0" w:evenHBand="1" w:firstRowFirstColumn="0" w:firstRowLastColumn="0" w:lastRowFirstColumn="0" w:lastRowLastColumn="0"/>
            </w:pPr>
            <w:r>
              <w:t>–</w:t>
            </w:r>
            <w:r w:rsidRPr="00890694">
              <w:t>$200</w:t>
            </w:r>
          </w:p>
        </w:tc>
        <w:tc>
          <w:tcPr>
            <w:tcW w:w="897" w:type="dxa"/>
            <w:noWrap/>
          </w:tcPr>
          <w:p w:rsidR="00890694" w:rsidRPr="00890694" w:rsidRDefault="00890694" w:rsidP="00890694">
            <w:pPr>
              <w:cnfStyle w:val="000000010000" w:firstRow="0" w:lastRow="0" w:firstColumn="0" w:lastColumn="0" w:oddVBand="0" w:evenVBand="0" w:oddHBand="0" w:evenHBand="1" w:firstRowFirstColumn="0" w:firstRowLastColumn="0" w:lastRowFirstColumn="0" w:lastRowLastColumn="0"/>
            </w:pPr>
            <w:r>
              <w:t>–</w:t>
            </w:r>
            <w:r w:rsidRPr="00890694">
              <w:t>$86</w:t>
            </w:r>
          </w:p>
        </w:tc>
        <w:tc>
          <w:tcPr>
            <w:tcW w:w="898" w:type="dxa"/>
            <w:noWrap/>
          </w:tcPr>
          <w:p w:rsidR="00890694" w:rsidRPr="00890694" w:rsidRDefault="00890694" w:rsidP="000607A2">
            <w:pPr>
              <w:cnfStyle w:val="000000010000" w:firstRow="0" w:lastRow="0" w:firstColumn="0" w:lastColumn="0" w:oddVBand="0" w:evenVBand="0" w:oddHBand="0" w:evenHBand="1" w:firstRowFirstColumn="0" w:firstRowLastColumn="0" w:lastRowFirstColumn="0" w:lastRowLastColumn="0"/>
            </w:pPr>
            <w:r>
              <w:t>–</w:t>
            </w:r>
            <w:r w:rsidRPr="00890694">
              <w:t>$4</w:t>
            </w:r>
            <w:r w:rsidR="00D21F3B">
              <w:t>4</w:t>
            </w:r>
          </w:p>
        </w:tc>
        <w:tc>
          <w:tcPr>
            <w:tcW w:w="898" w:type="dxa"/>
            <w:noWrap/>
          </w:tcPr>
          <w:p w:rsidR="00890694" w:rsidRPr="00890694" w:rsidRDefault="00890694" w:rsidP="00890694">
            <w:pPr>
              <w:cnfStyle w:val="000000010000" w:firstRow="0" w:lastRow="0" w:firstColumn="0" w:lastColumn="0" w:oddVBand="0" w:evenVBand="0" w:oddHBand="0" w:evenHBand="1" w:firstRowFirstColumn="0" w:firstRowLastColumn="0" w:lastRowFirstColumn="0" w:lastRowLastColumn="0"/>
            </w:pPr>
            <w:r w:rsidRPr="00890694">
              <w:t>$44</w:t>
            </w:r>
          </w:p>
        </w:tc>
      </w:tr>
      <w:tr w:rsidR="00890694" w:rsidRPr="00EC5608" w:rsidTr="006D4F27">
        <w:trPr>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890694" w:rsidRPr="00890694" w:rsidRDefault="00890694" w:rsidP="00890694">
            <w:r w:rsidRPr="00890694">
              <w:t>Annual change in wholesale gas price bill component</w:t>
            </w:r>
          </w:p>
        </w:tc>
        <w:tc>
          <w:tcPr>
            <w:tcW w:w="897" w:type="dxa"/>
            <w:noWrap/>
          </w:tcPr>
          <w:p w:rsidR="00890694" w:rsidRPr="00890694" w:rsidRDefault="00890694" w:rsidP="00890694">
            <w:pPr>
              <w:cnfStyle w:val="000000000000" w:firstRow="0" w:lastRow="0" w:firstColumn="0" w:lastColumn="0" w:oddVBand="0" w:evenVBand="0" w:oddHBand="0" w:evenHBand="0" w:firstRowFirstColumn="0" w:firstRowLastColumn="0" w:lastRowFirstColumn="0" w:lastRowLastColumn="0"/>
            </w:pPr>
          </w:p>
        </w:tc>
        <w:tc>
          <w:tcPr>
            <w:tcW w:w="898" w:type="dxa"/>
            <w:noWrap/>
          </w:tcPr>
          <w:p w:rsidR="00890694" w:rsidRPr="00890694" w:rsidRDefault="00890694" w:rsidP="00890694">
            <w:pPr>
              <w:cnfStyle w:val="000000000000" w:firstRow="0" w:lastRow="0" w:firstColumn="0" w:lastColumn="0" w:oddVBand="0" w:evenVBand="0" w:oddHBand="0" w:evenHBand="0" w:firstRowFirstColumn="0" w:firstRowLastColumn="0" w:lastRowFirstColumn="0" w:lastRowLastColumn="0"/>
            </w:pPr>
            <w:r w:rsidRPr="00890694">
              <w:t>$0</w:t>
            </w:r>
          </w:p>
        </w:tc>
        <w:tc>
          <w:tcPr>
            <w:tcW w:w="898" w:type="dxa"/>
            <w:noWrap/>
          </w:tcPr>
          <w:p w:rsidR="00890694" w:rsidRPr="00890694" w:rsidRDefault="00890694" w:rsidP="00890694">
            <w:pPr>
              <w:cnfStyle w:val="000000000000" w:firstRow="0" w:lastRow="0" w:firstColumn="0" w:lastColumn="0" w:oddVBand="0" w:evenVBand="0" w:oddHBand="0" w:evenHBand="0" w:firstRowFirstColumn="0" w:firstRowLastColumn="0" w:lastRowFirstColumn="0" w:lastRowLastColumn="0"/>
            </w:pPr>
            <w:r w:rsidRPr="00890694">
              <w:t>$212</w:t>
            </w:r>
          </w:p>
        </w:tc>
        <w:tc>
          <w:tcPr>
            <w:tcW w:w="897" w:type="dxa"/>
            <w:noWrap/>
          </w:tcPr>
          <w:p w:rsidR="00890694" w:rsidRPr="00890694" w:rsidRDefault="00890694" w:rsidP="00890694">
            <w:pPr>
              <w:cnfStyle w:val="000000000000" w:firstRow="0" w:lastRow="0" w:firstColumn="0" w:lastColumn="0" w:oddVBand="0" w:evenVBand="0" w:oddHBand="0" w:evenHBand="0" w:firstRowFirstColumn="0" w:firstRowLastColumn="0" w:lastRowFirstColumn="0" w:lastRowLastColumn="0"/>
            </w:pPr>
            <w:r w:rsidRPr="00890694">
              <w:t>$212</w:t>
            </w:r>
          </w:p>
        </w:tc>
        <w:tc>
          <w:tcPr>
            <w:tcW w:w="898" w:type="dxa"/>
            <w:noWrap/>
          </w:tcPr>
          <w:p w:rsidR="00890694" w:rsidRPr="00890694" w:rsidRDefault="00890694" w:rsidP="00890694">
            <w:pPr>
              <w:cnfStyle w:val="000000000000" w:firstRow="0" w:lastRow="0" w:firstColumn="0" w:lastColumn="0" w:oddVBand="0" w:evenVBand="0" w:oddHBand="0" w:evenHBand="0" w:firstRowFirstColumn="0" w:firstRowLastColumn="0" w:lastRowFirstColumn="0" w:lastRowLastColumn="0"/>
            </w:pPr>
            <w:r w:rsidRPr="00890694">
              <w:t>$212</w:t>
            </w:r>
          </w:p>
        </w:tc>
        <w:tc>
          <w:tcPr>
            <w:tcW w:w="898" w:type="dxa"/>
            <w:noWrap/>
          </w:tcPr>
          <w:p w:rsidR="00890694" w:rsidRPr="00890694" w:rsidRDefault="00890694" w:rsidP="00890694">
            <w:pPr>
              <w:cnfStyle w:val="000000000000" w:firstRow="0" w:lastRow="0" w:firstColumn="0" w:lastColumn="0" w:oddVBand="0" w:evenVBand="0" w:oddHBand="0" w:evenHBand="0" w:firstRowFirstColumn="0" w:firstRowLastColumn="0" w:lastRowFirstColumn="0" w:lastRowLastColumn="0"/>
            </w:pPr>
            <w:r w:rsidRPr="00890694">
              <w:t>$0</w:t>
            </w:r>
          </w:p>
        </w:tc>
      </w:tr>
      <w:tr w:rsidR="00890694" w:rsidRPr="00890694" w:rsidTr="006D4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rsidR="00890694" w:rsidRPr="00890694" w:rsidRDefault="00890694" w:rsidP="00890694">
            <w:r w:rsidRPr="00890694">
              <w:rPr>
                <w:rStyle w:val="Strong"/>
              </w:rPr>
              <w:t>Total change in small business annual gas bill (distribution and wholesale)</w:t>
            </w:r>
          </w:p>
        </w:tc>
        <w:tc>
          <w:tcPr>
            <w:tcW w:w="897" w:type="dxa"/>
            <w:noWrap/>
          </w:tcPr>
          <w:p w:rsidR="00890694" w:rsidRPr="00890694" w:rsidRDefault="00890694" w:rsidP="00890694">
            <w:pPr>
              <w:cnfStyle w:val="000000010000" w:firstRow="0" w:lastRow="0" w:firstColumn="0" w:lastColumn="0" w:oddVBand="0" w:evenVBand="0" w:oddHBand="0" w:evenHBand="1" w:firstRowFirstColumn="0" w:firstRowLastColumn="0" w:lastRowFirstColumn="0" w:lastRowLastColumn="0"/>
            </w:pPr>
            <w:r w:rsidRPr="00890694">
              <w:t> </w:t>
            </w:r>
          </w:p>
        </w:tc>
        <w:tc>
          <w:tcPr>
            <w:tcW w:w="898" w:type="dxa"/>
            <w:noWrap/>
          </w:tcPr>
          <w:p w:rsidR="00890694" w:rsidRPr="00890694" w:rsidRDefault="00890694" w:rsidP="00D21F3B">
            <w:pPr>
              <w:cnfStyle w:val="000000010000" w:firstRow="0" w:lastRow="0" w:firstColumn="0" w:lastColumn="0" w:oddVBand="0" w:evenVBand="0" w:oddHBand="0" w:evenHBand="1" w:firstRowFirstColumn="0" w:firstRowLastColumn="0" w:lastRowFirstColumn="0" w:lastRowLastColumn="0"/>
              <w:rPr>
                <w:rStyle w:val="Strong"/>
              </w:rPr>
            </w:pPr>
            <w:r w:rsidRPr="00CD1A33">
              <w:rPr>
                <w:rStyle w:val="Strong"/>
              </w:rPr>
              <w:t>–$462</w:t>
            </w:r>
            <w:r w:rsidR="00D21F3B">
              <w:rPr>
                <w:rStyle w:val="Strong"/>
              </w:rPr>
              <w:br/>
            </w:r>
            <w:r w:rsidR="00017D7C">
              <w:rPr>
                <w:rStyle w:val="Strong"/>
              </w:rPr>
              <w:t>(–9.2%)</w:t>
            </w:r>
          </w:p>
        </w:tc>
        <w:tc>
          <w:tcPr>
            <w:tcW w:w="898" w:type="dxa"/>
            <w:noWrap/>
          </w:tcPr>
          <w:p w:rsidR="00890694" w:rsidRPr="00CD1A33" w:rsidRDefault="00890694" w:rsidP="00D21F3B">
            <w:pPr>
              <w:cnfStyle w:val="000000010000" w:firstRow="0" w:lastRow="0" w:firstColumn="0" w:lastColumn="0" w:oddVBand="0" w:evenVBand="0" w:oddHBand="0" w:evenHBand="1" w:firstRowFirstColumn="0" w:firstRowLastColumn="0" w:lastRowFirstColumn="0" w:lastRowLastColumn="0"/>
              <w:rPr>
                <w:rStyle w:val="Strong"/>
              </w:rPr>
            </w:pPr>
            <w:r w:rsidRPr="00CD1A33">
              <w:rPr>
                <w:rStyle w:val="Strong"/>
              </w:rPr>
              <w:t>$1</w:t>
            </w:r>
            <w:r w:rsidR="000607A2">
              <w:rPr>
                <w:rStyle w:val="Strong"/>
              </w:rPr>
              <w:t>2</w:t>
            </w:r>
            <w:r w:rsidR="00D21F3B">
              <w:rPr>
                <w:rStyle w:val="Strong"/>
              </w:rPr>
              <w:br/>
            </w:r>
            <w:r w:rsidR="00017D7C">
              <w:rPr>
                <w:rStyle w:val="Strong"/>
              </w:rPr>
              <w:t>(+0.3%)</w:t>
            </w:r>
          </w:p>
        </w:tc>
        <w:tc>
          <w:tcPr>
            <w:tcW w:w="897" w:type="dxa"/>
            <w:noWrap/>
          </w:tcPr>
          <w:p w:rsidR="00890694" w:rsidRPr="00CD1A33" w:rsidRDefault="00890694" w:rsidP="00D21F3B">
            <w:pPr>
              <w:cnfStyle w:val="000000010000" w:firstRow="0" w:lastRow="0" w:firstColumn="0" w:lastColumn="0" w:oddVBand="0" w:evenVBand="0" w:oddHBand="0" w:evenHBand="1" w:firstRowFirstColumn="0" w:firstRowLastColumn="0" w:lastRowFirstColumn="0" w:lastRowLastColumn="0"/>
              <w:rPr>
                <w:rStyle w:val="Strong"/>
              </w:rPr>
            </w:pPr>
            <w:r w:rsidRPr="00CD1A33">
              <w:rPr>
                <w:rStyle w:val="Strong"/>
              </w:rPr>
              <w:t>$127</w:t>
            </w:r>
            <w:r w:rsidR="00D21F3B">
              <w:rPr>
                <w:rStyle w:val="Strong"/>
              </w:rPr>
              <w:br/>
            </w:r>
            <w:r w:rsidR="00017D7C">
              <w:rPr>
                <w:rStyle w:val="Strong"/>
              </w:rPr>
              <w:t>(+2.8%)</w:t>
            </w:r>
          </w:p>
        </w:tc>
        <w:tc>
          <w:tcPr>
            <w:tcW w:w="898" w:type="dxa"/>
            <w:noWrap/>
          </w:tcPr>
          <w:p w:rsidR="00890694" w:rsidRPr="00CD1A33" w:rsidRDefault="00890694" w:rsidP="00685E96">
            <w:pPr>
              <w:cnfStyle w:val="000000010000" w:firstRow="0" w:lastRow="0" w:firstColumn="0" w:lastColumn="0" w:oddVBand="0" w:evenVBand="0" w:oddHBand="0" w:evenHBand="1" w:firstRowFirstColumn="0" w:firstRowLastColumn="0" w:lastRowFirstColumn="0" w:lastRowLastColumn="0"/>
              <w:rPr>
                <w:rStyle w:val="Strong"/>
              </w:rPr>
            </w:pPr>
            <w:r w:rsidRPr="00CD1A33">
              <w:rPr>
                <w:rStyle w:val="Strong"/>
              </w:rPr>
              <w:t>$16</w:t>
            </w:r>
            <w:r w:rsidR="000607A2">
              <w:rPr>
                <w:rStyle w:val="Strong"/>
              </w:rPr>
              <w:t>9</w:t>
            </w:r>
            <w:r w:rsidR="00D21F3B">
              <w:rPr>
                <w:rStyle w:val="Strong"/>
              </w:rPr>
              <w:br/>
            </w:r>
            <w:r w:rsidR="00017D7C">
              <w:rPr>
                <w:rStyle w:val="Strong"/>
              </w:rPr>
              <w:t>(+3.6%)</w:t>
            </w:r>
          </w:p>
        </w:tc>
        <w:tc>
          <w:tcPr>
            <w:tcW w:w="898" w:type="dxa"/>
            <w:noWrap/>
          </w:tcPr>
          <w:p w:rsidR="00890694" w:rsidRPr="00CD1A33" w:rsidRDefault="00890694" w:rsidP="00685E96">
            <w:pPr>
              <w:cnfStyle w:val="000000010000" w:firstRow="0" w:lastRow="0" w:firstColumn="0" w:lastColumn="0" w:oddVBand="0" w:evenVBand="0" w:oddHBand="0" w:evenHBand="1" w:firstRowFirstColumn="0" w:firstRowLastColumn="0" w:lastRowFirstColumn="0" w:lastRowLastColumn="0"/>
              <w:rPr>
                <w:rStyle w:val="Strong"/>
              </w:rPr>
            </w:pPr>
            <w:r w:rsidRPr="00CD1A33">
              <w:rPr>
                <w:rStyle w:val="Strong"/>
              </w:rPr>
              <w:t>$44</w:t>
            </w:r>
            <w:r w:rsidR="00D21F3B">
              <w:rPr>
                <w:rStyle w:val="Strong"/>
              </w:rPr>
              <w:br/>
            </w:r>
            <w:r w:rsidR="00017D7C">
              <w:rPr>
                <w:rStyle w:val="Strong"/>
              </w:rPr>
              <w:t>(+0.9%)</w:t>
            </w:r>
          </w:p>
        </w:tc>
      </w:tr>
    </w:tbl>
    <w:p w:rsidR="00EC5608" w:rsidRPr="00EC5608" w:rsidRDefault="00EC5608" w:rsidP="00EC5608">
      <w:pPr>
        <w:pStyle w:val="AERtablesource"/>
      </w:pPr>
      <w:r w:rsidRPr="00EC5608">
        <w:t>Source:</w:t>
      </w:r>
      <w:r w:rsidRPr="00EC5608">
        <w:tab/>
        <w:t xml:space="preserve">AER analysis; JGN, </w:t>
      </w:r>
      <w:r w:rsidRPr="00EC5608">
        <w:rPr>
          <w:rStyle w:val="AERtextitalic"/>
        </w:rPr>
        <w:t>Submissions on draft decision,</w:t>
      </w:r>
      <w:r w:rsidRPr="00EC5608">
        <w:t xml:space="preserve"> </w:t>
      </w:r>
      <w:r w:rsidRPr="00EC5608">
        <w:rPr>
          <w:rStyle w:val="AERtextitalic"/>
        </w:rPr>
        <w:t>Attachment N - updated appendix 10.1 - JGN revenue forecast model</w:t>
      </w:r>
      <w:r w:rsidRPr="00EC5608">
        <w:t xml:space="preserve">, 27 March 2015; JGN, </w:t>
      </w:r>
      <w:r w:rsidRPr="00EC5608">
        <w:rPr>
          <w:rStyle w:val="AERtextitalic"/>
        </w:rPr>
        <w:t>Appendix  03.02 Core Energy models and supporting spreadsheets - revised JGN demand and customer forecast</w:t>
      </w:r>
      <w:r w:rsidRPr="00EC5608">
        <w:t>, February 2015.</w:t>
      </w:r>
    </w:p>
    <w:p w:rsidR="00EC5608" w:rsidRPr="00EC5608" w:rsidRDefault="00EC5608" w:rsidP="00626C66">
      <w:pPr>
        <w:pStyle w:val="AERtablesource"/>
      </w:pPr>
      <w:r w:rsidRPr="00EC5608">
        <w:t>a</w:t>
      </w:r>
      <w:r w:rsidRPr="00EC5608">
        <w:tab/>
      </w:r>
      <w:r w:rsidR="003424EB">
        <w:t xml:space="preserve">The </w:t>
      </w:r>
      <w:r w:rsidRPr="00EC5608">
        <w:t xml:space="preserve">2014–15 annual bill </w:t>
      </w:r>
      <w:r w:rsidR="003424EB">
        <w:t xml:space="preserve">was </w:t>
      </w:r>
      <w:r w:rsidRPr="00EC5608">
        <w:t xml:space="preserve">calculated based on IPART, </w:t>
      </w:r>
      <w:r w:rsidRPr="00EC5608">
        <w:rPr>
          <w:rStyle w:val="AERtextitalic"/>
        </w:rPr>
        <w:t>Fact sheet – Removing carbon costs from regulated gas prices</w:t>
      </w:r>
      <w:r w:rsidRPr="00EC5608">
        <w:t xml:space="preserve">, 15 August 2014. </w:t>
      </w:r>
      <w:r w:rsidR="007E1ABC">
        <w:t xml:space="preserve">The </w:t>
      </w:r>
      <w:r w:rsidRPr="00EC5608">
        <w:t xml:space="preserve">2015–16 to 2019–20 annual bills </w:t>
      </w:r>
      <w:r w:rsidR="007E1ABC">
        <w:t xml:space="preserve">were </w:t>
      </w:r>
      <w:r w:rsidRPr="00EC5608">
        <w:t xml:space="preserve">calculated </w:t>
      </w:r>
      <w:r w:rsidR="003424EB">
        <w:t xml:space="preserve">from this starting point, </w:t>
      </w:r>
      <w:r w:rsidRPr="00EC5608">
        <w:t xml:space="preserve">applying </w:t>
      </w:r>
      <w:r w:rsidR="003424EB">
        <w:t xml:space="preserve">each year </w:t>
      </w:r>
      <w:r w:rsidR="00E41A22" w:rsidRPr="00EC5608">
        <w:t>the weighted</w:t>
      </w:r>
      <w:r w:rsidRPr="00EC5608">
        <w:t xml:space="preserve"> average price change (CPI</w:t>
      </w:r>
      <w:r w:rsidR="00345EFF">
        <w:t>–</w:t>
      </w:r>
      <w:r w:rsidR="00626C66">
        <w:t xml:space="preserve">X) </w:t>
      </w:r>
      <w:r w:rsidR="003424EB">
        <w:t xml:space="preserve">to the </w:t>
      </w:r>
      <w:r w:rsidR="00626C66">
        <w:t>distribution charge</w:t>
      </w:r>
      <w:r w:rsidR="003424EB">
        <w:t xml:space="preserve"> component</w:t>
      </w:r>
      <w:r w:rsidR="00626C66">
        <w:t xml:space="preserve">, and </w:t>
      </w:r>
      <w:r w:rsidRPr="00EC5608">
        <w:t>JGN</w:t>
      </w:r>
      <w:r w:rsidR="00E41A22">
        <w:t>'s</w:t>
      </w:r>
      <w:r w:rsidRPr="00EC5608">
        <w:t xml:space="preserve"> forecast increase to </w:t>
      </w:r>
      <w:r w:rsidR="003424EB">
        <w:t xml:space="preserve">the </w:t>
      </w:r>
      <w:r w:rsidRPr="00EC5608">
        <w:t xml:space="preserve">wholesale gas price </w:t>
      </w:r>
      <w:r w:rsidR="003424EB">
        <w:t>component</w:t>
      </w:r>
      <w:r w:rsidRPr="00EC5608">
        <w:t>. All other component</w:t>
      </w:r>
      <w:r w:rsidR="007E1ABC">
        <w:t>s</w:t>
      </w:r>
      <w:r w:rsidRPr="00EC5608">
        <w:t xml:space="preserve"> of the bill </w:t>
      </w:r>
      <w:r w:rsidR="007E1ABC">
        <w:t>are</w:t>
      </w:r>
      <w:r w:rsidRPr="00EC5608">
        <w:t xml:space="preserve"> assumed to</w:t>
      </w:r>
      <w:r w:rsidR="007E1ABC">
        <w:t xml:space="preserve"> be</w:t>
      </w:r>
      <w:r w:rsidRPr="00EC5608">
        <w:t xml:space="preserve"> h</w:t>
      </w:r>
      <w:r w:rsidR="007E1ABC">
        <w:t>e</w:t>
      </w:r>
      <w:r w:rsidRPr="00EC5608">
        <w:t>ld constant.</w:t>
      </w:r>
    </w:p>
    <w:p w:rsidR="00C43D34" w:rsidRPr="001077E3" w:rsidRDefault="00011C7C" w:rsidP="001077E3">
      <w:r w:rsidRPr="00011C7C">
        <w:t xml:space="preserve">These are high-level indicative estimates only, and the specific impact of our </w:t>
      </w:r>
      <w:r>
        <w:t>final</w:t>
      </w:r>
      <w:r w:rsidRPr="00011C7C">
        <w:t xml:space="preserve"> decision on annual</w:t>
      </w:r>
      <w:r>
        <w:t xml:space="preserve"> </w:t>
      </w:r>
      <w:r w:rsidRPr="00011C7C">
        <w:t>gas bills for different types of customers will vary depending on the reference tariff structure and</w:t>
      </w:r>
      <w:r>
        <w:t xml:space="preserve"> </w:t>
      </w:r>
      <w:r w:rsidRPr="00011C7C">
        <w:t>customer's consumption level. Changes to other components of the annual gas bill will also affect the</w:t>
      </w:r>
      <w:r>
        <w:t xml:space="preserve"> </w:t>
      </w:r>
      <w:r w:rsidR="007E1ABC">
        <w:t>actual bill outcomes</w:t>
      </w:r>
      <w:r w:rsidRPr="00011C7C">
        <w:t>.</w:t>
      </w:r>
      <w:r w:rsidR="00FB25B5">
        <w:t xml:space="preserve"> </w:t>
      </w:r>
      <w:r w:rsidR="007439ED">
        <w:t>In particular, the timing and extent of any increase in the wholesale gas price is uncertain, and this may have a substantial impact.</w:t>
      </w:r>
    </w:p>
    <w:p w:rsidR="008E433E" w:rsidRPr="008F3A0D" w:rsidRDefault="008E433E" w:rsidP="008E433E">
      <w:pPr>
        <w:pStyle w:val="Heading1"/>
      </w:pPr>
      <w:bookmarkStart w:id="82" w:name="_Ref418255462"/>
      <w:bookmarkStart w:id="83" w:name="_Toc419895022"/>
      <w:r w:rsidRPr="008F3A0D">
        <w:t>Key elements of the building blocks</w:t>
      </w:r>
      <w:bookmarkEnd w:id="57"/>
      <w:bookmarkEnd w:id="58"/>
      <w:bookmarkEnd w:id="59"/>
      <w:bookmarkEnd w:id="82"/>
      <w:bookmarkEnd w:id="83"/>
      <w:r w:rsidRPr="008F3A0D">
        <w:t xml:space="preserve"> </w:t>
      </w:r>
      <w:bookmarkEnd w:id="60"/>
      <w:bookmarkEnd w:id="61"/>
      <w:bookmarkEnd w:id="62"/>
    </w:p>
    <w:p w:rsidR="008E433E" w:rsidRDefault="008E433E" w:rsidP="008E433E">
      <w:bookmarkStart w:id="84" w:name="_Toc404437125"/>
      <w:bookmarkStart w:id="85" w:name="_Toc411428025"/>
      <w:r>
        <w:t xml:space="preserve">The components of our decision include the building blocks we use to determine the revenue </w:t>
      </w:r>
      <w:r w:rsidR="007E1C72">
        <w:t xml:space="preserve">JGN </w:t>
      </w:r>
      <w:r>
        <w:t>may recover from its customers.</w:t>
      </w:r>
    </w:p>
    <w:p w:rsidR="008E433E" w:rsidRDefault="008E433E" w:rsidP="008E433E">
      <w:r>
        <w:t>I</w:t>
      </w:r>
      <w:r w:rsidRPr="00DA7CB3">
        <w:rPr>
          <w:rStyle w:val="AERbody"/>
        </w:rPr>
        <w:t xml:space="preserve">n setting our </w:t>
      </w:r>
      <w:r>
        <w:rPr>
          <w:rStyle w:val="AERbody"/>
        </w:rPr>
        <w:t>overall revenue</w:t>
      </w:r>
      <w:r w:rsidRPr="00DA7CB3">
        <w:rPr>
          <w:rStyle w:val="AERbody"/>
        </w:rPr>
        <w:t xml:space="preserve"> for </w:t>
      </w:r>
      <w:r w:rsidR="007E1C72">
        <w:rPr>
          <w:rStyle w:val="AERbody"/>
        </w:rPr>
        <w:t>JGN</w:t>
      </w:r>
      <w:r w:rsidR="007E1C72" w:rsidRPr="00DA7CB3">
        <w:rPr>
          <w:rStyle w:val="AERbody"/>
        </w:rPr>
        <w:t xml:space="preserve"> </w:t>
      </w:r>
      <w:r w:rsidRPr="00DA7CB3">
        <w:rPr>
          <w:rStyle w:val="AERbody"/>
        </w:rPr>
        <w:t>of $</w:t>
      </w:r>
      <w:r w:rsidR="007439ED">
        <w:rPr>
          <w:rStyle w:val="AERbody"/>
        </w:rPr>
        <w:t>2248.6 </w:t>
      </w:r>
      <w:r>
        <w:t>million ($nominal</w:t>
      </w:r>
      <w:r w:rsidR="00BA5AFC">
        <w:t>, unsmoothed</w:t>
      </w:r>
      <w:r>
        <w:t>) for the 201</w:t>
      </w:r>
      <w:r w:rsidR="007E1C72">
        <w:t>5</w:t>
      </w:r>
      <w:r>
        <w:t>–</w:t>
      </w:r>
      <w:r w:rsidR="007E1C72">
        <w:t>20</w:t>
      </w:r>
      <w:r>
        <w:t xml:space="preserve"> period we:</w:t>
      </w:r>
    </w:p>
    <w:p w:rsidR="008E433E" w:rsidRPr="007C4B82" w:rsidRDefault="008E433E" w:rsidP="008E433E">
      <w:pPr>
        <w:pStyle w:val="AERbulletlistfirststyle"/>
        <w:rPr>
          <w:rStyle w:val="AERbody"/>
        </w:rPr>
      </w:pPr>
      <w:r w:rsidRPr="00EE5F0C">
        <w:rPr>
          <w:rStyle w:val="AERbody"/>
        </w:rPr>
        <w:t>apply relevant tests under the N</w:t>
      </w:r>
      <w:r w:rsidR="007E1C72">
        <w:rPr>
          <w:rStyle w:val="AERbody"/>
        </w:rPr>
        <w:t>G</w:t>
      </w:r>
      <w:r w:rsidRPr="00EE5F0C">
        <w:rPr>
          <w:rStyle w:val="AERbody"/>
        </w:rPr>
        <w:t>R, the assessment methods and tools developed as part of our Better Regulation guidelines</w:t>
      </w:r>
      <w:r>
        <w:rPr>
          <w:rStyle w:val="FootnoteReference"/>
        </w:rPr>
        <w:footnoteReference w:id="56"/>
      </w:r>
      <w:r w:rsidRPr="00EE5F0C">
        <w:rPr>
          <w:rStyle w:val="AERbody"/>
        </w:rPr>
        <w:t xml:space="preserve"> </w:t>
      </w:r>
      <w:r>
        <w:rPr>
          <w:rStyle w:val="AERbody"/>
        </w:rPr>
        <w:t xml:space="preserve">(see section </w:t>
      </w:r>
      <w:r>
        <w:rPr>
          <w:rStyle w:val="AERbody"/>
        </w:rPr>
        <w:fldChar w:fldCharType="begin"/>
      </w:r>
      <w:r>
        <w:rPr>
          <w:rStyle w:val="AERbody"/>
        </w:rPr>
        <w:instrText xml:space="preserve"> REF _Ref399959548 \r \h </w:instrText>
      </w:r>
      <w:r>
        <w:rPr>
          <w:rStyle w:val="AERbody"/>
        </w:rPr>
      </w:r>
      <w:r>
        <w:rPr>
          <w:rStyle w:val="AERbody"/>
        </w:rPr>
        <w:fldChar w:fldCharType="separate"/>
      </w:r>
      <w:r w:rsidR="009037A2">
        <w:rPr>
          <w:rStyle w:val="AERbody"/>
        </w:rPr>
        <w:t>6.1</w:t>
      </w:r>
      <w:r>
        <w:rPr>
          <w:rStyle w:val="AERbody"/>
        </w:rPr>
        <w:fldChar w:fldCharType="end"/>
      </w:r>
      <w:r>
        <w:rPr>
          <w:rStyle w:val="AERbody"/>
        </w:rPr>
        <w:t xml:space="preserve">). We also </w:t>
      </w:r>
      <w:r w:rsidRPr="007C4B82">
        <w:rPr>
          <w:rStyle w:val="AERbody"/>
        </w:rPr>
        <w:t>consider</w:t>
      </w:r>
      <w:r w:rsidR="00707DDE">
        <w:rPr>
          <w:rStyle w:val="AERbody"/>
        </w:rPr>
        <w:t>ed</w:t>
      </w:r>
      <w:r w:rsidRPr="007C4B82">
        <w:rPr>
          <w:rStyle w:val="AERbody"/>
        </w:rPr>
        <w:t xml:space="preserve"> information provided by </w:t>
      </w:r>
      <w:r w:rsidR="007E1C72">
        <w:rPr>
          <w:rStyle w:val="AERbody"/>
        </w:rPr>
        <w:t>JGN</w:t>
      </w:r>
      <w:r w:rsidRPr="007C4B82">
        <w:rPr>
          <w:rStyle w:val="AERbody"/>
        </w:rPr>
        <w:t xml:space="preserve">, the </w:t>
      </w:r>
      <w:r>
        <w:rPr>
          <w:rStyle w:val="AERbody"/>
        </w:rPr>
        <w:t>Consumer Challenge Panel (</w:t>
      </w:r>
      <w:r w:rsidRPr="007C4B82">
        <w:rPr>
          <w:rStyle w:val="AERbody"/>
        </w:rPr>
        <w:t>CCP</w:t>
      </w:r>
      <w:r>
        <w:rPr>
          <w:rStyle w:val="AERbody"/>
        </w:rPr>
        <w:t>)</w:t>
      </w:r>
      <w:r w:rsidRPr="007C4B82">
        <w:rPr>
          <w:rStyle w:val="AERbody"/>
        </w:rPr>
        <w:t>, consultants and stakeholder submissions</w:t>
      </w:r>
      <w:r>
        <w:rPr>
          <w:rStyle w:val="AERbody"/>
        </w:rPr>
        <w:t>.</w:t>
      </w:r>
    </w:p>
    <w:p w:rsidR="008E433E" w:rsidRDefault="008E433E" w:rsidP="008E433E">
      <w:pPr>
        <w:pStyle w:val="AERbulletlistfirststyle"/>
        <w:rPr>
          <w:rStyle w:val="AERbody"/>
        </w:rPr>
      </w:pPr>
      <w:r w:rsidRPr="00EE5F0C">
        <w:rPr>
          <w:rStyle w:val="AERbody"/>
        </w:rPr>
        <w:t>consider</w:t>
      </w:r>
      <w:r w:rsidR="00707DDE">
        <w:rPr>
          <w:rStyle w:val="AERbody"/>
        </w:rPr>
        <w:t>ed</w:t>
      </w:r>
      <w:r w:rsidRPr="00EE5F0C">
        <w:rPr>
          <w:rStyle w:val="AERbody"/>
        </w:rPr>
        <w:t xml:space="preserve"> our </w:t>
      </w:r>
      <w:r>
        <w:rPr>
          <w:rStyle w:val="AERbody"/>
        </w:rPr>
        <w:t>overall revenue</w:t>
      </w:r>
      <w:r w:rsidRPr="00EE5F0C">
        <w:rPr>
          <w:rStyle w:val="AERbody"/>
        </w:rPr>
        <w:t xml:space="preserve"> </w:t>
      </w:r>
      <w:r>
        <w:rPr>
          <w:rStyle w:val="AERbody"/>
        </w:rPr>
        <w:t xml:space="preserve">decision </w:t>
      </w:r>
      <w:r w:rsidRPr="00EE5F0C">
        <w:rPr>
          <w:rStyle w:val="AERbody"/>
        </w:rPr>
        <w:t xml:space="preserve">against section </w:t>
      </w:r>
      <w:r w:rsidR="007E1C72">
        <w:rPr>
          <w:rStyle w:val="AERbody"/>
        </w:rPr>
        <w:t>23</w:t>
      </w:r>
      <w:r w:rsidR="007E1C72" w:rsidRPr="00EE5F0C">
        <w:rPr>
          <w:rStyle w:val="AERbody"/>
        </w:rPr>
        <w:t xml:space="preserve"> </w:t>
      </w:r>
      <w:r w:rsidRPr="00EE5F0C">
        <w:rPr>
          <w:rStyle w:val="AERbody"/>
        </w:rPr>
        <w:t>of the N</w:t>
      </w:r>
      <w:r w:rsidR="007E1C72">
        <w:rPr>
          <w:rStyle w:val="AERbody"/>
        </w:rPr>
        <w:t>G</w:t>
      </w:r>
      <w:r w:rsidRPr="00EE5F0C">
        <w:rPr>
          <w:rStyle w:val="AERbody"/>
        </w:rPr>
        <w:t xml:space="preserve">L, including the constituent </w:t>
      </w:r>
      <w:r w:rsidRPr="007C4B82">
        <w:rPr>
          <w:rStyle w:val="AERbody"/>
        </w:rPr>
        <w:t>decisions and the interrelationships we discussed in section</w:t>
      </w:r>
      <w:r>
        <w:rPr>
          <w:rStyle w:val="AERbody"/>
        </w:rPr>
        <w:t xml:space="preserve">s </w:t>
      </w:r>
      <w:r>
        <w:rPr>
          <w:rStyle w:val="AERbody"/>
        </w:rPr>
        <w:fldChar w:fldCharType="begin"/>
      </w:r>
      <w:r>
        <w:rPr>
          <w:rStyle w:val="AERbody"/>
        </w:rPr>
        <w:instrText xml:space="preserve"> REF _Ref416285082 \r \h </w:instrText>
      </w:r>
      <w:r>
        <w:rPr>
          <w:rStyle w:val="AERbody"/>
        </w:rPr>
      </w:r>
      <w:r>
        <w:rPr>
          <w:rStyle w:val="AERbody"/>
        </w:rPr>
        <w:fldChar w:fldCharType="separate"/>
      </w:r>
      <w:r w:rsidR="009037A2">
        <w:rPr>
          <w:rStyle w:val="AERbody"/>
        </w:rPr>
        <w:t>1</w:t>
      </w:r>
      <w:r>
        <w:rPr>
          <w:rStyle w:val="AERbody"/>
        </w:rPr>
        <w:fldChar w:fldCharType="end"/>
      </w:r>
      <w:r>
        <w:rPr>
          <w:rStyle w:val="AERbody"/>
        </w:rPr>
        <w:t xml:space="preserve"> and</w:t>
      </w:r>
      <w:r w:rsidRPr="007C4B82">
        <w:rPr>
          <w:rStyle w:val="AERbody"/>
        </w:rPr>
        <w:t xml:space="preserve"> </w:t>
      </w:r>
      <w:r>
        <w:rPr>
          <w:rStyle w:val="AERbody"/>
        </w:rPr>
        <w:t>4</w:t>
      </w:r>
      <w:r w:rsidRPr="007C4B82">
        <w:rPr>
          <w:rStyle w:val="AERbody"/>
        </w:rPr>
        <w:t>.</w:t>
      </w:r>
    </w:p>
    <w:p w:rsidR="008E433E" w:rsidRPr="007C4B82" w:rsidRDefault="008E433E" w:rsidP="008E433E">
      <w:pPr>
        <w:pStyle w:val="ListParagraph"/>
        <w:numPr>
          <w:ilvl w:val="0"/>
          <w:numId w:val="25"/>
        </w:numPr>
      </w:pPr>
      <w:bookmarkStart w:id="86" w:name="_Toc416278251"/>
      <w:bookmarkStart w:id="87" w:name="_Toc416278315"/>
      <w:bookmarkStart w:id="88" w:name="_Toc416278317"/>
      <w:bookmarkEnd w:id="84"/>
      <w:bookmarkEnd w:id="85"/>
      <w:bookmarkEnd w:id="86"/>
      <w:bookmarkEnd w:id="87"/>
      <w:bookmarkEnd w:id="88"/>
      <w:r w:rsidRPr="007C4B82">
        <w:t xml:space="preserve">The following section summarises our decision by building block and provides our high level reasons and analysis. </w:t>
      </w:r>
      <w:r>
        <w:t xml:space="preserve">The </w:t>
      </w:r>
      <w:r w:rsidR="00F81556">
        <w:t>a</w:t>
      </w:r>
      <w:r>
        <w:t>ttachments provide a more detailed explanation of our analysis and findings.</w:t>
      </w:r>
    </w:p>
    <w:p w:rsidR="008E433E" w:rsidRDefault="00882AC5" w:rsidP="008E433E">
      <w:pPr>
        <w:pStyle w:val="Heading2"/>
      </w:pPr>
      <w:bookmarkStart w:id="89" w:name="_Toc419895023"/>
      <w:r>
        <w:t>Capital base</w:t>
      </w:r>
      <w:bookmarkEnd w:id="89"/>
    </w:p>
    <w:p w:rsidR="00D52BCC" w:rsidRDefault="00D52BCC" w:rsidP="00D52BCC">
      <w:pPr>
        <w:numPr>
          <w:ilvl w:val="0"/>
          <w:numId w:val="25"/>
        </w:numPr>
      </w:pPr>
      <w:r>
        <w:t xml:space="preserve">The capital base roll forward is the value of JGN's assets that are used to provide gas distribution network services. These assets include pipelines, meters, land, buildings, plant and vehicles. The capital base is the value on which JGN earns a return on capital, representing the return on the funds (capital) invested in the business. The capital base is also the basis for calculating depreciation, which represents the return of capital back to investors over time. </w:t>
      </w:r>
      <w:r w:rsidR="00F81556">
        <w:t>As such</w:t>
      </w:r>
      <w:r>
        <w:t>, the capital base is an important input to the determination of JGN's total revenue.</w:t>
      </w:r>
    </w:p>
    <w:p w:rsidR="00D52BCC" w:rsidRDefault="00D52BCC" w:rsidP="00D52BCC">
      <w:pPr>
        <w:numPr>
          <w:ilvl w:val="0"/>
          <w:numId w:val="25"/>
        </w:numPr>
      </w:pPr>
      <w:r>
        <w:t>We are</w:t>
      </w:r>
      <w:r w:rsidRPr="00B61433">
        <w:t xml:space="preserve"> required to make a decision on </w:t>
      </w:r>
      <w:r>
        <w:t>JGN's:</w:t>
      </w:r>
      <w:r>
        <w:rPr>
          <w:rStyle w:val="FootnoteReference"/>
        </w:rPr>
        <w:footnoteReference w:id="57"/>
      </w:r>
    </w:p>
    <w:p w:rsidR="00D52BCC" w:rsidRPr="009F562F" w:rsidRDefault="00D52BCC" w:rsidP="00D52BCC">
      <w:pPr>
        <w:pStyle w:val="AERbulletlistfirststyle"/>
      </w:pPr>
      <w:r w:rsidRPr="00B61433">
        <w:t>opening</w:t>
      </w:r>
      <w:r w:rsidRPr="009F562F">
        <w:t xml:space="preserve"> capital base as at 1 July 2015, which reflects the capital base roll forward over the 2010–15 access arrangement period</w:t>
      </w:r>
      <w:r w:rsidR="00480731">
        <w:rPr>
          <w:rStyle w:val="FootnoteReference"/>
        </w:rPr>
        <w:footnoteReference w:id="58"/>
      </w:r>
    </w:p>
    <w:p w:rsidR="00D52BCC" w:rsidRPr="009F562F" w:rsidRDefault="00D52BCC" w:rsidP="00D52BCC">
      <w:pPr>
        <w:pStyle w:val="AERbulletlistfirststyle"/>
      </w:pPr>
      <w:r>
        <w:t xml:space="preserve">projected capital base </w:t>
      </w:r>
      <w:r w:rsidRPr="009F562F">
        <w:t>over the 2015–20 access arrangement period.</w:t>
      </w:r>
    </w:p>
    <w:p w:rsidR="00D52BCC" w:rsidRDefault="00D52BCC" w:rsidP="00D52BCC">
      <w:pPr>
        <w:numPr>
          <w:ilvl w:val="0"/>
          <w:numId w:val="25"/>
        </w:numPr>
      </w:pPr>
      <w:r w:rsidRPr="009F4C42">
        <w:t xml:space="preserve">Attachment </w:t>
      </w:r>
      <w:r>
        <w:t xml:space="preserve">2 </w:t>
      </w:r>
      <w:r w:rsidRPr="009F4C42">
        <w:t xml:space="preserve">sets out the detailed reasons for our </w:t>
      </w:r>
      <w:r w:rsidR="00BC1F06">
        <w:t>final</w:t>
      </w:r>
      <w:r w:rsidRPr="009F4C42">
        <w:t xml:space="preserve"> decision on </w:t>
      </w:r>
      <w:r>
        <w:t>JGN's</w:t>
      </w:r>
      <w:r w:rsidRPr="009F4C42">
        <w:t xml:space="preserve"> </w:t>
      </w:r>
      <w:r>
        <w:t>capital base</w:t>
      </w:r>
      <w:r w:rsidRPr="009F4C42">
        <w:t xml:space="preserve">. </w:t>
      </w:r>
    </w:p>
    <w:p w:rsidR="00D52BCC" w:rsidRDefault="00D52BCC" w:rsidP="00D52BCC">
      <w:pPr>
        <w:numPr>
          <w:ilvl w:val="0"/>
          <w:numId w:val="25"/>
        </w:numPr>
        <w:rPr>
          <w:rStyle w:val="AERbody"/>
        </w:rPr>
      </w:pPr>
      <w:r>
        <w:rPr>
          <w:rStyle w:val="AERbody"/>
        </w:rPr>
        <w:t>We approve JGN's revised propos</w:t>
      </w:r>
      <w:r w:rsidR="00C224C4">
        <w:rPr>
          <w:rStyle w:val="AERbody"/>
        </w:rPr>
        <w:t>ed</w:t>
      </w:r>
      <w:r>
        <w:rPr>
          <w:rStyle w:val="AERbody"/>
        </w:rPr>
        <w:t xml:space="preserve"> opening capital base </w:t>
      </w:r>
      <w:r w:rsidRPr="00480731">
        <w:rPr>
          <w:rStyle w:val="AERbody"/>
        </w:rPr>
        <w:t>of $29</w:t>
      </w:r>
      <w:r w:rsidR="00FB2210" w:rsidRPr="00480731">
        <w:rPr>
          <w:rStyle w:val="AERbody"/>
        </w:rPr>
        <w:t>80</w:t>
      </w:r>
      <w:r w:rsidRPr="00480731">
        <w:rPr>
          <w:rStyle w:val="AERbody"/>
        </w:rPr>
        <w:t>.</w:t>
      </w:r>
      <w:r w:rsidR="00FB2210" w:rsidRPr="00480731">
        <w:rPr>
          <w:rStyle w:val="AERbody"/>
        </w:rPr>
        <w:t>2</w:t>
      </w:r>
      <w:r w:rsidRPr="00480731">
        <w:rPr>
          <w:rStyle w:val="AERbody"/>
        </w:rPr>
        <w:t> mill</w:t>
      </w:r>
      <w:r>
        <w:rPr>
          <w:rStyle w:val="AERbody"/>
        </w:rPr>
        <w:t>ion ($nominal) at 1 July 2015.</w:t>
      </w:r>
      <w:r w:rsidR="00FB2210">
        <w:rPr>
          <w:rStyle w:val="FootnoteReference"/>
        </w:rPr>
        <w:footnoteReference w:id="59"/>
      </w:r>
      <w:r>
        <w:rPr>
          <w:rStyle w:val="AERbody"/>
        </w:rPr>
        <w:t xml:space="preserve"> </w:t>
      </w:r>
    </w:p>
    <w:p w:rsidR="00D52BCC" w:rsidRDefault="00D22D84" w:rsidP="00D52BCC">
      <w:pPr>
        <w:numPr>
          <w:ilvl w:val="0"/>
          <w:numId w:val="25"/>
        </w:numPr>
        <w:rPr>
          <w:rStyle w:val="AERbody"/>
        </w:rPr>
      </w:pPr>
      <w:r>
        <w:rPr>
          <w:rStyle w:val="AERbody"/>
        </w:rPr>
        <w:fldChar w:fldCharType="begin"/>
      </w:r>
      <w:r>
        <w:rPr>
          <w:rStyle w:val="AERbody"/>
        </w:rPr>
        <w:instrText xml:space="preserve"> REF _Ref419799972 \h </w:instrText>
      </w:r>
      <w:r>
        <w:rPr>
          <w:rStyle w:val="AERbody"/>
        </w:rPr>
      </w:r>
      <w:r>
        <w:rPr>
          <w:rStyle w:val="AERbody"/>
        </w:rPr>
        <w:fldChar w:fldCharType="separate"/>
      </w:r>
      <w:r w:rsidR="009037A2">
        <w:t xml:space="preserve">Table </w:t>
      </w:r>
      <w:r w:rsidR="009037A2">
        <w:rPr>
          <w:noProof/>
        </w:rPr>
        <w:t>6</w:t>
      </w:r>
      <w:r>
        <w:rPr>
          <w:rStyle w:val="AERbody"/>
        </w:rPr>
        <w:fldChar w:fldCharType="end"/>
      </w:r>
      <w:r w:rsidR="00B12D67">
        <w:rPr>
          <w:rStyle w:val="AERbody"/>
        </w:rPr>
        <w:t xml:space="preserve"> </w:t>
      </w:r>
      <w:r w:rsidR="00D52BCC">
        <w:rPr>
          <w:rStyle w:val="AERbody"/>
        </w:rPr>
        <w:t xml:space="preserve">sets out our </w:t>
      </w:r>
      <w:r w:rsidR="00BC1F06">
        <w:rPr>
          <w:rStyle w:val="AERbody"/>
        </w:rPr>
        <w:t>final</w:t>
      </w:r>
      <w:r w:rsidR="00D52BCC">
        <w:rPr>
          <w:rStyle w:val="AERbody"/>
        </w:rPr>
        <w:t xml:space="preserve"> decision on the roll forward of JGN's capital base across the 2010–15 access arrangement period, and shows the derivation of the opening capital base.</w:t>
      </w:r>
    </w:p>
    <w:p w:rsidR="00D52BCC" w:rsidRDefault="00F81556" w:rsidP="00F81556">
      <w:pPr>
        <w:pStyle w:val="Caption"/>
      </w:pPr>
      <w:bookmarkStart w:id="90" w:name="_Ref419799972"/>
      <w:r>
        <w:t xml:space="preserve">Table </w:t>
      </w:r>
      <w:fldSimple w:instr=" SEQ Table \* ARABIC ">
        <w:r w:rsidR="009037A2">
          <w:rPr>
            <w:noProof/>
          </w:rPr>
          <w:t>6</w:t>
        </w:r>
      </w:fldSimple>
      <w:bookmarkEnd w:id="90"/>
      <w:r w:rsidR="00D52BCC">
        <w:tab/>
      </w:r>
      <w:r w:rsidR="00D52BCC" w:rsidRPr="00A07BF8">
        <w:t xml:space="preserve">AER's </w:t>
      </w:r>
      <w:r w:rsidR="00D52BCC">
        <w:t>final</w:t>
      </w:r>
      <w:r w:rsidR="00D52BCC" w:rsidRPr="00A07BF8">
        <w:t xml:space="preserve"> decision on JGN's capital base roll forward for the 2010–15 access arrangement period ($million, nominal)</w:t>
      </w:r>
    </w:p>
    <w:tbl>
      <w:tblPr>
        <w:tblStyle w:val="AERtable-numbers"/>
        <w:tblW w:w="8755" w:type="dxa"/>
        <w:tblLook w:val="04A0" w:firstRow="1" w:lastRow="0" w:firstColumn="1" w:lastColumn="0" w:noHBand="0" w:noVBand="1"/>
      </w:tblPr>
      <w:tblGrid>
        <w:gridCol w:w="3085"/>
        <w:gridCol w:w="1149"/>
        <w:gridCol w:w="1149"/>
        <w:gridCol w:w="1149"/>
        <w:gridCol w:w="1149"/>
        <w:gridCol w:w="1074"/>
      </w:tblGrid>
      <w:tr w:rsidR="00D52BCC" w:rsidRPr="00392522" w:rsidTr="00D52BCC">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085" w:type="dxa"/>
            <w:hideMark/>
          </w:tcPr>
          <w:p w:rsidR="00D52BCC" w:rsidRPr="00CF5CA2" w:rsidRDefault="00D52BCC" w:rsidP="00D52BCC"/>
        </w:tc>
        <w:tc>
          <w:tcPr>
            <w:tcW w:w="1149" w:type="dxa"/>
            <w:hideMark/>
          </w:tcPr>
          <w:p w:rsidR="00D52BCC" w:rsidRPr="00D52BCC" w:rsidRDefault="00D52BCC" w:rsidP="00D52BCC">
            <w:pPr>
              <w:cnfStyle w:val="100000000000" w:firstRow="1" w:lastRow="0" w:firstColumn="0" w:lastColumn="0" w:oddVBand="0" w:evenVBand="0" w:oddHBand="0" w:evenHBand="0" w:firstRowFirstColumn="0" w:firstRowLastColumn="0" w:lastRowFirstColumn="0" w:lastRowLastColumn="0"/>
            </w:pPr>
            <w:r w:rsidRPr="00CF5CA2">
              <w:t>2010</w:t>
            </w:r>
            <w:r w:rsidRPr="00D52BCC">
              <w:t>–11</w:t>
            </w:r>
          </w:p>
        </w:tc>
        <w:tc>
          <w:tcPr>
            <w:tcW w:w="1149" w:type="dxa"/>
            <w:hideMark/>
          </w:tcPr>
          <w:p w:rsidR="00D52BCC" w:rsidRPr="00D52BCC" w:rsidRDefault="00D52BCC" w:rsidP="00D52BCC">
            <w:pPr>
              <w:cnfStyle w:val="100000000000" w:firstRow="1" w:lastRow="0" w:firstColumn="0" w:lastColumn="0" w:oddVBand="0" w:evenVBand="0" w:oddHBand="0" w:evenHBand="0" w:firstRowFirstColumn="0" w:firstRowLastColumn="0" w:lastRowFirstColumn="0" w:lastRowLastColumn="0"/>
            </w:pPr>
            <w:r w:rsidRPr="00CF5CA2">
              <w:t>2011</w:t>
            </w:r>
            <w:r w:rsidRPr="00D52BCC">
              <w:t>–12</w:t>
            </w:r>
          </w:p>
        </w:tc>
        <w:tc>
          <w:tcPr>
            <w:tcW w:w="1149" w:type="dxa"/>
            <w:hideMark/>
          </w:tcPr>
          <w:p w:rsidR="00D52BCC" w:rsidRPr="00D52BCC" w:rsidRDefault="00D52BCC" w:rsidP="00D52BCC">
            <w:pPr>
              <w:cnfStyle w:val="100000000000" w:firstRow="1" w:lastRow="0" w:firstColumn="0" w:lastColumn="0" w:oddVBand="0" w:evenVBand="0" w:oddHBand="0" w:evenHBand="0" w:firstRowFirstColumn="0" w:firstRowLastColumn="0" w:lastRowFirstColumn="0" w:lastRowLastColumn="0"/>
            </w:pPr>
            <w:r w:rsidRPr="00CF5CA2">
              <w:t>2012</w:t>
            </w:r>
            <w:r w:rsidRPr="00D52BCC">
              <w:t>–13</w:t>
            </w:r>
          </w:p>
        </w:tc>
        <w:tc>
          <w:tcPr>
            <w:tcW w:w="1149" w:type="dxa"/>
            <w:hideMark/>
          </w:tcPr>
          <w:p w:rsidR="00D52BCC" w:rsidRPr="00D52BCC" w:rsidRDefault="00D52BCC" w:rsidP="00D52BCC">
            <w:pPr>
              <w:cnfStyle w:val="100000000000" w:firstRow="1" w:lastRow="0" w:firstColumn="0" w:lastColumn="0" w:oddVBand="0" w:evenVBand="0" w:oddHBand="0" w:evenHBand="0" w:firstRowFirstColumn="0" w:firstRowLastColumn="0" w:lastRowFirstColumn="0" w:lastRowLastColumn="0"/>
            </w:pPr>
            <w:r w:rsidRPr="00CF5CA2">
              <w:t>2013</w:t>
            </w:r>
            <w:r w:rsidRPr="00D52BCC">
              <w:t>–14</w:t>
            </w:r>
          </w:p>
        </w:tc>
        <w:tc>
          <w:tcPr>
            <w:tcW w:w="1074" w:type="dxa"/>
            <w:hideMark/>
          </w:tcPr>
          <w:p w:rsidR="00D52BCC" w:rsidRPr="00D52BCC" w:rsidRDefault="00D52BCC" w:rsidP="00D52BCC">
            <w:pPr>
              <w:cnfStyle w:val="100000000000" w:firstRow="1" w:lastRow="0" w:firstColumn="0" w:lastColumn="0" w:oddVBand="0" w:evenVBand="0" w:oddHBand="0" w:evenHBand="0" w:firstRowFirstColumn="0" w:firstRowLastColumn="0" w:lastRowFirstColumn="0" w:lastRowLastColumn="0"/>
            </w:pPr>
            <w:r w:rsidRPr="00CF5CA2">
              <w:t>2014</w:t>
            </w:r>
            <w:r w:rsidRPr="00D52BCC">
              <w:t>–15</w:t>
            </w:r>
          </w:p>
        </w:tc>
      </w:tr>
      <w:tr w:rsidR="00FB2210" w:rsidRPr="00392522" w:rsidTr="00D52BCC">
        <w:trPr>
          <w:trHeight w:val="428"/>
        </w:trPr>
        <w:tc>
          <w:tcPr>
            <w:cnfStyle w:val="001000000000" w:firstRow="0" w:lastRow="0" w:firstColumn="1" w:lastColumn="0" w:oddVBand="0" w:evenVBand="0" w:oddHBand="0" w:evenHBand="0" w:firstRowFirstColumn="0" w:firstRowLastColumn="0" w:lastRowFirstColumn="0" w:lastRowLastColumn="0"/>
            <w:tcW w:w="3085" w:type="dxa"/>
            <w:hideMark/>
          </w:tcPr>
          <w:p w:rsidR="00FB2210" w:rsidRPr="00FB2210" w:rsidRDefault="00FB2210" w:rsidP="00FB2210">
            <w:r w:rsidRPr="00764255">
              <w:t>Opening capital base</w:t>
            </w:r>
          </w:p>
        </w:tc>
        <w:tc>
          <w:tcPr>
            <w:tcW w:w="1149" w:type="dxa"/>
          </w:tcPr>
          <w:p w:rsidR="00FB2210" w:rsidRPr="00FB2210" w:rsidRDefault="00FB2210" w:rsidP="00FB2210">
            <w:pPr>
              <w:cnfStyle w:val="000000000000" w:firstRow="0" w:lastRow="0" w:firstColumn="0" w:lastColumn="0" w:oddVBand="0" w:evenVBand="0" w:oddHBand="0" w:evenHBand="0" w:firstRowFirstColumn="0" w:firstRowLastColumn="0" w:lastRowFirstColumn="0" w:lastRowLastColumn="0"/>
            </w:pPr>
            <w:r w:rsidRPr="00783488">
              <w:t>2312.7</w:t>
            </w:r>
          </w:p>
        </w:tc>
        <w:tc>
          <w:tcPr>
            <w:tcW w:w="1149" w:type="dxa"/>
          </w:tcPr>
          <w:p w:rsidR="00FB2210" w:rsidRPr="00FB2210" w:rsidRDefault="00FB2210" w:rsidP="00FB2210">
            <w:pPr>
              <w:cnfStyle w:val="000000000000" w:firstRow="0" w:lastRow="0" w:firstColumn="0" w:lastColumn="0" w:oddVBand="0" w:evenVBand="0" w:oddHBand="0" w:evenHBand="0" w:firstRowFirstColumn="0" w:firstRowLastColumn="0" w:lastRowFirstColumn="0" w:lastRowLastColumn="0"/>
            </w:pPr>
            <w:r w:rsidRPr="00783488">
              <w:t>2456.6</w:t>
            </w:r>
          </w:p>
        </w:tc>
        <w:tc>
          <w:tcPr>
            <w:tcW w:w="1149" w:type="dxa"/>
          </w:tcPr>
          <w:p w:rsidR="00FB2210" w:rsidRPr="00FB2210" w:rsidRDefault="00FB2210" w:rsidP="00FB2210">
            <w:pPr>
              <w:cnfStyle w:val="000000000000" w:firstRow="0" w:lastRow="0" w:firstColumn="0" w:lastColumn="0" w:oddVBand="0" w:evenVBand="0" w:oddHBand="0" w:evenHBand="0" w:firstRowFirstColumn="0" w:firstRowLastColumn="0" w:lastRowFirstColumn="0" w:lastRowLastColumn="0"/>
            </w:pPr>
            <w:r w:rsidRPr="00783488">
              <w:t>2611.2</w:t>
            </w:r>
          </w:p>
        </w:tc>
        <w:tc>
          <w:tcPr>
            <w:tcW w:w="1149" w:type="dxa"/>
          </w:tcPr>
          <w:p w:rsidR="00FB2210" w:rsidRPr="00FB2210" w:rsidRDefault="00FB2210" w:rsidP="00FB2210">
            <w:pPr>
              <w:cnfStyle w:val="000000000000" w:firstRow="0" w:lastRow="0" w:firstColumn="0" w:lastColumn="0" w:oddVBand="0" w:evenVBand="0" w:oddHBand="0" w:evenHBand="0" w:firstRowFirstColumn="0" w:firstRowLastColumn="0" w:lastRowFirstColumn="0" w:lastRowLastColumn="0"/>
            </w:pPr>
            <w:r w:rsidRPr="00783488">
              <w:t>2697.1</w:t>
            </w:r>
          </w:p>
        </w:tc>
        <w:tc>
          <w:tcPr>
            <w:tcW w:w="1074" w:type="dxa"/>
          </w:tcPr>
          <w:p w:rsidR="00FB2210" w:rsidRPr="00FB2210" w:rsidRDefault="00FB2210" w:rsidP="00FB2210">
            <w:pPr>
              <w:cnfStyle w:val="000000000000" w:firstRow="0" w:lastRow="0" w:firstColumn="0" w:lastColumn="0" w:oddVBand="0" w:evenVBand="0" w:oddHBand="0" w:evenHBand="0" w:firstRowFirstColumn="0" w:firstRowLastColumn="0" w:lastRowFirstColumn="0" w:lastRowLastColumn="0"/>
            </w:pPr>
            <w:r w:rsidRPr="00783488">
              <w:t>2801.5</w:t>
            </w:r>
          </w:p>
        </w:tc>
      </w:tr>
      <w:tr w:rsidR="00FB2210" w:rsidRPr="00392522" w:rsidTr="00D52BCC">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085" w:type="dxa"/>
            <w:hideMark/>
          </w:tcPr>
          <w:p w:rsidR="00FB2210" w:rsidRPr="00FB2210" w:rsidRDefault="00FB2210" w:rsidP="00FB2210">
            <w:r w:rsidRPr="00764255">
              <w:t xml:space="preserve">Net capex at start of year </w:t>
            </w:r>
          </w:p>
        </w:tc>
        <w:tc>
          <w:tcPr>
            <w:tcW w:w="1149" w:type="dxa"/>
          </w:tcPr>
          <w:p w:rsidR="00FB2210" w:rsidRPr="00FB2210" w:rsidRDefault="00FB2210" w:rsidP="00FB2210">
            <w:pPr>
              <w:cnfStyle w:val="000000010000" w:firstRow="0" w:lastRow="0" w:firstColumn="0" w:lastColumn="0" w:oddVBand="0" w:evenVBand="0" w:oddHBand="0" w:evenHBand="1" w:firstRowFirstColumn="0" w:firstRowLastColumn="0" w:lastRowFirstColumn="0" w:lastRowLastColumn="0"/>
            </w:pPr>
            <w:r w:rsidRPr="00783488">
              <w:t>76.2</w:t>
            </w:r>
          </w:p>
        </w:tc>
        <w:tc>
          <w:tcPr>
            <w:tcW w:w="1149" w:type="dxa"/>
          </w:tcPr>
          <w:p w:rsidR="00FB2210" w:rsidRPr="00FB2210" w:rsidRDefault="00FB2210" w:rsidP="00FB2210">
            <w:pPr>
              <w:cnfStyle w:val="000000010000" w:firstRow="0" w:lastRow="0" w:firstColumn="0" w:lastColumn="0" w:oddVBand="0" w:evenVBand="0" w:oddHBand="0" w:evenHBand="1" w:firstRowFirstColumn="0" w:firstRowLastColumn="0" w:lastRowFirstColumn="0" w:lastRowLastColumn="0"/>
            </w:pPr>
            <w:r w:rsidRPr="00783488">
              <w:t>82.8</w:t>
            </w:r>
          </w:p>
        </w:tc>
        <w:tc>
          <w:tcPr>
            <w:tcW w:w="1149" w:type="dxa"/>
          </w:tcPr>
          <w:p w:rsidR="00FB2210" w:rsidRPr="00FB2210" w:rsidRDefault="00FB2210" w:rsidP="00FB2210">
            <w:pPr>
              <w:cnfStyle w:val="000000010000" w:firstRow="0" w:lastRow="0" w:firstColumn="0" w:lastColumn="0" w:oddVBand="0" w:evenVBand="0" w:oddHBand="0" w:evenHBand="1" w:firstRowFirstColumn="0" w:firstRowLastColumn="0" w:lastRowFirstColumn="0" w:lastRowLastColumn="0"/>
            </w:pPr>
            <w:r w:rsidRPr="00783488">
              <w:t>63.5</w:t>
            </w:r>
          </w:p>
        </w:tc>
        <w:tc>
          <w:tcPr>
            <w:tcW w:w="1149" w:type="dxa"/>
          </w:tcPr>
          <w:p w:rsidR="00FB2210" w:rsidRPr="00FB2210" w:rsidRDefault="00FB2210" w:rsidP="00FB2210">
            <w:pPr>
              <w:cnfStyle w:val="000000010000" w:firstRow="0" w:lastRow="0" w:firstColumn="0" w:lastColumn="0" w:oddVBand="0" w:evenVBand="0" w:oddHBand="0" w:evenHBand="1" w:firstRowFirstColumn="0" w:firstRowLastColumn="0" w:lastRowFirstColumn="0" w:lastRowLastColumn="0"/>
            </w:pPr>
            <w:r w:rsidRPr="00783488">
              <w:t>69.7</w:t>
            </w:r>
          </w:p>
        </w:tc>
        <w:tc>
          <w:tcPr>
            <w:tcW w:w="1074" w:type="dxa"/>
          </w:tcPr>
          <w:p w:rsidR="00FB2210" w:rsidRPr="00FB2210" w:rsidRDefault="00FB2210" w:rsidP="00FB2210">
            <w:pPr>
              <w:cnfStyle w:val="000000010000" w:firstRow="0" w:lastRow="0" w:firstColumn="0" w:lastColumn="0" w:oddVBand="0" w:evenVBand="0" w:oddHBand="0" w:evenHBand="1" w:firstRowFirstColumn="0" w:firstRowLastColumn="0" w:lastRowFirstColumn="0" w:lastRowLastColumn="0"/>
            </w:pPr>
            <w:r w:rsidRPr="00783488">
              <w:t>123.0</w:t>
            </w:r>
          </w:p>
        </w:tc>
      </w:tr>
      <w:tr w:rsidR="00FB2210" w:rsidRPr="00392522" w:rsidTr="00D52BCC">
        <w:trPr>
          <w:trHeight w:val="428"/>
        </w:trPr>
        <w:tc>
          <w:tcPr>
            <w:cnfStyle w:val="001000000000" w:firstRow="0" w:lastRow="0" w:firstColumn="1" w:lastColumn="0" w:oddVBand="0" w:evenVBand="0" w:oddHBand="0" w:evenHBand="0" w:firstRowFirstColumn="0" w:firstRowLastColumn="0" w:lastRowFirstColumn="0" w:lastRowLastColumn="0"/>
            <w:tcW w:w="3085" w:type="dxa"/>
            <w:hideMark/>
          </w:tcPr>
          <w:p w:rsidR="00FB2210" w:rsidRPr="00FB2210" w:rsidRDefault="00FB2210" w:rsidP="00FB2210">
            <w:r w:rsidRPr="00764255">
              <w:t xml:space="preserve">Indexation of assets </w:t>
            </w:r>
          </w:p>
        </w:tc>
        <w:tc>
          <w:tcPr>
            <w:tcW w:w="1149" w:type="dxa"/>
          </w:tcPr>
          <w:p w:rsidR="00FB2210" w:rsidRPr="00FB2210" w:rsidRDefault="00FB2210" w:rsidP="00FB2210">
            <w:pPr>
              <w:cnfStyle w:val="000000000000" w:firstRow="0" w:lastRow="0" w:firstColumn="0" w:lastColumn="0" w:oddVBand="0" w:evenVBand="0" w:oddHBand="0" w:evenHBand="0" w:firstRowFirstColumn="0" w:firstRowLastColumn="0" w:lastRowFirstColumn="0" w:lastRowLastColumn="0"/>
            </w:pPr>
            <w:r w:rsidRPr="00783488">
              <w:t>63.4</w:t>
            </w:r>
          </w:p>
        </w:tc>
        <w:tc>
          <w:tcPr>
            <w:tcW w:w="1149" w:type="dxa"/>
          </w:tcPr>
          <w:p w:rsidR="00FB2210" w:rsidRPr="00FB2210" w:rsidRDefault="00FB2210" w:rsidP="00FB2210">
            <w:pPr>
              <w:cnfStyle w:val="000000000000" w:firstRow="0" w:lastRow="0" w:firstColumn="0" w:lastColumn="0" w:oddVBand="0" w:evenVBand="0" w:oddHBand="0" w:evenHBand="0" w:firstRowFirstColumn="0" w:firstRowLastColumn="0" w:lastRowFirstColumn="0" w:lastRowLastColumn="0"/>
            </w:pPr>
            <w:r w:rsidRPr="00783488">
              <w:t>78.8</w:t>
            </w:r>
          </w:p>
        </w:tc>
        <w:tc>
          <w:tcPr>
            <w:tcW w:w="1149" w:type="dxa"/>
          </w:tcPr>
          <w:p w:rsidR="00FB2210" w:rsidRPr="00FB2210" w:rsidRDefault="00FB2210" w:rsidP="00FB2210">
            <w:pPr>
              <w:cnfStyle w:val="000000000000" w:firstRow="0" w:lastRow="0" w:firstColumn="0" w:lastColumn="0" w:oddVBand="0" w:evenVBand="0" w:oddHBand="0" w:evenHBand="0" w:firstRowFirstColumn="0" w:firstRowLastColumn="0" w:lastRowFirstColumn="0" w:lastRowLastColumn="0"/>
            </w:pPr>
            <w:r w:rsidRPr="00783488">
              <w:t>59.0</w:t>
            </w:r>
          </w:p>
        </w:tc>
        <w:tc>
          <w:tcPr>
            <w:tcW w:w="1149" w:type="dxa"/>
          </w:tcPr>
          <w:p w:rsidR="00FB2210" w:rsidRPr="00FB2210" w:rsidRDefault="00FB2210" w:rsidP="00FB2210">
            <w:pPr>
              <w:cnfStyle w:val="000000000000" w:firstRow="0" w:lastRow="0" w:firstColumn="0" w:lastColumn="0" w:oddVBand="0" w:evenVBand="0" w:oddHBand="0" w:evenHBand="0" w:firstRowFirstColumn="0" w:firstRowLastColumn="0" w:lastRowFirstColumn="0" w:lastRowLastColumn="0"/>
            </w:pPr>
            <w:r w:rsidRPr="00783488">
              <w:t>75.9</w:t>
            </w:r>
          </w:p>
        </w:tc>
        <w:tc>
          <w:tcPr>
            <w:tcW w:w="1074" w:type="dxa"/>
          </w:tcPr>
          <w:p w:rsidR="00FB2210" w:rsidRPr="00FB2210" w:rsidRDefault="00FB2210" w:rsidP="00FB2210">
            <w:pPr>
              <w:cnfStyle w:val="000000000000" w:firstRow="0" w:lastRow="0" w:firstColumn="0" w:lastColumn="0" w:oddVBand="0" w:evenVBand="0" w:oddHBand="0" w:evenHBand="0" w:firstRowFirstColumn="0" w:firstRowLastColumn="0" w:lastRowFirstColumn="0" w:lastRowLastColumn="0"/>
            </w:pPr>
            <w:r w:rsidRPr="00783488">
              <w:t>50.2</w:t>
            </w:r>
          </w:p>
        </w:tc>
      </w:tr>
      <w:tr w:rsidR="00FB2210" w:rsidRPr="00392522" w:rsidTr="00D52BCC">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085" w:type="dxa"/>
            <w:hideMark/>
          </w:tcPr>
          <w:p w:rsidR="00FB2210" w:rsidRPr="00FB2210" w:rsidRDefault="00FB2210" w:rsidP="00FB2210">
            <w:r w:rsidRPr="00764255">
              <w:t xml:space="preserve">Net capex at end of year </w:t>
            </w:r>
          </w:p>
        </w:tc>
        <w:tc>
          <w:tcPr>
            <w:tcW w:w="1149" w:type="dxa"/>
          </w:tcPr>
          <w:p w:rsidR="00FB2210" w:rsidRPr="00FB2210" w:rsidRDefault="00FB2210" w:rsidP="00FB2210">
            <w:pPr>
              <w:cnfStyle w:val="000000010000" w:firstRow="0" w:lastRow="0" w:firstColumn="0" w:lastColumn="0" w:oddVBand="0" w:evenVBand="0" w:oddHBand="0" w:evenHBand="1" w:firstRowFirstColumn="0" w:firstRowLastColumn="0" w:lastRowFirstColumn="0" w:lastRowLastColumn="0"/>
            </w:pPr>
            <w:r w:rsidRPr="00783488">
              <w:t>78.3</w:t>
            </w:r>
          </w:p>
        </w:tc>
        <w:tc>
          <w:tcPr>
            <w:tcW w:w="1149" w:type="dxa"/>
          </w:tcPr>
          <w:p w:rsidR="00FB2210" w:rsidRPr="00FB2210" w:rsidRDefault="00FB2210" w:rsidP="00FB2210">
            <w:pPr>
              <w:cnfStyle w:val="000000010000" w:firstRow="0" w:lastRow="0" w:firstColumn="0" w:lastColumn="0" w:oddVBand="0" w:evenVBand="0" w:oddHBand="0" w:evenHBand="1" w:firstRowFirstColumn="0" w:firstRowLastColumn="0" w:lastRowFirstColumn="0" w:lastRowLastColumn="0"/>
            </w:pPr>
            <w:r w:rsidRPr="00783488">
              <w:t>85.4</w:t>
            </w:r>
          </w:p>
        </w:tc>
        <w:tc>
          <w:tcPr>
            <w:tcW w:w="1149" w:type="dxa"/>
          </w:tcPr>
          <w:p w:rsidR="00FB2210" w:rsidRPr="00FB2210" w:rsidRDefault="00FB2210" w:rsidP="00FB2210">
            <w:pPr>
              <w:cnfStyle w:val="000000010000" w:firstRow="0" w:lastRow="0" w:firstColumn="0" w:lastColumn="0" w:oddVBand="0" w:evenVBand="0" w:oddHBand="0" w:evenHBand="1" w:firstRowFirstColumn="0" w:firstRowLastColumn="0" w:lastRowFirstColumn="0" w:lastRowLastColumn="0"/>
            </w:pPr>
            <w:r w:rsidRPr="00783488">
              <w:t>64.9</w:t>
            </w:r>
          </w:p>
        </w:tc>
        <w:tc>
          <w:tcPr>
            <w:tcW w:w="1149" w:type="dxa"/>
          </w:tcPr>
          <w:p w:rsidR="00FB2210" w:rsidRPr="00FB2210" w:rsidRDefault="00FB2210" w:rsidP="00FB2210">
            <w:pPr>
              <w:cnfStyle w:val="000000010000" w:firstRow="0" w:lastRow="0" w:firstColumn="0" w:lastColumn="0" w:oddVBand="0" w:evenVBand="0" w:oddHBand="0" w:evenHBand="1" w:firstRowFirstColumn="0" w:firstRowLastColumn="0" w:lastRowFirstColumn="0" w:lastRowLastColumn="0"/>
            </w:pPr>
            <w:r w:rsidRPr="00783488">
              <w:t>71.6</w:t>
            </w:r>
          </w:p>
        </w:tc>
        <w:tc>
          <w:tcPr>
            <w:tcW w:w="1074" w:type="dxa"/>
          </w:tcPr>
          <w:p w:rsidR="00FB2210" w:rsidRPr="00FB2210" w:rsidRDefault="00FB2210" w:rsidP="00FB2210">
            <w:pPr>
              <w:cnfStyle w:val="000000010000" w:firstRow="0" w:lastRow="0" w:firstColumn="0" w:lastColumn="0" w:oddVBand="0" w:evenVBand="0" w:oddHBand="0" w:evenHBand="1" w:firstRowFirstColumn="0" w:firstRowLastColumn="0" w:lastRowFirstColumn="0" w:lastRowLastColumn="0"/>
            </w:pPr>
            <w:r w:rsidRPr="00783488">
              <w:t>125.1</w:t>
            </w:r>
          </w:p>
        </w:tc>
      </w:tr>
      <w:tr w:rsidR="00FB2210" w:rsidRPr="00392522" w:rsidTr="00D52BCC">
        <w:trPr>
          <w:trHeight w:val="428"/>
        </w:trPr>
        <w:tc>
          <w:tcPr>
            <w:cnfStyle w:val="001000000000" w:firstRow="0" w:lastRow="0" w:firstColumn="1" w:lastColumn="0" w:oddVBand="0" w:evenVBand="0" w:oddHBand="0" w:evenHBand="0" w:firstRowFirstColumn="0" w:firstRowLastColumn="0" w:lastRowFirstColumn="0" w:lastRowLastColumn="0"/>
            <w:tcW w:w="3085" w:type="dxa"/>
            <w:hideMark/>
          </w:tcPr>
          <w:p w:rsidR="00FB2210" w:rsidRPr="00FB2210" w:rsidRDefault="00FB2210" w:rsidP="00FB2210">
            <w:r w:rsidRPr="00764255">
              <w:t xml:space="preserve">Depreciation </w:t>
            </w:r>
          </w:p>
        </w:tc>
        <w:tc>
          <w:tcPr>
            <w:tcW w:w="1149" w:type="dxa"/>
          </w:tcPr>
          <w:p w:rsidR="00FB2210" w:rsidRPr="00FB2210" w:rsidRDefault="00FB2210" w:rsidP="00FB2210">
            <w:pPr>
              <w:cnfStyle w:val="000000000000" w:firstRow="0" w:lastRow="0" w:firstColumn="0" w:lastColumn="0" w:oddVBand="0" w:evenVBand="0" w:oddHBand="0" w:evenHBand="0" w:firstRowFirstColumn="0" w:firstRowLastColumn="0" w:lastRowFirstColumn="0" w:lastRowLastColumn="0"/>
            </w:pPr>
            <w:r w:rsidRPr="00783488">
              <w:t>–74.1</w:t>
            </w:r>
          </w:p>
        </w:tc>
        <w:tc>
          <w:tcPr>
            <w:tcW w:w="1149" w:type="dxa"/>
          </w:tcPr>
          <w:p w:rsidR="00FB2210" w:rsidRPr="00FB2210" w:rsidRDefault="00FB2210" w:rsidP="00FB2210">
            <w:pPr>
              <w:cnfStyle w:val="000000000000" w:firstRow="0" w:lastRow="0" w:firstColumn="0" w:lastColumn="0" w:oddVBand="0" w:evenVBand="0" w:oddHBand="0" w:evenHBand="0" w:firstRowFirstColumn="0" w:firstRowLastColumn="0" w:lastRowFirstColumn="0" w:lastRowLastColumn="0"/>
            </w:pPr>
            <w:r w:rsidRPr="00783488">
              <w:t>–92.4</w:t>
            </w:r>
          </w:p>
        </w:tc>
        <w:tc>
          <w:tcPr>
            <w:tcW w:w="1149" w:type="dxa"/>
          </w:tcPr>
          <w:p w:rsidR="00FB2210" w:rsidRPr="00FB2210" w:rsidRDefault="00FB2210" w:rsidP="00FB2210">
            <w:pPr>
              <w:cnfStyle w:val="000000000000" w:firstRow="0" w:lastRow="0" w:firstColumn="0" w:lastColumn="0" w:oddVBand="0" w:evenVBand="0" w:oddHBand="0" w:evenHBand="0" w:firstRowFirstColumn="0" w:firstRowLastColumn="0" w:lastRowFirstColumn="0" w:lastRowLastColumn="0"/>
            </w:pPr>
            <w:r w:rsidRPr="00783488">
              <w:t>–101.4</w:t>
            </w:r>
          </w:p>
        </w:tc>
        <w:tc>
          <w:tcPr>
            <w:tcW w:w="1149" w:type="dxa"/>
          </w:tcPr>
          <w:p w:rsidR="00FB2210" w:rsidRPr="00FB2210" w:rsidRDefault="00FB2210" w:rsidP="00FB2210">
            <w:pPr>
              <w:cnfStyle w:val="000000000000" w:firstRow="0" w:lastRow="0" w:firstColumn="0" w:lastColumn="0" w:oddVBand="0" w:evenVBand="0" w:oddHBand="0" w:evenHBand="0" w:firstRowFirstColumn="0" w:firstRowLastColumn="0" w:lastRowFirstColumn="0" w:lastRowLastColumn="0"/>
            </w:pPr>
            <w:r w:rsidRPr="00783488">
              <w:t>–112.7</w:t>
            </w:r>
          </w:p>
        </w:tc>
        <w:tc>
          <w:tcPr>
            <w:tcW w:w="1074" w:type="dxa"/>
          </w:tcPr>
          <w:p w:rsidR="00FB2210" w:rsidRPr="00FB2210" w:rsidRDefault="00C224C4" w:rsidP="00FB2210">
            <w:pPr>
              <w:cnfStyle w:val="000000000000" w:firstRow="0" w:lastRow="0" w:firstColumn="0" w:lastColumn="0" w:oddVBand="0" w:evenVBand="0" w:oddHBand="0" w:evenHBand="0" w:firstRowFirstColumn="0" w:firstRowLastColumn="0" w:lastRowFirstColumn="0" w:lastRowLastColumn="0"/>
            </w:pPr>
            <w:r>
              <w:t>–</w:t>
            </w:r>
            <w:r w:rsidR="00FB2210" w:rsidRPr="00783488">
              <w:t>124.0</w:t>
            </w:r>
          </w:p>
        </w:tc>
      </w:tr>
      <w:tr w:rsidR="00FB2210" w:rsidRPr="00C35158" w:rsidTr="00D52BCC">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085" w:type="dxa"/>
            <w:hideMark/>
          </w:tcPr>
          <w:p w:rsidR="00FB2210" w:rsidRPr="006D4F27" w:rsidRDefault="00FB2210" w:rsidP="00FB2210">
            <w:pPr>
              <w:rPr>
                <w:rStyle w:val="Strong"/>
              </w:rPr>
            </w:pPr>
            <w:r w:rsidRPr="006D4F27">
              <w:rPr>
                <w:rStyle w:val="Strong"/>
              </w:rPr>
              <w:t>Closing capital base</w:t>
            </w:r>
          </w:p>
        </w:tc>
        <w:tc>
          <w:tcPr>
            <w:tcW w:w="1149" w:type="dxa"/>
          </w:tcPr>
          <w:p w:rsidR="00FB2210" w:rsidRPr="006D4F27" w:rsidRDefault="00FB2210" w:rsidP="00FB2210">
            <w:pPr>
              <w:cnfStyle w:val="000000010000" w:firstRow="0" w:lastRow="0" w:firstColumn="0" w:lastColumn="0" w:oddVBand="0" w:evenVBand="0" w:oddHBand="0" w:evenHBand="1" w:firstRowFirstColumn="0" w:firstRowLastColumn="0" w:lastRowFirstColumn="0" w:lastRowLastColumn="0"/>
              <w:rPr>
                <w:rStyle w:val="Strong"/>
              </w:rPr>
            </w:pPr>
            <w:r w:rsidRPr="006D4F27">
              <w:rPr>
                <w:rStyle w:val="Strong"/>
              </w:rPr>
              <w:t>2456.6</w:t>
            </w:r>
          </w:p>
        </w:tc>
        <w:tc>
          <w:tcPr>
            <w:tcW w:w="1149" w:type="dxa"/>
          </w:tcPr>
          <w:p w:rsidR="00FB2210" w:rsidRPr="006D4F27" w:rsidRDefault="00FB2210" w:rsidP="00FB2210">
            <w:pPr>
              <w:cnfStyle w:val="000000010000" w:firstRow="0" w:lastRow="0" w:firstColumn="0" w:lastColumn="0" w:oddVBand="0" w:evenVBand="0" w:oddHBand="0" w:evenHBand="1" w:firstRowFirstColumn="0" w:firstRowLastColumn="0" w:lastRowFirstColumn="0" w:lastRowLastColumn="0"/>
              <w:rPr>
                <w:rStyle w:val="Strong"/>
              </w:rPr>
            </w:pPr>
            <w:r w:rsidRPr="006D4F27">
              <w:rPr>
                <w:rStyle w:val="Strong"/>
              </w:rPr>
              <w:t>2611.2</w:t>
            </w:r>
          </w:p>
        </w:tc>
        <w:tc>
          <w:tcPr>
            <w:tcW w:w="1149" w:type="dxa"/>
          </w:tcPr>
          <w:p w:rsidR="00FB2210" w:rsidRPr="006D4F27" w:rsidRDefault="00FB2210" w:rsidP="00FB2210">
            <w:pPr>
              <w:cnfStyle w:val="000000010000" w:firstRow="0" w:lastRow="0" w:firstColumn="0" w:lastColumn="0" w:oddVBand="0" w:evenVBand="0" w:oddHBand="0" w:evenHBand="1" w:firstRowFirstColumn="0" w:firstRowLastColumn="0" w:lastRowFirstColumn="0" w:lastRowLastColumn="0"/>
              <w:rPr>
                <w:rStyle w:val="Strong"/>
              </w:rPr>
            </w:pPr>
            <w:r w:rsidRPr="006D4F27">
              <w:rPr>
                <w:rStyle w:val="Strong"/>
              </w:rPr>
              <w:t>2697.0</w:t>
            </w:r>
          </w:p>
        </w:tc>
        <w:tc>
          <w:tcPr>
            <w:tcW w:w="1149" w:type="dxa"/>
          </w:tcPr>
          <w:p w:rsidR="00FB2210" w:rsidRPr="006D4F27" w:rsidRDefault="00FB2210" w:rsidP="00FB2210">
            <w:pPr>
              <w:cnfStyle w:val="000000010000" w:firstRow="0" w:lastRow="0" w:firstColumn="0" w:lastColumn="0" w:oddVBand="0" w:evenVBand="0" w:oddHBand="0" w:evenHBand="1" w:firstRowFirstColumn="0" w:firstRowLastColumn="0" w:lastRowFirstColumn="0" w:lastRowLastColumn="0"/>
              <w:rPr>
                <w:rStyle w:val="Strong"/>
              </w:rPr>
            </w:pPr>
            <w:r w:rsidRPr="006D4F27">
              <w:rPr>
                <w:rStyle w:val="Strong"/>
              </w:rPr>
              <w:t>2801.5</w:t>
            </w:r>
          </w:p>
        </w:tc>
        <w:tc>
          <w:tcPr>
            <w:tcW w:w="1074" w:type="dxa"/>
          </w:tcPr>
          <w:p w:rsidR="00FB2210" w:rsidRPr="006D4F27" w:rsidRDefault="00FB2210" w:rsidP="00FB2210">
            <w:pPr>
              <w:cnfStyle w:val="000000010000" w:firstRow="0" w:lastRow="0" w:firstColumn="0" w:lastColumn="0" w:oddVBand="0" w:evenVBand="0" w:oddHBand="0" w:evenHBand="1" w:firstRowFirstColumn="0" w:firstRowLastColumn="0" w:lastRowFirstColumn="0" w:lastRowLastColumn="0"/>
              <w:rPr>
                <w:rStyle w:val="Strong"/>
              </w:rPr>
            </w:pPr>
            <w:r w:rsidRPr="006D4F27">
              <w:rPr>
                <w:rStyle w:val="Strong"/>
              </w:rPr>
              <w:t>2975.8</w:t>
            </w:r>
          </w:p>
        </w:tc>
      </w:tr>
      <w:tr w:rsidR="00FB2210" w:rsidRPr="00392522" w:rsidTr="00D52BCC">
        <w:trPr>
          <w:trHeight w:val="428"/>
        </w:trPr>
        <w:tc>
          <w:tcPr>
            <w:cnfStyle w:val="001000000000" w:firstRow="0" w:lastRow="0" w:firstColumn="1" w:lastColumn="0" w:oddVBand="0" w:evenVBand="0" w:oddHBand="0" w:evenHBand="0" w:firstRowFirstColumn="0" w:firstRowLastColumn="0" w:lastRowFirstColumn="0" w:lastRowLastColumn="0"/>
            <w:tcW w:w="3085" w:type="dxa"/>
            <w:hideMark/>
          </w:tcPr>
          <w:p w:rsidR="00FB2210" w:rsidRPr="00FB2210" w:rsidRDefault="00FB2210" w:rsidP="00FB2210">
            <w:r w:rsidRPr="00CF5CA2">
              <w:t>Adjustment for 2009</w:t>
            </w:r>
            <w:r w:rsidRPr="00FB2210">
              <w:t>–10 capex</w:t>
            </w:r>
          </w:p>
        </w:tc>
        <w:tc>
          <w:tcPr>
            <w:tcW w:w="1149" w:type="dxa"/>
          </w:tcPr>
          <w:p w:rsidR="00FB2210" w:rsidRPr="00CF5CA2" w:rsidRDefault="00FB2210" w:rsidP="00FB2210">
            <w:pPr>
              <w:cnfStyle w:val="000000000000" w:firstRow="0" w:lastRow="0" w:firstColumn="0" w:lastColumn="0" w:oddVBand="0" w:evenVBand="0" w:oddHBand="0" w:evenHBand="0" w:firstRowFirstColumn="0" w:firstRowLastColumn="0" w:lastRowFirstColumn="0" w:lastRowLastColumn="0"/>
            </w:pPr>
          </w:p>
        </w:tc>
        <w:tc>
          <w:tcPr>
            <w:tcW w:w="1149" w:type="dxa"/>
          </w:tcPr>
          <w:p w:rsidR="00FB2210" w:rsidRPr="00CF5CA2" w:rsidRDefault="00FB2210" w:rsidP="00FB2210">
            <w:pPr>
              <w:cnfStyle w:val="000000000000" w:firstRow="0" w:lastRow="0" w:firstColumn="0" w:lastColumn="0" w:oddVBand="0" w:evenVBand="0" w:oddHBand="0" w:evenHBand="0" w:firstRowFirstColumn="0" w:firstRowLastColumn="0" w:lastRowFirstColumn="0" w:lastRowLastColumn="0"/>
            </w:pPr>
          </w:p>
        </w:tc>
        <w:tc>
          <w:tcPr>
            <w:tcW w:w="1149" w:type="dxa"/>
          </w:tcPr>
          <w:p w:rsidR="00FB2210" w:rsidRPr="00CF5CA2" w:rsidRDefault="00FB2210" w:rsidP="00FB2210">
            <w:pPr>
              <w:cnfStyle w:val="000000000000" w:firstRow="0" w:lastRow="0" w:firstColumn="0" w:lastColumn="0" w:oddVBand="0" w:evenVBand="0" w:oddHBand="0" w:evenHBand="0" w:firstRowFirstColumn="0" w:firstRowLastColumn="0" w:lastRowFirstColumn="0" w:lastRowLastColumn="0"/>
            </w:pPr>
          </w:p>
        </w:tc>
        <w:tc>
          <w:tcPr>
            <w:tcW w:w="1149" w:type="dxa"/>
          </w:tcPr>
          <w:p w:rsidR="00FB2210" w:rsidRPr="00CF5CA2" w:rsidRDefault="00FB2210" w:rsidP="00FB2210">
            <w:pPr>
              <w:cnfStyle w:val="000000000000" w:firstRow="0" w:lastRow="0" w:firstColumn="0" w:lastColumn="0" w:oddVBand="0" w:evenVBand="0" w:oddHBand="0" w:evenHBand="0" w:firstRowFirstColumn="0" w:firstRowLastColumn="0" w:lastRowFirstColumn="0" w:lastRowLastColumn="0"/>
            </w:pPr>
          </w:p>
        </w:tc>
        <w:tc>
          <w:tcPr>
            <w:tcW w:w="1074" w:type="dxa"/>
          </w:tcPr>
          <w:p w:rsidR="00FB2210" w:rsidRPr="00FB2210" w:rsidRDefault="00FB2210" w:rsidP="00FB2210">
            <w:pPr>
              <w:cnfStyle w:val="000000000000" w:firstRow="0" w:lastRow="0" w:firstColumn="0" w:lastColumn="0" w:oddVBand="0" w:evenVBand="0" w:oddHBand="0" w:evenHBand="0" w:firstRowFirstColumn="0" w:firstRowLastColumn="0" w:lastRowFirstColumn="0" w:lastRowLastColumn="0"/>
            </w:pPr>
            <w:r w:rsidRPr="00783488">
              <w:t>4.4</w:t>
            </w:r>
          </w:p>
        </w:tc>
      </w:tr>
      <w:tr w:rsidR="00FB2210" w:rsidRPr="00C35158" w:rsidTr="00D52BCC">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085" w:type="dxa"/>
          </w:tcPr>
          <w:p w:rsidR="00FB2210" w:rsidRPr="006D4F27" w:rsidRDefault="00FB2210" w:rsidP="00FB2210">
            <w:pPr>
              <w:rPr>
                <w:rStyle w:val="Strong"/>
              </w:rPr>
            </w:pPr>
            <w:r w:rsidRPr="006D4F27">
              <w:rPr>
                <w:rStyle w:val="Strong"/>
              </w:rPr>
              <w:t>Opening capital base at 1 July 2015</w:t>
            </w:r>
          </w:p>
        </w:tc>
        <w:tc>
          <w:tcPr>
            <w:tcW w:w="1149" w:type="dxa"/>
          </w:tcPr>
          <w:p w:rsidR="00FB2210" w:rsidRPr="006D4F27" w:rsidRDefault="00FB2210" w:rsidP="00FB2210">
            <w:pPr>
              <w:cnfStyle w:val="000000010000" w:firstRow="0" w:lastRow="0" w:firstColumn="0" w:lastColumn="0" w:oddVBand="0" w:evenVBand="0" w:oddHBand="0" w:evenHBand="1" w:firstRowFirstColumn="0" w:firstRowLastColumn="0" w:lastRowFirstColumn="0" w:lastRowLastColumn="0"/>
              <w:rPr>
                <w:rStyle w:val="Strong"/>
              </w:rPr>
            </w:pPr>
            <w:r w:rsidRPr="006D4F27">
              <w:rPr>
                <w:rStyle w:val="Strong"/>
              </w:rPr>
              <w:t> </w:t>
            </w:r>
          </w:p>
        </w:tc>
        <w:tc>
          <w:tcPr>
            <w:tcW w:w="1149" w:type="dxa"/>
          </w:tcPr>
          <w:p w:rsidR="00FB2210" w:rsidRPr="006D4F27" w:rsidRDefault="00FB2210" w:rsidP="00FB2210">
            <w:pPr>
              <w:cnfStyle w:val="000000010000" w:firstRow="0" w:lastRow="0" w:firstColumn="0" w:lastColumn="0" w:oddVBand="0" w:evenVBand="0" w:oddHBand="0" w:evenHBand="1" w:firstRowFirstColumn="0" w:firstRowLastColumn="0" w:lastRowFirstColumn="0" w:lastRowLastColumn="0"/>
              <w:rPr>
                <w:rStyle w:val="Strong"/>
              </w:rPr>
            </w:pPr>
            <w:r w:rsidRPr="006D4F27">
              <w:rPr>
                <w:rStyle w:val="Strong"/>
              </w:rPr>
              <w:t> </w:t>
            </w:r>
          </w:p>
        </w:tc>
        <w:tc>
          <w:tcPr>
            <w:tcW w:w="1149" w:type="dxa"/>
          </w:tcPr>
          <w:p w:rsidR="00FB2210" w:rsidRPr="006D4F27" w:rsidRDefault="00FB2210" w:rsidP="00FB2210">
            <w:pPr>
              <w:cnfStyle w:val="000000010000" w:firstRow="0" w:lastRow="0" w:firstColumn="0" w:lastColumn="0" w:oddVBand="0" w:evenVBand="0" w:oddHBand="0" w:evenHBand="1" w:firstRowFirstColumn="0" w:firstRowLastColumn="0" w:lastRowFirstColumn="0" w:lastRowLastColumn="0"/>
              <w:rPr>
                <w:rStyle w:val="Strong"/>
              </w:rPr>
            </w:pPr>
            <w:r w:rsidRPr="006D4F27">
              <w:rPr>
                <w:rStyle w:val="Strong"/>
              </w:rPr>
              <w:t> </w:t>
            </w:r>
          </w:p>
        </w:tc>
        <w:tc>
          <w:tcPr>
            <w:tcW w:w="1149" w:type="dxa"/>
          </w:tcPr>
          <w:p w:rsidR="00FB2210" w:rsidRPr="006D4F27" w:rsidRDefault="00FB2210" w:rsidP="00FB2210">
            <w:pPr>
              <w:cnfStyle w:val="000000010000" w:firstRow="0" w:lastRow="0" w:firstColumn="0" w:lastColumn="0" w:oddVBand="0" w:evenVBand="0" w:oddHBand="0" w:evenHBand="1" w:firstRowFirstColumn="0" w:firstRowLastColumn="0" w:lastRowFirstColumn="0" w:lastRowLastColumn="0"/>
              <w:rPr>
                <w:rStyle w:val="Strong"/>
              </w:rPr>
            </w:pPr>
            <w:r w:rsidRPr="006D4F27">
              <w:rPr>
                <w:rStyle w:val="Strong"/>
              </w:rPr>
              <w:t> </w:t>
            </w:r>
          </w:p>
        </w:tc>
        <w:tc>
          <w:tcPr>
            <w:tcW w:w="1074" w:type="dxa"/>
          </w:tcPr>
          <w:p w:rsidR="00FB2210" w:rsidRPr="006D4F27" w:rsidRDefault="00FB2210" w:rsidP="00FB2210">
            <w:pPr>
              <w:cnfStyle w:val="000000010000" w:firstRow="0" w:lastRow="0" w:firstColumn="0" w:lastColumn="0" w:oddVBand="0" w:evenVBand="0" w:oddHBand="0" w:evenHBand="1" w:firstRowFirstColumn="0" w:firstRowLastColumn="0" w:lastRowFirstColumn="0" w:lastRowLastColumn="0"/>
              <w:rPr>
                <w:rStyle w:val="Strong"/>
              </w:rPr>
            </w:pPr>
            <w:r w:rsidRPr="006D4F27">
              <w:rPr>
                <w:rStyle w:val="Strong"/>
              </w:rPr>
              <w:t>2980.2</w:t>
            </w:r>
          </w:p>
        </w:tc>
      </w:tr>
    </w:tbl>
    <w:p w:rsidR="00D52BCC" w:rsidRPr="00323D0E" w:rsidRDefault="00D52BCC" w:rsidP="00D52BCC">
      <w:pPr>
        <w:pStyle w:val="AERtablesource"/>
      </w:pPr>
      <w:r w:rsidRPr="00D52BCC">
        <w:rPr>
          <w:rFonts w:eastAsia="Calibri"/>
        </w:rPr>
        <w:t xml:space="preserve">Source: </w:t>
      </w:r>
      <w:r w:rsidRPr="00D52BCC">
        <w:rPr>
          <w:rFonts w:eastAsia="Calibri"/>
        </w:rPr>
        <w:tab/>
        <w:t xml:space="preserve">AER analysis; </w:t>
      </w:r>
      <w:r w:rsidR="00FB2210" w:rsidRPr="00C43639">
        <w:t xml:space="preserve">JGN, </w:t>
      </w:r>
      <w:r w:rsidR="00FB2210" w:rsidRPr="00625CBA">
        <w:rPr>
          <w:rStyle w:val="AERtextitalic"/>
        </w:rPr>
        <w:t>Submissions on draft decision,</w:t>
      </w:r>
      <w:r w:rsidR="00FB2210" w:rsidRPr="00C43639">
        <w:t xml:space="preserve"> </w:t>
      </w:r>
      <w:r w:rsidR="00FB2210" w:rsidRPr="00C43639">
        <w:rPr>
          <w:rStyle w:val="AERtextitalic"/>
        </w:rPr>
        <w:t>Attachment N - updated appendix 10.1 - JGN revenue forecast model</w:t>
      </w:r>
      <w:r w:rsidR="00FB2210" w:rsidRPr="00C43639">
        <w:t>, 27 March 2015.</w:t>
      </w:r>
    </w:p>
    <w:p w:rsidR="00EC5608" w:rsidRDefault="00D52BCC" w:rsidP="00EC5608">
      <w:pPr>
        <w:numPr>
          <w:ilvl w:val="0"/>
          <w:numId w:val="25"/>
        </w:numPr>
        <w:rPr>
          <w:rStyle w:val="AERbody"/>
        </w:rPr>
      </w:pPr>
      <w:r>
        <w:rPr>
          <w:rStyle w:val="AERbody"/>
        </w:rPr>
        <w:t xml:space="preserve">We do not approve JGN's revised proposal </w:t>
      </w:r>
      <w:r w:rsidR="00D22D84">
        <w:rPr>
          <w:rStyle w:val="AERbody"/>
        </w:rPr>
        <w:t xml:space="preserve">for its </w:t>
      </w:r>
      <w:r>
        <w:rPr>
          <w:rStyle w:val="AERbody"/>
        </w:rPr>
        <w:t>projected capital base across the 2015–20 access arrangement period, and therefore do not approve its revised propos</w:t>
      </w:r>
      <w:r w:rsidR="00D22D84">
        <w:rPr>
          <w:rStyle w:val="AERbody"/>
        </w:rPr>
        <w:t>ed</w:t>
      </w:r>
      <w:r>
        <w:rPr>
          <w:rStyle w:val="AERbody"/>
        </w:rPr>
        <w:t xml:space="preserve"> closing capital base. This is a consequence of our decision not to approve JGN's revised propos</w:t>
      </w:r>
      <w:r w:rsidR="00D22D84">
        <w:rPr>
          <w:rStyle w:val="AERbody"/>
        </w:rPr>
        <w:t>ed</w:t>
      </w:r>
      <w:r>
        <w:rPr>
          <w:rStyle w:val="AERbody"/>
        </w:rPr>
        <w:t xml:space="preserve"> inputs to the projected capital base—forecast net capex and </w:t>
      </w:r>
      <w:r w:rsidRPr="00A5164F">
        <w:rPr>
          <w:rStyle w:val="AERbody"/>
        </w:rPr>
        <w:t>forecast depreciation.</w:t>
      </w:r>
      <w:r>
        <w:rPr>
          <w:rStyle w:val="FootnoteReference"/>
        </w:rPr>
        <w:footnoteReference w:id="60"/>
      </w:r>
      <w:r w:rsidRPr="00A5164F">
        <w:rPr>
          <w:rStyle w:val="AERbody"/>
        </w:rPr>
        <w:t xml:space="preserve"> Inste</w:t>
      </w:r>
      <w:r w:rsidRPr="00480731">
        <w:rPr>
          <w:rStyle w:val="AERbody"/>
        </w:rPr>
        <w:t>ad, we determine a closing capital base of $</w:t>
      </w:r>
      <w:r w:rsidR="00947A55" w:rsidRPr="00480731">
        <w:rPr>
          <w:rStyle w:val="AERbody"/>
        </w:rPr>
        <w:t>35</w:t>
      </w:r>
      <w:r w:rsidR="00273127">
        <w:rPr>
          <w:rStyle w:val="AERbody"/>
        </w:rPr>
        <w:t>67.6</w:t>
      </w:r>
      <w:r w:rsidRPr="00480731">
        <w:rPr>
          <w:rStyle w:val="AERbody"/>
          <w:rFonts w:hint="eastAsia"/>
        </w:rPr>
        <w:t> </w:t>
      </w:r>
      <w:r w:rsidRPr="00480731">
        <w:rPr>
          <w:rStyle w:val="AERbody"/>
        </w:rPr>
        <w:t>million ($nominal) as at 30 </w:t>
      </w:r>
      <w:r w:rsidRPr="00A5164F">
        <w:rPr>
          <w:rStyle w:val="AERbody"/>
        </w:rPr>
        <w:t>June 2020.</w:t>
      </w:r>
      <w:r w:rsidR="005835FF">
        <w:rPr>
          <w:rStyle w:val="AERbody"/>
        </w:rPr>
        <w:t xml:space="preserve"> </w:t>
      </w:r>
      <w:r w:rsidR="00D22D84">
        <w:rPr>
          <w:rStyle w:val="AERbody"/>
        </w:rPr>
        <w:fldChar w:fldCharType="begin"/>
      </w:r>
      <w:r w:rsidR="00D22D84">
        <w:rPr>
          <w:rStyle w:val="AERbody"/>
        </w:rPr>
        <w:instrText xml:space="preserve"> REF _Ref419800402 \h </w:instrText>
      </w:r>
      <w:r w:rsidR="00D22D84">
        <w:rPr>
          <w:rStyle w:val="AERbody"/>
        </w:rPr>
      </w:r>
      <w:r w:rsidR="00D22D84">
        <w:rPr>
          <w:rStyle w:val="AERbody"/>
        </w:rPr>
        <w:fldChar w:fldCharType="separate"/>
      </w:r>
      <w:r w:rsidR="009037A2">
        <w:t xml:space="preserve">Table </w:t>
      </w:r>
      <w:r w:rsidR="009037A2">
        <w:rPr>
          <w:noProof/>
        </w:rPr>
        <w:t>7</w:t>
      </w:r>
      <w:r w:rsidR="00D22D84">
        <w:rPr>
          <w:rStyle w:val="AERbody"/>
        </w:rPr>
        <w:fldChar w:fldCharType="end"/>
      </w:r>
      <w:r w:rsidR="005835FF">
        <w:rPr>
          <w:rStyle w:val="AERbody"/>
        </w:rPr>
        <w:t xml:space="preserve"> s</w:t>
      </w:r>
      <w:r w:rsidR="00625CBA">
        <w:rPr>
          <w:rStyle w:val="AERbody"/>
        </w:rPr>
        <w:t>hows the derivation of this closing capital base.</w:t>
      </w:r>
    </w:p>
    <w:p w:rsidR="006D4F27" w:rsidRDefault="006D4F27" w:rsidP="006D4F27">
      <w:pPr>
        <w:rPr>
          <w:rStyle w:val="AERbody"/>
        </w:rPr>
      </w:pPr>
    </w:p>
    <w:p w:rsidR="006D4F27" w:rsidRDefault="006D4F27" w:rsidP="006D4F27">
      <w:pPr>
        <w:rPr>
          <w:rStyle w:val="AERbody"/>
        </w:rPr>
      </w:pPr>
    </w:p>
    <w:p w:rsidR="006D4F27" w:rsidRDefault="006D4F27" w:rsidP="006D4F27">
      <w:pPr>
        <w:rPr>
          <w:rStyle w:val="AERbody"/>
        </w:rPr>
      </w:pPr>
    </w:p>
    <w:p w:rsidR="006D4F27" w:rsidRDefault="006D4F27" w:rsidP="006D4F27">
      <w:pPr>
        <w:rPr>
          <w:rStyle w:val="AERbody"/>
        </w:rPr>
      </w:pPr>
    </w:p>
    <w:p w:rsidR="00625CBA" w:rsidRDefault="00D22D84" w:rsidP="005835FF">
      <w:pPr>
        <w:pStyle w:val="Caption"/>
      </w:pPr>
      <w:bookmarkStart w:id="91" w:name="_Ref419800402"/>
      <w:bookmarkStart w:id="92" w:name="_Ref419465714"/>
      <w:r>
        <w:t xml:space="preserve">Table </w:t>
      </w:r>
      <w:fldSimple w:instr=" SEQ Table \* ARABIC ">
        <w:r w:rsidR="009037A2">
          <w:rPr>
            <w:noProof/>
          </w:rPr>
          <w:t>7</w:t>
        </w:r>
      </w:fldSimple>
      <w:bookmarkEnd w:id="91"/>
      <w:bookmarkEnd w:id="92"/>
      <w:r w:rsidR="005835FF">
        <w:tab/>
      </w:r>
      <w:r w:rsidR="00625CBA">
        <w:t>AER's final decision on JGN's projected capital base for the 2015–20 access arrangement period ($million, nominal)</w:t>
      </w:r>
    </w:p>
    <w:tbl>
      <w:tblPr>
        <w:tblStyle w:val="AERtable-numbers"/>
        <w:tblW w:w="8762" w:type="dxa"/>
        <w:tblLook w:val="04A0" w:firstRow="1" w:lastRow="0" w:firstColumn="1" w:lastColumn="0" w:noHBand="0" w:noVBand="1"/>
      </w:tblPr>
      <w:tblGrid>
        <w:gridCol w:w="2787"/>
        <w:gridCol w:w="1195"/>
        <w:gridCol w:w="1195"/>
        <w:gridCol w:w="1195"/>
        <w:gridCol w:w="1195"/>
        <w:gridCol w:w="1195"/>
      </w:tblGrid>
      <w:tr w:rsidR="00EC5608" w:rsidRPr="00391E33" w:rsidTr="00017D7C">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787" w:type="dxa"/>
            <w:hideMark/>
          </w:tcPr>
          <w:p w:rsidR="00EC5608" w:rsidRPr="00EC5608" w:rsidRDefault="00EC5608" w:rsidP="00EC5608"/>
        </w:tc>
        <w:tc>
          <w:tcPr>
            <w:tcW w:w="1195" w:type="dxa"/>
            <w:hideMark/>
          </w:tcPr>
          <w:p w:rsidR="00EC5608" w:rsidRPr="00EC5608" w:rsidRDefault="00EC5608" w:rsidP="00EC5608">
            <w:pPr>
              <w:cnfStyle w:val="100000000000" w:firstRow="1" w:lastRow="0" w:firstColumn="0" w:lastColumn="0" w:oddVBand="0" w:evenVBand="0" w:oddHBand="0" w:evenHBand="0" w:firstRowFirstColumn="0" w:firstRowLastColumn="0" w:lastRowFirstColumn="0" w:lastRowLastColumn="0"/>
            </w:pPr>
            <w:r w:rsidRPr="00EC5608">
              <w:t>2015–16</w:t>
            </w:r>
          </w:p>
        </w:tc>
        <w:tc>
          <w:tcPr>
            <w:tcW w:w="1195" w:type="dxa"/>
            <w:hideMark/>
          </w:tcPr>
          <w:p w:rsidR="00EC5608" w:rsidRPr="00EC5608" w:rsidRDefault="00EC5608" w:rsidP="00EC5608">
            <w:pPr>
              <w:cnfStyle w:val="100000000000" w:firstRow="1" w:lastRow="0" w:firstColumn="0" w:lastColumn="0" w:oddVBand="0" w:evenVBand="0" w:oddHBand="0" w:evenHBand="0" w:firstRowFirstColumn="0" w:firstRowLastColumn="0" w:lastRowFirstColumn="0" w:lastRowLastColumn="0"/>
            </w:pPr>
            <w:r w:rsidRPr="00EC5608">
              <w:t>2016–17</w:t>
            </w:r>
          </w:p>
        </w:tc>
        <w:tc>
          <w:tcPr>
            <w:tcW w:w="1195" w:type="dxa"/>
            <w:hideMark/>
          </w:tcPr>
          <w:p w:rsidR="00EC5608" w:rsidRPr="00EC5608" w:rsidRDefault="00EC5608" w:rsidP="00EC5608">
            <w:pPr>
              <w:cnfStyle w:val="100000000000" w:firstRow="1" w:lastRow="0" w:firstColumn="0" w:lastColumn="0" w:oddVBand="0" w:evenVBand="0" w:oddHBand="0" w:evenHBand="0" w:firstRowFirstColumn="0" w:firstRowLastColumn="0" w:lastRowFirstColumn="0" w:lastRowLastColumn="0"/>
            </w:pPr>
            <w:r w:rsidRPr="00EC5608">
              <w:t>2017–18</w:t>
            </w:r>
          </w:p>
        </w:tc>
        <w:tc>
          <w:tcPr>
            <w:tcW w:w="1195" w:type="dxa"/>
            <w:hideMark/>
          </w:tcPr>
          <w:p w:rsidR="00EC5608" w:rsidRPr="00EC5608" w:rsidRDefault="00EC5608" w:rsidP="00EC5608">
            <w:pPr>
              <w:cnfStyle w:val="100000000000" w:firstRow="1" w:lastRow="0" w:firstColumn="0" w:lastColumn="0" w:oddVBand="0" w:evenVBand="0" w:oddHBand="0" w:evenHBand="0" w:firstRowFirstColumn="0" w:firstRowLastColumn="0" w:lastRowFirstColumn="0" w:lastRowLastColumn="0"/>
            </w:pPr>
            <w:r w:rsidRPr="00EC5608">
              <w:t>2018–19</w:t>
            </w:r>
          </w:p>
        </w:tc>
        <w:tc>
          <w:tcPr>
            <w:tcW w:w="1195" w:type="dxa"/>
            <w:hideMark/>
          </w:tcPr>
          <w:p w:rsidR="00EC5608" w:rsidRPr="00EC5608" w:rsidRDefault="00EC5608" w:rsidP="00EC5608">
            <w:pPr>
              <w:cnfStyle w:val="100000000000" w:firstRow="1" w:lastRow="0" w:firstColumn="0" w:lastColumn="0" w:oddVBand="0" w:evenVBand="0" w:oddHBand="0" w:evenHBand="0" w:firstRowFirstColumn="0" w:firstRowLastColumn="0" w:lastRowFirstColumn="0" w:lastRowLastColumn="0"/>
            </w:pPr>
            <w:r w:rsidRPr="00EC5608">
              <w:t>2019–20</w:t>
            </w:r>
          </w:p>
        </w:tc>
      </w:tr>
      <w:tr w:rsidR="00017D7C" w:rsidRPr="00391E33" w:rsidTr="00017D7C">
        <w:trPr>
          <w:trHeight w:val="240"/>
        </w:trPr>
        <w:tc>
          <w:tcPr>
            <w:cnfStyle w:val="001000000000" w:firstRow="0" w:lastRow="0" w:firstColumn="1" w:lastColumn="0" w:oddVBand="0" w:evenVBand="0" w:oddHBand="0" w:evenHBand="0" w:firstRowFirstColumn="0" w:firstRowLastColumn="0" w:lastRowFirstColumn="0" w:lastRowLastColumn="0"/>
            <w:tcW w:w="2787" w:type="dxa"/>
            <w:hideMark/>
          </w:tcPr>
          <w:p w:rsidR="00017D7C" w:rsidRPr="00017D7C" w:rsidRDefault="00017D7C" w:rsidP="00017D7C">
            <w:r w:rsidRPr="00017D7C">
              <w:t>Opening capital base</w:t>
            </w:r>
          </w:p>
        </w:tc>
        <w:tc>
          <w:tcPr>
            <w:tcW w:w="1195" w:type="dxa"/>
          </w:tcPr>
          <w:p w:rsidR="00017D7C" w:rsidRPr="00017D7C" w:rsidRDefault="00017D7C" w:rsidP="00017D7C">
            <w:pPr>
              <w:cnfStyle w:val="000000000000" w:firstRow="0" w:lastRow="0" w:firstColumn="0" w:lastColumn="0" w:oddVBand="0" w:evenVBand="0" w:oddHBand="0" w:evenHBand="0" w:firstRowFirstColumn="0" w:firstRowLastColumn="0" w:lastRowFirstColumn="0" w:lastRowLastColumn="0"/>
            </w:pPr>
            <w:r w:rsidRPr="00017D7C">
              <w:t>2980.2</w:t>
            </w:r>
          </w:p>
        </w:tc>
        <w:tc>
          <w:tcPr>
            <w:tcW w:w="1195" w:type="dxa"/>
          </w:tcPr>
          <w:p w:rsidR="00017D7C" w:rsidRPr="00017D7C" w:rsidRDefault="00017D7C" w:rsidP="00017D7C">
            <w:pPr>
              <w:cnfStyle w:val="000000000000" w:firstRow="0" w:lastRow="0" w:firstColumn="0" w:lastColumn="0" w:oddVBand="0" w:evenVBand="0" w:oddHBand="0" w:evenHBand="0" w:firstRowFirstColumn="0" w:firstRowLastColumn="0" w:lastRowFirstColumn="0" w:lastRowLastColumn="0"/>
            </w:pPr>
            <w:r w:rsidRPr="00017D7C">
              <w:t>3133.0</w:t>
            </w:r>
          </w:p>
        </w:tc>
        <w:tc>
          <w:tcPr>
            <w:tcW w:w="1195" w:type="dxa"/>
          </w:tcPr>
          <w:p w:rsidR="00017D7C" w:rsidRPr="00017D7C" w:rsidRDefault="00017D7C" w:rsidP="00017D7C">
            <w:pPr>
              <w:cnfStyle w:val="000000000000" w:firstRow="0" w:lastRow="0" w:firstColumn="0" w:lastColumn="0" w:oddVBand="0" w:evenVBand="0" w:oddHBand="0" w:evenHBand="0" w:firstRowFirstColumn="0" w:firstRowLastColumn="0" w:lastRowFirstColumn="0" w:lastRowLastColumn="0"/>
            </w:pPr>
            <w:r w:rsidRPr="00017D7C">
              <w:t>3262.6</w:t>
            </w:r>
          </w:p>
        </w:tc>
        <w:tc>
          <w:tcPr>
            <w:tcW w:w="1195" w:type="dxa"/>
          </w:tcPr>
          <w:p w:rsidR="00017D7C" w:rsidRPr="00017D7C" w:rsidRDefault="00017D7C" w:rsidP="00017D7C">
            <w:pPr>
              <w:cnfStyle w:val="000000000000" w:firstRow="0" w:lastRow="0" w:firstColumn="0" w:lastColumn="0" w:oddVBand="0" w:evenVBand="0" w:oddHBand="0" w:evenHBand="0" w:firstRowFirstColumn="0" w:firstRowLastColumn="0" w:lastRowFirstColumn="0" w:lastRowLastColumn="0"/>
            </w:pPr>
            <w:r w:rsidRPr="00017D7C">
              <w:t>3387.8</w:t>
            </w:r>
          </w:p>
        </w:tc>
        <w:tc>
          <w:tcPr>
            <w:tcW w:w="1195" w:type="dxa"/>
          </w:tcPr>
          <w:p w:rsidR="00017D7C" w:rsidRPr="00017D7C" w:rsidRDefault="00017D7C" w:rsidP="00017D7C">
            <w:pPr>
              <w:cnfStyle w:val="000000000000" w:firstRow="0" w:lastRow="0" w:firstColumn="0" w:lastColumn="0" w:oddVBand="0" w:evenVBand="0" w:oddHBand="0" w:evenHBand="0" w:firstRowFirstColumn="0" w:firstRowLastColumn="0" w:lastRowFirstColumn="0" w:lastRowLastColumn="0"/>
            </w:pPr>
            <w:r w:rsidRPr="00017D7C">
              <w:t>3481.6</w:t>
            </w:r>
          </w:p>
        </w:tc>
      </w:tr>
      <w:tr w:rsidR="00017D7C" w:rsidRPr="00391E33" w:rsidTr="00017D7C">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787" w:type="dxa"/>
            <w:hideMark/>
          </w:tcPr>
          <w:p w:rsidR="00017D7C" w:rsidRPr="00017D7C" w:rsidRDefault="00017D7C" w:rsidP="00017D7C">
            <w:r w:rsidRPr="00017D7C">
              <w:t>Net capex at start of year</w:t>
            </w:r>
          </w:p>
        </w:tc>
        <w:tc>
          <w:tcPr>
            <w:tcW w:w="1195" w:type="dxa"/>
          </w:tcPr>
          <w:p w:rsidR="00017D7C" w:rsidRPr="00017D7C" w:rsidRDefault="00017D7C" w:rsidP="00017D7C">
            <w:pPr>
              <w:cnfStyle w:val="000000010000" w:firstRow="0" w:lastRow="0" w:firstColumn="0" w:lastColumn="0" w:oddVBand="0" w:evenVBand="0" w:oddHBand="0" w:evenHBand="1" w:firstRowFirstColumn="0" w:firstRowLastColumn="0" w:lastRowFirstColumn="0" w:lastRowLastColumn="0"/>
            </w:pPr>
            <w:r w:rsidRPr="00017D7C">
              <w:t>108.3</w:t>
            </w:r>
          </w:p>
        </w:tc>
        <w:tc>
          <w:tcPr>
            <w:tcW w:w="1195" w:type="dxa"/>
          </w:tcPr>
          <w:p w:rsidR="00017D7C" w:rsidRPr="00017D7C" w:rsidRDefault="00017D7C" w:rsidP="00017D7C">
            <w:pPr>
              <w:cnfStyle w:val="000000010000" w:firstRow="0" w:lastRow="0" w:firstColumn="0" w:lastColumn="0" w:oddVBand="0" w:evenVBand="0" w:oddHBand="0" w:evenHBand="1" w:firstRowFirstColumn="0" w:firstRowLastColumn="0" w:lastRowFirstColumn="0" w:lastRowLastColumn="0"/>
            </w:pPr>
            <w:r w:rsidRPr="00017D7C">
              <w:t>103.0</w:t>
            </w:r>
          </w:p>
        </w:tc>
        <w:tc>
          <w:tcPr>
            <w:tcW w:w="1195" w:type="dxa"/>
          </w:tcPr>
          <w:p w:rsidR="00017D7C" w:rsidRPr="00017D7C" w:rsidRDefault="00017D7C" w:rsidP="00017D7C">
            <w:pPr>
              <w:cnfStyle w:val="000000010000" w:firstRow="0" w:lastRow="0" w:firstColumn="0" w:lastColumn="0" w:oddVBand="0" w:evenVBand="0" w:oddHBand="0" w:evenHBand="1" w:firstRowFirstColumn="0" w:firstRowLastColumn="0" w:lastRowFirstColumn="0" w:lastRowLastColumn="0"/>
            </w:pPr>
            <w:r w:rsidRPr="00017D7C">
              <w:t>107.4</w:t>
            </w:r>
          </w:p>
        </w:tc>
        <w:tc>
          <w:tcPr>
            <w:tcW w:w="1195" w:type="dxa"/>
          </w:tcPr>
          <w:p w:rsidR="00017D7C" w:rsidRPr="00017D7C" w:rsidRDefault="00017D7C" w:rsidP="00017D7C">
            <w:pPr>
              <w:cnfStyle w:val="000000010000" w:firstRow="0" w:lastRow="0" w:firstColumn="0" w:lastColumn="0" w:oddVBand="0" w:evenVBand="0" w:oddHBand="0" w:evenHBand="1" w:firstRowFirstColumn="0" w:firstRowLastColumn="0" w:lastRowFirstColumn="0" w:lastRowLastColumn="0"/>
            </w:pPr>
            <w:r w:rsidRPr="00017D7C">
              <w:t>97.1</w:t>
            </w:r>
          </w:p>
        </w:tc>
        <w:tc>
          <w:tcPr>
            <w:tcW w:w="1195" w:type="dxa"/>
          </w:tcPr>
          <w:p w:rsidR="00017D7C" w:rsidRPr="00017D7C" w:rsidRDefault="00017D7C" w:rsidP="00017D7C">
            <w:pPr>
              <w:cnfStyle w:val="000000010000" w:firstRow="0" w:lastRow="0" w:firstColumn="0" w:lastColumn="0" w:oddVBand="0" w:evenVBand="0" w:oddHBand="0" w:evenHBand="1" w:firstRowFirstColumn="0" w:firstRowLastColumn="0" w:lastRowFirstColumn="0" w:lastRowLastColumn="0"/>
            </w:pPr>
            <w:r w:rsidRPr="00017D7C">
              <w:t>85.9</w:t>
            </w:r>
          </w:p>
        </w:tc>
      </w:tr>
      <w:tr w:rsidR="00017D7C" w:rsidRPr="00391E33" w:rsidTr="00017D7C">
        <w:trPr>
          <w:trHeight w:val="240"/>
        </w:trPr>
        <w:tc>
          <w:tcPr>
            <w:cnfStyle w:val="001000000000" w:firstRow="0" w:lastRow="0" w:firstColumn="1" w:lastColumn="0" w:oddVBand="0" w:evenVBand="0" w:oddHBand="0" w:evenHBand="0" w:firstRowFirstColumn="0" w:firstRowLastColumn="0" w:lastRowFirstColumn="0" w:lastRowLastColumn="0"/>
            <w:tcW w:w="2787" w:type="dxa"/>
            <w:hideMark/>
          </w:tcPr>
          <w:p w:rsidR="00017D7C" w:rsidRPr="00017D7C" w:rsidRDefault="00017D7C" w:rsidP="00017D7C">
            <w:r w:rsidRPr="00017D7C">
              <w:t>Indexation of assets</w:t>
            </w:r>
          </w:p>
        </w:tc>
        <w:tc>
          <w:tcPr>
            <w:tcW w:w="1195" w:type="dxa"/>
          </w:tcPr>
          <w:p w:rsidR="00017D7C" w:rsidRPr="00017D7C" w:rsidRDefault="00017D7C" w:rsidP="00017D7C">
            <w:pPr>
              <w:cnfStyle w:val="000000000000" w:firstRow="0" w:lastRow="0" w:firstColumn="0" w:lastColumn="0" w:oddVBand="0" w:evenVBand="0" w:oddHBand="0" w:evenHBand="0" w:firstRowFirstColumn="0" w:firstRowLastColumn="0" w:lastRowFirstColumn="0" w:lastRowLastColumn="0"/>
            </w:pPr>
            <w:r w:rsidRPr="00017D7C">
              <w:t>78.8</w:t>
            </w:r>
          </w:p>
        </w:tc>
        <w:tc>
          <w:tcPr>
            <w:tcW w:w="1195" w:type="dxa"/>
          </w:tcPr>
          <w:p w:rsidR="00017D7C" w:rsidRPr="00017D7C" w:rsidRDefault="00017D7C" w:rsidP="00017D7C">
            <w:pPr>
              <w:cnfStyle w:val="000000000000" w:firstRow="0" w:lastRow="0" w:firstColumn="0" w:lastColumn="0" w:oddVBand="0" w:evenVBand="0" w:oddHBand="0" w:evenHBand="0" w:firstRowFirstColumn="0" w:firstRowLastColumn="0" w:lastRowFirstColumn="0" w:lastRowLastColumn="0"/>
            </w:pPr>
            <w:r w:rsidRPr="00017D7C">
              <w:t>82.5</w:t>
            </w:r>
          </w:p>
        </w:tc>
        <w:tc>
          <w:tcPr>
            <w:tcW w:w="1195" w:type="dxa"/>
          </w:tcPr>
          <w:p w:rsidR="00017D7C" w:rsidRPr="00017D7C" w:rsidRDefault="00017D7C" w:rsidP="00017D7C">
            <w:pPr>
              <w:cnfStyle w:val="000000000000" w:firstRow="0" w:lastRow="0" w:firstColumn="0" w:lastColumn="0" w:oddVBand="0" w:evenVBand="0" w:oddHBand="0" w:evenHBand="0" w:firstRowFirstColumn="0" w:firstRowLastColumn="0" w:lastRowFirstColumn="0" w:lastRowLastColumn="0"/>
            </w:pPr>
            <w:r w:rsidRPr="00017D7C">
              <w:t>85.9</w:t>
            </w:r>
          </w:p>
        </w:tc>
        <w:tc>
          <w:tcPr>
            <w:tcW w:w="1195" w:type="dxa"/>
          </w:tcPr>
          <w:p w:rsidR="00017D7C" w:rsidRPr="00017D7C" w:rsidRDefault="00017D7C" w:rsidP="00017D7C">
            <w:pPr>
              <w:cnfStyle w:val="000000000000" w:firstRow="0" w:lastRow="0" w:firstColumn="0" w:lastColumn="0" w:oddVBand="0" w:evenVBand="0" w:oddHBand="0" w:evenHBand="0" w:firstRowFirstColumn="0" w:firstRowLastColumn="0" w:lastRowFirstColumn="0" w:lastRowLastColumn="0"/>
            </w:pPr>
            <w:r w:rsidRPr="00017D7C">
              <w:t>88.9</w:t>
            </w:r>
          </w:p>
        </w:tc>
        <w:tc>
          <w:tcPr>
            <w:tcW w:w="1195" w:type="dxa"/>
          </w:tcPr>
          <w:p w:rsidR="00017D7C" w:rsidRPr="00017D7C" w:rsidRDefault="00017D7C" w:rsidP="00017D7C">
            <w:pPr>
              <w:cnfStyle w:val="000000000000" w:firstRow="0" w:lastRow="0" w:firstColumn="0" w:lastColumn="0" w:oddVBand="0" w:evenVBand="0" w:oddHBand="0" w:evenHBand="0" w:firstRowFirstColumn="0" w:firstRowLastColumn="0" w:lastRowFirstColumn="0" w:lastRowLastColumn="0"/>
            </w:pPr>
            <w:r w:rsidRPr="00017D7C">
              <w:t>91.0</w:t>
            </w:r>
          </w:p>
        </w:tc>
      </w:tr>
      <w:tr w:rsidR="00017D7C" w:rsidRPr="00391E33" w:rsidTr="00017D7C">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787" w:type="dxa"/>
            <w:hideMark/>
          </w:tcPr>
          <w:p w:rsidR="00017D7C" w:rsidRPr="00017D7C" w:rsidRDefault="00017D7C" w:rsidP="00017D7C">
            <w:r w:rsidRPr="00017D7C">
              <w:t>Net capex at end of year</w:t>
            </w:r>
          </w:p>
        </w:tc>
        <w:tc>
          <w:tcPr>
            <w:tcW w:w="1195" w:type="dxa"/>
          </w:tcPr>
          <w:p w:rsidR="00017D7C" w:rsidRPr="00017D7C" w:rsidRDefault="00017D7C" w:rsidP="00017D7C">
            <w:pPr>
              <w:cnfStyle w:val="000000010000" w:firstRow="0" w:lastRow="0" w:firstColumn="0" w:lastColumn="0" w:oddVBand="0" w:evenVBand="0" w:oddHBand="0" w:evenHBand="1" w:firstRowFirstColumn="0" w:firstRowLastColumn="0" w:lastRowFirstColumn="0" w:lastRowLastColumn="0"/>
            </w:pPr>
            <w:r w:rsidRPr="00017D7C">
              <w:t>111.1</w:t>
            </w:r>
          </w:p>
        </w:tc>
        <w:tc>
          <w:tcPr>
            <w:tcW w:w="1195" w:type="dxa"/>
          </w:tcPr>
          <w:p w:rsidR="00017D7C" w:rsidRPr="00017D7C" w:rsidRDefault="00017D7C" w:rsidP="00017D7C">
            <w:pPr>
              <w:cnfStyle w:val="000000010000" w:firstRow="0" w:lastRow="0" w:firstColumn="0" w:lastColumn="0" w:oddVBand="0" w:evenVBand="0" w:oddHBand="0" w:evenHBand="1" w:firstRowFirstColumn="0" w:firstRowLastColumn="0" w:lastRowFirstColumn="0" w:lastRowLastColumn="0"/>
            </w:pPr>
            <w:r w:rsidRPr="00017D7C">
              <w:t>105.6</w:t>
            </w:r>
          </w:p>
        </w:tc>
        <w:tc>
          <w:tcPr>
            <w:tcW w:w="1195" w:type="dxa"/>
          </w:tcPr>
          <w:p w:rsidR="00017D7C" w:rsidRPr="00017D7C" w:rsidRDefault="00017D7C" w:rsidP="00017D7C">
            <w:pPr>
              <w:cnfStyle w:val="000000010000" w:firstRow="0" w:lastRow="0" w:firstColumn="0" w:lastColumn="0" w:oddVBand="0" w:evenVBand="0" w:oddHBand="0" w:evenHBand="1" w:firstRowFirstColumn="0" w:firstRowLastColumn="0" w:lastRowFirstColumn="0" w:lastRowLastColumn="0"/>
            </w:pPr>
            <w:r w:rsidRPr="00017D7C">
              <w:t>110.1</w:t>
            </w:r>
          </w:p>
        </w:tc>
        <w:tc>
          <w:tcPr>
            <w:tcW w:w="1195" w:type="dxa"/>
          </w:tcPr>
          <w:p w:rsidR="00017D7C" w:rsidRPr="00017D7C" w:rsidRDefault="00017D7C" w:rsidP="00017D7C">
            <w:pPr>
              <w:cnfStyle w:val="000000010000" w:firstRow="0" w:lastRow="0" w:firstColumn="0" w:lastColumn="0" w:oddVBand="0" w:evenVBand="0" w:oddHBand="0" w:evenHBand="1" w:firstRowFirstColumn="0" w:firstRowLastColumn="0" w:lastRowFirstColumn="0" w:lastRowLastColumn="0"/>
            </w:pPr>
            <w:r w:rsidRPr="00017D7C">
              <w:t>99.6</w:t>
            </w:r>
          </w:p>
        </w:tc>
        <w:tc>
          <w:tcPr>
            <w:tcW w:w="1195" w:type="dxa"/>
          </w:tcPr>
          <w:p w:rsidR="00017D7C" w:rsidRPr="00017D7C" w:rsidRDefault="00017D7C" w:rsidP="00017D7C">
            <w:pPr>
              <w:cnfStyle w:val="000000010000" w:firstRow="0" w:lastRow="0" w:firstColumn="0" w:lastColumn="0" w:oddVBand="0" w:evenVBand="0" w:oddHBand="0" w:evenHBand="1" w:firstRowFirstColumn="0" w:firstRowLastColumn="0" w:lastRowFirstColumn="0" w:lastRowLastColumn="0"/>
            </w:pPr>
            <w:r w:rsidRPr="00017D7C">
              <w:t>88.1</w:t>
            </w:r>
          </w:p>
        </w:tc>
      </w:tr>
      <w:tr w:rsidR="00017D7C" w:rsidRPr="00391E33" w:rsidTr="00017D7C">
        <w:trPr>
          <w:trHeight w:val="240"/>
        </w:trPr>
        <w:tc>
          <w:tcPr>
            <w:cnfStyle w:val="001000000000" w:firstRow="0" w:lastRow="0" w:firstColumn="1" w:lastColumn="0" w:oddVBand="0" w:evenVBand="0" w:oddHBand="0" w:evenHBand="0" w:firstRowFirstColumn="0" w:firstRowLastColumn="0" w:lastRowFirstColumn="0" w:lastRowLastColumn="0"/>
            <w:tcW w:w="2787" w:type="dxa"/>
            <w:hideMark/>
          </w:tcPr>
          <w:p w:rsidR="00017D7C" w:rsidRPr="00017D7C" w:rsidRDefault="00017D7C" w:rsidP="00017D7C">
            <w:r w:rsidRPr="00017D7C">
              <w:t>Depreciation</w:t>
            </w:r>
          </w:p>
        </w:tc>
        <w:tc>
          <w:tcPr>
            <w:tcW w:w="1195" w:type="dxa"/>
          </w:tcPr>
          <w:p w:rsidR="00017D7C" w:rsidRPr="00017D7C" w:rsidRDefault="00345EFF" w:rsidP="00017D7C">
            <w:pPr>
              <w:cnfStyle w:val="000000000000" w:firstRow="0" w:lastRow="0" w:firstColumn="0" w:lastColumn="0" w:oddVBand="0" w:evenVBand="0" w:oddHBand="0" w:evenHBand="0" w:firstRowFirstColumn="0" w:firstRowLastColumn="0" w:lastRowFirstColumn="0" w:lastRowLastColumn="0"/>
            </w:pPr>
            <w:r>
              <w:t>–</w:t>
            </w:r>
            <w:r w:rsidR="00017D7C" w:rsidRPr="00017D7C">
              <w:t>145.4</w:t>
            </w:r>
          </w:p>
        </w:tc>
        <w:tc>
          <w:tcPr>
            <w:tcW w:w="1195" w:type="dxa"/>
          </w:tcPr>
          <w:p w:rsidR="00017D7C" w:rsidRPr="00017D7C" w:rsidRDefault="00345EFF" w:rsidP="00017D7C">
            <w:pPr>
              <w:cnfStyle w:val="000000000000" w:firstRow="0" w:lastRow="0" w:firstColumn="0" w:lastColumn="0" w:oddVBand="0" w:evenVBand="0" w:oddHBand="0" w:evenHBand="0" w:firstRowFirstColumn="0" w:firstRowLastColumn="0" w:lastRowFirstColumn="0" w:lastRowLastColumn="0"/>
            </w:pPr>
            <w:r>
              <w:t>–</w:t>
            </w:r>
            <w:r w:rsidR="00017D7C" w:rsidRPr="00017D7C">
              <w:t>161.5</w:t>
            </w:r>
          </w:p>
        </w:tc>
        <w:tc>
          <w:tcPr>
            <w:tcW w:w="1195" w:type="dxa"/>
          </w:tcPr>
          <w:p w:rsidR="00017D7C" w:rsidRPr="00017D7C" w:rsidRDefault="00345EFF" w:rsidP="00017D7C">
            <w:pPr>
              <w:cnfStyle w:val="000000000000" w:firstRow="0" w:lastRow="0" w:firstColumn="0" w:lastColumn="0" w:oddVBand="0" w:evenVBand="0" w:oddHBand="0" w:evenHBand="0" w:firstRowFirstColumn="0" w:firstRowLastColumn="0" w:lastRowFirstColumn="0" w:lastRowLastColumn="0"/>
            </w:pPr>
            <w:r>
              <w:t>–</w:t>
            </w:r>
            <w:r w:rsidR="00017D7C" w:rsidRPr="00017D7C">
              <w:t>178.2</w:t>
            </w:r>
          </w:p>
        </w:tc>
        <w:tc>
          <w:tcPr>
            <w:tcW w:w="1195" w:type="dxa"/>
          </w:tcPr>
          <w:p w:rsidR="00017D7C" w:rsidRPr="00017D7C" w:rsidRDefault="00345EFF" w:rsidP="00345EFF">
            <w:pPr>
              <w:cnfStyle w:val="000000000000" w:firstRow="0" w:lastRow="0" w:firstColumn="0" w:lastColumn="0" w:oddVBand="0" w:evenVBand="0" w:oddHBand="0" w:evenHBand="0" w:firstRowFirstColumn="0" w:firstRowLastColumn="0" w:lastRowFirstColumn="0" w:lastRowLastColumn="0"/>
            </w:pPr>
            <w:r>
              <w:t>–</w:t>
            </w:r>
            <w:r w:rsidR="00017D7C" w:rsidRPr="00017D7C">
              <w:t>191.8</w:t>
            </w:r>
          </w:p>
        </w:tc>
        <w:tc>
          <w:tcPr>
            <w:tcW w:w="1195" w:type="dxa"/>
          </w:tcPr>
          <w:p w:rsidR="00017D7C" w:rsidRPr="00017D7C" w:rsidRDefault="00345EFF" w:rsidP="00017D7C">
            <w:pPr>
              <w:cnfStyle w:val="000000000000" w:firstRow="0" w:lastRow="0" w:firstColumn="0" w:lastColumn="0" w:oddVBand="0" w:evenVBand="0" w:oddHBand="0" w:evenHBand="0" w:firstRowFirstColumn="0" w:firstRowLastColumn="0" w:lastRowFirstColumn="0" w:lastRowLastColumn="0"/>
            </w:pPr>
            <w:r>
              <w:t>–</w:t>
            </w:r>
            <w:r w:rsidR="00017D7C" w:rsidRPr="00017D7C">
              <w:t>179.0</w:t>
            </w:r>
          </w:p>
        </w:tc>
      </w:tr>
      <w:tr w:rsidR="00017D7C" w:rsidRPr="004842D3" w:rsidTr="00017D7C">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787" w:type="dxa"/>
            <w:hideMark/>
          </w:tcPr>
          <w:p w:rsidR="00017D7C" w:rsidRPr="004842D3" w:rsidRDefault="00017D7C" w:rsidP="00017D7C">
            <w:pPr>
              <w:rPr>
                <w:rStyle w:val="Strong"/>
              </w:rPr>
            </w:pPr>
            <w:r w:rsidRPr="004842D3">
              <w:rPr>
                <w:rStyle w:val="Strong"/>
              </w:rPr>
              <w:t>Closing capital base</w:t>
            </w:r>
          </w:p>
        </w:tc>
        <w:tc>
          <w:tcPr>
            <w:tcW w:w="1195" w:type="dxa"/>
          </w:tcPr>
          <w:p w:rsidR="00017D7C" w:rsidRPr="004842D3" w:rsidRDefault="00017D7C" w:rsidP="00017D7C">
            <w:pPr>
              <w:cnfStyle w:val="000000010000" w:firstRow="0" w:lastRow="0" w:firstColumn="0" w:lastColumn="0" w:oddVBand="0" w:evenVBand="0" w:oddHBand="0" w:evenHBand="1" w:firstRowFirstColumn="0" w:firstRowLastColumn="0" w:lastRowFirstColumn="0" w:lastRowLastColumn="0"/>
              <w:rPr>
                <w:rStyle w:val="Strong"/>
              </w:rPr>
            </w:pPr>
            <w:r w:rsidRPr="004842D3">
              <w:rPr>
                <w:rStyle w:val="Strong"/>
              </w:rPr>
              <w:t>3133.0</w:t>
            </w:r>
          </w:p>
        </w:tc>
        <w:tc>
          <w:tcPr>
            <w:tcW w:w="1195" w:type="dxa"/>
          </w:tcPr>
          <w:p w:rsidR="00017D7C" w:rsidRPr="004842D3" w:rsidRDefault="00017D7C" w:rsidP="00017D7C">
            <w:pPr>
              <w:cnfStyle w:val="000000010000" w:firstRow="0" w:lastRow="0" w:firstColumn="0" w:lastColumn="0" w:oddVBand="0" w:evenVBand="0" w:oddHBand="0" w:evenHBand="1" w:firstRowFirstColumn="0" w:firstRowLastColumn="0" w:lastRowFirstColumn="0" w:lastRowLastColumn="0"/>
              <w:rPr>
                <w:rStyle w:val="Strong"/>
              </w:rPr>
            </w:pPr>
            <w:r w:rsidRPr="004842D3">
              <w:rPr>
                <w:rStyle w:val="Strong"/>
              </w:rPr>
              <w:t>3262.6</w:t>
            </w:r>
          </w:p>
        </w:tc>
        <w:tc>
          <w:tcPr>
            <w:tcW w:w="1195" w:type="dxa"/>
          </w:tcPr>
          <w:p w:rsidR="00017D7C" w:rsidRPr="004842D3" w:rsidRDefault="00017D7C" w:rsidP="00017D7C">
            <w:pPr>
              <w:cnfStyle w:val="000000010000" w:firstRow="0" w:lastRow="0" w:firstColumn="0" w:lastColumn="0" w:oddVBand="0" w:evenVBand="0" w:oddHBand="0" w:evenHBand="1" w:firstRowFirstColumn="0" w:firstRowLastColumn="0" w:lastRowFirstColumn="0" w:lastRowLastColumn="0"/>
              <w:rPr>
                <w:rStyle w:val="Strong"/>
              </w:rPr>
            </w:pPr>
            <w:r w:rsidRPr="004842D3">
              <w:rPr>
                <w:rStyle w:val="Strong"/>
              </w:rPr>
              <w:t>3387.8</w:t>
            </w:r>
          </w:p>
        </w:tc>
        <w:tc>
          <w:tcPr>
            <w:tcW w:w="1195" w:type="dxa"/>
          </w:tcPr>
          <w:p w:rsidR="00017D7C" w:rsidRPr="004842D3" w:rsidRDefault="00017D7C" w:rsidP="00017D7C">
            <w:pPr>
              <w:cnfStyle w:val="000000010000" w:firstRow="0" w:lastRow="0" w:firstColumn="0" w:lastColumn="0" w:oddVBand="0" w:evenVBand="0" w:oddHBand="0" w:evenHBand="1" w:firstRowFirstColumn="0" w:firstRowLastColumn="0" w:lastRowFirstColumn="0" w:lastRowLastColumn="0"/>
              <w:rPr>
                <w:rStyle w:val="Strong"/>
              </w:rPr>
            </w:pPr>
            <w:r w:rsidRPr="004842D3">
              <w:rPr>
                <w:rStyle w:val="Strong"/>
              </w:rPr>
              <w:t>3481.6</w:t>
            </w:r>
          </w:p>
        </w:tc>
        <w:tc>
          <w:tcPr>
            <w:tcW w:w="1195" w:type="dxa"/>
          </w:tcPr>
          <w:p w:rsidR="00017D7C" w:rsidRPr="004842D3" w:rsidRDefault="00017D7C" w:rsidP="00017D7C">
            <w:pPr>
              <w:cnfStyle w:val="000000010000" w:firstRow="0" w:lastRow="0" w:firstColumn="0" w:lastColumn="0" w:oddVBand="0" w:evenVBand="0" w:oddHBand="0" w:evenHBand="1" w:firstRowFirstColumn="0" w:firstRowLastColumn="0" w:lastRowFirstColumn="0" w:lastRowLastColumn="0"/>
              <w:rPr>
                <w:rStyle w:val="Strong"/>
              </w:rPr>
            </w:pPr>
            <w:r w:rsidRPr="004842D3">
              <w:rPr>
                <w:rStyle w:val="Strong"/>
              </w:rPr>
              <w:t>3567.6</w:t>
            </w:r>
          </w:p>
        </w:tc>
      </w:tr>
    </w:tbl>
    <w:p w:rsidR="00D52BCC" w:rsidRDefault="00625CBA" w:rsidP="005835FF">
      <w:pPr>
        <w:pStyle w:val="AERtablesource"/>
      </w:pPr>
      <w:r>
        <w:t>Source:</w:t>
      </w:r>
      <w:r>
        <w:tab/>
      </w:r>
      <w:r w:rsidR="005835FF">
        <w:t>AER analysis.</w:t>
      </w:r>
    </w:p>
    <w:p w:rsidR="008E433E" w:rsidRDefault="008E433E" w:rsidP="008E433E">
      <w:pPr>
        <w:pStyle w:val="Heading2"/>
      </w:pPr>
      <w:bookmarkStart w:id="93" w:name="_Toc390936279"/>
      <w:bookmarkStart w:id="94" w:name="_Toc404437129"/>
      <w:bookmarkStart w:id="95" w:name="_Toc411428029"/>
      <w:bookmarkStart w:id="96" w:name="_Toc417993962"/>
      <w:bookmarkStart w:id="97" w:name="_Ref419801873"/>
      <w:bookmarkStart w:id="98" w:name="_Toc419895024"/>
      <w:r w:rsidRPr="009F4C42">
        <w:t>Rate of return</w:t>
      </w:r>
      <w:bookmarkEnd w:id="93"/>
      <w:r>
        <w:t xml:space="preserve"> (return on capital)</w:t>
      </w:r>
      <w:bookmarkEnd w:id="94"/>
      <w:bookmarkEnd w:id="95"/>
      <w:bookmarkEnd w:id="96"/>
      <w:bookmarkEnd w:id="97"/>
      <w:bookmarkEnd w:id="98"/>
    </w:p>
    <w:p w:rsidR="00050448" w:rsidRPr="00050448" w:rsidRDefault="00050448" w:rsidP="00050448">
      <w:r w:rsidRPr="00050448">
        <w:t xml:space="preserve">The return on capital provides a </w:t>
      </w:r>
      <w:r>
        <w:t>service provider</w:t>
      </w:r>
      <w:r w:rsidR="00BC1F06">
        <w:t xml:space="preserve"> </w:t>
      </w:r>
      <w:r w:rsidRPr="00050448">
        <w:t xml:space="preserve">with revenue to service the interest on its </w:t>
      </w:r>
      <w:r w:rsidR="00040608">
        <w:t>borrowings</w:t>
      </w:r>
      <w:r w:rsidR="00040608" w:rsidRPr="00050448">
        <w:t xml:space="preserve"> </w:t>
      </w:r>
      <w:r w:rsidRPr="00050448">
        <w:t xml:space="preserve">and give a return on equity to shareholders. The return on capital building block is calculated as a product of the rate of return and the value of the </w:t>
      </w:r>
      <w:r w:rsidR="00040608">
        <w:t>capital base</w:t>
      </w:r>
      <w:r w:rsidR="00707DDE">
        <w:t>.</w:t>
      </w:r>
      <w:r>
        <w:rPr>
          <w:rStyle w:val="FootnoteReference"/>
        </w:rPr>
        <w:footnoteReference w:id="61"/>
      </w:r>
      <w:r w:rsidRPr="00050448">
        <w:t xml:space="preserve"> </w:t>
      </w:r>
    </w:p>
    <w:p w:rsidR="00050448" w:rsidRPr="00050448" w:rsidRDefault="00050448" w:rsidP="00050448">
      <w:r w:rsidRPr="00050448">
        <w:t>The N</w:t>
      </w:r>
      <w:r>
        <w:t>G</w:t>
      </w:r>
      <w:r w:rsidRPr="00050448">
        <w:t xml:space="preserve">R set out that the allowed rate of return must be commensurate with the efficient financing costs of a benchmark efficient entity with a similar degree of risk as that which applies to the </w:t>
      </w:r>
      <w:r w:rsidR="004555E8">
        <w:t xml:space="preserve">service provider </w:t>
      </w:r>
      <w:r w:rsidRPr="00050448">
        <w:t xml:space="preserve">in respect of the provision of </w:t>
      </w:r>
      <w:r w:rsidR="004555E8">
        <w:t>gas pipeline</w:t>
      </w:r>
      <w:r w:rsidRPr="00050448">
        <w:t xml:space="preserve"> services. The N</w:t>
      </w:r>
      <w:r w:rsidR="004555E8">
        <w:t>G</w:t>
      </w:r>
      <w:r w:rsidRPr="00050448">
        <w:t>R refers to this requirement as the allowed rate of return objective.</w:t>
      </w:r>
      <w:r w:rsidR="00DD1326">
        <w:rPr>
          <w:rStyle w:val="FootnoteReference"/>
        </w:rPr>
        <w:footnoteReference w:id="62"/>
      </w:r>
      <w:r w:rsidRPr="00050448">
        <w:t xml:space="preserve"> </w:t>
      </w:r>
    </w:p>
    <w:p w:rsidR="00040608" w:rsidRDefault="00050448" w:rsidP="00050448">
      <w:r w:rsidRPr="00050448">
        <w:t>We have determined an allowed rate of return of</w:t>
      </w:r>
      <w:r w:rsidR="00040608">
        <w:t xml:space="preserve"> 5.41 </w:t>
      </w:r>
      <w:r w:rsidRPr="00050448">
        <w:t>per cent (nominal vanilla</w:t>
      </w:r>
      <w:r w:rsidR="004555E8">
        <w:rPr>
          <w:rStyle w:val="FootnoteReference"/>
        </w:rPr>
        <w:footnoteReference w:id="63"/>
      </w:r>
      <w:r w:rsidRPr="00050448">
        <w:t xml:space="preserve">). We have not accepted </w:t>
      </w:r>
      <w:r w:rsidR="004555E8">
        <w:t>JGN's</w:t>
      </w:r>
      <w:r w:rsidRPr="00050448">
        <w:t xml:space="preserve"> proposed 7.</w:t>
      </w:r>
      <w:r w:rsidR="00040608">
        <w:t>06</w:t>
      </w:r>
      <w:r w:rsidRPr="00050448">
        <w:t xml:space="preserve"> per cent return</w:t>
      </w:r>
      <w:r w:rsidR="00426998">
        <w:t xml:space="preserve"> in its revised proposal</w:t>
      </w:r>
      <w:r w:rsidRPr="00050448">
        <w:t>.</w:t>
      </w:r>
      <w:r w:rsidR="004555E8">
        <w:rPr>
          <w:rStyle w:val="FootnoteReference"/>
        </w:rPr>
        <w:footnoteReference w:id="64"/>
      </w:r>
      <w:r w:rsidRPr="00050448">
        <w:t xml:space="preserve"> In accordance with the Guideline, we will update the rate of return annually.</w:t>
      </w:r>
      <w:r w:rsidR="004555E8">
        <w:rPr>
          <w:rStyle w:val="FootnoteReference"/>
        </w:rPr>
        <w:footnoteReference w:id="65"/>
      </w:r>
      <w:r w:rsidRPr="00050448">
        <w:t xml:space="preserve"> </w:t>
      </w:r>
    </w:p>
    <w:p w:rsidR="00EC5608" w:rsidRDefault="00040608" w:rsidP="00EC5608">
      <w:pPr>
        <w:numPr>
          <w:ilvl w:val="0"/>
          <w:numId w:val="25"/>
        </w:numPr>
      </w:pPr>
      <w:r w:rsidRPr="00040608">
        <w:t>Our rate of return and JGN's proposed rate of return is set out in</w:t>
      </w:r>
      <w:r>
        <w:t xml:space="preserve"> </w:t>
      </w:r>
      <w:r>
        <w:fldChar w:fldCharType="begin"/>
      </w:r>
      <w:r>
        <w:instrText xml:space="preserve"> REF _Ref419397574 \h </w:instrText>
      </w:r>
      <w:r>
        <w:fldChar w:fldCharType="separate"/>
      </w:r>
      <w:r w:rsidR="00707DDE">
        <w:t>t</w:t>
      </w:r>
      <w:r w:rsidR="009037A2">
        <w:t xml:space="preserve">able </w:t>
      </w:r>
      <w:r w:rsidR="009037A2">
        <w:rPr>
          <w:noProof/>
        </w:rPr>
        <w:t>8</w:t>
      </w:r>
      <w:r>
        <w:fldChar w:fldCharType="end"/>
      </w:r>
      <w:r w:rsidRPr="00040608">
        <w:t>.</w:t>
      </w:r>
    </w:p>
    <w:p w:rsidR="00EC5608" w:rsidRPr="00040608" w:rsidRDefault="00EC5608" w:rsidP="00EC5608">
      <w:pPr>
        <w:numPr>
          <w:ilvl w:val="0"/>
          <w:numId w:val="25"/>
        </w:numPr>
      </w:pPr>
    </w:p>
    <w:p w:rsidR="00040608" w:rsidRDefault="00D22D84" w:rsidP="009037A2">
      <w:pPr>
        <w:pStyle w:val="Caption"/>
      </w:pPr>
      <w:bookmarkStart w:id="99" w:name="_Ref419397574"/>
      <w:r>
        <w:t xml:space="preserve">Table </w:t>
      </w:r>
      <w:fldSimple w:instr=" SEQ Table \* ARABIC ">
        <w:r w:rsidR="009037A2">
          <w:rPr>
            <w:noProof/>
          </w:rPr>
          <w:t>8</w:t>
        </w:r>
      </w:fldSimple>
      <w:bookmarkEnd w:id="99"/>
      <w:r w:rsidR="00040608" w:rsidRPr="00040608">
        <w:tab/>
        <w:t>AER's final decision on JGN's rate of return (nominal)</w:t>
      </w:r>
    </w:p>
    <w:tbl>
      <w:tblPr>
        <w:tblStyle w:val="AERtable-numbers"/>
        <w:tblW w:w="5000" w:type="pct"/>
        <w:tblLook w:val="04A0" w:firstRow="1" w:lastRow="0" w:firstColumn="1" w:lastColumn="0" w:noHBand="0" w:noVBand="1"/>
      </w:tblPr>
      <w:tblGrid>
        <w:gridCol w:w="2094"/>
        <w:gridCol w:w="1416"/>
        <w:gridCol w:w="1417"/>
        <w:gridCol w:w="1417"/>
        <w:gridCol w:w="2349"/>
      </w:tblGrid>
      <w:tr w:rsidR="005F49EE" w:rsidRPr="0036067E" w:rsidTr="005F49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pct"/>
          </w:tcPr>
          <w:p w:rsidR="00040608" w:rsidRPr="005F49EE" w:rsidRDefault="00040608" w:rsidP="005F49EE"/>
        </w:tc>
        <w:tc>
          <w:tcPr>
            <w:tcW w:w="814" w:type="pct"/>
          </w:tcPr>
          <w:p w:rsidR="00040608" w:rsidRPr="005F49EE" w:rsidRDefault="00040608" w:rsidP="005F49EE">
            <w:pPr>
              <w:cnfStyle w:val="100000000000" w:firstRow="1" w:lastRow="0" w:firstColumn="0" w:lastColumn="0" w:oddVBand="0" w:evenVBand="0" w:oddHBand="0" w:evenHBand="0" w:firstRowFirstColumn="0" w:firstRowLastColumn="0" w:lastRowFirstColumn="0" w:lastRowLastColumn="0"/>
            </w:pPr>
            <w:r w:rsidRPr="005F49EE">
              <w:t>AER previous decision</w:t>
            </w:r>
          </w:p>
          <w:p w:rsidR="00040608" w:rsidRPr="005F49EE" w:rsidRDefault="00040608" w:rsidP="005F49EE">
            <w:pPr>
              <w:cnfStyle w:val="100000000000" w:firstRow="1" w:lastRow="0" w:firstColumn="0" w:lastColumn="0" w:oddVBand="0" w:evenVBand="0" w:oddHBand="0" w:evenHBand="0" w:firstRowFirstColumn="0" w:firstRowLastColumn="0" w:lastRowFirstColumn="0" w:lastRowLastColumn="0"/>
            </w:pPr>
            <w:r w:rsidRPr="005F49EE">
              <w:t>(2010</w:t>
            </w:r>
            <w:r w:rsidRPr="005F49EE">
              <w:br w:type="column"/>
              <w:t>–15)</w:t>
            </w:r>
          </w:p>
        </w:tc>
        <w:tc>
          <w:tcPr>
            <w:tcW w:w="815" w:type="pct"/>
          </w:tcPr>
          <w:p w:rsidR="00040608" w:rsidRPr="005F49EE" w:rsidRDefault="00040608" w:rsidP="005F49EE">
            <w:pPr>
              <w:cnfStyle w:val="100000000000" w:firstRow="1" w:lastRow="0" w:firstColumn="0" w:lastColumn="0" w:oddVBand="0" w:evenVBand="0" w:oddHBand="0" w:evenHBand="0" w:firstRowFirstColumn="0" w:firstRowLastColumn="0" w:lastRowFirstColumn="0" w:lastRowLastColumn="0"/>
            </w:pPr>
            <w:r w:rsidRPr="005F49EE">
              <w:t>JGN revised proposal</w:t>
            </w:r>
          </w:p>
          <w:p w:rsidR="00040608" w:rsidRPr="005F49EE" w:rsidRDefault="00040608" w:rsidP="005F49EE">
            <w:pPr>
              <w:cnfStyle w:val="100000000000" w:firstRow="1" w:lastRow="0" w:firstColumn="0" w:lastColumn="0" w:oddVBand="0" w:evenVBand="0" w:oddHBand="0" w:evenHBand="0" w:firstRowFirstColumn="0" w:firstRowLastColumn="0" w:lastRowFirstColumn="0" w:lastRowLastColumn="0"/>
            </w:pPr>
            <w:r w:rsidRPr="005F49EE">
              <w:t>(2015–16)</w:t>
            </w:r>
            <w:r w:rsidRPr="00D459C7">
              <w:rPr>
                <w:rStyle w:val="AERsuperscript"/>
              </w:rPr>
              <w:t>a</w:t>
            </w:r>
          </w:p>
        </w:tc>
        <w:tc>
          <w:tcPr>
            <w:tcW w:w="815" w:type="pct"/>
          </w:tcPr>
          <w:p w:rsidR="00040608" w:rsidRPr="005F49EE" w:rsidRDefault="00040608" w:rsidP="005F49EE">
            <w:pPr>
              <w:cnfStyle w:val="100000000000" w:firstRow="1" w:lastRow="0" w:firstColumn="0" w:lastColumn="0" w:oddVBand="0" w:evenVBand="0" w:oddHBand="0" w:evenHBand="0" w:firstRowFirstColumn="0" w:firstRowLastColumn="0" w:lastRowFirstColumn="0" w:lastRowLastColumn="0"/>
            </w:pPr>
            <w:r w:rsidRPr="005F49EE">
              <w:t>AER final decision</w:t>
            </w:r>
          </w:p>
          <w:p w:rsidR="00040608" w:rsidRPr="005F49EE" w:rsidRDefault="00040608" w:rsidP="005F49EE">
            <w:pPr>
              <w:cnfStyle w:val="100000000000" w:firstRow="1" w:lastRow="0" w:firstColumn="0" w:lastColumn="0" w:oddVBand="0" w:evenVBand="0" w:oddHBand="0" w:evenHBand="0" w:firstRowFirstColumn="0" w:firstRowLastColumn="0" w:lastRowFirstColumn="0" w:lastRowLastColumn="0"/>
            </w:pPr>
            <w:r w:rsidRPr="005F49EE">
              <w:t>(2015–16)</w:t>
            </w:r>
          </w:p>
        </w:tc>
        <w:tc>
          <w:tcPr>
            <w:tcW w:w="1351" w:type="pct"/>
          </w:tcPr>
          <w:p w:rsidR="00040608" w:rsidRPr="005F49EE" w:rsidRDefault="00040608" w:rsidP="005F49EE">
            <w:pPr>
              <w:cnfStyle w:val="100000000000" w:firstRow="1" w:lastRow="0" w:firstColumn="0" w:lastColumn="0" w:oddVBand="0" w:evenVBand="0" w:oddHBand="0" w:evenHBand="0" w:firstRowFirstColumn="0" w:firstRowLastColumn="0" w:lastRowFirstColumn="0" w:lastRowLastColumn="0"/>
            </w:pPr>
            <w:r w:rsidRPr="005F49EE">
              <w:t>Return over</w:t>
            </w:r>
            <w:r w:rsidR="005F49EE">
              <w:t xml:space="preserve"> </w:t>
            </w:r>
            <w:r w:rsidRPr="005F49EE">
              <w:t>2015–20 access arrangement</w:t>
            </w:r>
            <w:r w:rsidR="005F49EE">
              <w:br/>
            </w:r>
            <w:r w:rsidRPr="005F49EE">
              <w:t>period</w:t>
            </w:r>
          </w:p>
        </w:tc>
      </w:tr>
      <w:tr w:rsidR="005F49EE" w:rsidRPr="00BD56F3" w:rsidTr="005F49EE">
        <w:tc>
          <w:tcPr>
            <w:cnfStyle w:val="001000000000" w:firstRow="0" w:lastRow="0" w:firstColumn="1" w:lastColumn="0" w:oddVBand="0" w:evenVBand="0" w:oddHBand="0" w:evenHBand="0" w:firstRowFirstColumn="0" w:firstRowLastColumn="0" w:lastRowFirstColumn="0" w:lastRowLastColumn="0"/>
            <w:tcW w:w="1204" w:type="pct"/>
          </w:tcPr>
          <w:p w:rsidR="00040608" w:rsidRPr="005F49EE" w:rsidRDefault="00040608" w:rsidP="005F49EE">
            <w:r w:rsidRPr="005F49EE">
              <w:t>Return on equity</w:t>
            </w:r>
            <w:r w:rsidR="005F49EE">
              <w:br/>
            </w:r>
            <w:r w:rsidRPr="005F49EE">
              <w:t xml:space="preserve">(nominal post–tax) </w:t>
            </w:r>
          </w:p>
        </w:tc>
        <w:tc>
          <w:tcPr>
            <w:tcW w:w="814" w:type="pct"/>
          </w:tcPr>
          <w:p w:rsidR="00040608" w:rsidRPr="005F49EE" w:rsidRDefault="00040608" w:rsidP="005F49EE">
            <w:pPr>
              <w:cnfStyle w:val="000000000000" w:firstRow="0" w:lastRow="0" w:firstColumn="0" w:lastColumn="0" w:oddVBand="0" w:evenVBand="0" w:oddHBand="0" w:evenHBand="0" w:firstRowFirstColumn="0" w:firstRowLastColumn="0" w:lastRowFirstColumn="0" w:lastRowLastColumn="0"/>
            </w:pPr>
            <w:r w:rsidRPr="005F49EE">
              <w:t>11.05%</w:t>
            </w:r>
          </w:p>
        </w:tc>
        <w:tc>
          <w:tcPr>
            <w:tcW w:w="815" w:type="pct"/>
          </w:tcPr>
          <w:p w:rsidR="00040608" w:rsidRPr="005F49EE" w:rsidRDefault="00040608" w:rsidP="005F49EE">
            <w:pPr>
              <w:cnfStyle w:val="000000000000" w:firstRow="0" w:lastRow="0" w:firstColumn="0" w:lastColumn="0" w:oddVBand="0" w:evenVBand="0" w:oddHBand="0" w:evenHBand="0" w:firstRowFirstColumn="0" w:firstRowLastColumn="0" w:lastRowFirstColumn="0" w:lastRowLastColumn="0"/>
            </w:pPr>
            <w:r w:rsidRPr="005F49EE">
              <w:t>9.83%</w:t>
            </w:r>
          </w:p>
        </w:tc>
        <w:tc>
          <w:tcPr>
            <w:tcW w:w="815" w:type="pct"/>
          </w:tcPr>
          <w:p w:rsidR="00040608" w:rsidRPr="005F49EE" w:rsidRDefault="00040608" w:rsidP="005F49EE">
            <w:pPr>
              <w:cnfStyle w:val="000000000000" w:firstRow="0" w:lastRow="0" w:firstColumn="0" w:lastColumn="0" w:oddVBand="0" w:evenVBand="0" w:oddHBand="0" w:evenHBand="0" w:firstRowFirstColumn="0" w:firstRowLastColumn="0" w:lastRowFirstColumn="0" w:lastRowLastColumn="0"/>
            </w:pPr>
            <w:r w:rsidRPr="005F49EE">
              <w:t>7.1%</w:t>
            </w:r>
          </w:p>
        </w:tc>
        <w:tc>
          <w:tcPr>
            <w:tcW w:w="1351" w:type="pct"/>
          </w:tcPr>
          <w:p w:rsidR="00040608" w:rsidRPr="005F49EE" w:rsidRDefault="00040608" w:rsidP="005F49EE">
            <w:pPr>
              <w:cnfStyle w:val="000000000000" w:firstRow="0" w:lastRow="0" w:firstColumn="0" w:lastColumn="0" w:oddVBand="0" w:evenVBand="0" w:oddHBand="0" w:evenHBand="0" w:firstRowFirstColumn="0" w:firstRowLastColumn="0" w:lastRowFirstColumn="0" w:lastRowLastColumn="0"/>
            </w:pPr>
            <w:r w:rsidRPr="005F49EE">
              <w:t>Remains constant (7.1%)</w:t>
            </w:r>
          </w:p>
        </w:tc>
      </w:tr>
      <w:tr w:rsidR="005F49EE" w:rsidRPr="00BD56F3" w:rsidTr="005F49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pct"/>
          </w:tcPr>
          <w:p w:rsidR="00040608" w:rsidRPr="005F49EE" w:rsidRDefault="00040608" w:rsidP="005F49EE">
            <w:r w:rsidRPr="005F49EE">
              <w:t>Return on debt</w:t>
            </w:r>
            <w:r w:rsidR="005F49EE">
              <w:br/>
            </w:r>
            <w:r w:rsidRPr="005F49EE">
              <w:t>(nominal pre–tax)</w:t>
            </w:r>
          </w:p>
        </w:tc>
        <w:tc>
          <w:tcPr>
            <w:tcW w:w="814" w:type="pct"/>
          </w:tcPr>
          <w:p w:rsidR="00040608" w:rsidRPr="005F49EE" w:rsidRDefault="00040608" w:rsidP="005F49EE">
            <w:pPr>
              <w:cnfStyle w:val="000000010000" w:firstRow="0" w:lastRow="0" w:firstColumn="0" w:lastColumn="0" w:oddVBand="0" w:evenVBand="0" w:oddHBand="0" w:evenHBand="1" w:firstRowFirstColumn="0" w:firstRowLastColumn="0" w:lastRowFirstColumn="0" w:lastRowLastColumn="0"/>
            </w:pPr>
            <w:r w:rsidRPr="005F49EE">
              <w:t>10.02%</w:t>
            </w:r>
          </w:p>
        </w:tc>
        <w:tc>
          <w:tcPr>
            <w:tcW w:w="815" w:type="pct"/>
          </w:tcPr>
          <w:p w:rsidR="00040608" w:rsidRPr="005F49EE" w:rsidRDefault="00040608" w:rsidP="005F49EE">
            <w:pPr>
              <w:cnfStyle w:val="000000010000" w:firstRow="0" w:lastRow="0" w:firstColumn="0" w:lastColumn="0" w:oddVBand="0" w:evenVBand="0" w:oddHBand="0" w:evenHBand="1" w:firstRowFirstColumn="0" w:firstRowLastColumn="0" w:lastRowFirstColumn="0" w:lastRowLastColumn="0"/>
            </w:pPr>
            <w:r w:rsidRPr="005F49EE">
              <w:t>5.22%</w:t>
            </w:r>
          </w:p>
        </w:tc>
        <w:tc>
          <w:tcPr>
            <w:tcW w:w="815" w:type="pct"/>
          </w:tcPr>
          <w:p w:rsidR="00040608" w:rsidRPr="005F49EE" w:rsidRDefault="00040608" w:rsidP="005F49EE">
            <w:pPr>
              <w:cnfStyle w:val="000000010000" w:firstRow="0" w:lastRow="0" w:firstColumn="0" w:lastColumn="0" w:oddVBand="0" w:evenVBand="0" w:oddHBand="0" w:evenHBand="1" w:firstRowFirstColumn="0" w:firstRowLastColumn="0" w:lastRowFirstColumn="0" w:lastRowLastColumn="0"/>
            </w:pPr>
            <w:r w:rsidRPr="005F49EE">
              <w:t>4.28%</w:t>
            </w:r>
          </w:p>
        </w:tc>
        <w:tc>
          <w:tcPr>
            <w:tcW w:w="1351" w:type="pct"/>
          </w:tcPr>
          <w:p w:rsidR="00040608" w:rsidRPr="005F49EE" w:rsidRDefault="00040608" w:rsidP="005F49EE">
            <w:pPr>
              <w:cnfStyle w:val="000000010000" w:firstRow="0" w:lastRow="0" w:firstColumn="0" w:lastColumn="0" w:oddVBand="0" w:evenVBand="0" w:oddHBand="0" w:evenHBand="1" w:firstRowFirstColumn="0" w:firstRowLastColumn="0" w:lastRowFirstColumn="0" w:lastRowLastColumn="0"/>
            </w:pPr>
            <w:r w:rsidRPr="005F49EE">
              <w:t>Updated annually</w:t>
            </w:r>
          </w:p>
        </w:tc>
      </w:tr>
      <w:tr w:rsidR="005F49EE" w:rsidRPr="00BD56F3" w:rsidTr="005F49EE">
        <w:tc>
          <w:tcPr>
            <w:cnfStyle w:val="001000000000" w:firstRow="0" w:lastRow="0" w:firstColumn="1" w:lastColumn="0" w:oddVBand="0" w:evenVBand="0" w:oddHBand="0" w:evenHBand="0" w:firstRowFirstColumn="0" w:firstRowLastColumn="0" w:lastRowFirstColumn="0" w:lastRowLastColumn="0"/>
            <w:tcW w:w="1204" w:type="pct"/>
          </w:tcPr>
          <w:p w:rsidR="00040608" w:rsidRPr="005F49EE" w:rsidRDefault="00040608" w:rsidP="005F49EE">
            <w:r w:rsidRPr="005F49EE">
              <w:t>Gearing</w:t>
            </w:r>
          </w:p>
        </w:tc>
        <w:tc>
          <w:tcPr>
            <w:tcW w:w="814" w:type="pct"/>
          </w:tcPr>
          <w:p w:rsidR="00040608" w:rsidRPr="005F49EE" w:rsidRDefault="00040608" w:rsidP="005F49EE">
            <w:pPr>
              <w:cnfStyle w:val="000000000000" w:firstRow="0" w:lastRow="0" w:firstColumn="0" w:lastColumn="0" w:oddVBand="0" w:evenVBand="0" w:oddHBand="0" w:evenHBand="0" w:firstRowFirstColumn="0" w:firstRowLastColumn="0" w:lastRowFirstColumn="0" w:lastRowLastColumn="0"/>
            </w:pPr>
            <w:r w:rsidRPr="005F49EE">
              <w:t>60%</w:t>
            </w:r>
          </w:p>
        </w:tc>
        <w:tc>
          <w:tcPr>
            <w:tcW w:w="815" w:type="pct"/>
          </w:tcPr>
          <w:p w:rsidR="00040608" w:rsidRPr="005F49EE" w:rsidRDefault="00040608" w:rsidP="005F49EE">
            <w:pPr>
              <w:cnfStyle w:val="000000000000" w:firstRow="0" w:lastRow="0" w:firstColumn="0" w:lastColumn="0" w:oddVBand="0" w:evenVBand="0" w:oddHBand="0" w:evenHBand="0" w:firstRowFirstColumn="0" w:firstRowLastColumn="0" w:lastRowFirstColumn="0" w:lastRowLastColumn="0"/>
            </w:pPr>
            <w:r w:rsidRPr="005F49EE">
              <w:t>60%</w:t>
            </w:r>
          </w:p>
        </w:tc>
        <w:tc>
          <w:tcPr>
            <w:tcW w:w="815" w:type="pct"/>
          </w:tcPr>
          <w:p w:rsidR="00040608" w:rsidRPr="005F49EE" w:rsidRDefault="00040608" w:rsidP="005F49EE">
            <w:pPr>
              <w:cnfStyle w:val="000000000000" w:firstRow="0" w:lastRow="0" w:firstColumn="0" w:lastColumn="0" w:oddVBand="0" w:evenVBand="0" w:oddHBand="0" w:evenHBand="0" w:firstRowFirstColumn="0" w:firstRowLastColumn="0" w:lastRowFirstColumn="0" w:lastRowLastColumn="0"/>
            </w:pPr>
            <w:r w:rsidRPr="005F49EE">
              <w:t>60%</w:t>
            </w:r>
          </w:p>
        </w:tc>
        <w:tc>
          <w:tcPr>
            <w:tcW w:w="1351" w:type="pct"/>
          </w:tcPr>
          <w:p w:rsidR="00040608" w:rsidRPr="005F49EE" w:rsidRDefault="00040608" w:rsidP="005F49EE">
            <w:pPr>
              <w:cnfStyle w:val="000000000000" w:firstRow="0" w:lastRow="0" w:firstColumn="0" w:lastColumn="0" w:oddVBand="0" w:evenVBand="0" w:oddHBand="0" w:evenHBand="0" w:firstRowFirstColumn="0" w:firstRowLastColumn="0" w:lastRowFirstColumn="0" w:lastRowLastColumn="0"/>
            </w:pPr>
            <w:r w:rsidRPr="005F49EE">
              <w:t>Remains constant (60%)</w:t>
            </w:r>
          </w:p>
        </w:tc>
      </w:tr>
      <w:tr w:rsidR="005F49EE" w:rsidRPr="00BD56F3" w:rsidTr="005F49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pct"/>
          </w:tcPr>
          <w:p w:rsidR="00040608" w:rsidRPr="005F49EE" w:rsidRDefault="00040608" w:rsidP="005F49EE">
            <w:r w:rsidRPr="005F49EE">
              <w:t>Nominal vanilla WACC</w:t>
            </w:r>
          </w:p>
        </w:tc>
        <w:tc>
          <w:tcPr>
            <w:tcW w:w="814" w:type="pct"/>
          </w:tcPr>
          <w:p w:rsidR="00040608" w:rsidRPr="005F49EE" w:rsidRDefault="00040608" w:rsidP="005F49EE">
            <w:pPr>
              <w:cnfStyle w:val="000000010000" w:firstRow="0" w:lastRow="0" w:firstColumn="0" w:lastColumn="0" w:oddVBand="0" w:evenVBand="0" w:oddHBand="0" w:evenHBand="1" w:firstRowFirstColumn="0" w:firstRowLastColumn="0" w:lastRowFirstColumn="0" w:lastRowLastColumn="0"/>
            </w:pPr>
            <w:r w:rsidRPr="005F49EE">
              <w:t>10.43%</w:t>
            </w:r>
          </w:p>
        </w:tc>
        <w:tc>
          <w:tcPr>
            <w:tcW w:w="815" w:type="pct"/>
          </w:tcPr>
          <w:p w:rsidR="00040608" w:rsidRPr="005F49EE" w:rsidRDefault="00040608" w:rsidP="005F49EE">
            <w:pPr>
              <w:cnfStyle w:val="000000010000" w:firstRow="0" w:lastRow="0" w:firstColumn="0" w:lastColumn="0" w:oddVBand="0" w:evenVBand="0" w:oddHBand="0" w:evenHBand="1" w:firstRowFirstColumn="0" w:firstRowLastColumn="0" w:lastRowFirstColumn="0" w:lastRowLastColumn="0"/>
            </w:pPr>
            <w:r w:rsidRPr="005F49EE">
              <w:t>7.06%</w:t>
            </w:r>
          </w:p>
        </w:tc>
        <w:tc>
          <w:tcPr>
            <w:tcW w:w="815" w:type="pct"/>
          </w:tcPr>
          <w:p w:rsidR="00040608" w:rsidRPr="005F49EE" w:rsidRDefault="00040608" w:rsidP="005F49EE">
            <w:pPr>
              <w:cnfStyle w:val="000000010000" w:firstRow="0" w:lastRow="0" w:firstColumn="0" w:lastColumn="0" w:oddVBand="0" w:evenVBand="0" w:oddHBand="0" w:evenHBand="1" w:firstRowFirstColumn="0" w:firstRowLastColumn="0" w:lastRowFirstColumn="0" w:lastRowLastColumn="0"/>
            </w:pPr>
            <w:r w:rsidRPr="005F49EE">
              <w:t>5.41%</w:t>
            </w:r>
          </w:p>
        </w:tc>
        <w:tc>
          <w:tcPr>
            <w:tcW w:w="1351" w:type="pct"/>
          </w:tcPr>
          <w:p w:rsidR="00040608" w:rsidRPr="005F49EE" w:rsidRDefault="00040608" w:rsidP="005F49EE">
            <w:pPr>
              <w:cnfStyle w:val="000000010000" w:firstRow="0" w:lastRow="0" w:firstColumn="0" w:lastColumn="0" w:oddVBand="0" w:evenVBand="0" w:oddHBand="0" w:evenHBand="1" w:firstRowFirstColumn="0" w:firstRowLastColumn="0" w:lastRowFirstColumn="0" w:lastRowLastColumn="0"/>
            </w:pPr>
            <w:r w:rsidRPr="005F49EE">
              <w:t>Updated annually as return on debt is updated</w:t>
            </w:r>
          </w:p>
        </w:tc>
      </w:tr>
      <w:tr w:rsidR="005F49EE" w:rsidRPr="00BD56F3" w:rsidTr="005F49EE">
        <w:tc>
          <w:tcPr>
            <w:cnfStyle w:val="001000000000" w:firstRow="0" w:lastRow="0" w:firstColumn="1" w:lastColumn="0" w:oddVBand="0" w:evenVBand="0" w:oddHBand="0" w:evenHBand="0" w:firstRowFirstColumn="0" w:firstRowLastColumn="0" w:lastRowFirstColumn="0" w:lastRowLastColumn="0"/>
            <w:tcW w:w="1204" w:type="pct"/>
          </w:tcPr>
          <w:p w:rsidR="00040608" w:rsidRPr="005F49EE" w:rsidRDefault="00040608" w:rsidP="005F49EE">
            <w:r w:rsidRPr="005F49EE">
              <w:t>Forecast inflation</w:t>
            </w:r>
          </w:p>
        </w:tc>
        <w:tc>
          <w:tcPr>
            <w:tcW w:w="814" w:type="pct"/>
          </w:tcPr>
          <w:p w:rsidR="00040608" w:rsidRPr="005F49EE" w:rsidRDefault="00040608" w:rsidP="005F49EE">
            <w:pPr>
              <w:cnfStyle w:val="000000000000" w:firstRow="0" w:lastRow="0" w:firstColumn="0" w:lastColumn="0" w:oddVBand="0" w:evenVBand="0" w:oddHBand="0" w:evenHBand="0" w:firstRowFirstColumn="0" w:firstRowLastColumn="0" w:lastRowFirstColumn="0" w:lastRowLastColumn="0"/>
            </w:pPr>
            <w:r w:rsidRPr="005F49EE">
              <w:t>2.60%</w:t>
            </w:r>
          </w:p>
        </w:tc>
        <w:tc>
          <w:tcPr>
            <w:tcW w:w="815" w:type="pct"/>
          </w:tcPr>
          <w:p w:rsidR="00040608" w:rsidRPr="005F49EE" w:rsidRDefault="00040608" w:rsidP="005F49EE">
            <w:pPr>
              <w:cnfStyle w:val="000000000000" w:firstRow="0" w:lastRow="0" w:firstColumn="0" w:lastColumn="0" w:oddVBand="0" w:evenVBand="0" w:oddHBand="0" w:evenHBand="0" w:firstRowFirstColumn="0" w:firstRowLastColumn="0" w:lastRowFirstColumn="0" w:lastRowLastColumn="0"/>
            </w:pPr>
            <w:r w:rsidRPr="005F49EE">
              <w:t>2.50%</w:t>
            </w:r>
          </w:p>
        </w:tc>
        <w:tc>
          <w:tcPr>
            <w:tcW w:w="815" w:type="pct"/>
          </w:tcPr>
          <w:p w:rsidR="00040608" w:rsidRPr="005F49EE" w:rsidRDefault="00040608" w:rsidP="005F49EE">
            <w:pPr>
              <w:cnfStyle w:val="000000000000" w:firstRow="0" w:lastRow="0" w:firstColumn="0" w:lastColumn="0" w:oddVBand="0" w:evenVBand="0" w:oddHBand="0" w:evenHBand="0" w:firstRowFirstColumn="0" w:firstRowLastColumn="0" w:lastRowFirstColumn="0" w:lastRowLastColumn="0"/>
            </w:pPr>
            <w:r w:rsidRPr="005F49EE">
              <w:t>2.55%</w:t>
            </w:r>
          </w:p>
        </w:tc>
        <w:tc>
          <w:tcPr>
            <w:tcW w:w="1351" w:type="pct"/>
          </w:tcPr>
          <w:p w:rsidR="00040608" w:rsidRPr="005F49EE" w:rsidRDefault="00040608" w:rsidP="005F49EE">
            <w:pPr>
              <w:cnfStyle w:val="000000000000" w:firstRow="0" w:lastRow="0" w:firstColumn="0" w:lastColumn="0" w:oddVBand="0" w:evenVBand="0" w:oddHBand="0" w:evenHBand="0" w:firstRowFirstColumn="0" w:firstRowLastColumn="0" w:lastRowFirstColumn="0" w:lastRowLastColumn="0"/>
            </w:pPr>
            <w:r w:rsidRPr="005F49EE">
              <w:t>Remains constant (2.55%)</w:t>
            </w:r>
          </w:p>
        </w:tc>
      </w:tr>
    </w:tbl>
    <w:p w:rsidR="00040608" w:rsidRPr="00040608" w:rsidRDefault="00040608" w:rsidP="00040608">
      <w:pPr>
        <w:pStyle w:val="AERtablesource"/>
      </w:pPr>
      <w:r w:rsidRPr="00040608">
        <w:t>Source:</w:t>
      </w:r>
      <w:r w:rsidRPr="00040608">
        <w:tab/>
        <w:t xml:space="preserve">AER analysis; Jemena Gas Networks, </w:t>
      </w:r>
      <w:r w:rsidRPr="00040608">
        <w:rPr>
          <w:rStyle w:val="AERtextitalic"/>
        </w:rPr>
        <w:t>Access arrangement: JGN‘s NSW gas distribution networks 1 July 2010–30 June 2015</w:t>
      </w:r>
      <w:r w:rsidRPr="005F49EE">
        <w:rPr>
          <w:rStyle w:val="AERtextitalic"/>
        </w:rPr>
        <w:t>, Amended by order of the Australian Competition Tribunal</w:t>
      </w:r>
      <w:r w:rsidRPr="00040608">
        <w:t xml:space="preserve">, June 2011; JGN, </w:t>
      </w:r>
      <w:r w:rsidRPr="00040608">
        <w:rPr>
          <w:rStyle w:val="AERtextitalic"/>
        </w:rPr>
        <w:t>Submission on draft decision–Attachment M: updated appendix 7.15–rate of return forecast model</w:t>
      </w:r>
      <w:r w:rsidRPr="00040608">
        <w:t>, 27</w:t>
      </w:r>
      <w:r w:rsidR="005F49EE">
        <w:t> </w:t>
      </w:r>
      <w:r w:rsidRPr="00040608">
        <w:t>March 2015.</w:t>
      </w:r>
    </w:p>
    <w:p w:rsidR="00040608" w:rsidRPr="00040608" w:rsidRDefault="00040608" w:rsidP="00040608">
      <w:pPr>
        <w:pStyle w:val="AERtablesource"/>
      </w:pPr>
      <w:r w:rsidRPr="00040608">
        <w:t>a</w:t>
      </w:r>
      <w:r w:rsidRPr="00040608">
        <w:tab/>
        <w:t xml:space="preserve">JGN's revised proposal contained indicative values based on an indicative averaging periods for risk free rate and return on debt. On 27 March 2015, JGN provided submissions that updated its approach using values derived from its proposed averaging periods. JGN's proposed rate of 7.06 per cent is from JGN, </w:t>
      </w:r>
      <w:r w:rsidRPr="00040608">
        <w:rPr>
          <w:rStyle w:val="AERtextitalic"/>
        </w:rPr>
        <w:t>Submission on draft decision–Attachment M: updated appendix 7.15–rate of return forecast model</w:t>
      </w:r>
      <w:r w:rsidRPr="00040608">
        <w:t>, 27 March 2015.</w:t>
      </w:r>
    </w:p>
    <w:p w:rsidR="00376056" w:rsidRPr="00112BF8" w:rsidRDefault="00376056" w:rsidP="00376056">
      <w:pPr>
        <w:pStyle w:val="HeadingBoldBlue"/>
        <w:numPr>
          <w:ilvl w:val="0"/>
          <w:numId w:val="25"/>
        </w:numPr>
      </w:pPr>
      <w:bookmarkStart w:id="100" w:name="_Toc414891204"/>
      <w:bookmarkStart w:id="101" w:name="_Toc414977539"/>
      <w:bookmarkStart w:id="102" w:name="_Toc417978957"/>
      <w:bookmarkStart w:id="103" w:name="_Toc419895025"/>
      <w:bookmarkStart w:id="104" w:name="_Toc417978958"/>
      <w:bookmarkStart w:id="105" w:name="_Toc419895026"/>
      <w:r w:rsidRPr="00112BF8">
        <w:t>Our approach</w:t>
      </w:r>
      <w:bookmarkEnd w:id="100"/>
      <w:bookmarkEnd w:id="101"/>
      <w:bookmarkEnd w:id="102"/>
      <w:bookmarkEnd w:id="103"/>
    </w:p>
    <w:p w:rsidR="00376056" w:rsidRDefault="00376056" w:rsidP="00376056">
      <w:pPr>
        <w:numPr>
          <w:ilvl w:val="0"/>
          <w:numId w:val="25"/>
        </w:numPr>
      </w:pPr>
      <w:r w:rsidRPr="009F741F">
        <w:t>All N</w:t>
      </w:r>
      <w:r>
        <w:t>G</w:t>
      </w:r>
      <w:r w:rsidRPr="009F741F">
        <w:t xml:space="preserve">R requirements relating to the rate of return are subject to the overall rate of return achieving the </w:t>
      </w:r>
      <w:r>
        <w:t>allowed rate of return objective.</w:t>
      </w:r>
      <w:r w:rsidR="009052E2">
        <w:rPr>
          <w:rStyle w:val="FootnoteReference"/>
        </w:rPr>
        <w:footnoteReference w:id="66"/>
      </w:r>
      <w:r w:rsidRPr="009F741F">
        <w:t xml:space="preserve"> The N</w:t>
      </w:r>
      <w:r>
        <w:t>G</w:t>
      </w:r>
      <w:r w:rsidRPr="009F741F">
        <w:t xml:space="preserve">R recognise that there </w:t>
      </w:r>
      <w:r>
        <w:t xml:space="preserve">are </w:t>
      </w:r>
      <w:r w:rsidRPr="009F741F">
        <w:t xml:space="preserve">several plausible answers that could achieve the </w:t>
      </w:r>
      <w:r>
        <w:t>allowed rate of return objective</w:t>
      </w:r>
      <w:r w:rsidRPr="009F741F">
        <w:t xml:space="preserve">. </w:t>
      </w:r>
      <w:r>
        <w:t>We agree with stakeholders that predictability of outcomes in rate of return issues would materially benefit the long term interests of consumers.</w:t>
      </w:r>
      <w:r>
        <w:rPr>
          <w:rStyle w:val="FootnoteReference"/>
        </w:rPr>
        <w:footnoteReference w:id="67"/>
      </w:r>
      <w:r>
        <w:t xml:space="preserve"> </w:t>
      </w:r>
    </w:p>
    <w:p w:rsidR="00376056" w:rsidRPr="004C7E93" w:rsidRDefault="00376056" w:rsidP="00376056">
      <w:pPr>
        <w:rPr>
          <w:rStyle w:val="AERbody"/>
        </w:rPr>
      </w:pPr>
      <w:r w:rsidRPr="004C7E93">
        <w:rPr>
          <w:rStyle w:val="AERbody"/>
        </w:rPr>
        <w:t>We developed our approach prior to the submission of this regulatory proposal</w:t>
      </w:r>
      <w:r>
        <w:rPr>
          <w:rStyle w:val="AERbody"/>
        </w:rPr>
        <w:t>.</w:t>
      </w:r>
      <w:r w:rsidRPr="004C7E93">
        <w:rPr>
          <w:rStyle w:val="AERbody"/>
        </w:rPr>
        <w:t xml:space="preserve"> </w:t>
      </w:r>
      <w:r>
        <w:rPr>
          <w:rStyle w:val="AERbody"/>
        </w:rPr>
        <w:t>A</w:t>
      </w:r>
      <w:r w:rsidRPr="004C7E93">
        <w:rPr>
          <w:rStyle w:val="AERbody"/>
        </w:rPr>
        <w:t>s required by the rate of return framework</w:t>
      </w:r>
      <w:r>
        <w:rPr>
          <w:rStyle w:val="AERbody"/>
        </w:rPr>
        <w:t>,</w:t>
      </w:r>
      <w:r w:rsidRPr="004C7E93">
        <w:rPr>
          <w:rStyle w:val="AERbody"/>
        </w:rPr>
        <w:t xml:space="preserve"> </w:t>
      </w:r>
      <w:r>
        <w:rPr>
          <w:rStyle w:val="AERbody"/>
        </w:rPr>
        <w:t>i</w:t>
      </w:r>
      <w:r w:rsidRPr="004C7E93">
        <w:rPr>
          <w:rStyle w:val="AERbody"/>
        </w:rPr>
        <w:t>n December 2013 we published the Guideline.</w:t>
      </w:r>
      <w:r w:rsidR="009052E2">
        <w:rPr>
          <w:rStyle w:val="FootnoteReference"/>
        </w:rPr>
        <w:footnoteReference w:id="68"/>
      </w:r>
      <w:r w:rsidRPr="004C7E93">
        <w:rPr>
          <w:rStyle w:val="AERsuperscript"/>
        </w:rPr>
        <w:t xml:space="preserve"> </w:t>
      </w:r>
      <w:r w:rsidRPr="004C7E93">
        <w:rPr>
          <w:rStyle w:val="AERbody"/>
        </w:rPr>
        <w:t>The Guideline was designed through extensive consultation and in</w:t>
      </w:r>
      <w:r>
        <w:rPr>
          <w:rStyle w:val="AERbody"/>
        </w:rPr>
        <w:t>volved</w:t>
      </w:r>
      <w:r w:rsidRPr="004C7E93">
        <w:rPr>
          <w:rStyle w:val="AERbody"/>
        </w:rPr>
        <w:t xml:space="preserve"> effective and inclusive </w:t>
      </w:r>
      <w:r>
        <w:rPr>
          <w:rStyle w:val="AERbody"/>
        </w:rPr>
        <w:t xml:space="preserve">service provider and </w:t>
      </w:r>
      <w:r w:rsidRPr="004C7E93">
        <w:rPr>
          <w:rStyle w:val="AERbody"/>
        </w:rPr>
        <w:t>consumer participation.</w:t>
      </w:r>
      <w:r w:rsidR="009052E2">
        <w:rPr>
          <w:rStyle w:val="FootnoteReference"/>
        </w:rPr>
        <w:footnoteReference w:id="69"/>
      </w:r>
      <w:r>
        <w:rPr>
          <w:rStyle w:val="AERsuperscript"/>
        </w:rPr>
        <w:t xml:space="preserve"> </w:t>
      </w:r>
    </w:p>
    <w:p w:rsidR="00376056" w:rsidRPr="00376056" w:rsidRDefault="00376056" w:rsidP="00D459C7">
      <w:r>
        <w:t xml:space="preserve">We </w:t>
      </w:r>
      <w:r w:rsidRPr="00376056">
        <w:t>have considered JGN's departures from the Guideline. However, we are not satisfied that JGN's proposed departures would satisfy, or would better satisfy, the rate of return objective, compared with the approach we proposed in the Guideline.</w:t>
      </w:r>
    </w:p>
    <w:p w:rsidR="00F97562" w:rsidRPr="007A5F3C" w:rsidRDefault="00F97562" w:rsidP="00F97562">
      <w:pPr>
        <w:pStyle w:val="HeadingBoldBlue"/>
      </w:pPr>
      <w:r w:rsidRPr="007A5F3C">
        <w:t>Return on debt</w:t>
      </w:r>
      <w:bookmarkEnd w:id="104"/>
      <w:bookmarkEnd w:id="105"/>
    </w:p>
    <w:p w:rsidR="00F97562" w:rsidRDefault="00F97562" w:rsidP="00F97562">
      <w:pPr>
        <w:rPr>
          <w:rStyle w:val="AERtexthighlight"/>
        </w:rPr>
      </w:pPr>
      <w:r w:rsidRPr="007A5F3C">
        <w:t xml:space="preserve">Previously, we used an </w:t>
      </w:r>
      <w:r w:rsidR="00EA6DB6">
        <w:t>'</w:t>
      </w:r>
      <w:r w:rsidRPr="007A5F3C">
        <w:t>on-the-day</w:t>
      </w:r>
      <w:r w:rsidR="00EA6DB6">
        <w:t>'</w:t>
      </w:r>
      <w:r w:rsidRPr="007A5F3C">
        <w:t xml:space="preserve"> approach to determine the return on debt.</w:t>
      </w:r>
      <w:r w:rsidRPr="00E97C9A">
        <w:rPr>
          <w:rStyle w:val="AERsuperscript"/>
        </w:rPr>
        <w:t xml:space="preserve"> </w:t>
      </w:r>
      <w:r w:rsidRPr="007A5F3C">
        <w:t xml:space="preserve">This is the approach that </w:t>
      </w:r>
      <w:r w:rsidR="00EA6DB6">
        <w:t>several</w:t>
      </w:r>
      <w:r w:rsidR="00EA6DB6" w:rsidRPr="007A5F3C">
        <w:t xml:space="preserve"> </w:t>
      </w:r>
      <w:r w:rsidRPr="007A5F3C">
        <w:t xml:space="preserve">Australian regulators continue to use. However, </w:t>
      </w:r>
      <w:r w:rsidR="00EA6DB6">
        <w:t xml:space="preserve">in </w:t>
      </w:r>
      <w:r w:rsidRPr="007A5F3C">
        <w:t>this decision</w:t>
      </w:r>
      <w:r w:rsidR="00EA6DB6">
        <w:t xml:space="preserve"> and consistent with the Guideline</w:t>
      </w:r>
      <w:r w:rsidRPr="007A5F3C">
        <w:t xml:space="preserve">, we </w:t>
      </w:r>
      <w:r w:rsidR="00F81556">
        <w:t xml:space="preserve">have </w:t>
      </w:r>
      <w:r w:rsidR="00EA6DB6">
        <w:t xml:space="preserve">decided to </w:t>
      </w:r>
      <w:r w:rsidRPr="007A5F3C">
        <w:t xml:space="preserve">gradually transition from </w:t>
      </w:r>
      <w:r w:rsidR="003C0903">
        <w:t>the</w:t>
      </w:r>
      <w:r w:rsidRPr="007A5F3C">
        <w:t xml:space="preserve"> on-the-day approach to </w:t>
      </w:r>
      <w:r w:rsidR="003C0903">
        <w:t>the</w:t>
      </w:r>
      <w:r w:rsidRPr="007A5F3C">
        <w:t xml:space="preserve"> trailing average approach</w:t>
      </w:r>
      <w:r w:rsidR="003C0903">
        <w:t xml:space="preserve"> to estimate the return on debt</w:t>
      </w:r>
      <w:r w:rsidRPr="007A5F3C">
        <w:t>.</w:t>
      </w:r>
      <w:r w:rsidRPr="00E97C9A">
        <w:rPr>
          <w:rStyle w:val="AERsuperscript"/>
        </w:rPr>
        <w:footnoteReference w:id="70"/>
      </w:r>
      <w:r w:rsidRPr="007A5F3C">
        <w:t xml:space="preserve"> </w:t>
      </w:r>
      <w:r w:rsidRPr="001F7D31">
        <w:t xml:space="preserve">This is consistent with the </w:t>
      </w:r>
      <w:r>
        <w:t xml:space="preserve">approach </w:t>
      </w:r>
      <w:r w:rsidRPr="001F7D31">
        <w:t>most stakeholders</w:t>
      </w:r>
      <w:r>
        <w:t xml:space="preserve"> supported during the Guideline development process</w:t>
      </w:r>
      <w:r w:rsidRPr="001F7D31">
        <w:t xml:space="preserve">. </w:t>
      </w:r>
    </w:p>
    <w:p w:rsidR="00F97562" w:rsidRDefault="00F97562" w:rsidP="00F97562">
      <w:pPr>
        <w:rPr>
          <w:rStyle w:val="AERbody"/>
        </w:rPr>
      </w:pPr>
      <w:r>
        <w:rPr>
          <w:rStyle w:val="AERbody"/>
        </w:rPr>
        <w:t xml:space="preserve">In its </w:t>
      </w:r>
      <w:r w:rsidR="003C0903">
        <w:rPr>
          <w:rStyle w:val="AERbody"/>
        </w:rPr>
        <w:t>(initial) access arrangement</w:t>
      </w:r>
      <w:r w:rsidR="00FA584E">
        <w:rPr>
          <w:rStyle w:val="AERbody"/>
        </w:rPr>
        <w:t xml:space="preserve"> </w:t>
      </w:r>
      <w:r>
        <w:rPr>
          <w:rStyle w:val="AERbody"/>
        </w:rPr>
        <w:t xml:space="preserve">proposal, </w:t>
      </w:r>
      <w:r w:rsidR="00FA584E">
        <w:rPr>
          <w:rStyle w:val="AERbody"/>
        </w:rPr>
        <w:t xml:space="preserve">JGN </w:t>
      </w:r>
      <w:r w:rsidR="00F81556">
        <w:rPr>
          <w:rStyle w:val="AERbody"/>
        </w:rPr>
        <w:t>agreed with our Guideline</w:t>
      </w:r>
      <w:r>
        <w:rPr>
          <w:rStyle w:val="AERbody"/>
        </w:rPr>
        <w:t xml:space="preserve"> approach to transition from the on–the–day to trailing average approach.  However, in its </w:t>
      </w:r>
      <w:r w:rsidR="00FA584E">
        <w:rPr>
          <w:rStyle w:val="AERbody"/>
        </w:rPr>
        <w:t xml:space="preserve">revised proposal JGN </w:t>
      </w:r>
      <w:r>
        <w:rPr>
          <w:rStyle w:val="AERbody"/>
        </w:rPr>
        <w:t>depart</w:t>
      </w:r>
      <w:r w:rsidR="00F81556">
        <w:rPr>
          <w:rStyle w:val="AERbody"/>
        </w:rPr>
        <w:t>ed</w:t>
      </w:r>
      <w:r>
        <w:rPr>
          <w:rStyle w:val="AERbody"/>
        </w:rPr>
        <w:t xml:space="preserve"> from its </w:t>
      </w:r>
      <w:r w:rsidR="003C0903">
        <w:rPr>
          <w:rStyle w:val="AERbody"/>
        </w:rPr>
        <w:t>initial</w:t>
      </w:r>
      <w:r w:rsidR="00DF14D6">
        <w:rPr>
          <w:rStyle w:val="AERbody"/>
        </w:rPr>
        <w:t xml:space="preserve"> </w:t>
      </w:r>
      <w:r>
        <w:rPr>
          <w:rStyle w:val="AERbody"/>
        </w:rPr>
        <w:t>proposal</w:t>
      </w:r>
      <w:r w:rsidR="00DF14D6">
        <w:rPr>
          <w:rStyle w:val="AERbody"/>
        </w:rPr>
        <w:t xml:space="preserve"> and</w:t>
      </w:r>
      <w:r>
        <w:rPr>
          <w:rStyle w:val="AERbody"/>
        </w:rPr>
        <w:t xml:space="preserve"> submitted that we should use a different</w:t>
      </w:r>
      <w:r w:rsidR="00F81556">
        <w:rPr>
          <w:rStyle w:val="AERbody"/>
        </w:rPr>
        <w:t>, hybrid,</w:t>
      </w:r>
      <w:r>
        <w:rPr>
          <w:rStyle w:val="AERbody"/>
        </w:rPr>
        <w:t xml:space="preserve"> transition approach. We do not agree with </w:t>
      </w:r>
      <w:r w:rsidR="00FA584E">
        <w:rPr>
          <w:rStyle w:val="AERbody"/>
        </w:rPr>
        <w:t xml:space="preserve">JGN's </w:t>
      </w:r>
      <w:r>
        <w:rPr>
          <w:rStyle w:val="AERbody"/>
        </w:rPr>
        <w:t>new position in its</w:t>
      </w:r>
      <w:r w:rsidR="00DF14D6">
        <w:rPr>
          <w:rStyle w:val="AERbody"/>
        </w:rPr>
        <w:t xml:space="preserve"> </w:t>
      </w:r>
      <w:r w:rsidR="00B906E0">
        <w:rPr>
          <w:rStyle w:val="AERbody"/>
        </w:rPr>
        <w:t>revised proposal</w:t>
      </w:r>
      <w:r>
        <w:rPr>
          <w:rStyle w:val="AERbody"/>
        </w:rPr>
        <w:t>.</w:t>
      </w:r>
      <w:r w:rsidR="00F81556">
        <w:rPr>
          <w:rStyle w:val="AERbody"/>
        </w:rPr>
        <w:t xml:space="preserve"> Our reasons are set out in attachment 3.</w:t>
      </w:r>
    </w:p>
    <w:p w:rsidR="00F97562" w:rsidRPr="00B11A03" w:rsidRDefault="00F97562">
      <w:pPr>
        <w:rPr>
          <w:rStyle w:val="AERbody"/>
        </w:rPr>
      </w:pPr>
      <w:r w:rsidRPr="00B11A03">
        <w:rPr>
          <w:rStyle w:val="AERbody"/>
        </w:rPr>
        <w:t xml:space="preserve">We are satisfied that a gradual, forward looking transition to a trailing average approach results in a return on debt that contributes to the rate of return objective. In particular, this approach takes account of any impacts on a </w:t>
      </w:r>
      <w:r w:rsidRPr="0056459D">
        <w:t>benchmark efficient entity</w:t>
      </w:r>
      <w:r w:rsidRPr="00B11A03">
        <w:rPr>
          <w:rStyle w:val="AERbody"/>
        </w:rPr>
        <w:t xml:space="preserve"> or customers that might arise as a result of changing the methodology that is used to estimate the return on debt. This includes impacts that occur across </w:t>
      </w:r>
      <w:r w:rsidR="003C0903">
        <w:rPr>
          <w:rStyle w:val="AERbody"/>
        </w:rPr>
        <w:t>access arrangement</w:t>
      </w:r>
      <w:r w:rsidRPr="00B11A03">
        <w:rPr>
          <w:rStyle w:val="AERbody"/>
        </w:rPr>
        <w:t xml:space="preserve"> periods. In particular, a gradual, forward looking transition:</w:t>
      </w:r>
    </w:p>
    <w:p w:rsidR="00F97562" w:rsidRPr="00FD1BD1" w:rsidRDefault="00F97562" w:rsidP="00F97562">
      <w:pPr>
        <w:pStyle w:val="AERbulletlistfirststyle"/>
      </w:pPr>
      <w:r>
        <w:t>h</w:t>
      </w:r>
      <w:r w:rsidRPr="00FD1BD1">
        <w:t>as regard to the impact on a benchmark efficient entity of changing the method for estimating the return on debt</w:t>
      </w:r>
    </w:p>
    <w:p w:rsidR="00F97562" w:rsidRPr="00FD1BD1" w:rsidRDefault="00F97562" w:rsidP="00F97562">
      <w:pPr>
        <w:pStyle w:val="AERbulletlistfirststyle"/>
      </w:pPr>
      <w:r>
        <w:t>p</w:t>
      </w:r>
      <w:r w:rsidRPr="00FD1BD1">
        <w:t>romotes efficient financing practices consistent with the principles of incentive based regulation</w:t>
      </w:r>
    </w:p>
    <w:p w:rsidR="00F97562" w:rsidRPr="00FD1BD1" w:rsidRDefault="00F97562" w:rsidP="00F97562">
      <w:pPr>
        <w:pStyle w:val="AERbulletlistfirststyle"/>
      </w:pPr>
      <w:r>
        <w:t>p</w:t>
      </w:r>
      <w:r w:rsidRPr="00FD1BD1">
        <w:t>rovides a benchmark efficient entity with a reasonable opportunity to recover at least the efficient financing costs it incurs in financing its assets. And as a result it:</w:t>
      </w:r>
    </w:p>
    <w:p w:rsidR="00F97562" w:rsidRPr="00FD1BD1" w:rsidRDefault="00F97562" w:rsidP="00F97562">
      <w:pPr>
        <w:pStyle w:val="AERbulletlistsecondstyle"/>
      </w:pPr>
      <w:r>
        <w:t>p</w:t>
      </w:r>
      <w:r w:rsidRPr="00FD1BD1">
        <w:t>romotes efficient investment, and</w:t>
      </w:r>
    </w:p>
    <w:p w:rsidR="00F97562" w:rsidRPr="00FD1BD1" w:rsidRDefault="00F97562" w:rsidP="00F97562">
      <w:pPr>
        <w:pStyle w:val="AERbulletlistsecondstyle"/>
      </w:pPr>
      <w:r>
        <w:t>p</w:t>
      </w:r>
      <w:r w:rsidRPr="00FD1BD1">
        <w:t>romotes consumers not paying more than necessary for a safe and reliable network</w:t>
      </w:r>
    </w:p>
    <w:p w:rsidR="00F97562" w:rsidRPr="00FD1BD1" w:rsidRDefault="00F97562" w:rsidP="00F97562">
      <w:pPr>
        <w:pStyle w:val="AERbulletlistfirststyle"/>
      </w:pPr>
      <w:r>
        <w:t>a</w:t>
      </w:r>
      <w:r w:rsidRPr="00FD1BD1">
        <w:t>voids a potential bias in regulatory decision making that can arise from choosing an approach that uses historical data after the results of that historical data are already known</w:t>
      </w:r>
    </w:p>
    <w:p w:rsidR="00F97562" w:rsidRDefault="00F97562" w:rsidP="00F97562">
      <w:pPr>
        <w:pStyle w:val="AERbulletlistfirststyle"/>
        <w:rPr>
          <w:rStyle w:val="AERbody"/>
        </w:rPr>
      </w:pPr>
      <w:r>
        <w:t>a</w:t>
      </w:r>
      <w:r w:rsidRPr="00FD1BD1">
        <w:t>voids practical problems with the use of historical data as estimating the return on debt during the global financial crisis is a difficult and contentious exercise</w:t>
      </w:r>
      <w:r w:rsidRPr="00E97C9A">
        <w:rPr>
          <w:rStyle w:val="AERbody"/>
        </w:rPr>
        <w:t>.</w:t>
      </w:r>
    </w:p>
    <w:p w:rsidR="00F97562" w:rsidRPr="007A5F3C" w:rsidRDefault="00F97562" w:rsidP="00F97562">
      <w:pPr>
        <w:pStyle w:val="HeadingBoldBlue"/>
      </w:pPr>
      <w:bookmarkStart w:id="106" w:name="_Toc417978959"/>
      <w:bookmarkStart w:id="107" w:name="_Toc419895027"/>
      <w:r w:rsidRPr="007A5F3C">
        <w:t>Return on equity</w:t>
      </w:r>
      <w:bookmarkEnd w:id="106"/>
      <w:bookmarkEnd w:id="107"/>
    </w:p>
    <w:p w:rsidR="00F97562" w:rsidRPr="00E97C9A" w:rsidRDefault="00F97562" w:rsidP="00F97562">
      <w:pPr>
        <w:numPr>
          <w:ilvl w:val="0"/>
          <w:numId w:val="25"/>
        </w:numPr>
        <w:rPr>
          <w:rStyle w:val="AERbody"/>
        </w:rPr>
      </w:pPr>
      <w:r>
        <w:rPr>
          <w:rStyle w:val="AERbody"/>
        </w:rPr>
        <w:t>We consider</w:t>
      </w:r>
      <w:r w:rsidRPr="00E97C9A">
        <w:rPr>
          <w:rStyle w:val="AERbody"/>
        </w:rPr>
        <w:t xml:space="preserve"> that the Sharpe–Lintner </w:t>
      </w:r>
      <w:r w:rsidR="00DA4FB9">
        <w:rPr>
          <w:rStyle w:val="AERbody"/>
        </w:rPr>
        <w:t>C</w:t>
      </w:r>
      <w:r w:rsidR="00DA4FB9" w:rsidRPr="00E97C9A">
        <w:rPr>
          <w:rStyle w:val="AERbody"/>
        </w:rPr>
        <w:t xml:space="preserve">apital </w:t>
      </w:r>
      <w:r w:rsidR="00DA4FB9">
        <w:rPr>
          <w:rStyle w:val="AERbody"/>
        </w:rPr>
        <w:t>A</w:t>
      </w:r>
      <w:r w:rsidR="00DA4FB9" w:rsidRPr="00E97C9A">
        <w:rPr>
          <w:rStyle w:val="AERbody"/>
        </w:rPr>
        <w:t xml:space="preserve">sset </w:t>
      </w:r>
      <w:r w:rsidR="00DA4FB9">
        <w:rPr>
          <w:rStyle w:val="AERbody"/>
        </w:rPr>
        <w:t>P</w:t>
      </w:r>
      <w:r w:rsidR="00DA4FB9" w:rsidRPr="00E97C9A">
        <w:rPr>
          <w:rStyle w:val="AERbody"/>
        </w:rPr>
        <w:t xml:space="preserve">ricing </w:t>
      </w:r>
      <w:r w:rsidR="00DA4FB9">
        <w:rPr>
          <w:rStyle w:val="AERbody"/>
        </w:rPr>
        <w:t>M</w:t>
      </w:r>
      <w:r w:rsidR="00DA4FB9" w:rsidRPr="00E97C9A">
        <w:rPr>
          <w:rStyle w:val="AERbody"/>
        </w:rPr>
        <w:t xml:space="preserve">odel </w:t>
      </w:r>
      <w:r w:rsidRPr="00E97C9A">
        <w:rPr>
          <w:rStyle w:val="AERbody"/>
        </w:rPr>
        <w:t>(SLCAPM) is the superior financial model in terms of estimating expected equity returns. We have therefore adopted this model as our foundation model. The expert evidence before us also indicates that</w:t>
      </w:r>
      <w:r>
        <w:rPr>
          <w:rStyle w:val="AERbody"/>
        </w:rPr>
        <w:t>, on balance,</w:t>
      </w:r>
      <w:r w:rsidRPr="00E97C9A">
        <w:rPr>
          <w:rStyle w:val="AERbody"/>
        </w:rPr>
        <w:t xml:space="preserve"> employing our foundation model approach and using the SLCAPM as the foundation model is expected to lead to a rate of return that achieves the </w:t>
      </w:r>
      <w:r>
        <w:rPr>
          <w:rStyle w:val="AERbody"/>
        </w:rPr>
        <w:t>allowed rate of return objective</w:t>
      </w:r>
      <w:r w:rsidRPr="00E97C9A">
        <w:rPr>
          <w:rStyle w:val="AERbody"/>
        </w:rPr>
        <w:t>.</w:t>
      </w:r>
      <w:r w:rsidRPr="00E97C9A">
        <w:rPr>
          <w:rStyle w:val="AERsuperscript"/>
        </w:rPr>
        <w:footnoteReference w:id="71"/>
      </w:r>
      <w:r w:rsidR="00410D4D">
        <w:rPr>
          <w:rStyle w:val="AERbody"/>
        </w:rPr>
        <w:t xml:space="preserve"> JGN proposed a weighted average of four models — SLCAPM, Black CAPM, Fama French Model (FFM), and Dividend Growth Model (DGM). Our view is that the returns on equity ranges derived from these models do not necessarily assist us to perform our task.</w:t>
      </w:r>
    </w:p>
    <w:p w:rsidR="00410D4D" w:rsidRDefault="00F97562" w:rsidP="00410D4D">
      <w:pPr>
        <w:numPr>
          <w:ilvl w:val="0"/>
          <w:numId w:val="25"/>
        </w:numPr>
        <w:rPr>
          <w:rStyle w:val="AERbody"/>
        </w:rPr>
      </w:pPr>
      <w:r w:rsidRPr="00E97C9A">
        <w:rPr>
          <w:rStyle w:val="AERbody"/>
        </w:rPr>
        <w:t>We also evaluated our point estimate from the SLCAPM against other information. The critical allowance for an equity investor in a benchmark efficient entity is the allowed equity risk premium (ERP) over and above the estimated risk free rate at a</w:t>
      </w:r>
      <w:r>
        <w:rPr>
          <w:rStyle w:val="AERbody"/>
        </w:rPr>
        <w:t>ny</w:t>
      </w:r>
      <w:r w:rsidRPr="00E97C9A">
        <w:rPr>
          <w:rStyle w:val="AERbody"/>
        </w:rPr>
        <w:t xml:space="preserve"> given time.</w:t>
      </w:r>
      <w:r w:rsidRPr="00E97C9A">
        <w:rPr>
          <w:rStyle w:val="AERsuperscript"/>
        </w:rPr>
        <w:footnoteReference w:id="72"/>
      </w:r>
      <w:r w:rsidRPr="00E97C9A">
        <w:rPr>
          <w:rStyle w:val="AERsuperscript"/>
        </w:rPr>
        <w:t xml:space="preserve"> </w:t>
      </w:r>
      <w:r w:rsidRPr="00E97C9A">
        <w:rPr>
          <w:rStyle w:val="AERbody"/>
        </w:rPr>
        <w:t>Our estimate of the ERP for the be</w:t>
      </w:r>
      <w:r>
        <w:rPr>
          <w:rStyle w:val="AERbody"/>
        </w:rPr>
        <w:t xml:space="preserve">nchmark efficient entity </w:t>
      </w:r>
      <w:r w:rsidRPr="00FB1645">
        <w:rPr>
          <w:rStyle w:val="AERbody"/>
        </w:rPr>
        <w:t xml:space="preserve">is </w:t>
      </w:r>
      <w:r w:rsidRPr="004C5A48">
        <w:rPr>
          <w:rStyle w:val="AERbody"/>
        </w:rPr>
        <w:t>4.55 per</w:t>
      </w:r>
      <w:r w:rsidRPr="00E97C9A">
        <w:rPr>
          <w:rStyle w:val="AERbody"/>
        </w:rPr>
        <w:t xml:space="preserve"> cent</w:t>
      </w:r>
      <w:r>
        <w:rPr>
          <w:rStyle w:val="AERbody"/>
        </w:rPr>
        <w:t xml:space="preserve"> which </w:t>
      </w:r>
      <w:r w:rsidRPr="00E97C9A">
        <w:rPr>
          <w:rStyle w:val="AERbody"/>
        </w:rPr>
        <w:t>is within the range of other information available to inform the return on equity</w:t>
      </w:r>
      <w:r w:rsidR="00DF14D6">
        <w:rPr>
          <w:rStyle w:val="AERbody"/>
        </w:rPr>
        <w:t xml:space="preserve"> (see </w:t>
      </w:r>
      <w:r w:rsidR="00DF14D6">
        <w:rPr>
          <w:rStyle w:val="AERbody"/>
        </w:rPr>
        <w:fldChar w:fldCharType="begin"/>
      </w:r>
      <w:r w:rsidR="00DF14D6">
        <w:rPr>
          <w:rStyle w:val="AERbody"/>
        </w:rPr>
        <w:instrText xml:space="preserve"> REF _Ref418686527 \h </w:instrText>
      </w:r>
      <w:r w:rsidR="00DF14D6">
        <w:rPr>
          <w:rStyle w:val="AERbody"/>
        </w:rPr>
      </w:r>
      <w:r w:rsidR="00DF14D6">
        <w:rPr>
          <w:rStyle w:val="AERbody"/>
        </w:rPr>
        <w:fldChar w:fldCharType="separate"/>
      </w:r>
      <w:r w:rsidR="00707DDE">
        <w:t>f</w:t>
      </w:r>
      <w:r w:rsidR="009037A2">
        <w:t xml:space="preserve">igure </w:t>
      </w:r>
      <w:r w:rsidR="009037A2">
        <w:rPr>
          <w:noProof/>
        </w:rPr>
        <w:t>7</w:t>
      </w:r>
      <w:r w:rsidR="00DF14D6">
        <w:rPr>
          <w:rStyle w:val="AERbody"/>
        </w:rPr>
        <w:fldChar w:fldCharType="end"/>
      </w:r>
      <w:r w:rsidR="00DF14D6">
        <w:rPr>
          <w:rStyle w:val="AERbody"/>
        </w:rPr>
        <w:t>)</w:t>
      </w:r>
      <w:r w:rsidRPr="00E97C9A">
        <w:rPr>
          <w:rStyle w:val="AERbody"/>
        </w:rPr>
        <w:t xml:space="preserve">. </w:t>
      </w:r>
      <w:r>
        <w:rPr>
          <w:rStyle w:val="AERbody"/>
        </w:rPr>
        <w:t>A detailed explanation of our findings on return on equity and this figure can be found attachment 3.</w:t>
      </w:r>
      <w:r w:rsidR="00410D4D" w:rsidRPr="00410D4D">
        <w:rPr>
          <w:rStyle w:val="AERbody"/>
        </w:rPr>
        <w:t xml:space="preserve"> </w:t>
      </w:r>
    </w:p>
    <w:p w:rsidR="00410D4D" w:rsidRPr="00E97C9A" w:rsidRDefault="00410D4D" w:rsidP="00410D4D">
      <w:pPr>
        <w:numPr>
          <w:ilvl w:val="0"/>
          <w:numId w:val="25"/>
        </w:numPr>
        <w:rPr>
          <w:rStyle w:val="AERbody"/>
        </w:rPr>
      </w:pPr>
      <w:r>
        <w:rPr>
          <w:rStyle w:val="AERbody"/>
        </w:rPr>
        <w:t>O</w:t>
      </w:r>
      <w:r w:rsidRPr="00E97C9A">
        <w:rPr>
          <w:rStyle w:val="AERbody"/>
        </w:rPr>
        <w:t>ur approach to determining the return on equity</w:t>
      </w:r>
      <w:r>
        <w:rPr>
          <w:rStyle w:val="AERbody"/>
        </w:rPr>
        <w:t xml:space="preserve"> </w:t>
      </w:r>
      <w:r w:rsidRPr="00E97C9A">
        <w:rPr>
          <w:rStyle w:val="AERbody"/>
        </w:rPr>
        <w:t>involves considering all of the information before us, through a six step process as set out in the Guideline (foundation model approach). This includes detailed consideration of a number of financial models for determining the return on equity.</w:t>
      </w:r>
      <w:r w:rsidRPr="004C7E93">
        <w:rPr>
          <w:rStyle w:val="AERsuperscript"/>
        </w:rPr>
        <w:footnoteReference w:id="73"/>
      </w:r>
      <w:r w:rsidRPr="00311A67">
        <w:t xml:space="preserve"> </w:t>
      </w:r>
      <w:r w:rsidRPr="00E97C9A" w:rsidDel="00D66369">
        <w:rPr>
          <w:rStyle w:val="AERsuperscript"/>
        </w:rPr>
        <w:t xml:space="preserve"> </w:t>
      </w:r>
      <w:r w:rsidRPr="00E97C9A">
        <w:rPr>
          <w:rStyle w:val="AERbody"/>
        </w:rPr>
        <w:t xml:space="preserve">Considering all of this material helps inform a return on equity estimate that contributes to the achievement of the </w:t>
      </w:r>
      <w:r>
        <w:rPr>
          <w:rStyle w:val="AERbody"/>
        </w:rPr>
        <w:t>allowed rate of return objective</w:t>
      </w:r>
      <w:r w:rsidRPr="00E97C9A">
        <w:rPr>
          <w:rStyle w:val="AERbody"/>
        </w:rPr>
        <w:t>.</w:t>
      </w:r>
    </w:p>
    <w:p w:rsidR="00F97562" w:rsidRDefault="00F97562" w:rsidP="00F97562">
      <w:pPr>
        <w:numPr>
          <w:ilvl w:val="0"/>
          <w:numId w:val="25"/>
        </w:numPr>
      </w:pPr>
    </w:p>
    <w:p w:rsidR="00F97562" w:rsidRDefault="00DF14D6" w:rsidP="00DF14D6">
      <w:pPr>
        <w:pStyle w:val="Caption"/>
      </w:pPr>
      <w:r>
        <w:t xml:space="preserve"> </w:t>
      </w:r>
      <w:bookmarkStart w:id="108" w:name="_Ref418686527"/>
      <w:r>
        <w:t xml:space="preserve">Figure </w:t>
      </w:r>
      <w:fldSimple w:instr=" SEQ Figure \* ARABIC ">
        <w:r w:rsidR="009037A2">
          <w:rPr>
            <w:noProof/>
          </w:rPr>
          <w:t>7</w:t>
        </w:r>
      </w:fldSimple>
      <w:bookmarkEnd w:id="108"/>
      <w:r>
        <w:tab/>
      </w:r>
      <w:r w:rsidR="00EE08B1">
        <w:t xml:space="preserve"> </w:t>
      </w:r>
      <w:r w:rsidR="00F97562" w:rsidRPr="0071767D">
        <w:t>Other information comparisons with the AER allowed ERP</w:t>
      </w:r>
    </w:p>
    <w:p w:rsidR="00F97562" w:rsidRPr="00112BF8" w:rsidRDefault="00513BFE" w:rsidP="00513BFE">
      <w:pPr>
        <w:numPr>
          <w:ilvl w:val="0"/>
          <w:numId w:val="25"/>
        </w:numPr>
      </w:pPr>
      <w:r w:rsidRPr="00513BFE">
        <w:rPr>
          <w:noProof/>
          <w:lang w:eastAsia="en-AU"/>
        </w:rPr>
        <w:drawing>
          <wp:inline distT="0" distB="0" distL="0" distR="0" wp14:anchorId="049E2DFC" wp14:editId="4356D651">
            <wp:extent cx="5382895" cy="4286160"/>
            <wp:effectExtent l="0" t="0" r="825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4286160"/>
                    </a:xfrm>
                    <a:prstGeom prst="rect">
                      <a:avLst/>
                    </a:prstGeom>
                    <a:noFill/>
                    <a:ln>
                      <a:noFill/>
                    </a:ln>
                  </pic:spPr>
                </pic:pic>
              </a:graphicData>
            </a:graphic>
          </wp:inline>
        </w:drawing>
      </w:r>
    </w:p>
    <w:p w:rsidR="00F97562" w:rsidRDefault="00F97562" w:rsidP="00F97562">
      <w:pPr>
        <w:pStyle w:val="AERtablesource"/>
      </w:pPr>
      <w:r w:rsidRPr="00112BF8">
        <w:t>Source:</w:t>
      </w:r>
      <w:r w:rsidRPr="00112BF8">
        <w:tab/>
        <w:t>AER analysis and various submissions and reports.</w:t>
      </w:r>
    </w:p>
    <w:p w:rsidR="00F97562" w:rsidRPr="009A1687" w:rsidRDefault="00F97562" w:rsidP="00513BFE">
      <w:pPr>
        <w:pStyle w:val="AERtablesource"/>
      </w:pPr>
      <w:r w:rsidRPr="009A1687">
        <w:t xml:space="preserve">Notes: </w:t>
      </w:r>
      <w:r w:rsidRPr="009A1687">
        <w:tab/>
        <w:t>The AER founda</w:t>
      </w:r>
      <w:r>
        <w:t>tion model ERP</w:t>
      </w:r>
      <w:r w:rsidRPr="009A1687">
        <w:t xml:space="preserve"> range uses the range and point estimate for MRP and equity beta as set out in step three. The calculation of the Wright approach, debt premium, brokers, and other regulators ranges is outlined in </w:t>
      </w:r>
      <w:r w:rsidR="00513BFE">
        <w:t xml:space="preserve">the appendices to </w:t>
      </w:r>
      <w:r w:rsidR="00513BFE" w:rsidRPr="00513BFE">
        <w:t>Attachment 3 (</w:t>
      </w:r>
      <w:r w:rsidRPr="0056459D">
        <w:rPr>
          <w:rStyle w:val="AERtexthighlight"/>
          <w:shd w:val="clear" w:color="auto" w:fill="auto"/>
        </w:rPr>
        <w:t>Appendices E.1, E.2, E.4, and E.5 respectively</w:t>
      </w:r>
      <w:r w:rsidR="00513BFE" w:rsidRPr="00646EE5">
        <w:rPr>
          <w:rStyle w:val="AERtexthighlight"/>
          <w:shd w:val="clear" w:color="auto" w:fill="auto"/>
        </w:rPr>
        <w:t>)</w:t>
      </w:r>
      <w:r w:rsidRPr="00513BFE">
        <w:t>.</w:t>
      </w:r>
    </w:p>
    <w:p w:rsidR="00F97562" w:rsidRPr="009A1687" w:rsidRDefault="00F97562" w:rsidP="00F97562">
      <w:pPr>
        <w:pStyle w:val="AERtablesource"/>
      </w:pPr>
      <w:r w:rsidRPr="009A1687">
        <w:tab/>
        <w:t xml:space="preserve">Grant Samuel's final WACC range included an uplift above an initial SLCAPM range. The lower bound of the Grant Samuel range shown above excludes the uplift while the upper bound includes the uplift and is on the basis that it is an uplift to return on equity. Grant Samuel </w:t>
      </w:r>
      <w:r w:rsidR="002B16E6">
        <w:t>did not make an</w:t>
      </w:r>
      <w:r w:rsidRPr="009A1687">
        <w:t xml:space="preserve"> explicit allowance for the impact of Australia's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w:t>
      </w:r>
      <w:r w:rsidRPr="004C7E93">
        <w:rPr>
          <w:rStyle w:val="AERsuperscript"/>
        </w:rPr>
        <w:footnoteReference w:id="74"/>
      </w:r>
      <w:r w:rsidRPr="004C7E93">
        <w:rPr>
          <w:rStyle w:val="AERsuperscript"/>
        </w:rPr>
        <w:t xml:space="preserve"> </w:t>
      </w:r>
    </w:p>
    <w:p w:rsidR="00F97562" w:rsidRPr="009A1687" w:rsidRDefault="00F97562" w:rsidP="00F97562">
      <w:pPr>
        <w:pStyle w:val="AERtablesource"/>
      </w:pPr>
      <w:r w:rsidRPr="009A1687">
        <w:tab/>
        <w:t>The service provider proposals range is based on the proposals from businesses for which we are making final or preliminary decisions in April–</w:t>
      </w:r>
      <w:r w:rsidR="009052E2">
        <w:t>June</w:t>
      </w:r>
      <w:r w:rsidRPr="009A1687">
        <w:t xml:space="preserve"> 2015.</w:t>
      </w:r>
      <w:r w:rsidRPr="004C7E93">
        <w:rPr>
          <w:rStyle w:val="AERsuperscript"/>
        </w:rPr>
        <w:footnoteReference w:id="75"/>
      </w:r>
      <w:r w:rsidRPr="004C7E93">
        <w:rPr>
          <w:rStyle w:val="AERsuperscript"/>
        </w:rPr>
        <w:t xml:space="preserve"> </w:t>
      </w:r>
      <w:r w:rsidRPr="009A1687">
        <w:t xml:space="preserve">Equity risk premiums were calculated as the proposed return on equity less the risk free rate utilised in the service provider's proposed estimation approach. </w:t>
      </w:r>
    </w:p>
    <w:p w:rsidR="00F97562" w:rsidRPr="00112BF8" w:rsidRDefault="00F97562" w:rsidP="00F97562">
      <w:pPr>
        <w:pStyle w:val="AERtablesource"/>
      </w:pPr>
      <w:r w:rsidRPr="009A1687">
        <w:tab/>
        <w:t>The CCP/stakeholder range is based on submissions made (not including service providers) in relation to our final or preliminary decisions in April–</w:t>
      </w:r>
      <w:r w:rsidR="009052E2">
        <w:t>June</w:t>
      </w:r>
      <w:r w:rsidRPr="009A1687">
        <w:t xml:space="preserve"> 2015. The lower bound is based on the Energy Users Association of Australia submission on NSW distributors' revised proposals. The upper bound is based on Origin’s submission on ActewAGL’s proposal.</w:t>
      </w:r>
      <w:r w:rsidRPr="004C7E93">
        <w:rPr>
          <w:rStyle w:val="AERsuperscript"/>
        </w:rPr>
        <w:footnoteReference w:id="76"/>
      </w:r>
    </w:p>
    <w:p w:rsidR="008E433E" w:rsidRDefault="008E433E" w:rsidP="008E433E">
      <w:pPr>
        <w:pStyle w:val="Heading2"/>
      </w:pPr>
      <w:bookmarkStart w:id="109" w:name="_Toc404437132"/>
      <w:bookmarkStart w:id="110" w:name="_Toc411428035"/>
      <w:bookmarkStart w:id="111" w:name="_Toc417993963"/>
      <w:bookmarkStart w:id="112" w:name="_Ref419801863"/>
      <w:bookmarkStart w:id="113" w:name="_Toc419895028"/>
      <w:bookmarkStart w:id="114" w:name="_Toc390936283"/>
      <w:r>
        <w:t>Value of imputation credits (gamma)</w:t>
      </w:r>
      <w:bookmarkEnd w:id="109"/>
      <w:bookmarkEnd w:id="110"/>
      <w:bookmarkEnd w:id="111"/>
      <w:bookmarkEnd w:id="112"/>
      <w:bookmarkEnd w:id="113"/>
    </w:p>
    <w:p w:rsidR="001601DF" w:rsidRDefault="001601DF" w:rsidP="001601DF">
      <w:pPr>
        <w:numPr>
          <w:ilvl w:val="0"/>
          <w:numId w:val="25"/>
        </w:numPr>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77"/>
      </w:r>
      <w:r>
        <w:t xml:space="preserve"> These are received after company income tax is paid, but before personal income tax is paid.</w:t>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1601DF" w:rsidRDefault="001601DF" w:rsidP="001601DF">
      <w:pPr>
        <w:numPr>
          <w:ilvl w:val="0"/>
          <w:numId w:val="25"/>
        </w:numPr>
      </w:pPr>
      <w:r>
        <w:t xml:space="preserve">In determining a service provider's revenue allowance, the </w:t>
      </w:r>
      <w:r w:rsidR="002E1635">
        <w:t>NG</w:t>
      </w:r>
      <w:r>
        <w:t>R requires that the estimated cost of corporate income tax be estimated in accordance with a formula that reduces the estimated cost by the 'value of imputation credits'.</w:t>
      </w:r>
      <w:r>
        <w:rPr>
          <w:rStyle w:val="FootnoteReference"/>
        </w:rPr>
        <w:footnoteReference w:id="78"/>
      </w:r>
      <w:r>
        <w:t xml:space="preserve"> That is, the revenue allowance granted to a service provider to cover its expected tax liability must be reduced in a manner consistent with the value of imputation credits.</w:t>
      </w:r>
    </w:p>
    <w:p w:rsidR="001601DF" w:rsidRDefault="001601DF" w:rsidP="001601DF">
      <w:pPr>
        <w:numPr>
          <w:ilvl w:val="0"/>
          <w:numId w:val="25"/>
        </w:numPr>
      </w:pPr>
      <w:r>
        <w:t xml:space="preserve">We do not accept </w:t>
      </w:r>
      <w:r w:rsidR="008B3FAE">
        <w:t>JGN's</w:t>
      </w:r>
      <w:r>
        <w:t xml:space="preserve"> proposed value of imputation credits of 0.25. Instead, we adopt a value of imputation credits of 0.4.</w:t>
      </w:r>
    </w:p>
    <w:p w:rsidR="001601DF" w:rsidRPr="003C2542" w:rsidRDefault="001601DF" w:rsidP="001601DF">
      <w:pPr>
        <w:numPr>
          <w:ilvl w:val="0"/>
          <w:numId w:val="25"/>
        </w:numPr>
      </w:pPr>
      <w:r w:rsidRPr="00FC0F63">
        <w:t xml:space="preserve">Although we have broadly maintained the approach to determining the value of imputation credits set out in the </w:t>
      </w:r>
      <w:r>
        <w:t>Rate of Return Guideline</w:t>
      </w:r>
      <w:r w:rsidRPr="00FC0F63">
        <w:t xml:space="preserve">, we have re-examined the relevant evidence and estimates. This re-examination, and new advice and evidence considered for the first time since the </w:t>
      </w:r>
      <w:r>
        <w:t>Guideline</w:t>
      </w:r>
      <w:r w:rsidRPr="00FC0F63">
        <w:t xml:space="preserve">, led us to depart from the value of 0.5 in the </w:t>
      </w:r>
      <w:r>
        <w:t>Guideline</w:t>
      </w:r>
      <w:r w:rsidRPr="00FC0F63">
        <w:t xml:space="preserve">. Most notably, our updated consideration of the relevant advice and evidence led us to generally lower estimates of the ‘utilisation rate’ </w:t>
      </w:r>
      <w:r>
        <w:t>from</w:t>
      </w:r>
      <w:r w:rsidRPr="00FC0F63">
        <w:t xml:space="preserve"> the 0.7 estimate in the </w:t>
      </w:r>
      <w:r>
        <w:t>Guideline</w:t>
      </w:r>
      <w:r w:rsidRPr="00FC0F63">
        <w:t>.</w:t>
      </w:r>
      <w:r>
        <w:t xml:space="preserve"> Estimating the value of imputation credits is a complex and imprecise task. There is no consensus among experts on the appropriate value or estimation techniques to use. </w:t>
      </w:r>
    </w:p>
    <w:p w:rsidR="001601DF" w:rsidRDefault="001601DF" w:rsidP="001601DF">
      <w:pPr>
        <w:numPr>
          <w:ilvl w:val="0"/>
          <w:numId w:val="25"/>
        </w:numPr>
      </w:pPr>
      <w:r>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 This includes:</w:t>
      </w:r>
    </w:p>
    <w:p w:rsidR="001601DF" w:rsidRPr="00B10087" w:rsidRDefault="001601DF" w:rsidP="001601DF">
      <w:pPr>
        <w:pStyle w:val="AERbulletlistfirststyle"/>
      </w:pPr>
      <w:r w:rsidRPr="00222B8F">
        <w:t>The proportion of Australian equity held by domestic investors (the 'equity ownership approach')</w:t>
      </w:r>
      <w:r w:rsidRPr="00B10087">
        <w:t>.</w:t>
      </w:r>
    </w:p>
    <w:p w:rsidR="001601DF" w:rsidRPr="00B10087" w:rsidRDefault="001601DF" w:rsidP="001601DF">
      <w:pPr>
        <w:pStyle w:val="AERbulletlistfirststyle"/>
      </w:pPr>
      <w:r w:rsidRPr="00222B8F">
        <w:t xml:space="preserve">The reported value of credits utilised by investors in </w:t>
      </w:r>
      <w:r w:rsidRPr="00B10087">
        <w:t>Australian Taxation Office (ATO) statistics ('tax statistics').</w:t>
      </w:r>
    </w:p>
    <w:p w:rsidR="001601DF" w:rsidRPr="00B10087" w:rsidRDefault="001601DF" w:rsidP="001601DF">
      <w:pPr>
        <w:pStyle w:val="AERbulletlistfirststyle"/>
      </w:pPr>
      <w:r>
        <w:t>Implied market value studies—there is no separate market in which imputation credits are traded, and therefore there is no observable market price for imputation credits.</w:t>
      </w:r>
    </w:p>
    <w:p w:rsidR="001601DF" w:rsidRPr="009229E7" w:rsidRDefault="001601DF" w:rsidP="001601DF">
      <w:pPr>
        <w:numPr>
          <w:ilvl w:val="0"/>
          <w:numId w:val="25"/>
        </w:numPr>
      </w:pPr>
      <w:r>
        <w:t>In estimating the utilisation rate, we place:</w:t>
      </w:r>
    </w:p>
    <w:p w:rsidR="001601DF" w:rsidRPr="00B10087" w:rsidRDefault="001601DF" w:rsidP="001601DF">
      <w:pPr>
        <w:pStyle w:val="AERbulletlistfirststyle"/>
      </w:pPr>
      <w:r>
        <w:t>significant reliance upon the equity ownership approach</w:t>
      </w:r>
    </w:p>
    <w:p w:rsidR="001601DF" w:rsidRPr="00B10087" w:rsidRDefault="001601DF" w:rsidP="001601DF">
      <w:pPr>
        <w:pStyle w:val="AERbulletlistfirststyle"/>
      </w:pPr>
      <w:r>
        <w:t>some reliance upon tax statistics, and</w:t>
      </w:r>
    </w:p>
    <w:p w:rsidR="001601DF" w:rsidRPr="00B10087" w:rsidRDefault="001601DF" w:rsidP="001601DF">
      <w:pPr>
        <w:pStyle w:val="AERbulletlistfirststyle"/>
      </w:pPr>
      <w:r>
        <w:t>less reliance upon implied market value studies.</w:t>
      </w:r>
    </w:p>
    <w:p w:rsidR="001601DF" w:rsidRDefault="001601DF" w:rsidP="001601DF">
      <w:pPr>
        <w:numPr>
          <w:ilvl w:val="0"/>
          <w:numId w:val="25"/>
        </w:numPr>
      </w:pPr>
      <w:r>
        <w:t>Overall, the evidence on the distribution rate and the utilisation rate suggests that a reasonable estimate of the value of imputation credits is within the range 0.3 to 0.5. From within this range, we choose a value of 0.4. This is because:</w:t>
      </w:r>
    </w:p>
    <w:p w:rsidR="001601DF" w:rsidRPr="00730504" w:rsidRDefault="001601DF" w:rsidP="001601DF">
      <w:pPr>
        <w:pStyle w:val="AERbulletlistfirststyle"/>
      </w:pPr>
      <w:r>
        <w:t>The equity ownership approach, on which we have placed the most reliance, suggests a value between 0.40 and 0.47 when applie</w:t>
      </w:r>
      <w:r w:rsidR="008B3FAE">
        <w:t>d to all equity and between 0.29 and 0.42</w:t>
      </w:r>
      <w:r>
        <w:t xml:space="preserve"> when applied to only listed equity. Therefore, t</w:t>
      </w:r>
      <w:r w:rsidRPr="00730504">
        <w:t xml:space="preserve">he </w:t>
      </w:r>
      <w:r>
        <w:t>overlap</w:t>
      </w:r>
      <w:r w:rsidRPr="00730504">
        <w:t xml:space="preserve"> of </w:t>
      </w:r>
      <w:r>
        <w:t xml:space="preserve">the </w:t>
      </w:r>
      <w:r w:rsidRPr="00730504">
        <w:t>evidence from the equity ownership a</w:t>
      </w:r>
      <w:r>
        <w:t>pproach sugges</w:t>
      </w:r>
      <w:r w:rsidR="008B3FAE">
        <w:t>ts a value between 0.40 and 0.42</w:t>
      </w:r>
      <w:r w:rsidRPr="00730504">
        <w:t>.</w:t>
      </w:r>
    </w:p>
    <w:p w:rsidR="001601DF" w:rsidRDefault="001601DF" w:rsidP="001601DF">
      <w:pPr>
        <w:pStyle w:val="AERbulletlistfirststyle"/>
      </w:pPr>
      <w:r>
        <w:t>The evidence from tax statistics suggests</w:t>
      </w:r>
      <w:r w:rsidRPr="00730504">
        <w:t xml:space="preserve"> the value could be lower than 0.4. Therefore</w:t>
      </w:r>
      <w:r>
        <w:t>, with regard to this evidence and the less reliance we place on it,</w:t>
      </w:r>
      <w:r w:rsidRPr="00730504">
        <w:t xml:space="preserve"> we choose a value at the lower e</w:t>
      </w:r>
      <w:r>
        <w:t>nd of the range suggested by the overlap</w:t>
      </w:r>
      <w:r w:rsidRPr="00730504">
        <w:t xml:space="preserve"> of evidence from the equity ownership approach (that is, 0.4).</w:t>
      </w:r>
    </w:p>
    <w:p w:rsidR="002D0E9A" w:rsidRPr="003314A3" w:rsidRDefault="001601DF" w:rsidP="008B3FAE">
      <w:pPr>
        <w:pStyle w:val="AERbulletlistfirststyle"/>
      </w:pPr>
      <w:r w:rsidRPr="00884B75">
        <w:t xml:space="preserve">An estimate of 0.4 is reasonable in light of both higher and lower estimates from implied market value studies and the lesser degree of reliance we place on </w:t>
      </w:r>
      <w:r>
        <w:t>these studies</w:t>
      </w:r>
      <w:r w:rsidRPr="00884B75">
        <w:t xml:space="preserve">. </w:t>
      </w:r>
      <w:r>
        <w:t>T</w:t>
      </w:r>
      <w:r w:rsidRPr="00884B75">
        <w:t xml:space="preserve">he service providers submitted evidence to support placing more reliance on SFG’s dividend drop off study relative to other implied market value studies. </w:t>
      </w:r>
      <w:r>
        <w:t>However</w:t>
      </w:r>
      <w:r w:rsidRPr="00884B75">
        <w:t>, we consider that neither the difference from 0.4 of the estimate from this study (0</w:t>
      </w:r>
      <w:r w:rsidR="000366DB">
        <w:t>.31</w:t>
      </w:r>
      <w:r w:rsidRPr="00884B75">
        <w:t xml:space="preserve">) nor </w:t>
      </w:r>
      <w:r>
        <w:t>any</w:t>
      </w:r>
      <w:r w:rsidRPr="00884B75">
        <w:t xml:space="preserve"> increased reliance </w:t>
      </w:r>
      <w:r>
        <w:t>we might place on it</w:t>
      </w:r>
      <w:r w:rsidRPr="00884B75">
        <w:t xml:space="preserve"> </w:t>
      </w:r>
      <w:r>
        <w:t xml:space="preserve">relative to other implied market value studies </w:t>
      </w:r>
      <w:r w:rsidRPr="00884B75">
        <w:t>are sufficient to warrant an estimate lower than 0.4.</w:t>
      </w:r>
    </w:p>
    <w:p w:rsidR="008E433E" w:rsidRPr="009F4C42" w:rsidRDefault="008E433E" w:rsidP="008E433E">
      <w:pPr>
        <w:pStyle w:val="Heading2"/>
      </w:pPr>
      <w:bookmarkStart w:id="115" w:name="_Toc404437135"/>
      <w:bookmarkStart w:id="116" w:name="_Toc411428038"/>
      <w:bookmarkStart w:id="117" w:name="_Toc417993964"/>
      <w:bookmarkStart w:id="118" w:name="_Toc419895029"/>
      <w:r w:rsidRPr="009F4C42">
        <w:t>Regulatory depreciation</w:t>
      </w:r>
      <w:bookmarkEnd w:id="114"/>
      <w:r>
        <w:t xml:space="preserve"> (return of capital)</w:t>
      </w:r>
      <w:bookmarkEnd w:id="115"/>
      <w:bookmarkEnd w:id="116"/>
      <w:bookmarkEnd w:id="117"/>
      <w:bookmarkEnd w:id="118"/>
    </w:p>
    <w:p w:rsidR="002D3587" w:rsidRDefault="002D3587" w:rsidP="002D3587">
      <w:pPr>
        <w:numPr>
          <w:ilvl w:val="0"/>
          <w:numId w:val="25"/>
        </w:numPr>
      </w:pPr>
      <w:r>
        <w:t>We use r</w:t>
      </w:r>
      <w:r w:rsidRPr="00CA36EA">
        <w:t>egulatory depreciation</w:t>
      </w:r>
      <w:r>
        <w:t xml:space="preserve"> </w:t>
      </w:r>
      <w:r w:rsidRPr="00CA36EA">
        <w:t>to model the nominal asset values over the 201</w:t>
      </w:r>
      <w:r>
        <w:t>5</w:t>
      </w:r>
      <w:r w:rsidRPr="00CA36EA">
        <w:t>–</w:t>
      </w:r>
      <w:r>
        <w:t>20</w:t>
      </w:r>
      <w:r w:rsidRPr="00CA36EA">
        <w:t xml:space="preserve"> access arrangement period and </w:t>
      </w:r>
      <w:r>
        <w:t xml:space="preserve">set </w:t>
      </w:r>
      <w:r w:rsidRPr="00CA36EA">
        <w:t xml:space="preserve">the depreciation </w:t>
      </w:r>
      <w:r>
        <w:t>building block</w:t>
      </w:r>
      <w:r w:rsidRPr="00CA36EA">
        <w:t xml:space="preserve"> </w:t>
      </w:r>
      <w:r>
        <w:t xml:space="preserve">as part of calculating the </w:t>
      </w:r>
      <w:r w:rsidRPr="00CA36EA">
        <w:t>total revenue</w:t>
      </w:r>
      <w:r>
        <w:t xml:space="preserve"> for JGN</w:t>
      </w:r>
      <w:r w:rsidRPr="00CA36EA">
        <w:t xml:space="preserve">. </w:t>
      </w:r>
      <w:r>
        <w:t>The regulatory depreciation allowance is the net total</w:t>
      </w:r>
      <w:r w:rsidRPr="003A447F">
        <w:t xml:space="preserve"> of the </w:t>
      </w:r>
      <w:r>
        <w:t xml:space="preserve">real </w:t>
      </w:r>
      <w:r w:rsidRPr="003A447F">
        <w:t>straight-line depreciation (negative) and the annual inflation indexation (positive) on the projected capital base</w:t>
      </w:r>
      <w:r>
        <w:t xml:space="preserve">. </w:t>
      </w:r>
    </w:p>
    <w:p w:rsidR="002D3587" w:rsidRDefault="002D3587" w:rsidP="002D3587">
      <w:pPr>
        <w:numPr>
          <w:ilvl w:val="0"/>
          <w:numId w:val="25"/>
        </w:numPr>
      </w:pPr>
      <w:r>
        <w:t>We are required to make a decision on JGN's proposed:</w:t>
      </w:r>
      <w:r>
        <w:rPr>
          <w:rStyle w:val="FootnoteReference"/>
        </w:rPr>
        <w:footnoteReference w:id="79"/>
      </w:r>
    </w:p>
    <w:p w:rsidR="002D3587" w:rsidRPr="002D3587" w:rsidRDefault="002D3587" w:rsidP="002D3587">
      <w:pPr>
        <w:pStyle w:val="AERbulletlistfirststyle"/>
      </w:pPr>
      <w:r>
        <w:t xml:space="preserve">depreciation </w:t>
      </w:r>
      <w:r w:rsidRPr="002D3587">
        <w:t>on the projected capital base</w:t>
      </w:r>
    </w:p>
    <w:p w:rsidR="002D3587" w:rsidRPr="002D3587" w:rsidRDefault="002D3587" w:rsidP="002D3587">
      <w:pPr>
        <w:pStyle w:val="AERbulletlistfirststyle"/>
      </w:pPr>
      <w:r>
        <w:t>depreciation schedule</w:t>
      </w:r>
      <w:r w:rsidRPr="002D3587">
        <w:t>, which sets out the basis on which the depreciation is calculated.</w:t>
      </w:r>
    </w:p>
    <w:p w:rsidR="003F1C26" w:rsidRDefault="00050448" w:rsidP="006D6DB4">
      <w:pPr>
        <w:numPr>
          <w:ilvl w:val="0"/>
          <w:numId w:val="25"/>
        </w:numPr>
      </w:pPr>
      <w:r>
        <w:rPr>
          <w:rStyle w:val="AERbody"/>
        </w:rPr>
        <w:t xml:space="preserve">We do not approve JGN's </w:t>
      </w:r>
      <w:r w:rsidRPr="00480731">
        <w:rPr>
          <w:rStyle w:val="AERbody"/>
        </w:rPr>
        <w:t>revised proposed regulatory depreciation</w:t>
      </w:r>
      <w:r w:rsidR="00A14652">
        <w:rPr>
          <w:rStyle w:val="AERbody"/>
        </w:rPr>
        <w:t xml:space="preserve"> of $434.4 million ($nominal)</w:t>
      </w:r>
      <w:r w:rsidRPr="00480731">
        <w:rPr>
          <w:rStyle w:val="AERbody"/>
        </w:rPr>
        <w:t xml:space="preserve">. </w:t>
      </w:r>
      <w:r w:rsidR="002D3587" w:rsidRPr="00480731">
        <w:rPr>
          <w:rStyle w:val="AERbody"/>
        </w:rPr>
        <w:t>Our final decision is to determine an amount of $</w:t>
      </w:r>
      <w:r w:rsidR="00AE3B90" w:rsidRPr="00480731">
        <w:rPr>
          <w:rStyle w:val="AERbody"/>
        </w:rPr>
        <w:t>42</w:t>
      </w:r>
      <w:r w:rsidR="00DD30DE">
        <w:rPr>
          <w:rStyle w:val="AERbody"/>
        </w:rPr>
        <w:t>8</w:t>
      </w:r>
      <w:r w:rsidR="00AE3B90" w:rsidRPr="00480731">
        <w:rPr>
          <w:rStyle w:val="AERbody"/>
        </w:rPr>
        <w:t>.</w:t>
      </w:r>
      <w:r w:rsidR="00DD30DE">
        <w:rPr>
          <w:rStyle w:val="AERbody"/>
        </w:rPr>
        <w:t>9</w:t>
      </w:r>
      <w:r w:rsidR="002D3587" w:rsidRPr="00480731">
        <w:rPr>
          <w:rStyle w:val="AERbody"/>
        </w:rPr>
        <w:t> million ($nominal) over the 2015–20 access arrangement period</w:t>
      </w:r>
      <w:r w:rsidR="00AC2A00">
        <w:rPr>
          <w:rStyle w:val="AERbody"/>
        </w:rPr>
        <w:t>,</w:t>
      </w:r>
      <w:r w:rsidR="002D3587" w:rsidRPr="00480731">
        <w:rPr>
          <w:rStyle w:val="AERbody"/>
        </w:rPr>
        <w:t xml:space="preserve"> as set out in </w:t>
      </w:r>
      <w:r w:rsidR="003F1C26">
        <w:rPr>
          <w:rStyle w:val="AERbody"/>
        </w:rPr>
        <w:fldChar w:fldCharType="begin"/>
      </w:r>
      <w:r w:rsidR="003F1C26">
        <w:rPr>
          <w:rStyle w:val="AERbody"/>
        </w:rPr>
        <w:instrText xml:space="preserve"> REF _Ref419800765 \h </w:instrText>
      </w:r>
      <w:r w:rsidR="003F1C26">
        <w:rPr>
          <w:rStyle w:val="AERbody"/>
        </w:rPr>
      </w:r>
      <w:r w:rsidR="003F1C26">
        <w:rPr>
          <w:rStyle w:val="AERbody"/>
        </w:rPr>
        <w:fldChar w:fldCharType="separate"/>
      </w:r>
      <w:r w:rsidR="006409EE">
        <w:t>t</w:t>
      </w:r>
      <w:r w:rsidR="009037A2">
        <w:t xml:space="preserve">able </w:t>
      </w:r>
      <w:r w:rsidR="009037A2">
        <w:rPr>
          <w:noProof/>
        </w:rPr>
        <w:t>9</w:t>
      </w:r>
      <w:r w:rsidR="003F1C26">
        <w:rPr>
          <w:rStyle w:val="AERbody"/>
        </w:rPr>
        <w:fldChar w:fldCharType="end"/>
      </w:r>
      <w:r w:rsidR="00AC2A00">
        <w:rPr>
          <w:rStyle w:val="AERbody"/>
        </w:rPr>
        <w:t xml:space="preserve">. This </w:t>
      </w:r>
      <w:r w:rsidR="003F1C26" w:rsidRPr="00A5164F">
        <w:rPr>
          <w:rStyle w:val="AERbody"/>
        </w:rPr>
        <w:t xml:space="preserve">is </w:t>
      </w:r>
      <w:r w:rsidR="003F1C26" w:rsidRPr="009037A2">
        <w:rPr>
          <w:rStyle w:val="AERbody"/>
        </w:rPr>
        <w:t>$</w:t>
      </w:r>
      <w:r w:rsidR="00DD30DE">
        <w:rPr>
          <w:rStyle w:val="AERbody"/>
        </w:rPr>
        <w:t>5</w:t>
      </w:r>
      <w:r w:rsidR="003F1C26" w:rsidRPr="009037A2">
        <w:rPr>
          <w:rStyle w:val="AERbody"/>
        </w:rPr>
        <w:t>.</w:t>
      </w:r>
      <w:r w:rsidR="00DD30DE">
        <w:rPr>
          <w:rStyle w:val="AERbody"/>
        </w:rPr>
        <w:t>5</w:t>
      </w:r>
      <w:r w:rsidR="006F27E1">
        <w:rPr>
          <w:rStyle w:val="AERbody"/>
        </w:rPr>
        <w:t> </w:t>
      </w:r>
      <w:r w:rsidR="003F1C26" w:rsidRPr="00A5164F">
        <w:rPr>
          <w:rStyle w:val="AERbody"/>
        </w:rPr>
        <w:t xml:space="preserve">million </w:t>
      </w:r>
      <w:r w:rsidR="00A14652">
        <w:rPr>
          <w:rStyle w:val="AERbody"/>
        </w:rPr>
        <w:t>($</w:t>
      </w:r>
      <w:r w:rsidR="003F1C26">
        <w:rPr>
          <w:rStyle w:val="AERbody"/>
        </w:rPr>
        <w:t xml:space="preserve">nominal) </w:t>
      </w:r>
      <w:r w:rsidR="003F1C26" w:rsidRPr="00A5164F">
        <w:rPr>
          <w:rStyle w:val="AERbody"/>
        </w:rPr>
        <w:t xml:space="preserve">less than JGN's </w:t>
      </w:r>
      <w:r w:rsidR="003F1C26">
        <w:rPr>
          <w:rStyle w:val="AERbody"/>
        </w:rPr>
        <w:t xml:space="preserve">revised </w:t>
      </w:r>
      <w:r w:rsidR="003F1C26" w:rsidRPr="00A5164F">
        <w:rPr>
          <w:rStyle w:val="AERbody"/>
        </w:rPr>
        <w:t>proposal</w:t>
      </w:r>
      <w:r w:rsidR="003F1C26">
        <w:rPr>
          <w:rStyle w:val="AERbody"/>
        </w:rPr>
        <w:t>.</w:t>
      </w:r>
      <w:r w:rsidR="00A14652">
        <w:t xml:space="preserve"> </w:t>
      </w:r>
      <w:r w:rsidR="006F27E1">
        <w:t xml:space="preserve">This is because of our </w:t>
      </w:r>
      <w:r w:rsidR="00770EC8">
        <w:rPr>
          <w:rStyle w:val="AERbody"/>
        </w:rPr>
        <w:t>final decision</w:t>
      </w:r>
      <w:r w:rsidR="00A14652" w:rsidRPr="008F0CF0">
        <w:rPr>
          <w:rStyle w:val="AERbody"/>
        </w:rPr>
        <w:t xml:space="preserve"> on </w:t>
      </w:r>
      <w:r w:rsidR="00A14652">
        <w:rPr>
          <w:rStyle w:val="AERbody"/>
        </w:rPr>
        <w:t>forecast capex</w:t>
      </w:r>
      <w:r w:rsidR="00770EC8">
        <w:rPr>
          <w:rStyle w:val="AERbody"/>
        </w:rPr>
        <w:t xml:space="preserve"> (section</w:t>
      </w:r>
      <w:r w:rsidR="00AC2A00">
        <w:rPr>
          <w:rStyle w:val="AERbody"/>
        </w:rPr>
        <w:t xml:space="preserve"> </w:t>
      </w:r>
      <w:r w:rsidR="00770EC8">
        <w:rPr>
          <w:rStyle w:val="AERbody"/>
        </w:rPr>
        <w:fldChar w:fldCharType="begin"/>
      </w:r>
      <w:r w:rsidR="00770EC8">
        <w:rPr>
          <w:rStyle w:val="AERbody"/>
        </w:rPr>
        <w:instrText xml:space="preserve"> REF _Ref419822242 \r \h </w:instrText>
      </w:r>
      <w:r w:rsidR="00770EC8">
        <w:rPr>
          <w:rStyle w:val="AERbody"/>
        </w:rPr>
      </w:r>
      <w:r w:rsidR="00770EC8">
        <w:rPr>
          <w:rStyle w:val="AERbody"/>
        </w:rPr>
        <w:fldChar w:fldCharType="separate"/>
      </w:r>
      <w:r w:rsidR="009037A2">
        <w:rPr>
          <w:rStyle w:val="AERbody"/>
        </w:rPr>
        <w:t>3.5</w:t>
      </w:r>
      <w:r w:rsidR="00770EC8">
        <w:rPr>
          <w:rStyle w:val="AERbody"/>
        </w:rPr>
        <w:fldChar w:fldCharType="end"/>
      </w:r>
      <w:r w:rsidR="00AC2A00">
        <w:rPr>
          <w:rStyle w:val="AERbody"/>
        </w:rPr>
        <w:t>)</w:t>
      </w:r>
      <w:r w:rsidR="00770EC8">
        <w:rPr>
          <w:rStyle w:val="AERbody"/>
        </w:rPr>
        <w:t>, which is lower than JGN</w:t>
      </w:r>
      <w:r w:rsidR="00B440A0">
        <w:rPr>
          <w:rStyle w:val="AERbody"/>
        </w:rPr>
        <w:t>'s revised</w:t>
      </w:r>
      <w:r w:rsidR="00770EC8">
        <w:rPr>
          <w:rStyle w:val="AERbody"/>
        </w:rPr>
        <w:t xml:space="preserve"> propos</w:t>
      </w:r>
      <w:r w:rsidR="00B440A0">
        <w:rPr>
          <w:rStyle w:val="AERbody"/>
        </w:rPr>
        <w:t>al</w:t>
      </w:r>
      <w:r w:rsidR="00770EC8">
        <w:rPr>
          <w:rStyle w:val="AERbody"/>
        </w:rPr>
        <w:t>,</w:t>
      </w:r>
      <w:r w:rsidR="00B440A0">
        <w:rPr>
          <w:rStyle w:val="AERbody"/>
        </w:rPr>
        <w:t xml:space="preserve"> and</w:t>
      </w:r>
      <w:r w:rsidR="00770EC8">
        <w:rPr>
          <w:rStyle w:val="AERbody"/>
        </w:rPr>
        <w:t xml:space="preserve"> </w:t>
      </w:r>
      <w:r w:rsidR="006F27E1">
        <w:rPr>
          <w:rStyle w:val="AERbody"/>
        </w:rPr>
        <w:t>affects the regulatory depreciation allowance.</w:t>
      </w:r>
    </w:p>
    <w:p w:rsidR="00FB2210" w:rsidRPr="00FB2210" w:rsidRDefault="008A1B15" w:rsidP="008A1B15">
      <w:pPr>
        <w:pStyle w:val="Caption"/>
      </w:pPr>
      <w:bookmarkStart w:id="119" w:name="_Ref419800765"/>
      <w:r>
        <w:t xml:space="preserve">Table </w:t>
      </w:r>
      <w:fldSimple w:instr=" SEQ Table \* ARABIC ">
        <w:r w:rsidR="009037A2">
          <w:rPr>
            <w:noProof/>
          </w:rPr>
          <w:t>9</w:t>
        </w:r>
      </w:fldSimple>
      <w:bookmarkEnd w:id="119"/>
      <w:r w:rsidR="00FB2210">
        <w:tab/>
      </w:r>
      <w:r w:rsidR="00FB2210" w:rsidRPr="00FB2210">
        <w:t>AER's final decision on JGN's regulatory depreciation allowance for the 2015–20 access arrangement period ($million, nominal)</w:t>
      </w:r>
    </w:p>
    <w:tbl>
      <w:tblPr>
        <w:tblStyle w:val="AERtable-numbers"/>
        <w:tblW w:w="8613" w:type="dxa"/>
        <w:tblLayout w:type="fixed"/>
        <w:tblLook w:val="04A0" w:firstRow="1" w:lastRow="0" w:firstColumn="1" w:lastColumn="0" w:noHBand="0" w:noVBand="1"/>
      </w:tblPr>
      <w:tblGrid>
        <w:gridCol w:w="2866"/>
        <w:gridCol w:w="957"/>
        <w:gridCol w:w="958"/>
        <w:gridCol w:w="958"/>
        <w:gridCol w:w="958"/>
        <w:gridCol w:w="958"/>
        <w:gridCol w:w="958"/>
      </w:tblGrid>
      <w:tr w:rsidR="00FB2210" w:rsidRPr="0018218B" w:rsidTr="00AA0EC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hideMark/>
          </w:tcPr>
          <w:p w:rsidR="00FB2210" w:rsidRPr="008F0CF0" w:rsidRDefault="00FB2210" w:rsidP="00FB2210"/>
        </w:tc>
        <w:tc>
          <w:tcPr>
            <w:tcW w:w="957" w:type="dxa"/>
            <w:noWrap/>
            <w:hideMark/>
          </w:tcPr>
          <w:p w:rsidR="00FB2210" w:rsidRPr="00FB2210" w:rsidRDefault="00FB2210" w:rsidP="00FB2210">
            <w:pPr>
              <w:cnfStyle w:val="100000000000" w:firstRow="1" w:lastRow="0" w:firstColumn="0" w:lastColumn="0" w:oddVBand="0" w:evenVBand="0" w:oddHBand="0" w:evenHBand="0" w:firstRowFirstColumn="0" w:firstRowLastColumn="0" w:lastRowFirstColumn="0" w:lastRowLastColumn="0"/>
            </w:pPr>
            <w:r w:rsidRPr="008F0CF0">
              <w:t>2015–16</w:t>
            </w:r>
          </w:p>
        </w:tc>
        <w:tc>
          <w:tcPr>
            <w:tcW w:w="958" w:type="dxa"/>
            <w:noWrap/>
            <w:hideMark/>
          </w:tcPr>
          <w:p w:rsidR="00FB2210" w:rsidRPr="00FB2210" w:rsidRDefault="00FB2210" w:rsidP="00FB2210">
            <w:pPr>
              <w:cnfStyle w:val="100000000000" w:firstRow="1" w:lastRow="0" w:firstColumn="0" w:lastColumn="0" w:oddVBand="0" w:evenVBand="0" w:oddHBand="0" w:evenHBand="0" w:firstRowFirstColumn="0" w:firstRowLastColumn="0" w:lastRowFirstColumn="0" w:lastRowLastColumn="0"/>
            </w:pPr>
            <w:r w:rsidRPr="008F0CF0">
              <w:t>2016–17</w:t>
            </w:r>
          </w:p>
        </w:tc>
        <w:tc>
          <w:tcPr>
            <w:tcW w:w="958" w:type="dxa"/>
            <w:noWrap/>
            <w:hideMark/>
          </w:tcPr>
          <w:p w:rsidR="00FB2210" w:rsidRPr="00FB2210" w:rsidRDefault="00FB2210" w:rsidP="00FB2210">
            <w:pPr>
              <w:cnfStyle w:val="100000000000" w:firstRow="1" w:lastRow="0" w:firstColumn="0" w:lastColumn="0" w:oddVBand="0" w:evenVBand="0" w:oddHBand="0" w:evenHBand="0" w:firstRowFirstColumn="0" w:firstRowLastColumn="0" w:lastRowFirstColumn="0" w:lastRowLastColumn="0"/>
            </w:pPr>
            <w:r w:rsidRPr="008F0CF0">
              <w:t>2017–18</w:t>
            </w:r>
          </w:p>
        </w:tc>
        <w:tc>
          <w:tcPr>
            <w:tcW w:w="958" w:type="dxa"/>
            <w:noWrap/>
            <w:hideMark/>
          </w:tcPr>
          <w:p w:rsidR="00FB2210" w:rsidRPr="00FB2210" w:rsidRDefault="00FB2210" w:rsidP="00FB2210">
            <w:pPr>
              <w:cnfStyle w:val="100000000000" w:firstRow="1" w:lastRow="0" w:firstColumn="0" w:lastColumn="0" w:oddVBand="0" w:evenVBand="0" w:oddHBand="0" w:evenHBand="0" w:firstRowFirstColumn="0" w:firstRowLastColumn="0" w:lastRowFirstColumn="0" w:lastRowLastColumn="0"/>
            </w:pPr>
            <w:r w:rsidRPr="008F0CF0">
              <w:t>2018–19</w:t>
            </w:r>
          </w:p>
        </w:tc>
        <w:tc>
          <w:tcPr>
            <w:tcW w:w="958" w:type="dxa"/>
            <w:noWrap/>
            <w:hideMark/>
          </w:tcPr>
          <w:p w:rsidR="00FB2210" w:rsidRPr="00FB2210" w:rsidRDefault="00FB2210" w:rsidP="00FB2210">
            <w:pPr>
              <w:cnfStyle w:val="100000000000" w:firstRow="1" w:lastRow="0" w:firstColumn="0" w:lastColumn="0" w:oddVBand="0" w:evenVBand="0" w:oddHBand="0" w:evenHBand="0" w:firstRowFirstColumn="0" w:firstRowLastColumn="0" w:lastRowFirstColumn="0" w:lastRowLastColumn="0"/>
            </w:pPr>
            <w:r w:rsidRPr="008F0CF0">
              <w:t>2019–20</w:t>
            </w:r>
          </w:p>
        </w:tc>
        <w:tc>
          <w:tcPr>
            <w:tcW w:w="958" w:type="dxa"/>
          </w:tcPr>
          <w:p w:rsidR="00FB2210" w:rsidRPr="00FB2210" w:rsidRDefault="00FB2210" w:rsidP="00FB2210">
            <w:pPr>
              <w:cnfStyle w:val="100000000000" w:firstRow="1" w:lastRow="0" w:firstColumn="0" w:lastColumn="0" w:oddVBand="0" w:evenVBand="0" w:oddHBand="0" w:evenHBand="0" w:firstRowFirstColumn="0" w:firstRowLastColumn="0" w:lastRowFirstColumn="0" w:lastRowLastColumn="0"/>
            </w:pPr>
            <w:r w:rsidRPr="008F0CF0">
              <w:t>Total</w:t>
            </w:r>
          </w:p>
        </w:tc>
      </w:tr>
      <w:tr w:rsidR="00DD30DE" w:rsidRPr="0018218B" w:rsidTr="00AA0EC9">
        <w:trPr>
          <w:trHeight w:val="300"/>
        </w:trPr>
        <w:tc>
          <w:tcPr>
            <w:cnfStyle w:val="001000000000" w:firstRow="0" w:lastRow="0" w:firstColumn="1" w:lastColumn="0" w:oddVBand="0" w:evenVBand="0" w:oddHBand="0" w:evenHBand="0" w:firstRowFirstColumn="0" w:firstRowLastColumn="0" w:lastRowFirstColumn="0" w:lastRowLastColumn="0"/>
            <w:tcW w:w="2866" w:type="dxa"/>
            <w:noWrap/>
            <w:hideMark/>
          </w:tcPr>
          <w:p w:rsidR="00DD30DE" w:rsidRPr="00DD30DE" w:rsidRDefault="00DD30DE" w:rsidP="00DD30DE">
            <w:r w:rsidRPr="00DD30DE">
              <w:t>Straight-line depreciation</w:t>
            </w:r>
          </w:p>
        </w:tc>
        <w:tc>
          <w:tcPr>
            <w:tcW w:w="957" w:type="dxa"/>
            <w:noWrap/>
          </w:tcPr>
          <w:p w:rsidR="00DD30DE" w:rsidRPr="00DD30DE" w:rsidRDefault="00DD30DE" w:rsidP="00DD30DE">
            <w:pPr>
              <w:cnfStyle w:val="000000000000" w:firstRow="0" w:lastRow="0" w:firstColumn="0" w:lastColumn="0" w:oddVBand="0" w:evenVBand="0" w:oddHBand="0" w:evenHBand="0" w:firstRowFirstColumn="0" w:firstRowLastColumn="0" w:lastRowFirstColumn="0" w:lastRowLastColumn="0"/>
            </w:pPr>
            <w:r w:rsidRPr="00DD30DE">
              <w:t>145.4</w:t>
            </w:r>
          </w:p>
        </w:tc>
        <w:tc>
          <w:tcPr>
            <w:tcW w:w="958" w:type="dxa"/>
            <w:noWrap/>
          </w:tcPr>
          <w:p w:rsidR="00DD30DE" w:rsidRPr="00DD30DE" w:rsidRDefault="00DD30DE" w:rsidP="00DD30DE">
            <w:pPr>
              <w:cnfStyle w:val="000000000000" w:firstRow="0" w:lastRow="0" w:firstColumn="0" w:lastColumn="0" w:oddVBand="0" w:evenVBand="0" w:oddHBand="0" w:evenHBand="0" w:firstRowFirstColumn="0" w:firstRowLastColumn="0" w:lastRowFirstColumn="0" w:lastRowLastColumn="0"/>
            </w:pPr>
            <w:r w:rsidRPr="00DD30DE">
              <w:t>161.5</w:t>
            </w:r>
          </w:p>
        </w:tc>
        <w:tc>
          <w:tcPr>
            <w:tcW w:w="958" w:type="dxa"/>
            <w:noWrap/>
          </w:tcPr>
          <w:p w:rsidR="00DD30DE" w:rsidRPr="00DD30DE" w:rsidRDefault="00DD30DE" w:rsidP="00DD30DE">
            <w:pPr>
              <w:cnfStyle w:val="000000000000" w:firstRow="0" w:lastRow="0" w:firstColumn="0" w:lastColumn="0" w:oddVBand="0" w:evenVBand="0" w:oddHBand="0" w:evenHBand="0" w:firstRowFirstColumn="0" w:firstRowLastColumn="0" w:lastRowFirstColumn="0" w:lastRowLastColumn="0"/>
            </w:pPr>
            <w:r w:rsidRPr="00DD30DE">
              <w:t>178.2</w:t>
            </w:r>
          </w:p>
        </w:tc>
        <w:tc>
          <w:tcPr>
            <w:tcW w:w="958" w:type="dxa"/>
            <w:noWrap/>
          </w:tcPr>
          <w:p w:rsidR="00DD30DE" w:rsidRPr="00DD30DE" w:rsidRDefault="00DD30DE" w:rsidP="00DD30DE">
            <w:pPr>
              <w:cnfStyle w:val="000000000000" w:firstRow="0" w:lastRow="0" w:firstColumn="0" w:lastColumn="0" w:oddVBand="0" w:evenVBand="0" w:oddHBand="0" w:evenHBand="0" w:firstRowFirstColumn="0" w:firstRowLastColumn="0" w:lastRowFirstColumn="0" w:lastRowLastColumn="0"/>
            </w:pPr>
            <w:r w:rsidRPr="00DD30DE">
              <w:t>191.8</w:t>
            </w:r>
          </w:p>
        </w:tc>
        <w:tc>
          <w:tcPr>
            <w:tcW w:w="958" w:type="dxa"/>
            <w:noWrap/>
          </w:tcPr>
          <w:p w:rsidR="00DD30DE" w:rsidRPr="00DD30DE" w:rsidRDefault="00DD30DE" w:rsidP="00DD30DE">
            <w:pPr>
              <w:cnfStyle w:val="000000000000" w:firstRow="0" w:lastRow="0" w:firstColumn="0" w:lastColumn="0" w:oddVBand="0" w:evenVBand="0" w:oddHBand="0" w:evenHBand="0" w:firstRowFirstColumn="0" w:firstRowLastColumn="0" w:lastRowFirstColumn="0" w:lastRowLastColumn="0"/>
            </w:pPr>
            <w:r w:rsidRPr="00DD30DE">
              <w:t>179.0</w:t>
            </w:r>
          </w:p>
        </w:tc>
        <w:tc>
          <w:tcPr>
            <w:tcW w:w="958" w:type="dxa"/>
          </w:tcPr>
          <w:p w:rsidR="00DD30DE" w:rsidRPr="00DD30DE" w:rsidRDefault="00DD30DE" w:rsidP="00DD30DE">
            <w:pPr>
              <w:cnfStyle w:val="000000000000" w:firstRow="0" w:lastRow="0" w:firstColumn="0" w:lastColumn="0" w:oddVBand="0" w:evenVBand="0" w:oddHBand="0" w:evenHBand="0" w:firstRowFirstColumn="0" w:firstRowLastColumn="0" w:lastRowFirstColumn="0" w:lastRowLastColumn="0"/>
            </w:pPr>
            <w:r w:rsidRPr="00DD30DE">
              <w:t>855.9</w:t>
            </w:r>
          </w:p>
        </w:tc>
      </w:tr>
      <w:tr w:rsidR="00DD30DE" w:rsidRPr="0018218B" w:rsidTr="00AA0EC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DD30DE" w:rsidRPr="00DD30DE" w:rsidRDefault="00DD30DE" w:rsidP="00DD30DE">
            <w:r w:rsidRPr="00DD30DE">
              <w:rPr>
                <w:rStyle w:val="AERtextitalic"/>
              </w:rPr>
              <w:t>Less:</w:t>
            </w:r>
            <w:r w:rsidRPr="00DD30DE">
              <w:t xml:space="preserve"> indexation on opening capital base and capex at the first half of the regulatory year</w:t>
            </w:r>
          </w:p>
        </w:tc>
        <w:tc>
          <w:tcPr>
            <w:tcW w:w="957" w:type="dxa"/>
            <w:noWrap/>
          </w:tcPr>
          <w:p w:rsidR="00DD30DE" w:rsidRPr="00DD30DE" w:rsidRDefault="00DD30DE" w:rsidP="00DD30DE">
            <w:pPr>
              <w:cnfStyle w:val="000000010000" w:firstRow="0" w:lastRow="0" w:firstColumn="0" w:lastColumn="0" w:oddVBand="0" w:evenVBand="0" w:oddHBand="0" w:evenHBand="1" w:firstRowFirstColumn="0" w:firstRowLastColumn="0" w:lastRowFirstColumn="0" w:lastRowLastColumn="0"/>
            </w:pPr>
            <w:r w:rsidRPr="00DD30DE">
              <w:t>78.8</w:t>
            </w:r>
          </w:p>
        </w:tc>
        <w:tc>
          <w:tcPr>
            <w:tcW w:w="958" w:type="dxa"/>
            <w:noWrap/>
          </w:tcPr>
          <w:p w:rsidR="00DD30DE" w:rsidRPr="00DD30DE" w:rsidRDefault="00DD30DE" w:rsidP="00DD30DE">
            <w:pPr>
              <w:cnfStyle w:val="000000010000" w:firstRow="0" w:lastRow="0" w:firstColumn="0" w:lastColumn="0" w:oddVBand="0" w:evenVBand="0" w:oddHBand="0" w:evenHBand="1" w:firstRowFirstColumn="0" w:firstRowLastColumn="0" w:lastRowFirstColumn="0" w:lastRowLastColumn="0"/>
            </w:pPr>
            <w:r w:rsidRPr="00DD30DE">
              <w:t>82.5</w:t>
            </w:r>
          </w:p>
        </w:tc>
        <w:tc>
          <w:tcPr>
            <w:tcW w:w="958" w:type="dxa"/>
            <w:noWrap/>
          </w:tcPr>
          <w:p w:rsidR="00DD30DE" w:rsidRPr="00DD30DE" w:rsidRDefault="00DD30DE" w:rsidP="00DD30DE">
            <w:pPr>
              <w:cnfStyle w:val="000000010000" w:firstRow="0" w:lastRow="0" w:firstColumn="0" w:lastColumn="0" w:oddVBand="0" w:evenVBand="0" w:oddHBand="0" w:evenHBand="1" w:firstRowFirstColumn="0" w:firstRowLastColumn="0" w:lastRowFirstColumn="0" w:lastRowLastColumn="0"/>
            </w:pPr>
            <w:r w:rsidRPr="00DD30DE">
              <w:t>85.9</w:t>
            </w:r>
          </w:p>
        </w:tc>
        <w:tc>
          <w:tcPr>
            <w:tcW w:w="958" w:type="dxa"/>
            <w:noWrap/>
          </w:tcPr>
          <w:p w:rsidR="00DD30DE" w:rsidRPr="00DD30DE" w:rsidRDefault="00DD30DE" w:rsidP="00DD30DE">
            <w:pPr>
              <w:cnfStyle w:val="000000010000" w:firstRow="0" w:lastRow="0" w:firstColumn="0" w:lastColumn="0" w:oddVBand="0" w:evenVBand="0" w:oddHBand="0" w:evenHBand="1" w:firstRowFirstColumn="0" w:firstRowLastColumn="0" w:lastRowFirstColumn="0" w:lastRowLastColumn="0"/>
            </w:pPr>
            <w:r w:rsidRPr="00DD30DE">
              <w:t>88.9</w:t>
            </w:r>
          </w:p>
        </w:tc>
        <w:tc>
          <w:tcPr>
            <w:tcW w:w="958" w:type="dxa"/>
            <w:noWrap/>
          </w:tcPr>
          <w:p w:rsidR="00DD30DE" w:rsidRPr="00DD30DE" w:rsidRDefault="00DD30DE" w:rsidP="00DD30DE">
            <w:pPr>
              <w:cnfStyle w:val="000000010000" w:firstRow="0" w:lastRow="0" w:firstColumn="0" w:lastColumn="0" w:oddVBand="0" w:evenVBand="0" w:oddHBand="0" w:evenHBand="1" w:firstRowFirstColumn="0" w:firstRowLastColumn="0" w:lastRowFirstColumn="0" w:lastRowLastColumn="0"/>
            </w:pPr>
            <w:r w:rsidRPr="00DD30DE">
              <w:t>91.0</w:t>
            </w:r>
          </w:p>
        </w:tc>
        <w:tc>
          <w:tcPr>
            <w:tcW w:w="958" w:type="dxa"/>
          </w:tcPr>
          <w:p w:rsidR="00DD30DE" w:rsidRPr="00DD30DE" w:rsidRDefault="00DD30DE" w:rsidP="00DD30DE">
            <w:pPr>
              <w:cnfStyle w:val="000000010000" w:firstRow="0" w:lastRow="0" w:firstColumn="0" w:lastColumn="0" w:oddVBand="0" w:evenVBand="0" w:oddHBand="0" w:evenHBand="1" w:firstRowFirstColumn="0" w:firstRowLastColumn="0" w:lastRowFirstColumn="0" w:lastRowLastColumn="0"/>
            </w:pPr>
            <w:r w:rsidRPr="00DD30DE">
              <w:t>427.0</w:t>
            </w:r>
          </w:p>
        </w:tc>
      </w:tr>
      <w:tr w:rsidR="00DD30DE" w:rsidRPr="00B108CC" w:rsidTr="00AA0EC9">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DD30DE" w:rsidRPr="00B108CC" w:rsidRDefault="00DD30DE" w:rsidP="00DD30DE">
            <w:pPr>
              <w:rPr>
                <w:rStyle w:val="Strong"/>
              </w:rPr>
            </w:pPr>
            <w:r w:rsidRPr="00B108CC">
              <w:rPr>
                <w:rStyle w:val="Strong"/>
              </w:rPr>
              <w:t>Regulatory depreciation</w:t>
            </w:r>
          </w:p>
        </w:tc>
        <w:tc>
          <w:tcPr>
            <w:tcW w:w="957" w:type="dxa"/>
            <w:noWrap/>
          </w:tcPr>
          <w:p w:rsidR="00DD30DE" w:rsidRPr="00B108CC" w:rsidRDefault="00DD30DE" w:rsidP="00DD30DE">
            <w:pPr>
              <w:cnfStyle w:val="000000000000" w:firstRow="0" w:lastRow="0" w:firstColumn="0" w:lastColumn="0" w:oddVBand="0" w:evenVBand="0" w:oddHBand="0" w:evenHBand="0" w:firstRowFirstColumn="0" w:firstRowLastColumn="0" w:lastRowFirstColumn="0" w:lastRowLastColumn="0"/>
              <w:rPr>
                <w:rStyle w:val="Strong"/>
              </w:rPr>
            </w:pPr>
            <w:r w:rsidRPr="00B108CC">
              <w:rPr>
                <w:rStyle w:val="Strong"/>
              </w:rPr>
              <w:t>66.6</w:t>
            </w:r>
          </w:p>
        </w:tc>
        <w:tc>
          <w:tcPr>
            <w:tcW w:w="958" w:type="dxa"/>
            <w:noWrap/>
          </w:tcPr>
          <w:p w:rsidR="00DD30DE" w:rsidRPr="00B108CC" w:rsidRDefault="00DD30DE" w:rsidP="00DD30DE">
            <w:pPr>
              <w:cnfStyle w:val="000000000000" w:firstRow="0" w:lastRow="0" w:firstColumn="0" w:lastColumn="0" w:oddVBand="0" w:evenVBand="0" w:oddHBand="0" w:evenHBand="0" w:firstRowFirstColumn="0" w:firstRowLastColumn="0" w:lastRowFirstColumn="0" w:lastRowLastColumn="0"/>
              <w:rPr>
                <w:rStyle w:val="Strong"/>
              </w:rPr>
            </w:pPr>
            <w:r w:rsidRPr="00B108CC">
              <w:rPr>
                <w:rStyle w:val="Strong"/>
              </w:rPr>
              <w:t>79.0</w:t>
            </w:r>
          </w:p>
        </w:tc>
        <w:tc>
          <w:tcPr>
            <w:tcW w:w="958" w:type="dxa"/>
            <w:noWrap/>
          </w:tcPr>
          <w:p w:rsidR="00DD30DE" w:rsidRPr="00B108CC" w:rsidRDefault="00DD30DE" w:rsidP="00DD30DE">
            <w:pPr>
              <w:cnfStyle w:val="000000000000" w:firstRow="0" w:lastRow="0" w:firstColumn="0" w:lastColumn="0" w:oddVBand="0" w:evenVBand="0" w:oddHBand="0" w:evenHBand="0" w:firstRowFirstColumn="0" w:firstRowLastColumn="0" w:lastRowFirstColumn="0" w:lastRowLastColumn="0"/>
              <w:rPr>
                <w:rStyle w:val="Strong"/>
              </w:rPr>
            </w:pPr>
            <w:r w:rsidRPr="00B108CC">
              <w:rPr>
                <w:rStyle w:val="Strong"/>
              </w:rPr>
              <w:t>92.2</w:t>
            </w:r>
          </w:p>
        </w:tc>
        <w:tc>
          <w:tcPr>
            <w:tcW w:w="958" w:type="dxa"/>
            <w:noWrap/>
          </w:tcPr>
          <w:p w:rsidR="00DD30DE" w:rsidRPr="00B108CC" w:rsidRDefault="00DD30DE" w:rsidP="00DD30DE">
            <w:pPr>
              <w:cnfStyle w:val="000000000000" w:firstRow="0" w:lastRow="0" w:firstColumn="0" w:lastColumn="0" w:oddVBand="0" w:evenVBand="0" w:oddHBand="0" w:evenHBand="0" w:firstRowFirstColumn="0" w:firstRowLastColumn="0" w:lastRowFirstColumn="0" w:lastRowLastColumn="0"/>
              <w:rPr>
                <w:rStyle w:val="Strong"/>
              </w:rPr>
            </w:pPr>
            <w:r w:rsidRPr="00B108CC">
              <w:rPr>
                <w:rStyle w:val="Strong"/>
              </w:rPr>
              <w:t>103.0</w:t>
            </w:r>
          </w:p>
        </w:tc>
        <w:tc>
          <w:tcPr>
            <w:tcW w:w="958" w:type="dxa"/>
            <w:noWrap/>
          </w:tcPr>
          <w:p w:rsidR="00DD30DE" w:rsidRPr="00B108CC" w:rsidRDefault="00DD30DE" w:rsidP="00DD30DE">
            <w:pPr>
              <w:cnfStyle w:val="000000000000" w:firstRow="0" w:lastRow="0" w:firstColumn="0" w:lastColumn="0" w:oddVBand="0" w:evenVBand="0" w:oddHBand="0" w:evenHBand="0" w:firstRowFirstColumn="0" w:firstRowLastColumn="0" w:lastRowFirstColumn="0" w:lastRowLastColumn="0"/>
              <w:rPr>
                <w:rStyle w:val="Strong"/>
              </w:rPr>
            </w:pPr>
            <w:r w:rsidRPr="00B108CC">
              <w:rPr>
                <w:rStyle w:val="Strong"/>
              </w:rPr>
              <w:t>88.1</w:t>
            </w:r>
          </w:p>
        </w:tc>
        <w:tc>
          <w:tcPr>
            <w:tcW w:w="958" w:type="dxa"/>
          </w:tcPr>
          <w:p w:rsidR="00DD30DE" w:rsidRPr="00B108CC" w:rsidRDefault="00DD30DE" w:rsidP="00DD30DE">
            <w:pPr>
              <w:cnfStyle w:val="000000000000" w:firstRow="0" w:lastRow="0" w:firstColumn="0" w:lastColumn="0" w:oddVBand="0" w:evenVBand="0" w:oddHBand="0" w:evenHBand="0" w:firstRowFirstColumn="0" w:firstRowLastColumn="0" w:lastRowFirstColumn="0" w:lastRowLastColumn="0"/>
              <w:rPr>
                <w:rStyle w:val="Strong"/>
              </w:rPr>
            </w:pPr>
            <w:r w:rsidRPr="00B108CC">
              <w:rPr>
                <w:rStyle w:val="Strong"/>
              </w:rPr>
              <w:t>428.9</w:t>
            </w:r>
          </w:p>
        </w:tc>
      </w:tr>
    </w:tbl>
    <w:p w:rsidR="00FB2210" w:rsidRPr="00AF1F9E" w:rsidRDefault="00FB2210" w:rsidP="00FB2210">
      <w:pPr>
        <w:pStyle w:val="AERtablesource"/>
      </w:pPr>
      <w:r w:rsidRPr="008F0CF0">
        <w:t xml:space="preserve">Source: </w:t>
      </w:r>
      <w:r w:rsidRPr="008F0CF0">
        <w:tab/>
        <w:t>AER analysis</w:t>
      </w:r>
      <w:r>
        <w:t>.</w:t>
      </w:r>
      <w:r w:rsidRPr="008F0CF0">
        <w:t xml:space="preserve"> </w:t>
      </w:r>
    </w:p>
    <w:p w:rsidR="00050448" w:rsidRDefault="003F1C26" w:rsidP="00050448">
      <w:pPr>
        <w:rPr>
          <w:rStyle w:val="AERbody"/>
        </w:rPr>
      </w:pPr>
      <w:r>
        <w:t>The</w:t>
      </w:r>
      <w:r w:rsidR="00050448" w:rsidRPr="00CA36EA">
        <w:t xml:space="preserve"> </w:t>
      </w:r>
      <w:r w:rsidR="0058062D">
        <w:t xml:space="preserve">detailed reasons for our </w:t>
      </w:r>
      <w:r w:rsidR="00050448">
        <w:t xml:space="preserve">final </w:t>
      </w:r>
      <w:r w:rsidR="00050448" w:rsidRPr="00CA36EA">
        <w:t>decision on J</w:t>
      </w:r>
      <w:r w:rsidR="00050448">
        <w:t xml:space="preserve">GN's </w:t>
      </w:r>
      <w:r w:rsidR="00050448" w:rsidRPr="00CA36EA">
        <w:t xml:space="preserve">annual regulatory depreciation allowance </w:t>
      </w:r>
      <w:r w:rsidR="00050448">
        <w:t>and depreciation schedule (</w:t>
      </w:r>
      <w:r w:rsidR="00050448" w:rsidRPr="00A5164F">
        <w:rPr>
          <w:rStyle w:val="AERbody"/>
        </w:rPr>
        <w:t xml:space="preserve">including the calculation of standard asset lives and remaining asset lives) </w:t>
      </w:r>
      <w:r w:rsidR="0058062D">
        <w:rPr>
          <w:rStyle w:val="AERbody"/>
        </w:rPr>
        <w:t>are</w:t>
      </w:r>
      <w:r w:rsidR="0058062D" w:rsidRPr="00A5164F">
        <w:rPr>
          <w:rStyle w:val="AERbody"/>
        </w:rPr>
        <w:t xml:space="preserve"> </w:t>
      </w:r>
      <w:r w:rsidR="006B52EA">
        <w:rPr>
          <w:rStyle w:val="AERbody"/>
        </w:rPr>
        <w:t>set out</w:t>
      </w:r>
      <w:r w:rsidR="006B52EA" w:rsidRPr="00A5164F">
        <w:rPr>
          <w:rStyle w:val="AERbody"/>
        </w:rPr>
        <w:t xml:space="preserve"> </w:t>
      </w:r>
      <w:r w:rsidR="00050448" w:rsidRPr="00A5164F">
        <w:rPr>
          <w:rStyle w:val="AERbody"/>
        </w:rPr>
        <w:t>in attachment 5.</w:t>
      </w:r>
    </w:p>
    <w:p w:rsidR="008E433E" w:rsidRDefault="008E433E" w:rsidP="008E433E">
      <w:pPr>
        <w:pStyle w:val="Heading2"/>
      </w:pPr>
      <w:bookmarkStart w:id="120" w:name="_Toc402535821"/>
      <w:bookmarkStart w:id="121" w:name="_Toc402535822"/>
      <w:bookmarkStart w:id="122" w:name="_Toc390936287"/>
      <w:bookmarkStart w:id="123" w:name="_Toc404437138"/>
      <w:bookmarkStart w:id="124" w:name="_Toc411428041"/>
      <w:bookmarkStart w:id="125" w:name="_Toc417993965"/>
      <w:bookmarkStart w:id="126" w:name="_Ref419801358"/>
      <w:bookmarkStart w:id="127" w:name="_Ref419801880"/>
      <w:bookmarkStart w:id="128" w:name="_Ref419822242"/>
      <w:bookmarkStart w:id="129" w:name="_Toc419895030"/>
      <w:bookmarkEnd w:id="120"/>
      <w:bookmarkEnd w:id="121"/>
      <w:r w:rsidRPr="009F4C42">
        <w:t>Capital expenditure</w:t>
      </w:r>
      <w:bookmarkEnd w:id="122"/>
      <w:bookmarkEnd w:id="123"/>
      <w:bookmarkEnd w:id="124"/>
      <w:r>
        <w:t xml:space="preserve"> (capex)</w:t>
      </w:r>
      <w:bookmarkEnd w:id="125"/>
      <w:bookmarkEnd w:id="126"/>
      <w:bookmarkEnd w:id="127"/>
      <w:bookmarkEnd w:id="128"/>
      <w:bookmarkEnd w:id="129"/>
    </w:p>
    <w:p w:rsidR="0056459D" w:rsidRDefault="0056459D" w:rsidP="0056459D">
      <w:r w:rsidRPr="005A1281">
        <w:t xml:space="preserve">Capex refers to the capital expenses incurred in the provision of </w:t>
      </w:r>
      <w:r>
        <w:t>pipeline</w:t>
      </w:r>
      <w:r w:rsidRPr="005A1281">
        <w:t xml:space="preserve"> services. The return on and</w:t>
      </w:r>
      <w:r>
        <w:t xml:space="preserve"> </w:t>
      </w:r>
      <w:r w:rsidRPr="005A1281">
        <w:t>of forecast capex are two of the building blocks we use to determine a</w:t>
      </w:r>
      <w:r>
        <w:t xml:space="preserve"> </w:t>
      </w:r>
      <w:r w:rsidRPr="005A1281">
        <w:t>service provider's total revenue requirement.</w:t>
      </w:r>
    </w:p>
    <w:p w:rsidR="0056459D" w:rsidRPr="00275E06" w:rsidRDefault="006E1998" w:rsidP="0056459D">
      <w:r w:rsidRPr="0056009E">
        <w:t xml:space="preserve">Our final decision allows forecast net capex of </w:t>
      </w:r>
      <w:r w:rsidRPr="00275E06">
        <w:t>$9</w:t>
      </w:r>
      <w:r>
        <w:t>57</w:t>
      </w:r>
      <w:r w:rsidRPr="00275E06">
        <w:t>.2 million</w:t>
      </w:r>
      <w:r w:rsidRPr="0056009E">
        <w:t xml:space="preserve"> ($2014–15</w:t>
      </w:r>
      <w:r w:rsidR="009052E2">
        <w:t>)</w:t>
      </w:r>
      <w:r>
        <w:t>. This is 14</w:t>
      </w:r>
      <w:r w:rsidRPr="0056009E">
        <w:t>.</w:t>
      </w:r>
      <w:r>
        <w:t>4</w:t>
      </w:r>
      <w:r w:rsidRPr="0056009E">
        <w:t xml:space="preserve"> per cent less than JGN's </w:t>
      </w:r>
      <w:r w:rsidR="0056459D" w:rsidRPr="005A1281">
        <w:t xml:space="preserve">forecast </w:t>
      </w:r>
      <w:r w:rsidR="0056459D">
        <w:t xml:space="preserve">net </w:t>
      </w:r>
      <w:r w:rsidR="0056459D" w:rsidRPr="005A1281">
        <w:t xml:space="preserve">capex </w:t>
      </w:r>
      <w:r w:rsidR="0056459D" w:rsidRPr="0056009E">
        <w:t xml:space="preserve">of </w:t>
      </w:r>
      <w:r w:rsidR="0056459D" w:rsidRPr="00275E06">
        <w:t>$1,118.</w:t>
      </w:r>
      <w:r w:rsidR="00241CD1">
        <w:t>3</w:t>
      </w:r>
      <w:r w:rsidR="0056459D" w:rsidRPr="00275E06">
        <w:t xml:space="preserve"> million</w:t>
      </w:r>
      <w:r>
        <w:t xml:space="preserve"> ($2014–15), set out in </w:t>
      </w:r>
      <w:r>
        <w:fldChar w:fldCharType="begin"/>
      </w:r>
      <w:r>
        <w:instrText xml:space="preserve"> REF _Ref419800866 \h </w:instrText>
      </w:r>
      <w:r>
        <w:fldChar w:fldCharType="separate"/>
      </w:r>
      <w:r w:rsidR="006409EE">
        <w:t>t</w:t>
      </w:r>
      <w:r>
        <w:t xml:space="preserve">able </w:t>
      </w:r>
      <w:r w:rsidRPr="006E1998">
        <w:t>10</w:t>
      </w:r>
      <w:r>
        <w:fldChar w:fldCharType="end"/>
      </w:r>
      <w:r>
        <w:t>.</w:t>
      </w:r>
    </w:p>
    <w:p w:rsidR="0056459D" w:rsidRDefault="003F1C26" w:rsidP="0056459D">
      <w:pPr>
        <w:pStyle w:val="Caption"/>
      </w:pPr>
      <w:bookmarkStart w:id="130" w:name="_Ref419800866"/>
      <w:r>
        <w:t xml:space="preserve">Table </w:t>
      </w:r>
      <w:fldSimple w:instr=" SEQ Table \* ARABIC ">
        <w:r w:rsidR="009037A2">
          <w:rPr>
            <w:noProof/>
          </w:rPr>
          <w:t>10</w:t>
        </w:r>
      </w:fldSimple>
      <w:bookmarkEnd w:id="130"/>
      <w:r w:rsidR="009037A2">
        <w:tab/>
      </w:r>
      <w:r w:rsidR="0048645A">
        <w:t>AER's</w:t>
      </w:r>
      <w:r w:rsidR="0056459D">
        <w:t xml:space="preserve"> final decision on total net capex for 2015-20 ($ million 2014-15)</w:t>
      </w:r>
    </w:p>
    <w:tbl>
      <w:tblPr>
        <w:tblStyle w:val="AERtable-numbers"/>
        <w:tblW w:w="0" w:type="auto"/>
        <w:tblLook w:val="04A0" w:firstRow="1" w:lastRow="0" w:firstColumn="1" w:lastColumn="0" w:noHBand="0" w:noVBand="1"/>
      </w:tblPr>
      <w:tblGrid>
        <w:gridCol w:w="1809"/>
        <w:gridCol w:w="1147"/>
        <w:gridCol w:w="1147"/>
        <w:gridCol w:w="1148"/>
        <w:gridCol w:w="1147"/>
        <w:gridCol w:w="1147"/>
        <w:gridCol w:w="1148"/>
      </w:tblGrid>
      <w:tr w:rsidR="0056459D" w:rsidTr="00241C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56459D" w:rsidRDefault="0056459D" w:rsidP="0056459D"/>
        </w:tc>
        <w:tc>
          <w:tcPr>
            <w:tcW w:w="1147" w:type="dxa"/>
          </w:tcPr>
          <w:p w:rsidR="0056459D" w:rsidRPr="0056459D" w:rsidRDefault="0056459D" w:rsidP="0056459D">
            <w:pPr>
              <w:cnfStyle w:val="100000000000" w:firstRow="1" w:lastRow="0" w:firstColumn="0" w:lastColumn="0" w:oddVBand="0" w:evenVBand="0" w:oddHBand="0" w:evenHBand="0" w:firstRowFirstColumn="0" w:firstRowLastColumn="0" w:lastRowFirstColumn="0" w:lastRowLastColumn="0"/>
            </w:pPr>
            <w:r>
              <w:t>2015-16</w:t>
            </w:r>
          </w:p>
        </w:tc>
        <w:tc>
          <w:tcPr>
            <w:tcW w:w="1147" w:type="dxa"/>
          </w:tcPr>
          <w:p w:rsidR="0056459D" w:rsidRPr="0056459D" w:rsidRDefault="0056459D" w:rsidP="0056459D">
            <w:pPr>
              <w:cnfStyle w:val="100000000000" w:firstRow="1" w:lastRow="0" w:firstColumn="0" w:lastColumn="0" w:oddVBand="0" w:evenVBand="0" w:oddHBand="0" w:evenHBand="0" w:firstRowFirstColumn="0" w:firstRowLastColumn="0" w:lastRowFirstColumn="0" w:lastRowLastColumn="0"/>
            </w:pPr>
            <w:r>
              <w:t>2016-17</w:t>
            </w:r>
          </w:p>
        </w:tc>
        <w:tc>
          <w:tcPr>
            <w:tcW w:w="1148" w:type="dxa"/>
          </w:tcPr>
          <w:p w:rsidR="0056459D" w:rsidRPr="0056459D" w:rsidRDefault="0056459D" w:rsidP="0056459D">
            <w:pPr>
              <w:cnfStyle w:val="100000000000" w:firstRow="1" w:lastRow="0" w:firstColumn="0" w:lastColumn="0" w:oddVBand="0" w:evenVBand="0" w:oddHBand="0" w:evenHBand="0" w:firstRowFirstColumn="0" w:firstRowLastColumn="0" w:lastRowFirstColumn="0" w:lastRowLastColumn="0"/>
            </w:pPr>
            <w:r>
              <w:t>2017-18</w:t>
            </w:r>
          </w:p>
        </w:tc>
        <w:tc>
          <w:tcPr>
            <w:tcW w:w="1147" w:type="dxa"/>
          </w:tcPr>
          <w:p w:rsidR="0056459D" w:rsidRPr="0056459D" w:rsidRDefault="0056459D" w:rsidP="0056459D">
            <w:pPr>
              <w:cnfStyle w:val="100000000000" w:firstRow="1" w:lastRow="0" w:firstColumn="0" w:lastColumn="0" w:oddVBand="0" w:evenVBand="0" w:oddHBand="0" w:evenHBand="0" w:firstRowFirstColumn="0" w:firstRowLastColumn="0" w:lastRowFirstColumn="0" w:lastRowLastColumn="0"/>
            </w:pPr>
            <w:r>
              <w:t>2018-19</w:t>
            </w:r>
          </w:p>
        </w:tc>
        <w:tc>
          <w:tcPr>
            <w:tcW w:w="1147" w:type="dxa"/>
          </w:tcPr>
          <w:p w:rsidR="0056459D" w:rsidRPr="0056459D" w:rsidRDefault="0056459D" w:rsidP="0056459D">
            <w:pPr>
              <w:cnfStyle w:val="100000000000" w:firstRow="1" w:lastRow="0" w:firstColumn="0" w:lastColumn="0" w:oddVBand="0" w:evenVBand="0" w:oddHBand="0" w:evenHBand="0" w:firstRowFirstColumn="0" w:firstRowLastColumn="0" w:lastRowFirstColumn="0" w:lastRowLastColumn="0"/>
            </w:pPr>
            <w:r>
              <w:t>2019-20</w:t>
            </w:r>
          </w:p>
        </w:tc>
        <w:tc>
          <w:tcPr>
            <w:tcW w:w="1148" w:type="dxa"/>
          </w:tcPr>
          <w:p w:rsidR="0056459D" w:rsidRPr="0056459D" w:rsidRDefault="0056459D" w:rsidP="0056459D">
            <w:pPr>
              <w:cnfStyle w:val="100000000000" w:firstRow="1" w:lastRow="0" w:firstColumn="0" w:lastColumn="0" w:oddVBand="0" w:evenVBand="0" w:oddHBand="0" w:evenHBand="0" w:firstRowFirstColumn="0" w:firstRowLastColumn="0" w:lastRowFirstColumn="0" w:lastRowLastColumn="0"/>
            </w:pPr>
            <w:r>
              <w:t>Total</w:t>
            </w:r>
          </w:p>
        </w:tc>
      </w:tr>
      <w:tr w:rsidR="0056459D" w:rsidTr="00241CD1">
        <w:tc>
          <w:tcPr>
            <w:cnfStyle w:val="001000000000" w:firstRow="0" w:lastRow="0" w:firstColumn="1" w:lastColumn="0" w:oddVBand="0" w:evenVBand="0" w:oddHBand="0" w:evenHBand="0" w:firstRowFirstColumn="0" w:firstRowLastColumn="0" w:lastRowFirstColumn="0" w:lastRowLastColumn="0"/>
            <w:tcW w:w="1809" w:type="dxa"/>
          </w:tcPr>
          <w:p w:rsidR="0056459D" w:rsidRPr="0056459D" w:rsidRDefault="0056459D" w:rsidP="0056459D">
            <w:r w:rsidRPr="00501F23">
              <w:t>JGN revised proposal</w:t>
            </w:r>
          </w:p>
        </w:tc>
        <w:tc>
          <w:tcPr>
            <w:tcW w:w="1147" w:type="dxa"/>
            <w:vAlign w:val="top"/>
          </w:tcPr>
          <w:p w:rsidR="0056459D" w:rsidRPr="0056459D" w:rsidRDefault="0056459D" w:rsidP="0056459D">
            <w:pPr>
              <w:cnfStyle w:val="000000000000" w:firstRow="0" w:lastRow="0" w:firstColumn="0" w:lastColumn="0" w:oddVBand="0" w:evenVBand="0" w:oddHBand="0" w:evenHBand="0" w:firstRowFirstColumn="0" w:firstRowLastColumn="0" w:lastRowFirstColumn="0" w:lastRowLastColumn="0"/>
            </w:pPr>
            <w:r w:rsidRPr="00501F23">
              <w:t xml:space="preserve"> 243.8 </w:t>
            </w:r>
          </w:p>
        </w:tc>
        <w:tc>
          <w:tcPr>
            <w:tcW w:w="1147" w:type="dxa"/>
            <w:vAlign w:val="top"/>
          </w:tcPr>
          <w:p w:rsidR="0056459D" w:rsidRPr="0056459D" w:rsidRDefault="0056459D" w:rsidP="0056459D">
            <w:pPr>
              <w:cnfStyle w:val="000000000000" w:firstRow="0" w:lastRow="0" w:firstColumn="0" w:lastColumn="0" w:oddVBand="0" w:evenVBand="0" w:oddHBand="0" w:evenHBand="0" w:firstRowFirstColumn="0" w:firstRowLastColumn="0" w:lastRowFirstColumn="0" w:lastRowLastColumn="0"/>
            </w:pPr>
            <w:r w:rsidRPr="00501F23">
              <w:t xml:space="preserve"> 230.2 </w:t>
            </w:r>
          </w:p>
        </w:tc>
        <w:tc>
          <w:tcPr>
            <w:tcW w:w="1148" w:type="dxa"/>
            <w:vAlign w:val="top"/>
          </w:tcPr>
          <w:p w:rsidR="0056459D" w:rsidRPr="0056459D" w:rsidRDefault="0056459D" w:rsidP="0056459D">
            <w:pPr>
              <w:cnfStyle w:val="000000000000" w:firstRow="0" w:lastRow="0" w:firstColumn="0" w:lastColumn="0" w:oddVBand="0" w:evenVBand="0" w:oddHBand="0" w:evenHBand="0" w:firstRowFirstColumn="0" w:firstRowLastColumn="0" w:lastRowFirstColumn="0" w:lastRowLastColumn="0"/>
            </w:pPr>
            <w:r w:rsidRPr="00501F23">
              <w:t xml:space="preserve"> 237.5 </w:t>
            </w:r>
          </w:p>
        </w:tc>
        <w:tc>
          <w:tcPr>
            <w:tcW w:w="1147" w:type="dxa"/>
            <w:vAlign w:val="top"/>
          </w:tcPr>
          <w:p w:rsidR="0056459D" w:rsidRPr="0056459D" w:rsidRDefault="0056459D" w:rsidP="0056459D">
            <w:pPr>
              <w:cnfStyle w:val="000000000000" w:firstRow="0" w:lastRow="0" w:firstColumn="0" w:lastColumn="0" w:oddVBand="0" w:evenVBand="0" w:oddHBand="0" w:evenHBand="0" w:firstRowFirstColumn="0" w:firstRowLastColumn="0" w:lastRowFirstColumn="0" w:lastRowLastColumn="0"/>
            </w:pPr>
            <w:r w:rsidRPr="00501F23">
              <w:t xml:space="preserve"> 219.0 </w:t>
            </w:r>
          </w:p>
        </w:tc>
        <w:tc>
          <w:tcPr>
            <w:tcW w:w="1147" w:type="dxa"/>
            <w:vAlign w:val="top"/>
          </w:tcPr>
          <w:p w:rsidR="0056459D" w:rsidRPr="0056459D" w:rsidRDefault="0056459D" w:rsidP="0056459D">
            <w:pPr>
              <w:cnfStyle w:val="000000000000" w:firstRow="0" w:lastRow="0" w:firstColumn="0" w:lastColumn="0" w:oddVBand="0" w:evenVBand="0" w:oddHBand="0" w:evenHBand="0" w:firstRowFirstColumn="0" w:firstRowLastColumn="0" w:lastRowFirstColumn="0" w:lastRowLastColumn="0"/>
            </w:pPr>
            <w:r w:rsidRPr="00501F23">
              <w:t xml:space="preserve"> 187.9 </w:t>
            </w:r>
          </w:p>
        </w:tc>
        <w:tc>
          <w:tcPr>
            <w:tcW w:w="1148" w:type="dxa"/>
            <w:vAlign w:val="top"/>
          </w:tcPr>
          <w:p w:rsidR="0056459D" w:rsidRPr="0056459D" w:rsidRDefault="0056459D" w:rsidP="0056459D">
            <w:pPr>
              <w:cnfStyle w:val="000000000000" w:firstRow="0" w:lastRow="0" w:firstColumn="0" w:lastColumn="0" w:oddVBand="0" w:evenVBand="0" w:oddHBand="0" w:evenHBand="0" w:firstRowFirstColumn="0" w:firstRowLastColumn="0" w:lastRowFirstColumn="0" w:lastRowLastColumn="0"/>
            </w:pPr>
            <w:r w:rsidRPr="00501F23">
              <w:t xml:space="preserve"> 1,118.3 </w:t>
            </w:r>
          </w:p>
        </w:tc>
      </w:tr>
      <w:tr w:rsidR="0056459D" w:rsidTr="00241C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56459D" w:rsidRPr="0056459D" w:rsidRDefault="0056459D" w:rsidP="0056459D">
            <w:r w:rsidRPr="00501F23">
              <w:t>AER final decision</w:t>
            </w:r>
          </w:p>
        </w:tc>
        <w:tc>
          <w:tcPr>
            <w:tcW w:w="1147" w:type="dxa"/>
            <w:vAlign w:val="top"/>
          </w:tcPr>
          <w:p w:rsidR="0056459D" w:rsidRPr="0056459D" w:rsidRDefault="00241CD1" w:rsidP="0056459D">
            <w:pPr>
              <w:cnfStyle w:val="000000010000" w:firstRow="0" w:lastRow="0" w:firstColumn="0" w:lastColumn="0" w:oddVBand="0" w:evenVBand="0" w:oddHBand="0" w:evenHBand="1" w:firstRowFirstColumn="0" w:firstRowLastColumn="0" w:lastRowFirstColumn="0" w:lastRowLastColumn="0"/>
            </w:pPr>
            <w:r>
              <w:t>216.6</w:t>
            </w:r>
          </w:p>
        </w:tc>
        <w:tc>
          <w:tcPr>
            <w:tcW w:w="1147" w:type="dxa"/>
            <w:vAlign w:val="top"/>
          </w:tcPr>
          <w:p w:rsidR="0056459D" w:rsidRPr="0056459D" w:rsidRDefault="00241CD1" w:rsidP="0056459D">
            <w:pPr>
              <w:cnfStyle w:val="000000010000" w:firstRow="0" w:lastRow="0" w:firstColumn="0" w:lastColumn="0" w:oddVBand="0" w:evenVBand="0" w:oddHBand="0" w:evenHBand="1" w:firstRowFirstColumn="0" w:firstRowLastColumn="0" w:lastRowFirstColumn="0" w:lastRowLastColumn="0"/>
            </w:pPr>
            <w:r>
              <w:t>200.8</w:t>
            </w:r>
          </w:p>
        </w:tc>
        <w:tc>
          <w:tcPr>
            <w:tcW w:w="1148" w:type="dxa"/>
            <w:vAlign w:val="top"/>
          </w:tcPr>
          <w:p w:rsidR="0056459D" w:rsidRPr="0056459D" w:rsidRDefault="00241CD1" w:rsidP="0056459D">
            <w:pPr>
              <w:cnfStyle w:val="000000010000" w:firstRow="0" w:lastRow="0" w:firstColumn="0" w:lastColumn="0" w:oddVBand="0" w:evenVBand="0" w:oddHBand="0" w:evenHBand="1" w:firstRowFirstColumn="0" w:firstRowLastColumn="0" w:lastRowFirstColumn="0" w:lastRowLastColumn="0"/>
            </w:pPr>
            <w:r>
              <w:t>204.2</w:t>
            </w:r>
          </w:p>
        </w:tc>
        <w:tc>
          <w:tcPr>
            <w:tcW w:w="1147" w:type="dxa"/>
            <w:vAlign w:val="top"/>
          </w:tcPr>
          <w:p w:rsidR="0056459D" w:rsidRPr="0056459D" w:rsidRDefault="00241CD1" w:rsidP="0056459D">
            <w:pPr>
              <w:cnfStyle w:val="000000010000" w:firstRow="0" w:lastRow="0" w:firstColumn="0" w:lastColumn="0" w:oddVBand="0" w:evenVBand="0" w:oddHBand="0" w:evenHBand="1" w:firstRowFirstColumn="0" w:firstRowLastColumn="0" w:lastRowFirstColumn="0" w:lastRowLastColumn="0"/>
            </w:pPr>
            <w:r>
              <w:t>180.1</w:t>
            </w:r>
          </w:p>
        </w:tc>
        <w:tc>
          <w:tcPr>
            <w:tcW w:w="1147" w:type="dxa"/>
            <w:vAlign w:val="top"/>
          </w:tcPr>
          <w:p w:rsidR="0056459D" w:rsidRPr="0056459D" w:rsidRDefault="00241CD1" w:rsidP="0056459D">
            <w:pPr>
              <w:cnfStyle w:val="000000010000" w:firstRow="0" w:lastRow="0" w:firstColumn="0" w:lastColumn="0" w:oddVBand="0" w:evenVBand="0" w:oddHBand="0" w:evenHBand="1" w:firstRowFirstColumn="0" w:firstRowLastColumn="0" w:lastRowFirstColumn="0" w:lastRowLastColumn="0"/>
            </w:pPr>
            <w:r>
              <w:t>155.4</w:t>
            </w:r>
          </w:p>
        </w:tc>
        <w:tc>
          <w:tcPr>
            <w:tcW w:w="1148" w:type="dxa"/>
            <w:vAlign w:val="top"/>
          </w:tcPr>
          <w:p w:rsidR="0056459D" w:rsidRPr="0056459D" w:rsidRDefault="00241CD1" w:rsidP="0056459D">
            <w:pPr>
              <w:cnfStyle w:val="000000010000" w:firstRow="0" w:lastRow="0" w:firstColumn="0" w:lastColumn="0" w:oddVBand="0" w:evenVBand="0" w:oddHBand="0" w:evenHBand="1" w:firstRowFirstColumn="0" w:firstRowLastColumn="0" w:lastRowFirstColumn="0" w:lastRowLastColumn="0"/>
            </w:pPr>
            <w:r>
              <w:t>957.2</w:t>
            </w:r>
          </w:p>
        </w:tc>
      </w:tr>
      <w:tr w:rsidR="0056459D" w:rsidTr="00241CD1">
        <w:tc>
          <w:tcPr>
            <w:cnfStyle w:val="001000000000" w:firstRow="0" w:lastRow="0" w:firstColumn="1" w:lastColumn="0" w:oddVBand="0" w:evenVBand="0" w:oddHBand="0" w:evenHBand="0" w:firstRowFirstColumn="0" w:firstRowLastColumn="0" w:lastRowFirstColumn="0" w:lastRowLastColumn="0"/>
            <w:tcW w:w="1809" w:type="dxa"/>
          </w:tcPr>
          <w:p w:rsidR="0056459D" w:rsidRPr="0056459D" w:rsidRDefault="0056459D" w:rsidP="0056459D">
            <w:r w:rsidRPr="00501F23">
              <w:t>Difference</w:t>
            </w:r>
          </w:p>
        </w:tc>
        <w:tc>
          <w:tcPr>
            <w:tcW w:w="1147" w:type="dxa"/>
            <w:vAlign w:val="top"/>
          </w:tcPr>
          <w:p w:rsidR="0056459D" w:rsidRPr="0056459D" w:rsidRDefault="0056459D" w:rsidP="00241CD1">
            <w:pPr>
              <w:cnfStyle w:val="000000000000" w:firstRow="0" w:lastRow="0" w:firstColumn="0" w:lastColumn="0" w:oddVBand="0" w:evenVBand="0" w:oddHBand="0" w:evenHBand="0" w:firstRowFirstColumn="0" w:firstRowLastColumn="0" w:lastRowFirstColumn="0" w:lastRowLastColumn="0"/>
            </w:pPr>
            <w:r w:rsidRPr="00501F23">
              <w:t>-</w:t>
            </w:r>
            <w:r w:rsidR="00241CD1">
              <w:t>27.2</w:t>
            </w:r>
            <w:r w:rsidRPr="00501F23">
              <w:t xml:space="preserve"> </w:t>
            </w:r>
          </w:p>
        </w:tc>
        <w:tc>
          <w:tcPr>
            <w:tcW w:w="1147" w:type="dxa"/>
            <w:vAlign w:val="top"/>
          </w:tcPr>
          <w:p w:rsidR="0056459D" w:rsidRPr="0056459D" w:rsidRDefault="0056459D" w:rsidP="00241CD1">
            <w:pPr>
              <w:cnfStyle w:val="000000000000" w:firstRow="0" w:lastRow="0" w:firstColumn="0" w:lastColumn="0" w:oddVBand="0" w:evenVBand="0" w:oddHBand="0" w:evenHBand="0" w:firstRowFirstColumn="0" w:firstRowLastColumn="0" w:lastRowFirstColumn="0" w:lastRowLastColumn="0"/>
            </w:pPr>
            <w:r w:rsidRPr="00501F23">
              <w:t>-</w:t>
            </w:r>
            <w:r w:rsidR="00241CD1">
              <w:t>29.4</w:t>
            </w:r>
            <w:r w:rsidRPr="00501F23">
              <w:t xml:space="preserve"> </w:t>
            </w:r>
          </w:p>
        </w:tc>
        <w:tc>
          <w:tcPr>
            <w:tcW w:w="1148" w:type="dxa"/>
            <w:vAlign w:val="top"/>
          </w:tcPr>
          <w:p w:rsidR="0056459D" w:rsidRPr="0056459D" w:rsidRDefault="0056459D" w:rsidP="00241CD1">
            <w:pPr>
              <w:cnfStyle w:val="000000000000" w:firstRow="0" w:lastRow="0" w:firstColumn="0" w:lastColumn="0" w:oddVBand="0" w:evenVBand="0" w:oddHBand="0" w:evenHBand="0" w:firstRowFirstColumn="0" w:firstRowLastColumn="0" w:lastRowFirstColumn="0" w:lastRowLastColumn="0"/>
            </w:pPr>
            <w:r w:rsidRPr="00501F23">
              <w:t>-</w:t>
            </w:r>
            <w:r w:rsidR="00241CD1">
              <w:t>33.3</w:t>
            </w:r>
            <w:r w:rsidRPr="00501F23">
              <w:t xml:space="preserve"> </w:t>
            </w:r>
          </w:p>
        </w:tc>
        <w:tc>
          <w:tcPr>
            <w:tcW w:w="1147" w:type="dxa"/>
            <w:vAlign w:val="top"/>
          </w:tcPr>
          <w:p w:rsidR="0056459D" w:rsidRPr="0056459D" w:rsidRDefault="0056459D" w:rsidP="00241CD1">
            <w:pPr>
              <w:cnfStyle w:val="000000000000" w:firstRow="0" w:lastRow="0" w:firstColumn="0" w:lastColumn="0" w:oddVBand="0" w:evenVBand="0" w:oddHBand="0" w:evenHBand="0" w:firstRowFirstColumn="0" w:firstRowLastColumn="0" w:lastRowFirstColumn="0" w:lastRowLastColumn="0"/>
            </w:pPr>
            <w:r w:rsidRPr="00501F23">
              <w:t>-</w:t>
            </w:r>
            <w:r w:rsidR="00241CD1">
              <w:t>38.9</w:t>
            </w:r>
            <w:r w:rsidRPr="00501F23">
              <w:t xml:space="preserve"> </w:t>
            </w:r>
          </w:p>
        </w:tc>
        <w:tc>
          <w:tcPr>
            <w:tcW w:w="1147" w:type="dxa"/>
            <w:vAlign w:val="top"/>
          </w:tcPr>
          <w:p w:rsidR="0056459D" w:rsidRPr="0056459D" w:rsidRDefault="0056459D" w:rsidP="00241CD1">
            <w:pPr>
              <w:cnfStyle w:val="000000000000" w:firstRow="0" w:lastRow="0" w:firstColumn="0" w:lastColumn="0" w:oddVBand="0" w:evenVBand="0" w:oddHBand="0" w:evenHBand="0" w:firstRowFirstColumn="0" w:firstRowLastColumn="0" w:lastRowFirstColumn="0" w:lastRowLastColumn="0"/>
            </w:pPr>
            <w:r w:rsidRPr="00501F23">
              <w:t>-</w:t>
            </w:r>
            <w:r w:rsidR="00241CD1">
              <w:t>32.5</w:t>
            </w:r>
            <w:r w:rsidRPr="00501F23">
              <w:t xml:space="preserve"> </w:t>
            </w:r>
          </w:p>
        </w:tc>
        <w:tc>
          <w:tcPr>
            <w:tcW w:w="1148" w:type="dxa"/>
            <w:vAlign w:val="top"/>
          </w:tcPr>
          <w:p w:rsidR="0056459D" w:rsidRPr="0056459D" w:rsidRDefault="0056459D" w:rsidP="00241CD1">
            <w:pPr>
              <w:cnfStyle w:val="000000000000" w:firstRow="0" w:lastRow="0" w:firstColumn="0" w:lastColumn="0" w:oddVBand="0" w:evenVBand="0" w:oddHBand="0" w:evenHBand="0" w:firstRowFirstColumn="0" w:firstRowLastColumn="0" w:lastRowFirstColumn="0" w:lastRowLastColumn="0"/>
            </w:pPr>
            <w:r w:rsidRPr="00501F23">
              <w:t>-</w:t>
            </w:r>
            <w:r w:rsidR="00241CD1">
              <w:t>161.1</w:t>
            </w:r>
            <w:r w:rsidRPr="00501F23">
              <w:t xml:space="preserve"> </w:t>
            </w:r>
          </w:p>
        </w:tc>
      </w:tr>
      <w:tr w:rsidR="0056459D" w:rsidTr="00241C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56459D" w:rsidRPr="0056459D" w:rsidRDefault="0056459D" w:rsidP="0056459D">
            <w:r w:rsidRPr="00501F23">
              <w:t xml:space="preserve">% </w:t>
            </w:r>
            <w:r w:rsidRPr="0056459D">
              <w:t>difference</w:t>
            </w:r>
          </w:p>
        </w:tc>
        <w:tc>
          <w:tcPr>
            <w:tcW w:w="1147" w:type="dxa"/>
            <w:vAlign w:val="top"/>
          </w:tcPr>
          <w:p w:rsidR="0056459D" w:rsidRPr="0056459D" w:rsidRDefault="0056459D" w:rsidP="00241CD1">
            <w:pPr>
              <w:cnfStyle w:val="000000010000" w:firstRow="0" w:lastRow="0" w:firstColumn="0" w:lastColumn="0" w:oddVBand="0" w:evenVBand="0" w:oddHBand="0" w:evenHBand="1" w:firstRowFirstColumn="0" w:firstRowLastColumn="0" w:lastRowFirstColumn="0" w:lastRowLastColumn="0"/>
            </w:pPr>
            <w:r w:rsidRPr="00501F23">
              <w:t>-</w:t>
            </w:r>
            <w:r w:rsidR="00241CD1">
              <w:t>11.2</w:t>
            </w:r>
            <w:r w:rsidRPr="00501F23">
              <w:t>%</w:t>
            </w:r>
          </w:p>
        </w:tc>
        <w:tc>
          <w:tcPr>
            <w:tcW w:w="1147" w:type="dxa"/>
            <w:vAlign w:val="top"/>
          </w:tcPr>
          <w:p w:rsidR="0056459D" w:rsidRPr="0056459D" w:rsidRDefault="0056459D" w:rsidP="0056459D">
            <w:pPr>
              <w:cnfStyle w:val="000000010000" w:firstRow="0" w:lastRow="0" w:firstColumn="0" w:lastColumn="0" w:oddVBand="0" w:evenVBand="0" w:oddHBand="0" w:evenHBand="1" w:firstRowFirstColumn="0" w:firstRowLastColumn="0" w:lastRowFirstColumn="0" w:lastRowLastColumn="0"/>
            </w:pPr>
            <w:r w:rsidRPr="00501F23">
              <w:t>-10.5%</w:t>
            </w:r>
          </w:p>
        </w:tc>
        <w:tc>
          <w:tcPr>
            <w:tcW w:w="1148" w:type="dxa"/>
            <w:vAlign w:val="top"/>
          </w:tcPr>
          <w:p w:rsidR="0056459D" w:rsidRPr="0056459D" w:rsidRDefault="0056459D" w:rsidP="00241CD1">
            <w:pPr>
              <w:cnfStyle w:val="000000010000" w:firstRow="0" w:lastRow="0" w:firstColumn="0" w:lastColumn="0" w:oddVBand="0" w:evenVBand="0" w:oddHBand="0" w:evenHBand="1" w:firstRowFirstColumn="0" w:firstRowLastColumn="0" w:lastRowFirstColumn="0" w:lastRowLastColumn="0"/>
            </w:pPr>
            <w:r w:rsidRPr="00501F23">
              <w:t>-</w:t>
            </w:r>
            <w:r w:rsidR="00241CD1">
              <w:t>12.8</w:t>
            </w:r>
            <w:r w:rsidRPr="00501F23">
              <w:t>%</w:t>
            </w:r>
          </w:p>
        </w:tc>
        <w:tc>
          <w:tcPr>
            <w:tcW w:w="1147" w:type="dxa"/>
            <w:vAlign w:val="top"/>
          </w:tcPr>
          <w:p w:rsidR="0056459D" w:rsidRPr="0056459D" w:rsidRDefault="0056459D" w:rsidP="006E1998">
            <w:pPr>
              <w:cnfStyle w:val="000000010000" w:firstRow="0" w:lastRow="0" w:firstColumn="0" w:lastColumn="0" w:oddVBand="0" w:evenVBand="0" w:oddHBand="0" w:evenHBand="1" w:firstRowFirstColumn="0" w:firstRowLastColumn="0" w:lastRowFirstColumn="0" w:lastRowLastColumn="0"/>
            </w:pPr>
            <w:r w:rsidRPr="00501F23">
              <w:t>-1</w:t>
            </w:r>
            <w:r w:rsidR="006E1998">
              <w:t>7.8</w:t>
            </w:r>
            <w:r w:rsidRPr="00501F23">
              <w:t>2%</w:t>
            </w:r>
          </w:p>
        </w:tc>
        <w:tc>
          <w:tcPr>
            <w:tcW w:w="1147" w:type="dxa"/>
            <w:vAlign w:val="top"/>
          </w:tcPr>
          <w:p w:rsidR="0056459D" w:rsidRPr="0056459D" w:rsidRDefault="0056459D" w:rsidP="006E1998">
            <w:pPr>
              <w:cnfStyle w:val="000000010000" w:firstRow="0" w:lastRow="0" w:firstColumn="0" w:lastColumn="0" w:oddVBand="0" w:evenVBand="0" w:oddHBand="0" w:evenHBand="1" w:firstRowFirstColumn="0" w:firstRowLastColumn="0" w:lastRowFirstColumn="0" w:lastRowLastColumn="0"/>
            </w:pPr>
            <w:r w:rsidRPr="00501F23">
              <w:t>-</w:t>
            </w:r>
            <w:r w:rsidR="006E1998">
              <w:t>17.3</w:t>
            </w:r>
            <w:r w:rsidRPr="00501F23">
              <w:t>%</w:t>
            </w:r>
          </w:p>
        </w:tc>
        <w:tc>
          <w:tcPr>
            <w:tcW w:w="1148" w:type="dxa"/>
            <w:vAlign w:val="top"/>
          </w:tcPr>
          <w:p w:rsidR="0056459D" w:rsidRPr="0056459D" w:rsidRDefault="0056459D" w:rsidP="00241CD1">
            <w:pPr>
              <w:cnfStyle w:val="000000010000" w:firstRow="0" w:lastRow="0" w:firstColumn="0" w:lastColumn="0" w:oddVBand="0" w:evenVBand="0" w:oddHBand="0" w:evenHBand="1" w:firstRowFirstColumn="0" w:firstRowLastColumn="0" w:lastRowFirstColumn="0" w:lastRowLastColumn="0"/>
            </w:pPr>
            <w:r w:rsidRPr="00501F23">
              <w:t>-1</w:t>
            </w:r>
            <w:r w:rsidR="00241CD1">
              <w:t>4.4</w:t>
            </w:r>
            <w:r w:rsidRPr="00501F23">
              <w:t>5%</w:t>
            </w:r>
          </w:p>
        </w:tc>
      </w:tr>
    </w:tbl>
    <w:p w:rsidR="0056459D" w:rsidRPr="0056009E" w:rsidRDefault="0056459D" w:rsidP="0056459D">
      <w:pPr>
        <w:pStyle w:val="AERtablesource"/>
      </w:pPr>
      <w:r w:rsidRPr="0056009E">
        <w:t>Source:</w:t>
      </w:r>
      <w:r w:rsidRPr="00275E06">
        <w:t xml:space="preserve"> AER analysis</w:t>
      </w:r>
    </w:p>
    <w:p w:rsidR="006E1998" w:rsidRDefault="00241CD1" w:rsidP="006E1998">
      <w:pPr>
        <w:numPr>
          <w:ilvl w:val="0"/>
          <w:numId w:val="25"/>
        </w:numPr>
      </w:pPr>
      <w:bookmarkStart w:id="131" w:name="_Ref403468188"/>
      <w:bookmarkStart w:id="132" w:name="_Ref403468179"/>
      <w:r>
        <w:t>W</w:t>
      </w:r>
      <w:r w:rsidRPr="00B04258">
        <w:t xml:space="preserve">e tested </w:t>
      </w:r>
      <w:r>
        <w:t>JGN</w:t>
      </w:r>
      <w:r w:rsidRPr="00B04258">
        <w:t xml:space="preserve">'s proposed forecast capex taking into account the best available evidence. </w:t>
      </w:r>
      <w:r w:rsidR="006E1998">
        <w:t>We have accepted the majority of expenditure proposed but consider that JGN has overstated the replacement requirements for some projects and we have adjusted the expenditure for these in order to reflect efficient costs to achieve the lowest sustainable cost of providing the service</w:t>
      </w:r>
      <w:r w:rsidR="006E1998" w:rsidRPr="00A67FA7">
        <w:t>.</w:t>
      </w:r>
      <w:bookmarkStart w:id="133" w:name="_Toc420053765"/>
      <w:bookmarkEnd w:id="133"/>
    </w:p>
    <w:p w:rsidR="006E1998" w:rsidRDefault="00241CD1" w:rsidP="00241CD1">
      <w:pPr>
        <w:numPr>
          <w:ilvl w:val="0"/>
          <w:numId w:val="25"/>
        </w:numPr>
      </w:pPr>
      <w:r w:rsidRPr="00B04258">
        <w:t xml:space="preserve">The outcomes of </w:t>
      </w:r>
      <w:r>
        <w:t>our assessment</w:t>
      </w:r>
      <w:r w:rsidRPr="00B04258">
        <w:t xml:space="preserve"> revealed that some aspects of </w:t>
      </w:r>
      <w:r>
        <w:t>JGN</w:t>
      </w:r>
      <w:r w:rsidRPr="00B04258">
        <w:t xml:space="preserve">’s proposal such </w:t>
      </w:r>
      <w:r>
        <w:t>as expenditure for mains</w:t>
      </w:r>
      <w:r w:rsidR="006E1998">
        <w:t xml:space="preserve"> and service renewal, mine</w:t>
      </w:r>
      <w:r>
        <w:t xml:space="preserve"> subsidence</w:t>
      </w:r>
      <w:r w:rsidRPr="00B04258">
        <w:t xml:space="preserve"> and </w:t>
      </w:r>
      <w:r>
        <w:t>SCADA</w:t>
      </w:r>
      <w:r w:rsidRPr="00B04258">
        <w:t>, were consistent with the N</w:t>
      </w:r>
      <w:r>
        <w:t>G</w:t>
      </w:r>
      <w:r w:rsidRPr="00B04258">
        <w:t xml:space="preserve">R requirements in that </w:t>
      </w:r>
      <w:r>
        <w:t>the proposed expenditure is justified and would be incurred by a prudent service provider acting efficiently, in accordance with accepted good industry practice, to achieve the lowest sustainable cost of providing services</w:t>
      </w:r>
      <w:r w:rsidRPr="00B04258">
        <w:t>. </w:t>
      </w:r>
    </w:p>
    <w:p w:rsidR="00241CD1" w:rsidRDefault="00241CD1" w:rsidP="00241CD1">
      <w:pPr>
        <w:numPr>
          <w:ilvl w:val="0"/>
          <w:numId w:val="25"/>
        </w:numPr>
      </w:pPr>
      <w:r w:rsidRPr="00B04258">
        <w:t xml:space="preserve">We found that other aspects of </w:t>
      </w:r>
      <w:r>
        <w:t>JGN's</w:t>
      </w:r>
      <w:r w:rsidRPr="00B04258">
        <w:t xml:space="preserve"> proposal</w:t>
      </w:r>
      <w:r>
        <w:t>,</w:t>
      </w:r>
      <w:r w:rsidRPr="00B04258">
        <w:t xml:space="preserve"> in particular </w:t>
      </w:r>
      <w:r>
        <w:t>the level of overheads, connections and some projects and programs associated with facilities renewal and upgrade respectively</w:t>
      </w:r>
      <w:r w:rsidRPr="00B04258">
        <w:t xml:space="preserve">, </w:t>
      </w:r>
      <w:r>
        <w:t>did not meet the</w:t>
      </w:r>
      <w:r w:rsidRPr="00B04258">
        <w:t xml:space="preserve"> N</w:t>
      </w:r>
      <w:r>
        <w:t>G</w:t>
      </w:r>
      <w:r w:rsidRPr="00B04258">
        <w:t>R</w:t>
      </w:r>
      <w:r>
        <w:t xml:space="preserve"> requirements because they were not based on the best estimate in the circumstances and/or revealed inefficiency inconsistent with the NGR requirements</w:t>
      </w:r>
      <w:r w:rsidRPr="00B04258">
        <w:t>. </w:t>
      </w:r>
      <w:r w:rsidR="006E1998">
        <w:t>The key differences between our final decision and JGN's</w:t>
      </w:r>
      <w:r w:rsidR="009052E2">
        <w:t xml:space="preserve"> revised</w:t>
      </w:r>
      <w:r w:rsidR="006E1998">
        <w:t xml:space="preserve"> proposal are summarised below</w:t>
      </w:r>
      <w:r w:rsidR="009052E2">
        <w:t>:</w:t>
      </w:r>
    </w:p>
    <w:bookmarkEnd w:id="131"/>
    <w:bookmarkEnd w:id="132"/>
    <w:p w:rsidR="00241CD1" w:rsidRPr="0040798A" w:rsidRDefault="00241CD1" w:rsidP="00241CD1">
      <w:pPr>
        <w:pStyle w:val="AERbulletlistfirststyle"/>
      </w:pPr>
      <w:r w:rsidRPr="0040798A">
        <w:t>We have included $2</w:t>
      </w:r>
      <w:r>
        <w:t>85.6</w:t>
      </w:r>
      <w:r w:rsidRPr="0040798A">
        <w:t xml:space="preserve"> million ($2015, unescalated direct costs, excluding overheads) </w:t>
      </w:r>
      <w:r w:rsidR="006E1998">
        <w:t xml:space="preserve">for </w:t>
      </w:r>
      <w:r w:rsidR="006E1998" w:rsidRPr="0040798A">
        <w:t xml:space="preserve">Connections/Market expansion </w:t>
      </w:r>
      <w:r w:rsidRPr="0040798A">
        <w:t>in our alternative capex estimate</w:t>
      </w:r>
      <w:r w:rsidR="006E1998">
        <w:t xml:space="preserve">, </w:t>
      </w:r>
      <w:r>
        <w:t xml:space="preserve">compared to JGN's proposed </w:t>
      </w:r>
      <w:r w:rsidRPr="0040798A">
        <w:t>$368.0 million. This is a 22.</w:t>
      </w:r>
      <w:r>
        <w:t>4</w:t>
      </w:r>
      <w:r w:rsidRPr="0040798A">
        <w:t xml:space="preserve"> per cent reduction in JGN’s proposed amount.</w:t>
      </w:r>
      <w:r>
        <w:t xml:space="preserve">  </w:t>
      </w:r>
    </w:p>
    <w:p w:rsidR="00241CD1" w:rsidRPr="00835711" w:rsidRDefault="00241CD1" w:rsidP="00241CD1">
      <w:pPr>
        <w:pStyle w:val="AERbulletlistfirststyle"/>
      </w:pPr>
      <w:r w:rsidRPr="00AD468E">
        <w:t>We have included $1</w:t>
      </w:r>
      <w:r>
        <w:t>15</w:t>
      </w:r>
      <w:r w:rsidRPr="00AD468E">
        <w:t>.2 million ($2015, unescalated direct costs, excluding overheads) in our alternative capex estimate</w:t>
      </w:r>
      <w:r w:rsidRPr="00835711">
        <w:t xml:space="preserve"> for overheads. JGN proposed $125.7 million. This is a </w:t>
      </w:r>
      <w:r>
        <w:t>8.3</w:t>
      </w:r>
      <w:r w:rsidRPr="00835711">
        <w:t xml:space="preserve"> per cent reduction. </w:t>
      </w:r>
    </w:p>
    <w:p w:rsidR="00241CD1" w:rsidRDefault="00241CD1" w:rsidP="00241CD1">
      <w:pPr>
        <w:pStyle w:val="AERbulletlistfirststyle"/>
      </w:pPr>
      <w:r>
        <w:t xml:space="preserve">We have included $95.2 million </w:t>
      </w:r>
      <w:r w:rsidRPr="0040798A">
        <w:t>($2015, unescalated direct costs, excluding overheads) in our alternative capex estimate</w:t>
      </w:r>
      <w:r w:rsidR="006E1998">
        <w:t xml:space="preserve"> for facilities renewal and upgrade.</w:t>
      </w:r>
      <w:r>
        <w:t xml:space="preserve"> JGN proposed $106.6 million </w:t>
      </w:r>
      <w:r w:rsidRPr="0040798A">
        <w:t>($2015, unescalated direct costs, excluding overheads)</w:t>
      </w:r>
      <w:r>
        <w:t>.  This is a 10.7 per cent reduction.</w:t>
      </w:r>
      <w:r w:rsidRPr="0040798A">
        <w:t xml:space="preserve"> </w:t>
      </w:r>
    </w:p>
    <w:p w:rsidR="00976C12" w:rsidRPr="00976C12" w:rsidRDefault="00976C12" w:rsidP="00976C12">
      <w:pPr>
        <w:pStyle w:val="AERbulletlistfirststyle"/>
      </w:pPr>
      <w:r w:rsidRPr="00976C12">
        <w:t>We have substituted our estimate of the labour and material escalation in place of that proposed by JGN.</w:t>
      </w:r>
    </w:p>
    <w:p w:rsidR="009F0D00" w:rsidRPr="009F0D00" w:rsidRDefault="0058062D" w:rsidP="0056459D">
      <w:r>
        <w:t xml:space="preserve">The detailed reasons for our </w:t>
      </w:r>
      <w:r w:rsidR="0056459D">
        <w:t xml:space="preserve">final decision on JGN's proposed capex </w:t>
      </w:r>
      <w:r>
        <w:t xml:space="preserve">are </w:t>
      </w:r>
      <w:r w:rsidR="0056459D">
        <w:t>set out in attachment 6.</w:t>
      </w:r>
    </w:p>
    <w:p w:rsidR="008E433E" w:rsidRPr="001463A3" w:rsidRDefault="008E433E" w:rsidP="008E433E">
      <w:pPr>
        <w:pStyle w:val="Heading2"/>
      </w:pPr>
      <w:bookmarkStart w:id="134" w:name="_Toc404154748"/>
      <w:bookmarkStart w:id="135" w:name="_Toc404437632"/>
      <w:bookmarkStart w:id="136" w:name="_Toc417993966"/>
      <w:bookmarkStart w:id="137" w:name="_Ref419801884"/>
      <w:bookmarkStart w:id="138" w:name="_Toc419895031"/>
      <w:bookmarkEnd w:id="134"/>
      <w:r w:rsidRPr="009F4C42">
        <w:t xml:space="preserve">Operating </w:t>
      </w:r>
      <w:r w:rsidRPr="001463A3">
        <w:t>expenditure (opex)</w:t>
      </w:r>
      <w:bookmarkEnd w:id="135"/>
      <w:bookmarkEnd w:id="136"/>
      <w:bookmarkEnd w:id="137"/>
      <w:bookmarkEnd w:id="138"/>
    </w:p>
    <w:p w:rsidR="00D75070" w:rsidRPr="009F4C42" w:rsidRDefault="00D75070" w:rsidP="00D75070">
      <w:pPr>
        <w:numPr>
          <w:ilvl w:val="0"/>
          <w:numId w:val="25"/>
        </w:numPr>
      </w:pPr>
      <w:r w:rsidRPr="009F4C42">
        <w:t>Forecast opex is the forecast operating, maintenance and other non-capital costs incurred in the provision of distribution network services. I</w:t>
      </w:r>
      <w:r>
        <w:t>t</w:t>
      </w:r>
      <w:r w:rsidRPr="009F4C42">
        <w:t xml:space="preserve"> includes labour costs and other non-capital costs that </w:t>
      </w:r>
      <w:r>
        <w:t xml:space="preserve">a prudent service provider </w:t>
      </w:r>
      <w:r w:rsidRPr="009F4C42">
        <w:t xml:space="preserve">is likely to require during the </w:t>
      </w:r>
      <w:r>
        <w:t>2015–20 access arrangement period</w:t>
      </w:r>
      <w:r w:rsidRPr="009F4C42">
        <w:t xml:space="preserve"> for the efficient operation of its network. </w:t>
      </w:r>
    </w:p>
    <w:p w:rsidR="009A5073" w:rsidRDefault="00AC2A00" w:rsidP="00D459C7">
      <w:r>
        <w:t>We</w:t>
      </w:r>
      <w:r w:rsidR="009A5073" w:rsidRPr="00602DD7">
        <w:t xml:space="preserve"> are </w:t>
      </w:r>
      <w:r w:rsidR="009A5073">
        <w:t xml:space="preserve">not </w:t>
      </w:r>
      <w:r w:rsidR="009A5073" w:rsidRPr="00602DD7">
        <w:t xml:space="preserve">satisfied that the </w:t>
      </w:r>
      <w:r w:rsidR="009A5073">
        <w:t xml:space="preserve">forecast of total opex </w:t>
      </w:r>
      <w:r>
        <w:t xml:space="preserve">that </w:t>
      </w:r>
      <w:r w:rsidR="009A5073">
        <w:t xml:space="preserve">JGN proposed complies with the applicable requirements </w:t>
      </w:r>
      <w:r w:rsidR="0058062D">
        <w:t xml:space="preserve">of, </w:t>
      </w:r>
      <w:r w:rsidR="009A5073">
        <w:t>and is consistent with the applicable criteria</w:t>
      </w:r>
      <w:r w:rsidR="0058062D">
        <w:t xml:space="preserve"> in, the NGL and NGR</w:t>
      </w:r>
      <w:r w:rsidR="009A5073">
        <w:t>.</w:t>
      </w:r>
      <w:r w:rsidR="009A5073">
        <w:rPr>
          <w:rStyle w:val="FootnoteReference"/>
        </w:rPr>
        <w:footnoteReference w:id="80"/>
      </w:r>
      <w:r w:rsidR="009A5073" w:rsidRPr="00602DD7">
        <w:t xml:space="preserve"> </w:t>
      </w:r>
      <w:r w:rsidR="009A5073" w:rsidRPr="00E37FBD">
        <w:t>We therefore</w:t>
      </w:r>
      <w:r w:rsidR="009A5073">
        <w:t xml:space="preserve"> do</w:t>
      </w:r>
      <w:r w:rsidR="009A5073" w:rsidRPr="00E37FBD">
        <w:t xml:space="preserve"> </w:t>
      </w:r>
      <w:r w:rsidR="009A5073">
        <w:t>not approve</w:t>
      </w:r>
      <w:r w:rsidR="009A5073" w:rsidRPr="00E37FBD">
        <w:t xml:space="preserve"> the forecast opex </w:t>
      </w:r>
      <w:r w:rsidR="009A5073">
        <w:t>JGN</w:t>
      </w:r>
      <w:r w:rsidR="009A5073" w:rsidRPr="00E37FBD">
        <w:t xml:space="preserve"> included in its</w:t>
      </w:r>
      <w:r w:rsidR="009052E2">
        <w:t xml:space="preserve"> revised</w:t>
      </w:r>
      <w:r w:rsidR="009A5073" w:rsidRPr="00E37FBD">
        <w:t xml:space="preserve"> building block proposal. </w:t>
      </w:r>
    </w:p>
    <w:p w:rsidR="0058062D" w:rsidRDefault="0058062D" w:rsidP="0058062D">
      <w:r>
        <w:t>Our alternative estimate of opex (excluding debt raising costs) is $8.2 million lower than JGN's forecast over the 2015–20 access arrangement period. This is due the following factors:</w:t>
      </w:r>
    </w:p>
    <w:p w:rsidR="0058062D" w:rsidRPr="00FB5A19" w:rsidRDefault="0058062D" w:rsidP="0048645A">
      <w:pPr>
        <w:pStyle w:val="AERbulletlistfirststyle"/>
      </w:pPr>
      <w:r>
        <w:t>w</w:t>
      </w:r>
      <w:r w:rsidRPr="008411E8">
        <w:t xml:space="preserve">e </w:t>
      </w:r>
      <w:r w:rsidRPr="0058062D">
        <w:t xml:space="preserve">have forecast lower input price growth than JGN over the 2015–20 access arrangement period </w:t>
      </w:r>
    </w:p>
    <w:p w:rsidR="0058062D" w:rsidRDefault="0058062D" w:rsidP="0048645A">
      <w:pPr>
        <w:pStyle w:val="AERbulletlistfirststyle"/>
      </w:pPr>
      <w:r w:rsidRPr="00FB5A19">
        <w:t>w</w:t>
      </w:r>
      <w:r w:rsidRPr="00F67161">
        <w:t>e have</w:t>
      </w:r>
      <w:r w:rsidRPr="009524E6">
        <w:t xml:space="preserve"> not included a step change in opex</w:t>
      </w:r>
      <w:r w:rsidRPr="000B201A">
        <w:t xml:space="preserve"> for JGN's proposed asbestos meter cover removal program. We consider that this program can be funded </w:t>
      </w:r>
      <w:r>
        <w:t>without a step change.</w:t>
      </w:r>
    </w:p>
    <w:p w:rsidR="009A5073" w:rsidRDefault="006B52EA" w:rsidP="009A5073">
      <w:pPr>
        <w:numPr>
          <w:ilvl w:val="0"/>
          <w:numId w:val="25"/>
        </w:numPr>
      </w:pPr>
      <w:r>
        <w:t>Our final decision on JGN’s forecast</w:t>
      </w:r>
      <w:r w:rsidR="009A5073">
        <w:t xml:space="preserve"> opex </w:t>
      </w:r>
      <w:r>
        <w:t xml:space="preserve">is </w:t>
      </w:r>
      <w:r w:rsidR="009A5073">
        <w:t>set out in</w:t>
      </w:r>
      <w:r w:rsidR="003F1C26">
        <w:t xml:space="preserve"> </w:t>
      </w:r>
      <w:r w:rsidR="003F1C26">
        <w:fldChar w:fldCharType="begin"/>
      </w:r>
      <w:r w:rsidR="003F1C26">
        <w:instrText xml:space="preserve"> REF _Ref419800938 \h </w:instrText>
      </w:r>
      <w:r w:rsidR="003F1C26">
        <w:fldChar w:fldCharType="separate"/>
      </w:r>
      <w:r w:rsidR="006409EE">
        <w:t>t</w:t>
      </w:r>
      <w:r w:rsidR="009037A2">
        <w:t xml:space="preserve">able </w:t>
      </w:r>
      <w:r w:rsidR="009037A2">
        <w:rPr>
          <w:noProof/>
        </w:rPr>
        <w:t>11</w:t>
      </w:r>
      <w:r w:rsidR="003F1C26">
        <w:fldChar w:fldCharType="end"/>
      </w:r>
      <w:r w:rsidR="009A5073">
        <w:t xml:space="preserve">. </w:t>
      </w:r>
    </w:p>
    <w:p w:rsidR="009A5073" w:rsidRDefault="0058062D" w:rsidP="0058062D">
      <w:pPr>
        <w:pStyle w:val="Caption"/>
      </w:pPr>
      <w:bookmarkStart w:id="139" w:name="_Ref419800938"/>
      <w:r>
        <w:t xml:space="preserve">Table </w:t>
      </w:r>
      <w:fldSimple w:instr=" SEQ Table \* ARABIC ">
        <w:r w:rsidR="009037A2">
          <w:rPr>
            <w:noProof/>
          </w:rPr>
          <w:t>11</w:t>
        </w:r>
      </w:fldSimple>
      <w:bookmarkEnd w:id="139"/>
      <w:r w:rsidR="009A5073">
        <w:tab/>
      </w:r>
      <w:bookmarkStart w:id="140" w:name="_Ref388280805"/>
      <w:r w:rsidR="0048645A">
        <w:t>AER's</w:t>
      </w:r>
      <w:r w:rsidR="009A5073">
        <w:t xml:space="preserve"> final decision on total opex—JGN ($ million, 2014–15)</w:t>
      </w:r>
      <w:bookmarkEnd w:id="140"/>
    </w:p>
    <w:tbl>
      <w:tblPr>
        <w:tblStyle w:val="AERtable-numbers"/>
        <w:tblW w:w="0" w:type="auto"/>
        <w:tblLook w:val="04A0" w:firstRow="1" w:lastRow="0" w:firstColumn="1" w:lastColumn="0" w:noHBand="0" w:noVBand="1"/>
      </w:tblPr>
      <w:tblGrid>
        <w:gridCol w:w="2802"/>
        <w:gridCol w:w="981"/>
        <w:gridCol w:w="982"/>
        <w:gridCol w:w="982"/>
        <w:gridCol w:w="982"/>
        <w:gridCol w:w="982"/>
        <w:gridCol w:w="982"/>
      </w:tblGrid>
      <w:tr w:rsidR="009A5073" w:rsidTr="00D459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rsidR="009A5073" w:rsidRPr="009A5073" w:rsidRDefault="009A5073" w:rsidP="009A5073">
            <w:r w:rsidRPr="00E82929">
              <w:t> </w:t>
            </w:r>
          </w:p>
        </w:tc>
        <w:tc>
          <w:tcPr>
            <w:tcW w:w="981" w:type="dxa"/>
          </w:tcPr>
          <w:p w:rsidR="009A5073" w:rsidRPr="009A5073" w:rsidRDefault="009A5073" w:rsidP="009A5073">
            <w:pPr>
              <w:cnfStyle w:val="100000000000" w:firstRow="1" w:lastRow="0" w:firstColumn="0" w:lastColumn="0" w:oddVBand="0" w:evenVBand="0" w:oddHBand="0" w:evenHBand="0" w:firstRowFirstColumn="0" w:firstRowLastColumn="0" w:lastRowFirstColumn="0" w:lastRowLastColumn="0"/>
            </w:pPr>
            <w:r w:rsidRPr="00E82929">
              <w:t>2015–16</w:t>
            </w:r>
          </w:p>
        </w:tc>
        <w:tc>
          <w:tcPr>
            <w:tcW w:w="982" w:type="dxa"/>
          </w:tcPr>
          <w:p w:rsidR="009A5073" w:rsidRPr="009A5073" w:rsidRDefault="009A5073" w:rsidP="009A5073">
            <w:pPr>
              <w:cnfStyle w:val="100000000000" w:firstRow="1" w:lastRow="0" w:firstColumn="0" w:lastColumn="0" w:oddVBand="0" w:evenVBand="0" w:oddHBand="0" w:evenHBand="0" w:firstRowFirstColumn="0" w:firstRowLastColumn="0" w:lastRowFirstColumn="0" w:lastRowLastColumn="0"/>
            </w:pPr>
            <w:r w:rsidRPr="00E82929">
              <w:t>2016–17</w:t>
            </w:r>
          </w:p>
        </w:tc>
        <w:tc>
          <w:tcPr>
            <w:tcW w:w="982" w:type="dxa"/>
          </w:tcPr>
          <w:p w:rsidR="009A5073" w:rsidRPr="009A5073" w:rsidRDefault="009A5073" w:rsidP="009A5073">
            <w:pPr>
              <w:cnfStyle w:val="100000000000" w:firstRow="1" w:lastRow="0" w:firstColumn="0" w:lastColumn="0" w:oddVBand="0" w:evenVBand="0" w:oddHBand="0" w:evenHBand="0" w:firstRowFirstColumn="0" w:firstRowLastColumn="0" w:lastRowFirstColumn="0" w:lastRowLastColumn="0"/>
            </w:pPr>
            <w:r w:rsidRPr="00E82929">
              <w:t>2017–18</w:t>
            </w:r>
          </w:p>
        </w:tc>
        <w:tc>
          <w:tcPr>
            <w:tcW w:w="982" w:type="dxa"/>
          </w:tcPr>
          <w:p w:rsidR="009A5073" w:rsidRPr="009A5073" w:rsidRDefault="009A5073" w:rsidP="009A5073">
            <w:pPr>
              <w:cnfStyle w:val="100000000000" w:firstRow="1" w:lastRow="0" w:firstColumn="0" w:lastColumn="0" w:oddVBand="0" w:evenVBand="0" w:oddHBand="0" w:evenHBand="0" w:firstRowFirstColumn="0" w:firstRowLastColumn="0" w:lastRowFirstColumn="0" w:lastRowLastColumn="0"/>
            </w:pPr>
            <w:r w:rsidRPr="00E82929">
              <w:t>2018–19</w:t>
            </w:r>
          </w:p>
        </w:tc>
        <w:tc>
          <w:tcPr>
            <w:tcW w:w="982" w:type="dxa"/>
          </w:tcPr>
          <w:p w:rsidR="009A5073" w:rsidRPr="009A5073" w:rsidRDefault="009A5073" w:rsidP="009A5073">
            <w:pPr>
              <w:cnfStyle w:val="100000000000" w:firstRow="1" w:lastRow="0" w:firstColumn="0" w:lastColumn="0" w:oddVBand="0" w:evenVBand="0" w:oddHBand="0" w:evenHBand="0" w:firstRowFirstColumn="0" w:firstRowLastColumn="0" w:lastRowFirstColumn="0" w:lastRowLastColumn="0"/>
            </w:pPr>
            <w:r w:rsidRPr="00E82929">
              <w:t>201</w:t>
            </w:r>
            <w:r w:rsidRPr="009A5073">
              <w:t>9–20</w:t>
            </w:r>
          </w:p>
        </w:tc>
        <w:tc>
          <w:tcPr>
            <w:tcW w:w="982" w:type="dxa"/>
          </w:tcPr>
          <w:p w:rsidR="009A5073" w:rsidRPr="009A5073" w:rsidRDefault="009A5073" w:rsidP="009A5073">
            <w:pPr>
              <w:cnfStyle w:val="100000000000" w:firstRow="1" w:lastRow="0" w:firstColumn="0" w:lastColumn="0" w:oddVBand="0" w:evenVBand="0" w:oddHBand="0" w:evenHBand="0" w:firstRowFirstColumn="0" w:firstRowLastColumn="0" w:lastRowFirstColumn="0" w:lastRowLastColumn="0"/>
            </w:pPr>
            <w:r w:rsidRPr="00E82929">
              <w:t>Total</w:t>
            </w:r>
          </w:p>
        </w:tc>
      </w:tr>
      <w:tr w:rsidR="009A5073" w:rsidTr="00D459C7">
        <w:tc>
          <w:tcPr>
            <w:cnfStyle w:val="001000000000" w:firstRow="0" w:lastRow="0" w:firstColumn="1" w:lastColumn="0" w:oddVBand="0" w:evenVBand="0" w:oddHBand="0" w:evenHBand="0" w:firstRowFirstColumn="0" w:firstRowLastColumn="0" w:lastRowFirstColumn="0" w:lastRowLastColumn="0"/>
            <w:tcW w:w="2802" w:type="dxa"/>
          </w:tcPr>
          <w:p w:rsidR="009A5073" w:rsidRPr="009A5073" w:rsidRDefault="009A5073" w:rsidP="009A5073">
            <w:r w:rsidRPr="00E82929">
              <w:t>JGN's initial proposal</w:t>
            </w:r>
          </w:p>
        </w:tc>
        <w:tc>
          <w:tcPr>
            <w:tcW w:w="981" w:type="dxa"/>
          </w:tcPr>
          <w:p w:rsidR="009A5073" w:rsidRPr="009A5073" w:rsidRDefault="009A5073" w:rsidP="009A5073">
            <w:pPr>
              <w:cnfStyle w:val="000000000000" w:firstRow="0" w:lastRow="0" w:firstColumn="0" w:lastColumn="0" w:oddVBand="0" w:evenVBand="0" w:oddHBand="0" w:evenHBand="0" w:firstRowFirstColumn="0" w:firstRowLastColumn="0" w:lastRowFirstColumn="0" w:lastRowLastColumn="0"/>
            </w:pPr>
            <w:r w:rsidRPr="00E82929">
              <w:t>156.7</w:t>
            </w:r>
          </w:p>
        </w:tc>
        <w:tc>
          <w:tcPr>
            <w:tcW w:w="982" w:type="dxa"/>
          </w:tcPr>
          <w:p w:rsidR="009A5073" w:rsidRPr="009A5073" w:rsidRDefault="009A5073" w:rsidP="009A5073">
            <w:pPr>
              <w:cnfStyle w:val="000000000000" w:firstRow="0" w:lastRow="0" w:firstColumn="0" w:lastColumn="0" w:oddVBand="0" w:evenVBand="0" w:oddHBand="0" w:evenHBand="0" w:firstRowFirstColumn="0" w:firstRowLastColumn="0" w:lastRowFirstColumn="0" w:lastRowLastColumn="0"/>
            </w:pPr>
            <w:r w:rsidRPr="00E82929">
              <w:t>156.8</w:t>
            </w:r>
          </w:p>
        </w:tc>
        <w:tc>
          <w:tcPr>
            <w:tcW w:w="982" w:type="dxa"/>
          </w:tcPr>
          <w:p w:rsidR="009A5073" w:rsidRPr="009A5073" w:rsidRDefault="009A5073" w:rsidP="009A5073">
            <w:pPr>
              <w:cnfStyle w:val="000000000000" w:firstRow="0" w:lastRow="0" w:firstColumn="0" w:lastColumn="0" w:oddVBand="0" w:evenVBand="0" w:oddHBand="0" w:evenHBand="0" w:firstRowFirstColumn="0" w:firstRowLastColumn="0" w:lastRowFirstColumn="0" w:lastRowLastColumn="0"/>
            </w:pPr>
            <w:r w:rsidRPr="00E82929">
              <w:t>158.2</w:t>
            </w:r>
          </w:p>
        </w:tc>
        <w:tc>
          <w:tcPr>
            <w:tcW w:w="982" w:type="dxa"/>
          </w:tcPr>
          <w:p w:rsidR="009A5073" w:rsidRPr="009A5073" w:rsidRDefault="009A5073" w:rsidP="009A5073">
            <w:pPr>
              <w:cnfStyle w:val="000000000000" w:firstRow="0" w:lastRow="0" w:firstColumn="0" w:lastColumn="0" w:oddVBand="0" w:evenVBand="0" w:oddHBand="0" w:evenHBand="0" w:firstRowFirstColumn="0" w:firstRowLastColumn="0" w:lastRowFirstColumn="0" w:lastRowLastColumn="0"/>
            </w:pPr>
            <w:r w:rsidRPr="00E82929">
              <w:t>163.0</w:t>
            </w:r>
          </w:p>
        </w:tc>
        <w:tc>
          <w:tcPr>
            <w:tcW w:w="982" w:type="dxa"/>
          </w:tcPr>
          <w:p w:rsidR="009A5073" w:rsidRPr="009A5073" w:rsidRDefault="009A5073" w:rsidP="009A5073">
            <w:pPr>
              <w:cnfStyle w:val="000000000000" w:firstRow="0" w:lastRow="0" w:firstColumn="0" w:lastColumn="0" w:oddVBand="0" w:evenVBand="0" w:oddHBand="0" w:evenHBand="0" w:firstRowFirstColumn="0" w:firstRowLastColumn="0" w:lastRowFirstColumn="0" w:lastRowLastColumn="0"/>
            </w:pPr>
            <w:r w:rsidRPr="00E82929">
              <w:t>162.7</w:t>
            </w:r>
          </w:p>
        </w:tc>
        <w:tc>
          <w:tcPr>
            <w:tcW w:w="982" w:type="dxa"/>
          </w:tcPr>
          <w:p w:rsidR="009A5073" w:rsidRPr="009A5073" w:rsidRDefault="009A5073" w:rsidP="009A5073">
            <w:pPr>
              <w:cnfStyle w:val="000000000000" w:firstRow="0" w:lastRow="0" w:firstColumn="0" w:lastColumn="0" w:oddVBand="0" w:evenVBand="0" w:oddHBand="0" w:evenHBand="0" w:firstRowFirstColumn="0" w:firstRowLastColumn="0" w:lastRowFirstColumn="0" w:lastRowLastColumn="0"/>
            </w:pPr>
            <w:r w:rsidRPr="00E82929">
              <w:t>797.5</w:t>
            </w:r>
          </w:p>
        </w:tc>
      </w:tr>
      <w:tr w:rsidR="009A5073" w:rsidTr="00D459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9A5073" w:rsidRPr="009A5073" w:rsidRDefault="009A5073" w:rsidP="009A5073">
            <w:r w:rsidRPr="00E82929">
              <w:t>AER draft decision</w:t>
            </w:r>
          </w:p>
        </w:tc>
        <w:tc>
          <w:tcPr>
            <w:tcW w:w="981" w:type="dxa"/>
          </w:tcPr>
          <w:p w:rsidR="009A5073" w:rsidRPr="009A5073" w:rsidRDefault="009A5073" w:rsidP="009A5073">
            <w:pPr>
              <w:cnfStyle w:val="000000010000" w:firstRow="0" w:lastRow="0" w:firstColumn="0" w:lastColumn="0" w:oddVBand="0" w:evenVBand="0" w:oddHBand="0" w:evenHBand="1" w:firstRowFirstColumn="0" w:firstRowLastColumn="0" w:lastRowFirstColumn="0" w:lastRowLastColumn="0"/>
            </w:pPr>
            <w:r w:rsidRPr="00E82929">
              <w:t>154.4</w:t>
            </w:r>
          </w:p>
        </w:tc>
        <w:tc>
          <w:tcPr>
            <w:tcW w:w="982" w:type="dxa"/>
          </w:tcPr>
          <w:p w:rsidR="009A5073" w:rsidRPr="009A5073" w:rsidRDefault="009A5073" w:rsidP="009A5073">
            <w:pPr>
              <w:cnfStyle w:val="000000010000" w:firstRow="0" w:lastRow="0" w:firstColumn="0" w:lastColumn="0" w:oddVBand="0" w:evenVBand="0" w:oddHBand="0" w:evenHBand="1" w:firstRowFirstColumn="0" w:firstRowLastColumn="0" w:lastRowFirstColumn="0" w:lastRowLastColumn="0"/>
            </w:pPr>
            <w:r w:rsidRPr="00E82929">
              <w:t>153.8</w:t>
            </w:r>
          </w:p>
        </w:tc>
        <w:tc>
          <w:tcPr>
            <w:tcW w:w="982" w:type="dxa"/>
          </w:tcPr>
          <w:p w:rsidR="009A5073" w:rsidRPr="009A5073" w:rsidRDefault="009A5073" w:rsidP="009A5073">
            <w:pPr>
              <w:cnfStyle w:val="000000010000" w:firstRow="0" w:lastRow="0" w:firstColumn="0" w:lastColumn="0" w:oddVBand="0" w:evenVBand="0" w:oddHBand="0" w:evenHBand="1" w:firstRowFirstColumn="0" w:firstRowLastColumn="0" w:lastRowFirstColumn="0" w:lastRowLastColumn="0"/>
            </w:pPr>
            <w:r w:rsidRPr="00E82929">
              <w:t>154.6</w:t>
            </w:r>
          </w:p>
        </w:tc>
        <w:tc>
          <w:tcPr>
            <w:tcW w:w="982" w:type="dxa"/>
          </w:tcPr>
          <w:p w:rsidR="009A5073" w:rsidRPr="009A5073" w:rsidRDefault="009A5073" w:rsidP="009A5073">
            <w:pPr>
              <w:cnfStyle w:val="000000010000" w:firstRow="0" w:lastRow="0" w:firstColumn="0" w:lastColumn="0" w:oddVBand="0" w:evenVBand="0" w:oddHBand="0" w:evenHBand="1" w:firstRowFirstColumn="0" w:firstRowLastColumn="0" w:lastRowFirstColumn="0" w:lastRowLastColumn="0"/>
            </w:pPr>
            <w:r w:rsidRPr="00E82929">
              <w:t>159.0</w:t>
            </w:r>
          </w:p>
        </w:tc>
        <w:tc>
          <w:tcPr>
            <w:tcW w:w="982" w:type="dxa"/>
          </w:tcPr>
          <w:p w:rsidR="009A5073" w:rsidRPr="009A5073" w:rsidRDefault="009A5073" w:rsidP="009A5073">
            <w:pPr>
              <w:cnfStyle w:val="000000010000" w:firstRow="0" w:lastRow="0" w:firstColumn="0" w:lastColumn="0" w:oddVBand="0" w:evenVBand="0" w:oddHBand="0" w:evenHBand="1" w:firstRowFirstColumn="0" w:firstRowLastColumn="0" w:lastRowFirstColumn="0" w:lastRowLastColumn="0"/>
            </w:pPr>
            <w:r w:rsidRPr="00E82929">
              <w:t>157.8</w:t>
            </w:r>
          </w:p>
        </w:tc>
        <w:tc>
          <w:tcPr>
            <w:tcW w:w="982" w:type="dxa"/>
          </w:tcPr>
          <w:p w:rsidR="009A5073" w:rsidRPr="009A5073" w:rsidRDefault="009A5073" w:rsidP="009A5073">
            <w:pPr>
              <w:cnfStyle w:val="000000010000" w:firstRow="0" w:lastRow="0" w:firstColumn="0" w:lastColumn="0" w:oddVBand="0" w:evenVBand="0" w:oddHBand="0" w:evenHBand="1" w:firstRowFirstColumn="0" w:firstRowLastColumn="0" w:lastRowFirstColumn="0" w:lastRowLastColumn="0"/>
            </w:pPr>
            <w:r w:rsidRPr="00E82929">
              <w:t>779.7</w:t>
            </w:r>
          </w:p>
        </w:tc>
      </w:tr>
      <w:tr w:rsidR="009A5073" w:rsidTr="00D459C7">
        <w:tc>
          <w:tcPr>
            <w:cnfStyle w:val="001000000000" w:firstRow="0" w:lastRow="0" w:firstColumn="1" w:lastColumn="0" w:oddVBand="0" w:evenVBand="0" w:oddHBand="0" w:evenHBand="0" w:firstRowFirstColumn="0" w:firstRowLastColumn="0" w:lastRowFirstColumn="0" w:lastRowLastColumn="0"/>
            <w:tcW w:w="2802" w:type="dxa"/>
          </w:tcPr>
          <w:p w:rsidR="009A5073" w:rsidRPr="009A5073" w:rsidRDefault="009A5073" w:rsidP="009A5073">
            <w:r>
              <w:t>Update to</w:t>
            </w:r>
            <w:r w:rsidR="001623AE">
              <w:t xml:space="preserve"> </w:t>
            </w:r>
            <w:r w:rsidRPr="009A5073">
              <w:t>JGN's revised proposal</w:t>
            </w:r>
            <w:r w:rsidRPr="009A5073">
              <w:rPr>
                <w:rStyle w:val="FootnoteReference"/>
              </w:rPr>
              <w:footnoteReference w:id="81"/>
            </w:r>
          </w:p>
        </w:tc>
        <w:tc>
          <w:tcPr>
            <w:tcW w:w="981" w:type="dxa"/>
          </w:tcPr>
          <w:p w:rsidR="009A5073" w:rsidRPr="009A5073" w:rsidRDefault="009A5073" w:rsidP="009A5073">
            <w:pPr>
              <w:cnfStyle w:val="000000000000" w:firstRow="0" w:lastRow="0" w:firstColumn="0" w:lastColumn="0" w:oddVBand="0" w:evenVBand="0" w:oddHBand="0" w:evenHBand="0" w:firstRowFirstColumn="0" w:firstRowLastColumn="0" w:lastRowFirstColumn="0" w:lastRowLastColumn="0"/>
            </w:pPr>
            <w:r>
              <w:t>158.0</w:t>
            </w:r>
          </w:p>
        </w:tc>
        <w:tc>
          <w:tcPr>
            <w:tcW w:w="982" w:type="dxa"/>
          </w:tcPr>
          <w:p w:rsidR="009A5073" w:rsidRPr="009A5073" w:rsidRDefault="009A5073" w:rsidP="009A5073">
            <w:pPr>
              <w:cnfStyle w:val="000000000000" w:firstRow="0" w:lastRow="0" w:firstColumn="0" w:lastColumn="0" w:oddVBand="0" w:evenVBand="0" w:oddHBand="0" w:evenHBand="0" w:firstRowFirstColumn="0" w:firstRowLastColumn="0" w:lastRowFirstColumn="0" w:lastRowLastColumn="0"/>
            </w:pPr>
            <w:r>
              <w:t>159.</w:t>
            </w:r>
            <w:r w:rsidRPr="009A5073">
              <w:t>9</w:t>
            </w:r>
          </w:p>
        </w:tc>
        <w:tc>
          <w:tcPr>
            <w:tcW w:w="982" w:type="dxa"/>
          </w:tcPr>
          <w:p w:rsidR="009A5073" w:rsidRPr="009A5073" w:rsidRDefault="009A5073" w:rsidP="009A5073">
            <w:pPr>
              <w:cnfStyle w:val="000000000000" w:firstRow="0" w:lastRow="0" w:firstColumn="0" w:lastColumn="0" w:oddVBand="0" w:evenVBand="0" w:oddHBand="0" w:evenHBand="0" w:firstRowFirstColumn="0" w:firstRowLastColumn="0" w:lastRowFirstColumn="0" w:lastRowLastColumn="0"/>
            </w:pPr>
            <w:r>
              <w:t>160.4</w:t>
            </w:r>
          </w:p>
        </w:tc>
        <w:tc>
          <w:tcPr>
            <w:tcW w:w="982" w:type="dxa"/>
          </w:tcPr>
          <w:p w:rsidR="009A5073" w:rsidRPr="009A5073" w:rsidRDefault="009A5073" w:rsidP="009A5073">
            <w:pPr>
              <w:cnfStyle w:val="000000000000" w:firstRow="0" w:lastRow="0" w:firstColumn="0" w:lastColumn="0" w:oddVBand="0" w:evenVBand="0" w:oddHBand="0" w:evenHBand="0" w:firstRowFirstColumn="0" w:firstRowLastColumn="0" w:lastRowFirstColumn="0" w:lastRowLastColumn="0"/>
            </w:pPr>
            <w:r>
              <w:t>165.3</w:t>
            </w:r>
          </w:p>
        </w:tc>
        <w:tc>
          <w:tcPr>
            <w:tcW w:w="982" w:type="dxa"/>
          </w:tcPr>
          <w:p w:rsidR="009A5073" w:rsidRPr="009A5073" w:rsidRDefault="009A5073" w:rsidP="009A5073">
            <w:pPr>
              <w:cnfStyle w:val="000000000000" w:firstRow="0" w:lastRow="0" w:firstColumn="0" w:lastColumn="0" w:oddVBand="0" w:evenVBand="0" w:oddHBand="0" w:evenHBand="0" w:firstRowFirstColumn="0" w:firstRowLastColumn="0" w:lastRowFirstColumn="0" w:lastRowLastColumn="0"/>
            </w:pPr>
            <w:r>
              <w:t>164.8</w:t>
            </w:r>
          </w:p>
        </w:tc>
        <w:tc>
          <w:tcPr>
            <w:tcW w:w="982" w:type="dxa"/>
          </w:tcPr>
          <w:p w:rsidR="009A5073" w:rsidRPr="009A5073" w:rsidRDefault="009A5073" w:rsidP="009A5073">
            <w:pPr>
              <w:cnfStyle w:val="000000000000" w:firstRow="0" w:lastRow="0" w:firstColumn="0" w:lastColumn="0" w:oddVBand="0" w:evenVBand="0" w:oddHBand="0" w:evenHBand="0" w:firstRowFirstColumn="0" w:firstRowLastColumn="0" w:lastRowFirstColumn="0" w:lastRowLastColumn="0"/>
            </w:pPr>
            <w:r>
              <w:t>808</w:t>
            </w:r>
            <w:r w:rsidRPr="009A5073">
              <w:t>.2</w:t>
            </w:r>
          </w:p>
        </w:tc>
      </w:tr>
      <w:tr w:rsidR="009A5073" w:rsidTr="00D459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9A5073" w:rsidRPr="009A5073" w:rsidRDefault="009A5073" w:rsidP="009A5073">
            <w:r w:rsidRPr="00E82929">
              <w:t>AER final decision</w:t>
            </w:r>
          </w:p>
        </w:tc>
        <w:tc>
          <w:tcPr>
            <w:tcW w:w="981" w:type="dxa"/>
          </w:tcPr>
          <w:p w:rsidR="009A5073" w:rsidRPr="009A5073" w:rsidRDefault="009A5073" w:rsidP="009A5073">
            <w:pPr>
              <w:cnfStyle w:val="000000010000" w:firstRow="0" w:lastRow="0" w:firstColumn="0" w:lastColumn="0" w:oddVBand="0" w:evenVBand="0" w:oddHBand="0" w:evenHBand="1" w:firstRowFirstColumn="0" w:firstRowLastColumn="0" w:lastRowFirstColumn="0" w:lastRowLastColumn="0"/>
            </w:pPr>
            <w:r>
              <w:t>1</w:t>
            </w:r>
            <w:r w:rsidRPr="009A5073">
              <w:t>57.1</w:t>
            </w:r>
          </w:p>
        </w:tc>
        <w:tc>
          <w:tcPr>
            <w:tcW w:w="982" w:type="dxa"/>
          </w:tcPr>
          <w:p w:rsidR="009A5073" w:rsidRPr="009A5073" w:rsidRDefault="009A5073" w:rsidP="009A5073">
            <w:pPr>
              <w:cnfStyle w:val="000000010000" w:firstRow="0" w:lastRow="0" w:firstColumn="0" w:lastColumn="0" w:oddVBand="0" w:evenVBand="0" w:oddHBand="0" w:evenHBand="1" w:firstRowFirstColumn="0" w:firstRowLastColumn="0" w:lastRowFirstColumn="0" w:lastRowLastColumn="0"/>
            </w:pPr>
            <w:r>
              <w:t>15</w:t>
            </w:r>
            <w:r w:rsidRPr="009A5073">
              <w:t>8.</w:t>
            </w:r>
            <w:r w:rsidR="009564AB">
              <w:t>0</w:t>
            </w:r>
          </w:p>
        </w:tc>
        <w:tc>
          <w:tcPr>
            <w:tcW w:w="982" w:type="dxa"/>
          </w:tcPr>
          <w:p w:rsidR="009A5073" w:rsidRPr="009A5073" w:rsidRDefault="009564AB" w:rsidP="009A5073">
            <w:pPr>
              <w:cnfStyle w:val="000000010000" w:firstRow="0" w:lastRow="0" w:firstColumn="0" w:lastColumn="0" w:oddVBand="0" w:evenVBand="0" w:oddHBand="0" w:evenHBand="1" w:firstRowFirstColumn="0" w:firstRowLastColumn="0" w:lastRowFirstColumn="0" w:lastRowLastColumn="0"/>
            </w:pPr>
            <w:r>
              <w:t>158.9</w:t>
            </w:r>
          </w:p>
        </w:tc>
        <w:tc>
          <w:tcPr>
            <w:tcW w:w="982" w:type="dxa"/>
          </w:tcPr>
          <w:p w:rsidR="009A5073" w:rsidRPr="009A5073" w:rsidRDefault="009A5073">
            <w:pPr>
              <w:cnfStyle w:val="000000010000" w:firstRow="0" w:lastRow="0" w:firstColumn="0" w:lastColumn="0" w:oddVBand="0" w:evenVBand="0" w:oddHBand="0" w:evenHBand="1" w:firstRowFirstColumn="0" w:firstRowLastColumn="0" w:lastRowFirstColumn="0" w:lastRowLastColumn="0"/>
            </w:pPr>
            <w:r>
              <w:t>1</w:t>
            </w:r>
            <w:r w:rsidRPr="009A5073">
              <w:t>6</w:t>
            </w:r>
            <w:r w:rsidR="009564AB">
              <w:t>3.5</w:t>
            </w:r>
          </w:p>
        </w:tc>
        <w:tc>
          <w:tcPr>
            <w:tcW w:w="982" w:type="dxa"/>
          </w:tcPr>
          <w:p w:rsidR="009A5073" w:rsidRPr="009A5073" w:rsidRDefault="009564AB" w:rsidP="009A5073">
            <w:pPr>
              <w:cnfStyle w:val="000000010000" w:firstRow="0" w:lastRow="0" w:firstColumn="0" w:lastColumn="0" w:oddVBand="0" w:evenVBand="0" w:oddHBand="0" w:evenHBand="1" w:firstRowFirstColumn="0" w:firstRowLastColumn="0" w:lastRowFirstColumn="0" w:lastRowLastColumn="0"/>
            </w:pPr>
            <w:r>
              <w:t>162.7</w:t>
            </w:r>
          </w:p>
        </w:tc>
        <w:tc>
          <w:tcPr>
            <w:tcW w:w="982" w:type="dxa"/>
          </w:tcPr>
          <w:p w:rsidR="009A5073" w:rsidRPr="009A5073" w:rsidRDefault="009564AB" w:rsidP="009A5073">
            <w:pPr>
              <w:cnfStyle w:val="000000010000" w:firstRow="0" w:lastRow="0" w:firstColumn="0" w:lastColumn="0" w:oddVBand="0" w:evenVBand="0" w:oddHBand="0" w:evenHBand="1" w:firstRowFirstColumn="0" w:firstRowLastColumn="0" w:lastRowFirstColumn="0" w:lastRowLastColumn="0"/>
            </w:pPr>
            <w:r>
              <w:t>800.0</w:t>
            </w:r>
          </w:p>
        </w:tc>
      </w:tr>
    </w:tbl>
    <w:p w:rsidR="009A5073" w:rsidRPr="00B47806" w:rsidRDefault="009A5073" w:rsidP="009A5073">
      <w:pPr>
        <w:pStyle w:val="AERtablesource"/>
      </w:pPr>
      <w:r w:rsidRPr="00B47806">
        <w:t>Source:</w:t>
      </w:r>
      <w:r w:rsidRPr="00B47806">
        <w:tab/>
        <w:t>AER analysis.</w:t>
      </w:r>
    </w:p>
    <w:p w:rsidR="009A5073" w:rsidRPr="00B47806" w:rsidRDefault="009A5073" w:rsidP="009A5073">
      <w:pPr>
        <w:pStyle w:val="AERtablesource"/>
      </w:pPr>
      <w:r w:rsidRPr="00B47806">
        <w:t>Note:</w:t>
      </w:r>
      <w:r w:rsidRPr="00B47806">
        <w:tab/>
        <w:t>Excludes debt raising costs.</w:t>
      </w:r>
    </w:p>
    <w:p w:rsidR="009A5073" w:rsidRDefault="00172A87" w:rsidP="009A5073">
      <w:pPr>
        <w:rPr>
          <w:rStyle w:val="AERbody"/>
        </w:rPr>
      </w:pPr>
      <w:r>
        <w:rPr>
          <w:rStyle w:val="AERbody"/>
        </w:rPr>
        <w:fldChar w:fldCharType="begin"/>
      </w:r>
      <w:r>
        <w:rPr>
          <w:rStyle w:val="AERbody"/>
        </w:rPr>
        <w:instrText xml:space="preserve"> REF _Ref418858370 \h </w:instrText>
      </w:r>
      <w:r>
        <w:rPr>
          <w:rStyle w:val="AERbody"/>
        </w:rPr>
      </w:r>
      <w:r>
        <w:rPr>
          <w:rStyle w:val="AERbody"/>
        </w:rPr>
        <w:fldChar w:fldCharType="separate"/>
      </w:r>
      <w:r w:rsidR="009037A2">
        <w:t xml:space="preserve">Figure </w:t>
      </w:r>
      <w:r w:rsidR="009037A2">
        <w:rPr>
          <w:noProof/>
        </w:rPr>
        <w:t>8</w:t>
      </w:r>
      <w:r>
        <w:rPr>
          <w:rStyle w:val="AERbody"/>
        </w:rPr>
        <w:fldChar w:fldCharType="end"/>
      </w:r>
      <w:r>
        <w:rPr>
          <w:rStyle w:val="AERbody"/>
        </w:rPr>
        <w:t xml:space="preserve"> </w:t>
      </w:r>
      <w:r w:rsidR="009A5073">
        <w:rPr>
          <w:rStyle w:val="AERbody"/>
        </w:rPr>
        <w:t xml:space="preserve">shows </w:t>
      </w:r>
      <w:r w:rsidR="009A5073" w:rsidRPr="00EA4AAE">
        <w:rPr>
          <w:rStyle w:val="AERbody"/>
        </w:rPr>
        <w:t xml:space="preserve">our </w:t>
      </w:r>
      <w:r w:rsidR="009A5073">
        <w:rPr>
          <w:rStyle w:val="AERbody"/>
        </w:rPr>
        <w:t>final</w:t>
      </w:r>
      <w:r w:rsidR="009A5073" w:rsidRPr="00EA4AAE">
        <w:rPr>
          <w:rStyle w:val="AERbody"/>
        </w:rPr>
        <w:t xml:space="preserve"> decision compared to </w:t>
      </w:r>
      <w:r w:rsidR="009A5073">
        <w:rPr>
          <w:rStyle w:val="AERbody"/>
        </w:rPr>
        <w:t>JGN's</w:t>
      </w:r>
      <w:r w:rsidR="009A5073" w:rsidRPr="00EA4AAE">
        <w:rPr>
          <w:rStyle w:val="AERbody"/>
        </w:rPr>
        <w:t xml:space="preserve"> proposal, its past allowances and past actual expenditure.</w:t>
      </w:r>
    </w:p>
    <w:p w:rsidR="009A5073" w:rsidRDefault="00172A87" w:rsidP="00172A87">
      <w:pPr>
        <w:pStyle w:val="Caption"/>
      </w:pPr>
      <w:bookmarkStart w:id="141" w:name="_Ref418858370"/>
      <w:r>
        <w:t xml:space="preserve">Figure </w:t>
      </w:r>
      <w:fldSimple w:instr=" SEQ Figure \* ARABIC ">
        <w:r w:rsidR="009037A2">
          <w:rPr>
            <w:noProof/>
          </w:rPr>
          <w:t>8</w:t>
        </w:r>
      </w:fldSimple>
      <w:bookmarkEnd w:id="141"/>
      <w:r w:rsidR="009A5073">
        <w:tab/>
        <w:t>Our</w:t>
      </w:r>
      <w:r w:rsidR="009A5073" w:rsidRPr="00B020B6">
        <w:t xml:space="preserve"> </w:t>
      </w:r>
      <w:r w:rsidR="009A5073">
        <w:t>final decision</w:t>
      </w:r>
      <w:r w:rsidR="009A5073" w:rsidRPr="00B020B6">
        <w:t xml:space="preserve"> compared to </w:t>
      </w:r>
      <w:r w:rsidR="009A5073">
        <w:t>Jemena Gas Networks'</w:t>
      </w:r>
      <w:r w:rsidR="009A5073" w:rsidRPr="00B020B6">
        <w:t xml:space="preserve"> pa</w:t>
      </w:r>
      <w:r w:rsidR="009A5073">
        <w:t>st and proposed opex ($ million, </w:t>
      </w:r>
      <w:r w:rsidR="009A5073" w:rsidRPr="00B020B6">
        <w:t>201</w:t>
      </w:r>
      <w:r w:rsidR="009A5073">
        <w:t>4–15</w:t>
      </w:r>
      <w:r w:rsidR="009A5073" w:rsidRPr="00B020B6">
        <w:t>)</w:t>
      </w:r>
    </w:p>
    <w:p w:rsidR="009A5073" w:rsidRPr="00014FEE" w:rsidRDefault="009564AB" w:rsidP="009A5073">
      <w:r w:rsidRPr="009564AB">
        <w:rPr>
          <w:noProof/>
          <w:lang w:eastAsia="en-AU"/>
        </w:rPr>
        <w:drawing>
          <wp:inline distT="0" distB="0" distL="0" distR="0" wp14:anchorId="7568BCFC" wp14:editId="4E270E66">
            <wp:extent cx="5382895" cy="3548787"/>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3548787"/>
                    </a:xfrm>
                    <a:prstGeom prst="rect">
                      <a:avLst/>
                    </a:prstGeom>
                    <a:noFill/>
                    <a:ln>
                      <a:noFill/>
                    </a:ln>
                  </pic:spPr>
                </pic:pic>
              </a:graphicData>
            </a:graphic>
          </wp:inline>
        </w:drawing>
      </w:r>
    </w:p>
    <w:p w:rsidR="009A5073" w:rsidRDefault="009A5073" w:rsidP="009A5073">
      <w:pPr>
        <w:pStyle w:val="AERtablesource"/>
      </w:pPr>
      <w:r>
        <w:t>Source: AER analysis.</w:t>
      </w:r>
    </w:p>
    <w:p w:rsidR="00050448" w:rsidRPr="009F0D00" w:rsidRDefault="00050448" w:rsidP="00EE4588">
      <w:r>
        <w:t xml:space="preserve">Our final decision on JGN's </w:t>
      </w:r>
      <w:r w:rsidR="00FE0494">
        <w:t xml:space="preserve">operating </w:t>
      </w:r>
      <w:r>
        <w:t xml:space="preserve">expenditure is </w:t>
      </w:r>
      <w:r w:rsidR="00FE0494">
        <w:t xml:space="preserve">set out </w:t>
      </w:r>
      <w:r>
        <w:t>in attachment 7.</w:t>
      </w:r>
    </w:p>
    <w:p w:rsidR="008E433E" w:rsidRPr="00DC2000" w:rsidRDefault="008E433E" w:rsidP="008E433E">
      <w:pPr>
        <w:pStyle w:val="Heading2"/>
      </w:pPr>
      <w:bookmarkStart w:id="142" w:name="_Toc404154752"/>
      <w:bookmarkStart w:id="143" w:name="_Toc404437145"/>
      <w:bookmarkStart w:id="144" w:name="_Toc411428056"/>
      <w:bookmarkStart w:id="145" w:name="_Toc417993968"/>
      <w:bookmarkStart w:id="146" w:name="_Toc419895032"/>
      <w:bookmarkEnd w:id="142"/>
      <w:r w:rsidRPr="00DC2000">
        <w:t>Corporate income tax</w:t>
      </w:r>
      <w:bookmarkEnd w:id="143"/>
      <w:bookmarkEnd w:id="144"/>
      <w:bookmarkEnd w:id="145"/>
      <w:bookmarkEnd w:id="146"/>
    </w:p>
    <w:p w:rsidR="00690B11" w:rsidRDefault="00690B11" w:rsidP="00690B11">
      <w:pPr>
        <w:numPr>
          <w:ilvl w:val="0"/>
          <w:numId w:val="25"/>
        </w:numPr>
        <w:rPr>
          <w:rStyle w:val="AERbody"/>
        </w:rPr>
      </w:pPr>
      <w:r w:rsidRPr="007B7287">
        <w:t>When determining the total revenue for JGN, we must estimate JGN’s cost of corporate income tax.</w:t>
      </w:r>
      <w:r w:rsidRPr="007B7287">
        <w:rPr>
          <w:rStyle w:val="FootnoteReference"/>
        </w:rPr>
        <w:footnoteReference w:id="82"/>
      </w:r>
      <w:r w:rsidRPr="007B7287">
        <w:t xml:space="preserve"> JGN has adopted the post-tax framework to </w:t>
      </w:r>
      <w:r w:rsidRPr="007B7287">
        <w:rPr>
          <w:rStyle w:val="AERbody"/>
        </w:rPr>
        <w:t>derive its revenue requirement for the 2015–20 access arrangement period.</w:t>
      </w:r>
      <w:r w:rsidRPr="007B7287">
        <w:rPr>
          <w:rStyle w:val="FootnoteReference"/>
        </w:rPr>
        <w:footnoteReference w:id="83"/>
      </w:r>
      <w:r w:rsidRPr="007B7287">
        <w:rPr>
          <w:rStyle w:val="AERbody"/>
        </w:rPr>
        <w:t xml:space="preserve"> Under the post-tax framework, a separate corporate income tax allowance is calculated as part of the building blocks assessment. </w:t>
      </w:r>
    </w:p>
    <w:p w:rsidR="00690B11" w:rsidRPr="007B7287" w:rsidRDefault="00A14652" w:rsidP="00690B11">
      <w:pPr>
        <w:numPr>
          <w:ilvl w:val="0"/>
          <w:numId w:val="25"/>
        </w:numPr>
      </w:pPr>
      <w:r w:rsidRPr="00FD50DB">
        <w:t>We do not a</w:t>
      </w:r>
      <w:r>
        <w:t>pprove</w:t>
      </w:r>
      <w:r w:rsidRPr="00FD50DB">
        <w:t xml:space="preserve"> JGN’s </w:t>
      </w:r>
      <w:r>
        <w:t xml:space="preserve">revised </w:t>
      </w:r>
      <w:r w:rsidRPr="00FD50DB">
        <w:t>propos</w:t>
      </w:r>
      <w:r>
        <w:t>ed</w:t>
      </w:r>
      <w:r w:rsidRPr="00FD50DB">
        <w:t xml:space="preserve"> corporate income tax allowance of $</w:t>
      </w:r>
      <w:r>
        <w:t>105.9</w:t>
      </w:r>
      <w:r w:rsidR="00EE4588">
        <w:t> </w:t>
      </w:r>
      <w:r w:rsidRPr="00FD50DB">
        <w:t>million ($nominal)</w:t>
      </w:r>
      <w:r>
        <w:t>.</w:t>
      </w:r>
      <w:r w:rsidRPr="00FD50DB">
        <w:t xml:space="preserve"> </w:t>
      </w:r>
      <w:r>
        <w:t xml:space="preserve">Our final decision is to determine an amount of </w:t>
      </w:r>
      <w:r w:rsidR="00690B11" w:rsidRPr="00625CBA">
        <w:rPr>
          <w:rStyle w:val="AERbody"/>
        </w:rPr>
        <w:t>$</w:t>
      </w:r>
      <w:r w:rsidR="00AE3B90" w:rsidRPr="00625CBA">
        <w:rPr>
          <w:rStyle w:val="AERbody"/>
        </w:rPr>
        <w:t>4</w:t>
      </w:r>
      <w:r w:rsidR="00DD30DE">
        <w:rPr>
          <w:rStyle w:val="AERbody"/>
        </w:rPr>
        <w:t>2</w:t>
      </w:r>
      <w:r w:rsidR="00AE3B90" w:rsidRPr="00625CBA">
        <w:rPr>
          <w:rStyle w:val="AERbody"/>
        </w:rPr>
        <w:t>.</w:t>
      </w:r>
      <w:r w:rsidR="00DD30DE">
        <w:rPr>
          <w:rStyle w:val="AERbody"/>
        </w:rPr>
        <w:t>4</w:t>
      </w:r>
      <w:r w:rsidR="00EE4588">
        <w:rPr>
          <w:rStyle w:val="AERbody"/>
        </w:rPr>
        <w:t> </w:t>
      </w:r>
      <w:r w:rsidR="00690B11" w:rsidRPr="00625CBA">
        <w:rPr>
          <w:rStyle w:val="AERbody"/>
        </w:rPr>
        <w:t>million ($nominal) as shown in</w:t>
      </w:r>
      <w:r w:rsidR="00FB2210" w:rsidRPr="00625CBA">
        <w:rPr>
          <w:rStyle w:val="AERbody"/>
        </w:rPr>
        <w:t xml:space="preserve"> </w:t>
      </w:r>
      <w:r w:rsidR="003F1C26">
        <w:rPr>
          <w:rStyle w:val="AERbody"/>
        </w:rPr>
        <w:fldChar w:fldCharType="begin"/>
      </w:r>
      <w:r w:rsidR="003F1C26">
        <w:rPr>
          <w:rStyle w:val="AERbody"/>
        </w:rPr>
        <w:instrText xml:space="preserve"> REF _Ref419800973 \h </w:instrText>
      </w:r>
      <w:r w:rsidR="003F1C26">
        <w:rPr>
          <w:rStyle w:val="AERbody"/>
        </w:rPr>
      </w:r>
      <w:r w:rsidR="003F1C26">
        <w:rPr>
          <w:rStyle w:val="AERbody"/>
        </w:rPr>
        <w:fldChar w:fldCharType="separate"/>
      </w:r>
      <w:r w:rsidR="006409EE">
        <w:t>t</w:t>
      </w:r>
      <w:r w:rsidR="009037A2">
        <w:t xml:space="preserve">able </w:t>
      </w:r>
      <w:r w:rsidR="009037A2">
        <w:rPr>
          <w:noProof/>
        </w:rPr>
        <w:t>12</w:t>
      </w:r>
      <w:r w:rsidR="003F1C26">
        <w:rPr>
          <w:rStyle w:val="AERbody"/>
        </w:rPr>
        <w:fldChar w:fldCharType="end"/>
      </w:r>
      <w:r>
        <w:rPr>
          <w:rStyle w:val="AERbody"/>
        </w:rPr>
        <w:t>, which</w:t>
      </w:r>
      <w:r w:rsidR="00690B11" w:rsidRPr="00625CBA">
        <w:rPr>
          <w:rStyle w:val="AERbody"/>
        </w:rPr>
        <w:t xml:space="preserve"> is $</w:t>
      </w:r>
      <w:r w:rsidR="00AE3B90" w:rsidRPr="00625CBA">
        <w:rPr>
          <w:rStyle w:val="AERbody"/>
        </w:rPr>
        <w:t>6</w:t>
      </w:r>
      <w:r w:rsidR="00DD30DE">
        <w:rPr>
          <w:rStyle w:val="AERbody"/>
        </w:rPr>
        <w:t>3</w:t>
      </w:r>
      <w:r w:rsidR="00AE3B90" w:rsidRPr="00625CBA">
        <w:rPr>
          <w:rStyle w:val="AERbody"/>
        </w:rPr>
        <w:t>.</w:t>
      </w:r>
      <w:r w:rsidR="00DD30DE">
        <w:rPr>
          <w:rStyle w:val="AERbody"/>
        </w:rPr>
        <w:t>5</w:t>
      </w:r>
      <w:r w:rsidR="00690B11" w:rsidRPr="00625CBA">
        <w:rPr>
          <w:rStyle w:val="AERbody"/>
        </w:rPr>
        <w:t xml:space="preserve"> million ($nominal) less tha</w:t>
      </w:r>
      <w:r w:rsidR="00690B11" w:rsidRPr="007B7287">
        <w:rPr>
          <w:rStyle w:val="AERbody"/>
        </w:rPr>
        <w:t>n JGN's revised proposal</w:t>
      </w:r>
      <w:r w:rsidR="00690B11" w:rsidRPr="007B7287">
        <w:t>.</w:t>
      </w:r>
      <w:r w:rsidR="00625CBA">
        <w:rPr>
          <w:rStyle w:val="FootnoteReference"/>
        </w:rPr>
        <w:footnoteReference w:id="84"/>
      </w:r>
      <w:r>
        <w:t xml:space="preserve"> </w:t>
      </w:r>
      <w:r w:rsidRPr="00FD50DB">
        <w:t xml:space="preserve">This is mainly </w:t>
      </w:r>
      <w:r>
        <w:t xml:space="preserve">a consequence </w:t>
      </w:r>
      <w:r w:rsidRPr="00FD50DB">
        <w:t xml:space="preserve">of our adjustments to JGN's </w:t>
      </w:r>
      <w:r>
        <w:t xml:space="preserve">proposed </w:t>
      </w:r>
      <w:r w:rsidRPr="00F17F59">
        <w:rPr>
          <w:rStyle w:val="AERbody"/>
        </w:rPr>
        <w:t>value of imputation credits—gamma—(</w:t>
      </w:r>
      <w:r>
        <w:rPr>
          <w:rStyle w:val="AERbody"/>
        </w:rPr>
        <w:t xml:space="preserve">section </w:t>
      </w:r>
      <w:r>
        <w:rPr>
          <w:rStyle w:val="AERbody"/>
        </w:rPr>
        <w:fldChar w:fldCharType="begin"/>
      </w:r>
      <w:r>
        <w:rPr>
          <w:rStyle w:val="AERbody"/>
        </w:rPr>
        <w:instrText xml:space="preserve"> REF _Ref419801863 \r \h </w:instrText>
      </w:r>
      <w:r>
        <w:rPr>
          <w:rStyle w:val="AERbody"/>
        </w:rPr>
      </w:r>
      <w:r>
        <w:rPr>
          <w:rStyle w:val="AERbody"/>
        </w:rPr>
        <w:fldChar w:fldCharType="separate"/>
      </w:r>
      <w:r w:rsidR="009037A2">
        <w:rPr>
          <w:rStyle w:val="AERbody"/>
        </w:rPr>
        <w:t>3.3</w:t>
      </w:r>
      <w:r>
        <w:rPr>
          <w:rStyle w:val="AERbody"/>
        </w:rPr>
        <w:fldChar w:fldCharType="end"/>
      </w:r>
      <w:r w:rsidRPr="00F17F59">
        <w:rPr>
          <w:rStyle w:val="AERbody"/>
        </w:rPr>
        <w:t>)</w:t>
      </w:r>
      <w:r>
        <w:rPr>
          <w:rStyle w:val="AERbody"/>
        </w:rPr>
        <w:t xml:space="preserve"> and other building block costs that affect revenues, such as the rate of return on capital (section </w:t>
      </w:r>
      <w:r>
        <w:rPr>
          <w:rStyle w:val="AERbody"/>
        </w:rPr>
        <w:fldChar w:fldCharType="begin"/>
      </w:r>
      <w:r>
        <w:rPr>
          <w:rStyle w:val="AERbody"/>
        </w:rPr>
        <w:instrText xml:space="preserve"> REF _Ref419801873 \r \h </w:instrText>
      </w:r>
      <w:r>
        <w:rPr>
          <w:rStyle w:val="AERbody"/>
        </w:rPr>
      </w:r>
      <w:r>
        <w:rPr>
          <w:rStyle w:val="AERbody"/>
        </w:rPr>
        <w:fldChar w:fldCharType="separate"/>
      </w:r>
      <w:r w:rsidR="009037A2">
        <w:rPr>
          <w:rStyle w:val="AERbody"/>
        </w:rPr>
        <w:t>3.2</w:t>
      </w:r>
      <w:r>
        <w:rPr>
          <w:rStyle w:val="AERbody"/>
        </w:rPr>
        <w:fldChar w:fldCharType="end"/>
      </w:r>
      <w:r>
        <w:rPr>
          <w:rStyle w:val="AERbody"/>
        </w:rPr>
        <w:t xml:space="preserve">), forecast capex (section </w:t>
      </w:r>
      <w:r>
        <w:rPr>
          <w:rStyle w:val="AERbody"/>
        </w:rPr>
        <w:fldChar w:fldCharType="begin"/>
      </w:r>
      <w:r>
        <w:rPr>
          <w:rStyle w:val="AERbody"/>
        </w:rPr>
        <w:instrText xml:space="preserve"> REF _Ref419801880 \r \h </w:instrText>
      </w:r>
      <w:r>
        <w:rPr>
          <w:rStyle w:val="AERbody"/>
        </w:rPr>
      </w:r>
      <w:r>
        <w:rPr>
          <w:rStyle w:val="AERbody"/>
        </w:rPr>
        <w:fldChar w:fldCharType="separate"/>
      </w:r>
      <w:r w:rsidR="009037A2">
        <w:rPr>
          <w:rStyle w:val="AERbody"/>
        </w:rPr>
        <w:t>3.5</w:t>
      </w:r>
      <w:r>
        <w:rPr>
          <w:rStyle w:val="AERbody"/>
        </w:rPr>
        <w:fldChar w:fldCharType="end"/>
      </w:r>
      <w:r>
        <w:rPr>
          <w:rStyle w:val="AERbody"/>
        </w:rPr>
        <w:t xml:space="preserve">) and </w:t>
      </w:r>
      <w:r w:rsidR="00AC2A00">
        <w:rPr>
          <w:rStyle w:val="AERbody"/>
        </w:rPr>
        <w:t xml:space="preserve">forecast </w:t>
      </w:r>
      <w:r>
        <w:rPr>
          <w:rStyle w:val="AERbody"/>
        </w:rPr>
        <w:t xml:space="preserve">opex (section </w:t>
      </w:r>
      <w:r>
        <w:rPr>
          <w:rStyle w:val="AERbody"/>
        </w:rPr>
        <w:fldChar w:fldCharType="begin"/>
      </w:r>
      <w:r>
        <w:rPr>
          <w:rStyle w:val="AERbody"/>
        </w:rPr>
        <w:instrText xml:space="preserve"> REF _Ref419801884 \r \h </w:instrText>
      </w:r>
      <w:r>
        <w:rPr>
          <w:rStyle w:val="AERbody"/>
        </w:rPr>
      </w:r>
      <w:r>
        <w:rPr>
          <w:rStyle w:val="AERbody"/>
        </w:rPr>
        <w:fldChar w:fldCharType="separate"/>
      </w:r>
      <w:r w:rsidR="009037A2">
        <w:rPr>
          <w:rStyle w:val="AERbody"/>
        </w:rPr>
        <w:t>3.6</w:t>
      </w:r>
      <w:r>
        <w:rPr>
          <w:rStyle w:val="AERbody"/>
        </w:rPr>
        <w:fldChar w:fldCharType="end"/>
      </w:r>
      <w:r>
        <w:rPr>
          <w:rStyle w:val="AERbody"/>
        </w:rPr>
        <w:t>)</w:t>
      </w:r>
      <w:r w:rsidR="006F27E1">
        <w:rPr>
          <w:rStyle w:val="AERbody"/>
        </w:rPr>
        <w:t>. All these components affect the calculation of the corporate income tax allowance.</w:t>
      </w:r>
    </w:p>
    <w:p w:rsidR="00690B11" w:rsidRPr="00C57AC2" w:rsidRDefault="0058062D" w:rsidP="0058062D">
      <w:pPr>
        <w:pStyle w:val="Caption"/>
      </w:pPr>
      <w:bookmarkStart w:id="147" w:name="_Ref419800973"/>
      <w:r>
        <w:t xml:space="preserve">Table </w:t>
      </w:r>
      <w:fldSimple w:instr=" SEQ Table \* ARABIC ">
        <w:r w:rsidR="009037A2">
          <w:rPr>
            <w:noProof/>
          </w:rPr>
          <w:t>12</w:t>
        </w:r>
      </w:fldSimple>
      <w:bookmarkEnd w:id="147"/>
      <w:r w:rsidR="00690B11">
        <w:tab/>
      </w:r>
      <w:r w:rsidR="00690B11" w:rsidRPr="00C57AC2">
        <w:t xml:space="preserve">AER's final decision on JGN's corporate income tax allowance for the 2015–20 access arrangement period ($million, nominal)  </w:t>
      </w:r>
    </w:p>
    <w:tbl>
      <w:tblPr>
        <w:tblStyle w:val="AERtable-numbers"/>
        <w:tblW w:w="8613" w:type="dxa"/>
        <w:tblLayout w:type="fixed"/>
        <w:tblLook w:val="01E0" w:firstRow="1" w:lastRow="1" w:firstColumn="1" w:lastColumn="1" w:noHBand="0" w:noVBand="0"/>
      </w:tblPr>
      <w:tblGrid>
        <w:gridCol w:w="3085"/>
        <w:gridCol w:w="921"/>
        <w:gridCol w:w="921"/>
        <w:gridCol w:w="922"/>
        <w:gridCol w:w="921"/>
        <w:gridCol w:w="921"/>
        <w:gridCol w:w="922"/>
      </w:tblGrid>
      <w:tr w:rsidR="00690B11" w:rsidRPr="00323D0E" w:rsidTr="00B108CC">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085" w:type="dxa"/>
          </w:tcPr>
          <w:p w:rsidR="00690B11" w:rsidRPr="00323D0E" w:rsidRDefault="00690B11" w:rsidP="00690B11"/>
        </w:tc>
        <w:tc>
          <w:tcPr>
            <w:tcW w:w="921" w:type="dxa"/>
          </w:tcPr>
          <w:p w:rsidR="00690B11" w:rsidRPr="00323D0E" w:rsidRDefault="00690B11" w:rsidP="00C224C4">
            <w:pPr>
              <w:cnfStyle w:val="100000000000" w:firstRow="1" w:lastRow="0" w:firstColumn="0" w:lastColumn="0" w:oddVBand="0" w:evenVBand="0" w:oddHBand="0" w:evenHBand="0" w:firstRowFirstColumn="0" w:firstRowLastColumn="0" w:lastRowFirstColumn="0" w:lastRowLastColumn="0"/>
            </w:pPr>
            <w:r w:rsidRPr="00323D0E">
              <w:t>2015</w:t>
            </w:r>
            <w:r w:rsidR="00C224C4">
              <w:t>–</w:t>
            </w:r>
            <w:r w:rsidRPr="00323D0E">
              <w:t>16</w:t>
            </w:r>
          </w:p>
        </w:tc>
        <w:tc>
          <w:tcPr>
            <w:tcW w:w="921" w:type="dxa"/>
          </w:tcPr>
          <w:p w:rsidR="00690B11" w:rsidRPr="00323D0E" w:rsidRDefault="00690B11" w:rsidP="00C224C4">
            <w:pPr>
              <w:cnfStyle w:val="100000000000" w:firstRow="1" w:lastRow="0" w:firstColumn="0" w:lastColumn="0" w:oddVBand="0" w:evenVBand="0" w:oddHBand="0" w:evenHBand="0" w:firstRowFirstColumn="0" w:firstRowLastColumn="0" w:lastRowFirstColumn="0" w:lastRowLastColumn="0"/>
            </w:pPr>
            <w:r w:rsidRPr="00323D0E">
              <w:t>2016</w:t>
            </w:r>
            <w:r w:rsidR="00C224C4">
              <w:t>–</w:t>
            </w:r>
            <w:r w:rsidRPr="00323D0E">
              <w:t>17</w:t>
            </w:r>
          </w:p>
        </w:tc>
        <w:tc>
          <w:tcPr>
            <w:tcW w:w="922" w:type="dxa"/>
          </w:tcPr>
          <w:p w:rsidR="00690B11" w:rsidRPr="00323D0E" w:rsidRDefault="00690B11" w:rsidP="00C224C4">
            <w:pPr>
              <w:cnfStyle w:val="100000000000" w:firstRow="1" w:lastRow="0" w:firstColumn="0" w:lastColumn="0" w:oddVBand="0" w:evenVBand="0" w:oddHBand="0" w:evenHBand="0" w:firstRowFirstColumn="0" w:firstRowLastColumn="0" w:lastRowFirstColumn="0" w:lastRowLastColumn="0"/>
            </w:pPr>
            <w:r w:rsidRPr="00323D0E">
              <w:t>2017</w:t>
            </w:r>
            <w:r w:rsidR="00C224C4">
              <w:t>–</w:t>
            </w:r>
            <w:r w:rsidRPr="00323D0E">
              <w:t>18</w:t>
            </w:r>
          </w:p>
        </w:tc>
        <w:tc>
          <w:tcPr>
            <w:tcW w:w="921" w:type="dxa"/>
          </w:tcPr>
          <w:p w:rsidR="00690B11" w:rsidRPr="00323D0E" w:rsidRDefault="00690B11" w:rsidP="00C224C4">
            <w:pPr>
              <w:cnfStyle w:val="100000000000" w:firstRow="1" w:lastRow="0" w:firstColumn="0" w:lastColumn="0" w:oddVBand="0" w:evenVBand="0" w:oddHBand="0" w:evenHBand="0" w:firstRowFirstColumn="0" w:firstRowLastColumn="0" w:lastRowFirstColumn="0" w:lastRowLastColumn="0"/>
            </w:pPr>
            <w:r w:rsidRPr="00323D0E">
              <w:t>2018</w:t>
            </w:r>
            <w:r w:rsidR="00C224C4">
              <w:t>–</w:t>
            </w:r>
            <w:r w:rsidRPr="00323D0E">
              <w:t>19</w:t>
            </w:r>
          </w:p>
        </w:tc>
        <w:tc>
          <w:tcPr>
            <w:tcW w:w="921" w:type="dxa"/>
          </w:tcPr>
          <w:p w:rsidR="00690B11" w:rsidRPr="00323D0E" w:rsidRDefault="00690B11" w:rsidP="00C224C4">
            <w:pPr>
              <w:cnfStyle w:val="100000000000" w:firstRow="1" w:lastRow="0" w:firstColumn="0" w:lastColumn="0" w:oddVBand="0" w:evenVBand="0" w:oddHBand="0" w:evenHBand="0" w:firstRowFirstColumn="0" w:firstRowLastColumn="0" w:lastRowFirstColumn="0" w:lastRowLastColumn="0"/>
            </w:pPr>
            <w:r w:rsidRPr="00323D0E">
              <w:t>2019</w:t>
            </w:r>
            <w:r w:rsidR="00C224C4">
              <w:t>–</w:t>
            </w:r>
            <w:r w:rsidRPr="00323D0E">
              <w:t>20</w:t>
            </w:r>
          </w:p>
        </w:tc>
        <w:tc>
          <w:tcPr>
            <w:tcW w:w="922" w:type="dxa"/>
          </w:tcPr>
          <w:p w:rsidR="00690B11" w:rsidRPr="00323D0E" w:rsidRDefault="00690B11" w:rsidP="00690B11">
            <w:pPr>
              <w:cnfStyle w:val="100000000000" w:firstRow="1" w:lastRow="0" w:firstColumn="0" w:lastColumn="0" w:oddVBand="0" w:evenVBand="0" w:oddHBand="0" w:evenHBand="0" w:firstRowFirstColumn="0" w:firstRowLastColumn="0" w:lastRowFirstColumn="0" w:lastRowLastColumn="0"/>
            </w:pPr>
            <w:r w:rsidRPr="00323D0E">
              <w:t>Total</w:t>
            </w:r>
          </w:p>
        </w:tc>
      </w:tr>
      <w:tr w:rsidR="00DD30DE" w:rsidRPr="00323D0E" w:rsidTr="00B108CC">
        <w:trPr>
          <w:trHeight w:val="337"/>
        </w:trPr>
        <w:tc>
          <w:tcPr>
            <w:cnfStyle w:val="001000000000" w:firstRow="0" w:lastRow="0" w:firstColumn="1" w:lastColumn="0" w:oddVBand="0" w:evenVBand="0" w:oddHBand="0" w:evenHBand="0" w:firstRowFirstColumn="0" w:firstRowLastColumn="0" w:lastRowFirstColumn="0" w:lastRowLastColumn="0"/>
            <w:tcW w:w="3085" w:type="dxa"/>
          </w:tcPr>
          <w:p w:rsidR="00DD30DE" w:rsidRPr="00DD30DE" w:rsidRDefault="00DD30DE" w:rsidP="00DD30DE">
            <w:r w:rsidRPr="00DD30DE">
              <w:t>Tax payable</w:t>
            </w:r>
          </w:p>
        </w:tc>
        <w:tc>
          <w:tcPr>
            <w:tcW w:w="921" w:type="dxa"/>
          </w:tcPr>
          <w:p w:rsidR="00DD30DE" w:rsidRPr="00DD30DE" w:rsidRDefault="00DD30DE" w:rsidP="00DD30DE">
            <w:pPr>
              <w:cnfStyle w:val="000000000000" w:firstRow="0" w:lastRow="0" w:firstColumn="0" w:lastColumn="0" w:oddVBand="0" w:evenVBand="0" w:oddHBand="0" w:evenHBand="0" w:firstRowFirstColumn="0" w:firstRowLastColumn="0" w:lastRowFirstColumn="0" w:lastRowLastColumn="0"/>
            </w:pPr>
            <w:r w:rsidRPr="00DD30DE">
              <w:t>9.7</w:t>
            </w:r>
          </w:p>
        </w:tc>
        <w:tc>
          <w:tcPr>
            <w:tcW w:w="921" w:type="dxa"/>
          </w:tcPr>
          <w:p w:rsidR="00DD30DE" w:rsidRPr="00DD30DE" w:rsidRDefault="00DD30DE" w:rsidP="00DD30DE">
            <w:pPr>
              <w:cnfStyle w:val="000000000000" w:firstRow="0" w:lastRow="0" w:firstColumn="0" w:lastColumn="0" w:oddVBand="0" w:evenVBand="0" w:oddHBand="0" w:evenHBand="0" w:firstRowFirstColumn="0" w:firstRowLastColumn="0" w:lastRowFirstColumn="0" w:lastRowLastColumn="0"/>
            </w:pPr>
            <w:r w:rsidRPr="00DD30DE">
              <w:t>11.6</w:t>
            </w:r>
          </w:p>
        </w:tc>
        <w:tc>
          <w:tcPr>
            <w:tcW w:w="922" w:type="dxa"/>
          </w:tcPr>
          <w:p w:rsidR="00DD30DE" w:rsidRPr="00DD30DE" w:rsidRDefault="00DD30DE" w:rsidP="00DD30DE">
            <w:pPr>
              <w:cnfStyle w:val="000000000000" w:firstRow="0" w:lastRow="0" w:firstColumn="0" w:lastColumn="0" w:oddVBand="0" w:evenVBand="0" w:oddHBand="0" w:evenHBand="0" w:firstRowFirstColumn="0" w:firstRowLastColumn="0" w:lastRowFirstColumn="0" w:lastRowLastColumn="0"/>
            </w:pPr>
            <w:r w:rsidRPr="00DD30DE">
              <w:t>15.2</w:t>
            </w:r>
          </w:p>
        </w:tc>
        <w:tc>
          <w:tcPr>
            <w:tcW w:w="921" w:type="dxa"/>
          </w:tcPr>
          <w:p w:rsidR="00DD30DE" w:rsidRPr="00DD30DE" w:rsidRDefault="00DD30DE" w:rsidP="00DD30DE">
            <w:pPr>
              <w:cnfStyle w:val="000000000000" w:firstRow="0" w:lastRow="0" w:firstColumn="0" w:lastColumn="0" w:oddVBand="0" w:evenVBand="0" w:oddHBand="0" w:evenHBand="0" w:firstRowFirstColumn="0" w:firstRowLastColumn="0" w:lastRowFirstColumn="0" w:lastRowLastColumn="0"/>
            </w:pPr>
            <w:r w:rsidRPr="00DD30DE">
              <w:t>19.0</w:t>
            </w:r>
          </w:p>
        </w:tc>
        <w:tc>
          <w:tcPr>
            <w:tcW w:w="921" w:type="dxa"/>
          </w:tcPr>
          <w:p w:rsidR="00DD30DE" w:rsidRPr="00DD30DE" w:rsidRDefault="00DD30DE" w:rsidP="00DD30DE">
            <w:pPr>
              <w:cnfStyle w:val="000000000000" w:firstRow="0" w:lastRow="0" w:firstColumn="0" w:lastColumn="0" w:oddVBand="0" w:evenVBand="0" w:oddHBand="0" w:evenHBand="0" w:firstRowFirstColumn="0" w:firstRowLastColumn="0" w:lastRowFirstColumn="0" w:lastRowLastColumn="0"/>
            </w:pPr>
            <w:r w:rsidRPr="00DD30DE">
              <w:t>15.2</w:t>
            </w:r>
          </w:p>
        </w:tc>
        <w:tc>
          <w:tcPr>
            <w:tcW w:w="922" w:type="dxa"/>
          </w:tcPr>
          <w:p w:rsidR="00DD30DE" w:rsidRPr="00DD30DE" w:rsidRDefault="00DD30DE" w:rsidP="00DD30DE">
            <w:pPr>
              <w:cnfStyle w:val="000000000000" w:firstRow="0" w:lastRow="0" w:firstColumn="0" w:lastColumn="0" w:oddVBand="0" w:evenVBand="0" w:oddHBand="0" w:evenHBand="0" w:firstRowFirstColumn="0" w:firstRowLastColumn="0" w:lastRowFirstColumn="0" w:lastRowLastColumn="0"/>
            </w:pPr>
            <w:r w:rsidRPr="00DD30DE">
              <w:t>70.6</w:t>
            </w:r>
          </w:p>
        </w:tc>
      </w:tr>
      <w:tr w:rsidR="00DD30DE" w:rsidRPr="00323D0E" w:rsidTr="00B108CC">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085" w:type="dxa"/>
          </w:tcPr>
          <w:p w:rsidR="00DD30DE" w:rsidRPr="00DD30DE" w:rsidRDefault="00DD30DE" w:rsidP="00DD30DE">
            <w:r w:rsidRPr="00DD30DE">
              <w:rPr>
                <w:rStyle w:val="AERtextitalic"/>
              </w:rPr>
              <w:t>Less</w:t>
            </w:r>
            <w:r w:rsidRPr="00DD30DE">
              <w:t>: value of imputation credits</w:t>
            </w:r>
          </w:p>
        </w:tc>
        <w:tc>
          <w:tcPr>
            <w:tcW w:w="921" w:type="dxa"/>
          </w:tcPr>
          <w:p w:rsidR="00DD30DE" w:rsidRPr="00DD30DE" w:rsidRDefault="00DD30DE" w:rsidP="00DD30DE">
            <w:pPr>
              <w:cnfStyle w:val="000000010000" w:firstRow="0" w:lastRow="0" w:firstColumn="0" w:lastColumn="0" w:oddVBand="0" w:evenVBand="0" w:oddHBand="0" w:evenHBand="1" w:firstRowFirstColumn="0" w:firstRowLastColumn="0" w:lastRowFirstColumn="0" w:lastRowLastColumn="0"/>
            </w:pPr>
            <w:r w:rsidRPr="00DD30DE">
              <w:t>3.9</w:t>
            </w:r>
          </w:p>
        </w:tc>
        <w:tc>
          <w:tcPr>
            <w:tcW w:w="921" w:type="dxa"/>
          </w:tcPr>
          <w:p w:rsidR="00DD30DE" w:rsidRPr="00DD30DE" w:rsidRDefault="00DD30DE" w:rsidP="00DD30DE">
            <w:pPr>
              <w:cnfStyle w:val="000000010000" w:firstRow="0" w:lastRow="0" w:firstColumn="0" w:lastColumn="0" w:oddVBand="0" w:evenVBand="0" w:oddHBand="0" w:evenHBand="1" w:firstRowFirstColumn="0" w:firstRowLastColumn="0" w:lastRowFirstColumn="0" w:lastRowLastColumn="0"/>
            </w:pPr>
            <w:r w:rsidRPr="00DD30DE">
              <w:t>4.6</w:t>
            </w:r>
          </w:p>
        </w:tc>
        <w:tc>
          <w:tcPr>
            <w:tcW w:w="922" w:type="dxa"/>
          </w:tcPr>
          <w:p w:rsidR="00DD30DE" w:rsidRPr="00DD30DE" w:rsidRDefault="00DD30DE" w:rsidP="00DD30DE">
            <w:pPr>
              <w:cnfStyle w:val="000000010000" w:firstRow="0" w:lastRow="0" w:firstColumn="0" w:lastColumn="0" w:oddVBand="0" w:evenVBand="0" w:oddHBand="0" w:evenHBand="1" w:firstRowFirstColumn="0" w:firstRowLastColumn="0" w:lastRowFirstColumn="0" w:lastRowLastColumn="0"/>
            </w:pPr>
            <w:r w:rsidRPr="00DD30DE">
              <w:t>6.1</w:t>
            </w:r>
          </w:p>
        </w:tc>
        <w:tc>
          <w:tcPr>
            <w:tcW w:w="921" w:type="dxa"/>
          </w:tcPr>
          <w:p w:rsidR="00DD30DE" w:rsidRPr="00DD30DE" w:rsidRDefault="00DD30DE" w:rsidP="00DD30DE">
            <w:pPr>
              <w:cnfStyle w:val="000000010000" w:firstRow="0" w:lastRow="0" w:firstColumn="0" w:lastColumn="0" w:oddVBand="0" w:evenVBand="0" w:oddHBand="0" w:evenHBand="1" w:firstRowFirstColumn="0" w:firstRowLastColumn="0" w:lastRowFirstColumn="0" w:lastRowLastColumn="0"/>
            </w:pPr>
            <w:r w:rsidRPr="00DD30DE">
              <w:t>7.6</w:t>
            </w:r>
          </w:p>
        </w:tc>
        <w:tc>
          <w:tcPr>
            <w:tcW w:w="921" w:type="dxa"/>
          </w:tcPr>
          <w:p w:rsidR="00DD30DE" w:rsidRPr="00DD30DE" w:rsidRDefault="00DD30DE" w:rsidP="00DD30DE">
            <w:pPr>
              <w:cnfStyle w:val="000000010000" w:firstRow="0" w:lastRow="0" w:firstColumn="0" w:lastColumn="0" w:oddVBand="0" w:evenVBand="0" w:oddHBand="0" w:evenHBand="1" w:firstRowFirstColumn="0" w:firstRowLastColumn="0" w:lastRowFirstColumn="0" w:lastRowLastColumn="0"/>
            </w:pPr>
            <w:r w:rsidRPr="00DD30DE">
              <w:t>6.1</w:t>
            </w:r>
          </w:p>
        </w:tc>
        <w:tc>
          <w:tcPr>
            <w:tcW w:w="922" w:type="dxa"/>
          </w:tcPr>
          <w:p w:rsidR="00DD30DE" w:rsidRPr="00DD30DE" w:rsidRDefault="00DD30DE" w:rsidP="00DD30DE">
            <w:pPr>
              <w:cnfStyle w:val="000000010000" w:firstRow="0" w:lastRow="0" w:firstColumn="0" w:lastColumn="0" w:oddVBand="0" w:evenVBand="0" w:oddHBand="0" w:evenHBand="1" w:firstRowFirstColumn="0" w:firstRowLastColumn="0" w:lastRowFirstColumn="0" w:lastRowLastColumn="0"/>
            </w:pPr>
            <w:r w:rsidRPr="00DD30DE">
              <w:t>28.2</w:t>
            </w:r>
          </w:p>
        </w:tc>
      </w:tr>
      <w:tr w:rsidR="00DD30DE" w:rsidRPr="00DD30DE" w:rsidTr="00B108CC">
        <w:trPr>
          <w:trHeight w:val="355"/>
        </w:trPr>
        <w:tc>
          <w:tcPr>
            <w:cnfStyle w:val="001000000000" w:firstRow="0" w:lastRow="0" w:firstColumn="1" w:lastColumn="0" w:oddVBand="0" w:evenVBand="0" w:oddHBand="0" w:evenHBand="0" w:firstRowFirstColumn="0" w:firstRowLastColumn="0" w:lastRowFirstColumn="0" w:lastRowLastColumn="0"/>
            <w:tcW w:w="3085" w:type="dxa"/>
          </w:tcPr>
          <w:p w:rsidR="00DD30DE" w:rsidRPr="00273127" w:rsidRDefault="00DD30DE" w:rsidP="00DD30DE">
            <w:r w:rsidRPr="00273127">
              <w:t>Net corporate income tax allowance</w:t>
            </w:r>
          </w:p>
        </w:tc>
        <w:tc>
          <w:tcPr>
            <w:tcW w:w="921" w:type="dxa"/>
          </w:tcPr>
          <w:p w:rsidR="00DD30DE" w:rsidRPr="00273127" w:rsidRDefault="00DD30DE" w:rsidP="00DD30DE">
            <w:pPr>
              <w:cnfStyle w:val="000000000000" w:firstRow="0" w:lastRow="0" w:firstColumn="0" w:lastColumn="0" w:oddVBand="0" w:evenVBand="0" w:oddHBand="0" w:evenHBand="0" w:firstRowFirstColumn="0" w:firstRowLastColumn="0" w:lastRowFirstColumn="0" w:lastRowLastColumn="0"/>
            </w:pPr>
            <w:r w:rsidRPr="00273127">
              <w:t>5.8</w:t>
            </w:r>
          </w:p>
        </w:tc>
        <w:tc>
          <w:tcPr>
            <w:tcW w:w="921" w:type="dxa"/>
          </w:tcPr>
          <w:p w:rsidR="00DD30DE" w:rsidRPr="00273127" w:rsidRDefault="00DD30DE" w:rsidP="00DD30DE">
            <w:pPr>
              <w:cnfStyle w:val="000000000000" w:firstRow="0" w:lastRow="0" w:firstColumn="0" w:lastColumn="0" w:oddVBand="0" w:evenVBand="0" w:oddHBand="0" w:evenHBand="0" w:firstRowFirstColumn="0" w:firstRowLastColumn="0" w:lastRowFirstColumn="0" w:lastRowLastColumn="0"/>
            </w:pPr>
            <w:r w:rsidRPr="00273127">
              <w:t>6.9</w:t>
            </w:r>
          </w:p>
        </w:tc>
        <w:tc>
          <w:tcPr>
            <w:tcW w:w="922" w:type="dxa"/>
          </w:tcPr>
          <w:p w:rsidR="00DD30DE" w:rsidRPr="00273127" w:rsidRDefault="00DD30DE" w:rsidP="00DD30DE">
            <w:pPr>
              <w:cnfStyle w:val="000000000000" w:firstRow="0" w:lastRow="0" w:firstColumn="0" w:lastColumn="0" w:oddVBand="0" w:evenVBand="0" w:oddHBand="0" w:evenHBand="0" w:firstRowFirstColumn="0" w:firstRowLastColumn="0" w:lastRowFirstColumn="0" w:lastRowLastColumn="0"/>
            </w:pPr>
            <w:r w:rsidRPr="00273127">
              <w:t>9.1</w:t>
            </w:r>
          </w:p>
        </w:tc>
        <w:tc>
          <w:tcPr>
            <w:tcW w:w="921" w:type="dxa"/>
          </w:tcPr>
          <w:p w:rsidR="00DD30DE" w:rsidRPr="00273127" w:rsidRDefault="00DD30DE" w:rsidP="00DD30DE">
            <w:pPr>
              <w:cnfStyle w:val="000000000000" w:firstRow="0" w:lastRow="0" w:firstColumn="0" w:lastColumn="0" w:oddVBand="0" w:evenVBand="0" w:oddHBand="0" w:evenHBand="0" w:firstRowFirstColumn="0" w:firstRowLastColumn="0" w:lastRowFirstColumn="0" w:lastRowLastColumn="0"/>
            </w:pPr>
            <w:r w:rsidRPr="00273127">
              <w:t>11.4</w:t>
            </w:r>
          </w:p>
        </w:tc>
        <w:tc>
          <w:tcPr>
            <w:tcW w:w="921" w:type="dxa"/>
          </w:tcPr>
          <w:p w:rsidR="00DD30DE" w:rsidRPr="00273127" w:rsidRDefault="00DD30DE" w:rsidP="00DD30DE">
            <w:pPr>
              <w:cnfStyle w:val="000000000000" w:firstRow="0" w:lastRow="0" w:firstColumn="0" w:lastColumn="0" w:oddVBand="0" w:evenVBand="0" w:oddHBand="0" w:evenHBand="0" w:firstRowFirstColumn="0" w:firstRowLastColumn="0" w:lastRowFirstColumn="0" w:lastRowLastColumn="0"/>
            </w:pPr>
            <w:r w:rsidRPr="00273127">
              <w:t>9.1</w:t>
            </w:r>
          </w:p>
        </w:tc>
        <w:tc>
          <w:tcPr>
            <w:tcW w:w="922" w:type="dxa"/>
          </w:tcPr>
          <w:p w:rsidR="00DD30DE" w:rsidRPr="00273127" w:rsidRDefault="00DD30DE" w:rsidP="00DD30DE">
            <w:pPr>
              <w:cnfStyle w:val="000000000000" w:firstRow="0" w:lastRow="0" w:firstColumn="0" w:lastColumn="0" w:oddVBand="0" w:evenVBand="0" w:oddHBand="0" w:evenHBand="0" w:firstRowFirstColumn="0" w:firstRowLastColumn="0" w:lastRowFirstColumn="0" w:lastRowLastColumn="0"/>
            </w:pPr>
            <w:r w:rsidRPr="00273127">
              <w:t>42.4</w:t>
            </w:r>
          </w:p>
        </w:tc>
      </w:tr>
    </w:tbl>
    <w:p w:rsidR="00690B11" w:rsidRPr="006C6CA2" w:rsidRDefault="00690B11" w:rsidP="00690B11">
      <w:pPr>
        <w:pStyle w:val="AERtablesource"/>
      </w:pPr>
      <w:r w:rsidRPr="007B7287">
        <w:t xml:space="preserve">Source: </w:t>
      </w:r>
      <w:r w:rsidRPr="007B7287">
        <w:tab/>
        <w:t>AER analysis.</w:t>
      </w:r>
    </w:p>
    <w:p w:rsidR="00B12E46" w:rsidRPr="00FF0B86" w:rsidRDefault="00690B11" w:rsidP="00625CBA">
      <w:pPr>
        <w:rPr>
          <w:rStyle w:val="AERbody"/>
        </w:rPr>
      </w:pPr>
      <w:r w:rsidRPr="007B7287">
        <w:rPr>
          <w:rStyle w:val="AERbody"/>
        </w:rPr>
        <w:t>Attachment 8</w:t>
      </w:r>
      <w:r w:rsidRPr="007B7287">
        <w:t xml:space="preserve"> sets out </w:t>
      </w:r>
      <w:r w:rsidR="003F1C26">
        <w:t>the</w:t>
      </w:r>
      <w:r w:rsidRPr="007B7287">
        <w:t xml:space="preserve"> detailed reasons for our </w:t>
      </w:r>
      <w:r w:rsidR="001623AE">
        <w:t>final</w:t>
      </w:r>
      <w:r w:rsidR="001623AE" w:rsidRPr="007B7287">
        <w:t xml:space="preserve"> </w:t>
      </w:r>
      <w:r w:rsidRPr="007B7287">
        <w:t>decision on JGN's estimated cost of corporate income tax.</w:t>
      </w:r>
    </w:p>
    <w:p w:rsidR="008E433E" w:rsidRDefault="001D4AD6" w:rsidP="008E433E">
      <w:pPr>
        <w:pStyle w:val="Heading1"/>
      </w:pPr>
      <w:bookmarkStart w:id="148" w:name="_Toc402535832"/>
      <w:bookmarkStart w:id="149" w:name="_Ref418255676"/>
      <w:bookmarkStart w:id="150" w:name="_Toc419895033"/>
      <w:bookmarkEnd w:id="148"/>
      <w:r>
        <w:t>O</w:t>
      </w:r>
      <w:r w:rsidR="00882AC5">
        <w:t>ther components of this decision</w:t>
      </w:r>
      <w:bookmarkEnd w:id="149"/>
      <w:bookmarkEnd w:id="150"/>
    </w:p>
    <w:p w:rsidR="001D4AD6" w:rsidRDefault="001D4AD6" w:rsidP="0064050D">
      <w:pPr>
        <w:pStyle w:val="Heading2"/>
      </w:pPr>
      <w:bookmarkStart w:id="151" w:name="_Toc419895034"/>
      <w:bookmarkStart w:id="152" w:name="_Toc404433452"/>
      <w:bookmarkStart w:id="153" w:name="_Toc415837161"/>
      <w:bookmarkStart w:id="154" w:name="_Toc417993970"/>
      <w:r>
        <w:t>Demand</w:t>
      </w:r>
      <w:bookmarkEnd w:id="151"/>
    </w:p>
    <w:p w:rsidR="00976C12" w:rsidRPr="00AB12D3" w:rsidRDefault="00976C12" w:rsidP="00976C12">
      <w:r>
        <w:t>We do</w:t>
      </w:r>
      <w:r w:rsidRPr="00B94178">
        <w:t xml:space="preserve"> not approve the proposed demand forecasts </w:t>
      </w:r>
      <w:r>
        <w:t xml:space="preserve">set out in JGN's revised proposal </w:t>
      </w:r>
      <w:r w:rsidRPr="00B94178">
        <w:t>as we are</w:t>
      </w:r>
      <w:r>
        <w:t xml:space="preserve"> not satisfied that they comply </w:t>
      </w:r>
      <w:r w:rsidRPr="00B94178">
        <w:t>with r</w:t>
      </w:r>
      <w:r>
        <w:t>ule</w:t>
      </w:r>
      <w:r w:rsidRPr="00B94178">
        <w:t xml:space="preserve"> 74(2) of the NGR. JGN relied upon forecasts prepared by Core Energy</w:t>
      </w:r>
      <w:r>
        <w:t xml:space="preserve">. </w:t>
      </w:r>
      <w:r w:rsidRPr="00AB12D3">
        <w:t xml:space="preserve">JGN also engaged HoustonKemp and Frontier Economics to review Deloitte Access Economics' (DAE) </w:t>
      </w:r>
      <w:r>
        <w:t xml:space="preserve">(our consultant's) </w:t>
      </w:r>
      <w:r w:rsidRPr="00AB12D3">
        <w:t>methodology and forecasts for tariff V customers.</w:t>
      </w:r>
      <w:r w:rsidRPr="00AB12D3">
        <w:rPr>
          <w:rStyle w:val="FootnoteReference"/>
        </w:rPr>
        <w:footnoteReference w:id="85"/>
      </w:r>
      <w:r w:rsidRPr="00AB12D3">
        <w:t xml:space="preserve"> </w:t>
      </w:r>
    </w:p>
    <w:p w:rsidR="00976C12" w:rsidRPr="00976C12" w:rsidRDefault="00976C12" w:rsidP="00976C12">
      <w:r w:rsidRPr="007633B4">
        <w:t>Based on inform</w:t>
      </w:r>
      <w:r w:rsidRPr="00976C12">
        <w:t>ation provided in JGN’s revised proposal and advice from DAE, we now accept some assumptions used by Core Energy (submitted in JGN's initial proposal and submitted again in its revised proposal) to estimate JGN’</w:t>
      </w:r>
      <w:r w:rsidR="006409EE">
        <w:t>s demand forecasts for the 2015</w:t>
      </w:r>
      <w:r w:rsidR="006409EE">
        <w:rPr>
          <w:rFonts w:cs="Arial"/>
        </w:rPr>
        <w:t>−</w:t>
      </w:r>
      <w:r w:rsidRPr="00976C12">
        <w:t>20 period. In particular, we have accepted, in forecasting consumption per customer, the application of a time series (or linear trend) approach as a starting point to estimate consumption per customer. In our draft decision, we considered that a structural approach (or an econometrics approach) would result in a better estimate of forecast demand.</w:t>
      </w:r>
      <w:r w:rsidRPr="00976C12">
        <w:rPr>
          <w:rStyle w:val="FootnoteReference"/>
        </w:rPr>
        <w:footnoteReference w:id="86"/>
      </w:r>
      <w:r w:rsidRPr="00976C12">
        <w:t xml:space="preserve"> In light of this, the remaining issue we have with JGN's forecast demand relates to an adjustment to the linear trend to take account of exogenous factors (post-model adjustment).</w:t>
      </w:r>
    </w:p>
    <w:p w:rsidR="00976C12" w:rsidRPr="00B94178" w:rsidRDefault="00976C12" w:rsidP="00976C12">
      <w:r>
        <w:t>As we do not agree with all of the post-model adjustments made by JGN, we do not consider that JGN's</w:t>
      </w:r>
      <w:r w:rsidRPr="00DC5A14">
        <w:t xml:space="preserve"> forecasts of consumption</w:t>
      </w:r>
      <w:r>
        <w:t xml:space="preserve"> per customer</w:t>
      </w:r>
      <w:r w:rsidRPr="00DC5A14">
        <w:t xml:space="preserve"> </w:t>
      </w:r>
      <w:r>
        <w:t xml:space="preserve">are </w:t>
      </w:r>
      <w:r w:rsidRPr="00DC5A14">
        <w:t>the best estimates possible in the circumstances.</w:t>
      </w:r>
      <w:r>
        <w:t xml:space="preserve"> Our post-model adjustment results in </w:t>
      </w:r>
      <w:r w:rsidRPr="00B94178">
        <w:t xml:space="preserve">increases to annual </w:t>
      </w:r>
      <w:r>
        <w:t>consumption per customer, from JGN's revised proposal of</w:t>
      </w:r>
      <w:r w:rsidRPr="00B94178">
        <w:t>:</w:t>
      </w:r>
    </w:p>
    <w:p w:rsidR="00976C12" w:rsidRPr="00B94178" w:rsidRDefault="006409EE" w:rsidP="00976C12">
      <w:pPr>
        <w:pStyle w:val="AERbulletlistfirststyle"/>
      </w:pPr>
      <w:r>
        <w:t>u</w:t>
      </w:r>
      <w:r w:rsidR="00976C12">
        <w:t>p to 2.6</w:t>
      </w:r>
      <w:r w:rsidR="00976C12" w:rsidRPr="00B94178">
        <w:t xml:space="preserve"> </w:t>
      </w:r>
      <w:r w:rsidR="00976C12">
        <w:t xml:space="preserve">per </w:t>
      </w:r>
      <w:r w:rsidR="00976C12" w:rsidRPr="00B94178">
        <w:t>cent for residential customers</w:t>
      </w:r>
    </w:p>
    <w:p w:rsidR="00976C12" w:rsidRPr="00B94178" w:rsidRDefault="006409EE" w:rsidP="00976C12">
      <w:pPr>
        <w:pStyle w:val="AERbulletlistfirststyle"/>
      </w:pPr>
      <w:r>
        <w:t>u</w:t>
      </w:r>
      <w:r w:rsidR="00976C12">
        <w:t xml:space="preserve">p to 3.7 </w:t>
      </w:r>
      <w:r w:rsidR="00976C12" w:rsidRPr="00B94178">
        <w:t>per cent for small business customers</w:t>
      </w:r>
    </w:p>
    <w:p w:rsidR="00976C12" w:rsidRPr="00B94178" w:rsidRDefault="006409EE" w:rsidP="00976C12">
      <w:pPr>
        <w:pStyle w:val="AERbulletlistfirststyle"/>
      </w:pPr>
      <w:r>
        <w:t>u</w:t>
      </w:r>
      <w:r w:rsidR="00976C12">
        <w:t xml:space="preserve">p to 2.2 </w:t>
      </w:r>
      <w:r w:rsidR="00976C12" w:rsidRPr="00B94178">
        <w:t xml:space="preserve">per cent for tariff V industrial and commercial </w:t>
      </w:r>
      <w:r w:rsidR="00976C12">
        <w:t xml:space="preserve">(I&amp;C) </w:t>
      </w:r>
      <w:r w:rsidR="00976C12" w:rsidRPr="00B94178">
        <w:t>customers.</w:t>
      </w:r>
    </w:p>
    <w:p w:rsidR="00976C12" w:rsidRPr="00976C12" w:rsidRDefault="00976C12" w:rsidP="00976C12">
      <w:r>
        <w:t>W</w:t>
      </w:r>
      <w:r w:rsidRPr="00976C12">
        <w:t>e also do not agree with JGN's forecast small business connections as we agree with DAE that JGN's forecast is high when compared to their historical levels. We also consider that Core Energy's assumption that over the access arrangement period, 48.8 per cent of new dwellings will be new estate connections and 51.2 per cent will be medium/high density connections was not arrived at on a reasonable basis. We agree with DAE that a 45 and 55 per cent allocation respectively for new estate and medium/high density connections</w:t>
      </w:r>
      <w:r w:rsidR="003040A0">
        <w:t xml:space="preserve"> respectively</w:t>
      </w:r>
      <w:r w:rsidRPr="00976C12">
        <w:t xml:space="preserve"> produces a better estimate in the circumstances.</w:t>
      </w:r>
      <w:r w:rsidRPr="00976C12" w:rsidDel="00347C36">
        <w:rPr>
          <w:rStyle w:val="FootnoteReference"/>
        </w:rPr>
        <w:t xml:space="preserve"> </w:t>
      </w:r>
      <w:r w:rsidRPr="00976C12" w:rsidDel="00347C36">
        <w:rPr>
          <w:rStyle w:val="FootnoteReference"/>
        </w:rPr>
        <w:footnoteReference w:id="87"/>
      </w:r>
    </w:p>
    <w:p w:rsidR="00976C12" w:rsidRDefault="00976C12" w:rsidP="00976C12">
      <w:r>
        <w:t>As in our draft decision, we accept JGN's Tariff D connections forecast.</w:t>
      </w:r>
      <w:r w:rsidRPr="00B94178">
        <w:t xml:space="preserve"> </w:t>
      </w:r>
      <w:r>
        <w:rPr>
          <w:rStyle w:val="FootnoteReference"/>
        </w:rPr>
        <w:footnoteReference w:id="88"/>
      </w:r>
    </w:p>
    <w:p w:rsidR="004D5926" w:rsidRDefault="004D5926" w:rsidP="004D5926">
      <w:r w:rsidRPr="00B94178">
        <w:t xml:space="preserve">The reasons for our </w:t>
      </w:r>
      <w:r>
        <w:t xml:space="preserve">final </w:t>
      </w:r>
      <w:r w:rsidRPr="00B94178">
        <w:t xml:space="preserve">decision are </w:t>
      </w:r>
      <w:r>
        <w:t>set out in attachment 13.</w:t>
      </w:r>
    </w:p>
    <w:p w:rsidR="008E433E" w:rsidRPr="0064050D" w:rsidRDefault="008E433E" w:rsidP="0064050D">
      <w:pPr>
        <w:pStyle w:val="Heading2"/>
      </w:pPr>
      <w:bookmarkStart w:id="155" w:name="_Toc419895035"/>
      <w:r w:rsidRPr="0064050D">
        <w:t xml:space="preserve">Efficiency </w:t>
      </w:r>
      <w:bookmarkEnd w:id="152"/>
      <w:bookmarkEnd w:id="153"/>
      <w:bookmarkEnd w:id="154"/>
      <w:r w:rsidR="00882AC5" w:rsidRPr="0064050D">
        <w:t>carryover mechanism</w:t>
      </w:r>
      <w:bookmarkEnd w:id="155"/>
    </w:p>
    <w:p w:rsidR="00882AC5" w:rsidRDefault="00882AC5" w:rsidP="00882AC5">
      <w:r w:rsidRPr="00AA082F">
        <w:t xml:space="preserve">Incentive schemes are a component of incentive-based regulation and complement our approach to assessing efficient costs. </w:t>
      </w:r>
    </w:p>
    <w:p w:rsidR="009A7EC9" w:rsidRDefault="009A7EC9" w:rsidP="00882AC5">
      <w:r>
        <w:t xml:space="preserve">Our final decision is to approve the application of an efficiency carryover mechanism to JGN in the 2015–20 access arrangement period. The mechanism we will apply is consistent with the Efficiency Benefit Sharing Scheme (EBSS) we apply to electricity service providers. </w:t>
      </w:r>
    </w:p>
    <w:p w:rsidR="009A7EC9" w:rsidRDefault="009A7EC9" w:rsidP="00882AC5">
      <w:r>
        <w:t>In applying the efficiency carryover mechanism to JGN in the 2015–20 access arrangement period we will:</w:t>
      </w:r>
    </w:p>
    <w:p w:rsidR="009A7EC9" w:rsidRDefault="00CB41D3" w:rsidP="0056459D">
      <w:pPr>
        <w:pStyle w:val="AERbulletlistfirststyle"/>
      </w:pPr>
      <w:r>
        <w:t>e</w:t>
      </w:r>
      <w:r w:rsidR="009A7EC9">
        <w:t xml:space="preserve">xclude </w:t>
      </w:r>
      <w:r w:rsidR="00FB5A19">
        <w:t>unaccounted for gas (U</w:t>
      </w:r>
      <w:r w:rsidR="009A7EC9">
        <w:t>AG</w:t>
      </w:r>
      <w:r w:rsidR="00FB5A19">
        <w:t>)</w:t>
      </w:r>
      <w:r w:rsidR="009A7EC9">
        <w:t xml:space="preserve"> costs, licence fee costs, carbon costs, the cost of any relevant tax change and debt raising costs. Consistent with the electricity network EBSS we will also maintain discretion to exclude cost categories that are not forecast using a single year revealed cost approach in the access arrangement period commencing in 2020.</w:t>
      </w:r>
      <w:r w:rsidR="009A7EC9">
        <w:rPr>
          <w:rStyle w:val="FootnoteReference"/>
        </w:rPr>
        <w:footnoteReference w:id="89"/>
      </w:r>
      <w:r w:rsidR="009A7EC9">
        <w:t xml:space="preserve"> </w:t>
      </w:r>
    </w:p>
    <w:p w:rsidR="009A7EC9" w:rsidRDefault="00CB41D3" w:rsidP="0056459D">
      <w:pPr>
        <w:pStyle w:val="AERbulletlistfirststyle"/>
      </w:pPr>
      <w:r>
        <w:t>a</w:t>
      </w:r>
      <w:r w:rsidR="009A7EC9">
        <w:t>djust JGN's opex forecast to account for determined pass through amounts</w:t>
      </w:r>
      <w:r>
        <w:t>, and</w:t>
      </w:r>
    </w:p>
    <w:p w:rsidR="009A7EC9" w:rsidRDefault="00CB41D3" w:rsidP="0056459D">
      <w:pPr>
        <w:pStyle w:val="AERbulletlistfirststyle"/>
      </w:pPr>
      <w:r>
        <w:t>a</w:t>
      </w:r>
      <w:r w:rsidR="009A7EC9">
        <w:t>djust JGN's opex forecast to account for any capitalisation policy changes.</w:t>
      </w:r>
    </w:p>
    <w:p w:rsidR="00D16AE3" w:rsidRPr="00D16AE3" w:rsidRDefault="00D16AE3" w:rsidP="0056459D">
      <w:r w:rsidRPr="00D16AE3">
        <w:t xml:space="preserve">The reasons for our final decision are </w:t>
      </w:r>
      <w:r w:rsidR="006B52EA">
        <w:t>set out</w:t>
      </w:r>
      <w:r w:rsidRPr="00D16AE3">
        <w:t xml:space="preserve"> in </w:t>
      </w:r>
      <w:r w:rsidR="00FB5A19">
        <w:t>a</w:t>
      </w:r>
      <w:r w:rsidRPr="00D16AE3">
        <w:t xml:space="preserve">ttachment </w:t>
      </w:r>
      <w:r>
        <w:t>9</w:t>
      </w:r>
      <w:r w:rsidRPr="00D16AE3">
        <w:t>.</w:t>
      </w:r>
    </w:p>
    <w:p w:rsidR="009F0D00" w:rsidRPr="0064050D" w:rsidRDefault="007E1C72" w:rsidP="0056459D">
      <w:pPr>
        <w:pStyle w:val="Heading2"/>
        <w:rPr>
          <w:rStyle w:val="AERbody"/>
          <w:color w:val="70635A" w:themeColor="text2"/>
          <w:sz w:val="32"/>
        </w:rPr>
      </w:pPr>
      <w:bookmarkStart w:id="156" w:name="_Toc419895036"/>
      <w:r w:rsidRPr="0064050D">
        <w:rPr>
          <w:rStyle w:val="AERbody"/>
          <w:color w:val="70635A" w:themeColor="text2"/>
          <w:sz w:val="32"/>
        </w:rPr>
        <w:t>Services covered by the access arrangement</w:t>
      </w:r>
      <w:bookmarkEnd w:id="156"/>
    </w:p>
    <w:p w:rsidR="0058490C" w:rsidRDefault="001623AE" w:rsidP="008E433E">
      <w:pPr>
        <w:rPr>
          <w:rStyle w:val="AERbody"/>
        </w:rPr>
      </w:pPr>
      <w:r>
        <w:rPr>
          <w:rStyle w:val="AERbody"/>
        </w:rPr>
        <w:t xml:space="preserve">Our draft decision approved JGN's proposed Haulage Reference Service. </w:t>
      </w:r>
      <w:r w:rsidR="0058490C">
        <w:rPr>
          <w:rStyle w:val="AERbody"/>
        </w:rPr>
        <w:t xml:space="preserve">JGN accepted our draft decision on the </w:t>
      </w:r>
      <w:r w:rsidR="006409EE">
        <w:rPr>
          <w:rStyle w:val="AERbody"/>
        </w:rPr>
        <w:t>services to be covered by this access a</w:t>
      </w:r>
      <w:r w:rsidR="0058490C">
        <w:rPr>
          <w:rStyle w:val="AERbody"/>
        </w:rPr>
        <w:t xml:space="preserve">rrangement and did not propose any further amendments, so we approve JGN's services covered by the access arrangement as presented in its revised proposal. </w:t>
      </w:r>
    </w:p>
    <w:p w:rsidR="007E1C72" w:rsidRDefault="00D16AE3" w:rsidP="008E433E">
      <w:pPr>
        <w:rPr>
          <w:rStyle w:val="AERbody"/>
        </w:rPr>
      </w:pPr>
      <w:r w:rsidRPr="00D16AE3">
        <w:t xml:space="preserve">The reasons for our final decision are </w:t>
      </w:r>
      <w:r w:rsidR="006B52EA">
        <w:t>set out</w:t>
      </w:r>
      <w:r w:rsidRPr="00D16AE3">
        <w:t xml:space="preserve"> in </w:t>
      </w:r>
      <w:r w:rsidR="00FB5A19">
        <w:t>a</w:t>
      </w:r>
      <w:r w:rsidRPr="00D16AE3">
        <w:t>ttachment</w:t>
      </w:r>
      <w:r>
        <w:t xml:space="preserve"> 1.</w:t>
      </w:r>
    </w:p>
    <w:p w:rsidR="007E1C72" w:rsidRPr="0064050D" w:rsidRDefault="007E1C72" w:rsidP="0056459D">
      <w:pPr>
        <w:pStyle w:val="Heading2"/>
        <w:rPr>
          <w:rStyle w:val="AERbody"/>
          <w:color w:val="70635A" w:themeColor="text2"/>
          <w:sz w:val="32"/>
        </w:rPr>
      </w:pPr>
      <w:bookmarkStart w:id="157" w:name="_Toc419895037"/>
      <w:r w:rsidRPr="0064050D">
        <w:rPr>
          <w:rStyle w:val="AERbody"/>
          <w:color w:val="70635A" w:themeColor="text2"/>
          <w:sz w:val="32"/>
        </w:rPr>
        <w:t>Reference tariff setting</w:t>
      </w:r>
      <w:bookmarkEnd w:id="157"/>
    </w:p>
    <w:p w:rsidR="00B906E0" w:rsidRPr="00FD1804" w:rsidRDefault="00B906E0" w:rsidP="00B906E0">
      <w:r>
        <w:t xml:space="preserve">We </w:t>
      </w:r>
      <w:r w:rsidRPr="00794320">
        <w:t xml:space="preserve">accept the proposed structure of </w:t>
      </w:r>
      <w:r>
        <w:t>JGN's</w:t>
      </w:r>
      <w:r w:rsidRPr="00794320">
        <w:t xml:space="preserve"> reference tariffs as set out in its revised proposals, but consider th</w:t>
      </w:r>
      <w:r w:rsidR="006409EE">
        <w:t>at the 2015–20 access a</w:t>
      </w:r>
      <w:r>
        <w:t>rrangement should be amended in order to comply with the NSW Retail Market Procedures</w:t>
      </w:r>
      <w:r w:rsidRPr="00794320">
        <w:t>.</w:t>
      </w:r>
      <w:r w:rsidRPr="00FD1804">
        <w:rPr>
          <w:rStyle w:val="FootnoteReference"/>
        </w:rPr>
        <w:footnoteReference w:id="90"/>
      </w:r>
      <w:r w:rsidRPr="00FD1804">
        <w:t xml:space="preserve">  </w:t>
      </w:r>
    </w:p>
    <w:p w:rsidR="007E1C72" w:rsidRDefault="00D16AE3" w:rsidP="008E433E">
      <w:pPr>
        <w:rPr>
          <w:rStyle w:val="AERbody"/>
        </w:rPr>
      </w:pPr>
      <w:r w:rsidRPr="00D16AE3">
        <w:t xml:space="preserve">The reasons for our final decision are </w:t>
      </w:r>
      <w:r w:rsidR="006B52EA">
        <w:t>set out</w:t>
      </w:r>
      <w:r w:rsidRPr="00D16AE3">
        <w:t xml:space="preserve"> in </w:t>
      </w:r>
      <w:r w:rsidR="00FB5A19">
        <w:t>a</w:t>
      </w:r>
      <w:r w:rsidRPr="00D16AE3">
        <w:t>ttachment</w:t>
      </w:r>
      <w:r>
        <w:t xml:space="preserve"> 10</w:t>
      </w:r>
      <w:r w:rsidR="0058490C">
        <w:rPr>
          <w:rStyle w:val="AERbody"/>
        </w:rPr>
        <w:t xml:space="preserve">. </w:t>
      </w:r>
    </w:p>
    <w:p w:rsidR="007E1C72" w:rsidRPr="0064050D" w:rsidRDefault="007E1C72" w:rsidP="0056459D">
      <w:pPr>
        <w:pStyle w:val="Heading2"/>
        <w:rPr>
          <w:rStyle w:val="AERbody"/>
          <w:color w:val="70635A" w:themeColor="text2"/>
          <w:sz w:val="32"/>
        </w:rPr>
      </w:pPr>
      <w:bookmarkStart w:id="158" w:name="_Toc419895038"/>
      <w:r w:rsidRPr="0064050D">
        <w:rPr>
          <w:rStyle w:val="AERbody"/>
          <w:color w:val="70635A" w:themeColor="text2"/>
          <w:sz w:val="32"/>
        </w:rPr>
        <w:t>Reference tariff variation mechanism</w:t>
      </w:r>
      <w:bookmarkEnd w:id="158"/>
    </w:p>
    <w:p w:rsidR="007E1C72" w:rsidRDefault="0058490C" w:rsidP="008E433E">
      <w:pPr>
        <w:rPr>
          <w:rStyle w:val="AERbody"/>
        </w:rPr>
      </w:pPr>
      <w:r>
        <w:rPr>
          <w:rStyle w:val="AERbody"/>
        </w:rPr>
        <w:t xml:space="preserve">We have </w:t>
      </w:r>
      <w:r w:rsidR="00197CF6">
        <w:rPr>
          <w:rStyle w:val="AERbody"/>
        </w:rPr>
        <w:t xml:space="preserve">approved most of </w:t>
      </w:r>
      <w:r>
        <w:rPr>
          <w:rStyle w:val="AERbody"/>
        </w:rPr>
        <w:t xml:space="preserve">JGN's proposed reference tariff variation </w:t>
      </w:r>
      <w:r w:rsidR="00D44F0B">
        <w:rPr>
          <w:rStyle w:val="AERbody"/>
        </w:rPr>
        <w:t>mechanism</w:t>
      </w:r>
      <w:r>
        <w:rPr>
          <w:rStyle w:val="AERbody"/>
        </w:rPr>
        <w:t>, except for:</w:t>
      </w:r>
    </w:p>
    <w:p w:rsidR="0058490C" w:rsidRDefault="00197CF6" w:rsidP="0056459D">
      <w:pPr>
        <w:pStyle w:val="AERbulletlistfirststyle"/>
        <w:rPr>
          <w:rStyle w:val="AERbody"/>
        </w:rPr>
      </w:pPr>
      <w:r>
        <w:rPr>
          <w:rStyle w:val="AERbody"/>
        </w:rPr>
        <w:t>JGN's p</w:t>
      </w:r>
      <w:r w:rsidR="0058490C">
        <w:rPr>
          <w:rStyle w:val="AERbody"/>
        </w:rPr>
        <w:t>r</w:t>
      </w:r>
      <w:r>
        <w:rPr>
          <w:rStyle w:val="AERbody"/>
        </w:rPr>
        <w:t>opo</w:t>
      </w:r>
      <w:r w:rsidR="0058490C">
        <w:rPr>
          <w:rStyle w:val="AERbody"/>
        </w:rPr>
        <w:t>sed initial reference tariffs and X factors</w:t>
      </w:r>
      <w:r w:rsidR="00D16AE3">
        <w:rPr>
          <w:rStyle w:val="AERbody"/>
        </w:rPr>
        <w:t>,</w:t>
      </w:r>
      <w:r w:rsidR="0058490C">
        <w:rPr>
          <w:rStyle w:val="AERbody"/>
        </w:rPr>
        <w:t xml:space="preserve"> which must be revised to reflect the changes to the forecast total revenue</w:t>
      </w:r>
      <w:r w:rsidR="00EE08B1">
        <w:rPr>
          <w:rStyle w:val="AERbody"/>
        </w:rPr>
        <w:t xml:space="preserve"> requirement</w:t>
      </w:r>
      <w:r w:rsidR="0058490C">
        <w:rPr>
          <w:rStyle w:val="AERbody"/>
        </w:rPr>
        <w:t xml:space="preserve"> identified in section </w:t>
      </w:r>
      <w:r>
        <w:rPr>
          <w:rStyle w:val="AERbody"/>
        </w:rPr>
        <w:fldChar w:fldCharType="begin"/>
      </w:r>
      <w:r>
        <w:rPr>
          <w:rStyle w:val="AERbody"/>
        </w:rPr>
        <w:instrText xml:space="preserve"> REF _Ref418255454 \r \h </w:instrText>
      </w:r>
      <w:r>
        <w:rPr>
          <w:rStyle w:val="AERbody"/>
        </w:rPr>
      </w:r>
      <w:r>
        <w:rPr>
          <w:rStyle w:val="AERbody"/>
        </w:rPr>
        <w:fldChar w:fldCharType="separate"/>
      </w:r>
      <w:r w:rsidR="009037A2">
        <w:rPr>
          <w:rStyle w:val="AERbody"/>
        </w:rPr>
        <w:t>2</w:t>
      </w:r>
      <w:r>
        <w:rPr>
          <w:rStyle w:val="AERbody"/>
        </w:rPr>
        <w:fldChar w:fldCharType="end"/>
      </w:r>
      <w:r>
        <w:rPr>
          <w:rStyle w:val="AERbody"/>
        </w:rPr>
        <w:t xml:space="preserve"> of this overview. </w:t>
      </w:r>
      <w:r w:rsidR="0058490C">
        <w:rPr>
          <w:rStyle w:val="AERbody"/>
        </w:rPr>
        <w:t xml:space="preserve"> </w:t>
      </w:r>
    </w:p>
    <w:p w:rsidR="00197CF6" w:rsidRDefault="00D16AE3" w:rsidP="0056459D">
      <w:pPr>
        <w:pStyle w:val="AERbulletlistfirststyle"/>
        <w:rPr>
          <w:rStyle w:val="AERbody"/>
        </w:rPr>
      </w:pPr>
      <w:r>
        <w:rPr>
          <w:rStyle w:val="AERbody"/>
        </w:rPr>
        <w:t xml:space="preserve">JGN's proposed </w:t>
      </w:r>
      <w:r w:rsidR="0058490C">
        <w:rPr>
          <w:rStyle w:val="AERbody"/>
        </w:rPr>
        <w:t xml:space="preserve">cost pass through events. We have substituted </w:t>
      </w:r>
      <w:r>
        <w:rPr>
          <w:rStyle w:val="AERbody"/>
        </w:rPr>
        <w:t xml:space="preserve">our preferred </w:t>
      </w:r>
      <w:r w:rsidR="0058490C">
        <w:rPr>
          <w:rStyle w:val="AERbody"/>
        </w:rPr>
        <w:t xml:space="preserve">definitions </w:t>
      </w:r>
      <w:r>
        <w:rPr>
          <w:rStyle w:val="AERbody"/>
        </w:rPr>
        <w:t xml:space="preserve">of </w:t>
      </w:r>
      <w:r w:rsidR="00197CF6">
        <w:rPr>
          <w:rStyle w:val="AERbody"/>
        </w:rPr>
        <w:t>the following events</w:t>
      </w:r>
      <w:r>
        <w:rPr>
          <w:rStyle w:val="AERbody"/>
        </w:rPr>
        <w:t xml:space="preserve"> for those proposed by JGN</w:t>
      </w:r>
      <w:r w:rsidR="00197CF6">
        <w:rPr>
          <w:rStyle w:val="AERbody"/>
        </w:rPr>
        <w:t>:</w:t>
      </w:r>
    </w:p>
    <w:p w:rsidR="00197CF6" w:rsidRDefault="00197CF6" w:rsidP="0056459D">
      <w:pPr>
        <w:pStyle w:val="AERbulletlistsecondstyle"/>
        <w:rPr>
          <w:rStyle w:val="AERbody"/>
          <w:rFonts w:cs="Times New Roman"/>
        </w:rPr>
      </w:pPr>
      <w:r>
        <w:rPr>
          <w:rStyle w:val="AERbody"/>
        </w:rPr>
        <w:t>Service standard event</w:t>
      </w:r>
    </w:p>
    <w:p w:rsidR="00197CF6" w:rsidRDefault="00197CF6" w:rsidP="0056459D">
      <w:pPr>
        <w:pStyle w:val="AERbulletlistsecondstyle"/>
        <w:rPr>
          <w:rStyle w:val="AERbody"/>
          <w:rFonts w:cs="Times New Roman"/>
        </w:rPr>
      </w:pPr>
      <w:r>
        <w:rPr>
          <w:rStyle w:val="AERbody"/>
        </w:rPr>
        <w:t>Regulatory change event</w:t>
      </w:r>
    </w:p>
    <w:p w:rsidR="00197CF6" w:rsidRDefault="00197CF6" w:rsidP="0056459D">
      <w:pPr>
        <w:pStyle w:val="AERbulletlistsecondstyle"/>
        <w:rPr>
          <w:rStyle w:val="AERbody"/>
          <w:rFonts w:cs="Times New Roman"/>
        </w:rPr>
      </w:pPr>
      <w:r>
        <w:rPr>
          <w:rStyle w:val="AERbody"/>
        </w:rPr>
        <w:t>Terrorism event</w:t>
      </w:r>
    </w:p>
    <w:p w:rsidR="00197CF6" w:rsidRDefault="00197CF6" w:rsidP="0056459D">
      <w:pPr>
        <w:pStyle w:val="AERbulletlistsecondstyle"/>
        <w:rPr>
          <w:rStyle w:val="AERbody"/>
          <w:rFonts w:cs="Times New Roman"/>
        </w:rPr>
      </w:pPr>
      <w:r>
        <w:rPr>
          <w:rStyle w:val="AERbody"/>
        </w:rPr>
        <w:t>Natural disaster event</w:t>
      </w:r>
    </w:p>
    <w:p w:rsidR="00197CF6" w:rsidRDefault="00197CF6" w:rsidP="0056459D">
      <w:pPr>
        <w:pStyle w:val="AERbulletlistsecondstyle"/>
        <w:rPr>
          <w:rStyle w:val="AERbody"/>
          <w:rFonts w:cs="Times New Roman"/>
        </w:rPr>
      </w:pPr>
      <w:r>
        <w:rPr>
          <w:rStyle w:val="AERbody"/>
        </w:rPr>
        <w:t>Insurance cap event</w:t>
      </w:r>
    </w:p>
    <w:p w:rsidR="00197CF6" w:rsidRDefault="00197CF6" w:rsidP="0056459D">
      <w:pPr>
        <w:pStyle w:val="AERbulletlistsecondstyle"/>
        <w:rPr>
          <w:rStyle w:val="AERbody"/>
          <w:rFonts w:cs="Times New Roman"/>
        </w:rPr>
      </w:pPr>
      <w:r>
        <w:rPr>
          <w:rStyle w:val="AERbody"/>
        </w:rPr>
        <w:t>Insurer's credit risk event</w:t>
      </w:r>
    </w:p>
    <w:p w:rsidR="00197CF6" w:rsidRDefault="00197CF6" w:rsidP="0056459D">
      <w:pPr>
        <w:pStyle w:val="AERbulletlistsecondstyle"/>
        <w:rPr>
          <w:rStyle w:val="AERbody"/>
          <w:rFonts w:cs="Times New Roman"/>
        </w:rPr>
      </w:pPr>
      <w:r>
        <w:rPr>
          <w:rStyle w:val="AERbody"/>
        </w:rPr>
        <w:t>Network user failure event</w:t>
      </w:r>
    </w:p>
    <w:p w:rsidR="0058490C" w:rsidRDefault="00197CF6" w:rsidP="008A6496">
      <w:pPr>
        <w:pStyle w:val="AERbulletlistfirststyle"/>
        <w:rPr>
          <w:rStyle w:val="AERbody"/>
        </w:rPr>
      </w:pPr>
      <w:r>
        <w:rPr>
          <w:rStyle w:val="AERbody"/>
        </w:rPr>
        <w:t xml:space="preserve">We </w:t>
      </w:r>
      <w:r w:rsidR="00D16AE3">
        <w:rPr>
          <w:rStyle w:val="AERbody"/>
        </w:rPr>
        <w:t xml:space="preserve">have </w:t>
      </w:r>
      <w:r w:rsidRPr="00FB5A19">
        <w:rPr>
          <w:rStyle w:val="AERbody"/>
        </w:rPr>
        <w:t>rejected</w:t>
      </w:r>
      <w:r>
        <w:rPr>
          <w:rStyle w:val="AERbody"/>
        </w:rPr>
        <w:t xml:space="preserve"> JGN's proposed </w:t>
      </w:r>
      <w:r w:rsidR="00FB5A19">
        <w:rPr>
          <w:rStyle w:val="AERbody"/>
        </w:rPr>
        <w:t>g</w:t>
      </w:r>
      <w:r>
        <w:rPr>
          <w:rStyle w:val="AERbody"/>
        </w:rPr>
        <w:t xml:space="preserve">as supply shortfall event and its proposed </w:t>
      </w:r>
      <w:r w:rsidR="0058490C">
        <w:rPr>
          <w:rStyle w:val="AERbody"/>
        </w:rPr>
        <w:t xml:space="preserve">materiality threshold. </w:t>
      </w:r>
    </w:p>
    <w:p w:rsidR="0058490C" w:rsidRDefault="00D16AE3" w:rsidP="0056459D">
      <w:pPr>
        <w:pStyle w:val="AERbulletlistfirststyle"/>
        <w:numPr>
          <w:ilvl w:val="0"/>
          <w:numId w:val="0"/>
        </w:numPr>
        <w:ind w:left="357" w:hanging="357"/>
        <w:rPr>
          <w:rStyle w:val="AERbody"/>
        </w:rPr>
      </w:pPr>
      <w:r w:rsidRPr="00D16AE3">
        <w:t xml:space="preserve">The reasons for our final decision are </w:t>
      </w:r>
      <w:r w:rsidR="006B52EA">
        <w:t>set out</w:t>
      </w:r>
      <w:r w:rsidRPr="00D16AE3">
        <w:t xml:space="preserve"> in </w:t>
      </w:r>
      <w:r w:rsidR="00FB5A19">
        <w:t>a</w:t>
      </w:r>
      <w:r w:rsidRPr="00D16AE3">
        <w:t>ttachment</w:t>
      </w:r>
      <w:r>
        <w:t xml:space="preserve"> 11</w:t>
      </w:r>
      <w:r w:rsidR="0058490C">
        <w:rPr>
          <w:rStyle w:val="AERbody"/>
        </w:rPr>
        <w:t xml:space="preserve">. </w:t>
      </w:r>
    </w:p>
    <w:p w:rsidR="007E1C72" w:rsidRDefault="007E1C72" w:rsidP="0056459D">
      <w:pPr>
        <w:pStyle w:val="Heading2"/>
        <w:rPr>
          <w:rStyle w:val="AERbody"/>
          <w:rFonts w:cs="Times New Roman"/>
          <w:color w:val="70635A" w:themeColor="text2"/>
          <w:sz w:val="32"/>
        </w:rPr>
      </w:pPr>
      <w:bookmarkStart w:id="159" w:name="_Toc419895039"/>
      <w:r w:rsidRPr="0064050D">
        <w:rPr>
          <w:rStyle w:val="AERbody"/>
          <w:color w:val="70635A" w:themeColor="text2"/>
          <w:sz w:val="32"/>
        </w:rPr>
        <w:t>Non-tariff components</w:t>
      </w:r>
      <w:bookmarkEnd w:id="159"/>
    </w:p>
    <w:p w:rsidR="00EF47A0" w:rsidRPr="0056459D" w:rsidRDefault="00EF47A0">
      <w:r w:rsidRPr="00F5072A">
        <w:t xml:space="preserve">JGN’s Reference Service Agreement (RSA) forms part of </w:t>
      </w:r>
      <w:r>
        <w:t>its</w:t>
      </w:r>
      <w:r w:rsidRPr="00F5072A">
        <w:t xml:space="preserve"> 2015</w:t>
      </w:r>
      <w:r>
        <w:t>–20</w:t>
      </w:r>
      <w:r w:rsidRPr="00F5072A">
        <w:t xml:space="preserve"> access arrangement proposal. The RSA sets out terms and conditions upon which JGN </w:t>
      </w:r>
      <w:r>
        <w:t xml:space="preserve">offers to </w:t>
      </w:r>
      <w:r w:rsidRPr="00F5072A">
        <w:t>supply the Haulage Reference Service</w:t>
      </w:r>
      <w:r>
        <w:t>. These</w:t>
      </w:r>
      <w:r w:rsidRPr="00F5072A">
        <w:t xml:space="preserve"> are not directly related to the nature or level of tariffs </w:t>
      </w:r>
      <w:r>
        <w:t xml:space="preserve">that </w:t>
      </w:r>
      <w:r w:rsidRPr="00F5072A">
        <w:t>users</w:t>
      </w:r>
      <w:r>
        <w:t xml:space="preserve"> pay. JGN's access arrangement</w:t>
      </w:r>
      <w:r w:rsidRPr="00F5072A">
        <w:t xml:space="preserve"> also contains additional terms and conditions governing the relationship between JGN and users.</w:t>
      </w:r>
      <w:r>
        <w:t xml:space="preserve"> </w:t>
      </w:r>
      <w:r w:rsidRPr="00F5072A">
        <w:t xml:space="preserve">Together </w:t>
      </w:r>
      <w:r>
        <w:t xml:space="preserve">we refer to </w:t>
      </w:r>
      <w:r w:rsidRPr="00F5072A">
        <w:t xml:space="preserve">these as </w:t>
      </w:r>
      <w:r>
        <w:t xml:space="preserve">the </w:t>
      </w:r>
      <w:r w:rsidRPr="00F5072A">
        <w:t>non-tariff components of the access arrangement</w:t>
      </w:r>
      <w:r>
        <w:t xml:space="preserve">. </w:t>
      </w:r>
    </w:p>
    <w:p w:rsidR="00EE08B1" w:rsidRDefault="0058490C" w:rsidP="008E433E">
      <w:pPr>
        <w:rPr>
          <w:rStyle w:val="AERbody"/>
        </w:rPr>
      </w:pPr>
      <w:r>
        <w:rPr>
          <w:rStyle w:val="AERbody"/>
        </w:rPr>
        <w:t>JGN's revised proposal accept</w:t>
      </w:r>
      <w:r w:rsidR="00EF47A0">
        <w:rPr>
          <w:rStyle w:val="AERbody"/>
        </w:rPr>
        <w:t>ed</w:t>
      </w:r>
      <w:r>
        <w:rPr>
          <w:rStyle w:val="AERbody"/>
        </w:rPr>
        <w:t xml:space="preserve"> many of </w:t>
      </w:r>
      <w:r w:rsidR="00EF47A0">
        <w:rPr>
          <w:rStyle w:val="AERbody"/>
        </w:rPr>
        <w:t>the revisions to</w:t>
      </w:r>
      <w:r>
        <w:rPr>
          <w:rStyle w:val="AERbody"/>
        </w:rPr>
        <w:t xml:space="preserve"> non-tariff components</w:t>
      </w:r>
      <w:r w:rsidR="00EF47A0">
        <w:rPr>
          <w:rStyle w:val="AERbody"/>
        </w:rPr>
        <w:t xml:space="preserve"> set out in our draft decision</w:t>
      </w:r>
      <w:r>
        <w:rPr>
          <w:rStyle w:val="AERbody"/>
        </w:rPr>
        <w:t xml:space="preserve">. </w:t>
      </w:r>
      <w:r w:rsidR="00EF47A0">
        <w:rPr>
          <w:rStyle w:val="AERbody"/>
        </w:rPr>
        <w:t>Where it did not do so, it proposed alternative revisions to address our concerns. Our final decision adopts most of JGN’s revised proposal</w:t>
      </w:r>
      <w:r w:rsidR="00EE08B1">
        <w:rPr>
          <w:rStyle w:val="AERbody"/>
        </w:rPr>
        <w:t xml:space="preserve">. However, we have made </w:t>
      </w:r>
      <w:r w:rsidR="00EF47A0">
        <w:rPr>
          <w:rStyle w:val="AERbody"/>
        </w:rPr>
        <w:t>revision</w:t>
      </w:r>
      <w:r w:rsidR="003040A0">
        <w:rPr>
          <w:rStyle w:val="AERbody"/>
        </w:rPr>
        <w:t>s</w:t>
      </w:r>
      <w:r w:rsidR="00EF47A0">
        <w:rPr>
          <w:rStyle w:val="AERbody"/>
        </w:rPr>
        <w:t xml:space="preserve"> to</w:t>
      </w:r>
      <w:r w:rsidR="00EE08B1">
        <w:rPr>
          <w:rStyle w:val="AERbody"/>
        </w:rPr>
        <w:t xml:space="preserve"> clarify mechanisms for</w:t>
      </w:r>
      <w:r w:rsidR="003040A0">
        <w:rPr>
          <w:rStyle w:val="AERbody"/>
        </w:rPr>
        <w:t xml:space="preserve"> the</w:t>
      </w:r>
      <w:r w:rsidR="00EE08B1">
        <w:rPr>
          <w:rStyle w:val="AERbody"/>
        </w:rPr>
        <w:t xml:space="preserve"> user and JGN to raise revisions to the RSA during the </w:t>
      </w:r>
      <w:r w:rsidR="00FB5A19">
        <w:rPr>
          <w:rStyle w:val="AERbody"/>
        </w:rPr>
        <w:t xml:space="preserve">access arrangement </w:t>
      </w:r>
      <w:r w:rsidR="00EE08B1">
        <w:rPr>
          <w:rStyle w:val="AERbody"/>
        </w:rPr>
        <w:t>period, for example in response to changes in JGN’s regulatory obligations.</w:t>
      </w:r>
      <w:r w:rsidR="00707DDE">
        <w:rPr>
          <w:rStyle w:val="AERbody"/>
        </w:rPr>
        <w:t xml:space="preserve"> </w:t>
      </w:r>
      <w:r w:rsidR="00EE08B1">
        <w:rPr>
          <w:rStyle w:val="AERbody"/>
        </w:rPr>
        <w:t>We have also made a small number of revisions to improve the clarity of the terms and conditions on which the reference service will be provided.</w:t>
      </w:r>
    </w:p>
    <w:p w:rsidR="00117DB9" w:rsidRDefault="00117DB9" w:rsidP="008E433E">
      <w:pPr>
        <w:rPr>
          <w:rStyle w:val="AERbody"/>
        </w:rPr>
      </w:pPr>
      <w:r w:rsidRPr="00D16AE3">
        <w:t xml:space="preserve">The reasons for our final decision are </w:t>
      </w:r>
      <w:r>
        <w:t>set out</w:t>
      </w:r>
      <w:r w:rsidRPr="00D16AE3">
        <w:t xml:space="preserve"> in </w:t>
      </w:r>
      <w:r>
        <w:t>a</w:t>
      </w:r>
      <w:r w:rsidRPr="00D16AE3">
        <w:t>ttachment</w:t>
      </w:r>
      <w:r>
        <w:t xml:space="preserve"> 12.</w:t>
      </w:r>
    </w:p>
    <w:p w:rsidR="008E433E" w:rsidRPr="008F3A0D" w:rsidRDefault="008E433E" w:rsidP="008E433E">
      <w:pPr>
        <w:pStyle w:val="Heading1"/>
      </w:pPr>
      <w:bookmarkStart w:id="160" w:name="_Toc409638330"/>
      <w:bookmarkStart w:id="161" w:name="_Toc409638483"/>
      <w:bookmarkStart w:id="162" w:name="_Toc410815399"/>
      <w:bookmarkStart w:id="163" w:name="_Toc409638331"/>
      <w:bookmarkStart w:id="164" w:name="_Toc409638484"/>
      <w:bookmarkStart w:id="165" w:name="_Toc410815400"/>
      <w:bookmarkStart w:id="166" w:name="_Toc409638333"/>
      <w:bookmarkStart w:id="167" w:name="_Toc409638486"/>
      <w:bookmarkStart w:id="168" w:name="_Toc410815402"/>
      <w:bookmarkStart w:id="169" w:name="_Toc409638334"/>
      <w:bookmarkStart w:id="170" w:name="_Toc409638487"/>
      <w:bookmarkStart w:id="171" w:name="_Toc410815403"/>
      <w:bookmarkStart w:id="172" w:name="_Toc409638342"/>
      <w:bookmarkStart w:id="173" w:name="_Toc409638495"/>
      <w:bookmarkStart w:id="174" w:name="_Toc410815411"/>
      <w:bookmarkStart w:id="175" w:name="_Toc409638344"/>
      <w:bookmarkStart w:id="176" w:name="_Toc409638497"/>
      <w:bookmarkStart w:id="177" w:name="_Toc410815413"/>
      <w:bookmarkStart w:id="178" w:name="_Toc409638345"/>
      <w:bookmarkStart w:id="179" w:name="_Toc409638498"/>
      <w:bookmarkStart w:id="180" w:name="_Toc410815414"/>
      <w:bookmarkStart w:id="181" w:name="_Toc409638346"/>
      <w:bookmarkStart w:id="182" w:name="_Toc409638499"/>
      <w:bookmarkStart w:id="183" w:name="_Toc410815415"/>
      <w:bookmarkStart w:id="184" w:name="_Toc409638353"/>
      <w:bookmarkStart w:id="185" w:name="_Toc409638506"/>
      <w:bookmarkStart w:id="186" w:name="_Toc410815422"/>
      <w:bookmarkStart w:id="187" w:name="_Toc409638356"/>
      <w:bookmarkStart w:id="188" w:name="_Toc409638509"/>
      <w:bookmarkStart w:id="189" w:name="_Toc410815425"/>
      <w:bookmarkStart w:id="190" w:name="_Toc409638360"/>
      <w:bookmarkStart w:id="191" w:name="_Toc409638513"/>
      <w:bookmarkStart w:id="192" w:name="_Toc410815429"/>
      <w:bookmarkStart w:id="193" w:name="_Toc409638361"/>
      <w:bookmarkStart w:id="194" w:name="_Toc409638514"/>
      <w:bookmarkStart w:id="195" w:name="_Toc410815430"/>
      <w:bookmarkStart w:id="196" w:name="_Toc409638362"/>
      <w:bookmarkStart w:id="197" w:name="_Toc409638515"/>
      <w:bookmarkStart w:id="198" w:name="_Toc410815431"/>
      <w:bookmarkStart w:id="199" w:name="_Toc409638366"/>
      <w:bookmarkStart w:id="200" w:name="_Toc409638519"/>
      <w:bookmarkStart w:id="201" w:name="_Toc410815435"/>
      <w:bookmarkStart w:id="202" w:name="_Toc409638367"/>
      <w:bookmarkStart w:id="203" w:name="_Toc409638520"/>
      <w:bookmarkStart w:id="204" w:name="_Toc410815436"/>
      <w:bookmarkStart w:id="205" w:name="_Toc409638370"/>
      <w:bookmarkStart w:id="206" w:name="_Toc409638523"/>
      <w:bookmarkStart w:id="207" w:name="_Toc410815439"/>
      <w:bookmarkStart w:id="208" w:name="_Toc409638371"/>
      <w:bookmarkStart w:id="209" w:name="_Toc409638524"/>
      <w:bookmarkStart w:id="210" w:name="_Toc410815440"/>
      <w:bookmarkStart w:id="211" w:name="_Toc409638372"/>
      <w:bookmarkStart w:id="212" w:name="_Toc409638525"/>
      <w:bookmarkStart w:id="213" w:name="_Toc410815441"/>
      <w:bookmarkStart w:id="214" w:name="_Toc409638378"/>
      <w:bookmarkStart w:id="215" w:name="_Toc409638531"/>
      <w:bookmarkStart w:id="216" w:name="_Toc410815447"/>
      <w:bookmarkStart w:id="217" w:name="_Toc409638381"/>
      <w:bookmarkStart w:id="218" w:name="_Toc409638534"/>
      <w:bookmarkStart w:id="219" w:name="_Toc410815450"/>
      <w:bookmarkStart w:id="220" w:name="_Toc409638382"/>
      <w:bookmarkStart w:id="221" w:name="_Toc409638535"/>
      <w:bookmarkStart w:id="222" w:name="_Toc410815451"/>
      <w:bookmarkStart w:id="223" w:name="_Toc409638383"/>
      <w:bookmarkStart w:id="224" w:name="_Toc409638536"/>
      <w:bookmarkStart w:id="225" w:name="_Toc410815452"/>
      <w:bookmarkStart w:id="226" w:name="_Toc409638384"/>
      <w:bookmarkStart w:id="227" w:name="_Toc409638537"/>
      <w:bookmarkStart w:id="228" w:name="_Toc410815453"/>
      <w:bookmarkStart w:id="229" w:name="_Toc409638385"/>
      <w:bookmarkStart w:id="230" w:name="_Toc409638538"/>
      <w:bookmarkStart w:id="231" w:name="_Toc410815454"/>
      <w:bookmarkStart w:id="232" w:name="_Toc409638389"/>
      <w:bookmarkStart w:id="233" w:name="_Toc409638542"/>
      <w:bookmarkStart w:id="234" w:name="_Toc410815458"/>
      <w:bookmarkStart w:id="235" w:name="_Toc409638390"/>
      <w:bookmarkStart w:id="236" w:name="_Toc409638543"/>
      <w:bookmarkStart w:id="237" w:name="_Toc410815459"/>
      <w:bookmarkStart w:id="238" w:name="_Toc409638391"/>
      <w:bookmarkStart w:id="239" w:name="_Toc409638544"/>
      <w:bookmarkStart w:id="240" w:name="_Toc410815460"/>
      <w:bookmarkStart w:id="241" w:name="_Toc409638394"/>
      <w:bookmarkStart w:id="242" w:name="_Toc409638547"/>
      <w:bookmarkStart w:id="243" w:name="_Toc410815463"/>
      <w:bookmarkStart w:id="244" w:name="_Toc409638396"/>
      <w:bookmarkStart w:id="245" w:name="_Toc409638549"/>
      <w:bookmarkStart w:id="246" w:name="_Toc410815465"/>
      <w:bookmarkStart w:id="247" w:name="_Toc409638399"/>
      <w:bookmarkStart w:id="248" w:name="_Toc409638552"/>
      <w:bookmarkStart w:id="249" w:name="_Toc410815468"/>
      <w:bookmarkStart w:id="250" w:name="_Toc409422586"/>
      <w:bookmarkStart w:id="251" w:name="_Ref409424009"/>
      <w:bookmarkStart w:id="252" w:name="_Toc411428070"/>
      <w:bookmarkStart w:id="253" w:name="_Ref411507041"/>
      <w:bookmarkStart w:id="254" w:name="_Toc417993973"/>
      <w:bookmarkStart w:id="255" w:name="_Ref418255695"/>
      <w:bookmarkStart w:id="256" w:name="_Toc419895040"/>
      <w:bookmarkStart w:id="257" w:name="_Toc403144137"/>
      <w:bookmarkStart w:id="258" w:name="_Ref409425553"/>
      <w:bookmarkStart w:id="259" w:name="_Ref409433110"/>
      <w:bookmarkStart w:id="260" w:name="_Ref410817902"/>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8F3A0D">
        <w:t>Regulatory framework</w:t>
      </w:r>
      <w:bookmarkEnd w:id="250"/>
      <w:bookmarkEnd w:id="251"/>
      <w:bookmarkEnd w:id="252"/>
      <w:bookmarkEnd w:id="253"/>
      <w:bookmarkEnd w:id="254"/>
      <w:bookmarkEnd w:id="255"/>
      <w:bookmarkEnd w:id="256"/>
    </w:p>
    <w:p w:rsidR="008E433E" w:rsidRDefault="008E433E" w:rsidP="008E433E">
      <w:pPr>
        <w:numPr>
          <w:ilvl w:val="0"/>
          <w:numId w:val="25"/>
        </w:numPr>
      </w:pPr>
      <w:r w:rsidRPr="006C7462">
        <w:t>The N</w:t>
      </w:r>
      <w:r w:rsidR="0064050D">
        <w:t>G</w:t>
      </w:r>
      <w:r w:rsidRPr="006C7462">
        <w:t>L and the N</w:t>
      </w:r>
      <w:r w:rsidR="0064050D">
        <w:t>G</w:t>
      </w:r>
      <w:r w:rsidRPr="006C7462">
        <w:t xml:space="preserve">R provide the </w:t>
      </w:r>
      <w:r>
        <w:t>regulatory</w:t>
      </w:r>
      <w:r w:rsidRPr="006C7462">
        <w:t xml:space="preserve"> framework under which we operate. </w:t>
      </w:r>
      <w:r>
        <w:t>These set out how we must assess propos</w:t>
      </w:r>
      <w:r w:rsidR="0064050D">
        <w:t>ed access arrangement</w:t>
      </w:r>
      <w:r>
        <w:t xml:space="preserve"> </w:t>
      </w:r>
      <w:r w:rsidR="007C30C0">
        <w:t xml:space="preserve">revisions </w:t>
      </w:r>
      <w:r>
        <w:t>and make our decision. In this section we set out some key aspects of this framework.</w:t>
      </w:r>
    </w:p>
    <w:p w:rsidR="008E433E" w:rsidRPr="006C7462" w:rsidRDefault="008E433E" w:rsidP="0064050D">
      <w:pPr>
        <w:numPr>
          <w:ilvl w:val="0"/>
          <w:numId w:val="25"/>
        </w:numPr>
      </w:pPr>
      <w:r w:rsidRPr="006C7462">
        <w:t>The N</w:t>
      </w:r>
      <w:r w:rsidR="0064050D">
        <w:t>G</w:t>
      </w:r>
      <w:r w:rsidRPr="006C7462">
        <w:t xml:space="preserve">O is the central feature of the </w:t>
      </w:r>
      <w:r>
        <w:t>regulatory</w:t>
      </w:r>
      <w:r w:rsidRPr="006C7462">
        <w:t xml:space="preserve"> framework. </w:t>
      </w:r>
      <w:r w:rsidR="0064050D" w:rsidRPr="006C7462">
        <w:t>The N</w:t>
      </w:r>
      <w:r w:rsidR="0064050D">
        <w:t>G</w:t>
      </w:r>
      <w:r w:rsidR="0064050D" w:rsidRPr="006C7462">
        <w:t xml:space="preserve">O is to promote efficient investment in, and efficient operation and use of, </w:t>
      </w:r>
      <w:r w:rsidR="0064050D">
        <w:t xml:space="preserve">natural gas </w:t>
      </w:r>
      <w:r w:rsidR="0064050D" w:rsidRPr="006C7462">
        <w:t xml:space="preserve">services for the long term interests of consumers of </w:t>
      </w:r>
      <w:r w:rsidR="0064050D">
        <w:t>natural gas</w:t>
      </w:r>
      <w:r w:rsidR="0064050D" w:rsidRPr="006C7462">
        <w:t xml:space="preserve"> with respect to</w:t>
      </w:r>
      <w:r w:rsidR="0064050D" w:rsidRPr="00C5352F">
        <w:t xml:space="preserve"> </w:t>
      </w:r>
      <w:r w:rsidR="0064050D" w:rsidRPr="006C7462">
        <w:t xml:space="preserve">price, quality, safety, reliability and security of supply of </w:t>
      </w:r>
      <w:r w:rsidR="0064050D">
        <w:t>natural gas.</w:t>
      </w:r>
      <w:r w:rsidR="0064050D" w:rsidRPr="00932612">
        <w:rPr>
          <w:rStyle w:val="FootnoteReference"/>
        </w:rPr>
        <w:t xml:space="preserve"> </w:t>
      </w:r>
      <w:r w:rsidR="0064050D" w:rsidRPr="006C7462">
        <w:rPr>
          <w:rStyle w:val="FootnoteReference"/>
        </w:rPr>
        <w:footnoteReference w:id="91"/>
      </w:r>
      <w:r w:rsidRPr="006C7462">
        <w:t xml:space="preserve">  </w:t>
      </w:r>
    </w:p>
    <w:p w:rsidR="008E433E" w:rsidRPr="003B504B" w:rsidRDefault="008E433E" w:rsidP="008E433E">
      <w:r w:rsidRPr="006C7462">
        <w:t>The N</w:t>
      </w:r>
      <w:r w:rsidR="0064050D">
        <w:t>G</w:t>
      </w:r>
      <w:r w:rsidRPr="006C7462">
        <w:t>L also includes the revenue and pricing principles (RPP), which support the N</w:t>
      </w:r>
      <w:r w:rsidR="0064050D">
        <w:t>G</w:t>
      </w:r>
      <w:r w:rsidRPr="006C7462">
        <w:t>O.</w:t>
      </w:r>
      <w:r w:rsidRPr="006C7462">
        <w:rPr>
          <w:rStyle w:val="FootnoteReference"/>
        </w:rPr>
        <w:footnoteReference w:id="92"/>
      </w:r>
      <w:r w:rsidRPr="006C7462">
        <w:t xml:space="preserve"> As the N</w:t>
      </w:r>
      <w:r w:rsidR="0064050D">
        <w:t>G</w:t>
      </w:r>
      <w:r w:rsidRPr="006C7462">
        <w:t>L requires,</w:t>
      </w:r>
      <w:r w:rsidRPr="006C7462">
        <w:rPr>
          <w:rStyle w:val="FootnoteReference"/>
        </w:rPr>
        <w:footnoteReference w:id="93"/>
      </w:r>
      <w:r w:rsidRPr="006C7462">
        <w:t xml:space="preserve"> we have taken the RPPs into account throughout our analysis. The RPPs are: </w:t>
      </w:r>
    </w:p>
    <w:p w:rsidR="008E433E" w:rsidRPr="00AF78C7" w:rsidRDefault="008E433E" w:rsidP="008E433E">
      <w:pPr>
        <w:pStyle w:val="AERquote"/>
      </w:pPr>
      <w:bookmarkStart w:id="261" w:name="id3d9e0c67_2587_487c_84b5_232488295210_a"/>
      <w:r w:rsidRPr="00AF78C7">
        <w:t xml:space="preserve">A service provider should be provided with a reasonable opportunity to recover at least the efficient costs the </w:t>
      </w:r>
      <w:r w:rsidR="0064050D">
        <w:t>service provider</w:t>
      </w:r>
      <w:r w:rsidR="0064050D" w:rsidRPr="00AF78C7">
        <w:t xml:space="preserve"> </w:t>
      </w:r>
      <w:r w:rsidRPr="00AF78C7">
        <w:t>incurs in—</w:t>
      </w:r>
      <w:bookmarkEnd w:id="261"/>
    </w:p>
    <w:p w:rsidR="008E433E" w:rsidRPr="00AF78C7" w:rsidRDefault="008E433E" w:rsidP="008E433E">
      <w:pPr>
        <w:pStyle w:val="AERquotebullet1"/>
      </w:pPr>
      <w:r w:rsidRPr="00AF78C7">
        <w:t xml:space="preserve">providing </w:t>
      </w:r>
      <w:r w:rsidR="0064050D">
        <w:t>reference</w:t>
      </w:r>
      <w:r w:rsidRPr="00AF78C7">
        <w:t xml:space="preserve"> services; and</w:t>
      </w:r>
    </w:p>
    <w:p w:rsidR="008E433E" w:rsidRPr="00AF78C7" w:rsidRDefault="008E433E" w:rsidP="008E433E">
      <w:pPr>
        <w:pStyle w:val="AERquotebullet1"/>
      </w:pPr>
      <w:bookmarkStart w:id="262" w:name="id39d95c28_3773_4662_b32f_fead85a8dc26_0"/>
      <w:r w:rsidRPr="00AF78C7">
        <w:t>complying with a regulatory obligation or requirement or making a regulatory payment.</w:t>
      </w:r>
      <w:bookmarkEnd w:id="262"/>
    </w:p>
    <w:p w:rsidR="008E433E" w:rsidRPr="00AF78C7" w:rsidRDefault="008E433E" w:rsidP="008E433E">
      <w:pPr>
        <w:pStyle w:val="AERquote"/>
      </w:pPr>
      <w:r w:rsidRPr="00AF78C7">
        <w:t xml:space="preserve">A service provider should be provided with effective incentives in order to promote economic efficiency with respect to </w:t>
      </w:r>
      <w:r w:rsidR="0064050D">
        <w:t>reference</w:t>
      </w:r>
      <w:r w:rsidRPr="00AF78C7">
        <w:t xml:space="preserve"> services the </w:t>
      </w:r>
      <w:r w:rsidR="0064050D">
        <w:t>service provider</w:t>
      </w:r>
      <w:r w:rsidR="0064050D" w:rsidRPr="00AF78C7">
        <w:t xml:space="preserve"> </w:t>
      </w:r>
      <w:r w:rsidRPr="00AF78C7">
        <w:t>provides. The economic efficiency that should be promoted includes—</w:t>
      </w:r>
    </w:p>
    <w:p w:rsidR="008E433E" w:rsidRPr="00AF78C7" w:rsidRDefault="008E433E" w:rsidP="008E433E">
      <w:pPr>
        <w:pStyle w:val="AERquotebullet1"/>
      </w:pPr>
      <w:r w:rsidRPr="00AF78C7">
        <w:t>efficient investment in</w:t>
      </w:r>
      <w:r w:rsidR="0064050D">
        <w:t>, or in connection with, a pipeline</w:t>
      </w:r>
      <w:r w:rsidRPr="00AF78C7">
        <w:t xml:space="preserve"> with which the </w:t>
      </w:r>
      <w:r w:rsidR="0064050D">
        <w:t>service provider</w:t>
      </w:r>
      <w:r w:rsidR="0064050D" w:rsidRPr="00AF78C7">
        <w:t xml:space="preserve"> </w:t>
      </w:r>
      <w:r w:rsidRPr="00AF78C7">
        <w:t xml:space="preserve">provides </w:t>
      </w:r>
      <w:r w:rsidR="0064050D">
        <w:t>reference</w:t>
      </w:r>
      <w:r w:rsidRPr="00AF78C7">
        <w:t xml:space="preserve"> services; and</w:t>
      </w:r>
    </w:p>
    <w:p w:rsidR="008E433E" w:rsidRPr="003B504B" w:rsidRDefault="008E433E" w:rsidP="008E433E">
      <w:pPr>
        <w:pStyle w:val="AERquotebullet1"/>
      </w:pPr>
      <w:r w:rsidRPr="00AF78C7">
        <w:t xml:space="preserve">the efficient provision of </w:t>
      </w:r>
      <w:r w:rsidR="0064050D">
        <w:t>pipeline</w:t>
      </w:r>
      <w:r w:rsidRPr="00AF78C7">
        <w:t xml:space="preserve"> services; and</w:t>
      </w:r>
    </w:p>
    <w:p w:rsidR="008E433E" w:rsidRPr="00AF78C7" w:rsidRDefault="008E433E" w:rsidP="008E433E">
      <w:pPr>
        <w:pStyle w:val="AERquotebullet1"/>
      </w:pPr>
      <w:r w:rsidRPr="00AF78C7">
        <w:t xml:space="preserve">the efficient use of the </w:t>
      </w:r>
      <w:r w:rsidR="0064050D">
        <w:t>pipeline</w:t>
      </w:r>
      <w:r w:rsidRPr="00AF78C7">
        <w:t>.</w:t>
      </w:r>
    </w:p>
    <w:p w:rsidR="008E433E" w:rsidRPr="00AF78C7" w:rsidRDefault="008E433E" w:rsidP="008E433E">
      <w:pPr>
        <w:pStyle w:val="AERquote"/>
      </w:pPr>
      <w:r w:rsidRPr="00AF78C7">
        <w:t xml:space="preserve">Regard should be had to the </w:t>
      </w:r>
      <w:r w:rsidR="0064050D">
        <w:t>capital</w:t>
      </w:r>
      <w:r w:rsidRPr="00AF78C7">
        <w:t xml:space="preserve"> base with respect to a </w:t>
      </w:r>
      <w:r w:rsidR="0064050D">
        <w:t>pipeline</w:t>
      </w:r>
      <w:r w:rsidRPr="00AF78C7">
        <w:t xml:space="preserve"> adopted—</w:t>
      </w:r>
    </w:p>
    <w:p w:rsidR="008E433E" w:rsidRPr="00AF78C7" w:rsidRDefault="008E433E" w:rsidP="008E433E">
      <w:pPr>
        <w:pStyle w:val="AERquotebullet1"/>
      </w:pPr>
      <w:r w:rsidRPr="00AF78C7">
        <w:t>in any previous—</w:t>
      </w:r>
    </w:p>
    <w:p w:rsidR="008E433E" w:rsidRPr="008E433E" w:rsidRDefault="0064050D" w:rsidP="00D16AE3">
      <w:pPr>
        <w:pStyle w:val="AERquotebullet1"/>
        <w:numPr>
          <w:ilvl w:val="1"/>
          <w:numId w:val="23"/>
        </w:numPr>
      </w:pPr>
      <w:r>
        <w:t>full access arrangement</w:t>
      </w:r>
      <w:r w:rsidR="008E433E" w:rsidRPr="00AF78C7">
        <w:t>; or</w:t>
      </w:r>
    </w:p>
    <w:p w:rsidR="008E433E" w:rsidRPr="008E433E" w:rsidRDefault="0064050D" w:rsidP="00D16AE3">
      <w:pPr>
        <w:pStyle w:val="AERquotebullet1"/>
        <w:numPr>
          <w:ilvl w:val="1"/>
          <w:numId w:val="23"/>
        </w:numPr>
      </w:pPr>
      <w:r>
        <w:t>decision of a relevant regulator under section 2 of the Gas Code</w:t>
      </w:r>
      <w:r w:rsidR="008E433E" w:rsidRPr="00AF78C7">
        <w:t>; or</w:t>
      </w:r>
    </w:p>
    <w:p w:rsidR="008E433E" w:rsidRPr="00AF78C7" w:rsidRDefault="008E433E" w:rsidP="008E433E">
      <w:pPr>
        <w:pStyle w:val="AERquotebullet1"/>
      </w:pPr>
      <w:r w:rsidRPr="00AF78C7">
        <w:t>in the Rules.</w:t>
      </w:r>
    </w:p>
    <w:p w:rsidR="008E433E" w:rsidRPr="00AF78C7" w:rsidRDefault="0064050D" w:rsidP="008E433E">
      <w:pPr>
        <w:pStyle w:val="AERquote"/>
      </w:pPr>
      <w:r>
        <w:t>A reference tariff</w:t>
      </w:r>
      <w:r w:rsidR="008E433E" w:rsidRPr="00AF78C7">
        <w:t xml:space="preserve"> should allow for a return commensurate with the regulatory and commercial risks involved in providing the </w:t>
      </w:r>
      <w:r>
        <w:t>reference</w:t>
      </w:r>
      <w:r w:rsidR="008E433E" w:rsidRPr="00AF78C7">
        <w:t xml:space="preserve"> service to which that </w:t>
      </w:r>
      <w:r>
        <w:t>tariff</w:t>
      </w:r>
      <w:r w:rsidR="008E433E" w:rsidRPr="00AF78C7">
        <w:t xml:space="preserve"> relates.</w:t>
      </w:r>
    </w:p>
    <w:p w:rsidR="008E433E" w:rsidRPr="00AF78C7" w:rsidRDefault="008E433E" w:rsidP="008E433E">
      <w:pPr>
        <w:pStyle w:val="AERquote"/>
      </w:pPr>
      <w:r w:rsidRPr="00AF78C7">
        <w:t>Regard should be had to the economic costs and risks of the potential for under and over investment by a service provider in</w:t>
      </w:r>
      <w:r w:rsidR="0064050D">
        <w:t xml:space="preserve"> a pipeline</w:t>
      </w:r>
      <w:r w:rsidRPr="00AF78C7">
        <w:t xml:space="preserve"> with which the </w:t>
      </w:r>
      <w:r w:rsidR="00686874">
        <w:t>service provider</w:t>
      </w:r>
      <w:r w:rsidR="00686874" w:rsidRPr="00AF78C7">
        <w:t xml:space="preserve"> </w:t>
      </w:r>
      <w:r w:rsidRPr="00AF78C7">
        <w:t xml:space="preserve">provides </w:t>
      </w:r>
      <w:r w:rsidR="00686874">
        <w:t>pipeline</w:t>
      </w:r>
      <w:r w:rsidRPr="00AF78C7">
        <w:t xml:space="preserve"> services.</w:t>
      </w:r>
    </w:p>
    <w:p w:rsidR="008E433E" w:rsidRDefault="008E433E" w:rsidP="008E433E">
      <w:pPr>
        <w:pStyle w:val="AERquote"/>
      </w:pPr>
      <w:r w:rsidRPr="006C7462">
        <w:t xml:space="preserve">Regard should be had to the economic costs and risks of the potential for under and over utilisation of a </w:t>
      </w:r>
      <w:r w:rsidR="00686874">
        <w:t>pipeline</w:t>
      </w:r>
      <w:r w:rsidRPr="006C7462">
        <w:t xml:space="preserve"> with which a service provider provides </w:t>
      </w:r>
      <w:r w:rsidR="00686874">
        <w:t>pipeline</w:t>
      </w:r>
      <w:r w:rsidRPr="006C7462">
        <w:t xml:space="preserve"> services. </w:t>
      </w:r>
    </w:p>
    <w:p w:rsidR="008E433E" w:rsidRDefault="008E433E" w:rsidP="008E433E">
      <w:pPr>
        <w:numPr>
          <w:ilvl w:val="0"/>
          <w:numId w:val="25"/>
        </w:numPr>
      </w:pPr>
      <w:r>
        <w:t>Consistent with Energy Ministers' views, we set the amount of revenue that service providers can recover from customers to balance all of the elem</w:t>
      </w:r>
      <w:r w:rsidR="006409EE">
        <w:t>ents of the NG</w:t>
      </w:r>
      <w:r>
        <w:t>O, and consider each of the RPPs are equally vital.</w:t>
      </w:r>
      <w:r>
        <w:rPr>
          <w:rStyle w:val="FootnoteReference"/>
        </w:rPr>
        <w:footnoteReference w:id="94"/>
      </w:r>
      <w:r>
        <w:t xml:space="preserve"> </w:t>
      </w:r>
    </w:p>
    <w:p w:rsidR="008E433E" w:rsidRDefault="00686874" w:rsidP="008E433E">
      <w:pPr>
        <w:numPr>
          <w:ilvl w:val="0"/>
          <w:numId w:val="25"/>
        </w:numPr>
      </w:pPr>
      <w:r>
        <w:t>Part 9</w:t>
      </w:r>
      <w:r w:rsidR="008E433E" w:rsidRPr="00892ECD">
        <w:t xml:space="preserve"> of the N</w:t>
      </w:r>
      <w:r>
        <w:t>G</w:t>
      </w:r>
      <w:r w:rsidR="008E433E" w:rsidRPr="00892ECD">
        <w:t xml:space="preserve">R provides </w:t>
      </w:r>
      <w:r w:rsidR="008E433E">
        <w:t xml:space="preserve">specifically for the </w:t>
      </w:r>
      <w:r w:rsidR="008E433E" w:rsidRPr="00892ECD">
        <w:t xml:space="preserve">economic regulation of </w:t>
      </w:r>
      <w:r>
        <w:t>covered pipelines</w:t>
      </w:r>
      <w:r w:rsidR="008E433E">
        <w:t xml:space="preserve">. It includes detailed rules about the </w:t>
      </w:r>
      <w:r>
        <w:t xml:space="preserve">individual </w:t>
      </w:r>
      <w:r w:rsidR="008E433E">
        <w:t>components of our decisions. These are intended to contribute to the achievement of the N</w:t>
      </w:r>
      <w:r>
        <w:t>G</w:t>
      </w:r>
      <w:r w:rsidR="008E433E">
        <w:t>O. The AEMC has made clear that, in relation to key aspects of revenue, the rules guide the AER. These rules do not dictate any specific regulatory outcome.</w:t>
      </w:r>
      <w:r w:rsidR="008E433E">
        <w:rPr>
          <w:rStyle w:val="FootnoteReference"/>
        </w:rPr>
        <w:footnoteReference w:id="95"/>
      </w:r>
      <w:r w:rsidR="008E433E">
        <w:t xml:space="preserve"> For example, the AEMC has said:</w:t>
      </w:r>
    </w:p>
    <w:p w:rsidR="008E433E" w:rsidRPr="00E25951" w:rsidRDefault="008E433E" w:rsidP="008E433E">
      <w:pPr>
        <w:pStyle w:val="AERquote"/>
      </w:pPr>
      <w:r w:rsidRPr="00E25951">
        <w:t>Some stakeholders appear to have understood the objectives as imposing on the regulator a requirement and that failure to comply with this would mean the regulator is in breach of the rules. This is not the case. Although the language of an obligation is used in some objectives, it is not necessarily expected that the substance of the objective will always be fully achieved, but rather the regulator should be striving to achieve the objective as fully as possible.</w:t>
      </w:r>
    </w:p>
    <w:p w:rsidR="008E433E" w:rsidRDefault="008E433E" w:rsidP="008E433E">
      <w:r>
        <w:t>Given this framework</w:t>
      </w:r>
      <w:r w:rsidRPr="00715EF7">
        <w:t>, we consider the N</w:t>
      </w:r>
      <w:r w:rsidR="00686874">
        <w:t>G</w:t>
      </w:r>
      <w:r w:rsidRPr="00715EF7">
        <w:t>O and how to achieve it throughout our decision making processes.</w:t>
      </w:r>
    </w:p>
    <w:p w:rsidR="008E433E" w:rsidRPr="003B504B" w:rsidRDefault="008E433E" w:rsidP="008E433E">
      <w:pPr>
        <w:pStyle w:val="Heading2"/>
      </w:pPr>
      <w:bookmarkStart w:id="263" w:name="_Toc404154709"/>
      <w:bookmarkStart w:id="264" w:name="_Toc409422589"/>
      <w:bookmarkStart w:id="265" w:name="_Toc411428072"/>
      <w:bookmarkStart w:id="266" w:name="_Toc417993974"/>
      <w:bookmarkStart w:id="267" w:name="_Toc419895041"/>
      <w:bookmarkStart w:id="268" w:name="_Toc409422588"/>
      <w:bookmarkStart w:id="269" w:name="_Ref409431158"/>
      <w:bookmarkStart w:id="270" w:name="_Toc411428071"/>
      <w:bookmarkEnd w:id="263"/>
      <w:r w:rsidRPr="00352D7C">
        <w:t>Understanding</w:t>
      </w:r>
      <w:r w:rsidRPr="003B504B">
        <w:t xml:space="preserve"> the N</w:t>
      </w:r>
      <w:r w:rsidR="00686874">
        <w:t>G</w:t>
      </w:r>
      <w:r w:rsidRPr="003B504B">
        <w:t>O</w:t>
      </w:r>
      <w:bookmarkEnd w:id="264"/>
      <w:bookmarkEnd w:id="265"/>
      <w:bookmarkEnd w:id="266"/>
      <w:bookmarkEnd w:id="267"/>
    </w:p>
    <w:p w:rsidR="008E433E" w:rsidRPr="006C7462" w:rsidRDefault="008E433E" w:rsidP="008E433E">
      <w:r w:rsidRPr="006C7462">
        <w:t>Energy Ministers have provided us with a substantial body of explanat</w:t>
      </w:r>
      <w:r>
        <w:t>ory material</w:t>
      </w:r>
      <w:r w:rsidRPr="006C7462">
        <w:t xml:space="preserve"> that guides our understanding of the N</w:t>
      </w:r>
      <w:r w:rsidR="00686874">
        <w:t>G</w:t>
      </w:r>
      <w:r w:rsidRPr="006C7462">
        <w:t>O.</w:t>
      </w:r>
      <w:r w:rsidRPr="006C7462">
        <w:rPr>
          <w:rStyle w:val="FootnoteReference"/>
        </w:rPr>
        <w:footnoteReference w:id="96"/>
      </w:r>
      <w:r>
        <w:t xml:space="preserve"> </w:t>
      </w:r>
      <w:r w:rsidRPr="006C7462">
        <w:t>The long term interests of consumers are not delivered by any one of the N</w:t>
      </w:r>
      <w:r w:rsidR="00686874">
        <w:t>G</w:t>
      </w:r>
      <w:r w:rsidRPr="006C7462">
        <w:t>O's factors in isolation, but rather by balancing them</w:t>
      </w:r>
      <w:r>
        <w:t xml:space="preserve"> in reaching a regulatory decision</w:t>
      </w:r>
      <w:r w:rsidRPr="006C7462">
        <w:t>.</w:t>
      </w:r>
      <w:r w:rsidRPr="006C7462">
        <w:rPr>
          <w:rStyle w:val="FootnoteReference"/>
        </w:rPr>
        <w:footnoteReference w:id="97"/>
      </w:r>
    </w:p>
    <w:p w:rsidR="008E433E" w:rsidRPr="006C7462" w:rsidRDefault="008E433E" w:rsidP="008E433E">
      <w:r w:rsidRPr="006C7462">
        <w:t>In general, we consider that we will achieve this balance and, therefore, contrib</w:t>
      </w:r>
      <w:r w:rsidR="006409EE">
        <w:t>ute to the achievement of the NG</w:t>
      </w:r>
      <w:r w:rsidRPr="006C7462">
        <w:t>O</w:t>
      </w:r>
      <w:r>
        <w:t>,</w:t>
      </w:r>
      <w:r w:rsidRPr="006C7462">
        <w:t xml:space="preserve"> where consumers </w:t>
      </w:r>
      <w:r>
        <w:t>are provided</w:t>
      </w:r>
      <w:r w:rsidRPr="006C7462">
        <w:t xml:space="preserve"> a reasonable level of </w:t>
      </w:r>
      <w:r>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98"/>
      </w:r>
      <w:r w:rsidRPr="006C7462">
        <w:t xml:space="preserve"> In most industries, competition creates this outcome. Competition drives suppliers to develop their offerings to attract customers. Where a supplier’s offering is not attractive it risks being displaced by other suppliers.</w:t>
      </w:r>
    </w:p>
    <w:p w:rsidR="008E433E" w:rsidRPr="006C7462" w:rsidRDefault="008E433E" w:rsidP="008E433E">
      <w:r w:rsidRPr="006C7462">
        <w:t xml:space="preserve">However, in the energy networks industry the usual competitive disciplines do not </w:t>
      </w:r>
      <w:r>
        <w:t>apply</w:t>
      </w:r>
      <w:r w:rsidRPr="006C7462">
        <w:t xml:space="preserve">. </w:t>
      </w:r>
      <w:r w:rsidR="00686874">
        <w:t>While often referred to as 'a fuel of choice', gas distributors</w:t>
      </w:r>
      <w:r w:rsidR="00686874" w:rsidRPr="006C7462">
        <w:t xml:space="preserve"> </w:t>
      </w:r>
      <w:r w:rsidRPr="006C7462">
        <w:t xml:space="preserve">are largely natural monopolies. </w:t>
      </w:r>
      <w:r>
        <w:t>In addition, m</w:t>
      </w:r>
      <w:r w:rsidRPr="006C7462">
        <w:t xml:space="preserve">any of the products they offer </w:t>
      </w:r>
      <w:r w:rsidR="00003999">
        <w:t>support</w:t>
      </w:r>
      <w:r w:rsidR="00003999" w:rsidRPr="006C7462">
        <w:t xml:space="preserve"> </w:t>
      </w:r>
      <w:r w:rsidRPr="006C7462">
        <w:t xml:space="preserve">essential services for </w:t>
      </w:r>
      <w:r w:rsidR="00003999">
        <w:t>customers connected to the gas network</w:t>
      </w:r>
      <w:r w:rsidRPr="006C7462">
        <w:t xml:space="preserve">. </w:t>
      </w:r>
      <w:r w:rsidR="00801EAB">
        <w:t xml:space="preserve">PIAC in its submission on our draft decision for JGN comments that many low income and vulnerable consumers have no choice about </w:t>
      </w:r>
      <w:r w:rsidR="0035765E">
        <w:t>whether</w:t>
      </w:r>
      <w:r w:rsidR="00801EAB">
        <w:t xml:space="preserve"> to use gas.</w:t>
      </w:r>
      <w:r w:rsidR="00801EAB">
        <w:rPr>
          <w:rStyle w:val="FootnoteReference"/>
        </w:rPr>
        <w:footnoteReference w:id="99"/>
      </w:r>
      <w:r w:rsidR="00801EAB">
        <w:t xml:space="preserve"> </w:t>
      </w:r>
      <w:r w:rsidRPr="006C7462">
        <w:t xml:space="preserve">Consequently, in an uncompetitive environment, </w:t>
      </w:r>
      <w:r w:rsidR="00003999">
        <w:t>those customers</w:t>
      </w:r>
      <w:r w:rsidR="00003999" w:rsidRPr="006C7462">
        <w:t xml:space="preserve"> </w:t>
      </w:r>
      <w:r w:rsidRPr="006C7462">
        <w:t>have little choice but to accept the quality</w:t>
      </w:r>
      <w:r>
        <w:t>, reliability</w:t>
      </w:r>
      <w:r w:rsidRPr="006C7462">
        <w:t xml:space="preserve"> and price the </w:t>
      </w:r>
      <w:r w:rsidR="00686874">
        <w:t>service providers</w:t>
      </w:r>
      <w:r w:rsidR="00686874" w:rsidRPr="006C7462">
        <w:t xml:space="preserve"> </w:t>
      </w:r>
      <w:r w:rsidRPr="006C7462">
        <w:t>offer.</w:t>
      </w:r>
    </w:p>
    <w:p w:rsidR="008E433E" w:rsidRPr="006C7462" w:rsidRDefault="008E433E" w:rsidP="008E433E">
      <w:r w:rsidRPr="006C7462">
        <w:t>The N</w:t>
      </w:r>
      <w:r w:rsidR="001507D5">
        <w:t>G</w:t>
      </w:r>
      <w:r w:rsidRPr="006C7462">
        <w:t>L and N</w:t>
      </w:r>
      <w:r w:rsidR="001507D5">
        <w:t>G</w:t>
      </w:r>
      <w:r w:rsidRPr="006C7462">
        <w:t xml:space="preserve">R aim to remedy the absence of competition by </w:t>
      </w:r>
      <w:r>
        <w:t>providing that we</w:t>
      </w:r>
      <w:r w:rsidRPr="006C7462">
        <w:t xml:space="preserve">, as regulator, make decisions that are in the long term interests of consumers. In particular, we might need to require the </w:t>
      </w:r>
      <w:r w:rsidR="001507D5">
        <w:t xml:space="preserve">service providers </w:t>
      </w:r>
      <w:r w:rsidRPr="006C7462">
        <w:t xml:space="preserve">to offer their services at a different price than they would choose themselves. By its nature, this process will involve exercising regulatory </w:t>
      </w:r>
      <w:r>
        <w:t>judgement</w:t>
      </w:r>
      <w:r w:rsidRPr="006C7462">
        <w:t xml:space="preserve"> to balance the N</w:t>
      </w:r>
      <w:r w:rsidR="001507D5">
        <w:t>G</w:t>
      </w:r>
      <w:r w:rsidRPr="006C7462">
        <w:t>O's various factors.</w:t>
      </w:r>
    </w:p>
    <w:p w:rsidR="008E433E" w:rsidRDefault="008E433E" w:rsidP="008E433E">
      <w:r w:rsidRPr="006C7462">
        <w:t xml:space="preserve">It is important to recognise that there </w:t>
      </w:r>
      <w:r>
        <w:t xml:space="preserve">are a number of plausible outcomes </w:t>
      </w:r>
      <w:r w:rsidRPr="006C7462">
        <w:t xml:space="preserve">that </w:t>
      </w:r>
      <w:r>
        <w:t xml:space="preserve">may </w:t>
      </w:r>
      <w:r w:rsidRPr="006C7462">
        <w:t>contribute to the achievement of the N</w:t>
      </w:r>
      <w:r w:rsidR="001507D5">
        <w:t>G</w:t>
      </w:r>
      <w:r w:rsidRPr="006C7462">
        <w:t xml:space="preserve">O. The nature of decisions </w:t>
      </w:r>
      <w:r>
        <w:t>under the N</w:t>
      </w:r>
      <w:r w:rsidR="001507D5">
        <w:t>G</w:t>
      </w:r>
      <w:r>
        <w:t>R</w:t>
      </w:r>
      <w:r w:rsidRPr="006C7462">
        <w:t xml:space="preserve"> is such that there may be a range of economically efficient decisions, with different implications for the long term interests of consumers.</w:t>
      </w:r>
      <w:r w:rsidRPr="006C7462">
        <w:rPr>
          <w:rStyle w:val="FootnoteReference"/>
        </w:rPr>
        <w:footnoteReference w:id="100"/>
      </w:r>
      <w:r w:rsidRPr="006C7462">
        <w:t xml:space="preserve"> At the same time, however, there are a range of outcomes that are unlikely to advance the N</w:t>
      </w:r>
      <w:r w:rsidR="001507D5">
        <w:t>G</w:t>
      </w:r>
      <w:r w:rsidRPr="006C7462">
        <w:t>O to a satisfactory extent. For example, we do not consider that the N</w:t>
      </w:r>
      <w:r w:rsidR="001507D5">
        <w:t>G</w:t>
      </w:r>
      <w:r w:rsidRPr="006C7462">
        <w:t>O would be advanced if allowed revenues encourage overinvestment and result in prices so high that consumers are unwilling or unable to efficiently use the network.</w:t>
      </w:r>
      <w:r w:rsidRPr="006C7462">
        <w:rPr>
          <w:rStyle w:val="FootnoteReference"/>
        </w:rPr>
        <w:footnoteReference w:id="101"/>
      </w:r>
      <w:r w:rsidRPr="006C7462">
        <w:t xml:space="preserve"> This could have significant longer term pricing implications for those consumers who continue to use network services. Equally, we do not consider the N</w:t>
      </w:r>
      <w:r w:rsidR="001507D5">
        <w:t>G</w:t>
      </w:r>
      <w:r w:rsidRPr="006C7462">
        <w:t xml:space="preserv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102"/>
      </w:r>
      <w:r w:rsidRPr="006C7462">
        <w:t xml:space="preserve"> </w:t>
      </w:r>
      <w:r>
        <w:t>and</w:t>
      </w:r>
      <w:r w:rsidRPr="006C7462">
        <w:t xml:space="preserve"> c</w:t>
      </w:r>
      <w:r>
        <w:t>ould</w:t>
      </w:r>
      <w:r w:rsidRPr="006C7462">
        <w:t xml:space="preserve"> have adverse consequences for safety, security and reliability of the network. </w:t>
      </w:r>
    </w:p>
    <w:p w:rsidR="008E433E" w:rsidRPr="003B504B" w:rsidRDefault="008E433E" w:rsidP="008E433E">
      <w:pPr>
        <w:pStyle w:val="Heading2"/>
      </w:pPr>
      <w:bookmarkStart w:id="271" w:name="_Toc417993975"/>
      <w:bookmarkStart w:id="272" w:name="_Toc419895042"/>
      <w:bookmarkEnd w:id="268"/>
      <w:bookmarkEnd w:id="269"/>
      <w:bookmarkEnd w:id="270"/>
      <w:r>
        <w:t>The 2012 framework changes</w:t>
      </w:r>
      <w:bookmarkEnd w:id="271"/>
      <w:bookmarkEnd w:id="272"/>
    </w:p>
    <w:p w:rsidR="008E433E" w:rsidRPr="006C7462" w:rsidRDefault="008E433E" w:rsidP="008E433E">
      <w:r w:rsidRPr="006C7462">
        <w:t xml:space="preserve">This is the first </w:t>
      </w:r>
      <w:r w:rsidR="00F67161">
        <w:t>Access Arrangement</w:t>
      </w:r>
      <w:r w:rsidR="00F67161" w:rsidRPr="006C7462">
        <w:t xml:space="preserve"> </w:t>
      </w:r>
      <w:r w:rsidRPr="006C7462">
        <w:t>we have made following changes to the N</w:t>
      </w:r>
      <w:r w:rsidR="001507D5">
        <w:t>G</w:t>
      </w:r>
      <w:r w:rsidRPr="006C7462">
        <w:t>L and N</w:t>
      </w:r>
      <w:r w:rsidR="001507D5">
        <w:t>G</w:t>
      </w:r>
      <w:r w:rsidRPr="006C7462">
        <w:t>R in 2012 and 2013. The N</w:t>
      </w:r>
      <w:r w:rsidR="001507D5">
        <w:t>G</w:t>
      </w:r>
      <w:r w:rsidRPr="006C7462">
        <w:t>L and N</w:t>
      </w:r>
      <w:r w:rsidR="001507D5">
        <w:t>G</w:t>
      </w:r>
      <w:r w:rsidRPr="006C7462">
        <w:t xml:space="preserve">R were </w:t>
      </w:r>
      <w:r>
        <w:t>amended</w:t>
      </w:r>
      <w:r w:rsidR="007C30C0">
        <w:t>, in areas such as rate of return,</w:t>
      </w:r>
      <w:r w:rsidRPr="006C7462">
        <w:t xml:space="preserve"> to provide greater emphasis on the N</w:t>
      </w:r>
      <w:r w:rsidR="001507D5">
        <w:t>G</w:t>
      </w:r>
      <w:r w:rsidRPr="006C7462">
        <w:t>O and greater discretion to us.</w:t>
      </w:r>
      <w:r w:rsidRPr="006C7462">
        <w:rPr>
          <w:rStyle w:val="FootnoteReference"/>
        </w:rPr>
        <w:footnoteReference w:id="103"/>
      </w:r>
      <w:r w:rsidRPr="006C7462">
        <w:t xml:space="preserve"> The N</w:t>
      </w:r>
      <w:r w:rsidR="001507D5">
        <w:t>G</w:t>
      </w:r>
      <w:r w:rsidRPr="006C7462">
        <w:t>R allow</w:t>
      </w:r>
      <w:r>
        <w:t xml:space="preserve">, and the AEMC has </w:t>
      </w:r>
      <w:r w:rsidRPr="006C7462">
        <w:t>encourage</w:t>
      </w:r>
      <w:r>
        <w:t>d,</w:t>
      </w:r>
      <w:r w:rsidRPr="006C7462">
        <w:t xml:space="preserve"> us to approach decision making more holistically to meet overall objectives consistent with the N</w:t>
      </w:r>
      <w:r w:rsidR="009F7BE1">
        <w:t>G</w:t>
      </w:r>
      <w:r w:rsidRPr="006C7462">
        <w:t>O and RPPs.</w:t>
      </w:r>
      <w:r w:rsidRPr="006C7462">
        <w:rPr>
          <w:rStyle w:val="FootnoteReference"/>
        </w:rPr>
        <w:footnoteReference w:id="104"/>
      </w:r>
      <w:r w:rsidRPr="006C7462">
        <w:t xml:space="preserve"> </w:t>
      </w:r>
      <w:r>
        <w:t>Also, one of the purposes of t</w:t>
      </w:r>
      <w:r w:rsidRPr="006C7462">
        <w:t>hese changes</w:t>
      </w:r>
      <w:r>
        <w:t xml:space="preserve"> was </w:t>
      </w:r>
      <w:r w:rsidRPr="006C7462">
        <w:t>to give consumers a clearer and more prominent role in the decision making proces</w:t>
      </w:r>
      <w:r w:rsidRPr="00614EA0">
        <w:rPr>
          <w:rStyle w:val="AERbody"/>
        </w:rPr>
        <w:t>s.</w:t>
      </w:r>
      <w:r w:rsidRPr="00614EA0">
        <w:rPr>
          <w:rStyle w:val="AERsuperscript"/>
        </w:rPr>
        <w:footnoteReference w:id="105"/>
      </w:r>
    </w:p>
    <w:p w:rsidR="008E433E" w:rsidRPr="009D2C84" w:rsidRDefault="008E433E" w:rsidP="008E433E">
      <w:pPr>
        <w:numPr>
          <w:ilvl w:val="0"/>
          <w:numId w:val="25"/>
        </w:numPr>
      </w:pPr>
      <w:r w:rsidRPr="006C7462">
        <w:t>In 2013, the N</w:t>
      </w:r>
      <w:r w:rsidR="009F7BE1">
        <w:t>G</w:t>
      </w:r>
      <w:r w:rsidRPr="006C7462">
        <w:t xml:space="preserve">L was changed with similar aims in mind. </w:t>
      </w:r>
      <w:r>
        <w:t>T</w:t>
      </w:r>
      <w:r w:rsidRPr="006C7462">
        <w:t xml:space="preserve">he long term interests of consumers </w:t>
      </w:r>
      <w:r>
        <w:t>are a key focus of the changes</w:t>
      </w:r>
      <w:r w:rsidRPr="006C7462">
        <w:t>.</w:t>
      </w:r>
      <w:r w:rsidRPr="006C7462">
        <w:rPr>
          <w:rStyle w:val="FootnoteReference"/>
        </w:rPr>
        <w:footnoteReference w:id="106"/>
      </w:r>
      <w:r w:rsidRPr="006C7462">
        <w:t xml:space="preserve"> The changes also </w:t>
      </w:r>
      <w:r>
        <w:t>support</w:t>
      </w:r>
      <w:r w:rsidRPr="006C7462">
        <w:t xml:space="preserve"> analysi</w:t>
      </w:r>
      <w:r>
        <w:t>ng</w:t>
      </w:r>
      <w:r w:rsidRPr="006C7462">
        <w:t xml:space="preserve"> the decision </w:t>
      </w:r>
      <w:r w:rsidRPr="00C41950">
        <w:rPr>
          <w:rStyle w:val="Emphasis"/>
        </w:rPr>
        <w:t>as a whole</w:t>
      </w:r>
      <w:r w:rsidRPr="006C7462">
        <w:t xml:space="preserve"> in light of the N</w:t>
      </w:r>
      <w:r w:rsidR="009F7BE1">
        <w:t>G</w:t>
      </w:r>
      <w:r w:rsidRPr="006C7462">
        <w:t>O.</w:t>
      </w:r>
      <w:r w:rsidRPr="006C7462">
        <w:rPr>
          <w:rStyle w:val="FootnoteReference"/>
        </w:rPr>
        <w:footnoteReference w:id="107"/>
      </w:r>
      <w:r w:rsidRPr="006C7462">
        <w:t xml:space="preserve"> </w:t>
      </w:r>
      <w:r>
        <w:t>T</w:t>
      </w:r>
      <w:r w:rsidRPr="00C362C1">
        <w:t>he N</w:t>
      </w:r>
      <w:r w:rsidR="00633A23">
        <w:t>G</w:t>
      </w:r>
      <w:r w:rsidRPr="00C362C1">
        <w:t>L now requires us to specify how the constituent components of our decision relate to each other and how we have taken those interrelationships into account in making our decision.</w:t>
      </w:r>
      <w:r>
        <w:rPr>
          <w:rStyle w:val="FootnoteReference"/>
        </w:rPr>
        <w:footnoteReference w:id="108"/>
      </w:r>
      <w:r w:rsidRPr="00C362C1">
        <w:t xml:space="preserve"> </w:t>
      </w:r>
      <w:r>
        <w:t>It</w:t>
      </w:r>
      <w:r w:rsidRPr="00C362C1">
        <w:t xml:space="preserve"> also anticipates </w:t>
      </w:r>
      <w:r>
        <w:t>the possibility of</w:t>
      </w:r>
      <w:r w:rsidRPr="00C362C1">
        <w:t xml:space="preserve"> two or more decisions that will or are likely to contribute to the achievement of the N</w:t>
      </w:r>
      <w:r w:rsidR="00633A23">
        <w:t>G</w:t>
      </w:r>
      <w:r w:rsidRPr="00C362C1">
        <w:t xml:space="preserve">O. It requires </w:t>
      </w:r>
      <w:r w:rsidRPr="00614EA0">
        <w:rPr>
          <w:rStyle w:val="AERbody"/>
        </w:rPr>
        <w:t>that, in those cases, we must make the decision we are satisfied will or is likely to contribute to the achievement of the N</w:t>
      </w:r>
      <w:r w:rsidR="00633A23">
        <w:rPr>
          <w:rStyle w:val="AERbody"/>
        </w:rPr>
        <w:t>G</w:t>
      </w:r>
      <w:r w:rsidRPr="00614EA0">
        <w:rPr>
          <w:rStyle w:val="AERbody"/>
        </w:rPr>
        <w:t>O to the greatest degree.</w:t>
      </w:r>
      <w:r w:rsidRPr="00C41950">
        <w:rPr>
          <w:rStyle w:val="AERsuperscript"/>
        </w:rPr>
        <w:footnoteReference w:id="109"/>
      </w:r>
      <w:r w:rsidRPr="00614EA0">
        <w:rPr>
          <w:rStyle w:val="AERbody"/>
        </w:rPr>
        <w:t xml:space="preserve"> </w:t>
      </w:r>
      <w:r w:rsidRPr="009D2C84">
        <w:t>The N</w:t>
      </w:r>
      <w:r w:rsidR="00633A23">
        <w:t>G</w:t>
      </w:r>
      <w:r w:rsidRPr="009D2C84">
        <w:t>R requires that we provide reasons for our decisions.</w:t>
      </w:r>
      <w:r w:rsidRPr="009D2C84">
        <w:rPr>
          <w:rStyle w:val="FootnoteReference"/>
        </w:rPr>
        <w:footnoteReference w:id="110"/>
      </w:r>
    </w:p>
    <w:p w:rsidR="008E433E" w:rsidRPr="00614EA0" w:rsidRDefault="008E433E" w:rsidP="008E433E">
      <w:pPr>
        <w:numPr>
          <w:ilvl w:val="0"/>
          <w:numId w:val="25"/>
        </w:numPr>
        <w:rPr>
          <w:rStyle w:val="AERbody"/>
        </w:rPr>
      </w:pPr>
      <w:r w:rsidRPr="00614EA0">
        <w:rPr>
          <w:rStyle w:val="AERbody"/>
        </w:rPr>
        <w:t>The N</w:t>
      </w:r>
      <w:r w:rsidR="00633A23">
        <w:rPr>
          <w:rStyle w:val="AERbody"/>
        </w:rPr>
        <w:t>G</w:t>
      </w:r>
      <w:r w:rsidRPr="00614EA0">
        <w:rPr>
          <w:rStyle w:val="AERbody"/>
        </w:rPr>
        <w:t>L does not prescribe how we are to apply these overarching requirements and so in applying them, we have exercised our regulatory judgement.</w:t>
      </w:r>
    </w:p>
    <w:p w:rsidR="008E433E" w:rsidRPr="00614EA0" w:rsidRDefault="008E433E" w:rsidP="008E433E">
      <w:pPr>
        <w:rPr>
          <w:rStyle w:val="AERbody"/>
        </w:rPr>
      </w:pPr>
      <w:r w:rsidRPr="00614EA0">
        <w:rPr>
          <w:rStyle w:val="AERbody"/>
        </w:rPr>
        <w:t>We have done so by determining revenue in accordance with the detailed provisions in the N</w:t>
      </w:r>
      <w:r w:rsidR="00633A23">
        <w:rPr>
          <w:rStyle w:val="AERbody"/>
        </w:rPr>
        <w:t>G</w:t>
      </w:r>
      <w:r w:rsidRPr="00614EA0">
        <w:rPr>
          <w:rStyle w:val="AERbody"/>
        </w:rPr>
        <w:t xml:space="preserve">R. This assessment is in each of our </w:t>
      </w:r>
      <w:r>
        <w:rPr>
          <w:rStyle w:val="AERbody"/>
        </w:rPr>
        <w:t>A</w:t>
      </w:r>
      <w:r w:rsidRPr="00614EA0">
        <w:rPr>
          <w:rStyle w:val="AERbody"/>
        </w:rPr>
        <w:t>ttachments. As part of that assessment, and in accordance with the N</w:t>
      </w:r>
      <w:r w:rsidR="00633A23">
        <w:rPr>
          <w:rStyle w:val="AERbody"/>
        </w:rPr>
        <w:t>G</w:t>
      </w:r>
      <w:r w:rsidRPr="00614EA0">
        <w:rPr>
          <w:rStyle w:val="AERbody"/>
        </w:rPr>
        <w:t>L requirements, we identify and assess the interrelationships between the constituent components of our final decision. In the following sections, we explain our approach to evaluating these interrelationships and then set out how we assessed what will contribute to the achievement of the N</w:t>
      </w:r>
      <w:r w:rsidR="00633A23">
        <w:rPr>
          <w:rStyle w:val="AERbody"/>
        </w:rPr>
        <w:t>G</w:t>
      </w:r>
      <w:r w:rsidRPr="00614EA0">
        <w:rPr>
          <w:rStyle w:val="AERbody"/>
        </w:rPr>
        <w:t xml:space="preserve">O to the greatest degree. Section </w:t>
      </w:r>
      <w:r w:rsidRPr="00614EA0">
        <w:rPr>
          <w:rStyle w:val="AERbody"/>
        </w:rPr>
        <w:fldChar w:fldCharType="begin"/>
      </w:r>
      <w:r w:rsidRPr="00614EA0">
        <w:rPr>
          <w:rStyle w:val="AERbody"/>
        </w:rPr>
        <w:instrText xml:space="preserve"> REF _Ref416285082 \r \h </w:instrText>
      </w:r>
      <w:r>
        <w:rPr>
          <w:rStyle w:val="AERbody"/>
        </w:rPr>
        <w:instrText xml:space="preserve"> \* MERGEFORMAT </w:instrText>
      </w:r>
      <w:r w:rsidRPr="00614EA0">
        <w:rPr>
          <w:rStyle w:val="AERbody"/>
        </w:rPr>
      </w:r>
      <w:r w:rsidRPr="00614EA0">
        <w:rPr>
          <w:rStyle w:val="AERbody"/>
        </w:rPr>
        <w:fldChar w:fldCharType="separate"/>
      </w:r>
      <w:r w:rsidR="009037A2">
        <w:rPr>
          <w:rStyle w:val="AERbody"/>
        </w:rPr>
        <w:t>1</w:t>
      </w:r>
      <w:r w:rsidRPr="00614EA0">
        <w:rPr>
          <w:rStyle w:val="AERbody"/>
        </w:rPr>
        <w:fldChar w:fldCharType="end"/>
      </w:r>
      <w:r w:rsidRPr="00614EA0">
        <w:rPr>
          <w:rStyle w:val="AERbody"/>
        </w:rPr>
        <w:t xml:space="preserve"> of this overview demonstrates how we have applied these approaches for this decision.</w:t>
      </w:r>
    </w:p>
    <w:p w:rsidR="008E433E" w:rsidRPr="008E433E" w:rsidRDefault="008E433E" w:rsidP="008E433E">
      <w:pPr>
        <w:pStyle w:val="Heading3"/>
      </w:pPr>
      <w:bookmarkStart w:id="273" w:name="_Toc411428018"/>
      <w:bookmarkStart w:id="274" w:name="_Toc417993976"/>
      <w:bookmarkStart w:id="275" w:name="_Toc419895043"/>
      <w:r w:rsidRPr="00C362C1">
        <w:t>Interrelationships</w:t>
      </w:r>
      <w:bookmarkEnd w:id="273"/>
      <w:bookmarkEnd w:id="274"/>
      <w:bookmarkEnd w:id="275"/>
      <w:r w:rsidRPr="00C362C1">
        <w:t xml:space="preserve"> </w:t>
      </w:r>
    </w:p>
    <w:p w:rsidR="008E433E" w:rsidRPr="00C362C1" w:rsidRDefault="008E433E" w:rsidP="008E433E">
      <w:r w:rsidRPr="009D2C84">
        <w:t>A</w:t>
      </w:r>
      <w:r w:rsidR="006409EE">
        <w:t>n access a</w:t>
      </w:r>
      <w:r w:rsidR="00633A23">
        <w:t>rrangement decision</w:t>
      </w:r>
      <w:r w:rsidRPr="009D2C84">
        <w:t xml:space="preserve"> is complex and must be considered as such. Considering </w:t>
      </w:r>
      <w:r w:rsidR="00633A23">
        <w:t>individual</w:t>
      </w:r>
      <w:r w:rsidR="00633A23" w:rsidRPr="009D2C84">
        <w:t xml:space="preserve"> </w:t>
      </w:r>
      <w:r w:rsidRPr="009D2C84">
        <w:t xml:space="preserve">components in isolation ignores the importance of interrelationships between </w:t>
      </w:r>
      <w:r>
        <w:t>the</w:t>
      </w:r>
      <w:r w:rsidRPr="009D2C84">
        <w:t xml:space="preserve"> components and would not contribute to the achievement of the N</w:t>
      </w:r>
      <w:r w:rsidR="00633A23">
        <w:t>G</w:t>
      </w:r>
      <w:r w:rsidRPr="009D2C84">
        <w:t>O. As outlined by Energy Ministers, considering the elements in isolation has resulted in regulatory failures in the past.</w:t>
      </w:r>
      <w:r w:rsidRPr="009D2C84">
        <w:rPr>
          <w:rStyle w:val="FootnoteReference"/>
        </w:rPr>
        <w:footnoteReference w:id="111"/>
      </w:r>
      <w:r w:rsidRPr="009D2C84">
        <w:t xml:space="preserve"> Interrelationships can take various forms, including:</w:t>
      </w:r>
    </w:p>
    <w:p w:rsidR="008E433E" w:rsidRPr="00C362C1" w:rsidRDefault="008E433E" w:rsidP="008E433E">
      <w:pPr>
        <w:pStyle w:val="AERbulletlistfirststyle"/>
      </w:pPr>
      <w:r w:rsidRPr="00C362C1">
        <w:t xml:space="preserve">underlying drivers and context which are likely to affect many constituent components of our decision. For example, forecast demand affects the efficient levels of capex and opex in the </w:t>
      </w:r>
      <w:r w:rsidR="006409EE">
        <w:t>a</w:t>
      </w:r>
      <w:r w:rsidR="00633A23">
        <w:t>ccess</w:t>
      </w:r>
      <w:r w:rsidRPr="00C362C1">
        <w:t xml:space="preserve"> </w:t>
      </w:r>
      <w:r w:rsidR="006409EE">
        <w:t>a</w:t>
      </w:r>
      <w:r w:rsidR="00633A23">
        <w:t xml:space="preserve">rrangement </w:t>
      </w:r>
      <w:r w:rsidRPr="00C362C1">
        <w:t>period and it also affects how overall revenue is translated into individual prices</w:t>
      </w:r>
      <w:r w:rsidR="006409EE">
        <w:t xml:space="preserve"> (see a</w:t>
      </w:r>
      <w:r>
        <w:t>ttachment 6</w:t>
      </w:r>
      <w:r w:rsidR="00117DB9">
        <w:t>, 7 and 13</w:t>
      </w:r>
      <w:r>
        <w:t>)</w:t>
      </w:r>
      <w:r w:rsidRPr="00C362C1">
        <w:t>.</w:t>
      </w:r>
    </w:p>
    <w:p w:rsidR="008E433E" w:rsidRPr="00C362C1" w:rsidRDefault="008E433E" w:rsidP="008E433E">
      <w:pPr>
        <w:pStyle w:val="AERbulletlistfirststyle"/>
      </w:pPr>
      <w:r w:rsidRPr="00C362C1">
        <w:t xml:space="preserve">direct mathematical links between different components of a decision. For example, the </w:t>
      </w:r>
      <w:r>
        <w:t>value of imputation credits (gamma)</w:t>
      </w:r>
      <w:r w:rsidRPr="00C362C1">
        <w:t xml:space="preserve"> has an impact on the appropriate tax allowance; the benchmark efficient entity's debt to equity ratio has a direct effect on the cost of equity, the cost of debt, and the overall vanilla rate of return</w:t>
      </w:r>
      <w:r w:rsidR="006409EE">
        <w:t xml:space="preserve"> (see a</w:t>
      </w:r>
      <w:r>
        <w:t>ttachments 3, 4 and 8)</w:t>
      </w:r>
      <w:r w:rsidRPr="00C362C1">
        <w:t>.</w:t>
      </w:r>
    </w:p>
    <w:p w:rsidR="008E433E" w:rsidRPr="00C362C1" w:rsidRDefault="008E433E" w:rsidP="008E433E">
      <w:pPr>
        <w:pStyle w:val="AERbulletlistfirststyle"/>
      </w:pPr>
      <w:r w:rsidRPr="00C362C1">
        <w:t>trade-offs between different components of revenue. For example, undertaking a particular capex project may affect the need for opex and vice versa</w:t>
      </w:r>
      <w:r w:rsidR="006409EE">
        <w:t xml:space="preserve"> (see a</w:t>
      </w:r>
      <w:r>
        <w:t>ttachments 6 and 7)</w:t>
      </w:r>
      <w:r w:rsidRPr="00C362C1">
        <w:t>.</w:t>
      </w:r>
    </w:p>
    <w:p w:rsidR="008E433E" w:rsidRPr="00C362C1" w:rsidRDefault="008E433E" w:rsidP="008E433E">
      <w:pPr>
        <w:pStyle w:val="AERbulletlistfirststyle"/>
      </w:pPr>
      <w:r w:rsidRPr="00C362C1">
        <w:t xml:space="preserve">trade-offs between forecast and actual regulatory measures. The reasons for one part of a proposal may have impacts on other parts of a proposal. For example, an increase in augmentation to the network means the </w:t>
      </w:r>
      <w:r w:rsidR="003278C4">
        <w:t>service provider</w:t>
      </w:r>
      <w:r w:rsidR="003278C4" w:rsidRPr="00C362C1">
        <w:t xml:space="preserve"> </w:t>
      </w:r>
      <w:r w:rsidRPr="00C362C1">
        <w:t>has more assets to maintain leading to higher opex requirements</w:t>
      </w:r>
      <w:r w:rsidR="006409EE">
        <w:t xml:space="preserve"> (see a</w:t>
      </w:r>
      <w:r>
        <w:t>ttachments 6 and 7)</w:t>
      </w:r>
      <w:r w:rsidRPr="00C362C1">
        <w:t>.</w:t>
      </w:r>
    </w:p>
    <w:p w:rsidR="008E433E" w:rsidRPr="00C362C1" w:rsidRDefault="008E433E" w:rsidP="008E433E">
      <w:pPr>
        <w:pStyle w:val="AERbulletlistfirststyle"/>
      </w:pPr>
      <w:r w:rsidRPr="00C362C1">
        <w:t xml:space="preserve">the </w:t>
      </w:r>
      <w:r w:rsidR="003278C4">
        <w:t>service provider</w:t>
      </w:r>
      <w:r w:rsidR="003278C4" w:rsidRPr="00C362C1">
        <w:t xml:space="preserve">'s </w:t>
      </w:r>
      <w:r>
        <w:t xml:space="preserve">approach </w:t>
      </w:r>
      <w:r w:rsidRPr="00C362C1">
        <w:t xml:space="preserve">to managing its network. The </w:t>
      </w:r>
      <w:r w:rsidR="003278C4">
        <w:t>service provider</w:t>
      </w:r>
      <w:r w:rsidR="003278C4" w:rsidRPr="00C362C1">
        <w:t xml:space="preserve">'s </w:t>
      </w:r>
      <w:r w:rsidRPr="00C362C1">
        <w:t>governance arrangements and its approach to risk management will influence most aspects of the proposal, including capex/opex trade-offs</w:t>
      </w:r>
      <w:r w:rsidR="006409EE">
        <w:t xml:space="preserve"> (see a</w:t>
      </w:r>
      <w:r>
        <w:t>ttachments 6 and 7)</w:t>
      </w:r>
      <w:r w:rsidRPr="00C362C1">
        <w:t>.</w:t>
      </w:r>
    </w:p>
    <w:p w:rsidR="008E433E" w:rsidRPr="006C7462" w:rsidRDefault="008E433E" w:rsidP="008E433E">
      <w:r w:rsidRPr="009D2C84">
        <w:t xml:space="preserve">We have considered these types of interrelationships in our analysis of the constituent components of our decision. </w:t>
      </w:r>
      <w:r>
        <w:t>These considerations are explored in the relevant attachments</w:t>
      </w:r>
      <w:r w:rsidRPr="009D2C84">
        <w:t>.</w:t>
      </w:r>
    </w:p>
    <w:p w:rsidR="008E433E" w:rsidRPr="008F3A0D" w:rsidRDefault="008E433E" w:rsidP="008E433E">
      <w:pPr>
        <w:pStyle w:val="Heading1"/>
      </w:pPr>
      <w:bookmarkStart w:id="276" w:name="_Toc411428073"/>
      <w:bookmarkStart w:id="277" w:name="_Ref411507049"/>
      <w:bookmarkStart w:id="278" w:name="_Toc417993977"/>
      <w:bookmarkStart w:id="279" w:name="_Ref418255708"/>
      <w:bookmarkStart w:id="280" w:name="_Toc419895044"/>
      <w:bookmarkEnd w:id="257"/>
      <w:r>
        <w:t>Process</w:t>
      </w:r>
      <w:bookmarkEnd w:id="63"/>
      <w:bookmarkEnd w:id="258"/>
      <w:bookmarkEnd w:id="259"/>
      <w:bookmarkEnd w:id="260"/>
      <w:bookmarkEnd w:id="276"/>
      <w:bookmarkEnd w:id="277"/>
      <w:bookmarkEnd w:id="278"/>
      <w:bookmarkEnd w:id="279"/>
      <w:bookmarkEnd w:id="280"/>
    </w:p>
    <w:p w:rsidR="008E433E" w:rsidRPr="00BE1F1B" w:rsidRDefault="008E433E" w:rsidP="008E433E">
      <w:r>
        <w:t>The N</w:t>
      </w:r>
      <w:r w:rsidR="003278C4">
        <w:t>G</w:t>
      </w:r>
      <w:r>
        <w:t>L requires us to inform stakeholders of the material issues we are considering and to give them a reasonable opportunity to make submissions in respect of this decision.</w:t>
      </w:r>
      <w:r>
        <w:rPr>
          <w:rStyle w:val="FootnoteReference"/>
        </w:rPr>
        <w:footnoteReference w:id="112"/>
      </w:r>
    </w:p>
    <w:p w:rsidR="008E433E" w:rsidRPr="003B504B" w:rsidRDefault="008E433E" w:rsidP="008E433E">
      <w:r>
        <w:t xml:space="preserve">Below we set out the process we have followed leading up to the submission of </w:t>
      </w:r>
      <w:r w:rsidR="003278C4">
        <w:t xml:space="preserve">JGN's </w:t>
      </w:r>
      <w:r>
        <w:t xml:space="preserve">proposal, to ensure that </w:t>
      </w:r>
      <w:r w:rsidRPr="003B504B">
        <w:t xml:space="preserve">we have </w:t>
      </w:r>
      <w:r>
        <w:t>fully taken into account all views.</w:t>
      </w:r>
      <w:r w:rsidRPr="003B504B">
        <w:t xml:space="preserve"> </w:t>
      </w:r>
    </w:p>
    <w:p w:rsidR="008E433E" w:rsidRPr="00274C7E" w:rsidRDefault="008E433E" w:rsidP="008E433E">
      <w:pPr>
        <w:pStyle w:val="Heading2"/>
      </w:pPr>
      <w:bookmarkStart w:id="281" w:name="_Ref399959548"/>
      <w:bookmarkStart w:id="282" w:name="_Toc404437109"/>
      <w:bookmarkStart w:id="283" w:name="_Toc411428074"/>
      <w:bookmarkStart w:id="284" w:name="_Toc417993978"/>
      <w:bookmarkStart w:id="285" w:name="_Toc419895045"/>
      <w:r w:rsidRPr="00274C7E">
        <w:t>Better Regulation program</w:t>
      </w:r>
      <w:bookmarkEnd w:id="281"/>
      <w:bookmarkEnd w:id="282"/>
      <w:bookmarkEnd w:id="283"/>
      <w:bookmarkEnd w:id="284"/>
      <w:bookmarkEnd w:id="285"/>
    </w:p>
    <w:p w:rsidR="008E433E" w:rsidRDefault="008E433E" w:rsidP="008E433E">
      <w:r>
        <w:t>Following the 2012 changes to the NER</w:t>
      </w:r>
      <w:r w:rsidR="007C30C0">
        <w:t xml:space="preserve"> and NGR</w:t>
      </w:r>
      <w:r>
        <w:t xml:space="preserve">, we spent much of 2013 consulting on and refining our assessment methods and approaches to decision making. </w:t>
      </w:r>
      <w:r w:rsidRPr="00536BA0">
        <w:t>We referred to this as our Better Regulation program. The objective of this program was to refine our approaches, with a greater emphasis on incentive regulation.</w:t>
      </w:r>
      <w:r>
        <w:rPr>
          <w:rStyle w:val="FootnoteReference"/>
        </w:rPr>
        <w:footnoteReference w:id="113"/>
      </w:r>
      <w:r>
        <w:t xml:space="preserve"> The Better Regulation program was designed to be an inclusive process that provided an opportunity for all stakeholders to be engaged and provide their input.</w:t>
      </w:r>
      <w:r w:rsidRPr="00BF5C86">
        <w:rPr>
          <w:rStyle w:val="FootnoteReference"/>
        </w:rPr>
        <w:footnoteReference w:id="114"/>
      </w:r>
      <w:r>
        <w:t xml:space="preserve"> </w:t>
      </w:r>
    </w:p>
    <w:p w:rsidR="008E433E" w:rsidRPr="003D42AB" w:rsidRDefault="008E433E" w:rsidP="008E433E">
      <w:r>
        <w:t xml:space="preserve">The resulting guidelines support our decision making framework as set out in section </w:t>
      </w:r>
      <w:r w:rsidR="003278C4">
        <w:t xml:space="preserve">28 </w:t>
      </w:r>
      <w:r>
        <w:t>of the N</w:t>
      </w:r>
      <w:r w:rsidR="003278C4">
        <w:t>G</w:t>
      </w:r>
      <w:r>
        <w:t>L. Our consultation and engagement gives us confidence</w:t>
      </w:r>
      <w:r w:rsidR="006409EE">
        <w:t xml:space="preserve"> the approaches set out in the G</w:t>
      </w:r>
      <w:r>
        <w:t>uidelines, which we have applied in this decision, will result in decisions that will or are likely to contribute to the achievement of the N</w:t>
      </w:r>
      <w:r w:rsidR="003278C4">
        <w:t>G</w:t>
      </w:r>
      <w:r>
        <w:t>O.</w:t>
      </w:r>
      <w:r w:rsidR="006409EE">
        <w:t xml:space="preserve"> Our Better Regulation G</w:t>
      </w:r>
      <w:r w:rsidRPr="003D42AB">
        <w:t>uidelines are available on our website and include:</w:t>
      </w:r>
      <w:r w:rsidRPr="003D42AB">
        <w:rPr>
          <w:rStyle w:val="FootnoteReference"/>
        </w:rPr>
        <w:footnoteReference w:id="115"/>
      </w:r>
    </w:p>
    <w:p w:rsidR="008E433E" w:rsidRPr="003D42AB" w:rsidRDefault="008E433E" w:rsidP="008E433E">
      <w:pPr>
        <w:pStyle w:val="AERbulletlistfirststyle"/>
      </w:pPr>
      <w:r w:rsidRPr="003D42AB">
        <w:t>Expenditure Forecast Assessment Guideline</w:t>
      </w:r>
    </w:p>
    <w:p w:rsidR="008E433E" w:rsidRPr="003D42AB" w:rsidRDefault="008E433E" w:rsidP="008E433E">
      <w:pPr>
        <w:pStyle w:val="AERbulletlistfirststyle"/>
      </w:pPr>
      <w:r w:rsidRPr="003D42AB">
        <w:t>Expenditure Incentives Guideline</w:t>
      </w:r>
    </w:p>
    <w:p w:rsidR="008E433E" w:rsidRPr="003D42AB" w:rsidRDefault="008E433E" w:rsidP="008E433E">
      <w:pPr>
        <w:pStyle w:val="AERbulletlistfirststyle"/>
      </w:pPr>
      <w:r w:rsidRPr="003D42AB">
        <w:t>Rate of Return Guideline</w:t>
      </w:r>
    </w:p>
    <w:p w:rsidR="008E433E" w:rsidRPr="003D42AB" w:rsidRDefault="008E433E" w:rsidP="008E433E">
      <w:pPr>
        <w:pStyle w:val="AERbulletlistfirststyle"/>
      </w:pPr>
      <w:r w:rsidRPr="003D42AB">
        <w:t>Consumer Engagement Guideline</w:t>
      </w:r>
      <w:r w:rsidR="00D55A5B">
        <w:t xml:space="preserve"> for Network Service Providers</w:t>
      </w:r>
    </w:p>
    <w:p w:rsidR="008E433E" w:rsidRPr="003D42AB" w:rsidRDefault="008E433E" w:rsidP="008E433E">
      <w:pPr>
        <w:pStyle w:val="AERbulletlistfirststyle"/>
      </w:pPr>
      <w:r w:rsidRPr="003D42AB">
        <w:t>Shared Assets Guideline</w:t>
      </w:r>
    </w:p>
    <w:p w:rsidR="008E433E" w:rsidRDefault="008E433E" w:rsidP="008E433E">
      <w:pPr>
        <w:pStyle w:val="AERbulletlistfirststyle"/>
      </w:pPr>
      <w:r w:rsidRPr="003D42AB">
        <w:t>Confidentiality Guideline</w:t>
      </w:r>
      <w:r w:rsidRPr="00377C69">
        <w:t>.</w:t>
      </w:r>
    </w:p>
    <w:p w:rsidR="009205D1" w:rsidRPr="009205D1" w:rsidRDefault="009205D1" w:rsidP="00D16AE3">
      <w:pPr>
        <w:pStyle w:val="AERbulletlistfirststyle"/>
        <w:numPr>
          <w:ilvl w:val="0"/>
          <w:numId w:val="0"/>
        </w:numPr>
      </w:pPr>
      <w:r w:rsidRPr="009205D1">
        <w:t>We acknowledge that the changes to the NGR were more limited than those to the N</w:t>
      </w:r>
      <w:r w:rsidR="00D55A5B">
        <w:t>ational Electricity Rules</w:t>
      </w:r>
      <w:r w:rsidRPr="009205D1">
        <w:t>. However, many of the concepts and analytical tools are the same and we involved gas service providers in consultation on all aspects of the Better Regulation program.</w:t>
      </w:r>
    </w:p>
    <w:p w:rsidR="009205D1" w:rsidRPr="00377C69" w:rsidRDefault="009205D1" w:rsidP="00D16AE3">
      <w:pPr>
        <w:pStyle w:val="AERbulletlistfirststyle"/>
        <w:numPr>
          <w:ilvl w:val="0"/>
          <w:numId w:val="0"/>
        </w:numPr>
        <w:rPr>
          <w:rStyle w:val="AERbody"/>
        </w:rPr>
      </w:pPr>
    </w:p>
    <w:p w:rsidR="008E433E" w:rsidRDefault="008E433E" w:rsidP="008E433E">
      <w:pPr>
        <w:pStyle w:val="Heading2"/>
      </w:pPr>
      <w:bookmarkStart w:id="286" w:name="_Toc404437111"/>
      <w:bookmarkStart w:id="287" w:name="_Toc411428076"/>
      <w:bookmarkStart w:id="288" w:name="_Toc417993979"/>
      <w:bookmarkStart w:id="289" w:name="_Toc419895046"/>
      <w:r>
        <w:t>Our e</w:t>
      </w:r>
      <w:r w:rsidRPr="004D5416">
        <w:t>ngagement</w:t>
      </w:r>
      <w:bookmarkEnd w:id="286"/>
      <w:r>
        <w:t xml:space="preserve"> during the decision making process</w:t>
      </w:r>
      <w:bookmarkEnd w:id="287"/>
      <w:bookmarkEnd w:id="288"/>
      <w:bookmarkEnd w:id="289"/>
    </w:p>
    <w:p w:rsidR="008E433E" w:rsidRDefault="008E433E" w:rsidP="008E433E">
      <w:pPr>
        <w:numPr>
          <w:ilvl w:val="0"/>
          <w:numId w:val="25"/>
        </w:numPr>
      </w:pPr>
      <w:r>
        <w:t>Effective consultation with stakeholders is essential to the performance of our regulatory functions. In summary, throughout the review process, we engaged with stakeholders by:</w:t>
      </w:r>
    </w:p>
    <w:p w:rsidR="008E433E" w:rsidRPr="00F77D6D" w:rsidRDefault="008E433E" w:rsidP="008E433E">
      <w:pPr>
        <w:pStyle w:val="AERbulletlistfirststyle"/>
      </w:pPr>
      <w:r w:rsidRPr="00F77D6D">
        <w:t xml:space="preserve">considering </w:t>
      </w:r>
      <w:r w:rsidR="003278C4">
        <w:t>stakeholder</w:t>
      </w:r>
      <w:r w:rsidR="003278C4" w:rsidRPr="00F77D6D">
        <w:t xml:space="preserve"> </w:t>
      </w:r>
      <w:r w:rsidRPr="00F77D6D">
        <w:t xml:space="preserve">submissions on </w:t>
      </w:r>
      <w:r w:rsidR="003278C4">
        <w:t xml:space="preserve">JGN's </w:t>
      </w:r>
      <w:r w:rsidR="00D55A5B">
        <w:t>initial access arrangements</w:t>
      </w:r>
    </w:p>
    <w:p w:rsidR="003278C4" w:rsidRPr="00F77D6D" w:rsidRDefault="003278C4" w:rsidP="003278C4">
      <w:pPr>
        <w:pStyle w:val="AERbulletlistfirststyle"/>
      </w:pPr>
      <w:r w:rsidRPr="00F77D6D">
        <w:t xml:space="preserve">having </w:t>
      </w:r>
      <w:r>
        <w:t xml:space="preserve">JGN </w:t>
      </w:r>
      <w:r w:rsidRPr="00F77D6D">
        <w:t xml:space="preserve"> present its </w:t>
      </w:r>
      <w:r w:rsidR="00D55A5B">
        <w:t>access arrangement</w:t>
      </w:r>
      <w:r w:rsidRPr="00F77D6D">
        <w:t xml:space="preserve"> to the AER Board in August 2014, so questions could be raised and key issues explained</w:t>
      </w:r>
    </w:p>
    <w:p w:rsidR="008E433E" w:rsidRPr="00F77D6D" w:rsidRDefault="008E433E" w:rsidP="008E433E">
      <w:pPr>
        <w:pStyle w:val="AERbulletlistfirststyle"/>
      </w:pPr>
      <w:r w:rsidRPr="00F77D6D">
        <w:t xml:space="preserve">having the CCP present its advice in response to </w:t>
      </w:r>
      <w:r w:rsidR="003278C4">
        <w:t>JGN's</w:t>
      </w:r>
      <w:r w:rsidRPr="00F77D6D">
        <w:t xml:space="preserve"> </w:t>
      </w:r>
      <w:r w:rsidR="00D55A5B">
        <w:t>access arrangement</w:t>
      </w:r>
      <w:r w:rsidRPr="00F77D6D">
        <w:t xml:space="preserve"> to the AER Board in </w:t>
      </w:r>
      <w:r w:rsidR="003278C4">
        <w:t xml:space="preserve">August </w:t>
      </w:r>
      <w:r w:rsidRPr="00F77D6D">
        <w:t>2014</w:t>
      </w:r>
    </w:p>
    <w:p w:rsidR="008E433E" w:rsidRDefault="008E433E" w:rsidP="008E433E">
      <w:pPr>
        <w:pStyle w:val="AERbulletlistfirststyle"/>
      </w:pPr>
      <w:r>
        <w:t xml:space="preserve">publishing our draft decision for consultation on 27 November 2014, and hosting a </w:t>
      </w:r>
      <w:r w:rsidR="003278C4">
        <w:t>public forum</w:t>
      </w:r>
      <w:r>
        <w:t xml:space="preserve"> in Sydney on 8 December 2014 </w:t>
      </w:r>
      <w:r w:rsidRPr="00FB5005">
        <w:t xml:space="preserve">so stakeholders could question the AER and </w:t>
      </w:r>
      <w:r w:rsidR="003278C4">
        <w:t>JGN</w:t>
      </w:r>
      <w:r w:rsidR="003278C4" w:rsidRPr="00FB5005">
        <w:t xml:space="preserve"> </w:t>
      </w:r>
      <w:r w:rsidRPr="00FB5005">
        <w:t xml:space="preserve">on </w:t>
      </w:r>
      <w:r>
        <w:t>our draft decision</w:t>
      </w:r>
    </w:p>
    <w:p w:rsidR="008E433E" w:rsidRPr="00377C69" w:rsidRDefault="008E433E" w:rsidP="008E433E">
      <w:pPr>
        <w:pStyle w:val="AERbulletlistfirststyle"/>
      </w:pPr>
      <w:r>
        <w:t xml:space="preserve">considering </w:t>
      </w:r>
      <w:r w:rsidR="003278C4">
        <w:t xml:space="preserve">JGN's </w:t>
      </w:r>
      <w:r>
        <w:t xml:space="preserve">revised </w:t>
      </w:r>
      <w:r w:rsidR="00D55A5B">
        <w:t xml:space="preserve">access arrangement </w:t>
      </w:r>
      <w:r>
        <w:t xml:space="preserve">and stakeholder submissions  on the draft decision and revised proposal. </w:t>
      </w:r>
      <w:r w:rsidRPr="00377C69">
        <w:t>A list of stakehol</w:t>
      </w:r>
      <w:r w:rsidR="00D55A5B">
        <w:t>der submissions is provided in a</w:t>
      </w:r>
      <w:r w:rsidRPr="00377C69">
        <w:t>ppendix</w:t>
      </w:r>
      <w:r w:rsidR="003278C4">
        <w:t xml:space="preserve"> </w:t>
      </w:r>
      <w:r w:rsidR="003278C4">
        <w:fldChar w:fldCharType="begin"/>
      </w:r>
      <w:r w:rsidR="003278C4">
        <w:instrText xml:space="preserve"> REF _Ref418260199 \r \h </w:instrText>
      </w:r>
      <w:r w:rsidR="003278C4">
        <w:fldChar w:fldCharType="separate"/>
      </w:r>
      <w:r w:rsidR="009037A2">
        <w:t>A</w:t>
      </w:r>
      <w:r w:rsidR="003278C4">
        <w:fldChar w:fldCharType="end"/>
      </w:r>
      <w:r w:rsidRPr="00377C69">
        <w:t xml:space="preserve">. </w:t>
      </w:r>
    </w:p>
    <w:p w:rsidR="008E433E" w:rsidRPr="00FB5005" w:rsidRDefault="008E433E" w:rsidP="008E433E">
      <w:pPr>
        <w:pStyle w:val="AERbulletlistfirststyle"/>
      </w:pPr>
      <w:r>
        <w:t xml:space="preserve">having </w:t>
      </w:r>
      <w:r w:rsidR="003278C4">
        <w:t>JGN</w:t>
      </w:r>
      <w:r w:rsidR="003278C4" w:rsidRPr="00FB5005">
        <w:t xml:space="preserve"> </w:t>
      </w:r>
      <w:r w:rsidRPr="00FB5005">
        <w:t xml:space="preserve">present its </w:t>
      </w:r>
      <w:r>
        <w:t>revised</w:t>
      </w:r>
      <w:r w:rsidRPr="00FB5005">
        <w:t xml:space="preserve"> </w:t>
      </w:r>
      <w:r w:rsidR="00D55A5B">
        <w:t xml:space="preserve">access arrangement </w:t>
      </w:r>
      <w:r w:rsidRPr="00FB5005">
        <w:t xml:space="preserve">to the AER Board in </w:t>
      </w:r>
      <w:r w:rsidR="003278C4">
        <w:t>March</w:t>
      </w:r>
      <w:r w:rsidR="003278C4" w:rsidRPr="00FB5005">
        <w:t xml:space="preserve"> </w:t>
      </w:r>
      <w:r w:rsidRPr="00FB5005">
        <w:t>201</w:t>
      </w:r>
      <w:r>
        <w:t>5</w:t>
      </w:r>
      <w:r w:rsidRPr="00FB5005">
        <w:t>, so questions could be raised and key issues explained</w:t>
      </w:r>
      <w:r w:rsidR="00D55A5B">
        <w:t>.</w:t>
      </w:r>
    </w:p>
    <w:p w:rsidR="008E433E" w:rsidRPr="001767F0" w:rsidRDefault="008E433E" w:rsidP="008E433E">
      <w:r w:rsidRPr="00FB5005">
        <w:t xml:space="preserve">AER staff, including our technical advisors and consultants, directly engaged with staff at </w:t>
      </w:r>
      <w:r w:rsidR="003278C4">
        <w:t xml:space="preserve">JGN </w:t>
      </w:r>
      <w:r>
        <w:t>throughout the review process</w:t>
      </w:r>
      <w:r w:rsidRPr="00FB5005">
        <w:t xml:space="preserve">, and tested material and information underpinning its proposal. During this process, we requested and considered additional information from </w:t>
      </w:r>
      <w:r w:rsidR="00080BAD">
        <w:t xml:space="preserve">JGN </w:t>
      </w:r>
      <w:r>
        <w:t>to help us understand its proposals.</w:t>
      </w:r>
    </w:p>
    <w:p w:rsidR="000C441E" w:rsidRDefault="000C441E" w:rsidP="008E433E">
      <w:pPr>
        <w:numPr>
          <w:ilvl w:val="0"/>
          <w:numId w:val="25"/>
        </w:numPr>
      </w:pPr>
      <w:bookmarkStart w:id="290" w:name="_Toc415577319"/>
      <w:bookmarkEnd w:id="290"/>
    </w:p>
    <w:p w:rsidR="000C441E" w:rsidRDefault="000C441E" w:rsidP="008E433E">
      <w:pPr>
        <w:numPr>
          <w:ilvl w:val="0"/>
          <w:numId w:val="25"/>
        </w:numPr>
      </w:pPr>
    </w:p>
    <w:p w:rsidR="008E433E" w:rsidRDefault="008E433E" w:rsidP="008E433E">
      <w:pPr>
        <w:pStyle w:val="Heading7"/>
      </w:pPr>
      <w:bookmarkStart w:id="291" w:name="_Toc404437173"/>
      <w:bookmarkStart w:id="292" w:name="_Toc411428080"/>
      <w:bookmarkStart w:id="293" w:name="_Toc417993981"/>
      <w:bookmarkStart w:id="294" w:name="_Ref418260199"/>
      <w:bookmarkStart w:id="295" w:name="_Toc419895047"/>
      <w:r w:rsidRPr="00B6585E">
        <w:t>List of submissions</w:t>
      </w:r>
      <w:bookmarkEnd w:id="291"/>
      <w:bookmarkEnd w:id="292"/>
      <w:bookmarkEnd w:id="293"/>
      <w:bookmarkEnd w:id="294"/>
      <w:bookmarkEnd w:id="295"/>
      <w:r w:rsidRPr="00B6585E">
        <w:t xml:space="preserve"> </w:t>
      </w:r>
    </w:p>
    <w:p w:rsidR="008E433E" w:rsidRDefault="008E433E" w:rsidP="008E433E">
      <w:pPr>
        <w:numPr>
          <w:ilvl w:val="0"/>
          <w:numId w:val="25"/>
        </w:numPr>
      </w:pPr>
      <w:r>
        <w:t xml:space="preserve">We invited submissions on our draft decision </w:t>
      </w:r>
      <w:r w:rsidR="00825A8D">
        <w:t>by 27 March</w:t>
      </w:r>
      <w:r>
        <w:t xml:space="preserve"> 2015</w:t>
      </w:r>
      <w:r w:rsidR="00825A8D">
        <w:t>. T</w:t>
      </w:r>
      <w:r>
        <w:t>he following stakeholders made written submissions</w:t>
      </w:r>
      <w:r w:rsidR="003040A0">
        <w:t xml:space="preserve"> on our draft decision for JGN</w:t>
      </w:r>
      <w:r>
        <w:t>:</w:t>
      </w:r>
    </w:p>
    <w:tbl>
      <w:tblPr>
        <w:tblStyle w:val="AERtable-text0"/>
        <w:tblW w:w="0" w:type="auto"/>
        <w:tblLook w:val="04A0" w:firstRow="1" w:lastRow="0" w:firstColumn="1" w:lastColumn="0" w:noHBand="0" w:noVBand="1"/>
      </w:tblPr>
      <w:tblGrid>
        <w:gridCol w:w="4503"/>
        <w:gridCol w:w="4190"/>
      </w:tblGrid>
      <w:tr w:rsidR="008E433E" w:rsidTr="00D55A5B">
        <w:trPr>
          <w:cnfStyle w:val="100000000000" w:firstRow="1" w:lastRow="0" w:firstColumn="0" w:lastColumn="0" w:oddVBand="0" w:evenVBand="0" w:oddHBand="0" w:evenHBand="0" w:firstRowFirstColumn="0" w:firstRowLastColumn="0" w:lastRowFirstColumn="0" w:lastRowLastColumn="0"/>
        </w:trPr>
        <w:tc>
          <w:tcPr>
            <w:tcW w:w="4644" w:type="dxa"/>
          </w:tcPr>
          <w:p w:rsidR="008E433E" w:rsidRPr="008E433E" w:rsidRDefault="008E433E" w:rsidP="008E433E">
            <w:pPr>
              <w:pStyle w:val="AERtabletextleft"/>
            </w:pPr>
            <w:r>
              <w:t>Submission</w:t>
            </w:r>
          </w:p>
        </w:tc>
        <w:tc>
          <w:tcPr>
            <w:tcW w:w="4049" w:type="dxa"/>
          </w:tcPr>
          <w:p w:rsidR="008E433E" w:rsidRPr="008E433E" w:rsidRDefault="008E433E" w:rsidP="00D55A5B">
            <w:pPr>
              <w:pStyle w:val="AERtabletextright"/>
              <w:jc w:val="left"/>
            </w:pPr>
            <w:r>
              <w:t xml:space="preserve">Date </w:t>
            </w:r>
          </w:p>
        </w:tc>
      </w:tr>
      <w:tr w:rsidR="008E433E" w:rsidRPr="00982A99" w:rsidTr="00D55A5B">
        <w:tc>
          <w:tcPr>
            <w:tcW w:w="2590" w:type="pct"/>
          </w:tcPr>
          <w:p w:rsidR="008E433E" w:rsidRPr="008E433E" w:rsidRDefault="009A48E1">
            <w:r>
              <w:t>CitiPower and Powercor</w:t>
            </w:r>
          </w:p>
        </w:tc>
        <w:tc>
          <w:tcPr>
            <w:tcW w:w="2410" w:type="pct"/>
          </w:tcPr>
          <w:p w:rsidR="008E433E" w:rsidRPr="008E433E" w:rsidRDefault="009A48E1" w:rsidP="008E433E">
            <w:r>
              <w:t>6 February 2015</w:t>
            </w:r>
          </w:p>
        </w:tc>
      </w:tr>
      <w:tr w:rsidR="008E433E" w:rsidRPr="00982A99" w:rsidTr="00D55A5B">
        <w:trPr>
          <w:cnfStyle w:val="000000010000" w:firstRow="0" w:lastRow="0" w:firstColumn="0" w:lastColumn="0" w:oddVBand="0" w:evenVBand="0" w:oddHBand="0" w:evenHBand="1" w:firstRowFirstColumn="0" w:firstRowLastColumn="0" w:lastRowFirstColumn="0" w:lastRowLastColumn="0"/>
        </w:trPr>
        <w:tc>
          <w:tcPr>
            <w:tcW w:w="2590" w:type="pct"/>
          </w:tcPr>
          <w:p w:rsidR="008E433E" w:rsidRPr="008E433E" w:rsidRDefault="009A48E1" w:rsidP="008E433E">
            <w:r>
              <w:t>SA Power Networks</w:t>
            </w:r>
          </w:p>
        </w:tc>
        <w:tc>
          <w:tcPr>
            <w:tcW w:w="2410" w:type="pct"/>
          </w:tcPr>
          <w:p w:rsidR="008E433E" w:rsidRPr="008E433E" w:rsidRDefault="009A48E1" w:rsidP="008E433E">
            <w:r w:rsidRPr="009A48E1">
              <w:t>6 February 2015</w:t>
            </w:r>
          </w:p>
        </w:tc>
      </w:tr>
      <w:tr w:rsidR="008E433E" w:rsidRPr="00982A99" w:rsidTr="00D55A5B">
        <w:tc>
          <w:tcPr>
            <w:tcW w:w="2590" w:type="pct"/>
          </w:tcPr>
          <w:p w:rsidR="008E433E" w:rsidRPr="008E433E" w:rsidRDefault="009A48E1" w:rsidP="008E433E">
            <w:r>
              <w:t>United Energy</w:t>
            </w:r>
          </w:p>
        </w:tc>
        <w:tc>
          <w:tcPr>
            <w:tcW w:w="2410" w:type="pct"/>
          </w:tcPr>
          <w:p w:rsidR="008E433E" w:rsidRDefault="009A48E1" w:rsidP="008E433E">
            <w:r w:rsidRPr="009A48E1">
              <w:t>6 February 2015</w:t>
            </w:r>
          </w:p>
          <w:p w:rsidR="009A48E1" w:rsidRDefault="009A48E1" w:rsidP="008E433E">
            <w:r>
              <w:t>13 February 2015</w:t>
            </w:r>
          </w:p>
          <w:p w:rsidR="009A48E1" w:rsidRPr="008E433E" w:rsidRDefault="009A48E1" w:rsidP="008E433E">
            <w:r>
              <w:t>27 March 2015</w:t>
            </w:r>
          </w:p>
        </w:tc>
      </w:tr>
      <w:tr w:rsidR="008E433E" w:rsidRPr="00982A99" w:rsidTr="00D55A5B">
        <w:trPr>
          <w:cnfStyle w:val="000000010000" w:firstRow="0" w:lastRow="0" w:firstColumn="0" w:lastColumn="0" w:oddVBand="0" w:evenVBand="0" w:oddHBand="0" w:evenHBand="1" w:firstRowFirstColumn="0" w:firstRowLastColumn="0" w:lastRowFirstColumn="0" w:lastRowLastColumn="0"/>
        </w:trPr>
        <w:tc>
          <w:tcPr>
            <w:tcW w:w="2590" w:type="pct"/>
          </w:tcPr>
          <w:p w:rsidR="008E433E" w:rsidRPr="008E433E" w:rsidRDefault="009A48E1" w:rsidP="008E433E">
            <w:r>
              <w:t>Australian Gas Networks</w:t>
            </w:r>
          </w:p>
        </w:tc>
        <w:tc>
          <w:tcPr>
            <w:tcW w:w="2410" w:type="pct"/>
          </w:tcPr>
          <w:p w:rsidR="008E433E" w:rsidRPr="008E433E" w:rsidRDefault="009A48E1" w:rsidP="008E433E">
            <w:r>
              <w:t>13 February 2015</w:t>
            </w:r>
          </w:p>
        </w:tc>
      </w:tr>
      <w:tr w:rsidR="008E433E" w:rsidRPr="00982A99" w:rsidTr="00D55A5B">
        <w:tc>
          <w:tcPr>
            <w:tcW w:w="2590" w:type="pct"/>
          </w:tcPr>
          <w:p w:rsidR="008E433E" w:rsidRPr="008E433E" w:rsidRDefault="009A48E1" w:rsidP="008E433E">
            <w:r>
              <w:t>Ergon Energy</w:t>
            </w:r>
          </w:p>
        </w:tc>
        <w:tc>
          <w:tcPr>
            <w:tcW w:w="2410" w:type="pct"/>
          </w:tcPr>
          <w:p w:rsidR="008E433E" w:rsidRDefault="009A48E1" w:rsidP="008E433E">
            <w:r>
              <w:t>13 February 2015</w:t>
            </w:r>
          </w:p>
          <w:p w:rsidR="009A48E1" w:rsidRPr="008E433E" w:rsidRDefault="009A48E1" w:rsidP="008E433E">
            <w:r>
              <w:t>27 March 2015</w:t>
            </w:r>
          </w:p>
        </w:tc>
      </w:tr>
      <w:tr w:rsidR="008E433E" w:rsidRPr="00982A99" w:rsidTr="00D55A5B">
        <w:trPr>
          <w:cnfStyle w:val="000000010000" w:firstRow="0" w:lastRow="0" w:firstColumn="0" w:lastColumn="0" w:oddVBand="0" w:evenVBand="0" w:oddHBand="0" w:evenHBand="1" w:firstRowFirstColumn="0" w:firstRowLastColumn="0" w:lastRowFirstColumn="0" w:lastRowLastColumn="0"/>
        </w:trPr>
        <w:tc>
          <w:tcPr>
            <w:tcW w:w="2590" w:type="pct"/>
          </w:tcPr>
          <w:p w:rsidR="008E433E" w:rsidRPr="008E433E" w:rsidRDefault="009A48E1" w:rsidP="008E433E">
            <w:r>
              <w:t>Public Interest Advocacy Centre</w:t>
            </w:r>
          </w:p>
        </w:tc>
        <w:tc>
          <w:tcPr>
            <w:tcW w:w="2410" w:type="pct"/>
          </w:tcPr>
          <w:p w:rsidR="008E433E" w:rsidRPr="008E433E" w:rsidRDefault="009A48E1" w:rsidP="008E433E">
            <w:r>
              <w:t>23 March 2015</w:t>
            </w:r>
          </w:p>
        </w:tc>
      </w:tr>
      <w:tr w:rsidR="008E433E" w:rsidRPr="00982A99" w:rsidTr="00D55A5B">
        <w:tc>
          <w:tcPr>
            <w:tcW w:w="2590" w:type="pct"/>
          </w:tcPr>
          <w:p w:rsidR="008E433E" w:rsidRPr="008E433E" w:rsidRDefault="009A48E1" w:rsidP="008E433E">
            <w:r>
              <w:t>Ethnic Communities of NSW</w:t>
            </w:r>
          </w:p>
        </w:tc>
        <w:tc>
          <w:tcPr>
            <w:tcW w:w="2410" w:type="pct"/>
          </w:tcPr>
          <w:p w:rsidR="008E433E" w:rsidRPr="008E433E" w:rsidRDefault="009A48E1" w:rsidP="008E433E">
            <w:r>
              <w:t>26 March 2015</w:t>
            </w:r>
          </w:p>
        </w:tc>
      </w:tr>
      <w:tr w:rsidR="008E433E" w:rsidRPr="00982A99" w:rsidTr="00D55A5B">
        <w:trPr>
          <w:cnfStyle w:val="000000010000" w:firstRow="0" w:lastRow="0" w:firstColumn="0" w:lastColumn="0" w:oddVBand="0" w:evenVBand="0" w:oddHBand="0" w:evenHBand="1" w:firstRowFirstColumn="0" w:firstRowLastColumn="0" w:lastRowFirstColumn="0" w:lastRowLastColumn="0"/>
        </w:trPr>
        <w:tc>
          <w:tcPr>
            <w:tcW w:w="2590" w:type="pct"/>
          </w:tcPr>
          <w:p w:rsidR="008E433E" w:rsidRPr="008E433E" w:rsidRDefault="009A48E1" w:rsidP="008E433E">
            <w:r>
              <w:t>JGN</w:t>
            </w:r>
          </w:p>
        </w:tc>
        <w:tc>
          <w:tcPr>
            <w:tcW w:w="2410" w:type="pct"/>
          </w:tcPr>
          <w:p w:rsidR="008E433E" w:rsidRDefault="009A48E1" w:rsidP="008E433E">
            <w:r>
              <w:t>27 March 2015</w:t>
            </w:r>
          </w:p>
          <w:p w:rsidR="00851473" w:rsidRDefault="00851473" w:rsidP="008E433E">
            <w:r>
              <w:t>16 April 2015*</w:t>
            </w:r>
          </w:p>
          <w:p w:rsidR="00FC6122" w:rsidRDefault="00FC6122" w:rsidP="008E433E">
            <w:r>
              <w:t>13 May 2015*</w:t>
            </w:r>
          </w:p>
          <w:p w:rsidR="00FC6122" w:rsidRPr="008E433E" w:rsidRDefault="00FC6122" w:rsidP="008E433E">
            <w:r>
              <w:t>18 May 2015*</w:t>
            </w:r>
          </w:p>
        </w:tc>
      </w:tr>
      <w:tr w:rsidR="008E433E" w:rsidRPr="00982A99" w:rsidTr="00D55A5B">
        <w:tc>
          <w:tcPr>
            <w:tcW w:w="2590" w:type="pct"/>
          </w:tcPr>
          <w:p w:rsidR="008E433E" w:rsidRPr="008E433E" w:rsidRDefault="009A48E1" w:rsidP="008E433E">
            <w:r>
              <w:t>AusNet Services</w:t>
            </w:r>
          </w:p>
        </w:tc>
        <w:tc>
          <w:tcPr>
            <w:tcW w:w="2410" w:type="pct"/>
          </w:tcPr>
          <w:p w:rsidR="008E433E" w:rsidRPr="008E433E" w:rsidRDefault="009A48E1" w:rsidP="008E433E">
            <w:r>
              <w:t>27 March 2015</w:t>
            </w:r>
          </w:p>
        </w:tc>
      </w:tr>
      <w:tr w:rsidR="008E433E" w:rsidRPr="00982A99" w:rsidTr="00D55A5B">
        <w:trPr>
          <w:cnfStyle w:val="000000010000" w:firstRow="0" w:lastRow="0" w:firstColumn="0" w:lastColumn="0" w:oddVBand="0" w:evenVBand="0" w:oddHBand="0" w:evenHBand="1" w:firstRowFirstColumn="0" w:firstRowLastColumn="0" w:lastRowFirstColumn="0" w:lastRowLastColumn="0"/>
        </w:trPr>
        <w:tc>
          <w:tcPr>
            <w:tcW w:w="2590" w:type="pct"/>
          </w:tcPr>
          <w:p w:rsidR="008E433E" w:rsidRPr="008E433E" w:rsidRDefault="009A48E1" w:rsidP="008E433E">
            <w:r>
              <w:t>Origin Energy</w:t>
            </w:r>
          </w:p>
        </w:tc>
        <w:tc>
          <w:tcPr>
            <w:tcW w:w="2410" w:type="pct"/>
          </w:tcPr>
          <w:p w:rsidR="008E433E" w:rsidRPr="008E433E" w:rsidRDefault="009A48E1" w:rsidP="008E433E">
            <w:r w:rsidRPr="009A48E1">
              <w:t>27 March 2015</w:t>
            </w:r>
          </w:p>
        </w:tc>
      </w:tr>
      <w:tr w:rsidR="008E433E" w:rsidRPr="00982A99" w:rsidTr="00D55A5B">
        <w:tc>
          <w:tcPr>
            <w:tcW w:w="2590" w:type="pct"/>
          </w:tcPr>
          <w:p w:rsidR="008E433E" w:rsidRPr="008E433E" w:rsidRDefault="009A48E1" w:rsidP="008E433E">
            <w:r>
              <w:t>AGL</w:t>
            </w:r>
          </w:p>
        </w:tc>
        <w:tc>
          <w:tcPr>
            <w:tcW w:w="2410" w:type="pct"/>
          </w:tcPr>
          <w:p w:rsidR="008E433E" w:rsidRPr="008E433E" w:rsidRDefault="009A48E1" w:rsidP="008E433E">
            <w:r>
              <w:t>30 March 2015</w:t>
            </w:r>
          </w:p>
        </w:tc>
      </w:tr>
      <w:tr w:rsidR="008E433E" w:rsidRPr="00982A99" w:rsidTr="00D55A5B">
        <w:trPr>
          <w:cnfStyle w:val="000000010000" w:firstRow="0" w:lastRow="0" w:firstColumn="0" w:lastColumn="0" w:oddVBand="0" w:evenVBand="0" w:oddHBand="0" w:evenHBand="1" w:firstRowFirstColumn="0" w:firstRowLastColumn="0" w:lastRowFirstColumn="0" w:lastRowLastColumn="0"/>
        </w:trPr>
        <w:tc>
          <w:tcPr>
            <w:tcW w:w="2590" w:type="pct"/>
          </w:tcPr>
          <w:p w:rsidR="008E433E" w:rsidRPr="008E433E" w:rsidRDefault="009A48E1" w:rsidP="008E433E">
            <w:r>
              <w:t>Energy Markets Reform Forum</w:t>
            </w:r>
          </w:p>
        </w:tc>
        <w:tc>
          <w:tcPr>
            <w:tcW w:w="2410" w:type="pct"/>
          </w:tcPr>
          <w:p w:rsidR="008E433E" w:rsidRPr="008E433E" w:rsidRDefault="009A48E1" w:rsidP="008E433E">
            <w:r>
              <w:t>30 March 2015</w:t>
            </w:r>
          </w:p>
        </w:tc>
      </w:tr>
    </w:tbl>
    <w:p w:rsidR="0072575B" w:rsidRDefault="008E433E" w:rsidP="00080BAD">
      <w:pPr>
        <w:pStyle w:val="AERtablesource"/>
      </w:pPr>
      <w:r>
        <w:t>*</w:t>
      </w:r>
      <w:r>
        <w:tab/>
      </w:r>
      <w:r w:rsidR="00825A8D">
        <w:t>Section 65 of the NGL</w:t>
      </w:r>
      <w:r w:rsidR="00825A8D" w:rsidRPr="00ED3A82">
        <w:t xml:space="preserve"> provides that the AER may, but is not required to, consider any late submission. </w:t>
      </w:r>
      <w:r w:rsidR="00825A8D">
        <w:t>JGN's submission of 16 April was</w:t>
      </w:r>
      <w:r w:rsidR="00825A8D" w:rsidRPr="00ED3A82">
        <w:t xml:space="preserve"> provided a considerable time after submissions on our draft decision and </w:t>
      </w:r>
      <w:r w:rsidR="00825A8D">
        <w:t>JGN's</w:t>
      </w:r>
      <w:r w:rsidR="00825A8D" w:rsidRPr="00ED3A82">
        <w:t xml:space="preserve"> revised proposal closed. As we were in the final stages of our review of </w:t>
      </w:r>
      <w:r w:rsidR="00825A8D">
        <w:t>JGN's</w:t>
      </w:r>
      <w:r w:rsidR="00825A8D" w:rsidRPr="00ED3A82">
        <w:t xml:space="preserve"> revised proposal at that time, there was not sufficient time for the AER, consumers or regulated businesses to comment upon or respond to th</w:t>
      </w:r>
      <w:r w:rsidR="00825A8D">
        <w:t>is</w:t>
      </w:r>
      <w:r w:rsidR="00825A8D" w:rsidRPr="00ED3A82">
        <w:t xml:space="preserve"> submission in a meaningful way. We therefore exercised our discretion under </w:t>
      </w:r>
      <w:r w:rsidR="00825A8D">
        <w:t>section 65</w:t>
      </w:r>
      <w:r w:rsidR="00825A8D" w:rsidRPr="00ED3A82">
        <w:t xml:space="preserve"> not to consider th</w:t>
      </w:r>
      <w:r w:rsidR="00825A8D">
        <w:t>is</w:t>
      </w:r>
      <w:r w:rsidR="00825A8D" w:rsidRPr="00ED3A82">
        <w:t xml:space="preserve"> late submission for the purposes of this final decision.</w:t>
      </w:r>
      <w:bookmarkEnd w:id="14"/>
      <w:r w:rsidR="00D16AE3">
        <w:t xml:space="preserve"> This did not affect our consideration of JGN's submission of 27 March 2015.</w:t>
      </w:r>
    </w:p>
    <w:sectPr w:rsidR="0072575B" w:rsidSect="00150086">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F1E" w:rsidRPr="00290C63" w:rsidRDefault="00BC3F1E" w:rsidP="00290C63">
      <w:r>
        <w:separator/>
      </w:r>
    </w:p>
    <w:p w:rsidR="00BC3F1E" w:rsidRDefault="00BC3F1E"/>
  </w:endnote>
  <w:endnote w:type="continuationSeparator" w:id="0">
    <w:p w:rsidR="00BC3F1E" w:rsidRPr="00290C63" w:rsidRDefault="00BC3F1E" w:rsidP="00290C63">
      <w:r>
        <w:continuationSeparator/>
      </w:r>
    </w:p>
    <w:p w:rsidR="00BC3F1E" w:rsidRDefault="00BC3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1E" w:rsidRPr="00290C63" w:rsidRDefault="00BC3F1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C3F1E" w:rsidRDefault="00BC3F1E"/>
  <w:p w:rsidR="00BC3F1E" w:rsidRDefault="00BC3F1E"/>
  <w:p w:rsidR="00BC3F1E" w:rsidRDefault="00BC3F1E"/>
  <w:p w:rsidR="00BC3F1E" w:rsidRDefault="00BC3F1E"/>
  <w:p w:rsidR="00BC3F1E" w:rsidRDefault="00BC3F1E"/>
  <w:p w:rsidR="00BC3F1E" w:rsidRDefault="00BC3F1E"/>
  <w:p w:rsidR="00BC3F1E" w:rsidRDefault="00BC3F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BC3F1E" w:rsidRDefault="00BC3F1E">
        <w:pPr>
          <w:pStyle w:val="Footer"/>
        </w:pPr>
        <w:r>
          <w:fldChar w:fldCharType="begin"/>
        </w:r>
        <w:r>
          <w:instrText xml:space="preserve"> PAGE   \* MERGEFORMAT </w:instrText>
        </w:r>
        <w:r>
          <w:fldChar w:fldCharType="separate"/>
        </w:r>
        <w:r w:rsidR="004F2AA2">
          <w:rPr>
            <w:noProof/>
          </w:rPr>
          <w:t>1</w:t>
        </w:r>
        <w:r>
          <w:rPr>
            <w:noProof/>
          </w:rPr>
          <w:fldChar w:fldCharType="end"/>
        </w:r>
        <w:r>
          <w:rPr>
            <w:noProof/>
          </w:rPr>
          <w:t xml:space="preserve">      </w:t>
        </w:r>
        <w:r>
          <w:t xml:space="preserve">           </w:t>
        </w:r>
        <w:r>
          <w:rPr>
            <w:noProof/>
          </w:rPr>
          <w:t xml:space="preserve">  </w:t>
        </w:r>
        <w:r>
          <w:t>Overview</w:t>
        </w:r>
        <w:r>
          <w:rPr>
            <w:rFonts w:cs="Gautami"/>
            <w:noProof/>
          </w:rPr>
          <w:t xml:space="preserve"> | </w:t>
        </w:r>
        <w:r>
          <w:t xml:space="preserve">Final decision: Jemena Gas Networks </w:t>
        </w:r>
        <w:r w:rsidRPr="00687754">
          <w:t>2015–20</w:t>
        </w:r>
      </w:p>
    </w:sdtContent>
  </w:sdt>
  <w:p w:rsidR="00BC3F1E" w:rsidRDefault="00BC3F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1E" w:rsidRPr="00290C63" w:rsidRDefault="00BC3F1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C3F1E" w:rsidRDefault="00BC3F1E">
    <w:pPr>
      <w:pStyle w:val="Footer"/>
    </w:pPr>
  </w:p>
  <w:p w:rsidR="00BC3F1E" w:rsidRDefault="00BC3F1E"/>
  <w:p w:rsidR="00BC3F1E" w:rsidRDefault="00BC3F1E"/>
  <w:p w:rsidR="00BC3F1E" w:rsidRDefault="00BC3F1E"/>
  <w:p w:rsidR="00BC3F1E" w:rsidRDefault="00BC3F1E"/>
  <w:p w:rsidR="00BC3F1E" w:rsidRDefault="00BC3F1E"/>
  <w:p w:rsidR="00BC3F1E" w:rsidRDefault="00BC3F1E"/>
  <w:p w:rsidR="00BC3F1E" w:rsidRDefault="00BC3F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F1E" w:rsidRPr="00290C63" w:rsidRDefault="00BC3F1E" w:rsidP="00290C63">
      <w:r>
        <w:separator/>
      </w:r>
    </w:p>
    <w:p w:rsidR="00BC3F1E" w:rsidRDefault="00BC3F1E"/>
  </w:footnote>
  <w:footnote w:type="continuationSeparator" w:id="0">
    <w:p w:rsidR="00BC3F1E" w:rsidRPr="00290C63" w:rsidRDefault="00BC3F1E" w:rsidP="00290C63">
      <w:r>
        <w:continuationSeparator/>
      </w:r>
    </w:p>
    <w:p w:rsidR="00BC3F1E" w:rsidRDefault="00BC3F1E"/>
  </w:footnote>
  <w:footnote w:id="1">
    <w:p w:rsidR="00BC3F1E" w:rsidRDefault="00BC3F1E" w:rsidP="008E433E">
      <w:pPr>
        <w:pStyle w:val="FootnoteText"/>
      </w:pPr>
      <w:r>
        <w:rPr>
          <w:rStyle w:val="FootnoteReference"/>
        </w:rPr>
        <w:footnoteRef/>
      </w:r>
      <w:r>
        <w:t xml:space="preserve"> </w:t>
      </w:r>
      <w:r>
        <w:tab/>
        <w:t>NGL, s. 23.</w:t>
      </w:r>
    </w:p>
  </w:footnote>
  <w:footnote w:id="2">
    <w:p w:rsidR="00BC3F1E" w:rsidRDefault="00BC3F1E">
      <w:pPr>
        <w:pStyle w:val="FootnoteText"/>
      </w:pPr>
      <w:r>
        <w:rPr>
          <w:rStyle w:val="FootnoteReference"/>
        </w:rPr>
        <w:footnoteRef/>
      </w:r>
      <w:r>
        <w:t xml:space="preserve"> </w:t>
      </w:r>
      <w:r>
        <w:tab/>
        <w:t>NGR, r. 62.</w:t>
      </w:r>
    </w:p>
  </w:footnote>
  <w:footnote w:id="3">
    <w:p w:rsidR="00BC3F1E" w:rsidRDefault="00BC3F1E" w:rsidP="00A66382">
      <w:pPr>
        <w:pStyle w:val="FootnoteText"/>
      </w:pPr>
      <w:r>
        <w:rPr>
          <w:rStyle w:val="FootnoteReference"/>
        </w:rPr>
        <w:footnoteRef/>
      </w:r>
      <w:r>
        <w:t xml:space="preserve"> </w:t>
      </w:r>
      <w:r>
        <w:tab/>
      </w:r>
      <w:r w:rsidRPr="009726AD">
        <w:t>This decision includes the revisions we propose under r. 64</w:t>
      </w:r>
      <w:r>
        <w:t>(1) of the NGR</w:t>
      </w:r>
      <w:r w:rsidRPr="009726AD">
        <w:t>, noting that under r. 64(3) we are not required to consult on these, and a final decision under r. 64(4).</w:t>
      </w:r>
    </w:p>
  </w:footnote>
  <w:footnote w:id="4">
    <w:p w:rsidR="00BC3F1E" w:rsidRDefault="00BC3F1E" w:rsidP="008E433E">
      <w:pPr>
        <w:pStyle w:val="FootnoteText"/>
      </w:pPr>
      <w:r>
        <w:rPr>
          <w:rStyle w:val="FootnoteReference"/>
        </w:rPr>
        <w:footnoteRef/>
      </w:r>
      <w:r>
        <w:t xml:space="preserve"> </w:t>
      </w:r>
      <w:r>
        <w:tab/>
        <w:t>NGL, s. 132</w:t>
      </w:r>
      <w:r w:rsidR="00117DB9">
        <w:t>.</w:t>
      </w:r>
    </w:p>
  </w:footnote>
  <w:footnote w:id="5">
    <w:p w:rsidR="00BC3F1E" w:rsidRDefault="00BC3F1E" w:rsidP="008E433E">
      <w:pPr>
        <w:pStyle w:val="FootnoteText"/>
      </w:pPr>
      <w:r>
        <w:rPr>
          <w:rStyle w:val="FootnoteReference"/>
        </w:rPr>
        <w:footnoteRef/>
      </w:r>
      <w:r>
        <w:t xml:space="preserve"> </w:t>
      </w:r>
      <w:r>
        <w:tab/>
        <w:t>NGR, r. 72(1)(m).</w:t>
      </w:r>
    </w:p>
  </w:footnote>
  <w:footnote w:id="6">
    <w:p w:rsidR="00BC3F1E" w:rsidRDefault="00BC3F1E" w:rsidP="00C508DB">
      <w:pPr>
        <w:pStyle w:val="FootnoteText"/>
      </w:pPr>
      <w:r>
        <w:rPr>
          <w:rStyle w:val="FootnoteReference"/>
        </w:rPr>
        <w:footnoteRef/>
      </w:r>
      <w:r>
        <w:t xml:space="preserve"> </w:t>
      </w:r>
      <w:r>
        <w:tab/>
        <w:t>Hansard, SA House of Assembly, 9 February 2005 p. 1452, Hansard, SA House of Assembly, 9 April 2008 pp. 2884 and 2885</w:t>
      </w:r>
      <w:r w:rsidR="00117DB9">
        <w:t>.</w:t>
      </w:r>
    </w:p>
  </w:footnote>
  <w:footnote w:id="7">
    <w:p w:rsidR="00BC3F1E" w:rsidRDefault="00BC3F1E">
      <w:pPr>
        <w:pStyle w:val="FootnoteText"/>
      </w:pPr>
      <w:r>
        <w:rPr>
          <w:rStyle w:val="FootnoteReference"/>
        </w:rPr>
        <w:footnoteRef/>
      </w:r>
      <w:r>
        <w:t xml:space="preserve"> </w:t>
      </w:r>
      <w:r>
        <w:tab/>
        <w:t xml:space="preserve">See appendix A for a list of submissions. </w:t>
      </w:r>
    </w:p>
  </w:footnote>
  <w:footnote w:id="8">
    <w:p w:rsidR="00BC3F1E" w:rsidRDefault="00BC3F1E" w:rsidP="00A278B0">
      <w:pPr>
        <w:pStyle w:val="FootnoteText"/>
      </w:pPr>
      <w:r>
        <w:rPr>
          <w:rStyle w:val="FootnoteReference"/>
        </w:rPr>
        <w:footnoteRef/>
      </w:r>
      <w:r>
        <w:t xml:space="preserve"> </w:t>
      </w:r>
      <w:r>
        <w:tab/>
      </w:r>
      <w:r w:rsidRPr="004E1372">
        <w:t xml:space="preserve">JGN updated its proposed </w:t>
      </w:r>
      <w:r>
        <w:t xml:space="preserve">revenue numbers </w:t>
      </w:r>
      <w:r w:rsidRPr="004E1372">
        <w:t xml:space="preserve">after the submission of its revised proposal. JGN, </w:t>
      </w:r>
      <w:r w:rsidRPr="004E1372">
        <w:rPr>
          <w:rStyle w:val="AERtextitalic"/>
        </w:rPr>
        <w:t>Submissions on draft decision,</w:t>
      </w:r>
      <w:r w:rsidRPr="004E1372">
        <w:t xml:space="preserve"> </w:t>
      </w:r>
      <w:r w:rsidRPr="004E1372">
        <w:rPr>
          <w:rStyle w:val="AERtextitalic"/>
        </w:rPr>
        <w:t>Attachment N - updated appendix 10.1 - JGN revenue forecast model</w:t>
      </w:r>
      <w:r w:rsidRPr="004E1372">
        <w:t>, 27 March 2015.</w:t>
      </w:r>
    </w:p>
  </w:footnote>
  <w:footnote w:id="9">
    <w:p w:rsidR="00BC3F1E" w:rsidRDefault="00BC3F1E" w:rsidP="004331D0">
      <w:pPr>
        <w:pStyle w:val="FootnoteText"/>
      </w:pPr>
      <w:r>
        <w:rPr>
          <w:rStyle w:val="FootnoteReference"/>
        </w:rPr>
        <w:footnoteRef/>
      </w:r>
      <w:r>
        <w:t xml:space="preserve"> </w:t>
      </w:r>
      <w:r>
        <w:tab/>
        <w:t xml:space="preserve">IPART, </w:t>
      </w:r>
      <w:r w:rsidRPr="0075159E">
        <w:rPr>
          <w:rStyle w:val="AERtextitalic"/>
        </w:rPr>
        <w:t>Changes in regulated retail gas prices from 1 July 2014</w:t>
      </w:r>
      <w:r>
        <w:t>, June 2014, p. 7.</w:t>
      </w:r>
    </w:p>
  </w:footnote>
  <w:footnote w:id="10">
    <w:p w:rsidR="00BC3F1E" w:rsidRDefault="00BC3F1E" w:rsidP="004331D0">
      <w:pPr>
        <w:pStyle w:val="FootnoteText"/>
      </w:pPr>
      <w:r>
        <w:rPr>
          <w:rStyle w:val="FootnoteReference"/>
        </w:rPr>
        <w:footnoteRef/>
      </w:r>
      <w:r>
        <w:t xml:space="preserve"> </w:t>
      </w:r>
      <w:r>
        <w:tab/>
        <w:t xml:space="preserve">The broad components of the customer bill are wholesale gas costs, transmission costs, distribution costs (JGN's component) and retail margins. There may also be carbon related costs. </w:t>
      </w:r>
    </w:p>
  </w:footnote>
  <w:footnote w:id="11">
    <w:p w:rsidR="00BC3F1E" w:rsidRDefault="00BC3F1E">
      <w:pPr>
        <w:pStyle w:val="FootnoteText"/>
      </w:pPr>
      <w:r>
        <w:rPr>
          <w:rStyle w:val="FootnoteReference"/>
        </w:rPr>
        <w:footnoteRef/>
      </w:r>
      <w:r>
        <w:t xml:space="preserve"> </w:t>
      </w:r>
      <w:r>
        <w:tab/>
        <w:t>We do not regulate wholesale gas prices, and these are also outside JGN's control.</w:t>
      </w:r>
    </w:p>
  </w:footnote>
  <w:footnote w:id="12">
    <w:p w:rsidR="00BC3F1E" w:rsidRDefault="00BC3F1E" w:rsidP="008E433E">
      <w:pPr>
        <w:pStyle w:val="FootnoteText"/>
      </w:pPr>
      <w:r>
        <w:rPr>
          <w:rStyle w:val="FootnoteReference"/>
        </w:rPr>
        <w:footnoteRef/>
      </w:r>
      <w:r>
        <w:t xml:space="preserve"> </w:t>
      </w:r>
      <w:r>
        <w:tab/>
        <w:t>How these key cost drivers impact total revenue is further explained in section 2 of this overview.</w:t>
      </w:r>
    </w:p>
  </w:footnote>
  <w:footnote w:id="13">
    <w:p w:rsidR="00BC3F1E" w:rsidRDefault="00BC3F1E" w:rsidP="00376056">
      <w:pPr>
        <w:pStyle w:val="FootnoteText"/>
      </w:pPr>
      <w:r>
        <w:rPr>
          <w:rStyle w:val="FootnoteReference"/>
        </w:rPr>
        <w:footnoteRef/>
      </w:r>
      <w:r>
        <w:t xml:space="preserve"> </w:t>
      </w:r>
      <w:r>
        <w:tab/>
        <w:t>NGR, r. 87(3).</w:t>
      </w:r>
    </w:p>
  </w:footnote>
  <w:footnote w:id="14">
    <w:p w:rsidR="00BC3F1E" w:rsidRDefault="00BC3F1E" w:rsidP="00376056">
      <w:pPr>
        <w:pStyle w:val="FootnoteText"/>
      </w:pPr>
      <w:r>
        <w:rPr>
          <w:rStyle w:val="FootnoteReference"/>
        </w:rPr>
        <w:footnoteRef/>
      </w:r>
      <w:r>
        <w:t xml:space="preserve"> </w:t>
      </w:r>
      <w:r>
        <w:tab/>
        <w:t xml:space="preserve">The </w:t>
      </w:r>
      <w:r w:rsidRPr="006F54C5">
        <w:t xml:space="preserve">nominal vanilla </w:t>
      </w:r>
      <w:r>
        <w:t>rate of return formula</w:t>
      </w:r>
      <w:r w:rsidRPr="006F54C5">
        <w:t xml:space="preserve"> combines a post-tax return on equity and pre-tax return on debt, for consistency with other building blocks.</w:t>
      </w:r>
    </w:p>
  </w:footnote>
  <w:footnote w:id="15">
    <w:p w:rsidR="00BC3F1E" w:rsidRDefault="00BC3F1E" w:rsidP="00376056">
      <w:pPr>
        <w:pStyle w:val="FootnoteText"/>
      </w:pPr>
      <w:r>
        <w:rPr>
          <w:rStyle w:val="FootnoteReference"/>
        </w:rPr>
        <w:footnoteRef/>
      </w:r>
      <w:r>
        <w:t xml:space="preserve"> </w:t>
      </w:r>
      <w:r>
        <w:tab/>
      </w:r>
      <w:r w:rsidRPr="00230343">
        <w:t xml:space="preserve">JGN's revised proposal contained indicative values based on an indicative averaging periods for risk free rate and return on debt. On 27 March 2015 JGN provided submissions that updated its approach using values derived from its proposed averaging periods. JGN's proposed rate of 7.06 per cent is from JGN, </w:t>
      </w:r>
      <w:r w:rsidRPr="00230343">
        <w:rPr>
          <w:rStyle w:val="AERtextitalic"/>
        </w:rPr>
        <w:t>Submission on draft decision–Attachment M: updated appendix 7.15–rate of return forecast model</w:t>
      </w:r>
      <w:r w:rsidRPr="00230343">
        <w:t>, 27 March 2015.</w:t>
      </w:r>
    </w:p>
  </w:footnote>
  <w:footnote w:id="16">
    <w:p w:rsidR="00BC3F1E" w:rsidRDefault="00BC3F1E" w:rsidP="00376056">
      <w:pPr>
        <w:pStyle w:val="FootnoteText"/>
      </w:pPr>
      <w:r>
        <w:rPr>
          <w:rStyle w:val="FootnoteReference"/>
        </w:rPr>
        <w:footnoteRef/>
      </w:r>
      <w:r>
        <w:t xml:space="preserve"> </w:t>
      </w:r>
      <w:r>
        <w:tab/>
        <w:t xml:space="preserve">AER, </w:t>
      </w:r>
      <w:r w:rsidRPr="0091287B">
        <w:rPr>
          <w:rStyle w:val="AERtextitalic"/>
        </w:rPr>
        <w:t>Rate of Return Guideline</w:t>
      </w:r>
      <w:r>
        <w:t xml:space="preserve">, December 2013: </w:t>
      </w:r>
      <w:hyperlink r:id="rId1" w:history="1">
        <w:r w:rsidRPr="006926DD">
          <w:rPr>
            <w:rStyle w:val="Hyperlink"/>
            <w:sz w:val="16"/>
          </w:rPr>
          <w:t>http://www.aer.gov.au/node/18859</w:t>
        </w:r>
      </w:hyperlink>
      <w:r>
        <w:t xml:space="preserve"> </w:t>
      </w:r>
    </w:p>
  </w:footnote>
  <w:footnote w:id="17">
    <w:p w:rsidR="00BC3F1E" w:rsidRDefault="00BC3F1E">
      <w:pPr>
        <w:pStyle w:val="FootnoteText"/>
      </w:pPr>
      <w:r>
        <w:rPr>
          <w:rStyle w:val="FootnoteReference"/>
        </w:rPr>
        <w:footnoteRef/>
      </w:r>
      <w:r>
        <w:t xml:space="preserve"> </w:t>
      </w:r>
      <w:r>
        <w:tab/>
        <w:t>NGR, r. 72(g).</w:t>
      </w:r>
    </w:p>
  </w:footnote>
  <w:footnote w:id="18">
    <w:p w:rsidR="00BC3F1E" w:rsidRDefault="00BC3F1E" w:rsidP="00376056">
      <w:pPr>
        <w:pStyle w:val="FootnoteText"/>
      </w:pPr>
      <w:r>
        <w:rPr>
          <w:rStyle w:val="FootnoteReference"/>
        </w:rPr>
        <w:footnoteRef/>
      </w:r>
      <w:r>
        <w:t xml:space="preserve"> </w:t>
      </w:r>
      <w:r>
        <w:tab/>
        <w:t>NGR, r.60(1)–(2).</w:t>
      </w:r>
    </w:p>
  </w:footnote>
  <w:footnote w:id="19">
    <w:p w:rsidR="00BC3F1E" w:rsidRDefault="00BC3F1E" w:rsidP="00376056">
      <w:pPr>
        <w:pStyle w:val="FootnoteText"/>
      </w:pPr>
      <w:r>
        <w:rPr>
          <w:rStyle w:val="FootnoteReference"/>
        </w:rPr>
        <w:footnoteRef/>
      </w:r>
      <w:r>
        <w:t xml:space="preserve"> </w:t>
      </w:r>
      <w:r>
        <w:tab/>
        <w:t>NGR, r.60(1)–(2).</w:t>
      </w:r>
    </w:p>
  </w:footnote>
  <w:footnote w:id="20">
    <w:p w:rsidR="00BC3F1E" w:rsidRDefault="00BC3F1E" w:rsidP="00376056">
      <w:pPr>
        <w:pStyle w:val="FootnoteText"/>
      </w:pPr>
      <w:r>
        <w:rPr>
          <w:rStyle w:val="FootnoteReference"/>
        </w:rPr>
        <w:footnoteRef/>
      </w:r>
      <w:r>
        <w:t xml:space="preserve"> </w:t>
      </w:r>
      <w:r>
        <w:tab/>
        <w:t xml:space="preserve">AER, </w:t>
      </w:r>
      <w:r w:rsidRPr="004A4BD6">
        <w:rPr>
          <w:rStyle w:val="AERtextitalic"/>
        </w:rPr>
        <w:t>Draft decision–JGN</w:t>
      </w:r>
      <w:r>
        <w:rPr>
          <w:rStyle w:val="AERtextitalic"/>
        </w:rPr>
        <w:t xml:space="preserve"> a</w:t>
      </w:r>
      <w:r w:rsidRPr="004A4BD6">
        <w:rPr>
          <w:rStyle w:val="AERtextitalic"/>
        </w:rPr>
        <w:t>ccess arrangement 2015–20–Attachment 3: Rate of return</w:t>
      </w:r>
      <w:r>
        <w:t>, November 2014, pp.100–101.</w:t>
      </w:r>
    </w:p>
  </w:footnote>
  <w:footnote w:id="21">
    <w:p w:rsidR="00BC3F1E" w:rsidRDefault="00BC3F1E" w:rsidP="00376056">
      <w:pPr>
        <w:pStyle w:val="FootnoteText"/>
      </w:pPr>
      <w:r>
        <w:rPr>
          <w:rStyle w:val="FootnoteReference"/>
        </w:rPr>
        <w:footnoteRef/>
      </w:r>
      <w:r>
        <w:t xml:space="preserve"> </w:t>
      </w:r>
      <w:r>
        <w:tab/>
        <w:t xml:space="preserve">For example, TasNetworks, </w:t>
      </w:r>
      <w:r w:rsidRPr="0091287B">
        <w:rPr>
          <w:rStyle w:val="AERtextitalic"/>
        </w:rPr>
        <w:t>Revenue proposal</w:t>
      </w:r>
      <w:r>
        <w:t xml:space="preserve">, June 2014; </w:t>
      </w:r>
      <w:r w:rsidRPr="002C434D">
        <w:t xml:space="preserve">JGN, </w:t>
      </w:r>
      <w:r w:rsidRPr="002C434D">
        <w:rPr>
          <w:rStyle w:val="AERtextitalic"/>
        </w:rPr>
        <w:t>2015–20 access arrangement information</w:t>
      </w:r>
      <w:r w:rsidRPr="002C434D">
        <w:t>, 30</w:t>
      </w:r>
      <w:r>
        <w:t> </w:t>
      </w:r>
      <w:r w:rsidRPr="002C434D">
        <w:t xml:space="preserve">June 2014, p.92; JGN, </w:t>
      </w:r>
      <w:r w:rsidRPr="002C434D">
        <w:rPr>
          <w:rStyle w:val="AERtextitalic"/>
        </w:rPr>
        <w:t>2015–20 access arrangement</w:t>
      </w:r>
      <w:r w:rsidRPr="002C434D">
        <w:t>, 30 June 2014, page 15.</w:t>
      </w:r>
    </w:p>
  </w:footnote>
  <w:footnote w:id="22">
    <w:p w:rsidR="00BC3F1E" w:rsidRDefault="00BC3F1E" w:rsidP="00376056">
      <w:pPr>
        <w:pStyle w:val="FootnoteText"/>
      </w:pPr>
      <w:r>
        <w:rPr>
          <w:rStyle w:val="FootnoteReference"/>
        </w:rPr>
        <w:footnoteRef/>
      </w:r>
      <w:r>
        <w:t xml:space="preserve"> </w:t>
      </w:r>
      <w:r>
        <w:tab/>
        <w:t>See Attachment 3 - Rate of Return.</w:t>
      </w:r>
    </w:p>
  </w:footnote>
  <w:footnote w:id="23">
    <w:p w:rsidR="00BC3F1E" w:rsidRDefault="00BC3F1E" w:rsidP="008E433E">
      <w:pPr>
        <w:pStyle w:val="FootnoteText"/>
      </w:pPr>
      <w:r>
        <w:rPr>
          <w:rStyle w:val="FootnoteReference"/>
        </w:rPr>
        <w:footnoteRef/>
      </w:r>
      <w:r>
        <w:t xml:space="preserve"> </w:t>
      </w:r>
      <w:r>
        <w:tab/>
        <w:t>NGL, s. 23(1)(b)(iii).</w:t>
      </w:r>
    </w:p>
  </w:footnote>
  <w:footnote w:id="24">
    <w:p w:rsidR="00BC3F1E" w:rsidRDefault="00BC3F1E" w:rsidP="004D0BCD">
      <w:pPr>
        <w:pStyle w:val="FootnoteText"/>
      </w:pPr>
      <w:r>
        <w:rPr>
          <w:rStyle w:val="FootnoteReference"/>
        </w:rPr>
        <w:footnoteRef/>
      </w:r>
      <w:r>
        <w:t xml:space="preserve"> </w:t>
      </w:r>
      <w:r>
        <w:tab/>
      </w:r>
      <w:r w:rsidRPr="004D0BCD">
        <w:t xml:space="preserve">JGN, </w:t>
      </w:r>
      <w:r w:rsidRPr="00784189">
        <w:rPr>
          <w:rStyle w:val="AERtextitalic"/>
        </w:rPr>
        <w:t>Revised access arrangement proposal, Appendix 10.1 Revenue model - updated</w:t>
      </w:r>
      <w:r w:rsidRPr="004D0BCD">
        <w:t>, February 2015</w:t>
      </w:r>
      <w:r>
        <w:t>.</w:t>
      </w:r>
    </w:p>
  </w:footnote>
  <w:footnote w:id="25">
    <w:p w:rsidR="00BC3F1E" w:rsidRDefault="00BC3F1E" w:rsidP="004D0BCD">
      <w:pPr>
        <w:pStyle w:val="FootnoteText"/>
      </w:pPr>
      <w:r>
        <w:rPr>
          <w:rStyle w:val="FootnoteReference"/>
        </w:rPr>
        <w:footnoteRef/>
      </w:r>
      <w:r>
        <w:t xml:space="preserve"> </w:t>
      </w:r>
      <w:r>
        <w:tab/>
        <w:t>Where actual demand across the 2015–20 period varies from the demand forecast in the access arrangement, JGN's actual revenue will vary from the revenue allowance in this final decision. In general, if actual demand is above forecast demand, JGN's actual revenue will be above forecast revenue, and vice versa.</w:t>
      </w:r>
    </w:p>
  </w:footnote>
  <w:footnote w:id="26">
    <w:p w:rsidR="00BC3F1E" w:rsidRDefault="00BC3F1E" w:rsidP="00C90091">
      <w:pPr>
        <w:pStyle w:val="FootnoteText"/>
      </w:pPr>
      <w:r>
        <w:rPr>
          <w:rStyle w:val="FootnoteReference"/>
        </w:rPr>
        <w:footnoteRef/>
      </w:r>
      <w:r>
        <w:t xml:space="preserve"> </w:t>
      </w:r>
      <w:r>
        <w:tab/>
        <w:t>NGR, r. 76.</w:t>
      </w:r>
    </w:p>
  </w:footnote>
  <w:footnote w:id="27">
    <w:p w:rsidR="00BC3F1E" w:rsidRDefault="00BC3F1E">
      <w:pPr>
        <w:pStyle w:val="FootnoteText"/>
      </w:pPr>
      <w:r>
        <w:rPr>
          <w:rStyle w:val="FootnoteReference"/>
        </w:rPr>
        <w:footnoteRef/>
      </w:r>
      <w:r>
        <w:t xml:space="preserve"> </w:t>
      </w:r>
      <w:r>
        <w:tab/>
        <w:t>We did not apply an efficiency carryover mechanism to JGN in the 2010–15 access arrangement period.</w:t>
      </w:r>
    </w:p>
  </w:footnote>
  <w:footnote w:id="28">
    <w:p w:rsidR="00BC3F1E" w:rsidRDefault="00BC3F1E" w:rsidP="004D0BCD">
      <w:pPr>
        <w:pStyle w:val="FootnoteText"/>
      </w:pPr>
      <w:r>
        <w:rPr>
          <w:rStyle w:val="FootnoteReference"/>
        </w:rPr>
        <w:footnoteRef/>
      </w:r>
      <w:r>
        <w:t xml:space="preserve"> </w:t>
      </w:r>
      <w:r>
        <w:tab/>
        <w:t xml:space="preserve">From this amount, $11 million relates to negotiated and other services. </w:t>
      </w:r>
      <w:r w:rsidRPr="00C43639">
        <w:t xml:space="preserve">JGN updated its proposed </w:t>
      </w:r>
      <w:r>
        <w:t>total revenue requirement</w:t>
      </w:r>
      <w:r w:rsidRPr="00C43639">
        <w:t xml:space="preserve"> after the submission of its revised proposal. JGN, </w:t>
      </w:r>
      <w:r w:rsidRPr="00B642F3">
        <w:rPr>
          <w:rStyle w:val="AERtextitalic"/>
        </w:rPr>
        <w:t xml:space="preserve">Submissions on draft decision, </w:t>
      </w:r>
      <w:r w:rsidRPr="00C43639">
        <w:rPr>
          <w:rStyle w:val="AERtextitalic"/>
        </w:rPr>
        <w:t>Attachment N - updated appendix 10.1 - JGN revenue forecast model</w:t>
      </w:r>
      <w:r w:rsidRPr="00C43639">
        <w:t>, 27 March 2015.</w:t>
      </w:r>
    </w:p>
  </w:footnote>
  <w:footnote w:id="29">
    <w:p w:rsidR="00BC3F1E" w:rsidRDefault="00BC3F1E" w:rsidP="004D0BCD">
      <w:pPr>
        <w:pStyle w:val="FootnoteText"/>
      </w:pPr>
      <w:r>
        <w:rPr>
          <w:rStyle w:val="FootnoteReference"/>
        </w:rPr>
        <w:footnoteRef/>
      </w:r>
      <w:r>
        <w:t xml:space="preserve"> </w:t>
      </w:r>
      <w:r>
        <w:tab/>
      </w:r>
      <w:r w:rsidRPr="002D4706">
        <w:t xml:space="preserve">This is calculated by smoothing the total </w:t>
      </w:r>
      <w:r>
        <w:t xml:space="preserve">unsmoothed </w:t>
      </w:r>
      <w:r w:rsidRPr="002D4706">
        <w:t xml:space="preserve">building block revenue requirement </w:t>
      </w:r>
      <w:r>
        <w:t>of $2487.9 million ($nominal).</w:t>
      </w:r>
    </w:p>
  </w:footnote>
  <w:footnote w:id="30">
    <w:p w:rsidR="00BC3F1E" w:rsidRDefault="00BC3F1E">
      <w:pPr>
        <w:pStyle w:val="FootnoteText"/>
      </w:pPr>
      <w:r>
        <w:rPr>
          <w:rStyle w:val="FootnoteReference"/>
        </w:rPr>
        <w:footnoteRef/>
      </w:r>
      <w:r>
        <w:t xml:space="preserve"> </w:t>
      </w:r>
      <w:r>
        <w:tab/>
      </w:r>
      <w:r w:rsidRPr="00C43639">
        <w:t xml:space="preserve">JGN updated its </w:t>
      </w:r>
      <w:r>
        <w:t xml:space="preserve">revised </w:t>
      </w:r>
      <w:r w:rsidRPr="00C43639">
        <w:t xml:space="preserve">proposed </w:t>
      </w:r>
      <w:r>
        <w:t>total revenue requirement</w:t>
      </w:r>
      <w:r w:rsidRPr="00C43639">
        <w:t xml:space="preserve"> after the submission of its revised proposal.</w:t>
      </w:r>
      <w:r>
        <w:t xml:space="preserve"> </w:t>
      </w:r>
      <w:r w:rsidRPr="00C43639">
        <w:t xml:space="preserve">JGN, </w:t>
      </w:r>
      <w:r w:rsidRPr="00B642F3">
        <w:rPr>
          <w:rStyle w:val="AERtextitalic"/>
        </w:rPr>
        <w:t xml:space="preserve">Submissions on draft decision, </w:t>
      </w:r>
      <w:r w:rsidRPr="00C43639">
        <w:rPr>
          <w:rStyle w:val="AERtextitalic"/>
        </w:rPr>
        <w:t>Attachment N - updated appendix 10.1 - JGN revenue forecast model</w:t>
      </w:r>
      <w:r w:rsidRPr="00C43639">
        <w:t>, 27 March 2015</w:t>
      </w:r>
    </w:p>
  </w:footnote>
  <w:footnote w:id="31">
    <w:p w:rsidR="00BC3F1E" w:rsidRDefault="00BC3F1E">
      <w:pPr>
        <w:pStyle w:val="FootnoteText"/>
      </w:pPr>
      <w:r>
        <w:rPr>
          <w:rStyle w:val="FootnoteReference"/>
        </w:rPr>
        <w:footnoteRef/>
      </w:r>
      <w:r>
        <w:t xml:space="preserve"> </w:t>
      </w:r>
      <w:r>
        <w:tab/>
        <w:t>These figures assume inflation of 2.55 per cent, in line with JGN's revised proposal.</w:t>
      </w:r>
    </w:p>
  </w:footnote>
  <w:footnote w:id="32">
    <w:p w:rsidR="00BC3F1E" w:rsidRDefault="00BC3F1E">
      <w:pPr>
        <w:pStyle w:val="FootnoteText"/>
      </w:pPr>
      <w:r>
        <w:rPr>
          <w:rStyle w:val="FootnoteReference"/>
        </w:rPr>
        <w:footnoteRef/>
      </w:r>
      <w:r>
        <w:t xml:space="preserve"> </w:t>
      </w:r>
      <w:r>
        <w:tab/>
        <w:t xml:space="preserve">JGN updated its proposed tariff path (X factors) after the submission of its revised proposal. </w:t>
      </w:r>
      <w:r w:rsidRPr="00C43639">
        <w:t xml:space="preserve">JGN, </w:t>
      </w:r>
      <w:r w:rsidRPr="00B642F3">
        <w:rPr>
          <w:rStyle w:val="AERtextitalic"/>
        </w:rPr>
        <w:t xml:space="preserve">Submissions on draft decision, </w:t>
      </w:r>
      <w:r w:rsidRPr="00C43639">
        <w:rPr>
          <w:rStyle w:val="AERtextitalic"/>
        </w:rPr>
        <w:t>Attachment N - updated appendix 10.1 - JGN revenue forecast model</w:t>
      </w:r>
      <w:r w:rsidRPr="00C43639">
        <w:t>, 27 March 2015</w:t>
      </w:r>
      <w:r>
        <w:t>.</w:t>
      </w:r>
    </w:p>
  </w:footnote>
  <w:footnote w:id="33">
    <w:p w:rsidR="00BC3F1E" w:rsidRDefault="00BC3F1E" w:rsidP="00CD1A33">
      <w:pPr>
        <w:pStyle w:val="FootnoteText"/>
      </w:pPr>
      <w:r>
        <w:rPr>
          <w:rStyle w:val="FootnoteReference"/>
        </w:rPr>
        <w:footnoteRef/>
      </w:r>
      <w:r>
        <w:t xml:space="preserve"> </w:t>
      </w:r>
      <w:r>
        <w:tab/>
        <w:t>This final decision establishes 2015–16 prices directly, rather than referencing a change from 2014–15 prices. Hence, this is an indicative figure only, principally because of changes in the composition of tariff classes.</w:t>
      </w:r>
    </w:p>
  </w:footnote>
  <w:footnote w:id="34">
    <w:p w:rsidR="00BC3F1E" w:rsidRDefault="00BC3F1E" w:rsidP="004D0BCD">
      <w:pPr>
        <w:pStyle w:val="FootnoteText"/>
      </w:pPr>
      <w:r>
        <w:rPr>
          <w:rStyle w:val="FootnoteReference"/>
        </w:rPr>
        <w:footnoteRef/>
      </w:r>
      <w:r>
        <w:t xml:space="preserve"> </w:t>
      </w:r>
      <w:r>
        <w:tab/>
        <w:t>NGR, r. 41(2).</w:t>
      </w:r>
    </w:p>
  </w:footnote>
  <w:footnote w:id="35">
    <w:p w:rsidR="00BC3F1E" w:rsidRDefault="00BC3F1E">
      <w:pPr>
        <w:pStyle w:val="FootnoteText"/>
      </w:pPr>
      <w:r>
        <w:rPr>
          <w:rStyle w:val="FootnoteReference"/>
        </w:rPr>
        <w:footnoteRef/>
      </w:r>
      <w:r>
        <w:t xml:space="preserve"> </w:t>
      </w:r>
      <w:r>
        <w:tab/>
      </w:r>
      <w:r w:rsidRPr="001077E3">
        <w:t>The access arrangement decision directly sets 2015–16 tariffs; so the first year X factor (often called P</w:t>
      </w:r>
      <w:r w:rsidRPr="001077E3">
        <w:rPr>
          <w:rStyle w:val="AERsubscript"/>
        </w:rPr>
        <w:t>0</w:t>
      </w:r>
      <w:r w:rsidRPr="001077E3">
        <w:t xml:space="preserve">) is indicative only. It is calculated by comparing the total revenue arising from using 2015–16 quantities and 2014-15 prices against the total revenue arising from using 2015–16 quantities </w:t>
      </w:r>
      <w:r>
        <w:t xml:space="preserve">(which includes some changes to tariff classes) </w:t>
      </w:r>
      <w:r w:rsidRPr="001077E3">
        <w:t>and 2015–16 prices. For years two to five, the X factors are the binding means of adjusting prices (under the weighted average price c</w:t>
      </w:r>
      <w:r>
        <w:t>ap tariff variation mechanism).</w:t>
      </w:r>
    </w:p>
  </w:footnote>
  <w:footnote w:id="36">
    <w:p w:rsidR="00BC3F1E" w:rsidRDefault="00BC3F1E">
      <w:pPr>
        <w:pStyle w:val="FootnoteText"/>
      </w:pPr>
      <w:r>
        <w:rPr>
          <w:rStyle w:val="FootnoteReference"/>
        </w:rPr>
        <w:footnoteRef/>
      </w:r>
      <w:r>
        <w:t xml:space="preserve"> </w:t>
      </w:r>
      <w:r>
        <w:tab/>
      </w:r>
      <w:r w:rsidRPr="001077E3">
        <w:t xml:space="preserve">We have used a vanilla WACC form to undertake this smoothing, instead of the pre-tax WACC proposed by JGN. As noted in the draft decision, we considered this issue in conjunction with a broader review of the standard PTRM template used by all electricity network service providers. Using the vanilla WACC aligns JGN with our standard approach and reflects the appropriate basis for adjusting smoothed revenue across years. AER, </w:t>
      </w:r>
      <w:r w:rsidRPr="001077E3">
        <w:rPr>
          <w:rStyle w:val="AERtextitalic"/>
        </w:rPr>
        <w:t>Draft decision, Jemena Gas Networks (NSW) Ltd Access arrangement 2015-20, Overview</w:t>
      </w:r>
      <w:r>
        <w:t>, November 2014, p. </w:t>
      </w:r>
      <w:r w:rsidRPr="001077E3">
        <w:t>26 (footnote</w:t>
      </w:r>
      <w:r>
        <w:t> </w:t>
      </w:r>
      <w:r w:rsidRPr="001077E3">
        <w:t xml:space="preserve">54); and AER, </w:t>
      </w:r>
      <w:r w:rsidRPr="001077E3">
        <w:rPr>
          <w:rStyle w:val="AERtextitalic"/>
        </w:rPr>
        <w:t>Final decision, Amendment, Electricity transmission and distribution network service providers, Post-tax revenue models (version 3)</w:t>
      </w:r>
      <w:r>
        <w:t>, 29 January 2015, pp. 17–18.</w:t>
      </w:r>
    </w:p>
  </w:footnote>
  <w:footnote w:id="37">
    <w:p w:rsidR="00BC3F1E" w:rsidRDefault="00BC3F1E">
      <w:pPr>
        <w:pStyle w:val="FootnoteText"/>
      </w:pPr>
      <w:r>
        <w:rPr>
          <w:rStyle w:val="FootnoteReference"/>
        </w:rPr>
        <w:footnoteRef/>
      </w:r>
      <w:r>
        <w:t xml:space="preserve"> </w:t>
      </w:r>
      <w:r>
        <w:tab/>
        <w:t xml:space="preserve">In JGN's revised proposal, the X factors for 2016–17, 2017–18, and 2018–19 were 8.24 per cent (not 8.27 per cent). </w:t>
      </w:r>
      <w:r w:rsidRPr="004E1372">
        <w:t xml:space="preserve">JGN updated its proposed </w:t>
      </w:r>
      <w:r>
        <w:t xml:space="preserve">X factors </w:t>
      </w:r>
      <w:r w:rsidRPr="004E1372">
        <w:t xml:space="preserve">after the submission of its revised proposal. JGN, </w:t>
      </w:r>
      <w:r w:rsidRPr="004E1372">
        <w:rPr>
          <w:rStyle w:val="AERtextitalic"/>
        </w:rPr>
        <w:t>Submissions on draft decision,</w:t>
      </w:r>
      <w:r w:rsidRPr="004E1372">
        <w:t xml:space="preserve"> </w:t>
      </w:r>
      <w:r w:rsidRPr="004E1372">
        <w:rPr>
          <w:rStyle w:val="AERtextitalic"/>
        </w:rPr>
        <w:t>Attachment N - updated appendix 10.1 - JGN revenue forecast model</w:t>
      </w:r>
      <w:r w:rsidRPr="004E1372">
        <w:t>, 27 March 2015</w:t>
      </w:r>
      <w:r>
        <w:t>.</w:t>
      </w:r>
    </w:p>
  </w:footnote>
  <w:footnote w:id="38">
    <w:p w:rsidR="00BC3F1E" w:rsidRDefault="00BC3F1E">
      <w:pPr>
        <w:pStyle w:val="FootnoteText"/>
      </w:pPr>
      <w:r>
        <w:rPr>
          <w:rStyle w:val="FootnoteReference"/>
        </w:rPr>
        <w:footnoteRef/>
      </w:r>
      <w:r>
        <w:t xml:space="preserve"> </w:t>
      </w:r>
      <w:r>
        <w:tab/>
      </w:r>
      <w:r w:rsidRPr="001077E3">
        <w:t xml:space="preserve">JGN also suggested that an alternative tariff path with a decrease in the fifth year would also be acceptable. JGN, </w:t>
      </w:r>
      <w:r w:rsidRPr="00CD1A33">
        <w:rPr>
          <w:rStyle w:val="AERtextitalic"/>
        </w:rPr>
        <w:t>Response to the AER's draft decision and revised proposal</w:t>
      </w:r>
      <w:r>
        <w:t>, February 2015, p. 112.</w:t>
      </w:r>
    </w:p>
  </w:footnote>
  <w:footnote w:id="39">
    <w:p w:rsidR="00BC3F1E" w:rsidRDefault="00BC3F1E">
      <w:pPr>
        <w:pStyle w:val="FootnoteText"/>
      </w:pPr>
      <w:r>
        <w:rPr>
          <w:rStyle w:val="FootnoteReference"/>
        </w:rPr>
        <w:footnoteRef/>
      </w:r>
      <w:r>
        <w:t xml:space="preserve"> </w:t>
      </w:r>
      <w:r>
        <w:tab/>
      </w:r>
      <w:r w:rsidRPr="001077E3">
        <w:t>In JGN’s revised proposal, the difference between unsmoothed and smoothed revenu</w:t>
      </w:r>
      <w:r>
        <w:t>e in 2019–20 was 11.8 per cent.</w:t>
      </w:r>
    </w:p>
  </w:footnote>
  <w:footnote w:id="40">
    <w:p w:rsidR="00BC3F1E" w:rsidRDefault="00BC3F1E">
      <w:pPr>
        <w:pStyle w:val="FootnoteText"/>
      </w:pPr>
      <w:r>
        <w:rPr>
          <w:rStyle w:val="FootnoteReference"/>
        </w:rPr>
        <w:footnoteRef/>
      </w:r>
      <w:r>
        <w:t xml:space="preserve"> </w:t>
      </w:r>
      <w:r>
        <w:tab/>
      </w:r>
      <w:r w:rsidRPr="001077E3">
        <w:t>It uses inflation outcomes for the 2010–14 period, and es</w:t>
      </w:r>
      <w:r>
        <w:t>timated inflation from 2014–20.</w:t>
      </w:r>
    </w:p>
  </w:footnote>
  <w:footnote w:id="41">
    <w:p w:rsidR="00BC3F1E" w:rsidRDefault="00BC3F1E">
      <w:pPr>
        <w:pStyle w:val="FootnoteText"/>
      </w:pPr>
      <w:r>
        <w:rPr>
          <w:rStyle w:val="FootnoteReference"/>
        </w:rPr>
        <w:footnoteRef/>
      </w:r>
      <w:r>
        <w:t xml:space="preserve"> </w:t>
      </w:r>
      <w:r>
        <w:tab/>
        <w:t>NGL, ss. 23, 24.</w:t>
      </w:r>
    </w:p>
  </w:footnote>
  <w:footnote w:id="42">
    <w:p w:rsidR="00BC3F1E" w:rsidRDefault="00BC3F1E">
      <w:pPr>
        <w:pStyle w:val="FootnoteText"/>
      </w:pPr>
      <w:r>
        <w:rPr>
          <w:rStyle w:val="FootnoteReference"/>
        </w:rPr>
        <w:footnoteRef/>
      </w:r>
      <w:r>
        <w:t xml:space="preserve"> </w:t>
      </w:r>
      <w:r>
        <w:tab/>
        <w:t>W</w:t>
      </w:r>
      <w:r w:rsidRPr="001077E3">
        <w:t>e recognise there is uncertainty around the e</w:t>
      </w:r>
      <w:r>
        <w:t>xact timing of these increases, and this is discussed further below.</w:t>
      </w:r>
    </w:p>
  </w:footnote>
  <w:footnote w:id="43">
    <w:p w:rsidR="00BC3F1E" w:rsidRDefault="00BC3F1E">
      <w:pPr>
        <w:pStyle w:val="FootnoteText"/>
      </w:pPr>
      <w:r>
        <w:rPr>
          <w:rStyle w:val="FootnoteReference"/>
        </w:rPr>
        <w:footnoteRef/>
      </w:r>
      <w:r>
        <w:t xml:space="preserve"> </w:t>
      </w:r>
      <w:r>
        <w:tab/>
      </w:r>
      <w:r w:rsidRPr="001077E3">
        <w:t xml:space="preserve">JGN, </w:t>
      </w:r>
      <w:r w:rsidRPr="00784189">
        <w:rPr>
          <w:rStyle w:val="AERtextitalic"/>
        </w:rPr>
        <w:t>Response to the AER's draft decision and revised proposal</w:t>
      </w:r>
      <w:r>
        <w:t>, February 2015, p. 110.</w:t>
      </w:r>
    </w:p>
  </w:footnote>
  <w:footnote w:id="44">
    <w:p w:rsidR="00BC3F1E" w:rsidRDefault="00BC3F1E">
      <w:pPr>
        <w:pStyle w:val="FootnoteText"/>
      </w:pPr>
      <w:r>
        <w:rPr>
          <w:rStyle w:val="FootnoteReference"/>
        </w:rPr>
        <w:footnoteRef/>
      </w:r>
      <w:r>
        <w:t xml:space="preserve"> </w:t>
      </w:r>
      <w:r>
        <w:tab/>
      </w:r>
      <w:r w:rsidRPr="001077E3">
        <w:t xml:space="preserve">JGN, </w:t>
      </w:r>
      <w:r w:rsidRPr="00784189">
        <w:rPr>
          <w:rStyle w:val="AERtextitalic"/>
        </w:rPr>
        <w:t>Response to the AER's draft decision and revised proposal</w:t>
      </w:r>
      <w:r>
        <w:t>, February 2015, pp. 108–110.</w:t>
      </w:r>
    </w:p>
  </w:footnote>
  <w:footnote w:id="45">
    <w:p w:rsidR="00BC3F1E" w:rsidRDefault="00BC3F1E">
      <w:pPr>
        <w:pStyle w:val="FootnoteText"/>
      </w:pPr>
      <w:r>
        <w:rPr>
          <w:rStyle w:val="FootnoteReference"/>
        </w:rPr>
        <w:footnoteRef/>
      </w:r>
      <w:r>
        <w:t xml:space="preserve"> </w:t>
      </w:r>
      <w:r>
        <w:tab/>
        <w:t xml:space="preserve">AER, </w:t>
      </w:r>
      <w:r w:rsidRPr="00C43D34">
        <w:rPr>
          <w:rStyle w:val="AERtextitalic"/>
        </w:rPr>
        <w:t>Draft decision, Jemena Gas Networks (NSW) Ltd, Access arrangement 2015–20, Overview</w:t>
      </w:r>
      <w:r>
        <w:t>, November 2014, pp. 30–31.</w:t>
      </w:r>
    </w:p>
  </w:footnote>
  <w:footnote w:id="46">
    <w:p w:rsidR="00BC3F1E" w:rsidRDefault="00BC3F1E">
      <w:pPr>
        <w:pStyle w:val="FootnoteText"/>
      </w:pPr>
      <w:r>
        <w:rPr>
          <w:rStyle w:val="FootnoteReference"/>
        </w:rPr>
        <w:footnoteRef/>
      </w:r>
      <w:r>
        <w:t xml:space="preserve"> </w:t>
      </w:r>
      <w:r>
        <w:tab/>
      </w:r>
      <w:r w:rsidRPr="00C43D34">
        <w:t xml:space="preserve">JGN’s revised proposal (and consultation with customers) is predicated on equal wholesale gas price increases in 2016–17, 2017–18 and 2018–19, each directly impacting retail prices in that year. In contrast, JGN’s demand forecast predicts the same total increase and direct effect on retail prices but in just </w:t>
      </w:r>
      <w:r>
        <w:t>two years, 2016–17 and 2017–18</w:t>
      </w:r>
      <w:r w:rsidRPr="00C43D34">
        <w:t>.</w:t>
      </w:r>
    </w:p>
  </w:footnote>
  <w:footnote w:id="47">
    <w:p w:rsidR="00BC3F1E" w:rsidRDefault="00BC3F1E">
      <w:pPr>
        <w:pStyle w:val="FootnoteText"/>
      </w:pPr>
      <w:r>
        <w:rPr>
          <w:rStyle w:val="FootnoteReference"/>
        </w:rPr>
        <w:footnoteRef/>
      </w:r>
      <w:r>
        <w:t xml:space="preserve"> </w:t>
      </w:r>
      <w:r>
        <w:tab/>
      </w:r>
      <w:r w:rsidRPr="00C43D34">
        <w:t>One particular point of uncertainty is whether wholesale gas price increases will increase retail prices in 2018–19. Our tariff path still includes a real decrease in distribution tariffs to mitigate such a rise in 2018</w:t>
      </w:r>
      <w:r>
        <w:t>–</w:t>
      </w:r>
      <w:r w:rsidRPr="00C43D34">
        <w:t>19, but the decrease is of smaller magnitude than th</w:t>
      </w:r>
      <w:r>
        <w:t>at in JGN's revised proposal.</w:t>
      </w:r>
    </w:p>
  </w:footnote>
  <w:footnote w:id="48">
    <w:p w:rsidR="00BC3F1E" w:rsidRDefault="00BC3F1E" w:rsidP="007F1411">
      <w:pPr>
        <w:pStyle w:val="FootnoteText"/>
      </w:pPr>
      <w:r>
        <w:rPr>
          <w:rStyle w:val="FootnoteReference"/>
        </w:rPr>
        <w:footnoteRef/>
      </w:r>
      <w:r>
        <w:t xml:space="preserve"> </w:t>
      </w:r>
      <w:r>
        <w:tab/>
      </w:r>
      <w:r w:rsidRPr="001077E3">
        <w:t xml:space="preserve">JGN, </w:t>
      </w:r>
      <w:r w:rsidRPr="00784189">
        <w:rPr>
          <w:rStyle w:val="AERtextitalic"/>
        </w:rPr>
        <w:t>Response to the AER's draft decision and revised proposal</w:t>
      </w:r>
      <w:r>
        <w:t>, February 2015, pp. 108–110.</w:t>
      </w:r>
    </w:p>
  </w:footnote>
  <w:footnote w:id="49">
    <w:p w:rsidR="00BC3F1E" w:rsidRDefault="00BC3F1E">
      <w:pPr>
        <w:pStyle w:val="FootnoteText"/>
      </w:pPr>
      <w:r>
        <w:rPr>
          <w:rStyle w:val="FootnoteReference"/>
        </w:rPr>
        <w:footnoteRef/>
      </w:r>
      <w:r>
        <w:t xml:space="preserve"> </w:t>
      </w:r>
      <w:r>
        <w:tab/>
      </w:r>
      <w:r w:rsidRPr="001077E3">
        <w:t xml:space="preserve">JGN, </w:t>
      </w:r>
      <w:r w:rsidRPr="00784189">
        <w:rPr>
          <w:rStyle w:val="AERtextitalic"/>
        </w:rPr>
        <w:t>Response to the AER's draft decision and revised proposal</w:t>
      </w:r>
      <w:r>
        <w:t>, February 2015, pp. 108–110. Note that the current access arrangement period submission costs are relevant to the comparison, since the following period submission costs will be included in the smoothing for the next period.</w:t>
      </w:r>
    </w:p>
  </w:footnote>
  <w:footnote w:id="50">
    <w:p w:rsidR="00BC3F1E" w:rsidRDefault="00BC3F1E">
      <w:pPr>
        <w:pStyle w:val="FootnoteText"/>
      </w:pPr>
      <w:r>
        <w:rPr>
          <w:rStyle w:val="FootnoteReference"/>
        </w:rPr>
        <w:footnoteRef/>
      </w:r>
      <w:r>
        <w:t xml:space="preserve"> </w:t>
      </w:r>
      <w:r>
        <w:tab/>
        <w:t>As a rough indicator, such a difference would require real increases of approximately 7 per cent every year of the next access arrangement period. This would have a larger impact on residential retail prices (approximately 3.5 per cent increases every year for five years) than the expected wholesale gas price increases in the 2015–20 access arrangement period (approximately 3 per cent increases every year for three years). This broad comparison is based on figures from the 2015–20 access arrangement period (particularly the discount rate and rate of change of unsmoothed building blocks).</w:t>
      </w:r>
    </w:p>
  </w:footnote>
  <w:footnote w:id="51">
    <w:p w:rsidR="00BC3F1E" w:rsidRDefault="00BC3F1E">
      <w:pPr>
        <w:pStyle w:val="FootnoteText"/>
      </w:pPr>
      <w:r>
        <w:rPr>
          <w:rStyle w:val="FootnoteReference"/>
        </w:rPr>
        <w:footnoteRef/>
      </w:r>
      <w:r>
        <w:t xml:space="preserve"> </w:t>
      </w:r>
      <w:r>
        <w:tab/>
        <w:t>In our draft decision, we constrained this difference to be within 3 per cent.</w:t>
      </w:r>
    </w:p>
  </w:footnote>
  <w:footnote w:id="52">
    <w:p w:rsidR="00BC3F1E" w:rsidRDefault="00BC3F1E">
      <w:pPr>
        <w:pStyle w:val="FootnoteText"/>
      </w:pPr>
      <w:r>
        <w:rPr>
          <w:rStyle w:val="FootnoteReference"/>
        </w:rPr>
        <w:footnoteRef/>
      </w:r>
      <w:r>
        <w:t xml:space="preserve"> </w:t>
      </w:r>
      <w:r>
        <w:tab/>
        <w:t xml:space="preserve">This process is discussed in more detail in AER, </w:t>
      </w:r>
      <w:r w:rsidRPr="00556470">
        <w:rPr>
          <w:rStyle w:val="AERtextitalic"/>
        </w:rPr>
        <w:t>Draft decision, Jemena Gas Networks (NSW) Ltd, Access arrangement 2015–20, Overview,</w:t>
      </w:r>
      <w:r>
        <w:t xml:space="preserve"> November 2014, pp. 29–31.</w:t>
      </w:r>
    </w:p>
  </w:footnote>
  <w:footnote w:id="53">
    <w:p w:rsidR="00BC3F1E" w:rsidRDefault="00BC3F1E">
      <w:pPr>
        <w:pStyle w:val="FootnoteText"/>
      </w:pPr>
      <w:r>
        <w:rPr>
          <w:rStyle w:val="FootnoteReference"/>
        </w:rPr>
        <w:footnoteRef/>
      </w:r>
      <w:r>
        <w:t xml:space="preserve"> </w:t>
      </w:r>
      <w:r>
        <w:tab/>
      </w:r>
      <w:r w:rsidRPr="00011C7C">
        <w:t xml:space="preserve">IPART, </w:t>
      </w:r>
      <w:r w:rsidRPr="00011C7C">
        <w:rPr>
          <w:rStyle w:val="AERtextitalic"/>
        </w:rPr>
        <w:t>Changes in regulated retail gas prices from 1 July 2014</w:t>
      </w:r>
      <w:r w:rsidRPr="00011C7C">
        <w:t>, June 2014 p.</w:t>
      </w:r>
      <w:r>
        <w:t> </w:t>
      </w:r>
      <w:r w:rsidRPr="00011C7C">
        <w:t>17</w:t>
      </w:r>
      <w:r>
        <w:t>.</w:t>
      </w:r>
    </w:p>
  </w:footnote>
  <w:footnote w:id="54">
    <w:p w:rsidR="00BC3F1E" w:rsidRDefault="00BC3F1E">
      <w:pPr>
        <w:pStyle w:val="FootnoteText"/>
      </w:pPr>
      <w:r>
        <w:rPr>
          <w:rStyle w:val="FootnoteReference"/>
        </w:rPr>
        <w:footnoteRef/>
      </w:r>
      <w:r>
        <w:t xml:space="preserve"> </w:t>
      </w:r>
      <w:r>
        <w:tab/>
        <w:t xml:space="preserve">We have adopted wholesale gas price forecast presented in JGN's revised access arrangement proposal. JGN, </w:t>
      </w:r>
      <w:r w:rsidRPr="003424EB">
        <w:rPr>
          <w:rStyle w:val="AERtextitalic"/>
        </w:rPr>
        <w:t>Revised access arrangement proposal</w:t>
      </w:r>
      <w:r>
        <w:t>, February 2015, pp. xx–xxi and pp. 107–110. Note that figure OV-2 (on page xxi) shows JGN's forecast wholesale gas prices increasing in 2015–16, 2016–17 and 2017–18. This appears to be in error, as JGN forecasts the increases to occur one year later than this.</w:t>
      </w:r>
    </w:p>
  </w:footnote>
  <w:footnote w:id="55">
    <w:p w:rsidR="00BC3F1E" w:rsidRDefault="00BC3F1E" w:rsidP="00781281">
      <w:pPr>
        <w:pStyle w:val="FootnoteText"/>
      </w:pPr>
      <w:r>
        <w:rPr>
          <w:rStyle w:val="FootnoteReference"/>
        </w:rPr>
        <w:footnoteRef/>
      </w:r>
      <w:r>
        <w:t xml:space="preserve"> </w:t>
      </w:r>
      <w:r>
        <w:tab/>
        <w:t xml:space="preserve">In our modelling of the indicative retail bill impact we use the information from </w:t>
      </w:r>
      <w:r w:rsidRPr="00985871">
        <w:t xml:space="preserve">IPART, </w:t>
      </w:r>
      <w:r w:rsidRPr="00985871">
        <w:rPr>
          <w:rStyle w:val="AERtextitalic"/>
        </w:rPr>
        <w:t>Fact sheet – Removing carbon costs from regulated gas prices</w:t>
      </w:r>
      <w:r w:rsidRPr="00985871">
        <w:t>, 15 August</w:t>
      </w:r>
      <w:r>
        <w:t xml:space="preserve"> 2014</w:t>
      </w:r>
      <w:r w:rsidRPr="00985871">
        <w:t xml:space="preserve"> </w:t>
      </w:r>
      <w:r>
        <w:t xml:space="preserve">to derive the starting annual bill in 2014–15. We escalated the forecast distribution network bill component based on the weighted average price change using the CPI–X formula each year. We escalated the wholesale gas bill component based on JGN's forecast year-on-year increases in the wholesale gas price. </w:t>
      </w:r>
      <w:r w:rsidRPr="00B92532">
        <w:t xml:space="preserve">We kept all </w:t>
      </w:r>
      <w:r>
        <w:t xml:space="preserve">other </w:t>
      </w:r>
      <w:r w:rsidRPr="00B92532">
        <w:t xml:space="preserve">components of the retail bill </w:t>
      </w:r>
      <w:r>
        <w:t>constant.</w:t>
      </w:r>
    </w:p>
  </w:footnote>
  <w:footnote w:id="56">
    <w:p w:rsidR="00BC3F1E" w:rsidRDefault="00BC3F1E" w:rsidP="008E433E">
      <w:pPr>
        <w:pStyle w:val="FootnoteText"/>
      </w:pPr>
      <w:r>
        <w:rPr>
          <w:rStyle w:val="FootnoteReference"/>
        </w:rPr>
        <w:footnoteRef/>
      </w:r>
      <w:r>
        <w:t xml:space="preserve"> </w:t>
      </w:r>
      <w:r>
        <w:tab/>
      </w:r>
      <w:hyperlink r:id="rId2" w:history="1">
        <w:r w:rsidRPr="00C41950">
          <w:rPr>
            <w:rStyle w:val="Hyperlink"/>
            <w:color w:val="auto"/>
            <w:sz w:val="16"/>
            <w:u w:val="none"/>
          </w:rPr>
          <w:t>http://www.aer.gov.au/Better-regulation</w:t>
        </w:r>
      </w:hyperlink>
    </w:p>
  </w:footnote>
  <w:footnote w:id="57">
    <w:p w:rsidR="00BC3F1E" w:rsidRDefault="00BC3F1E" w:rsidP="00D52BCC">
      <w:pPr>
        <w:pStyle w:val="FootnoteText"/>
      </w:pPr>
      <w:r>
        <w:rPr>
          <w:rStyle w:val="FootnoteReference"/>
        </w:rPr>
        <w:footnoteRef/>
      </w:r>
      <w:r w:rsidR="009052E2">
        <w:t xml:space="preserve"> </w:t>
      </w:r>
      <w:r w:rsidR="009052E2">
        <w:tab/>
        <w:t>NGR, rr.</w:t>
      </w:r>
      <w:r>
        <w:t xml:space="preserve"> 72, 77, 78 and 90.</w:t>
      </w:r>
    </w:p>
  </w:footnote>
  <w:footnote w:id="58">
    <w:p w:rsidR="00BC3F1E" w:rsidRDefault="00BC3F1E">
      <w:pPr>
        <w:pStyle w:val="FootnoteText"/>
      </w:pPr>
      <w:r>
        <w:rPr>
          <w:rStyle w:val="FootnoteReference"/>
        </w:rPr>
        <w:footnoteRef/>
      </w:r>
      <w:r>
        <w:t xml:space="preserve"> </w:t>
      </w:r>
      <w:r>
        <w:tab/>
      </w:r>
      <w:r w:rsidRPr="00480731">
        <w:t>The term 'roll forward' means the process of carrying over the value of the capital base from one regulatory year to the next. The opening capital base value for a regulatory year within the access arrangement period is rolled forward by indexing</w:t>
      </w:r>
      <w:r>
        <w:t xml:space="preserve"> it for inflation, adding any conforming capex, and subtracting depreciation and other possible factors (for example, disposals or customer contributions).</w:t>
      </w:r>
      <w:r w:rsidRPr="00145A6D">
        <w:t xml:space="preserve"> </w:t>
      </w:r>
      <w:r>
        <w:t>Following this process, the AER arrives at a closing value of the capital base at the end of the relevant year.</w:t>
      </w:r>
    </w:p>
  </w:footnote>
  <w:footnote w:id="59">
    <w:p w:rsidR="00BC3F1E" w:rsidRDefault="00BC3F1E">
      <w:pPr>
        <w:pStyle w:val="FootnoteText"/>
      </w:pPr>
      <w:r>
        <w:rPr>
          <w:rStyle w:val="FootnoteReference"/>
        </w:rPr>
        <w:footnoteRef/>
      </w:r>
      <w:r>
        <w:t xml:space="preserve"> </w:t>
      </w:r>
      <w:r>
        <w:tab/>
      </w:r>
      <w:r w:rsidRPr="00C43639">
        <w:t xml:space="preserve">JGN updated its proposed </w:t>
      </w:r>
      <w:r>
        <w:t xml:space="preserve">capital base </w:t>
      </w:r>
      <w:r w:rsidRPr="00C43639">
        <w:t xml:space="preserve">projection after the submission of its revised proposal. JGN, Submissions on draft decision, </w:t>
      </w:r>
      <w:r w:rsidRPr="00C43639">
        <w:rPr>
          <w:rStyle w:val="AERtextitalic"/>
        </w:rPr>
        <w:t>Attachment N - updated appendix 10.1 - JGN revenue forecast model</w:t>
      </w:r>
      <w:r w:rsidRPr="00C43639">
        <w:t>, 27 March 2015.</w:t>
      </w:r>
    </w:p>
  </w:footnote>
  <w:footnote w:id="60">
    <w:p w:rsidR="00BC3F1E" w:rsidRDefault="00BC3F1E" w:rsidP="00D52BCC">
      <w:pPr>
        <w:pStyle w:val="FootnoteText"/>
      </w:pPr>
      <w:r>
        <w:rPr>
          <w:rStyle w:val="FootnoteReference"/>
        </w:rPr>
        <w:footnoteRef/>
      </w:r>
      <w:r>
        <w:t xml:space="preserve"> </w:t>
      </w:r>
      <w:r>
        <w:tab/>
      </w:r>
      <w:r w:rsidRPr="00E95D4B">
        <w:t>We approve JGN's proposal to use forecast depreciation to roll forward the capital base across 2015–20 at the next access arrangement decision.</w:t>
      </w:r>
    </w:p>
  </w:footnote>
  <w:footnote w:id="61">
    <w:p w:rsidR="00BC3F1E" w:rsidRDefault="00BC3F1E">
      <w:pPr>
        <w:pStyle w:val="FootnoteText"/>
      </w:pPr>
      <w:r>
        <w:rPr>
          <w:rStyle w:val="FootnoteReference"/>
        </w:rPr>
        <w:footnoteRef/>
      </w:r>
      <w:r>
        <w:t xml:space="preserve"> </w:t>
      </w:r>
      <w:r>
        <w:tab/>
        <w:t xml:space="preserve">NGR, r. 87(1).  </w:t>
      </w:r>
    </w:p>
  </w:footnote>
  <w:footnote w:id="62">
    <w:p w:rsidR="00BC3F1E" w:rsidRDefault="00BC3F1E">
      <w:pPr>
        <w:pStyle w:val="FootnoteText"/>
      </w:pPr>
      <w:r>
        <w:rPr>
          <w:rStyle w:val="FootnoteReference"/>
        </w:rPr>
        <w:footnoteRef/>
      </w:r>
      <w:r>
        <w:t xml:space="preserve"> </w:t>
      </w:r>
      <w:r>
        <w:tab/>
        <w:t>NGR, r. 87(3).</w:t>
      </w:r>
    </w:p>
  </w:footnote>
  <w:footnote w:id="63">
    <w:p w:rsidR="00BC3F1E" w:rsidRDefault="00BC3F1E">
      <w:pPr>
        <w:pStyle w:val="FootnoteText"/>
      </w:pPr>
      <w:r>
        <w:rPr>
          <w:rStyle w:val="FootnoteReference"/>
        </w:rPr>
        <w:footnoteRef/>
      </w:r>
      <w:r>
        <w:t xml:space="preserve"> </w:t>
      </w:r>
      <w:r>
        <w:tab/>
        <w:t xml:space="preserve">The nominal vanilla rate of return formula combines a post-tax return on equity and pre-tax return on debt, for consistency with other building blocks.  </w:t>
      </w:r>
    </w:p>
  </w:footnote>
  <w:footnote w:id="64">
    <w:p w:rsidR="00BC3F1E" w:rsidRDefault="00BC3F1E">
      <w:pPr>
        <w:pStyle w:val="FootnoteText"/>
      </w:pPr>
      <w:r>
        <w:rPr>
          <w:rStyle w:val="FootnoteReference"/>
        </w:rPr>
        <w:footnoteRef/>
      </w:r>
      <w:r>
        <w:t xml:space="preserve"> </w:t>
      </w:r>
      <w:r>
        <w:tab/>
      </w:r>
      <w:r w:rsidRPr="00040608">
        <w:t xml:space="preserve">JGN's revised proposal contained indicative values based on an indicative averaging periods for risk free rate and return on debt. On 27 March 2015 JGN provided submissions that updated its approach using values derived from its proposed averaging periods. JGN's proposed rate of 7.06 per cent is from JGN, </w:t>
      </w:r>
      <w:r w:rsidRPr="00040608">
        <w:rPr>
          <w:rStyle w:val="AERtextitalic"/>
        </w:rPr>
        <w:t>Submission on draft decision–Attachment M: updated appendix 7.15–rate of return forecast model</w:t>
      </w:r>
      <w:r w:rsidRPr="00040608">
        <w:t>, 27 March 2015.</w:t>
      </w:r>
    </w:p>
  </w:footnote>
  <w:footnote w:id="65">
    <w:p w:rsidR="00BC3F1E" w:rsidRDefault="00BC3F1E">
      <w:pPr>
        <w:pStyle w:val="FootnoteText"/>
      </w:pPr>
      <w:r>
        <w:rPr>
          <w:rStyle w:val="FootnoteReference"/>
        </w:rPr>
        <w:footnoteRef/>
      </w:r>
      <w:r>
        <w:t xml:space="preserve"> </w:t>
      </w:r>
      <w:r>
        <w:tab/>
        <w:t xml:space="preserve">NGR, r. 87(9)(b).  </w:t>
      </w:r>
    </w:p>
  </w:footnote>
  <w:footnote w:id="66">
    <w:p w:rsidR="009052E2" w:rsidRDefault="009052E2">
      <w:pPr>
        <w:pStyle w:val="FootnoteText"/>
      </w:pPr>
      <w:r>
        <w:rPr>
          <w:rStyle w:val="FootnoteReference"/>
        </w:rPr>
        <w:footnoteRef/>
      </w:r>
      <w:r>
        <w:t xml:space="preserve"> </w:t>
      </w:r>
      <w:r>
        <w:tab/>
        <w:t>NGR, r. 87(2).</w:t>
      </w:r>
    </w:p>
  </w:footnote>
  <w:footnote w:id="67">
    <w:p w:rsidR="00BC3F1E" w:rsidRDefault="00BC3F1E" w:rsidP="00376056">
      <w:pPr>
        <w:pStyle w:val="FootnoteText"/>
      </w:pPr>
      <w:r>
        <w:rPr>
          <w:rStyle w:val="FootnoteReference"/>
        </w:rPr>
        <w:footnoteRef/>
      </w:r>
      <w:r>
        <w:t xml:space="preserve"> </w:t>
      </w:r>
      <w:r>
        <w:tab/>
        <w:t xml:space="preserve">ENA, </w:t>
      </w:r>
      <w:r w:rsidRPr="00DC34B0">
        <w:rPr>
          <w:rStyle w:val="AERtextitalic"/>
        </w:rPr>
        <w:t>Response to the Draft Rate of Return Guideline of the AER</w:t>
      </w:r>
      <w:r>
        <w:t xml:space="preserve">, 11 October 2013, p. 1; AER, </w:t>
      </w:r>
      <w:r w:rsidRPr="00DC34B0">
        <w:rPr>
          <w:rStyle w:val="AERtextitalic"/>
        </w:rPr>
        <w:t>Better regulation: Explanatory statement Rate of Return Guideline, Appendices</w:t>
      </w:r>
      <w:r>
        <w:t>, December 2013, Appendix I, Table I.4, pp. 185</w:t>
      </w:r>
      <w:r>
        <w:rPr>
          <w:rFonts w:cs="Arial"/>
        </w:rPr>
        <w:t>−</w:t>
      </w:r>
      <w:r>
        <w:t>186.</w:t>
      </w:r>
    </w:p>
  </w:footnote>
  <w:footnote w:id="68">
    <w:p w:rsidR="009052E2" w:rsidRDefault="009052E2">
      <w:pPr>
        <w:pStyle w:val="FootnoteText"/>
      </w:pPr>
      <w:r>
        <w:rPr>
          <w:rStyle w:val="FootnoteReference"/>
        </w:rPr>
        <w:footnoteRef/>
      </w:r>
      <w:r>
        <w:t xml:space="preserve"> </w:t>
      </w:r>
      <w:r>
        <w:tab/>
        <w:t>NGR, r. 87(13).</w:t>
      </w:r>
    </w:p>
  </w:footnote>
  <w:footnote w:id="69">
    <w:p w:rsidR="009052E2" w:rsidRDefault="009052E2" w:rsidP="009052E2">
      <w:pPr>
        <w:pStyle w:val="FootnoteText"/>
      </w:pPr>
      <w:r>
        <w:rPr>
          <w:rStyle w:val="FootnoteReference"/>
        </w:rPr>
        <w:footnoteRef/>
      </w:r>
      <w:r>
        <w:t xml:space="preserve"> </w:t>
      </w:r>
      <w:r>
        <w:tab/>
      </w:r>
      <w:hyperlink r:id="rId3" w:history="1">
        <w:r w:rsidRPr="009052E2">
          <w:rPr>
            <w:rStyle w:val="Hyperlink"/>
            <w:color w:val="auto"/>
            <w:sz w:val="16"/>
            <w:u w:val="none"/>
          </w:rPr>
          <w:t>http://www.aer.gov.au/node/18859</w:t>
        </w:r>
      </w:hyperlink>
    </w:p>
  </w:footnote>
  <w:footnote w:id="70">
    <w:p w:rsidR="00BC3F1E" w:rsidRDefault="00BC3F1E" w:rsidP="00F97562">
      <w:pPr>
        <w:pStyle w:val="FootnoteText"/>
      </w:pPr>
      <w:r>
        <w:rPr>
          <w:rStyle w:val="FootnoteReference"/>
        </w:rPr>
        <w:footnoteRef/>
      </w:r>
      <w:r>
        <w:t xml:space="preserve"> </w:t>
      </w:r>
      <w:r>
        <w:tab/>
      </w:r>
      <w:r w:rsidRPr="00EA6DB6">
        <w:t>The 'on-the-day' approach estimates the allowed return on debt based on prevailing interest rates at the start of the access arrangement period. At the next access arrangement decision, the allowed return on debt is reset based on prevailing interest rates at the start of the new access arrangement period. The 'trailing average' approach estimates the allowed return on debt based on interest rates averaged over a moving historical period. Each year, prevailing interest rates from each new year are added to the trailing average, and interest rates from the last year of the trailing average 'fall out' of the trailing average.</w:t>
      </w:r>
    </w:p>
  </w:footnote>
  <w:footnote w:id="71">
    <w:p w:rsidR="00BC3F1E" w:rsidRDefault="00BC3F1E" w:rsidP="00F97562">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 13; John Handley, </w:t>
      </w:r>
      <w:r w:rsidRPr="00450C4F">
        <w:rPr>
          <w:rStyle w:val="AERtextitalic"/>
        </w:rPr>
        <w:t>Advice on return on equity, Report prepared for the AER</w:t>
      </w:r>
      <w:r>
        <w:t>, October 2014, p. 3.</w:t>
      </w:r>
    </w:p>
  </w:footnote>
  <w:footnote w:id="72">
    <w:p w:rsidR="00BC3F1E" w:rsidRDefault="00BC3F1E" w:rsidP="00F97562">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73">
    <w:p w:rsidR="00BC3F1E" w:rsidRDefault="00BC3F1E" w:rsidP="00410D4D">
      <w:pPr>
        <w:pStyle w:val="FootnoteText"/>
      </w:pPr>
      <w:r>
        <w:rPr>
          <w:rStyle w:val="FootnoteReference"/>
        </w:rPr>
        <w:footnoteRef/>
      </w:r>
      <w:r>
        <w:t xml:space="preserve"> </w:t>
      </w:r>
      <w:r>
        <w:tab/>
        <w:t>NGR, r. 87(5)(a).</w:t>
      </w:r>
    </w:p>
  </w:footnote>
  <w:footnote w:id="74">
    <w:p w:rsidR="00BC3F1E" w:rsidRDefault="00BC3F1E" w:rsidP="00F97562">
      <w:pPr>
        <w:pStyle w:val="FootnoteText"/>
      </w:pPr>
      <w:r>
        <w:rPr>
          <w:rStyle w:val="FootnoteReference"/>
        </w:rPr>
        <w:footnoteRef/>
      </w:r>
      <w:r>
        <w:t xml:space="preserve"> </w:t>
      </w:r>
      <w:r>
        <w:tab/>
      </w:r>
      <w:r w:rsidRPr="00E5005D">
        <w:t xml:space="preserve">Grant Samuel, </w:t>
      </w:r>
      <w:r w:rsidRPr="00E5005D">
        <w:rPr>
          <w:rStyle w:val="AERtextitalic"/>
        </w:rPr>
        <w:t>Envestra: Financial services guide and independent expert’s report</w:t>
      </w:r>
      <w:r w:rsidRPr="00E5005D">
        <w:t>, March 2014, Appendix 3.</w:t>
      </w:r>
    </w:p>
  </w:footnote>
  <w:footnote w:id="75">
    <w:p w:rsidR="00BC3F1E" w:rsidRDefault="00BC3F1E" w:rsidP="00F97562">
      <w:pPr>
        <w:pStyle w:val="FootnoteText"/>
      </w:pPr>
      <w:r>
        <w:rPr>
          <w:rStyle w:val="FootnoteReference"/>
        </w:rPr>
        <w:footnoteRef/>
      </w:r>
      <w:r>
        <w:t xml:space="preserve"> </w:t>
      </w:r>
      <w:r>
        <w:tab/>
        <w:t>ActewAGL, Ausgrid, Directlink, Endeavour Energy, Energex, Ergon Energy, Essential Energy, Jemena Gas Networks, SA Power Networks, TasNetworks, and TransGrid.</w:t>
      </w:r>
    </w:p>
  </w:footnote>
  <w:footnote w:id="76">
    <w:p w:rsidR="00BC3F1E" w:rsidRDefault="00BC3F1E" w:rsidP="00F97562">
      <w:pPr>
        <w:pStyle w:val="FootnoteText"/>
      </w:pPr>
      <w:r>
        <w:rPr>
          <w:rStyle w:val="FootnoteReference"/>
        </w:rPr>
        <w:footnoteRef/>
      </w:r>
      <w:r>
        <w:t xml:space="preserve"> </w:t>
      </w:r>
      <w:r>
        <w:tab/>
        <w:t xml:space="preserve">Energy Users Association of Australia, </w:t>
      </w:r>
      <w:r w:rsidRPr="0039101B">
        <w:rPr>
          <w:rStyle w:val="AERtextitalic"/>
        </w:rPr>
        <w:t>Submission to NSW DNSP Revised Revenue Proposal to AER Draft Determination (2014 to 2019)</w:t>
      </w:r>
      <w:r>
        <w:t>, February 2015, pp. 15–16</w:t>
      </w:r>
      <w:r w:rsidRPr="00E5005D">
        <w:t xml:space="preserve">; Origin Energy, </w:t>
      </w:r>
      <w:r w:rsidRPr="003D19E3">
        <w:rPr>
          <w:rStyle w:val="AERtextitalic"/>
        </w:rPr>
        <w:t>Submission to ActewAGL’s regulatory proposal for 2014–19</w:t>
      </w:r>
      <w:r w:rsidRPr="00E5005D">
        <w:t>, August 2014, p. 4.</w:t>
      </w:r>
    </w:p>
  </w:footnote>
  <w:footnote w:id="77">
    <w:p w:rsidR="00BC3F1E" w:rsidRDefault="00BC3F1E" w:rsidP="001601DF">
      <w:pPr>
        <w:pStyle w:val="FootnoteText"/>
      </w:pPr>
      <w:r>
        <w:rPr>
          <w:rStyle w:val="FootnoteReference"/>
        </w:rPr>
        <w:footnoteRef/>
      </w:r>
      <w:r>
        <w:t xml:space="preserve"> </w:t>
      </w:r>
      <w:r>
        <w:tab/>
      </w:r>
      <w:r w:rsidRPr="00890E69">
        <w:rPr>
          <w:rStyle w:val="AERtextitalic"/>
        </w:rPr>
        <w:t>Income Tax Assessment Act 1997</w:t>
      </w:r>
      <w:r>
        <w:t>, parts 3–6.</w:t>
      </w:r>
    </w:p>
  </w:footnote>
  <w:footnote w:id="78">
    <w:p w:rsidR="00BC3F1E" w:rsidRDefault="00BC3F1E" w:rsidP="001601DF">
      <w:pPr>
        <w:pStyle w:val="FootnoteText"/>
      </w:pPr>
      <w:r>
        <w:rPr>
          <w:rStyle w:val="FootnoteReference"/>
        </w:rPr>
        <w:footnoteRef/>
      </w:r>
      <w:r>
        <w:t xml:space="preserve"> </w:t>
      </w:r>
      <w:r>
        <w:tab/>
        <w:t>NGR, rr 76(c) and 87A.</w:t>
      </w:r>
    </w:p>
  </w:footnote>
  <w:footnote w:id="79">
    <w:p w:rsidR="00BC3F1E" w:rsidRDefault="00BC3F1E" w:rsidP="002D3587">
      <w:pPr>
        <w:pStyle w:val="FootnoteText"/>
      </w:pPr>
      <w:r>
        <w:rPr>
          <w:rStyle w:val="FootnoteReference"/>
        </w:rPr>
        <w:footnoteRef/>
      </w:r>
      <w:r>
        <w:t xml:space="preserve"> </w:t>
      </w:r>
      <w:r>
        <w:tab/>
        <w:t>NGR, rr. 59, 72, 76, 88, 89.</w:t>
      </w:r>
    </w:p>
  </w:footnote>
  <w:footnote w:id="80">
    <w:p w:rsidR="00BC3F1E" w:rsidRDefault="00BC3F1E" w:rsidP="009A5073">
      <w:pPr>
        <w:pStyle w:val="FootnoteText"/>
      </w:pPr>
      <w:r>
        <w:rPr>
          <w:rStyle w:val="FootnoteReference"/>
        </w:rPr>
        <w:footnoteRef/>
      </w:r>
      <w:r>
        <w:t xml:space="preserve"> </w:t>
      </w:r>
      <w:r>
        <w:tab/>
        <w:t>NGR, rr. 40(2), 91.</w:t>
      </w:r>
    </w:p>
  </w:footnote>
  <w:footnote w:id="81">
    <w:p w:rsidR="00BC3F1E" w:rsidRDefault="00BC3F1E" w:rsidP="009A5073">
      <w:pPr>
        <w:pStyle w:val="FootnoteText"/>
      </w:pPr>
      <w:r>
        <w:rPr>
          <w:rStyle w:val="FootnoteReference"/>
        </w:rPr>
        <w:footnoteRef/>
      </w:r>
      <w:r>
        <w:t xml:space="preserve"> </w:t>
      </w:r>
      <w:r>
        <w:tab/>
        <w:t xml:space="preserve">In its revised proposal, JGN proposed total opex of $805.0 million ($2014-15). After submitting its revised proposal it updated its estimate to $808.2 million. </w:t>
      </w:r>
    </w:p>
  </w:footnote>
  <w:footnote w:id="82">
    <w:p w:rsidR="00BC3F1E" w:rsidRDefault="00BC3F1E" w:rsidP="00690B11">
      <w:pPr>
        <w:pStyle w:val="FootnoteText"/>
      </w:pPr>
      <w:r>
        <w:rPr>
          <w:rStyle w:val="FootnoteReference"/>
        </w:rPr>
        <w:footnoteRef/>
      </w:r>
      <w:r>
        <w:t xml:space="preserve"> </w:t>
      </w:r>
      <w:r>
        <w:tab/>
        <w:t>NGR, r. 76(c).</w:t>
      </w:r>
    </w:p>
  </w:footnote>
  <w:footnote w:id="83">
    <w:p w:rsidR="00BC3F1E" w:rsidRDefault="00BC3F1E" w:rsidP="00690B11">
      <w:pPr>
        <w:pStyle w:val="FootnoteText"/>
      </w:pPr>
      <w:r>
        <w:rPr>
          <w:rStyle w:val="FootnoteReference"/>
        </w:rPr>
        <w:footnoteRef/>
      </w:r>
      <w:r>
        <w:t xml:space="preserve"> </w:t>
      </w:r>
      <w:r>
        <w:tab/>
      </w:r>
      <w:r w:rsidRPr="003E63BA">
        <w:t xml:space="preserve">JGN, </w:t>
      </w:r>
      <w:r>
        <w:rPr>
          <w:rStyle w:val="AERtextitalic"/>
        </w:rPr>
        <w:t>Revised a</w:t>
      </w:r>
      <w:r w:rsidRPr="003E63BA">
        <w:rPr>
          <w:rStyle w:val="AERtextitalic"/>
        </w:rPr>
        <w:t xml:space="preserve">ccess arrangement </w:t>
      </w:r>
      <w:r>
        <w:rPr>
          <w:rStyle w:val="AERtextitalic"/>
        </w:rPr>
        <w:t>proposal, Appendix 10.1 - Revenue model - updated</w:t>
      </w:r>
      <w:r w:rsidRPr="003E63BA">
        <w:t>,</w:t>
      </w:r>
      <w:r>
        <w:t xml:space="preserve"> February </w:t>
      </w:r>
      <w:r w:rsidRPr="003E63BA">
        <w:t>201</w:t>
      </w:r>
      <w:r>
        <w:t>5</w:t>
      </w:r>
      <w:r w:rsidRPr="003E63BA">
        <w:t>.</w:t>
      </w:r>
    </w:p>
  </w:footnote>
  <w:footnote w:id="84">
    <w:p w:rsidR="00BC3F1E" w:rsidRDefault="00BC3F1E">
      <w:pPr>
        <w:pStyle w:val="FootnoteText"/>
      </w:pPr>
      <w:r>
        <w:rPr>
          <w:rStyle w:val="FootnoteReference"/>
        </w:rPr>
        <w:footnoteRef/>
      </w:r>
      <w:r>
        <w:t xml:space="preserve"> </w:t>
      </w:r>
      <w:r>
        <w:tab/>
      </w:r>
      <w:r w:rsidRPr="00C43639">
        <w:t xml:space="preserve">JGN updated its proposed </w:t>
      </w:r>
      <w:r>
        <w:t>cost of corporate income tax</w:t>
      </w:r>
      <w:r w:rsidRPr="00C43639">
        <w:t xml:space="preserve"> after the submission of its revised proposal. JGN, </w:t>
      </w:r>
      <w:r w:rsidRPr="00625CBA">
        <w:rPr>
          <w:rStyle w:val="AERtextitalic"/>
        </w:rPr>
        <w:t xml:space="preserve">Submissions on draft decision, </w:t>
      </w:r>
      <w:r w:rsidRPr="00C43639">
        <w:rPr>
          <w:rStyle w:val="AERtextitalic"/>
        </w:rPr>
        <w:t>Attachment N - updated appendix 10.1 - JGN revenue forecast model</w:t>
      </w:r>
      <w:r w:rsidRPr="00C43639">
        <w:t>, 27 March 2015.</w:t>
      </w:r>
    </w:p>
  </w:footnote>
  <w:footnote w:id="85">
    <w:p w:rsidR="00BC3F1E" w:rsidRDefault="00BC3F1E" w:rsidP="00976C12">
      <w:pPr>
        <w:pStyle w:val="FootnoteText"/>
      </w:pPr>
      <w:r>
        <w:rPr>
          <w:rStyle w:val="FootnoteReference"/>
        </w:rPr>
        <w:footnoteRef/>
      </w:r>
      <w:r>
        <w:t xml:space="preserve"> </w:t>
      </w:r>
      <w:r>
        <w:tab/>
        <w:t xml:space="preserve">HoustonKemp, </w:t>
      </w:r>
      <w:r w:rsidRPr="00C11021">
        <w:rPr>
          <w:i/>
        </w:rPr>
        <w:t>Review of Gas Consumption Forecasting Methodology</w:t>
      </w:r>
      <w:r>
        <w:t xml:space="preserve">, February 2015; Frontier Economics, </w:t>
      </w:r>
      <w:r w:rsidRPr="00C11021">
        <w:rPr>
          <w:i/>
        </w:rPr>
        <w:t>Gas Consumption forecasts for JGN’s Tariff V customers</w:t>
      </w:r>
      <w:r>
        <w:t>, February 2015.</w:t>
      </w:r>
    </w:p>
  </w:footnote>
  <w:footnote w:id="86">
    <w:p w:rsidR="00BC3F1E" w:rsidRDefault="00BC3F1E" w:rsidP="00976C12">
      <w:pPr>
        <w:pStyle w:val="FootnoteText"/>
      </w:pPr>
      <w:r>
        <w:rPr>
          <w:rStyle w:val="FootnoteReference"/>
        </w:rPr>
        <w:footnoteRef/>
      </w:r>
      <w:r>
        <w:t xml:space="preserve"> </w:t>
      </w:r>
      <w:r>
        <w:tab/>
        <w:t>AER, Draft Decision, Jemena Gas Networks (NSW) Ltd, Access arrangement 2015-2020, Attachment 13 - Demand, p. 13-12 – 13-13.</w:t>
      </w:r>
    </w:p>
  </w:footnote>
  <w:footnote w:id="87">
    <w:p w:rsidR="00BC3F1E" w:rsidRDefault="00BC3F1E" w:rsidP="00976C12">
      <w:pPr>
        <w:pStyle w:val="FootnoteText"/>
      </w:pPr>
      <w:r>
        <w:rPr>
          <w:rStyle w:val="FootnoteReference"/>
        </w:rPr>
        <w:footnoteRef/>
      </w:r>
      <w:r>
        <w:t xml:space="preserve"> </w:t>
      </w:r>
      <w:r>
        <w:tab/>
        <w:t xml:space="preserve">Deloitte Access Economics, </w:t>
      </w:r>
      <w:r w:rsidRPr="00F22F02">
        <w:t>Gas demand forecast for Jemena Gas Network NSW</w:t>
      </w:r>
      <w:r>
        <w:t>, 15 May 2015, p25-6.</w:t>
      </w:r>
    </w:p>
  </w:footnote>
  <w:footnote w:id="88">
    <w:p w:rsidR="00BC3F1E" w:rsidRDefault="00BC3F1E" w:rsidP="00976C12">
      <w:pPr>
        <w:pStyle w:val="FootnoteText"/>
      </w:pPr>
      <w:r>
        <w:rPr>
          <w:rStyle w:val="FootnoteReference"/>
        </w:rPr>
        <w:footnoteRef/>
      </w:r>
      <w:r>
        <w:t xml:space="preserve"> </w:t>
      </w:r>
      <w:r>
        <w:tab/>
        <w:t>AER, D</w:t>
      </w:r>
      <w:r w:rsidRPr="006409EE">
        <w:rPr>
          <w:rStyle w:val="AERtextitalic"/>
        </w:rPr>
        <w:t>raft Decision, Jemena Gas Networks (NSW) Ltd, Access arrangement 2015-2020, Attachment 13 - Demand</w:t>
      </w:r>
      <w:r>
        <w:t>, p. 13-17-8.</w:t>
      </w:r>
    </w:p>
  </w:footnote>
  <w:footnote w:id="89">
    <w:p w:rsidR="00BC3F1E" w:rsidRDefault="00BC3F1E">
      <w:pPr>
        <w:pStyle w:val="FootnoteText"/>
      </w:pPr>
      <w:r>
        <w:rPr>
          <w:rStyle w:val="FootnoteReference"/>
        </w:rPr>
        <w:footnoteRef/>
      </w:r>
      <w:r>
        <w:t xml:space="preserve"> </w:t>
      </w:r>
      <w:r>
        <w:tab/>
        <w:t xml:space="preserve">AER, </w:t>
      </w:r>
      <w:r w:rsidRPr="0056459D">
        <w:rPr>
          <w:rStyle w:val="AERtextitalic"/>
        </w:rPr>
        <w:t>Efficiency benefit sharing scheme for electricity network service providers</w:t>
      </w:r>
      <w:r>
        <w:t>, November 2013, p. 7.</w:t>
      </w:r>
    </w:p>
  </w:footnote>
  <w:footnote w:id="90">
    <w:p w:rsidR="00BC3F1E" w:rsidRDefault="00BC3F1E" w:rsidP="00B906E0">
      <w:pPr>
        <w:pStyle w:val="FootnoteText"/>
      </w:pPr>
      <w:r>
        <w:rPr>
          <w:rStyle w:val="FootnoteReference"/>
        </w:rPr>
        <w:footnoteRef/>
      </w:r>
      <w:r>
        <w:t xml:space="preserve"> </w:t>
      </w:r>
      <w:r>
        <w:tab/>
      </w:r>
      <w:r w:rsidRPr="00213992">
        <w:t>NGR, rr. 93 and 94</w:t>
      </w:r>
      <w:r>
        <w:t>.</w:t>
      </w:r>
    </w:p>
  </w:footnote>
  <w:footnote w:id="91">
    <w:p w:rsidR="00BC3F1E" w:rsidRDefault="00BC3F1E" w:rsidP="0064050D">
      <w:pPr>
        <w:pStyle w:val="FootnoteText"/>
      </w:pPr>
      <w:r>
        <w:rPr>
          <w:rStyle w:val="FootnoteReference"/>
        </w:rPr>
        <w:footnoteRef/>
      </w:r>
      <w:r>
        <w:t xml:space="preserve"> </w:t>
      </w:r>
      <w:r>
        <w:tab/>
        <w:t>NGL, s. 23.</w:t>
      </w:r>
    </w:p>
  </w:footnote>
  <w:footnote w:id="92">
    <w:p w:rsidR="00BC3F1E" w:rsidRDefault="00BC3F1E" w:rsidP="008E433E">
      <w:pPr>
        <w:pStyle w:val="FootnoteText"/>
      </w:pPr>
      <w:r>
        <w:rPr>
          <w:rStyle w:val="FootnoteReference"/>
        </w:rPr>
        <w:footnoteRef/>
      </w:r>
      <w:r>
        <w:t xml:space="preserve"> </w:t>
      </w:r>
      <w:r>
        <w:tab/>
        <w:t>NGL, s. 24.</w:t>
      </w:r>
    </w:p>
  </w:footnote>
  <w:footnote w:id="93">
    <w:p w:rsidR="00BC3F1E" w:rsidRDefault="00BC3F1E" w:rsidP="008E433E">
      <w:pPr>
        <w:pStyle w:val="FootnoteText"/>
      </w:pPr>
      <w:r>
        <w:rPr>
          <w:rStyle w:val="FootnoteReference"/>
        </w:rPr>
        <w:footnoteRef/>
      </w:r>
      <w:r>
        <w:t xml:space="preserve"> </w:t>
      </w:r>
      <w:r>
        <w:tab/>
        <w:t>NGL, s. 28(2).</w:t>
      </w:r>
    </w:p>
  </w:footnote>
  <w:footnote w:id="94">
    <w:p w:rsidR="00BC3F1E" w:rsidRDefault="00BC3F1E" w:rsidP="008E433E">
      <w:pPr>
        <w:pStyle w:val="FootnoteText"/>
      </w:pPr>
      <w:r>
        <w:rPr>
          <w:rStyle w:val="FootnoteReference"/>
        </w:rPr>
        <w:footnoteRef/>
      </w:r>
      <w:r>
        <w:t xml:space="preserve"> </w:t>
      </w:r>
      <w:r>
        <w:tab/>
        <w:t>Hansard, SA House of Assembly, 27 September 2007 pp. 965, Hansard, SA House of Assembly, 9 April 2008 p. 2886, Hansard, SA House of Assembly, 26 September 2013, p. 7173.</w:t>
      </w:r>
    </w:p>
  </w:footnote>
  <w:footnote w:id="95">
    <w:p w:rsidR="00BC3F1E" w:rsidRDefault="00BC3F1E" w:rsidP="008E433E">
      <w:pPr>
        <w:pStyle w:val="FootnoteText"/>
      </w:pPr>
      <w:r>
        <w:rPr>
          <w:rStyle w:val="FootnoteReference"/>
        </w:rPr>
        <w:footnoteRef/>
      </w:r>
      <w:r>
        <w:t xml:space="preserve"> </w:t>
      </w: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pp. 33–34</w:t>
      </w:r>
    </w:p>
    <w:p w:rsidR="00BC3F1E" w:rsidRDefault="00BC3F1E" w:rsidP="008E433E">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p. 35–36.</w:t>
      </w:r>
    </w:p>
  </w:footnote>
  <w:footnote w:id="96">
    <w:p w:rsidR="00BC3F1E" w:rsidRDefault="00BC3F1E" w:rsidP="008E433E">
      <w:pPr>
        <w:pStyle w:val="FootnoteText"/>
      </w:pPr>
      <w:r>
        <w:rPr>
          <w:rStyle w:val="FootnoteReference"/>
        </w:rPr>
        <w:footnoteRef/>
      </w:r>
      <w:r>
        <w:t xml:space="preserve"> </w:t>
      </w:r>
      <w:r>
        <w:tab/>
        <w:t>Hansard, SA House of Assembly, 9 February 2005 pp. 1451</w:t>
      </w:r>
      <w:r>
        <w:rPr>
          <w:rFonts w:cs="Gautami"/>
        </w:rPr>
        <w:t>–</w:t>
      </w:r>
      <w:r>
        <w:t>1460.</w:t>
      </w:r>
    </w:p>
    <w:p w:rsidR="00BC3F1E" w:rsidRDefault="00BC3F1E" w:rsidP="008E433E">
      <w:pPr>
        <w:pStyle w:val="FootnoteText"/>
      </w:pPr>
      <w:r>
        <w:tab/>
        <w:t>Hansard, SA House of Assembly, 27 September 2007 pp. 963</w:t>
      </w:r>
      <w:r>
        <w:rPr>
          <w:rFonts w:cs="Gautami"/>
        </w:rPr>
        <w:t>–</w:t>
      </w:r>
      <w:r>
        <w:t>972.</w:t>
      </w:r>
    </w:p>
    <w:p w:rsidR="00BC3F1E" w:rsidRDefault="00BC3F1E" w:rsidP="008E433E">
      <w:pPr>
        <w:pStyle w:val="FootnoteText"/>
      </w:pPr>
      <w:r>
        <w:tab/>
        <w:t xml:space="preserve">Hansard, SA House of Assembly, 9 April 2008 pp. 2884-2916 </w:t>
      </w:r>
    </w:p>
    <w:p w:rsidR="00BC3F1E" w:rsidRDefault="00BC3F1E" w:rsidP="008E433E">
      <w:pPr>
        <w:pStyle w:val="FootnoteText"/>
      </w:pPr>
      <w:r>
        <w:tab/>
        <w:t>Hansard, SA House of Assembly, 26 September 2013 pp. 7171</w:t>
      </w:r>
      <w:r>
        <w:rPr>
          <w:rFonts w:cs="Gautami"/>
        </w:rPr>
        <w:t>–</w:t>
      </w:r>
      <w:r>
        <w:t>7176.</w:t>
      </w:r>
    </w:p>
  </w:footnote>
  <w:footnote w:id="97">
    <w:p w:rsidR="00BC3F1E" w:rsidRDefault="00BC3F1E" w:rsidP="008E433E">
      <w:pPr>
        <w:pStyle w:val="FootnoteText"/>
      </w:pPr>
      <w:r>
        <w:rPr>
          <w:rStyle w:val="FootnoteReference"/>
        </w:rPr>
        <w:footnoteRef/>
      </w:r>
      <w:r>
        <w:tab/>
        <w:t>Hansard, SA House of Assembly, 26 September 2013 p. 7173.</w:t>
      </w:r>
    </w:p>
  </w:footnote>
  <w:footnote w:id="98">
    <w:p w:rsidR="00BC3F1E" w:rsidRDefault="00BC3F1E" w:rsidP="008E433E">
      <w:pPr>
        <w:pStyle w:val="FootnoteText"/>
      </w:pPr>
      <w:r>
        <w:rPr>
          <w:rStyle w:val="FootnoteReference"/>
        </w:rPr>
        <w:footnoteRef/>
      </w:r>
      <w:r>
        <w:t xml:space="preserve"> </w:t>
      </w:r>
      <w:r>
        <w:tab/>
        <w:t>Hansard, SA House of Assembly, 9 February 2005 p. 1452, Hansard, SA House of Assembly, 9 April 2008 p. 2884.</w:t>
      </w:r>
    </w:p>
  </w:footnote>
  <w:footnote w:id="99">
    <w:p w:rsidR="00BC3F1E" w:rsidRDefault="00BC3F1E">
      <w:pPr>
        <w:pStyle w:val="FootnoteText"/>
      </w:pPr>
      <w:r>
        <w:rPr>
          <w:rStyle w:val="FootnoteReference"/>
        </w:rPr>
        <w:footnoteRef/>
      </w:r>
      <w:r>
        <w:t xml:space="preserve"> </w:t>
      </w:r>
      <w:r>
        <w:tab/>
        <w:t xml:space="preserve">PIAC, </w:t>
      </w:r>
      <w:r w:rsidRPr="0056459D">
        <w:rPr>
          <w:rStyle w:val="AERtextitalic"/>
        </w:rPr>
        <w:t>This is how we do this now: PIAC submission to the AER's draft determination for Jemena Gas Network</w:t>
      </w:r>
      <w:r>
        <w:t>, 27 March 2015.</w:t>
      </w:r>
    </w:p>
  </w:footnote>
  <w:footnote w:id="100">
    <w:p w:rsidR="00BC3F1E" w:rsidRPr="001114AA" w:rsidRDefault="00BC3F1E" w:rsidP="008E433E">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BC3F1E" w:rsidRDefault="00BC3F1E" w:rsidP="008E433E">
      <w:pPr>
        <w:pStyle w:val="FootnoteText"/>
      </w:pPr>
      <w:r>
        <w:tab/>
        <w:t>Energy Ministers also accept this view – see Hansard, SA House of Assembly, 26 September 2013 p. 7172.</w:t>
      </w:r>
    </w:p>
    <w:p w:rsidR="00BC3F1E" w:rsidRDefault="00BC3F1E" w:rsidP="008E433E">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101">
    <w:p w:rsidR="00BC3F1E" w:rsidRDefault="00BC3F1E" w:rsidP="008E433E">
      <w:pPr>
        <w:pStyle w:val="FootnoteText"/>
      </w:pPr>
      <w:r>
        <w:rPr>
          <w:rStyle w:val="FootnoteReference"/>
        </w:rPr>
        <w:footnoteRef/>
      </w:r>
      <w:r>
        <w:t xml:space="preserve"> </w:t>
      </w:r>
      <w:r>
        <w:tab/>
        <w:t>NGL, s. 24(7).</w:t>
      </w:r>
    </w:p>
  </w:footnote>
  <w:footnote w:id="102">
    <w:p w:rsidR="00BC3F1E" w:rsidRDefault="00BC3F1E" w:rsidP="008E433E">
      <w:pPr>
        <w:pStyle w:val="FootnoteText"/>
      </w:pPr>
      <w:r>
        <w:rPr>
          <w:rStyle w:val="FootnoteReference"/>
        </w:rPr>
        <w:footnoteRef/>
      </w:r>
      <w:r>
        <w:t xml:space="preserve"> </w:t>
      </w:r>
      <w:r>
        <w:tab/>
        <w:t>NGL, s. 24(6).</w:t>
      </w:r>
    </w:p>
  </w:footnote>
  <w:footnote w:id="103">
    <w:p w:rsidR="00BC3F1E" w:rsidRDefault="00BC3F1E" w:rsidP="008E433E">
      <w:pPr>
        <w:pStyle w:val="FootnoteText"/>
      </w:pPr>
      <w:r>
        <w:rPr>
          <w:rStyle w:val="FootnoteReference"/>
        </w:rPr>
        <w:footnoteRef/>
      </w:r>
      <w:r>
        <w:t xml:space="preserve"> </w:t>
      </w:r>
      <w:r>
        <w:tab/>
        <w:t>NGL, ss. 28(1)(b)(iii), 259(4a)(c).</w:t>
      </w:r>
    </w:p>
    <w:p w:rsidR="00BC3F1E" w:rsidRDefault="00BC3F1E" w:rsidP="008E433E">
      <w:pPr>
        <w:pStyle w:val="FootnoteText"/>
      </w:pP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pp. i, iii, iv, vi, vii, 8, 24 32, 36, 38, 45, 49, 67, 68, 90, 96 106, 112 and 113.</w:t>
      </w:r>
    </w:p>
    <w:p w:rsidR="00BC3F1E" w:rsidRDefault="00BC3F1E" w:rsidP="008E433E">
      <w:pPr>
        <w:pStyle w:val="FootnoteText"/>
      </w:pPr>
      <w:r>
        <w:tab/>
        <w:t>Hansard, SA House of Assembly, 26 September 2013 p. 7172.</w:t>
      </w:r>
    </w:p>
  </w:footnote>
  <w:footnote w:id="104">
    <w:p w:rsidR="00BC3F1E" w:rsidRDefault="00BC3F1E" w:rsidP="008E433E">
      <w:pPr>
        <w:pStyle w:val="FootnoteText"/>
      </w:pPr>
      <w:r>
        <w:rPr>
          <w:rStyle w:val="FootnoteReference"/>
        </w:rPr>
        <w:footnoteRef/>
      </w:r>
      <w:r>
        <w:t xml:space="preserve"> </w:t>
      </w: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pp. xi, 10, 19, 32 and 35.</w:t>
      </w:r>
    </w:p>
  </w:footnote>
  <w:footnote w:id="105">
    <w:p w:rsidR="00BC3F1E" w:rsidRDefault="00BC3F1E" w:rsidP="008E433E">
      <w:pPr>
        <w:pStyle w:val="FootnoteText"/>
      </w:pPr>
      <w:r>
        <w:rPr>
          <w:rStyle w:val="FootnoteReference"/>
        </w:rPr>
        <w:footnoteRef/>
      </w:r>
      <w:r>
        <w:t xml:space="preserve"> </w:t>
      </w: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esp. pp. 166–170.</w:t>
      </w:r>
    </w:p>
  </w:footnote>
  <w:footnote w:id="106">
    <w:p w:rsidR="00BC3F1E" w:rsidRDefault="00BC3F1E" w:rsidP="008E433E">
      <w:pPr>
        <w:pStyle w:val="FootnoteText"/>
      </w:pPr>
      <w:r>
        <w:rPr>
          <w:rStyle w:val="FootnoteReference"/>
        </w:rPr>
        <w:footnoteRef/>
      </w:r>
      <w:r>
        <w:t xml:space="preserve"> </w:t>
      </w:r>
      <w:r>
        <w:tab/>
        <w:t>Hansard, SA House of Assembly, 26 September 2013 p. 7171.</w:t>
      </w:r>
    </w:p>
  </w:footnote>
  <w:footnote w:id="107">
    <w:p w:rsidR="00BC3F1E" w:rsidRDefault="00BC3F1E" w:rsidP="008E433E">
      <w:pPr>
        <w:pStyle w:val="FootnoteText"/>
      </w:pPr>
      <w:r>
        <w:rPr>
          <w:rStyle w:val="FootnoteReference"/>
        </w:rPr>
        <w:footnoteRef/>
      </w:r>
      <w:r>
        <w:t xml:space="preserve"> </w:t>
      </w:r>
      <w:r>
        <w:tab/>
        <w:t>NGL, ss. 28, 244, 259 which focus the AER’s decision making and merits review at the overall decision, rather than its constituent components.</w:t>
      </w:r>
    </w:p>
    <w:p w:rsidR="00BC3F1E" w:rsidRDefault="00BC3F1E" w:rsidP="008E433E">
      <w:pPr>
        <w:pStyle w:val="FootnoteText"/>
      </w:pPr>
      <w:r>
        <w:tab/>
        <w:t>Hansard, SA House of Assembly, 26 September 2013 pp. 7171 and 7173; See also NEL, ss. 2, 16 and 71A which focus the AER’s decision making and merits review at the overall decision, rather than its constituent components.</w:t>
      </w:r>
    </w:p>
    <w:p w:rsidR="00BC3F1E" w:rsidRDefault="00BC3F1E" w:rsidP="008E433E">
      <w:pPr>
        <w:pStyle w:val="FootnoteText"/>
      </w:pPr>
      <w:r>
        <w:tab/>
        <w:t xml:space="preserve">SCER, </w:t>
      </w:r>
      <w:hyperlink r:id="rId4" w:history="1">
        <w:r>
          <w:rPr>
            <w:rStyle w:val="AERtextitalic"/>
          </w:rPr>
          <w:t>Regulation Impact Statement – Limited Merits Review of Decision-Making in the Electricity and Gas Regulatory Frameworks</w:t>
        </w:r>
      </w:hyperlink>
      <w:r>
        <w:rPr>
          <w:rStyle w:val="FootnoteReference"/>
        </w:rPr>
        <w:t>,</w:t>
      </w:r>
      <w:r>
        <w:t xml:space="preserve"> 6 June 2013 pp. i, ii, 6</w:t>
      </w:r>
      <w:r>
        <w:rPr>
          <w:rFonts w:cs="Gautami"/>
        </w:rPr>
        <w:t>–</w:t>
      </w:r>
      <w:r>
        <w:t>7, 10, 36, 41 and 76.</w:t>
      </w:r>
    </w:p>
  </w:footnote>
  <w:footnote w:id="108">
    <w:p w:rsidR="00BC3F1E" w:rsidRDefault="00BC3F1E" w:rsidP="008E433E">
      <w:pPr>
        <w:pStyle w:val="FootnoteText"/>
      </w:pPr>
      <w:r>
        <w:rPr>
          <w:rStyle w:val="FootnoteReference"/>
        </w:rPr>
        <w:footnoteRef/>
      </w:r>
      <w:r>
        <w:t xml:space="preserve"> </w:t>
      </w:r>
      <w:r>
        <w:tab/>
        <w:t>NGL, s. 28(1)(b)(ii).</w:t>
      </w:r>
    </w:p>
  </w:footnote>
  <w:footnote w:id="109">
    <w:p w:rsidR="00BC3F1E" w:rsidRDefault="00BC3F1E" w:rsidP="008E433E">
      <w:pPr>
        <w:pStyle w:val="FootnoteText"/>
      </w:pPr>
      <w:r>
        <w:rPr>
          <w:rStyle w:val="FootnoteReference"/>
        </w:rPr>
        <w:footnoteRef/>
      </w:r>
      <w:r>
        <w:t xml:space="preserve"> </w:t>
      </w:r>
      <w:r>
        <w:tab/>
        <w:t>NGL, s. 28(1)(b)(iii).</w:t>
      </w:r>
    </w:p>
  </w:footnote>
  <w:footnote w:id="110">
    <w:p w:rsidR="00BC3F1E" w:rsidRDefault="00BC3F1E" w:rsidP="008E433E">
      <w:pPr>
        <w:pStyle w:val="FootnoteText"/>
      </w:pPr>
      <w:r>
        <w:rPr>
          <w:rStyle w:val="FootnoteReference"/>
        </w:rPr>
        <w:footnoteRef/>
      </w:r>
      <w:r>
        <w:t xml:space="preserve"> </w:t>
      </w:r>
      <w:r>
        <w:tab/>
        <w:t>NGR, r. 62(4).</w:t>
      </w:r>
    </w:p>
  </w:footnote>
  <w:footnote w:id="111">
    <w:p w:rsidR="00BC3F1E" w:rsidRDefault="00BC3F1E" w:rsidP="008E433E">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r>
        <w:t>.</w:t>
      </w:r>
    </w:p>
  </w:footnote>
  <w:footnote w:id="112">
    <w:p w:rsidR="00BC3F1E" w:rsidRDefault="00BC3F1E" w:rsidP="008E433E">
      <w:pPr>
        <w:pStyle w:val="FootnoteText"/>
      </w:pPr>
      <w:r>
        <w:rPr>
          <w:rStyle w:val="FootnoteReference"/>
        </w:rPr>
        <w:footnoteRef/>
      </w:r>
      <w:r>
        <w:t xml:space="preserve"> </w:t>
      </w:r>
      <w:r>
        <w:tab/>
        <w:t>NGL, s. 28(1)(b)(j)</w:t>
      </w:r>
    </w:p>
  </w:footnote>
  <w:footnote w:id="113">
    <w:p w:rsidR="00BC3F1E" w:rsidRDefault="00BC3F1E" w:rsidP="008E433E">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sidRPr="00356A31">
        <w:t>–</w:t>
      </w:r>
      <w:r>
        <w:t>13.</w:t>
      </w:r>
    </w:p>
  </w:footnote>
  <w:footnote w:id="114">
    <w:p w:rsidR="00BC3F1E" w:rsidRDefault="00BC3F1E" w:rsidP="008E433E">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Pr>
          <w:rFonts w:cs="Gautami"/>
        </w:rPr>
        <w:t>–</w:t>
      </w:r>
      <w:r>
        <w:t>13.</w:t>
      </w:r>
    </w:p>
  </w:footnote>
  <w:footnote w:id="115">
    <w:p w:rsidR="00BC3F1E" w:rsidRDefault="00BC3F1E" w:rsidP="008E433E">
      <w:pPr>
        <w:pStyle w:val="FootnoteText"/>
      </w:pPr>
      <w:r>
        <w:rPr>
          <w:rStyle w:val="FootnoteReference"/>
        </w:rPr>
        <w:footnoteRef/>
      </w:r>
      <w:r>
        <w:t xml:space="preserve"> </w:t>
      </w:r>
      <w:r>
        <w:tab/>
      </w:r>
      <w:r w:rsidRPr="00A97AE6">
        <w:t>http://www.aer.gov.au/Better-regulation-reform-program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42784418"/>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DFF66B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8">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3"/>
  </w:num>
  <w:num w:numId="14">
    <w:abstractNumId w:val="11"/>
  </w:num>
  <w:num w:numId="15">
    <w:abstractNumId w:val="14"/>
  </w:num>
  <w:num w:numId="16">
    <w:abstractNumId w:val="27"/>
  </w:num>
  <w:num w:numId="17">
    <w:abstractNumId w:val="10"/>
  </w:num>
  <w:num w:numId="18">
    <w:abstractNumId w:val="18"/>
  </w:num>
  <w:num w:numId="19">
    <w:abstractNumId w:val="28"/>
  </w:num>
  <w:num w:numId="20">
    <w:abstractNumId w:val="35"/>
  </w:num>
  <w:num w:numId="21">
    <w:abstractNumId w:val="15"/>
  </w:num>
  <w:num w:numId="22">
    <w:abstractNumId w:val="31"/>
  </w:num>
  <w:num w:numId="23">
    <w:abstractNumId w:val="29"/>
  </w:num>
  <w:num w:numId="24">
    <w:abstractNumId w:val="20"/>
  </w:num>
  <w:num w:numId="25">
    <w:abstractNumId w:val="30"/>
  </w:num>
  <w:num w:numId="26">
    <w:abstractNumId w:val="32"/>
  </w:num>
  <w:num w:numId="27">
    <w:abstractNumId w:val="22"/>
  </w:num>
  <w:num w:numId="28">
    <w:abstractNumId w:val="19"/>
  </w:num>
  <w:num w:numId="29">
    <w:abstractNumId w:val="17"/>
  </w:num>
  <w:num w:numId="30">
    <w:abstractNumId w:val="36"/>
  </w:num>
  <w:num w:numId="31">
    <w:abstractNumId w:val="16"/>
  </w:num>
  <w:num w:numId="32">
    <w:abstractNumId w:val="25"/>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4"/>
  </w:num>
  <w:num w:numId="39">
    <w:abstractNumId w:val="38"/>
  </w:num>
  <w:num w:numId="40">
    <w:abstractNumId w:val="9"/>
  </w:num>
  <w:num w:numId="41">
    <w:abstractNumId w:val="37"/>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2">
    <w:abstractNumId w:val="20"/>
    <w:lvlOverride w:ilvl="3">
      <w:lvl w:ilvl="3">
        <w:start w:val="1"/>
        <w:numFmt w:val="decimal"/>
        <w:lvlText w:val="%2.%3.%4"/>
        <w:lvlJc w:val="left"/>
        <w:pPr>
          <w:tabs>
            <w:tab w:val="num" w:pos="0"/>
          </w:tabs>
          <w:ind w:left="0" w:hanging="851"/>
        </w:pPr>
        <w:rPr>
          <w:rFonts w:hint="default"/>
        </w:rPr>
      </w:lvl>
    </w:lvlOverride>
  </w:num>
  <w:num w:numId="43">
    <w:abstractNumId w:val="13"/>
  </w:num>
  <w:num w:numId="4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DDgOBKy6EOgWOxtjxB0HgnsF1e3gsbaA2jDsM6bV3Q=" w:saltValue="+jq0+5NPiUgvy1etVlF+Pg==" w:algorithmName="SHA-256"/>
  <w:defaultTabStop w:val="34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188\AER15 268  20150519 - 3.1G - AER final decision - JGN NSW GAAR 2015-20 - Overview.DOCX"/>
  </w:docVars>
  <w:rsids>
    <w:rsidRoot w:val="00961A4A"/>
    <w:rsid w:val="00003999"/>
    <w:rsid w:val="000064D5"/>
    <w:rsid w:val="00011C37"/>
    <w:rsid w:val="00011C7C"/>
    <w:rsid w:val="00017D7C"/>
    <w:rsid w:val="00021202"/>
    <w:rsid w:val="0002517F"/>
    <w:rsid w:val="0003578C"/>
    <w:rsid w:val="000366DB"/>
    <w:rsid w:val="00040608"/>
    <w:rsid w:val="00050448"/>
    <w:rsid w:val="000607A2"/>
    <w:rsid w:val="00063247"/>
    <w:rsid w:val="00067D1F"/>
    <w:rsid w:val="00070F9F"/>
    <w:rsid w:val="0007137B"/>
    <w:rsid w:val="00080BAD"/>
    <w:rsid w:val="00085663"/>
    <w:rsid w:val="00085EBF"/>
    <w:rsid w:val="000935F8"/>
    <w:rsid w:val="000A3020"/>
    <w:rsid w:val="000A6C7B"/>
    <w:rsid w:val="000C441E"/>
    <w:rsid w:val="000D122C"/>
    <w:rsid w:val="000E1819"/>
    <w:rsid w:val="000E4821"/>
    <w:rsid w:val="000E6C72"/>
    <w:rsid w:val="001077E3"/>
    <w:rsid w:val="00116EB2"/>
    <w:rsid w:val="00117DB9"/>
    <w:rsid w:val="00122C40"/>
    <w:rsid w:val="00124609"/>
    <w:rsid w:val="00126A4C"/>
    <w:rsid w:val="0014573B"/>
    <w:rsid w:val="00150086"/>
    <w:rsid w:val="001507D5"/>
    <w:rsid w:val="00153900"/>
    <w:rsid w:val="00153CE4"/>
    <w:rsid w:val="00154EEA"/>
    <w:rsid w:val="001573E4"/>
    <w:rsid w:val="001601DF"/>
    <w:rsid w:val="00160756"/>
    <w:rsid w:val="001623AE"/>
    <w:rsid w:val="0017232E"/>
    <w:rsid w:val="00172A87"/>
    <w:rsid w:val="00172AA9"/>
    <w:rsid w:val="00174102"/>
    <w:rsid w:val="00180157"/>
    <w:rsid w:val="00185CB9"/>
    <w:rsid w:val="00186F77"/>
    <w:rsid w:val="001926A4"/>
    <w:rsid w:val="00192AD5"/>
    <w:rsid w:val="00197CF6"/>
    <w:rsid w:val="001B45A0"/>
    <w:rsid w:val="001D055E"/>
    <w:rsid w:val="001D4AD6"/>
    <w:rsid w:val="001F492E"/>
    <w:rsid w:val="001F6DA3"/>
    <w:rsid w:val="001F6FBE"/>
    <w:rsid w:val="002010BC"/>
    <w:rsid w:val="00202E03"/>
    <w:rsid w:val="0020492C"/>
    <w:rsid w:val="002075B2"/>
    <w:rsid w:val="00224DB9"/>
    <w:rsid w:val="00230343"/>
    <w:rsid w:val="00233775"/>
    <w:rsid w:val="00233838"/>
    <w:rsid w:val="00234DBB"/>
    <w:rsid w:val="00241CD1"/>
    <w:rsid w:val="00251745"/>
    <w:rsid w:val="00256BD5"/>
    <w:rsid w:val="00263AC0"/>
    <w:rsid w:val="00264264"/>
    <w:rsid w:val="0026772D"/>
    <w:rsid w:val="00271C70"/>
    <w:rsid w:val="00273127"/>
    <w:rsid w:val="00277B53"/>
    <w:rsid w:val="00286874"/>
    <w:rsid w:val="00287EB9"/>
    <w:rsid w:val="00290C63"/>
    <w:rsid w:val="00296B65"/>
    <w:rsid w:val="002A3901"/>
    <w:rsid w:val="002A7DEF"/>
    <w:rsid w:val="002B16E6"/>
    <w:rsid w:val="002B1BC7"/>
    <w:rsid w:val="002B55F4"/>
    <w:rsid w:val="002B7DF0"/>
    <w:rsid w:val="002C0716"/>
    <w:rsid w:val="002C1364"/>
    <w:rsid w:val="002C434D"/>
    <w:rsid w:val="002D0E9A"/>
    <w:rsid w:val="002D3587"/>
    <w:rsid w:val="002E1635"/>
    <w:rsid w:val="002E5F30"/>
    <w:rsid w:val="002E7B22"/>
    <w:rsid w:val="002F578A"/>
    <w:rsid w:val="002F7986"/>
    <w:rsid w:val="00301B40"/>
    <w:rsid w:val="003026D6"/>
    <w:rsid w:val="003029CD"/>
    <w:rsid w:val="003029EE"/>
    <w:rsid w:val="003040A0"/>
    <w:rsid w:val="00305CC8"/>
    <w:rsid w:val="00307F6D"/>
    <w:rsid w:val="003177A2"/>
    <w:rsid w:val="003201E3"/>
    <w:rsid w:val="00323D0E"/>
    <w:rsid w:val="003271B5"/>
    <w:rsid w:val="003278C4"/>
    <w:rsid w:val="00327A1E"/>
    <w:rsid w:val="00331264"/>
    <w:rsid w:val="00333132"/>
    <w:rsid w:val="00334C8D"/>
    <w:rsid w:val="003424EB"/>
    <w:rsid w:val="00343A18"/>
    <w:rsid w:val="00345EFF"/>
    <w:rsid w:val="003518B3"/>
    <w:rsid w:val="00354896"/>
    <w:rsid w:val="0035765E"/>
    <w:rsid w:val="00376056"/>
    <w:rsid w:val="00380B09"/>
    <w:rsid w:val="00383D4A"/>
    <w:rsid w:val="003846F1"/>
    <w:rsid w:val="0039505D"/>
    <w:rsid w:val="003A0BA7"/>
    <w:rsid w:val="003A295A"/>
    <w:rsid w:val="003B02E5"/>
    <w:rsid w:val="003B484F"/>
    <w:rsid w:val="003C025B"/>
    <w:rsid w:val="003C0903"/>
    <w:rsid w:val="003C47EB"/>
    <w:rsid w:val="003F0A96"/>
    <w:rsid w:val="003F174D"/>
    <w:rsid w:val="003F1C26"/>
    <w:rsid w:val="00410D4D"/>
    <w:rsid w:val="00426998"/>
    <w:rsid w:val="004331D0"/>
    <w:rsid w:val="004555E8"/>
    <w:rsid w:val="0045777E"/>
    <w:rsid w:val="0046096F"/>
    <w:rsid w:val="00464B58"/>
    <w:rsid w:val="00480731"/>
    <w:rsid w:val="00480B4B"/>
    <w:rsid w:val="004842D3"/>
    <w:rsid w:val="00485DC4"/>
    <w:rsid w:val="0048645A"/>
    <w:rsid w:val="00493154"/>
    <w:rsid w:val="004954CE"/>
    <w:rsid w:val="004A43D1"/>
    <w:rsid w:val="004A6503"/>
    <w:rsid w:val="004B4412"/>
    <w:rsid w:val="004C348C"/>
    <w:rsid w:val="004D0BCD"/>
    <w:rsid w:val="004D55BA"/>
    <w:rsid w:val="004D5926"/>
    <w:rsid w:val="004E1372"/>
    <w:rsid w:val="004E22EC"/>
    <w:rsid w:val="004E3148"/>
    <w:rsid w:val="004F079D"/>
    <w:rsid w:val="004F2AA2"/>
    <w:rsid w:val="00507BA0"/>
    <w:rsid w:val="00513BFE"/>
    <w:rsid w:val="0052170C"/>
    <w:rsid w:val="00530128"/>
    <w:rsid w:val="00531B49"/>
    <w:rsid w:val="00532467"/>
    <w:rsid w:val="00556470"/>
    <w:rsid w:val="0056459D"/>
    <w:rsid w:val="00564A4D"/>
    <w:rsid w:val="00567BA5"/>
    <w:rsid w:val="00571B35"/>
    <w:rsid w:val="00571D57"/>
    <w:rsid w:val="00577A09"/>
    <w:rsid w:val="0058062D"/>
    <w:rsid w:val="005829C2"/>
    <w:rsid w:val="005835FF"/>
    <w:rsid w:val="0058490C"/>
    <w:rsid w:val="00584D8F"/>
    <w:rsid w:val="005A1281"/>
    <w:rsid w:val="005A404D"/>
    <w:rsid w:val="005B1E3C"/>
    <w:rsid w:val="005B49AF"/>
    <w:rsid w:val="005C0A22"/>
    <w:rsid w:val="005C26CC"/>
    <w:rsid w:val="005D7BA2"/>
    <w:rsid w:val="005E1C55"/>
    <w:rsid w:val="005E36C2"/>
    <w:rsid w:val="005F49EE"/>
    <w:rsid w:val="00615C6B"/>
    <w:rsid w:val="00621DCE"/>
    <w:rsid w:val="00625CBA"/>
    <w:rsid w:val="00626C66"/>
    <w:rsid w:val="00630FAB"/>
    <w:rsid w:val="00632D6D"/>
    <w:rsid w:val="00633A23"/>
    <w:rsid w:val="0064050D"/>
    <w:rsid w:val="006409EE"/>
    <w:rsid w:val="00641524"/>
    <w:rsid w:val="00642C3E"/>
    <w:rsid w:val="00646EE5"/>
    <w:rsid w:val="0066104A"/>
    <w:rsid w:val="00663DAD"/>
    <w:rsid w:val="0067058B"/>
    <w:rsid w:val="00675A5D"/>
    <w:rsid w:val="00675E20"/>
    <w:rsid w:val="00676679"/>
    <w:rsid w:val="00683C89"/>
    <w:rsid w:val="00685E96"/>
    <w:rsid w:val="00686874"/>
    <w:rsid w:val="00687754"/>
    <w:rsid w:val="00690B11"/>
    <w:rsid w:val="006A58DD"/>
    <w:rsid w:val="006B2395"/>
    <w:rsid w:val="006B3A7B"/>
    <w:rsid w:val="006B4CF9"/>
    <w:rsid w:val="006B52EA"/>
    <w:rsid w:val="006B7AC8"/>
    <w:rsid w:val="006C6CA2"/>
    <w:rsid w:val="006D2FB1"/>
    <w:rsid w:val="006D4F27"/>
    <w:rsid w:val="006D550F"/>
    <w:rsid w:val="006D6DB4"/>
    <w:rsid w:val="006E1998"/>
    <w:rsid w:val="006E4415"/>
    <w:rsid w:val="006F27E1"/>
    <w:rsid w:val="006F4692"/>
    <w:rsid w:val="006F5572"/>
    <w:rsid w:val="00701CAB"/>
    <w:rsid w:val="00707563"/>
    <w:rsid w:val="00707DDE"/>
    <w:rsid w:val="0072348C"/>
    <w:rsid w:val="00724A37"/>
    <w:rsid w:val="0072575B"/>
    <w:rsid w:val="007303C3"/>
    <w:rsid w:val="007429BE"/>
    <w:rsid w:val="00743223"/>
    <w:rsid w:val="007439ED"/>
    <w:rsid w:val="00746E01"/>
    <w:rsid w:val="0075159E"/>
    <w:rsid w:val="00757BDF"/>
    <w:rsid w:val="00763E5D"/>
    <w:rsid w:val="0076475D"/>
    <w:rsid w:val="00767740"/>
    <w:rsid w:val="00770EC8"/>
    <w:rsid w:val="00777EE6"/>
    <w:rsid w:val="00781281"/>
    <w:rsid w:val="00782EEA"/>
    <w:rsid w:val="00783B73"/>
    <w:rsid w:val="00784189"/>
    <w:rsid w:val="0079157B"/>
    <w:rsid w:val="007B2346"/>
    <w:rsid w:val="007B2C72"/>
    <w:rsid w:val="007B7287"/>
    <w:rsid w:val="007C1C53"/>
    <w:rsid w:val="007C27A9"/>
    <w:rsid w:val="007C30C0"/>
    <w:rsid w:val="007C38E4"/>
    <w:rsid w:val="007C74BB"/>
    <w:rsid w:val="007D5408"/>
    <w:rsid w:val="007E1ABC"/>
    <w:rsid w:val="007E1C72"/>
    <w:rsid w:val="007E4904"/>
    <w:rsid w:val="007E4CB5"/>
    <w:rsid w:val="007E58E1"/>
    <w:rsid w:val="007F066B"/>
    <w:rsid w:val="007F1411"/>
    <w:rsid w:val="007F7EED"/>
    <w:rsid w:val="00801EAB"/>
    <w:rsid w:val="008033C4"/>
    <w:rsid w:val="00805DF4"/>
    <w:rsid w:val="00806C88"/>
    <w:rsid w:val="0081034E"/>
    <w:rsid w:val="00811C49"/>
    <w:rsid w:val="008132C8"/>
    <w:rsid w:val="00824E1B"/>
    <w:rsid w:val="00825A8D"/>
    <w:rsid w:val="0083197C"/>
    <w:rsid w:val="008344F6"/>
    <w:rsid w:val="0083510F"/>
    <w:rsid w:val="008352A5"/>
    <w:rsid w:val="0084622B"/>
    <w:rsid w:val="0084674C"/>
    <w:rsid w:val="00851209"/>
    <w:rsid w:val="00851473"/>
    <w:rsid w:val="00856CF2"/>
    <w:rsid w:val="00882AC5"/>
    <w:rsid w:val="008837AC"/>
    <w:rsid w:val="00890694"/>
    <w:rsid w:val="008A1B15"/>
    <w:rsid w:val="008A587D"/>
    <w:rsid w:val="008A58EB"/>
    <w:rsid w:val="008A6496"/>
    <w:rsid w:val="008B35CD"/>
    <w:rsid w:val="008B3FAE"/>
    <w:rsid w:val="008B5FCC"/>
    <w:rsid w:val="008C4187"/>
    <w:rsid w:val="008C5486"/>
    <w:rsid w:val="008D1661"/>
    <w:rsid w:val="008D6A44"/>
    <w:rsid w:val="008E392F"/>
    <w:rsid w:val="008E433E"/>
    <w:rsid w:val="008E7031"/>
    <w:rsid w:val="008E77DE"/>
    <w:rsid w:val="008F07A3"/>
    <w:rsid w:val="00900E1B"/>
    <w:rsid w:val="009037A2"/>
    <w:rsid w:val="009052E2"/>
    <w:rsid w:val="00910B4A"/>
    <w:rsid w:val="0091287B"/>
    <w:rsid w:val="009205D1"/>
    <w:rsid w:val="009233EE"/>
    <w:rsid w:val="009240D5"/>
    <w:rsid w:val="009460AA"/>
    <w:rsid w:val="00947A55"/>
    <w:rsid w:val="00951978"/>
    <w:rsid w:val="00952F63"/>
    <w:rsid w:val="009564AB"/>
    <w:rsid w:val="00961A4A"/>
    <w:rsid w:val="00962121"/>
    <w:rsid w:val="0096394F"/>
    <w:rsid w:val="009661DE"/>
    <w:rsid w:val="00971287"/>
    <w:rsid w:val="009726AD"/>
    <w:rsid w:val="00972E30"/>
    <w:rsid w:val="00976C12"/>
    <w:rsid w:val="00977EF5"/>
    <w:rsid w:val="00983C25"/>
    <w:rsid w:val="009856B7"/>
    <w:rsid w:val="00985871"/>
    <w:rsid w:val="00985C86"/>
    <w:rsid w:val="009A07AA"/>
    <w:rsid w:val="009A2C4D"/>
    <w:rsid w:val="009A48E1"/>
    <w:rsid w:val="009A5073"/>
    <w:rsid w:val="009A5FC3"/>
    <w:rsid w:val="009A7EC9"/>
    <w:rsid w:val="009B74B0"/>
    <w:rsid w:val="009D6B46"/>
    <w:rsid w:val="009E4F46"/>
    <w:rsid w:val="009F0D00"/>
    <w:rsid w:val="009F0F90"/>
    <w:rsid w:val="009F4940"/>
    <w:rsid w:val="009F5BA1"/>
    <w:rsid w:val="009F659A"/>
    <w:rsid w:val="009F7BE1"/>
    <w:rsid w:val="00A02A88"/>
    <w:rsid w:val="00A0562E"/>
    <w:rsid w:val="00A0726D"/>
    <w:rsid w:val="00A073F1"/>
    <w:rsid w:val="00A14652"/>
    <w:rsid w:val="00A278B0"/>
    <w:rsid w:val="00A32FBB"/>
    <w:rsid w:val="00A33EA9"/>
    <w:rsid w:val="00A428EE"/>
    <w:rsid w:val="00A4478A"/>
    <w:rsid w:val="00A44852"/>
    <w:rsid w:val="00A55C47"/>
    <w:rsid w:val="00A56FCA"/>
    <w:rsid w:val="00A57D04"/>
    <w:rsid w:val="00A60A26"/>
    <w:rsid w:val="00A61598"/>
    <w:rsid w:val="00A66382"/>
    <w:rsid w:val="00A77E1C"/>
    <w:rsid w:val="00A84A99"/>
    <w:rsid w:val="00A84F46"/>
    <w:rsid w:val="00A871F4"/>
    <w:rsid w:val="00AA0EC9"/>
    <w:rsid w:val="00AC1B2C"/>
    <w:rsid w:val="00AC2A00"/>
    <w:rsid w:val="00AC3264"/>
    <w:rsid w:val="00AC6721"/>
    <w:rsid w:val="00AC74BB"/>
    <w:rsid w:val="00AD5890"/>
    <w:rsid w:val="00AE1BF1"/>
    <w:rsid w:val="00AE3B90"/>
    <w:rsid w:val="00AF0DD2"/>
    <w:rsid w:val="00AF180C"/>
    <w:rsid w:val="00AF1F9E"/>
    <w:rsid w:val="00AF65C8"/>
    <w:rsid w:val="00B108CC"/>
    <w:rsid w:val="00B12D67"/>
    <w:rsid w:val="00B12E46"/>
    <w:rsid w:val="00B13048"/>
    <w:rsid w:val="00B1716D"/>
    <w:rsid w:val="00B17A1D"/>
    <w:rsid w:val="00B207A0"/>
    <w:rsid w:val="00B21994"/>
    <w:rsid w:val="00B440A0"/>
    <w:rsid w:val="00B514DD"/>
    <w:rsid w:val="00B5255B"/>
    <w:rsid w:val="00B52AF0"/>
    <w:rsid w:val="00B561BD"/>
    <w:rsid w:val="00B56E03"/>
    <w:rsid w:val="00B8080B"/>
    <w:rsid w:val="00B84FCF"/>
    <w:rsid w:val="00B85958"/>
    <w:rsid w:val="00B87BA5"/>
    <w:rsid w:val="00B87C39"/>
    <w:rsid w:val="00B906E0"/>
    <w:rsid w:val="00B92532"/>
    <w:rsid w:val="00B94699"/>
    <w:rsid w:val="00BA211A"/>
    <w:rsid w:val="00BA4665"/>
    <w:rsid w:val="00BA5AFC"/>
    <w:rsid w:val="00BA77C4"/>
    <w:rsid w:val="00BB2FB2"/>
    <w:rsid w:val="00BB3304"/>
    <w:rsid w:val="00BC1F06"/>
    <w:rsid w:val="00BC3F1E"/>
    <w:rsid w:val="00BC7556"/>
    <w:rsid w:val="00BD3446"/>
    <w:rsid w:val="00BD6BE8"/>
    <w:rsid w:val="00BD7DAE"/>
    <w:rsid w:val="00BE1F1B"/>
    <w:rsid w:val="00BE47B5"/>
    <w:rsid w:val="00C060D7"/>
    <w:rsid w:val="00C07523"/>
    <w:rsid w:val="00C224C4"/>
    <w:rsid w:val="00C25FA6"/>
    <w:rsid w:val="00C334AC"/>
    <w:rsid w:val="00C35158"/>
    <w:rsid w:val="00C3659A"/>
    <w:rsid w:val="00C43D34"/>
    <w:rsid w:val="00C508DB"/>
    <w:rsid w:val="00C5352F"/>
    <w:rsid w:val="00C538A9"/>
    <w:rsid w:val="00C53B5A"/>
    <w:rsid w:val="00C54F5A"/>
    <w:rsid w:val="00C55C3E"/>
    <w:rsid w:val="00C569B4"/>
    <w:rsid w:val="00C67A92"/>
    <w:rsid w:val="00C86679"/>
    <w:rsid w:val="00C90091"/>
    <w:rsid w:val="00C947EE"/>
    <w:rsid w:val="00CA489E"/>
    <w:rsid w:val="00CB0279"/>
    <w:rsid w:val="00CB41D3"/>
    <w:rsid w:val="00CB666B"/>
    <w:rsid w:val="00CB6773"/>
    <w:rsid w:val="00CC7F1D"/>
    <w:rsid w:val="00CD17E2"/>
    <w:rsid w:val="00CD1A33"/>
    <w:rsid w:val="00CE07C5"/>
    <w:rsid w:val="00CE1FA9"/>
    <w:rsid w:val="00CE701A"/>
    <w:rsid w:val="00D006AE"/>
    <w:rsid w:val="00D01CF0"/>
    <w:rsid w:val="00D0442A"/>
    <w:rsid w:val="00D048D8"/>
    <w:rsid w:val="00D0577F"/>
    <w:rsid w:val="00D16AE3"/>
    <w:rsid w:val="00D20BDA"/>
    <w:rsid w:val="00D21F3B"/>
    <w:rsid w:val="00D22A03"/>
    <w:rsid w:val="00D22BC0"/>
    <w:rsid w:val="00D22D84"/>
    <w:rsid w:val="00D2729F"/>
    <w:rsid w:val="00D43187"/>
    <w:rsid w:val="00D44E45"/>
    <w:rsid w:val="00D44F0B"/>
    <w:rsid w:val="00D459C7"/>
    <w:rsid w:val="00D4639B"/>
    <w:rsid w:val="00D52BCC"/>
    <w:rsid w:val="00D53BF2"/>
    <w:rsid w:val="00D55A5B"/>
    <w:rsid w:val="00D6081E"/>
    <w:rsid w:val="00D60B1D"/>
    <w:rsid w:val="00D61388"/>
    <w:rsid w:val="00D61A54"/>
    <w:rsid w:val="00D64DEA"/>
    <w:rsid w:val="00D70790"/>
    <w:rsid w:val="00D7168E"/>
    <w:rsid w:val="00D71E57"/>
    <w:rsid w:val="00D7315B"/>
    <w:rsid w:val="00D75070"/>
    <w:rsid w:val="00D80893"/>
    <w:rsid w:val="00D84854"/>
    <w:rsid w:val="00D92CF1"/>
    <w:rsid w:val="00D92D38"/>
    <w:rsid w:val="00D950F5"/>
    <w:rsid w:val="00DA23BE"/>
    <w:rsid w:val="00DA4752"/>
    <w:rsid w:val="00DA4FB9"/>
    <w:rsid w:val="00DA61F3"/>
    <w:rsid w:val="00DB0F93"/>
    <w:rsid w:val="00DB1A67"/>
    <w:rsid w:val="00DB5074"/>
    <w:rsid w:val="00DC7981"/>
    <w:rsid w:val="00DD1326"/>
    <w:rsid w:val="00DD30DE"/>
    <w:rsid w:val="00DD5364"/>
    <w:rsid w:val="00DE1093"/>
    <w:rsid w:val="00DE4EFA"/>
    <w:rsid w:val="00DE5520"/>
    <w:rsid w:val="00DE563D"/>
    <w:rsid w:val="00DF14D6"/>
    <w:rsid w:val="00E04818"/>
    <w:rsid w:val="00E06442"/>
    <w:rsid w:val="00E10F7B"/>
    <w:rsid w:val="00E229BA"/>
    <w:rsid w:val="00E231C3"/>
    <w:rsid w:val="00E23993"/>
    <w:rsid w:val="00E25B8C"/>
    <w:rsid w:val="00E348B7"/>
    <w:rsid w:val="00E36DBE"/>
    <w:rsid w:val="00E400A5"/>
    <w:rsid w:val="00E41A22"/>
    <w:rsid w:val="00E64A8E"/>
    <w:rsid w:val="00E65C85"/>
    <w:rsid w:val="00E66199"/>
    <w:rsid w:val="00E755EC"/>
    <w:rsid w:val="00E7624D"/>
    <w:rsid w:val="00E8354B"/>
    <w:rsid w:val="00E84307"/>
    <w:rsid w:val="00E85982"/>
    <w:rsid w:val="00EA3D42"/>
    <w:rsid w:val="00EA54E8"/>
    <w:rsid w:val="00EA6B1B"/>
    <w:rsid w:val="00EA6DB6"/>
    <w:rsid w:val="00EC0BFB"/>
    <w:rsid w:val="00EC5608"/>
    <w:rsid w:val="00EC70DC"/>
    <w:rsid w:val="00ED3A82"/>
    <w:rsid w:val="00ED7323"/>
    <w:rsid w:val="00EE08B1"/>
    <w:rsid w:val="00EE28F3"/>
    <w:rsid w:val="00EE4588"/>
    <w:rsid w:val="00EE7152"/>
    <w:rsid w:val="00EF47A0"/>
    <w:rsid w:val="00EF5110"/>
    <w:rsid w:val="00F04631"/>
    <w:rsid w:val="00F10411"/>
    <w:rsid w:val="00F14CB0"/>
    <w:rsid w:val="00F15882"/>
    <w:rsid w:val="00F171E0"/>
    <w:rsid w:val="00F17CFE"/>
    <w:rsid w:val="00F20BD3"/>
    <w:rsid w:val="00F373A5"/>
    <w:rsid w:val="00F474F4"/>
    <w:rsid w:val="00F47559"/>
    <w:rsid w:val="00F54867"/>
    <w:rsid w:val="00F62EFE"/>
    <w:rsid w:val="00F62FB5"/>
    <w:rsid w:val="00F64C7B"/>
    <w:rsid w:val="00F67161"/>
    <w:rsid w:val="00F676DD"/>
    <w:rsid w:val="00F75A26"/>
    <w:rsid w:val="00F76706"/>
    <w:rsid w:val="00F81556"/>
    <w:rsid w:val="00F83FAD"/>
    <w:rsid w:val="00F921EF"/>
    <w:rsid w:val="00F952A0"/>
    <w:rsid w:val="00F97562"/>
    <w:rsid w:val="00FA3C7F"/>
    <w:rsid w:val="00FA584E"/>
    <w:rsid w:val="00FB2210"/>
    <w:rsid w:val="00FB25B5"/>
    <w:rsid w:val="00FB5A19"/>
    <w:rsid w:val="00FB74E2"/>
    <w:rsid w:val="00FC10C4"/>
    <w:rsid w:val="00FC6122"/>
    <w:rsid w:val="00FD5614"/>
    <w:rsid w:val="00FE0494"/>
    <w:rsid w:val="00FE0BE1"/>
    <w:rsid w:val="00FE1DE9"/>
    <w:rsid w:val="00FE36AF"/>
    <w:rsid w:val="00FE39C2"/>
    <w:rsid w:val="00FE3C32"/>
    <w:rsid w:val="00FE57C6"/>
    <w:rsid w:val="00FE64AE"/>
    <w:rsid w:val="00FE673D"/>
    <w:rsid w:val="00FF0B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8E433E"/>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8E433E"/>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8E433E"/>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8E433E"/>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8E433E"/>
    <w:rPr>
      <w:rFonts w:ascii="Gautami" w:eastAsia="Calibri" w:hAnsi="Gautami" w:cs="Times New Roman"/>
      <w:sz w:val="20"/>
      <w:szCs w:val="20"/>
    </w:rPr>
  </w:style>
  <w:style w:type="paragraph" w:customStyle="1" w:styleId="Default">
    <w:name w:val="Default"/>
    <w:rsid w:val="00067D1F"/>
    <w:pPr>
      <w:autoSpaceDE w:val="0"/>
      <w:autoSpaceDN w:val="0"/>
      <w:adjustRightInd w:val="0"/>
      <w:spacing w:before="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8E433E"/>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8E433E"/>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8E433E"/>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8E433E"/>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8E433E"/>
    <w:rPr>
      <w:rFonts w:ascii="Gautami" w:eastAsia="Calibri" w:hAnsi="Gautami" w:cs="Times New Roman"/>
      <w:sz w:val="20"/>
      <w:szCs w:val="20"/>
    </w:rPr>
  </w:style>
  <w:style w:type="paragraph" w:customStyle="1" w:styleId="Default">
    <w:name w:val="Default"/>
    <w:rsid w:val="00067D1F"/>
    <w:pPr>
      <w:autoSpaceDE w:val="0"/>
      <w:autoSpaceDN w:val="0"/>
      <w:adjustRightInd w:val="0"/>
      <w:spacing w:befor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8123">
      <w:bodyDiv w:val="1"/>
      <w:marLeft w:val="0"/>
      <w:marRight w:val="0"/>
      <w:marTop w:val="0"/>
      <w:marBottom w:val="0"/>
      <w:divBdr>
        <w:top w:val="none" w:sz="0" w:space="0" w:color="auto"/>
        <w:left w:val="none" w:sz="0" w:space="0" w:color="auto"/>
        <w:bottom w:val="none" w:sz="0" w:space="0" w:color="auto"/>
        <w:right w:val="none" w:sz="0" w:space="0" w:color="auto"/>
      </w:divBdr>
    </w:div>
    <w:div w:id="119538740">
      <w:bodyDiv w:val="1"/>
      <w:marLeft w:val="0"/>
      <w:marRight w:val="0"/>
      <w:marTop w:val="0"/>
      <w:marBottom w:val="0"/>
      <w:divBdr>
        <w:top w:val="none" w:sz="0" w:space="0" w:color="auto"/>
        <w:left w:val="none" w:sz="0" w:space="0" w:color="auto"/>
        <w:bottom w:val="none" w:sz="0" w:space="0" w:color="auto"/>
        <w:right w:val="none" w:sz="0" w:space="0" w:color="auto"/>
      </w:divBdr>
    </w:div>
    <w:div w:id="124666527">
      <w:bodyDiv w:val="1"/>
      <w:marLeft w:val="0"/>
      <w:marRight w:val="0"/>
      <w:marTop w:val="0"/>
      <w:marBottom w:val="0"/>
      <w:divBdr>
        <w:top w:val="none" w:sz="0" w:space="0" w:color="auto"/>
        <w:left w:val="none" w:sz="0" w:space="0" w:color="auto"/>
        <w:bottom w:val="none" w:sz="0" w:space="0" w:color="auto"/>
        <w:right w:val="none" w:sz="0" w:space="0" w:color="auto"/>
      </w:divBdr>
    </w:div>
    <w:div w:id="50436726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53584865">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14839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92960775">
      <w:bodyDiv w:val="1"/>
      <w:marLeft w:val="0"/>
      <w:marRight w:val="0"/>
      <w:marTop w:val="0"/>
      <w:marBottom w:val="0"/>
      <w:divBdr>
        <w:top w:val="none" w:sz="0" w:space="0" w:color="auto"/>
        <w:left w:val="none" w:sz="0" w:space="0" w:color="auto"/>
        <w:bottom w:val="none" w:sz="0" w:space="0" w:color="auto"/>
        <w:right w:val="none" w:sz="0" w:space="0" w:color="auto"/>
      </w:divBdr>
    </w:div>
    <w:div w:id="1206336052">
      <w:bodyDiv w:val="1"/>
      <w:marLeft w:val="0"/>
      <w:marRight w:val="0"/>
      <w:marTop w:val="0"/>
      <w:marBottom w:val="0"/>
      <w:divBdr>
        <w:top w:val="none" w:sz="0" w:space="0" w:color="auto"/>
        <w:left w:val="none" w:sz="0" w:space="0" w:color="auto"/>
        <w:bottom w:val="none" w:sz="0" w:space="0" w:color="auto"/>
        <w:right w:val="none" w:sz="0" w:space="0" w:color="auto"/>
      </w:divBdr>
    </w:div>
    <w:div w:id="1335643234">
      <w:bodyDiv w:val="1"/>
      <w:marLeft w:val="0"/>
      <w:marRight w:val="0"/>
      <w:marTop w:val="0"/>
      <w:marBottom w:val="0"/>
      <w:divBdr>
        <w:top w:val="none" w:sz="0" w:space="0" w:color="auto"/>
        <w:left w:val="none" w:sz="0" w:space="0" w:color="auto"/>
        <w:bottom w:val="none" w:sz="0" w:space="0" w:color="auto"/>
        <w:right w:val="none" w:sz="0" w:space="0" w:color="auto"/>
      </w:divBdr>
    </w:div>
    <w:div w:id="1539121366">
      <w:bodyDiv w:val="1"/>
      <w:marLeft w:val="0"/>
      <w:marRight w:val="0"/>
      <w:marTop w:val="0"/>
      <w:marBottom w:val="0"/>
      <w:divBdr>
        <w:top w:val="none" w:sz="0" w:space="0" w:color="auto"/>
        <w:left w:val="none" w:sz="0" w:space="0" w:color="auto"/>
        <w:bottom w:val="none" w:sz="0" w:space="0" w:color="auto"/>
        <w:right w:val="none" w:sz="0" w:space="0" w:color="auto"/>
      </w:divBdr>
    </w:div>
    <w:div w:id="18708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AERInquiry@aer.gov.au"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18859" TargetMode="External"/><Relationship Id="rId2" Type="http://schemas.openxmlformats.org/officeDocument/2006/relationships/hyperlink" Target="http://www.aer.gov.au/Better-regulation" TargetMode="External"/><Relationship Id="rId1" Type="http://schemas.openxmlformats.org/officeDocument/2006/relationships/hyperlink" Target="http://www.aer.gov.au/node/18859" TargetMode="External"/><Relationship Id="rId4" Type="http://schemas.openxmlformats.org/officeDocument/2006/relationships/hyperlink" Target="http://www.scer.gov.au/files/2013/09/LMR-Decision-RIS-June-2013.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24F07709.dotm</Template>
  <TotalTime>0</TotalTime>
  <Pages>53</Pages>
  <Words>13637</Words>
  <Characters>77732</Characters>
  <Application>Microsoft Office Word</Application>
  <DocSecurity>0</DocSecurity>
  <Lines>647</Lines>
  <Paragraphs>182</Paragraphs>
  <ScaleCrop>false</ScaleCrop>
  <Company/>
  <LinksUpToDate>false</LinksUpToDate>
  <CharactersWithSpaces>91187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2015-06-01T23:19:00Z</dcterms:created>
  <dcterms:modified xsi:type="dcterms:W3CDTF">2015-06-01T23:20:00Z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