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07826DF8" wp14:editId="31C16E67">
                <wp:simplePos x="0" y="0"/>
                <wp:positionH relativeFrom="column">
                  <wp:posOffset>-1116965</wp:posOffset>
                </wp:positionH>
                <wp:positionV relativeFrom="paragraph">
                  <wp:posOffset>-997406</wp:posOffset>
                </wp:positionV>
                <wp:extent cx="7734300" cy="10927003"/>
                <wp:effectExtent l="0" t="0" r="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7734300" cy="10927003"/>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64B53ECE" wp14:editId="1837596D">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DB4E34">
            <w:t>FINAL</w:t>
          </w:r>
          <w:r w:rsidR="00DA4752">
            <w:t xml:space="preserve"> DECISION</w:t>
          </w:r>
        </w:p>
        <w:p w:rsidR="00415F31" w:rsidRDefault="0033558F" w:rsidP="008F07A3">
          <w:pPr>
            <w:pStyle w:val="ReportSubtitle"/>
          </w:pPr>
          <w:r>
            <w:t>Jemena</w:t>
          </w:r>
          <w:r w:rsidR="004523B2">
            <w:t xml:space="preserve"> distribution</w:t>
          </w:r>
          <w:r w:rsidR="00415F31">
            <w:t xml:space="preserve"> </w:t>
          </w:r>
          <w:r w:rsidR="00DA4752">
            <w:t>determination</w:t>
          </w:r>
        </w:p>
        <w:p w:rsidR="000A6C7B" w:rsidRDefault="00DA4752" w:rsidP="008F07A3">
          <w:pPr>
            <w:pStyle w:val="ReportSubtitle"/>
          </w:pPr>
          <w:r>
            <w:t xml:space="preserve"> </w:t>
          </w:r>
          <w:r w:rsidR="00DB4E34">
            <w:t>2016 to 2020</w:t>
          </w:r>
        </w:p>
        <w:p w:rsidR="008F07A3" w:rsidRPr="000A6C7B" w:rsidRDefault="008F07A3" w:rsidP="008F07A3">
          <w:pPr>
            <w:pStyle w:val="ReportSubtitle"/>
          </w:pPr>
        </w:p>
        <w:p w:rsidR="000A6C7B" w:rsidRDefault="0037699E" w:rsidP="008F07A3">
          <w:pPr>
            <w:pStyle w:val="ReportSubtitle"/>
          </w:pPr>
          <w:r>
            <w:t xml:space="preserve">Attachment </w:t>
          </w:r>
          <w:r w:rsidR="00DB4E34">
            <w:t>1</w:t>
          </w:r>
          <w:r w:rsidR="00077383">
            <w:t>0</w:t>
          </w:r>
          <w:r w:rsidR="000474DF">
            <w:t xml:space="preserve"> </w:t>
          </w:r>
          <w:r w:rsidR="00185BA5">
            <w:t>–</w:t>
          </w:r>
          <w:r w:rsidR="000474DF">
            <w:t xml:space="preserve"> </w:t>
          </w:r>
          <w:r w:rsidR="00077383">
            <w:t>Capital expenditure sharing</w:t>
          </w:r>
          <w:r w:rsidR="00896D92">
            <w:t xml:space="preserve"> scheme</w:t>
          </w:r>
        </w:p>
        <w:p w:rsidR="000A6C7B" w:rsidRPr="00327A1E" w:rsidRDefault="006E73BB" w:rsidP="00327A1E">
          <w:pPr>
            <w:pStyle w:val="ReportDate"/>
          </w:pPr>
          <w:r>
            <w:t>May</w:t>
          </w:r>
          <w:r w:rsidR="00DB4E34">
            <w:t xml:space="preserve"> 2016</w:t>
          </w:r>
        </w:p>
      </w:sdtContent>
    </w:sdt>
    <w:p w:rsidR="00327A1E" w:rsidRPr="00290C63" w:rsidRDefault="00327A1E" w:rsidP="00290C63">
      <w:r>
        <w:br w:type="page"/>
      </w:r>
    </w:p>
    <w:p w:rsidR="00CE2A23" w:rsidRDefault="00CE2A23" w:rsidP="00761454">
      <w:bookmarkStart w:id="1"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Tel: (03) 9290 1444</w:t>
      </w:r>
      <w:r>
        <w:br/>
        <w:t>Fax: (03) 9290 1457</w:t>
      </w:r>
    </w:p>
    <w:p w:rsidR="00CE2A23" w:rsidRDefault="00CE2A23" w:rsidP="00761454">
      <w:r>
        <w:t xml:space="preserve">Email: </w:t>
      </w:r>
      <w:hyperlink r:id="rId11"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2" w:name="_Toc404153950"/>
      <w:bookmarkStart w:id="3" w:name="_Toc404437593"/>
      <w:bookmarkStart w:id="4" w:name="_Toc447901146"/>
      <w:r>
        <w:lastRenderedPageBreak/>
        <w:t>Note</w:t>
      </w:r>
      <w:bookmarkEnd w:id="2"/>
      <w:bookmarkEnd w:id="3"/>
      <w:bookmarkEnd w:id="4"/>
    </w:p>
    <w:p w:rsidR="00761454" w:rsidRDefault="00761454" w:rsidP="00761454">
      <w:pPr>
        <w:numPr>
          <w:ilvl w:val="0"/>
          <w:numId w:val="24"/>
        </w:numPr>
      </w:pPr>
      <w:r>
        <w:t xml:space="preserve">This </w:t>
      </w:r>
      <w:r w:rsidR="00414E5F">
        <w:t xml:space="preserve">attachment </w:t>
      </w:r>
      <w:r>
        <w:t xml:space="preserve">forms part of the AER's </w:t>
      </w:r>
      <w:r w:rsidR="00DB4E34">
        <w:t>final</w:t>
      </w:r>
      <w:r w:rsidR="000474DF">
        <w:t xml:space="preserve"> </w:t>
      </w:r>
      <w:r>
        <w:t xml:space="preserve">decision on </w:t>
      </w:r>
      <w:r w:rsidR="0033558F">
        <w:t>Jemena's</w:t>
      </w:r>
      <w:r w:rsidR="004523B2">
        <w:t xml:space="preserve"> distribution</w:t>
      </w:r>
      <w:r>
        <w:t xml:space="preserve"> determination for 201</w:t>
      </w:r>
      <w:r w:rsidR="00C75E3E">
        <w:t>6</w:t>
      </w:r>
      <w:r w:rsidRPr="00F02D30">
        <w:t>–</w:t>
      </w:r>
      <w:r w:rsidR="00C75E3E">
        <w:t>20</w:t>
      </w:r>
      <w:r>
        <w:t xml:space="preserve">. It should be read with </w:t>
      </w:r>
      <w:r w:rsidR="000474DF">
        <w:t xml:space="preserve">all </w:t>
      </w:r>
      <w:r>
        <w:t xml:space="preserve">other parts of the </w:t>
      </w:r>
      <w:r w:rsidR="00DB4E34">
        <w:t>final</w:t>
      </w:r>
      <w:r>
        <w:t xml:space="preserve"> decision.</w:t>
      </w:r>
    </w:p>
    <w:p w:rsidR="00761454" w:rsidRDefault="00761454" w:rsidP="00761454">
      <w:pPr>
        <w:numPr>
          <w:ilvl w:val="0"/>
          <w:numId w:val="24"/>
        </w:numPr>
      </w:pPr>
      <w:r>
        <w:t xml:space="preserve">The </w:t>
      </w:r>
      <w:r w:rsidR="00DB4E34">
        <w:t>final</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 xml:space="preserve">Attachment 18 – </w:t>
      </w:r>
      <w:r w:rsidR="00DB4E34">
        <w:t>f-factor scheme</w:t>
      </w:r>
    </w:p>
    <w:p w:rsidR="004523B2" w:rsidRPr="00F02D30" w:rsidRDefault="004523B2" w:rsidP="00761454">
      <w:pPr>
        <w:numPr>
          <w:ilvl w:val="0"/>
          <w:numId w:val="24"/>
        </w:numPr>
      </w:pPr>
    </w:p>
    <w:p w:rsidR="00761454" w:rsidRPr="009D3906" w:rsidRDefault="00761454" w:rsidP="00761454"/>
    <w:p w:rsidR="00CE2A23" w:rsidRPr="00CE2A23" w:rsidRDefault="00CE2A23" w:rsidP="00CE2A23">
      <w:bookmarkStart w:id="5" w:name="_Toc404354899"/>
      <w:bookmarkStart w:id="6" w:name="_Toc404353070"/>
      <w:bookmarkStart w:id="7" w:name="_Toc404684201"/>
      <w:bookmarkStart w:id="8" w:name="_Toc404700923"/>
      <w:r>
        <w:br w:type="page"/>
      </w:r>
    </w:p>
    <w:bookmarkEnd w:id="5"/>
    <w:bookmarkEnd w:id="6"/>
    <w:bookmarkEnd w:id="7"/>
    <w:bookmarkEnd w:id="8"/>
    <w:p w:rsidR="00CE2A23" w:rsidRPr="008F07A3" w:rsidRDefault="00CE2A23" w:rsidP="00CE2A23">
      <w:pPr>
        <w:numPr>
          <w:ilvl w:val="0"/>
          <w:numId w:val="24"/>
        </w:numPr>
        <w:sectPr w:rsidR="00CE2A23" w:rsidRPr="008F07A3" w:rsidSect="00317E02">
          <w:footerReference w:type="even" r:id="rId12"/>
          <w:footerReference w:type="default" r:id="rId13"/>
          <w:footerReference w:type="first" r:id="rId14"/>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9" w:name="_Toc403144133"/>
      <w:bookmarkStart w:id="10" w:name="_Toc447901147"/>
      <w:r>
        <w:lastRenderedPageBreak/>
        <w:t>Contents</w:t>
      </w:r>
      <w:bookmarkEnd w:id="9"/>
      <w:bookmarkEnd w:id="10"/>
    </w:p>
    <w:p w:rsidR="00CE2A23" w:rsidRDefault="00CE2A23" w:rsidP="00CE2A23"/>
    <w:sdt>
      <w:sdtPr>
        <w:id w:val="1269200322"/>
        <w:docPartObj>
          <w:docPartGallery w:val="Table of Contents"/>
          <w:docPartUnique/>
        </w:docPartObj>
      </w:sdtPr>
      <w:sdtEndPr/>
      <w:sdtContent>
        <w:p w:rsidR="00593BD0" w:rsidRDefault="00CD283C">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7,1,Heading 8,2,Heading 9,3" </w:instrText>
          </w:r>
          <w:r>
            <w:fldChar w:fldCharType="separate"/>
          </w:r>
          <w:hyperlink w:anchor="_Toc447901146" w:history="1">
            <w:r w:rsidR="00593BD0" w:rsidRPr="00D82A87">
              <w:rPr>
                <w:rStyle w:val="Hyperlink"/>
              </w:rPr>
              <w:t>Note</w:t>
            </w:r>
            <w:r w:rsidR="00593BD0">
              <w:rPr>
                <w:webHidden/>
              </w:rPr>
              <w:tab/>
            </w:r>
            <w:r w:rsidR="00593BD0">
              <w:rPr>
                <w:webHidden/>
              </w:rPr>
              <w:fldChar w:fldCharType="begin"/>
            </w:r>
            <w:r w:rsidR="00593BD0">
              <w:rPr>
                <w:webHidden/>
              </w:rPr>
              <w:instrText xml:space="preserve"> PAGEREF _Toc447901146 \h </w:instrText>
            </w:r>
            <w:r w:rsidR="00593BD0">
              <w:rPr>
                <w:webHidden/>
              </w:rPr>
            </w:r>
            <w:r w:rsidR="00593BD0">
              <w:rPr>
                <w:webHidden/>
              </w:rPr>
              <w:fldChar w:fldCharType="separate"/>
            </w:r>
            <w:r w:rsidR="00ED1A32">
              <w:rPr>
                <w:webHidden/>
              </w:rPr>
              <w:t>10-2</w:t>
            </w:r>
            <w:r w:rsidR="00593BD0">
              <w:rPr>
                <w:webHidden/>
              </w:rPr>
              <w:fldChar w:fldCharType="end"/>
            </w:r>
          </w:hyperlink>
        </w:p>
        <w:p w:rsidR="00593BD0" w:rsidRDefault="001B5DE9">
          <w:pPr>
            <w:pStyle w:val="TOC1"/>
            <w:rPr>
              <w:rFonts w:asciiTheme="minorHAnsi" w:eastAsiaTheme="minorEastAsia" w:hAnsiTheme="minorHAnsi"/>
              <w:b w:val="0"/>
              <w:color w:val="auto"/>
              <w:sz w:val="22"/>
              <w:lang w:val="en-AU" w:eastAsia="en-AU"/>
            </w:rPr>
          </w:pPr>
          <w:hyperlink w:anchor="_Toc447901147" w:history="1">
            <w:r w:rsidR="00593BD0" w:rsidRPr="00D82A87">
              <w:rPr>
                <w:rStyle w:val="Hyperlink"/>
              </w:rPr>
              <w:t>Contents</w:t>
            </w:r>
            <w:r w:rsidR="00593BD0">
              <w:rPr>
                <w:webHidden/>
              </w:rPr>
              <w:tab/>
            </w:r>
            <w:r w:rsidR="00593BD0">
              <w:rPr>
                <w:webHidden/>
              </w:rPr>
              <w:fldChar w:fldCharType="begin"/>
            </w:r>
            <w:r w:rsidR="00593BD0">
              <w:rPr>
                <w:webHidden/>
              </w:rPr>
              <w:instrText xml:space="preserve"> PAGEREF _Toc447901147 \h </w:instrText>
            </w:r>
            <w:r w:rsidR="00593BD0">
              <w:rPr>
                <w:webHidden/>
              </w:rPr>
            </w:r>
            <w:r w:rsidR="00593BD0">
              <w:rPr>
                <w:webHidden/>
              </w:rPr>
              <w:fldChar w:fldCharType="separate"/>
            </w:r>
            <w:r w:rsidR="00ED1A32">
              <w:rPr>
                <w:webHidden/>
              </w:rPr>
              <w:t>10-3</w:t>
            </w:r>
            <w:r w:rsidR="00593BD0">
              <w:rPr>
                <w:webHidden/>
              </w:rPr>
              <w:fldChar w:fldCharType="end"/>
            </w:r>
          </w:hyperlink>
        </w:p>
        <w:p w:rsidR="00593BD0" w:rsidRDefault="001B5DE9">
          <w:pPr>
            <w:pStyle w:val="TOC1"/>
            <w:rPr>
              <w:rFonts w:asciiTheme="minorHAnsi" w:eastAsiaTheme="minorEastAsia" w:hAnsiTheme="minorHAnsi"/>
              <w:b w:val="0"/>
              <w:color w:val="auto"/>
              <w:sz w:val="22"/>
              <w:lang w:val="en-AU" w:eastAsia="en-AU"/>
            </w:rPr>
          </w:pPr>
          <w:hyperlink w:anchor="_Toc447901148" w:history="1">
            <w:r w:rsidR="00593BD0" w:rsidRPr="00D82A87">
              <w:rPr>
                <w:rStyle w:val="Hyperlink"/>
              </w:rPr>
              <w:t>Shortened forms</w:t>
            </w:r>
            <w:r w:rsidR="00593BD0">
              <w:rPr>
                <w:webHidden/>
              </w:rPr>
              <w:tab/>
            </w:r>
            <w:r w:rsidR="00593BD0">
              <w:rPr>
                <w:webHidden/>
              </w:rPr>
              <w:fldChar w:fldCharType="begin"/>
            </w:r>
            <w:r w:rsidR="00593BD0">
              <w:rPr>
                <w:webHidden/>
              </w:rPr>
              <w:instrText xml:space="preserve"> PAGEREF _Toc447901148 \h </w:instrText>
            </w:r>
            <w:r w:rsidR="00593BD0">
              <w:rPr>
                <w:webHidden/>
              </w:rPr>
            </w:r>
            <w:r w:rsidR="00593BD0">
              <w:rPr>
                <w:webHidden/>
              </w:rPr>
              <w:fldChar w:fldCharType="separate"/>
            </w:r>
            <w:r w:rsidR="00ED1A32">
              <w:rPr>
                <w:webHidden/>
              </w:rPr>
              <w:t>10-4</w:t>
            </w:r>
            <w:r w:rsidR="00593BD0">
              <w:rPr>
                <w:webHidden/>
              </w:rPr>
              <w:fldChar w:fldCharType="end"/>
            </w:r>
          </w:hyperlink>
        </w:p>
        <w:p w:rsidR="00593BD0" w:rsidRDefault="001B5DE9">
          <w:pPr>
            <w:pStyle w:val="TOC1"/>
            <w:rPr>
              <w:rFonts w:asciiTheme="minorHAnsi" w:eastAsiaTheme="minorEastAsia" w:hAnsiTheme="minorHAnsi"/>
              <w:b w:val="0"/>
              <w:color w:val="auto"/>
              <w:sz w:val="22"/>
              <w:lang w:val="en-AU" w:eastAsia="en-AU"/>
            </w:rPr>
          </w:pPr>
          <w:hyperlink w:anchor="_Toc447901149" w:history="1">
            <w:r w:rsidR="00593BD0" w:rsidRPr="00D82A87">
              <w:rPr>
                <w:rStyle w:val="Hyperlink"/>
              </w:rPr>
              <w:t>10</w:t>
            </w:r>
            <w:r w:rsidR="00593BD0">
              <w:rPr>
                <w:rFonts w:asciiTheme="minorHAnsi" w:eastAsiaTheme="minorEastAsia" w:hAnsiTheme="minorHAnsi"/>
                <w:b w:val="0"/>
                <w:color w:val="auto"/>
                <w:sz w:val="22"/>
                <w:lang w:val="en-AU" w:eastAsia="en-AU"/>
              </w:rPr>
              <w:tab/>
            </w:r>
            <w:r w:rsidR="00593BD0" w:rsidRPr="00D82A87">
              <w:rPr>
                <w:rStyle w:val="Hyperlink"/>
              </w:rPr>
              <w:t>Capital expenditure sharing scheme</w:t>
            </w:r>
            <w:r w:rsidR="00593BD0">
              <w:rPr>
                <w:webHidden/>
              </w:rPr>
              <w:tab/>
            </w:r>
            <w:r w:rsidR="00593BD0">
              <w:rPr>
                <w:webHidden/>
              </w:rPr>
              <w:fldChar w:fldCharType="begin"/>
            </w:r>
            <w:r w:rsidR="00593BD0">
              <w:rPr>
                <w:webHidden/>
              </w:rPr>
              <w:instrText xml:space="preserve"> PAGEREF _Toc447901149 \h </w:instrText>
            </w:r>
            <w:r w:rsidR="00593BD0">
              <w:rPr>
                <w:webHidden/>
              </w:rPr>
            </w:r>
            <w:r w:rsidR="00593BD0">
              <w:rPr>
                <w:webHidden/>
              </w:rPr>
              <w:fldChar w:fldCharType="separate"/>
            </w:r>
            <w:r w:rsidR="00ED1A32">
              <w:rPr>
                <w:webHidden/>
              </w:rPr>
              <w:t>10-6</w:t>
            </w:r>
            <w:r w:rsidR="00593BD0">
              <w:rPr>
                <w:webHidden/>
              </w:rPr>
              <w:fldChar w:fldCharType="end"/>
            </w:r>
          </w:hyperlink>
        </w:p>
        <w:p w:rsidR="00593BD0" w:rsidRDefault="001B5DE9">
          <w:pPr>
            <w:pStyle w:val="TOC2"/>
            <w:tabs>
              <w:tab w:val="left" w:pos="1276"/>
            </w:tabs>
            <w:rPr>
              <w:rFonts w:asciiTheme="minorHAnsi" w:eastAsiaTheme="minorEastAsia" w:hAnsiTheme="minorHAnsi"/>
              <w:b w:val="0"/>
              <w:color w:val="auto"/>
              <w:sz w:val="22"/>
              <w:lang w:eastAsia="en-AU"/>
            </w:rPr>
          </w:pPr>
          <w:hyperlink w:anchor="_Toc447901150" w:history="1">
            <w:r w:rsidR="00593BD0" w:rsidRPr="00D82A87">
              <w:rPr>
                <w:rStyle w:val="Hyperlink"/>
              </w:rPr>
              <w:t>10.1</w:t>
            </w:r>
            <w:r w:rsidR="00593BD0">
              <w:rPr>
                <w:rFonts w:asciiTheme="minorHAnsi" w:eastAsiaTheme="minorEastAsia" w:hAnsiTheme="minorHAnsi"/>
                <w:b w:val="0"/>
                <w:color w:val="auto"/>
                <w:sz w:val="22"/>
                <w:lang w:eastAsia="en-AU"/>
              </w:rPr>
              <w:tab/>
            </w:r>
            <w:r w:rsidR="00593BD0" w:rsidRPr="00D82A87">
              <w:rPr>
                <w:rStyle w:val="Hyperlink"/>
              </w:rPr>
              <w:t>Final decision</w:t>
            </w:r>
            <w:r w:rsidR="00593BD0">
              <w:rPr>
                <w:webHidden/>
              </w:rPr>
              <w:tab/>
            </w:r>
            <w:r w:rsidR="00593BD0">
              <w:rPr>
                <w:webHidden/>
              </w:rPr>
              <w:fldChar w:fldCharType="begin"/>
            </w:r>
            <w:r w:rsidR="00593BD0">
              <w:rPr>
                <w:webHidden/>
              </w:rPr>
              <w:instrText xml:space="preserve"> PAGEREF _Toc447901150 \h </w:instrText>
            </w:r>
            <w:r w:rsidR="00593BD0">
              <w:rPr>
                <w:webHidden/>
              </w:rPr>
            </w:r>
            <w:r w:rsidR="00593BD0">
              <w:rPr>
                <w:webHidden/>
              </w:rPr>
              <w:fldChar w:fldCharType="separate"/>
            </w:r>
            <w:r w:rsidR="00ED1A32">
              <w:rPr>
                <w:webHidden/>
              </w:rPr>
              <w:t>10-6</w:t>
            </w:r>
            <w:r w:rsidR="00593BD0">
              <w:rPr>
                <w:webHidden/>
              </w:rPr>
              <w:fldChar w:fldCharType="end"/>
            </w:r>
          </w:hyperlink>
        </w:p>
        <w:p w:rsidR="00593BD0" w:rsidRDefault="001B5DE9">
          <w:pPr>
            <w:pStyle w:val="TOC2"/>
            <w:tabs>
              <w:tab w:val="left" w:pos="1276"/>
            </w:tabs>
            <w:rPr>
              <w:rFonts w:asciiTheme="minorHAnsi" w:eastAsiaTheme="minorEastAsia" w:hAnsiTheme="minorHAnsi"/>
              <w:b w:val="0"/>
              <w:color w:val="auto"/>
              <w:sz w:val="22"/>
              <w:lang w:eastAsia="en-AU"/>
            </w:rPr>
          </w:pPr>
          <w:hyperlink w:anchor="_Toc447901151" w:history="1">
            <w:r w:rsidR="00593BD0" w:rsidRPr="00D82A87">
              <w:rPr>
                <w:rStyle w:val="Hyperlink"/>
              </w:rPr>
              <w:t>10.2</w:t>
            </w:r>
            <w:r w:rsidR="00593BD0">
              <w:rPr>
                <w:rFonts w:asciiTheme="minorHAnsi" w:eastAsiaTheme="minorEastAsia" w:hAnsiTheme="minorHAnsi"/>
                <w:b w:val="0"/>
                <w:color w:val="auto"/>
                <w:sz w:val="22"/>
                <w:lang w:eastAsia="en-AU"/>
              </w:rPr>
              <w:tab/>
            </w:r>
            <w:r w:rsidR="00593BD0" w:rsidRPr="00D82A87">
              <w:rPr>
                <w:rStyle w:val="Hyperlink"/>
              </w:rPr>
              <w:t>Jemena's revised proposal</w:t>
            </w:r>
            <w:r w:rsidR="00593BD0">
              <w:rPr>
                <w:webHidden/>
              </w:rPr>
              <w:tab/>
            </w:r>
            <w:r w:rsidR="00593BD0">
              <w:rPr>
                <w:webHidden/>
              </w:rPr>
              <w:fldChar w:fldCharType="begin"/>
            </w:r>
            <w:r w:rsidR="00593BD0">
              <w:rPr>
                <w:webHidden/>
              </w:rPr>
              <w:instrText xml:space="preserve"> PAGEREF _Toc447901151 \h </w:instrText>
            </w:r>
            <w:r w:rsidR="00593BD0">
              <w:rPr>
                <w:webHidden/>
              </w:rPr>
            </w:r>
            <w:r w:rsidR="00593BD0">
              <w:rPr>
                <w:webHidden/>
              </w:rPr>
              <w:fldChar w:fldCharType="separate"/>
            </w:r>
            <w:r w:rsidR="00ED1A32">
              <w:rPr>
                <w:webHidden/>
              </w:rPr>
              <w:t>10-6</w:t>
            </w:r>
            <w:r w:rsidR="00593BD0">
              <w:rPr>
                <w:webHidden/>
              </w:rPr>
              <w:fldChar w:fldCharType="end"/>
            </w:r>
          </w:hyperlink>
        </w:p>
        <w:p w:rsidR="00593BD0" w:rsidRDefault="001B5DE9">
          <w:pPr>
            <w:pStyle w:val="TOC2"/>
            <w:tabs>
              <w:tab w:val="left" w:pos="1276"/>
            </w:tabs>
            <w:rPr>
              <w:rFonts w:asciiTheme="minorHAnsi" w:eastAsiaTheme="minorEastAsia" w:hAnsiTheme="minorHAnsi"/>
              <w:b w:val="0"/>
              <w:color w:val="auto"/>
              <w:sz w:val="22"/>
              <w:lang w:eastAsia="en-AU"/>
            </w:rPr>
          </w:pPr>
          <w:hyperlink w:anchor="_Toc447901152" w:history="1">
            <w:r w:rsidR="00593BD0" w:rsidRPr="00D82A87">
              <w:rPr>
                <w:rStyle w:val="Hyperlink"/>
              </w:rPr>
              <w:t>10.3</w:t>
            </w:r>
            <w:r w:rsidR="00593BD0">
              <w:rPr>
                <w:rFonts w:asciiTheme="minorHAnsi" w:eastAsiaTheme="minorEastAsia" w:hAnsiTheme="minorHAnsi"/>
                <w:b w:val="0"/>
                <w:color w:val="auto"/>
                <w:sz w:val="22"/>
                <w:lang w:eastAsia="en-AU"/>
              </w:rPr>
              <w:tab/>
            </w:r>
            <w:r w:rsidR="00593BD0" w:rsidRPr="00D82A87">
              <w:rPr>
                <w:rStyle w:val="Hyperlink"/>
              </w:rPr>
              <w:t>Assessment approach</w:t>
            </w:r>
            <w:r w:rsidR="00593BD0">
              <w:rPr>
                <w:webHidden/>
              </w:rPr>
              <w:tab/>
            </w:r>
            <w:r w:rsidR="00593BD0">
              <w:rPr>
                <w:webHidden/>
              </w:rPr>
              <w:fldChar w:fldCharType="begin"/>
            </w:r>
            <w:r w:rsidR="00593BD0">
              <w:rPr>
                <w:webHidden/>
              </w:rPr>
              <w:instrText xml:space="preserve"> PAGEREF _Toc447901152 \h </w:instrText>
            </w:r>
            <w:r w:rsidR="00593BD0">
              <w:rPr>
                <w:webHidden/>
              </w:rPr>
            </w:r>
            <w:r w:rsidR="00593BD0">
              <w:rPr>
                <w:webHidden/>
              </w:rPr>
              <w:fldChar w:fldCharType="separate"/>
            </w:r>
            <w:r w:rsidR="00ED1A32">
              <w:rPr>
                <w:webHidden/>
              </w:rPr>
              <w:t>10-7</w:t>
            </w:r>
            <w:r w:rsidR="00593BD0">
              <w:rPr>
                <w:webHidden/>
              </w:rPr>
              <w:fldChar w:fldCharType="end"/>
            </w:r>
          </w:hyperlink>
        </w:p>
        <w:p w:rsidR="00593BD0" w:rsidRDefault="001B5DE9">
          <w:pPr>
            <w:pStyle w:val="TOC3"/>
            <w:rPr>
              <w:rFonts w:asciiTheme="minorHAnsi" w:eastAsiaTheme="minorEastAsia" w:hAnsiTheme="minorHAnsi"/>
              <w:lang w:eastAsia="en-AU"/>
            </w:rPr>
          </w:pPr>
          <w:hyperlink w:anchor="_Toc447901153" w:history="1">
            <w:r w:rsidR="00593BD0" w:rsidRPr="00D82A87">
              <w:rPr>
                <w:rStyle w:val="Hyperlink"/>
              </w:rPr>
              <w:t>10.3.1</w:t>
            </w:r>
            <w:r w:rsidR="00593BD0">
              <w:rPr>
                <w:rFonts w:asciiTheme="minorHAnsi" w:eastAsiaTheme="minorEastAsia" w:hAnsiTheme="minorHAnsi"/>
                <w:lang w:eastAsia="en-AU"/>
              </w:rPr>
              <w:tab/>
            </w:r>
            <w:r w:rsidR="00593BD0" w:rsidRPr="00D82A87">
              <w:rPr>
                <w:rStyle w:val="Hyperlink"/>
              </w:rPr>
              <w:t>Interrelationships</w:t>
            </w:r>
            <w:r w:rsidR="00593BD0">
              <w:rPr>
                <w:webHidden/>
              </w:rPr>
              <w:tab/>
            </w:r>
            <w:r w:rsidR="00593BD0">
              <w:rPr>
                <w:webHidden/>
              </w:rPr>
              <w:fldChar w:fldCharType="begin"/>
            </w:r>
            <w:r w:rsidR="00593BD0">
              <w:rPr>
                <w:webHidden/>
              </w:rPr>
              <w:instrText xml:space="preserve"> PAGEREF _Toc447901153 \h </w:instrText>
            </w:r>
            <w:r w:rsidR="00593BD0">
              <w:rPr>
                <w:webHidden/>
              </w:rPr>
            </w:r>
            <w:r w:rsidR="00593BD0">
              <w:rPr>
                <w:webHidden/>
              </w:rPr>
              <w:fldChar w:fldCharType="separate"/>
            </w:r>
            <w:r w:rsidR="00ED1A32">
              <w:rPr>
                <w:webHidden/>
              </w:rPr>
              <w:t>10-7</w:t>
            </w:r>
            <w:r w:rsidR="00593BD0">
              <w:rPr>
                <w:webHidden/>
              </w:rPr>
              <w:fldChar w:fldCharType="end"/>
            </w:r>
          </w:hyperlink>
        </w:p>
        <w:p w:rsidR="00593BD0" w:rsidRDefault="001B5DE9">
          <w:pPr>
            <w:pStyle w:val="TOC2"/>
            <w:tabs>
              <w:tab w:val="left" w:pos="1276"/>
            </w:tabs>
            <w:rPr>
              <w:rFonts w:asciiTheme="minorHAnsi" w:eastAsiaTheme="minorEastAsia" w:hAnsiTheme="minorHAnsi"/>
              <w:b w:val="0"/>
              <w:color w:val="auto"/>
              <w:sz w:val="22"/>
              <w:lang w:eastAsia="en-AU"/>
            </w:rPr>
          </w:pPr>
          <w:hyperlink w:anchor="_Toc447901154" w:history="1">
            <w:r w:rsidR="00593BD0" w:rsidRPr="00D82A87">
              <w:rPr>
                <w:rStyle w:val="Hyperlink"/>
              </w:rPr>
              <w:t>10.4</w:t>
            </w:r>
            <w:r w:rsidR="00593BD0">
              <w:rPr>
                <w:rFonts w:asciiTheme="minorHAnsi" w:eastAsiaTheme="minorEastAsia" w:hAnsiTheme="minorHAnsi"/>
                <w:b w:val="0"/>
                <w:color w:val="auto"/>
                <w:sz w:val="22"/>
                <w:lang w:eastAsia="en-AU"/>
              </w:rPr>
              <w:tab/>
            </w:r>
            <w:r w:rsidR="00593BD0" w:rsidRPr="00D82A87">
              <w:rPr>
                <w:rStyle w:val="Hyperlink"/>
              </w:rPr>
              <w:t>Reasons for final decision</w:t>
            </w:r>
            <w:r w:rsidR="00593BD0">
              <w:rPr>
                <w:webHidden/>
              </w:rPr>
              <w:tab/>
            </w:r>
            <w:r w:rsidR="00593BD0">
              <w:rPr>
                <w:webHidden/>
              </w:rPr>
              <w:fldChar w:fldCharType="begin"/>
            </w:r>
            <w:r w:rsidR="00593BD0">
              <w:rPr>
                <w:webHidden/>
              </w:rPr>
              <w:instrText xml:space="preserve"> PAGEREF _Toc447901154 \h </w:instrText>
            </w:r>
            <w:r w:rsidR="00593BD0">
              <w:rPr>
                <w:webHidden/>
              </w:rPr>
            </w:r>
            <w:r w:rsidR="00593BD0">
              <w:rPr>
                <w:webHidden/>
              </w:rPr>
              <w:fldChar w:fldCharType="separate"/>
            </w:r>
            <w:r w:rsidR="00ED1A32">
              <w:rPr>
                <w:webHidden/>
              </w:rPr>
              <w:t>10-7</w:t>
            </w:r>
            <w:r w:rsidR="00593BD0">
              <w:rPr>
                <w:webHidden/>
              </w:rPr>
              <w:fldChar w:fldCharType="end"/>
            </w:r>
          </w:hyperlink>
        </w:p>
        <w:p w:rsidR="00CE2A23" w:rsidRDefault="00CD283C" w:rsidP="00CD283C">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1" w:name="_Toc404700925"/>
      <w:bookmarkStart w:id="12" w:name="_Toc447901148"/>
      <w:r>
        <w:lastRenderedPageBreak/>
        <w:t>Shortened forms</w:t>
      </w:r>
      <w:bookmarkEnd w:id="11"/>
      <w:bookmarkEnd w:id="12"/>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0F0F0A"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0F0F0A" w:rsidRPr="00712239" w:rsidRDefault="000F0F0A" w:rsidP="004523B2">
            <w:pPr>
              <w:pStyle w:val="AERtabletextleft"/>
              <w:rPr>
                <w:rStyle w:val="AERtextsize8"/>
              </w:rPr>
            </w:pPr>
            <w:r>
              <w:rPr>
                <w:rStyle w:val="AERtextsize8"/>
              </w:rPr>
              <w:t>AMI</w:t>
            </w:r>
          </w:p>
        </w:tc>
        <w:tc>
          <w:tcPr>
            <w:tcW w:w="4353" w:type="dxa"/>
          </w:tcPr>
          <w:p w:rsidR="000F0F0A" w:rsidRPr="00712239" w:rsidRDefault="000F0F0A" w:rsidP="004523B2">
            <w:pPr>
              <w:pStyle w:val="AERtabletextleft"/>
              <w:rPr>
                <w:rStyle w:val="AERtextsize8"/>
              </w:rPr>
            </w:pPr>
            <w:r>
              <w:rPr>
                <w:rStyle w:val="AERtextsize8"/>
              </w:rPr>
              <w:t>Advanced metering infrastructure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CCP</w:t>
            </w:r>
          </w:p>
        </w:tc>
        <w:tc>
          <w:tcPr>
            <w:tcW w:w="4353" w:type="dxa"/>
          </w:tcPr>
          <w:p w:rsidR="004523B2" w:rsidRPr="004523B2" w:rsidRDefault="004523B2" w:rsidP="004523B2">
            <w:pPr>
              <w:pStyle w:val="AERtabletextleft"/>
              <w:rPr>
                <w:rStyle w:val="AERtextsize8"/>
              </w:rPr>
            </w:pPr>
            <w:r w:rsidRPr="00712239">
              <w:rPr>
                <w:rStyle w:val="AERtextsize8"/>
              </w:rPr>
              <w:t>Consumer Challenge Panel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DUoS</w:t>
            </w:r>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lastRenderedPageBreak/>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Sharpe-Lintner capital asset pricing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695938" w:rsidP="00077383">
      <w:pPr>
        <w:pStyle w:val="Heading1"/>
      </w:pPr>
      <w:bookmarkStart w:id="13" w:name="_Toc416278154"/>
      <w:bookmarkStart w:id="14" w:name="_Toc416346517"/>
      <w:bookmarkStart w:id="15" w:name="_Toc416278157"/>
      <w:bookmarkStart w:id="16" w:name="_Toc416346520"/>
      <w:bookmarkStart w:id="17" w:name="_Toc416278160"/>
      <w:bookmarkStart w:id="18" w:name="_Toc416346523"/>
      <w:bookmarkStart w:id="19" w:name="_Toc416278163"/>
      <w:bookmarkStart w:id="20" w:name="_Toc416346526"/>
      <w:bookmarkStart w:id="21" w:name="_Toc416278166"/>
      <w:bookmarkStart w:id="22" w:name="_Toc416346529"/>
      <w:bookmarkStart w:id="23" w:name="_Toc416278169"/>
      <w:bookmarkStart w:id="24" w:name="_Toc416346532"/>
      <w:bookmarkStart w:id="25" w:name="_Toc416278172"/>
      <w:bookmarkStart w:id="26" w:name="_Toc416346535"/>
      <w:bookmarkStart w:id="27" w:name="_Toc416278175"/>
      <w:bookmarkStart w:id="28" w:name="_Toc416346538"/>
      <w:bookmarkStart w:id="29" w:name="_Toc416278178"/>
      <w:bookmarkStart w:id="30" w:name="_Toc416346541"/>
      <w:bookmarkStart w:id="31" w:name="_Toc416278181"/>
      <w:bookmarkStart w:id="32" w:name="_Toc416346544"/>
      <w:bookmarkStart w:id="33" w:name="_Toc416278184"/>
      <w:bookmarkStart w:id="34" w:name="_Toc416346547"/>
      <w:bookmarkStart w:id="35" w:name="_Toc416278187"/>
      <w:bookmarkStart w:id="36" w:name="_Toc416346550"/>
      <w:bookmarkStart w:id="37" w:name="_Toc416278190"/>
      <w:bookmarkStart w:id="38" w:name="_Toc416346553"/>
      <w:bookmarkStart w:id="39" w:name="_Toc416278193"/>
      <w:bookmarkStart w:id="40" w:name="_Toc416346556"/>
      <w:bookmarkStart w:id="41" w:name="_Toc416278196"/>
      <w:bookmarkStart w:id="42" w:name="_Toc416346559"/>
      <w:bookmarkStart w:id="43" w:name="_Toc416278199"/>
      <w:bookmarkStart w:id="44" w:name="_Toc416346562"/>
      <w:bookmarkStart w:id="45" w:name="_Toc416278202"/>
      <w:bookmarkStart w:id="46" w:name="_Toc416346565"/>
      <w:bookmarkStart w:id="47" w:name="_Toc416278205"/>
      <w:bookmarkStart w:id="48" w:name="_Toc416346568"/>
      <w:bookmarkStart w:id="49" w:name="_Toc416278208"/>
      <w:bookmarkStart w:id="50" w:name="_Toc416346571"/>
      <w:bookmarkStart w:id="51" w:name="_Toc416278211"/>
      <w:bookmarkStart w:id="52" w:name="_Toc416346574"/>
      <w:bookmarkStart w:id="53" w:name="_Toc416278214"/>
      <w:bookmarkStart w:id="54" w:name="_Toc416346577"/>
      <w:bookmarkStart w:id="55" w:name="_Toc416278217"/>
      <w:bookmarkStart w:id="56" w:name="_Toc416346580"/>
      <w:bookmarkStart w:id="57" w:name="_Toc416278220"/>
      <w:bookmarkStart w:id="58" w:name="_Toc416346583"/>
      <w:bookmarkStart w:id="59" w:name="_Toc416278223"/>
      <w:bookmarkStart w:id="60" w:name="_Toc416346586"/>
      <w:bookmarkStart w:id="61" w:name="_Toc416278226"/>
      <w:bookmarkStart w:id="62" w:name="_Toc416346589"/>
      <w:bookmarkStart w:id="63" w:name="_Toc416278229"/>
      <w:bookmarkStart w:id="64" w:name="_Toc416346592"/>
      <w:bookmarkStart w:id="65" w:name="_Toc416278232"/>
      <w:bookmarkStart w:id="66" w:name="_Toc416346595"/>
      <w:bookmarkStart w:id="67" w:name="_Toc416278235"/>
      <w:bookmarkStart w:id="68" w:name="_Toc416346598"/>
      <w:bookmarkStart w:id="69" w:name="_Toc416278238"/>
      <w:bookmarkStart w:id="70" w:name="_Toc416346601"/>
      <w:bookmarkStart w:id="71" w:name="_Toc447901149"/>
      <w:bookmarkEnd w:id="1"/>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lastRenderedPageBreak/>
        <w:t xml:space="preserve"> </w:t>
      </w:r>
      <w:r w:rsidR="00077383">
        <w:t>Capital expenditure sharing</w:t>
      </w:r>
      <w:r w:rsidR="00C343A2">
        <w:t xml:space="preserve"> scheme</w:t>
      </w:r>
      <w:bookmarkEnd w:id="71"/>
    </w:p>
    <w:p w:rsidR="004B21EB" w:rsidRPr="00BB1D41" w:rsidRDefault="004B21EB" w:rsidP="004B21EB">
      <w:pPr>
        <w:numPr>
          <w:ilvl w:val="0"/>
          <w:numId w:val="24"/>
        </w:numPr>
      </w:pPr>
      <w:r w:rsidRPr="00BB1D41">
        <w:t xml:space="preserve">The capital expenditure sharing scheme (CESS) provides financial rewards for network service providers whose capex becomes more efficient and financial penalties for those that become less efficient. Consumers benefit from improved efficiency through lower regulated prices. This attachment sets out how we will apply the CESS to </w:t>
      </w:r>
      <w:r>
        <w:t>Jemena</w:t>
      </w:r>
      <w:r w:rsidRPr="00BB1D41">
        <w:t xml:space="preserve"> in the </w:t>
      </w:r>
      <w:r>
        <w:t>2016–20</w:t>
      </w:r>
      <w:r w:rsidRPr="00BB1D41">
        <w:t xml:space="preserve"> regulatory control period. </w:t>
      </w:r>
    </w:p>
    <w:p w:rsidR="004B21EB" w:rsidRPr="00BB1D41" w:rsidRDefault="004B21EB" w:rsidP="004B21EB">
      <w:pPr>
        <w:numPr>
          <w:ilvl w:val="0"/>
          <w:numId w:val="24"/>
        </w:numPr>
      </w:pPr>
      <w:r w:rsidRPr="00BB1D41">
        <w:t xml:space="preserve">As part of the Better Regulation program we consulted on and published version 1 of the Capital Expenditure Incentive Guideline (Capex Incentive Guideline), which sets out the CESS.  The CESS approximates efficiency gains and efficiency losses by calculating the difference between forecast and actual capex. It shares these gains or losses between service providers and consumers. </w:t>
      </w:r>
    </w:p>
    <w:p w:rsidR="004B21EB" w:rsidRPr="00BB1D41" w:rsidRDefault="004B21EB" w:rsidP="004B21EB">
      <w:pPr>
        <w:numPr>
          <w:ilvl w:val="0"/>
          <w:numId w:val="24"/>
        </w:numPr>
      </w:pPr>
      <w:r w:rsidRPr="00BB1D41">
        <w:t xml:space="preserve">The CESS works as follows: </w:t>
      </w:r>
    </w:p>
    <w:p w:rsidR="004B21EB" w:rsidRPr="00BB1D41" w:rsidRDefault="004B21EB" w:rsidP="004B21EB">
      <w:pPr>
        <w:pStyle w:val="AERbulletlistfirststyle"/>
      </w:pPr>
      <w:r w:rsidRPr="00BB1D41">
        <w:t xml:space="preserve">We calculate the cumulative underspend or overspend for the current regulatory control period in net present value terms. </w:t>
      </w:r>
    </w:p>
    <w:p w:rsidR="004B21EB" w:rsidRPr="00BB1D41" w:rsidRDefault="004B21EB" w:rsidP="004B21EB">
      <w:pPr>
        <w:pStyle w:val="AERbulletlistfirststyle"/>
      </w:pPr>
      <w:r w:rsidRPr="00BB1D41">
        <w:t>We apply the sharing ratio of 30 per cent to the cumulative underspend or overspend to work out what the service provider's share of the underspend or overspend should be.</w:t>
      </w:r>
    </w:p>
    <w:p w:rsidR="004B21EB" w:rsidRPr="00BB1D41" w:rsidRDefault="004B21EB" w:rsidP="004B21EB">
      <w:pPr>
        <w:pStyle w:val="AERbulletlistfirststyle"/>
      </w:pPr>
      <w:r w:rsidRPr="00BB1D41">
        <w:t xml:space="preserve">We calculate the CESS payments taking into account the financing benefit or cost to the service provider of the underspends or overspends.  We can also make further adjustments to account for deferral of capex and ex post exclusions of capex from the RAB.  </w:t>
      </w:r>
    </w:p>
    <w:p w:rsidR="004B21EB" w:rsidRPr="00BB1D41" w:rsidRDefault="004B21EB" w:rsidP="004B21EB">
      <w:pPr>
        <w:pStyle w:val="AERbulletlistfirststyle"/>
      </w:pPr>
      <w:r w:rsidRPr="00BB1D41">
        <w:t>The CESS payments will be added or subtracted to the service provider's regulated revenue as a separate building block in the next regulatory control period.</w:t>
      </w:r>
    </w:p>
    <w:p w:rsidR="004B21EB" w:rsidRPr="00BB1D41" w:rsidRDefault="004B21EB" w:rsidP="004B21EB">
      <w:pPr>
        <w:numPr>
          <w:ilvl w:val="0"/>
          <w:numId w:val="24"/>
        </w:numPr>
      </w:pPr>
      <w:r w:rsidRPr="00BB1D41">
        <w:t>Under the CESS</w:t>
      </w:r>
      <w:r w:rsidR="00414E5F">
        <w:t>,</w:t>
      </w:r>
      <w:r w:rsidRPr="00BB1D41">
        <w:t xml:space="preserve"> a service provider retains 30 per cent of an underspend or overspend while consumers retain 70 per cent of the underspend or overspend. This means that for a one dollar saving in capex the service provider keeps 30 cents of the benefit while consumers keep 70 cents of the benefit.</w:t>
      </w:r>
    </w:p>
    <w:p w:rsidR="004B21EB" w:rsidRDefault="004B21EB" w:rsidP="004B21EB">
      <w:pPr>
        <w:pStyle w:val="Heading2"/>
      </w:pPr>
      <w:bookmarkStart w:id="72" w:name="_Toc447534466"/>
      <w:r>
        <w:t xml:space="preserve"> </w:t>
      </w:r>
      <w:bookmarkStart w:id="73" w:name="_Toc447545903"/>
      <w:bookmarkStart w:id="74" w:name="_Toc447546164"/>
      <w:bookmarkStart w:id="75" w:name="_Toc447901150"/>
      <w:r>
        <w:t>Final decision</w:t>
      </w:r>
      <w:bookmarkEnd w:id="72"/>
      <w:bookmarkEnd w:id="73"/>
      <w:bookmarkEnd w:id="74"/>
      <w:bookmarkEnd w:id="75"/>
    </w:p>
    <w:p w:rsidR="004B21EB" w:rsidRPr="00BB1D41" w:rsidRDefault="004B21EB" w:rsidP="004B21EB">
      <w:pPr>
        <w:numPr>
          <w:ilvl w:val="0"/>
          <w:numId w:val="24"/>
        </w:numPr>
      </w:pPr>
      <w:r w:rsidRPr="00BB1D41">
        <w:t xml:space="preserve">We will apply the CESS as set out in version 1 of the Capex Incentive Guideline to </w:t>
      </w:r>
      <w:r>
        <w:t>Jemena</w:t>
      </w:r>
      <w:r w:rsidRPr="00BB1D41">
        <w:t xml:space="preserve"> in the </w:t>
      </w:r>
      <w:r>
        <w:t>2016–20</w:t>
      </w:r>
      <w:r w:rsidRPr="00BB1D41">
        <w:t xml:space="preserve"> regulatory control period.</w:t>
      </w:r>
      <w:r w:rsidRPr="00BB1D41">
        <w:rPr>
          <w:rStyle w:val="FootnoteReference"/>
        </w:rPr>
        <w:footnoteReference w:id="1"/>
      </w:r>
      <w:r w:rsidRPr="00BB1D41">
        <w:t xml:space="preserve"> </w:t>
      </w:r>
    </w:p>
    <w:p w:rsidR="004B21EB" w:rsidRDefault="004B21EB" w:rsidP="004B21EB">
      <w:pPr>
        <w:pStyle w:val="Heading2"/>
      </w:pPr>
      <w:bookmarkStart w:id="76" w:name="_Toc447534467"/>
      <w:r>
        <w:t xml:space="preserve"> </w:t>
      </w:r>
      <w:bookmarkStart w:id="77" w:name="_Toc447545904"/>
      <w:bookmarkStart w:id="78" w:name="_Toc447546165"/>
      <w:bookmarkStart w:id="79" w:name="_Toc447901151"/>
      <w:r>
        <w:t>Jemena's revised proposal</w:t>
      </w:r>
      <w:bookmarkEnd w:id="76"/>
      <w:bookmarkEnd w:id="77"/>
      <w:bookmarkEnd w:id="78"/>
      <w:bookmarkEnd w:id="79"/>
    </w:p>
    <w:p w:rsidR="00476DA9" w:rsidRDefault="004B21EB" w:rsidP="00476DA9">
      <w:r>
        <w:t>Jemena</w:t>
      </w:r>
      <w:r w:rsidRPr="00BB1D41">
        <w:t xml:space="preserve"> </w:t>
      </w:r>
      <w:r>
        <w:t>did not accept</w:t>
      </w:r>
      <w:r w:rsidRPr="00BB1D41">
        <w:t xml:space="preserve"> our preliminary decision to apply the CESS as set out in the Guideline for the </w:t>
      </w:r>
      <w:r>
        <w:t>2016–20</w:t>
      </w:r>
      <w:r w:rsidRPr="00BB1D41">
        <w:t xml:space="preserve"> regulatory control period.</w:t>
      </w:r>
      <w:r w:rsidRPr="00BB1D41">
        <w:rPr>
          <w:rStyle w:val="FootnoteReference"/>
        </w:rPr>
        <w:footnoteReference w:id="2"/>
      </w:r>
      <w:r w:rsidR="00476DA9">
        <w:t xml:space="preserve"> </w:t>
      </w:r>
    </w:p>
    <w:p w:rsidR="00476DA9" w:rsidRDefault="00476DA9" w:rsidP="00476DA9">
      <w:r>
        <w:lastRenderedPageBreak/>
        <w:t>Jemena maintained that we should exclude reliability improvement capex from the CESS</w:t>
      </w:r>
      <w:r w:rsidR="00526FD6">
        <w:t xml:space="preserve">, considering the STPIS and CESS </w:t>
      </w:r>
      <w:r w:rsidR="00526FD6" w:rsidRPr="0092721E">
        <w:t>would be in conflict</w:t>
      </w:r>
      <w:r w:rsidR="00526FD6">
        <w:t>.</w:t>
      </w:r>
      <w:r w:rsidR="00526FD6">
        <w:rPr>
          <w:rStyle w:val="FootnoteReference"/>
        </w:rPr>
        <w:footnoteReference w:id="3"/>
      </w:r>
    </w:p>
    <w:p w:rsidR="0092721E" w:rsidRDefault="00526FD6" w:rsidP="0092721E">
      <w:pPr>
        <w:numPr>
          <w:ilvl w:val="0"/>
          <w:numId w:val="24"/>
        </w:numPr>
      </w:pPr>
      <w:r>
        <w:t>J</w:t>
      </w:r>
      <w:r w:rsidR="00476DA9">
        <w:t xml:space="preserve">emena </w:t>
      </w:r>
      <w:r w:rsidR="00476DA9" w:rsidRPr="0092721E">
        <w:t>accept</w:t>
      </w:r>
      <w:r w:rsidR="00476DA9">
        <w:t>ed</w:t>
      </w:r>
      <w:r w:rsidR="00476DA9" w:rsidRPr="0092721E">
        <w:t xml:space="preserve"> </w:t>
      </w:r>
      <w:r w:rsidR="00476DA9">
        <w:t xml:space="preserve">our preliminary decision </w:t>
      </w:r>
      <w:r w:rsidR="0092721E">
        <w:t>not to modify the CESS so that rewards and penalties are amortised over the regulatory control period.</w:t>
      </w:r>
      <w:r w:rsidR="00476DA9" w:rsidRPr="00476DA9">
        <w:rPr>
          <w:rStyle w:val="FootnoteReference"/>
        </w:rPr>
        <w:t xml:space="preserve"> </w:t>
      </w:r>
      <w:r w:rsidR="00476DA9">
        <w:rPr>
          <w:rStyle w:val="FootnoteReference"/>
        </w:rPr>
        <w:footnoteReference w:id="4"/>
      </w:r>
      <w:r w:rsidR="00476DA9">
        <w:t xml:space="preserve"> </w:t>
      </w:r>
      <w:r w:rsidR="0092721E">
        <w:t>T</w:t>
      </w:r>
      <w:r w:rsidR="0092721E" w:rsidRPr="00531127">
        <w:t xml:space="preserve">he </w:t>
      </w:r>
      <w:r w:rsidR="0092721E">
        <w:t xml:space="preserve">guideline </w:t>
      </w:r>
      <w:r w:rsidR="00476DA9">
        <w:t>specifies we will treat</w:t>
      </w:r>
      <w:r w:rsidR="0092721E" w:rsidRPr="00531127">
        <w:t xml:space="preserve"> the CESS as a separate building block which is then smoothed throughout the next period. </w:t>
      </w:r>
    </w:p>
    <w:p w:rsidR="004B21EB" w:rsidRDefault="004B21EB" w:rsidP="004B21EB">
      <w:pPr>
        <w:pStyle w:val="Heading2"/>
      </w:pPr>
      <w:bookmarkStart w:id="80" w:name="_Toc447534468"/>
      <w:r>
        <w:t xml:space="preserve"> </w:t>
      </w:r>
      <w:bookmarkStart w:id="81" w:name="_Toc447545905"/>
      <w:bookmarkStart w:id="82" w:name="_Toc447546166"/>
      <w:bookmarkStart w:id="83" w:name="_Toc447901152"/>
      <w:r>
        <w:t>Assessment approach</w:t>
      </w:r>
      <w:bookmarkEnd w:id="80"/>
      <w:bookmarkEnd w:id="81"/>
      <w:bookmarkEnd w:id="82"/>
      <w:bookmarkEnd w:id="83"/>
    </w:p>
    <w:p w:rsidR="004B21EB" w:rsidRPr="00BB1D41" w:rsidRDefault="004B21EB" w:rsidP="004B21EB">
      <w:pPr>
        <w:numPr>
          <w:ilvl w:val="0"/>
          <w:numId w:val="24"/>
        </w:numPr>
        <w:rPr>
          <w:rStyle w:val="AERbody"/>
        </w:rPr>
      </w:pPr>
      <w:r w:rsidRPr="00BB1D41">
        <w:rPr>
          <w:rStyle w:val="AERbody"/>
        </w:rPr>
        <w:t>In deciding whether to apply a CESS to a network service provider, and the nature and details of any CESS to apply to a service provider,</w:t>
      </w:r>
      <w:r w:rsidRPr="00BB1D41">
        <w:t xml:space="preserve"> we </w:t>
      </w:r>
      <w:r w:rsidRPr="00BB1D41">
        <w:rPr>
          <w:rStyle w:val="AERbody"/>
        </w:rPr>
        <w:t>must:</w:t>
      </w:r>
      <w:r w:rsidRPr="00BB1D41">
        <w:rPr>
          <w:rStyle w:val="FootnoteReference"/>
        </w:rPr>
        <w:footnoteReference w:id="5"/>
      </w:r>
    </w:p>
    <w:p w:rsidR="004B21EB" w:rsidRPr="00BB1D41" w:rsidRDefault="004B21EB" w:rsidP="004B21EB">
      <w:pPr>
        <w:pStyle w:val="AERbulletlistfirststyle"/>
      </w:pPr>
      <w:r w:rsidRPr="00BB1D41">
        <w:rPr>
          <w:rStyle w:val="AERbody"/>
        </w:rPr>
        <w:t xml:space="preserve">make that decision in a manner </w:t>
      </w:r>
      <w:r w:rsidRPr="00BB1D41">
        <w:t>that contributes to the capex incentive objective</w:t>
      </w:r>
      <w:r w:rsidRPr="00BB1D41">
        <w:rPr>
          <w:rStyle w:val="FootnoteReference"/>
        </w:rPr>
        <w:footnoteReference w:id="6"/>
      </w:r>
    </w:p>
    <w:p w:rsidR="004B21EB" w:rsidRPr="00BB1D41" w:rsidRDefault="004B21EB" w:rsidP="004B21EB">
      <w:pPr>
        <w:pStyle w:val="AERbulletlistfirststyle"/>
      </w:pPr>
      <w:r w:rsidRPr="00BB1D41">
        <w:t>take into account the CESS principles,</w:t>
      </w:r>
      <w:r w:rsidRPr="00BB1D41">
        <w:rPr>
          <w:rStyle w:val="FootnoteReference"/>
        </w:rPr>
        <w:footnoteReference w:id="7"/>
      </w:r>
      <w:r w:rsidRPr="00BB1D41">
        <w:t xml:space="preserve"> the interaction of the CESS with any other incentives that the service provider may have to undertake efficient opex or capex, the </w:t>
      </w:r>
      <w:r w:rsidRPr="00BB1D41">
        <w:rPr>
          <w:rStyle w:val="AERbody"/>
        </w:rPr>
        <w:t>capex objectives</w:t>
      </w:r>
      <w:r w:rsidRPr="00BB1D41">
        <w:rPr>
          <w:rStyle w:val="FootnoteReference"/>
        </w:rPr>
        <w:footnoteReference w:id="8"/>
      </w:r>
      <w:r w:rsidRPr="00BB1D41">
        <w:rPr>
          <w:rStyle w:val="AERtextitalic"/>
        </w:rPr>
        <w:t xml:space="preserve"> </w:t>
      </w:r>
      <w:r w:rsidRPr="00BB1D41">
        <w:t>and, if relevant, the</w:t>
      </w:r>
      <w:r w:rsidRPr="00BB1D41">
        <w:rPr>
          <w:rStyle w:val="AERtextitalic"/>
        </w:rPr>
        <w:t xml:space="preserve"> </w:t>
      </w:r>
      <w:r w:rsidRPr="00BB1D41">
        <w:rPr>
          <w:rStyle w:val="AERbody"/>
        </w:rPr>
        <w:t>opex objectives,</w:t>
      </w:r>
      <w:r w:rsidRPr="00BB1D41">
        <w:rPr>
          <w:rStyle w:val="AERtextitalic"/>
        </w:rPr>
        <w:t xml:space="preserve"> </w:t>
      </w:r>
      <w:r w:rsidRPr="00BB1D41">
        <w:t>as they apply to the particular service provider, as well as the circumstances of the service provider.</w:t>
      </w:r>
    </w:p>
    <w:p w:rsidR="004B21EB" w:rsidRPr="00BB1D41" w:rsidRDefault="004B21EB" w:rsidP="004B21EB">
      <w:pPr>
        <w:numPr>
          <w:ilvl w:val="0"/>
          <w:numId w:val="24"/>
        </w:numPr>
      </w:pPr>
      <w:r w:rsidRPr="00BB1D41">
        <w:t>Broadly, the capex incentive objective is to ensure that only capex that meets the capex criteria enters the RAB used to set prices. Therefore, consumers only fund capex that is efficient and prudent.</w:t>
      </w:r>
    </w:p>
    <w:p w:rsidR="004B21EB" w:rsidRPr="00AD5062" w:rsidRDefault="004B21EB" w:rsidP="00BA6B1F">
      <w:pPr>
        <w:pStyle w:val="Heading3"/>
        <w:ind w:left="578" w:hanging="578"/>
      </w:pPr>
      <w:bookmarkStart w:id="84" w:name="_Toc447534469"/>
      <w:r>
        <w:t xml:space="preserve"> </w:t>
      </w:r>
      <w:bookmarkStart w:id="85" w:name="_Toc447545906"/>
      <w:bookmarkStart w:id="86" w:name="_Toc447546167"/>
      <w:bookmarkStart w:id="87" w:name="_Toc447901153"/>
      <w:r>
        <w:t>Interrelationships</w:t>
      </w:r>
      <w:bookmarkEnd w:id="84"/>
      <w:bookmarkEnd w:id="85"/>
      <w:bookmarkEnd w:id="86"/>
      <w:bookmarkEnd w:id="87"/>
    </w:p>
    <w:p w:rsidR="004B21EB" w:rsidRPr="00BB1D41" w:rsidRDefault="004B21EB" w:rsidP="004B21EB">
      <w:pPr>
        <w:numPr>
          <w:ilvl w:val="0"/>
          <w:numId w:val="24"/>
        </w:numPr>
      </w:pPr>
      <w:r w:rsidRPr="00BB1D41">
        <w:t xml:space="preserve">The CESS relates to other incentives </w:t>
      </w:r>
      <w:r>
        <w:t>Jemena</w:t>
      </w:r>
      <w:r w:rsidRPr="00BB1D41">
        <w:t xml:space="preserve"> faces to incur efficient opex, conduct demand management, and maintain or improve service levels.</w:t>
      </w:r>
      <w:r w:rsidRPr="00BB1D41">
        <w:rPr>
          <w:rStyle w:val="FootnoteReference"/>
        </w:rPr>
        <w:footnoteReference w:id="9"/>
      </w:r>
      <w:r w:rsidRPr="00BB1D41">
        <w:t xml:space="preserve"> We aim to incentivise network service providers to make efficient decisions on when and what type of expenditure to incur, and to balance expenditure efficiencies with service quality. We discuss these interrelationships where relevant as part of our reasons below and in our capex attachment (attachment 6). </w:t>
      </w:r>
    </w:p>
    <w:p w:rsidR="004B21EB" w:rsidRDefault="004B21EB" w:rsidP="004B21EB">
      <w:pPr>
        <w:pStyle w:val="Heading2"/>
      </w:pPr>
      <w:bookmarkStart w:id="88" w:name="_Toc447534470"/>
      <w:r>
        <w:t xml:space="preserve"> </w:t>
      </w:r>
      <w:bookmarkStart w:id="89" w:name="_Toc447545907"/>
      <w:bookmarkStart w:id="90" w:name="_Toc447546168"/>
      <w:bookmarkStart w:id="91" w:name="_Toc447901154"/>
      <w:r>
        <w:t>Reasons for final decision</w:t>
      </w:r>
      <w:bookmarkEnd w:id="88"/>
      <w:bookmarkEnd w:id="89"/>
      <w:bookmarkEnd w:id="90"/>
      <w:bookmarkEnd w:id="91"/>
    </w:p>
    <w:p w:rsidR="00D7195F" w:rsidRPr="00D7195F" w:rsidRDefault="00D7195F" w:rsidP="00D7195F">
      <w:r w:rsidRPr="00D7195F">
        <w:t xml:space="preserve">We maintain our </w:t>
      </w:r>
      <w:r>
        <w:t xml:space="preserve">preliminary </w:t>
      </w:r>
      <w:r w:rsidRPr="00D7195F">
        <w:t xml:space="preserve">decision to apply the CESS to </w:t>
      </w:r>
      <w:r>
        <w:t xml:space="preserve">Jemena </w:t>
      </w:r>
      <w:r w:rsidRPr="00D7195F">
        <w:t xml:space="preserve">as set out in the capex incentive guideline without any further exclusions. We are not satisfied </w:t>
      </w:r>
      <w:r>
        <w:t>Jemena</w:t>
      </w:r>
      <w:r w:rsidRPr="00D7195F">
        <w:t xml:space="preserve">'s reasons in its revised proposal justify excluding </w:t>
      </w:r>
      <w:r>
        <w:t>reliability improvement capex</w:t>
      </w:r>
      <w:r w:rsidRPr="00D7195F">
        <w:t>.</w:t>
      </w:r>
    </w:p>
    <w:p w:rsidR="002C35D7" w:rsidRDefault="002038F9" w:rsidP="002C35D7">
      <w:r>
        <w:lastRenderedPageBreak/>
        <w:t xml:space="preserve">Jemena argued that where it </w:t>
      </w:r>
      <w:r w:rsidRPr="0092721E">
        <w:t xml:space="preserve">assesses a reliability improvement project would be efficient under the STPIS because it costs less to deliver the benefits to consumers than the </w:t>
      </w:r>
      <w:r>
        <w:t>consumers value those benefits</w:t>
      </w:r>
      <w:r w:rsidRPr="0092721E">
        <w:t xml:space="preserve">, the CESS should not penalise </w:t>
      </w:r>
      <w:r>
        <w:t>Jemena.</w:t>
      </w:r>
      <w:r w:rsidR="002C35D7">
        <w:t xml:space="preserve"> It considered if </w:t>
      </w:r>
      <w:r w:rsidR="002C35D7" w:rsidRPr="0092721E">
        <w:t xml:space="preserve">the improvements </w:t>
      </w:r>
      <w:r w:rsidR="002C35D7">
        <w:t xml:space="preserve">were </w:t>
      </w:r>
      <w:r w:rsidR="002C35D7" w:rsidRPr="0092721E">
        <w:t>not made</w:t>
      </w:r>
      <w:r w:rsidR="00414E5F">
        <w:t>,</w:t>
      </w:r>
      <w:r w:rsidR="002C35D7" w:rsidRPr="0092721E">
        <w:t xml:space="preserve"> </w:t>
      </w:r>
      <w:r w:rsidR="002C35D7">
        <w:t xml:space="preserve">distributors </w:t>
      </w:r>
      <w:r w:rsidR="002C35D7" w:rsidRPr="0092721E">
        <w:t xml:space="preserve">risk being penalised under the STPIS. </w:t>
      </w:r>
      <w:r w:rsidR="00067368">
        <w:t>Therefore, t</w:t>
      </w:r>
      <w:r w:rsidR="002C35D7" w:rsidRPr="0092721E">
        <w:t xml:space="preserve">he STPIS provides a clear incentive for </w:t>
      </w:r>
      <w:r w:rsidR="002C35D7">
        <w:t xml:space="preserve">distributors to undertake the improvements. Jemena considered including reliability improvement capex in the </w:t>
      </w:r>
      <w:r w:rsidR="002C35D7" w:rsidRPr="0092721E">
        <w:t xml:space="preserve">CESS </w:t>
      </w:r>
      <w:r w:rsidR="002C35D7">
        <w:t xml:space="preserve">may mean </w:t>
      </w:r>
      <w:r w:rsidR="002C35D7" w:rsidRPr="0092721E">
        <w:t xml:space="preserve">undertaking those improvements may result in the </w:t>
      </w:r>
      <w:r w:rsidR="002C35D7">
        <w:t xml:space="preserve">distributor being penalised under the CESS. Jemena considered the STPIS and CESS </w:t>
      </w:r>
      <w:r w:rsidR="002C35D7" w:rsidRPr="0092721E">
        <w:t xml:space="preserve">would </w:t>
      </w:r>
      <w:r w:rsidR="002C35D7">
        <w:t xml:space="preserve">therefore </w:t>
      </w:r>
      <w:r w:rsidR="002C35D7" w:rsidRPr="0092721E">
        <w:t>be in conflict</w:t>
      </w:r>
      <w:r w:rsidR="002C35D7">
        <w:t xml:space="preserve"> a</w:t>
      </w:r>
      <w:r w:rsidR="002C35D7" w:rsidRPr="0092721E">
        <w:t>s each option could involve a penalty</w:t>
      </w:r>
      <w:r w:rsidR="00414E5F">
        <w:t>;</w:t>
      </w:r>
      <w:r w:rsidR="002C35D7" w:rsidRPr="0092721E">
        <w:t xml:space="preserve"> </w:t>
      </w:r>
      <w:r w:rsidR="002C35D7">
        <w:t xml:space="preserve">it considered </w:t>
      </w:r>
      <w:r w:rsidR="002C35D7" w:rsidRPr="0092721E">
        <w:t>this would be an undesirable outcome</w:t>
      </w:r>
      <w:r w:rsidR="002C35D7">
        <w:t>.</w:t>
      </w:r>
      <w:r w:rsidR="002C35D7">
        <w:rPr>
          <w:rStyle w:val="FootnoteReference"/>
        </w:rPr>
        <w:footnoteReference w:id="10"/>
      </w:r>
    </w:p>
    <w:p w:rsidR="002038F9" w:rsidRDefault="002038F9" w:rsidP="002038F9">
      <w:r>
        <w:t xml:space="preserve">Jemena </w:t>
      </w:r>
      <w:r w:rsidR="00526FD6">
        <w:t xml:space="preserve">noted </w:t>
      </w:r>
      <w:r>
        <w:t xml:space="preserve">our reasoning that it was </w:t>
      </w:r>
      <w:r w:rsidRPr="0092721E">
        <w:t xml:space="preserve">unclear whether applying a different sharing ratio for investments in reliability would lead to better outcomes for consumers. </w:t>
      </w:r>
      <w:r>
        <w:t>It considered</w:t>
      </w:r>
      <w:r w:rsidRPr="0092721E">
        <w:t xml:space="preserve"> </w:t>
      </w:r>
      <w:r>
        <w:t xml:space="preserve">this was </w:t>
      </w:r>
      <w:r w:rsidRPr="0092721E">
        <w:t xml:space="preserve">not a compelling reason to </w:t>
      </w:r>
      <w:r>
        <w:t xml:space="preserve">not </w:t>
      </w:r>
      <w:r w:rsidRPr="0092721E">
        <w:t xml:space="preserve">exclude reliability capex </w:t>
      </w:r>
      <w:r>
        <w:t xml:space="preserve">as there were </w:t>
      </w:r>
      <w:r w:rsidRPr="0092721E">
        <w:t>detriments of failing to do so.</w:t>
      </w:r>
      <w:r>
        <w:rPr>
          <w:rStyle w:val="FootnoteReference"/>
        </w:rPr>
        <w:footnoteReference w:id="11"/>
      </w:r>
      <w:r>
        <w:t xml:space="preserve"> </w:t>
      </w:r>
    </w:p>
    <w:p w:rsidR="00526FD6" w:rsidRDefault="00526FD6" w:rsidP="00526FD6">
      <w:r>
        <w:t xml:space="preserve">Jemena also submitted that incentive schemes including the CESS must </w:t>
      </w:r>
      <w:r w:rsidRPr="0092721E">
        <w:t xml:space="preserve">operate in a clear, consistent and co-ordinated manner </w:t>
      </w:r>
      <w:r>
        <w:t>to encourage e</w:t>
      </w:r>
      <w:r w:rsidRPr="0092721E">
        <w:t>fficient expenditure</w:t>
      </w:r>
      <w:r>
        <w:t xml:space="preserve">, ensure </w:t>
      </w:r>
      <w:r w:rsidRPr="0092721E">
        <w:t>a decline in service standards is not incentivised</w:t>
      </w:r>
      <w:r>
        <w:t xml:space="preserve"> and allow distributors </w:t>
      </w:r>
      <w:r w:rsidRPr="0092721E">
        <w:t>to plan their activities with certainty as to the outcome of their invest</w:t>
      </w:r>
      <w:r>
        <w:t>ment and operational decisions.</w:t>
      </w:r>
      <w:r>
        <w:rPr>
          <w:rStyle w:val="FootnoteReference"/>
        </w:rPr>
        <w:footnoteReference w:id="12"/>
      </w:r>
    </w:p>
    <w:p w:rsidR="0063227B" w:rsidRDefault="0063227B" w:rsidP="0063227B">
      <w:r w:rsidRPr="00FE7E22">
        <w:t xml:space="preserve">In our explanatory statement to the </w:t>
      </w:r>
      <w:r>
        <w:t xml:space="preserve">Capex Incentive Guideline </w:t>
      </w:r>
      <w:r w:rsidRPr="00FE7E22">
        <w:t xml:space="preserve">we </w:t>
      </w:r>
      <w:r>
        <w:t xml:space="preserve">explained that we </w:t>
      </w:r>
      <w:r w:rsidRPr="00FE7E22">
        <w:t xml:space="preserve">did not consider there was a convincing reason to allow exclusions for </w:t>
      </w:r>
      <w:r>
        <w:t>reliability improvement capex</w:t>
      </w:r>
      <w:r w:rsidRPr="00FE7E22">
        <w:t>.</w:t>
      </w:r>
      <w:r>
        <w:rPr>
          <w:rStyle w:val="FootnoteReference"/>
        </w:rPr>
        <w:footnoteReference w:id="13"/>
      </w:r>
      <w:r w:rsidRPr="00FE7E22">
        <w:t xml:space="preserve"> When included in the CESS, the cost of any </w:t>
      </w:r>
      <w:r>
        <w:t xml:space="preserve">capex </w:t>
      </w:r>
      <w:r w:rsidRPr="00FE7E22">
        <w:t xml:space="preserve">increase or decrease </w:t>
      </w:r>
      <w:r>
        <w:t xml:space="preserve">from a reliability improvement </w:t>
      </w:r>
      <w:r w:rsidRPr="00FE7E22">
        <w:t xml:space="preserve">is shared between </w:t>
      </w:r>
      <w:r>
        <w:t xml:space="preserve">network service providers </w:t>
      </w:r>
      <w:r w:rsidRPr="00FE7E22">
        <w:t xml:space="preserve">and consumers in the same way as any </w:t>
      </w:r>
      <w:r>
        <w:t xml:space="preserve">other capex </w:t>
      </w:r>
      <w:r w:rsidRPr="00FE7E22">
        <w:t>efficiency gain</w:t>
      </w:r>
      <w:r>
        <w:t xml:space="preserve"> or loss.</w:t>
      </w:r>
      <w:r w:rsidRPr="00FE7E22">
        <w:t xml:space="preserve"> </w:t>
      </w:r>
      <w:r>
        <w:t xml:space="preserve">That is, under the CESS a </w:t>
      </w:r>
      <w:r w:rsidRPr="00544E19">
        <w:t>service provider retains 30 per cent of a capex underspend or overspend, while consumers retain the remaining 70 per cent.</w:t>
      </w:r>
      <w:r>
        <w:t xml:space="preserve"> </w:t>
      </w:r>
    </w:p>
    <w:p w:rsidR="00982C41" w:rsidRDefault="00526FD6" w:rsidP="0063227B">
      <w:r>
        <w:t>When deciding whether to undertake reliability improvement capex</w:t>
      </w:r>
      <w:r w:rsidR="00414E5F">
        <w:t>,</w:t>
      </w:r>
      <w:r>
        <w:t xml:space="preserve"> Jemena will always face the need to balance incentives from the </w:t>
      </w:r>
      <w:r w:rsidR="00414E5F">
        <w:t xml:space="preserve">STPIS </w:t>
      </w:r>
      <w:r>
        <w:t xml:space="preserve">against the way capex is shared between the distributor and consumers. </w:t>
      </w:r>
      <w:r w:rsidR="0063227B">
        <w:t xml:space="preserve">Applying the CESS alters the way capex resulting from reliability improvements is shared between the distributor and consumers. We do not agree with the characterisation that the CESS will </w:t>
      </w:r>
      <w:r>
        <w:t>excessively</w:t>
      </w:r>
      <w:r w:rsidR="0063227B">
        <w:t xml:space="preserve"> reward or penalise distributors. This is because a capex underspend</w:t>
      </w:r>
      <w:r w:rsidR="0063227B" w:rsidRPr="00544E19">
        <w:t xml:space="preserve"> </w:t>
      </w:r>
      <w:r w:rsidR="0063227B">
        <w:t xml:space="preserve">or overspend from a reliability improvement is still </w:t>
      </w:r>
      <w:r w:rsidR="0063227B" w:rsidRPr="00544E19">
        <w:t>shared between the service provider and consumers</w:t>
      </w:r>
      <w:r w:rsidR="0063227B">
        <w:t xml:space="preserve"> regardless of how the CESS applies. If we excluded capex spent on reliability improvements</w:t>
      </w:r>
      <w:r w:rsidR="00414E5F">
        <w:t>,</w:t>
      </w:r>
      <w:r w:rsidR="0063227B">
        <w:t xml:space="preserve"> </w:t>
      </w:r>
      <w:r w:rsidR="0063227B" w:rsidRPr="00544E19">
        <w:t xml:space="preserve">the relative sharing ratio between the service provider and consumers will </w:t>
      </w:r>
      <w:r w:rsidR="0063227B">
        <w:t xml:space="preserve">instead </w:t>
      </w:r>
      <w:r w:rsidR="0063227B" w:rsidRPr="00544E19">
        <w:t xml:space="preserve">depend on the year in which the overspend or underspend occurs, and will vary across the regulatory control period. </w:t>
      </w:r>
      <w:r w:rsidR="0063227B" w:rsidRPr="00FE7E22">
        <w:t xml:space="preserve">We </w:t>
      </w:r>
      <w:r w:rsidR="0063227B">
        <w:t xml:space="preserve">do not consider </w:t>
      </w:r>
      <w:r w:rsidR="0063227B" w:rsidRPr="00FE7E22">
        <w:t xml:space="preserve">there </w:t>
      </w:r>
      <w:r w:rsidR="0063227B">
        <w:t xml:space="preserve">is a </w:t>
      </w:r>
      <w:r w:rsidR="0063227B" w:rsidRPr="00FE7E22">
        <w:lastRenderedPageBreak/>
        <w:t xml:space="preserve">reason why </w:t>
      </w:r>
      <w:r w:rsidR="0063227B">
        <w:t xml:space="preserve">capex overspends </w:t>
      </w:r>
      <w:r w:rsidR="0063227B" w:rsidRPr="00FE7E22">
        <w:t xml:space="preserve">or </w:t>
      </w:r>
      <w:r w:rsidR="0063227B">
        <w:t>underspends</w:t>
      </w:r>
      <w:r w:rsidR="0063227B" w:rsidRPr="00FE7E22">
        <w:t xml:space="preserve"> </w:t>
      </w:r>
      <w:r w:rsidR="0063227B">
        <w:t xml:space="preserve">on reliability improvements </w:t>
      </w:r>
      <w:r w:rsidR="0063227B" w:rsidRPr="00FE7E22">
        <w:t xml:space="preserve">should be shared differently between </w:t>
      </w:r>
      <w:r w:rsidR="0063227B">
        <w:t xml:space="preserve">service providers </w:t>
      </w:r>
      <w:r w:rsidR="0063227B" w:rsidRPr="00FE7E22">
        <w:t xml:space="preserve">and consumers in each regulatory year, or shared differently to all other costs facing </w:t>
      </w:r>
      <w:r w:rsidR="0063227B">
        <w:t>service providers.</w:t>
      </w:r>
      <w:r>
        <w:t xml:space="preserve"> </w:t>
      </w:r>
    </w:p>
    <w:p w:rsidR="00982C41" w:rsidRDefault="0063227B" w:rsidP="00982C41">
      <w:r w:rsidRPr="00FD7014">
        <w:t xml:space="preserve">Applying a symmetric CESS means that overs and unders will be treated equally. If the CESS did not apply, the amount to be borne by the distributor and consumers would depend on the year in which the underspend or overspend (expected or not) occurs, and declines over the period. We view a continuous 30 per cent retention of underspends or overspends as a fair sharing of these risks between distributors and their customers. </w:t>
      </w:r>
      <w:r w:rsidR="00982C41">
        <w:t xml:space="preserve">We consider having a sharing ratio of capex underspends and overspends that is constant across the period provides a clear and consistent incentive compared to a sharing ratio which declines over the period. In this way distributors will not face a varying incentive for </w:t>
      </w:r>
      <w:r w:rsidR="00982C41" w:rsidRPr="00BB1D41">
        <w:t xml:space="preserve">decisions on when </w:t>
      </w:r>
      <w:r w:rsidR="00982C41">
        <w:t>to incur capex in a way that</w:t>
      </w:r>
      <w:r w:rsidR="00982C41" w:rsidRPr="00BB1D41">
        <w:t xml:space="preserve"> balance</w:t>
      </w:r>
      <w:r w:rsidR="00982C41">
        <w:t>s</w:t>
      </w:r>
      <w:r w:rsidR="00982C41" w:rsidRPr="00BB1D41">
        <w:t xml:space="preserve"> expenditure efficiencies with service quality. </w:t>
      </w:r>
    </w:p>
    <w:p w:rsidR="00695938" w:rsidRPr="00695938" w:rsidRDefault="00695938" w:rsidP="00695938">
      <w:r w:rsidRPr="00695938">
        <w:t xml:space="preserve">It is unclear whether applying a different sharing ratio for investments in reliability would lead to better outcomes for consumers. Excluding reliability capex from the CESS does not mean that a distributor's incentives to achieve efficiencies in capex will be balanced with its incentives to invest in reliability. If capex is not included in the CESS it will mean that the distributor will face a declining penalty from undertaking such expenditure within a regulatory control period. As there would be a smaller penalty if a distributor undertakes capex at the end of the regulatory control period, it would still be strongly incentivised to undertake reliability improving investments towards the end of a period rather than at the start. This may lead to investments in reliability not valued by consumers. In some cases it may also be difficult to identify and verify the discrete capex projects designed to improve reliability. </w:t>
      </w:r>
    </w:p>
    <w:p w:rsidR="00695938" w:rsidRPr="00132D43" w:rsidRDefault="0063227B" w:rsidP="004B21EB">
      <w:r>
        <w:t xml:space="preserve">Importantly, Jemena will not always be penalised or rewarded under the CESS for overspending or underspending specifically on reliability improvement capex. This is because </w:t>
      </w:r>
      <w:r w:rsidRPr="00AE26C1">
        <w:t>CESS rewards and penalties are determined relative to total forecast capex.</w:t>
      </w:r>
    </w:p>
    <w:sectPr w:rsidR="00695938" w:rsidRPr="00132D43" w:rsidSect="00CF42AA">
      <w:headerReference w:type="default" r:id="rId15"/>
      <w:footerReference w:type="even" r:id="rId16"/>
      <w:footerReference w:type="first" r:id="rId17"/>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4DF" w:rsidRPr="00290C63" w:rsidRDefault="000474DF" w:rsidP="00290C63">
      <w:r>
        <w:separator/>
      </w:r>
    </w:p>
    <w:p w:rsidR="000474DF" w:rsidRDefault="000474DF"/>
  </w:endnote>
  <w:endnote w:type="continuationSeparator" w:id="0">
    <w:p w:rsidR="000474DF" w:rsidRPr="00290C63" w:rsidRDefault="000474DF" w:rsidP="00290C63">
      <w:r>
        <w:continuationSeparator/>
      </w:r>
    </w:p>
    <w:p w:rsidR="000474DF" w:rsidRDefault="000474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99774"/>
      <w:docPartObj>
        <w:docPartGallery w:val="Page Numbers (Bottom of Page)"/>
        <w:docPartUnique/>
      </w:docPartObj>
    </w:sdtPr>
    <w:sdtEndPr>
      <w:rPr>
        <w:noProof/>
        <w:szCs w:val="16"/>
      </w:rPr>
    </w:sdtEndPr>
    <w:sdtContent>
      <w:p w:rsidR="000474DF" w:rsidRPr="009B6F84" w:rsidRDefault="000474DF">
        <w:pPr>
          <w:pStyle w:val="Footer"/>
          <w:rPr>
            <w:sz w:val="20"/>
          </w:rPr>
        </w:pPr>
        <w:r>
          <w:fldChar w:fldCharType="begin"/>
        </w:r>
        <w:r>
          <w:instrText xml:space="preserve"> PAGE   \* MERGEFORMAT </w:instrText>
        </w:r>
        <w:r>
          <w:fldChar w:fldCharType="separate"/>
        </w:r>
        <w:r w:rsidR="001B5DE9">
          <w:rPr>
            <w:noProof/>
          </w:rPr>
          <w:t>10-5</w:t>
        </w:r>
        <w:r>
          <w:rPr>
            <w:noProof/>
          </w:rPr>
          <w:fldChar w:fldCharType="end"/>
        </w:r>
        <w:r w:rsidR="004B6269">
          <w:rPr>
            <w:noProof/>
          </w:rPr>
          <w:t xml:space="preserve">  </w:t>
        </w:r>
        <w:r w:rsidR="00077383">
          <w:t>Attachment 10 – Capital expenditure sharing scheme</w:t>
        </w:r>
        <w:r w:rsidR="00077383" w:rsidRPr="004523B2">
          <w:t xml:space="preserve"> </w:t>
        </w:r>
        <w:r w:rsidR="0079769A" w:rsidRPr="004523B2">
          <w:t xml:space="preserve">| </w:t>
        </w:r>
        <w:r w:rsidR="0033558F">
          <w:t>Jemena</w:t>
        </w:r>
        <w:r w:rsidR="0079769A">
          <w:t xml:space="preserve"> </w:t>
        </w:r>
        <w:r w:rsidR="00DB4E34">
          <w:t>distribution determination final decision</w:t>
        </w:r>
        <w:r w:rsidR="0079769A" w:rsidRPr="004523B2">
          <w:t xml:space="preserve"> 201</w:t>
        </w:r>
        <w:r w:rsidR="00C75E3E">
          <w:t>6</w:t>
        </w:r>
        <w:r w:rsidR="0079769A" w:rsidRPr="004523B2">
          <w:t>–</w:t>
        </w:r>
        <w:r w:rsidR="00C75E3E">
          <w:t>20</w:t>
        </w:r>
      </w:p>
    </w:sdtContent>
  </w:sdt>
  <w:p w:rsidR="000474DF" w:rsidRDefault="000474D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0474DF" w:rsidRDefault="000474DF">
    <w:pPr>
      <w:pStyle w:val="Footer"/>
    </w:pP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0474DF" w:rsidRDefault="000474DF">
    <w:pPr>
      <w:pStyle w:val="Footer"/>
    </w:pP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4DF" w:rsidRPr="00290C63" w:rsidRDefault="000474DF" w:rsidP="00290C63">
      <w:r>
        <w:separator/>
      </w:r>
    </w:p>
    <w:p w:rsidR="000474DF" w:rsidRDefault="000474DF"/>
  </w:footnote>
  <w:footnote w:type="continuationSeparator" w:id="0">
    <w:p w:rsidR="000474DF" w:rsidRPr="00290C63" w:rsidRDefault="000474DF" w:rsidP="00290C63">
      <w:r>
        <w:continuationSeparator/>
      </w:r>
    </w:p>
    <w:p w:rsidR="000474DF" w:rsidRDefault="000474DF"/>
  </w:footnote>
  <w:footnote w:id="1">
    <w:p w:rsidR="004B21EB" w:rsidRDefault="004B21EB" w:rsidP="004B21EB">
      <w:pPr>
        <w:pStyle w:val="FootnoteText"/>
      </w:pPr>
      <w:r>
        <w:rPr>
          <w:rStyle w:val="FootnoteReference"/>
        </w:rPr>
        <w:footnoteRef/>
      </w:r>
      <w:r>
        <w:t xml:space="preserve"> </w:t>
      </w:r>
      <w:r>
        <w:tab/>
        <w:t xml:space="preserve">AER, </w:t>
      </w:r>
      <w:r w:rsidR="00693FD4" w:rsidRPr="00693FD4">
        <w:rPr>
          <w:rStyle w:val="AERtextitalic"/>
        </w:rPr>
        <w:t>Capital Expenditure Incentive Guideline for</w:t>
      </w:r>
      <w:r w:rsidR="00693FD4">
        <w:t xml:space="preserve"> </w:t>
      </w:r>
      <w:r w:rsidRPr="006B01B7">
        <w:rPr>
          <w:rStyle w:val="AERtextitalic"/>
        </w:rPr>
        <w:t>Network Service Providers</w:t>
      </w:r>
      <w:r>
        <w:t>, November 2013.</w:t>
      </w:r>
    </w:p>
  </w:footnote>
  <w:footnote w:id="2">
    <w:p w:rsidR="004B21EB" w:rsidRDefault="004B21EB" w:rsidP="004B21EB">
      <w:pPr>
        <w:pStyle w:val="FootnoteText"/>
      </w:pPr>
      <w:r>
        <w:rPr>
          <w:rStyle w:val="FootnoteReference"/>
        </w:rPr>
        <w:footnoteRef/>
      </w:r>
      <w:r w:rsidR="00C553B0">
        <w:t xml:space="preserve"> </w:t>
      </w:r>
      <w:r w:rsidR="00C553B0">
        <w:tab/>
        <w:t>Jemena</w:t>
      </w:r>
      <w:r>
        <w:rPr>
          <w:rStyle w:val="AERtextitalic"/>
        </w:rPr>
        <w:t xml:space="preserve">, </w:t>
      </w:r>
      <w:r w:rsidRPr="001C6E12">
        <w:rPr>
          <w:rStyle w:val="AERtextitalic"/>
        </w:rPr>
        <w:t>Revised Regulatory Proposal</w:t>
      </w:r>
      <w:r>
        <w:t xml:space="preserve">, </w:t>
      </w:r>
      <w:r w:rsidR="00C553B0">
        <w:t>Attachment 3-1, January 2016, p. 13</w:t>
      </w:r>
      <w:r>
        <w:t>.</w:t>
      </w:r>
    </w:p>
  </w:footnote>
  <w:footnote w:id="3">
    <w:p w:rsidR="00526FD6" w:rsidRDefault="00526FD6" w:rsidP="00526FD6">
      <w:pPr>
        <w:pStyle w:val="FootnoteText"/>
      </w:pPr>
      <w:r>
        <w:rPr>
          <w:rStyle w:val="FootnoteReference"/>
        </w:rPr>
        <w:footnoteRef/>
      </w:r>
      <w:r w:rsidR="00C553B0">
        <w:t xml:space="preserve"> </w:t>
      </w:r>
      <w:r w:rsidR="00C553B0">
        <w:tab/>
        <w:t>Jemena</w:t>
      </w:r>
      <w:r>
        <w:t xml:space="preserve">, </w:t>
      </w:r>
      <w:r w:rsidR="00C553B0" w:rsidRPr="001C6E12">
        <w:rPr>
          <w:rStyle w:val="AERtextitalic"/>
        </w:rPr>
        <w:t>Revised Regulatory Proposal</w:t>
      </w:r>
      <w:r w:rsidR="00C553B0">
        <w:t xml:space="preserve">, Attachment 3-1, January 2016, </w:t>
      </w:r>
      <w:r>
        <w:t>p. 14.</w:t>
      </w:r>
    </w:p>
  </w:footnote>
  <w:footnote w:id="4">
    <w:p w:rsidR="00476DA9" w:rsidRDefault="00476DA9" w:rsidP="00476DA9">
      <w:pPr>
        <w:pStyle w:val="FootnoteText"/>
      </w:pPr>
      <w:r>
        <w:rPr>
          <w:rStyle w:val="FootnoteReference"/>
        </w:rPr>
        <w:footnoteRef/>
      </w:r>
      <w:r w:rsidR="00C553B0">
        <w:t xml:space="preserve"> </w:t>
      </w:r>
      <w:r w:rsidR="00C553B0">
        <w:tab/>
        <w:t>Jemena</w:t>
      </w:r>
      <w:r>
        <w:t xml:space="preserve">, </w:t>
      </w:r>
      <w:r w:rsidR="00C553B0" w:rsidRPr="001C6E12">
        <w:rPr>
          <w:rStyle w:val="AERtextitalic"/>
        </w:rPr>
        <w:t>Revised Regulatory Proposal</w:t>
      </w:r>
      <w:r w:rsidR="00C553B0">
        <w:t xml:space="preserve">, Attachment 3-1, January 2016, </w:t>
      </w:r>
      <w:r>
        <w:t>p. 15.</w:t>
      </w:r>
    </w:p>
  </w:footnote>
  <w:footnote w:id="5">
    <w:p w:rsidR="004B21EB" w:rsidRDefault="004B21EB" w:rsidP="004B21EB">
      <w:pPr>
        <w:pStyle w:val="FootnoteText"/>
      </w:pPr>
      <w:r>
        <w:rPr>
          <w:rStyle w:val="FootnoteReference"/>
        </w:rPr>
        <w:footnoteRef/>
      </w:r>
      <w:r>
        <w:t xml:space="preserve"> </w:t>
      </w:r>
      <w:r>
        <w:tab/>
        <w:t>NER, cl. 6.5.8A(e).</w:t>
      </w:r>
    </w:p>
  </w:footnote>
  <w:footnote w:id="6">
    <w:p w:rsidR="004B21EB" w:rsidRDefault="004B21EB" w:rsidP="004B21EB">
      <w:pPr>
        <w:pStyle w:val="FootnoteText"/>
      </w:pPr>
      <w:r>
        <w:rPr>
          <w:rStyle w:val="FootnoteReference"/>
        </w:rPr>
        <w:footnoteRef/>
      </w:r>
      <w:r>
        <w:t xml:space="preserve"> </w:t>
      </w:r>
      <w:r>
        <w:tab/>
        <w:t xml:space="preserve">NER, cl. </w:t>
      </w:r>
      <w:r w:rsidRPr="00BD64DE">
        <w:t>6.4A(a)</w:t>
      </w:r>
      <w:r>
        <w:t xml:space="preserve">; the capex criteria are set out in cl. </w:t>
      </w:r>
      <w:r w:rsidRPr="00BD64DE">
        <w:t>6.5.7(c)</w:t>
      </w:r>
      <w:r>
        <w:t xml:space="preserve"> of the NER.</w:t>
      </w:r>
    </w:p>
  </w:footnote>
  <w:footnote w:id="7">
    <w:p w:rsidR="004B21EB" w:rsidRDefault="004B21EB" w:rsidP="004B21EB">
      <w:pPr>
        <w:pStyle w:val="FootnoteText"/>
      </w:pPr>
      <w:r>
        <w:rPr>
          <w:rStyle w:val="FootnoteReference"/>
        </w:rPr>
        <w:footnoteRef/>
      </w:r>
      <w:r>
        <w:t xml:space="preserve"> </w:t>
      </w:r>
      <w:r>
        <w:tab/>
        <w:t>NER, cl. 6.5.8A(c).</w:t>
      </w:r>
    </w:p>
  </w:footnote>
  <w:footnote w:id="8">
    <w:p w:rsidR="004B21EB" w:rsidRDefault="004B21EB" w:rsidP="004B21EB">
      <w:pPr>
        <w:pStyle w:val="FootnoteText"/>
      </w:pPr>
      <w:r>
        <w:rPr>
          <w:rStyle w:val="FootnoteReference"/>
        </w:rPr>
        <w:footnoteRef/>
      </w:r>
      <w:r>
        <w:t xml:space="preserve"> </w:t>
      </w:r>
      <w:r>
        <w:tab/>
        <w:t>NER, cl. 6.5.7(a).</w:t>
      </w:r>
    </w:p>
  </w:footnote>
  <w:footnote w:id="9">
    <w:p w:rsidR="004B21EB" w:rsidRDefault="004B21EB" w:rsidP="004B21EB">
      <w:pPr>
        <w:pStyle w:val="FootnoteText"/>
      </w:pPr>
      <w:r>
        <w:rPr>
          <w:rStyle w:val="FootnoteReference"/>
        </w:rPr>
        <w:footnoteRef/>
      </w:r>
      <w:r>
        <w:t xml:space="preserve"> </w:t>
      </w:r>
      <w:r>
        <w:tab/>
        <w:t xml:space="preserve">Related schemes are the efficiency benefit sharing scheme (EBSS) for opex, the demand management innovation allowance (DMIA), and the service target performance incentive scheme (STPIS) for service levels. </w:t>
      </w:r>
    </w:p>
  </w:footnote>
  <w:footnote w:id="10">
    <w:p w:rsidR="002C35D7" w:rsidRDefault="002C35D7" w:rsidP="002C35D7">
      <w:pPr>
        <w:pStyle w:val="FootnoteText"/>
      </w:pPr>
      <w:r>
        <w:rPr>
          <w:rStyle w:val="FootnoteReference"/>
        </w:rPr>
        <w:footnoteRef/>
      </w:r>
      <w:r w:rsidR="00C553B0">
        <w:t xml:space="preserve"> </w:t>
      </w:r>
      <w:r w:rsidR="00C553B0">
        <w:tab/>
        <w:t>Jemena</w:t>
      </w:r>
      <w:r>
        <w:t xml:space="preserve">, </w:t>
      </w:r>
      <w:r w:rsidR="00C553B0" w:rsidRPr="001C6E12">
        <w:rPr>
          <w:rStyle w:val="AERtextitalic"/>
        </w:rPr>
        <w:t>Revised Regulatory Proposal</w:t>
      </w:r>
      <w:r w:rsidR="00C553B0">
        <w:t xml:space="preserve">, Attachment 3-1, January 2016, </w:t>
      </w:r>
      <w:r>
        <w:t>p. 14.</w:t>
      </w:r>
    </w:p>
  </w:footnote>
  <w:footnote w:id="11">
    <w:p w:rsidR="002038F9" w:rsidRDefault="002038F9" w:rsidP="002038F9">
      <w:pPr>
        <w:pStyle w:val="FootnoteText"/>
      </w:pPr>
      <w:r>
        <w:rPr>
          <w:rStyle w:val="FootnoteReference"/>
        </w:rPr>
        <w:footnoteRef/>
      </w:r>
      <w:r w:rsidR="00C553B0">
        <w:t xml:space="preserve"> </w:t>
      </w:r>
      <w:r w:rsidR="00C553B0">
        <w:tab/>
        <w:t>Jemena</w:t>
      </w:r>
      <w:r>
        <w:t xml:space="preserve">, </w:t>
      </w:r>
      <w:r w:rsidR="00C553B0" w:rsidRPr="001C6E12">
        <w:rPr>
          <w:rStyle w:val="AERtextitalic"/>
        </w:rPr>
        <w:t>Revised Regulatory Proposal</w:t>
      </w:r>
      <w:r w:rsidR="00C553B0">
        <w:t xml:space="preserve">, Attachment 3-1, January 2016, </w:t>
      </w:r>
      <w:r>
        <w:t>p. 15.</w:t>
      </w:r>
    </w:p>
  </w:footnote>
  <w:footnote w:id="12">
    <w:p w:rsidR="00526FD6" w:rsidRDefault="00526FD6" w:rsidP="00526FD6">
      <w:pPr>
        <w:pStyle w:val="FootnoteText"/>
      </w:pPr>
      <w:r>
        <w:rPr>
          <w:rStyle w:val="FootnoteReference"/>
        </w:rPr>
        <w:footnoteRef/>
      </w:r>
      <w:r>
        <w:t xml:space="preserve"> </w:t>
      </w:r>
      <w:r>
        <w:tab/>
        <w:t xml:space="preserve">Jemena, </w:t>
      </w:r>
      <w:r w:rsidR="00C553B0" w:rsidRPr="001C6E12">
        <w:rPr>
          <w:rStyle w:val="AERtextitalic"/>
        </w:rPr>
        <w:t>Revised Regulatory Proposal</w:t>
      </w:r>
      <w:r w:rsidR="00C553B0">
        <w:t>, Attachment 3-1, January 2016</w:t>
      </w:r>
      <w:r>
        <w:t>, January 2016, p. 13.</w:t>
      </w:r>
    </w:p>
  </w:footnote>
  <w:footnote w:id="13">
    <w:p w:rsidR="0063227B" w:rsidRDefault="0063227B" w:rsidP="0063227B">
      <w:pPr>
        <w:pStyle w:val="FootnoteText"/>
      </w:pPr>
      <w:r>
        <w:rPr>
          <w:rStyle w:val="FootnoteReference"/>
        </w:rPr>
        <w:footnoteRef/>
      </w:r>
      <w:r>
        <w:t xml:space="preserve"> </w:t>
      </w:r>
      <w:r>
        <w:tab/>
        <w:t xml:space="preserve">AER, </w:t>
      </w:r>
      <w:r w:rsidRPr="006B01B7">
        <w:rPr>
          <w:rStyle w:val="AERtextitalic"/>
        </w:rPr>
        <w:t>Explanatory Statement, Capital Expenditure Incentive Guideline for Electricity Network Service Providers, November 2013</w:t>
      </w:r>
      <w:r>
        <w:t>, pp. 39–40.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Default="000474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5EDEDF7A"/>
    <w:lvl w:ilvl="0">
      <w:start w:val="10"/>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0">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30"/>
  </w:num>
  <w:num w:numId="29">
    <w:abstractNumId w:val="20"/>
  </w:num>
  <w:num w:numId="30">
    <w:abstractNumId w:val="9"/>
  </w:num>
  <w:num w:numId="31">
    <w:abstractNumId w:val="29"/>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7"/>
    <w:lvlOverride w:ilvl="3">
      <w:lvl w:ilvl="3">
        <w:start w:val="1"/>
        <w:numFmt w:val="decimal"/>
        <w:lvlText w:val="%2.%3.%4"/>
        <w:lvlJc w:val="left"/>
        <w:pPr>
          <w:tabs>
            <w:tab w:val="num" w:pos="0"/>
          </w:tabs>
          <w:ind w:left="0" w:hanging="851"/>
        </w:pPr>
        <w:rPr>
          <w:rFonts w:hint="default"/>
        </w:rPr>
      </w:lvl>
    </w:lvlOverride>
  </w:num>
  <w:num w:numId="33">
    <w:abstractNumId w:val="13"/>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trackRevisions/>
  <w:documentProtection w:formatting="1" w:enforcement="1" w:spinCount="100000" w:hashValue="HlKopRxRJllQ+SOJoXQo9FiQn07UqZcC0G4vSjL0AL4=" w:saltValue="SgzkUT75jFa3WOU7QJ+Gsg==" w:algorithmName="SHA-256"/>
  <w:defaultTabStop w:val="340"/>
  <w:characterSpacingControl w:val="doNotCompress"/>
  <w:hdrShapeDefaults>
    <o:shapedefaults v:ext="edit" spidmax="2498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5036\AER15 4372  AER - Final decision AusNet distribution determination - Attachment 10 - Capital expenditure sharing scheme - April 2016.DOCX"/>
  </w:docVars>
  <w:rsids>
    <w:rsidRoot w:val="00961A4A"/>
    <w:rsid w:val="000051DC"/>
    <w:rsid w:val="0000658F"/>
    <w:rsid w:val="0001507B"/>
    <w:rsid w:val="00020016"/>
    <w:rsid w:val="00021202"/>
    <w:rsid w:val="00021C2B"/>
    <w:rsid w:val="0002498B"/>
    <w:rsid w:val="0002517F"/>
    <w:rsid w:val="00026187"/>
    <w:rsid w:val="000266FC"/>
    <w:rsid w:val="000273B3"/>
    <w:rsid w:val="00027E2D"/>
    <w:rsid w:val="0003578C"/>
    <w:rsid w:val="00044DA3"/>
    <w:rsid w:val="000474DF"/>
    <w:rsid w:val="00055A67"/>
    <w:rsid w:val="00063247"/>
    <w:rsid w:val="0006624E"/>
    <w:rsid w:val="00067368"/>
    <w:rsid w:val="00070F9F"/>
    <w:rsid w:val="0007137B"/>
    <w:rsid w:val="00073B74"/>
    <w:rsid w:val="00076416"/>
    <w:rsid w:val="00076EFA"/>
    <w:rsid w:val="00077383"/>
    <w:rsid w:val="000805A8"/>
    <w:rsid w:val="0008190B"/>
    <w:rsid w:val="000836D9"/>
    <w:rsid w:val="00085663"/>
    <w:rsid w:val="00085EBF"/>
    <w:rsid w:val="00091B15"/>
    <w:rsid w:val="00095186"/>
    <w:rsid w:val="000A0E71"/>
    <w:rsid w:val="000A1C0C"/>
    <w:rsid w:val="000A3020"/>
    <w:rsid w:val="000A4840"/>
    <w:rsid w:val="000A62C1"/>
    <w:rsid w:val="000A6A79"/>
    <w:rsid w:val="000A6C7B"/>
    <w:rsid w:val="000B0A7B"/>
    <w:rsid w:val="000B1173"/>
    <w:rsid w:val="000B5827"/>
    <w:rsid w:val="000B7037"/>
    <w:rsid w:val="000C02D1"/>
    <w:rsid w:val="000C0C63"/>
    <w:rsid w:val="000C2B40"/>
    <w:rsid w:val="000C5255"/>
    <w:rsid w:val="000D07A7"/>
    <w:rsid w:val="000D122C"/>
    <w:rsid w:val="000D75B0"/>
    <w:rsid w:val="000E1819"/>
    <w:rsid w:val="000E4821"/>
    <w:rsid w:val="000E4AA9"/>
    <w:rsid w:val="000E6C72"/>
    <w:rsid w:val="000E7F39"/>
    <w:rsid w:val="000F0F0A"/>
    <w:rsid w:val="00100EA2"/>
    <w:rsid w:val="00101AA1"/>
    <w:rsid w:val="00102338"/>
    <w:rsid w:val="00104566"/>
    <w:rsid w:val="00104FF6"/>
    <w:rsid w:val="001114AA"/>
    <w:rsid w:val="00115743"/>
    <w:rsid w:val="00116EB2"/>
    <w:rsid w:val="0012132C"/>
    <w:rsid w:val="00124609"/>
    <w:rsid w:val="00126A4C"/>
    <w:rsid w:val="001270E3"/>
    <w:rsid w:val="00132D43"/>
    <w:rsid w:val="00133366"/>
    <w:rsid w:val="00133F47"/>
    <w:rsid w:val="00134029"/>
    <w:rsid w:val="00142C2D"/>
    <w:rsid w:val="00144C96"/>
    <w:rsid w:val="0014573B"/>
    <w:rsid w:val="001463A3"/>
    <w:rsid w:val="0015073A"/>
    <w:rsid w:val="001573E4"/>
    <w:rsid w:val="00160756"/>
    <w:rsid w:val="00161DC8"/>
    <w:rsid w:val="00166760"/>
    <w:rsid w:val="0017232E"/>
    <w:rsid w:val="00174102"/>
    <w:rsid w:val="001754EE"/>
    <w:rsid w:val="00180157"/>
    <w:rsid w:val="001809BC"/>
    <w:rsid w:val="00180E97"/>
    <w:rsid w:val="001820B4"/>
    <w:rsid w:val="00184351"/>
    <w:rsid w:val="00184AC8"/>
    <w:rsid w:val="00185BA5"/>
    <w:rsid w:val="00185CB9"/>
    <w:rsid w:val="00185DBE"/>
    <w:rsid w:val="00186ADC"/>
    <w:rsid w:val="00186F77"/>
    <w:rsid w:val="001877A4"/>
    <w:rsid w:val="001926A4"/>
    <w:rsid w:val="00192AD5"/>
    <w:rsid w:val="00194597"/>
    <w:rsid w:val="00194E00"/>
    <w:rsid w:val="0019745E"/>
    <w:rsid w:val="00197B16"/>
    <w:rsid w:val="001A530D"/>
    <w:rsid w:val="001A5FB3"/>
    <w:rsid w:val="001A7155"/>
    <w:rsid w:val="001B45A0"/>
    <w:rsid w:val="001B518F"/>
    <w:rsid w:val="001B5DE9"/>
    <w:rsid w:val="001B680E"/>
    <w:rsid w:val="001C1BB5"/>
    <w:rsid w:val="001D055E"/>
    <w:rsid w:val="001D5AFF"/>
    <w:rsid w:val="001E1B3F"/>
    <w:rsid w:val="001E7161"/>
    <w:rsid w:val="001F05A4"/>
    <w:rsid w:val="001F3D4A"/>
    <w:rsid w:val="001F492E"/>
    <w:rsid w:val="001F64EF"/>
    <w:rsid w:val="001F6DA3"/>
    <w:rsid w:val="002010BC"/>
    <w:rsid w:val="002016E7"/>
    <w:rsid w:val="00202E03"/>
    <w:rsid w:val="002033B9"/>
    <w:rsid w:val="002038F9"/>
    <w:rsid w:val="002043D0"/>
    <w:rsid w:val="0020492C"/>
    <w:rsid w:val="00204EC9"/>
    <w:rsid w:val="00206505"/>
    <w:rsid w:val="0020743F"/>
    <w:rsid w:val="00216C93"/>
    <w:rsid w:val="00223051"/>
    <w:rsid w:val="00224DB9"/>
    <w:rsid w:val="0022569A"/>
    <w:rsid w:val="0023005C"/>
    <w:rsid w:val="00231012"/>
    <w:rsid w:val="00233775"/>
    <w:rsid w:val="0023414B"/>
    <w:rsid w:val="00243635"/>
    <w:rsid w:val="00247079"/>
    <w:rsid w:val="00251745"/>
    <w:rsid w:val="002552BA"/>
    <w:rsid w:val="00260016"/>
    <w:rsid w:val="00263AC0"/>
    <w:rsid w:val="00264264"/>
    <w:rsid w:val="0026689B"/>
    <w:rsid w:val="0026772D"/>
    <w:rsid w:val="002730B2"/>
    <w:rsid w:val="00274C7E"/>
    <w:rsid w:val="002777CF"/>
    <w:rsid w:val="002810F2"/>
    <w:rsid w:val="00286874"/>
    <w:rsid w:val="00290C63"/>
    <w:rsid w:val="00290F66"/>
    <w:rsid w:val="00291A99"/>
    <w:rsid w:val="00293B6D"/>
    <w:rsid w:val="00294B08"/>
    <w:rsid w:val="0029518C"/>
    <w:rsid w:val="002963DD"/>
    <w:rsid w:val="00296B65"/>
    <w:rsid w:val="002A7DEF"/>
    <w:rsid w:val="002B0696"/>
    <w:rsid w:val="002C0222"/>
    <w:rsid w:val="002C1499"/>
    <w:rsid w:val="002C233C"/>
    <w:rsid w:val="002C35D7"/>
    <w:rsid w:val="002C517B"/>
    <w:rsid w:val="002D3509"/>
    <w:rsid w:val="002D5457"/>
    <w:rsid w:val="002D72E8"/>
    <w:rsid w:val="002D79AD"/>
    <w:rsid w:val="002E268F"/>
    <w:rsid w:val="002E78DD"/>
    <w:rsid w:val="002E7B22"/>
    <w:rsid w:val="002F12EC"/>
    <w:rsid w:val="002F7986"/>
    <w:rsid w:val="00301B40"/>
    <w:rsid w:val="00301C82"/>
    <w:rsid w:val="003029EE"/>
    <w:rsid w:val="00304D38"/>
    <w:rsid w:val="00305CC8"/>
    <w:rsid w:val="00307F6D"/>
    <w:rsid w:val="0031369B"/>
    <w:rsid w:val="00314D83"/>
    <w:rsid w:val="0031571F"/>
    <w:rsid w:val="003177A2"/>
    <w:rsid w:val="00317E02"/>
    <w:rsid w:val="003271B5"/>
    <w:rsid w:val="00327A1E"/>
    <w:rsid w:val="00327E28"/>
    <w:rsid w:val="00331264"/>
    <w:rsid w:val="00334C8D"/>
    <w:rsid w:val="0033558F"/>
    <w:rsid w:val="003378BD"/>
    <w:rsid w:val="003424EA"/>
    <w:rsid w:val="00342C2F"/>
    <w:rsid w:val="003436EB"/>
    <w:rsid w:val="00343A18"/>
    <w:rsid w:val="00345744"/>
    <w:rsid w:val="003518B3"/>
    <w:rsid w:val="00353E79"/>
    <w:rsid w:val="00364EA0"/>
    <w:rsid w:val="00366981"/>
    <w:rsid w:val="00370678"/>
    <w:rsid w:val="0037214E"/>
    <w:rsid w:val="00372C85"/>
    <w:rsid w:val="00373845"/>
    <w:rsid w:val="003744E3"/>
    <w:rsid w:val="00375F71"/>
    <w:rsid w:val="00376219"/>
    <w:rsid w:val="0037663E"/>
    <w:rsid w:val="0037699E"/>
    <w:rsid w:val="00377A29"/>
    <w:rsid w:val="00377C69"/>
    <w:rsid w:val="0038415D"/>
    <w:rsid w:val="0038461C"/>
    <w:rsid w:val="003846F1"/>
    <w:rsid w:val="00390E6A"/>
    <w:rsid w:val="00393ABE"/>
    <w:rsid w:val="00395DB6"/>
    <w:rsid w:val="00397398"/>
    <w:rsid w:val="003A371A"/>
    <w:rsid w:val="003A59CD"/>
    <w:rsid w:val="003A6B00"/>
    <w:rsid w:val="003B30B2"/>
    <w:rsid w:val="003B484F"/>
    <w:rsid w:val="003B504B"/>
    <w:rsid w:val="003B5179"/>
    <w:rsid w:val="003B685C"/>
    <w:rsid w:val="003B7FBA"/>
    <w:rsid w:val="003C5A87"/>
    <w:rsid w:val="003C6537"/>
    <w:rsid w:val="003C6A13"/>
    <w:rsid w:val="003C764A"/>
    <w:rsid w:val="003C78BA"/>
    <w:rsid w:val="003D41F1"/>
    <w:rsid w:val="003D42AB"/>
    <w:rsid w:val="003D5B94"/>
    <w:rsid w:val="003E0D3A"/>
    <w:rsid w:val="003E3AAB"/>
    <w:rsid w:val="003E7FE9"/>
    <w:rsid w:val="003F07D4"/>
    <w:rsid w:val="003F174D"/>
    <w:rsid w:val="003F2329"/>
    <w:rsid w:val="00400FD2"/>
    <w:rsid w:val="00403711"/>
    <w:rsid w:val="00404C52"/>
    <w:rsid w:val="00414E5F"/>
    <w:rsid w:val="004156D5"/>
    <w:rsid w:val="00415BA9"/>
    <w:rsid w:val="00415F31"/>
    <w:rsid w:val="0041691D"/>
    <w:rsid w:val="0042000C"/>
    <w:rsid w:val="0042090E"/>
    <w:rsid w:val="00421F27"/>
    <w:rsid w:val="004238D8"/>
    <w:rsid w:val="00423A77"/>
    <w:rsid w:val="004324F4"/>
    <w:rsid w:val="00434544"/>
    <w:rsid w:val="00441F4E"/>
    <w:rsid w:val="00445D43"/>
    <w:rsid w:val="00446CD2"/>
    <w:rsid w:val="004523B2"/>
    <w:rsid w:val="0045777E"/>
    <w:rsid w:val="00465258"/>
    <w:rsid w:val="00471BC6"/>
    <w:rsid w:val="00476221"/>
    <w:rsid w:val="004766F5"/>
    <w:rsid w:val="00476DA9"/>
    <w:rsid w:val="00480B4B"/>
    <w:rsid w:val="004838D8"/>
    <w:rsid w:val="00485DC4"/>
    <w:rsid w:val="00494D04"/>
    <w:rsid w:val="004A40BA"/>
    <w:rsid w:val="004A43D1"/>
    <w:rsid w:val="004A492B"/>
    <w:rsid w:val="004B21EB"/>
    <w:rsid w:val="004B4412"/>
    <w:rsid w:val="004B6269"/>
    <w:rsid w:val="004C348C"/>
    <w:rsid w:val="004C462E"/>
    <w:rsid w:val="004C6CA3"/>
    <w:rsid w:val="004C7F5E"/>
    <w:rsid w:val="004D343C"/>
    <w:rsid w:val="004D372A"/>
    <w:rsid w:val="004D55BA"/>
    <w:rsid w:val="004D720C"/>
    <w:rsid w:val="004E0FA7"/>
    <w:rsid w:val="004E22EC"/>
    <w:rsid w:val="004F0BFA"/>
    <w:rsid w:val="004F13DA"/>
    <w:rsid w:val="004F4D69"/>
    <w:rsid w:val="004F6883"/>
    <w:rsid w:val="004F6A0E"/>
    <w:rsid w:val="004F6BB3"/>
    <w:rsid w:val="005009CD"/>
    <w:rsid w:val="00504E5F"/>
    <w:rsid w:val="00507500"/>
    <w:rsid w:val="0051337E"/>
    <w:rsid w:val="00513FA7"/>
    <w:rsid w:val="0051768F"/>
    <w:rsid w:val="00522DC2"/>
    <w:rsid w:val="00526FD6"/>
    <w:rsid w:val="00530128"/>
    <w:rsid w:val="00532467"/>
    <w:rsid w:val="005332A9"/>
    <w:rsid w:val="0053603C"/>
    <w:rsid w:val="00537871"/>
    <w:rsid w:val="00542FE9"/>
    <w:rsid w:val="00544598"/>
    <w:rsid w:val="00544C8D"/>
    <w:rsid w:val="00544DFD"/>
    <w:rsid w:val="00556B1E"/>
    <w:rsid w:val="00564A4D"/>
    <w:rsid w:val="0056598C"/>
    <w:rsid w:val="00566E0B"/>
    <w:rsid w:val="00567BA5"/>
    <w:rsid w:val="00571B35"/>
    <w:rsid w:val="00571B43"/>
    <w:rsid w:val="00571D57"/>
    <w:rsid w:val="00573A3B"/>
    <w:rsid w:val="00577716"/>
    <w:rsid w:val="00577A09"/>
    <w:rsid w:val="005829C2"/>
    <w:rsid w:val="00584D8F"/>
    <w:rsid w:val="00587A18"/>
    <w:rsid w:val="00587ADE"/>
    <w:rsid w:val="00593BD0"/>
    <w:rsid w:val="005A0BEC"/>
    <w:rsid w:val="005A404D"/>
    <w:rsid w:val="005B1E3C"/>
    <w:rsid w:val="005B6518"/>
    <w:rsid w:val="005B704A"/>
    <w:rsid w:val="005B72D7"/>
    <w:rsid w:val="005C045F"/>
    <w:rsid w:val="005C16FE"/>
    <w:rsid w:val="005C1FAB"/>
    <w:rsid w:val="005C21A4"/>
    <w:rsid w:val="005C26CC"/>
    <w:rsid w:val="005C4463"/>
    <w:rsid w:val="005D3D88"/>
    <w:rsid w:val="005D4692"/>
    <w:rsid w:val="005D48C4"/>
    <w:rsid w:val="005D6208"/>
    <w:rsid w:val="005D6366"/>
    <w:rsid w:val="005D6415"/>
    <w:rsid w:val="005D7BA2"/>
    <w:rsid w:val="005E36C2"/>
    <w:rsid w:val="005E4AF4"/>
    <w:rsid w:val="005F387E"/>
    <w:rsid w:val="00601E0B"/>
    <w:rsid w:val="0060258B"/>
    <w:rsid w:val="00610EF9"/>
    <w:rsid w:val="00612F4F"/>
    <w:rsid w:val="00614EA0"/>
    <w:rsid w:val="00615C6B"/>
    <w:rsid w:val="00617D4C"/>
    <w:rsid w:val="00621DCE"/>
    <w:rsid w:val="00621FC5"/>
    <w:rsid w:val="00624F2C"/>
    <w:rsid w:val="0063227B"/>
    <w:rsid w:val="00632D6D"/>
    <w:rsid w:val="00636569"/>
    <w:rsid w:val="00636EF9"/>
    <w:rsid w:val="00642C3E"/>
    <w:rsid w:val="00644A01"/>
    <w:rsid w:val="00651E2D"/>
    <w:rsid w:val="00652324"/>
    <w:rsid w:val="006577FB"/>
    <w:rsid w:val="0066104A"/>
    <w:rsid w:val="00663066"/>
    <w:rsid w:val="00663DAD"/>
    <w:rsid w:val="00664206"/>
    <w:rsid w:val="006649E7"/>
    <w:rsid w:val="00666634"/>
    <w:rsid w:val="00671692"/>
    <w:rsid w:val="00675E20"/>
    <w:rsid w:val="00676679"/>
    <w:rsid w:val="00683C89"/>
    <w:rsid w:val="00691B53"/>
    <w:rsid w:val="00693FD4"/>
    <w:rsid w:val="00695938"/>
    <w:rsid w:val="00697D0B"/>
    <w:rsid w:val="006A12BA"/>
    <w:rsid w:val="006A4739"/>
    <w:rsid w:val="006A66A1"/>
    <w:rsid w:val="006B032D"/>
    <w:rsid w:val="006B2395"/>
    <w:rsid w:val="006B40AC"/>
    <w:rsid w:val="006B4CF9"/>
    <w:rsid w:val="006B797C"/>
    <w:rsid w:val="006B7AC8"/>
    <w:rsid w:val="006C1736"/>
    <w:rsid w:val="006C329B"/>
    <w:rsid w:val="006C6303"/>
    <w:rsid w:val="006D550F"/>
    <w:rsid w:val="006D6146"/>
    <w:rsid w:val="006D7F7E"/>
    <w:rsid w:val="006E0CFF"/>
    <w:rsid w:val="006E73BB"/>
    <w:rsid w:val="006F0D92"/>
    <w:rsid w:val="006F267D"/>
    <w:rsid w:val="0070011E"/>
    <w:rsid w:val="00701CAB"/>
    <w:rsid w:val="007023BB"/>
    <w:rsid w:val="00704DD7"/>
    <w:rsid w:val="00707563"/>
    <w:rsid w:val="00715F61"/>
    <w:rsid w:val="00722132"/>
    <w:rsid w:val="007228F7"/>
    <w:rsid w:val="0072348C"/>
    <w:rsid w:val="00724A37"/>
    <w:rsid w:val="007303C3"/>
    <w:rsid w:val="00731188"/>
    <w:rsid w:val="007356CC"/>
    <w:rsid w:val="007368E6"/>
    <w:rsid w:val="007375DF"/>
    <w:rsid w:val="007429BE"/>
    <w:rsid w:val="00743223"/>
    <w:rsid w:val="00743349"/>
    <w:rsid w:val="0074403A"/>
    <w:rsid w:val="00746E01"/>
    <w:rsid w:val="00751DCD"/>
    <w:rsid w:val="00755084"/>
    <w:rsid w:val="00757364"/>
    <w:rsid w:val="00757A77"/>
    <w:rsid w:val="00757BDF"/>
    <w:rsid w:val="007609D0"/>
    <w:rsid w:val="00761454"/>
    <w:rsid w:val="0076193D"/>
    <w:rsid w:val="00763E5D"/>
    <w:rsid w:val="00767740"/>
    <w:rsid w:val="00767B5E"/>
    <w:rsid w:val="00770064"/>
    <w:rsid w:val="00775460"/>
    <w:rsid w:val="00777EE6"/>
    <w:rsid w:val="00782EEA"/>
    <w:rsid w:val="00786CA4"/>
    <w:rsid w:val="007909B4"/>
    <w:rsid w:val="00790E86"/>
    <w:rsid w:val="007949D7"/>
    <w:rsid w:val="0079769A"/>
    <w:rsid w:val="007A0143"/>
    <w:rsid w:val="007A34C2"/>
    <w:rsid w:val="007A396C"/>
    <w:rsid w:val="007A4B02"/>
    <w:rsid w:val="007B0BE3"/>
    <w:rsid w:val="007B1816"/>
    <w:rsid w:val="007B186E"/>
    <w:rsid w:val="007B25DC"/>
    <w:rsid w:val="007B2C72"/>
    <w:rsid w:val="007B3789"/>
    <w:rsid w:val="007B651F"/>
    <w:rsid w:val="007B7BB5"/>
    <w:rsid w:val="007C1C53"/>
    <w:rsid w:val="007C284C"/>
    <w:rsid w:val="007C4B82"/>
    <w:rsid w:val="007C74BB"/>
    <w:rsid w:val="007C7F64"/>
    <w:rsid w:val="007D0A95"/>
    <w:rsid w:val="007D0EB5"/>
    <w:rsid w:val="007D456E"/>
    <w:rsid w:val="007D5837"/>
    <w:rsid w:val="007E4904"/>
    <w:rsid w:val="007E4CB5"/>
    <w:rsid w:val="007E4DAE"/>
    <w:rsid w:val="007F066B"/>
    <w:rsid w:val="007F4EAB"/>
    <w:rsid w:val="007F5B16"/>
    <w:rsid w:val="007F7C9D"/>
    <w:rsid w:val="008033C4"/>
    <w:rsid w:val="00806731"/>
    <w:rsid w:val="00806C88"/>
    <w:rsid w:val="0081034E"/>
    <w:rsid w:val="00810806"/>
    <w:rsid w:val="0081255A"/>
    <w:rsid w:val="00815882"/>
    <w:rsid w:val="00820454"/>
    <w:rsid w:val="00822AC7"/>
    <w:rsid w:val="00822E86"/>
    <w:rsid w:val="008344F6"/>
    <w:rsid w:val="0083510F"/>
    <w:rsid w:val="00837BF3"/>
    <w:rsid w:val="008415DE"/>
    <w:rsid w:val="008420DE"/>
    <w:rsid w:val="00845865"/>
    <w:rsid w:val="0084799B"/>
    <w:rsid w:val="00850C90"/>
    <w:rsid w:val="00851209"/>
    <w:rsid w:val="0085171F"/>
    <w:rsid w:val="00856A10"/>
    <w:rsid w:val="008658A1"/>
    <w:rsid w:val="0086716A"/>
    <w:rsid w:val="00870613"/>
    <w:rsid w:val="0087380F"/>
    <w:rsid w:val="0087648F"/>
    <w:rsid w:val="00876612"/>
    <w:rsid w:val="0087718C"/>
    <w:rsid w:val="00882BB1"/>
    <w:rsid w:val="008837AC"/>
    <w:rsid w:val="008909DC"/>
    <w:rsid w:val="00894255"/>
    <w:rsid w:val="008945AD"/>
    <w:rsid w:val="00896D92"/>
    <w:rsid w:val="008A0645"/>
    <w:rsid w:val="008A1C02"/>
    <w:rsid w:val="008A370D"/>
    <w:rsid w:val="008A587D"/>
    <w:rsid w:val="008B1646"/>
    <w:rsid w:val="008B16B0"/>
    <w:rsid w:val="008B1BD5"/>
    <w:rsid w:val="008B35CD"/>
    <w:rsid w:val="008B4093"/>
    <w:rsid w:val="008B5FCC"/>
    <w:rsid w:val="008B7F36"/>
    <w:rsid w:val="008C357F"/>
    <w:rsid w:val="008C5486"/>
    <w:rsid w:val="008D1661"/>
    <w:rsid w:val="008D27E0"/>
    <w:rsid w:val="008D5F90"/>
    <w:rsid w:val="008D6800"/>
    <w:rsid w:val="008D72F1"/>
    <w:rsid w:val="008E1691"/>
    <w:rsid w:val="008E4089"/>
    <w:rsid w:val="008E5AFF"/>
    <w:rsid w:val="008E7031"/>
    <w:rsid w:val="008E77DE"/>
    <w:rsid w:val="008F040C"/>
    <w:rsid w:val="008F07A3"/>
    <w:rsid w:val="008F3322"/>
    <w:rsid w:val="008F3519"/>
    <w:rsid w:val="008F3A0D"/>
    <w:rsid w:val="009001B6"/>
    <w:rsid w:val="00900E1B"/>
    <w:rsid w:val="0090131F"/>
    <w:rsid w:val="00907683"/>
    <w:rsid w:val="00910F63"/>
    <w:rsid w:val="009132B7"/>
    <w:rsid w:val="00916A2C"/>
    <w:rsid w:val="009233EE"/>
    <w:rsid w:val="0092721E"/>
    <w:rsid w:val="00930B1A"/>
    <w:rsid w:val="00932612"/>
    <w:rsid w:val="009327DC"/>
    <w:rsid w:val="009338D9"/>
    <w:rsid w:val="009339BD"/>
    <w:rsid w:val="009356CF"/>
    <w:rsid w:val="009448FA"/>
    <w:rsid w:val="00945E53"/>
    <w:rsid w:val="009460AA"/>
    <w:rsid w:val="00951978"/>
    <w:rsid w:val="00952C8B"/>
    <w:rsid w:val="00961A4A"/>
    <w:rsid w:val="009661DE"/>
    <w:rsid w:val="00972C7C"/>
    <w:rsid w:val="009776F4"/>
    <w:rsid w:val="00982C41"/>
    <w:rsid w:val="00982DA2"/>
    <w:rsid w:val="00983C25"/>
    <w:rsid w:val="0098466D"/>
    <w:rsid w:val="009856B7"/>
    <w:rsid w:val="009859D6"/>
    <w:rsid w:val="00985C86"/>
    <w:rsid w:val="009A5FC3"/>
    <w:rsid w:val="009B6F84"/>
    <w:rsid w:val="009B74B0"/>
    <w:rsid w:val="009C0152"/>
    <w:rsid w:val="009C1A74"/>
    <w:rsid w:val="009C3D42"/>
    <w:rsid w:val="009C491E"/>
    <w:rsid w:val="009D0DF1"/>
    <w:rsid w:val="009D22D6"/>
    <w:rsid w:val="009D2C84"/>
    <w:rsid w:val="009D3906"/>
    <w:rsid w:val="009D5E35"/>
    <w:rsid w:val="009D6B46"/>
    <w:rsid w:val="009E35B6"/>
    <w:rsid w:val="009E5ABC"/>
    <w:rsid w:val="009F3BBA"/>
    <w:rsid w:val="009F43B4"/>
    <w:rsid w:val="009F4940"/>
    <w:rsid w:val="009F4A69"/>
    <w:rsid w:val="009F5B2C"/>
    <w:rsid w:val="009F5BA1"/>
    <w:rsid w:val="00A02A88"/>
    <w:rsid w:val="00A04012"/>
    <w:rsid w:val="00A046FA"/>
    <w:rsid w:val="00A0562E"/>
    <w:rsid w:val="00A0726D"/>
    <w:rsid w:val="00A073AE"/>
    <w:rsid w:val="00A12204"/>
    <w:rsid w:val="00A12750"/>
    <w:rsid w:val="00A13CB0"/>
    <w:rsid w:val="00A1561F"/>
    <w:rsid w:val="00A16544"/>
    <w:rsid w:val="00A30BF5"/>
    <w:rsid w:val="00A31BE6"/>
    <w:rsid w:val="00A32FBB"/>
    <w:rsid w:val="00A40068"/>
    <w:rsid w:val="00A40BE9"/>
    <w:rsid w:val="00A428EE"/>
    <w:rsid w:val="00A443C2"/>
    <w:rsid w:val="00A4478A"/>
    <w:rsid w:val="00A44852"/>
    <w:rsid w:val="00A50502"/>
    <w:rsid w:val="00A5087B"/>
    <w:rsid w:val="00A53409"/>
    <w:rsid w:val="00A53796"/>
    <w:rsid w:val="00A53848"/>
    <w:rsid w:val="00A56945"/>
    <w:rsid w:val="00A56A6E"/>
    <w:rsid w:val="00A57D04"/>
    <w:rsid w:val="00A60A26"/>
    <w:rsid w:val="00A61598"/>
    <w:rsid w:val="00A61777"/>
    <w:rsid w:val="00A63646"/>
    <w:rsid w:val="00A63914"/>
    <w:rsid w:val="00A84A99"/>
    <w:rsid w:val="00A84F46"/>
    <w:rsid w:val="00A85E87"/>
    <w:rsid w:val="00A86AEA"/>
    <w:rsid w:val="00A86BAD"/>
    <w:rsid w:val="00A871F4"/>
    <w:rsid w:val="00A9431A"/>
    <w:rsid w:val="00A95988"/>
    <w:rsid w:val="00A959DF"/>
    <w:rsid w:val="00A97A1B"/>
    <w:rsid w:val="00AA2927"/>
    <w:rsid w:val="00AB2CB8"/>
    <w:rsid w:val="00AB4617"/>
    <w:rsid w:val="00AC1B2C"/>
    <w:rsid w:val="00AC3264"/>
    <w:rsid w:val="00AC46AD"/>
    <w:rsid w:val="00AC4D2D"/>
    <w:rsid w:val="00AC58EC"/>
    <w:rsid w:val="00AC7282"/>
    <w:rsid w:val="00AC7961"/>
    <w:rsid w:val="00AD314E"/>
    <w:rsid w:val="00AD5FCD"/>
    <w:rsid w:val="00AD6B48"/>
    <w:rsid w:val="00AD7A3A"/>
    <w:rsid w:val="00AE1BF1"/>
    <w:rsid w:val="00AE23AB"/>
    <w:rsid w:val="00AE58FB"/>
    <w:rsid w:val="00AE5AF0"/>
    <w:rsid w:val="00AE663D"/>
    <w:rsid w:val="00AE73B3"/>
    <w:rsid w:val="00AF07E7"/>
    <w:rsid w:val="00AF0DD2"/>
    <w:rsid w:val="00AF31E1"/>
    <w:rsid w:val="00AF3BBA"/>
    <w:rsid w:val="00AF4231"/>
    <w:rsid w:val="00B00B0E"/>
    <w:rsid w:val="00B00B26"/>
    <w:rsid w:val="00B02385"/>
    <w:rsid w:val="00B02F9D"/>
    <w:rsid w:val="00B05766"/>
    <w:rsid w:val="00B13048"/>
    <w:rsid w:val="00B13883"/>
    <w:rsid w:val="00B1716D"/>
    <w:rsid w:val="00B17A1D"/>
    <w:rsid w:val="00B207A0"/>
    <w:rsid w:val="00B21C21"/>
    <w:rsid w:val="00B22F54"/>
    <w:rsid w:val="00B24A7E"/>
    <w:rsid w:val="00B24B62"/>
    <w:rsid w:val="00B25C0C"/>
    <w:rsid w:val="00B304B5"/>
    <w:rsid w:val="00B308A9"/>
    <w:rsid w:val="00B31047"/>
    <w:rsid w:val="00B33148"/>
    <w:rsid w:val="00B35CDF"/>
    <w:rsid w:val="00B403C2"/>
    <w:rsid w:val="00B405A1"/>
    <w:rsid w:val="00B4438A"/>
    <w:rsid w:val="00B45AA2"/>
    <w:rsid w:val="00B46F70"/>
    <w:rsid w:val="00B479CA"/>
    <w:rsid w:val="00B5084F"/>
    <w:rsid w:val="00B514DD"/>
    <w:rsid w:val="00B52AF0"/>
    <w:rsid w:val="00B53D5F"/>
    <w:rsid w:val="00B54051"/>
    <w:rsid w:val="00B561BD"/>
    <w:rsid w:val="00B56E03"/>
    <w:rsid w:val="00B62765"/>
    <w:rsid w:val="00B65DF5"/>
    <w:rsid w:val="00B7679F"/>
    <w:rsid w:val="00B77159"/>
    <w:rsid w:val="00B8080B"/>
    <w:rsid w:val="00B82223"/>
    <w:rsid w:val="00B87BA5"/>
    <w:rsid w:val="00B87C39"/>
    <w:rsid w:val="00B93891"/>
    <w:rsid w:val="00B9562D"/>
    <w:rsid w:val="00BA21DA"/>
    <w:rsid w:val="00BA2B60"/>
    <w:rsid w:val="00BA3C93"/>
    <w:rsid w:val="00BA4665"/>
    <w:rsid w:val="00BA6B1F"/>
    <w:rsid w:val="00BA7FD7"/>
    <w:rsid w:val="00BB1681"/>
    <w:rsid w:val="00BB2FB2"/>
    <w:rsid w:val="00BB3304"/>
    <w:rsid w:val="00BB6551"/>
    <w:rsid w:val="00BC4A10"/>
    <w:rsid w:val="00BD30F4"/>
    <w:rsid w:val="00BD3446"/>
    <w:rsid w:val="00BD59CF"/>
    <w:rsid w:val="00BE1312"/>
    <w:rsid w:val="00BE1F1B"/>
    <w:rsid w:val="00BE3F89"/>
    <w:rsid w:val="00BE47B5"/>
    <w:rsid w:val="00BE5FCE"/>
    <w:rsid w:val="00C0079E"/>
    <w:rsid w:val="00C0572A"/>
    <w:rsid w:val="00C13EBD"/>
    <w:rsid w:val="00C1631B"/>
    <w:rsid w:val="00C163AB"/>
    <w:rsid w:val="00C170F0"/>
    <w:rsid w:val="00C25962"/>
    <w:rsid w:val="00C25FA6"/>
    <w:rsid w:val="00C3099D"/>
    <w:rsid w:val="00C33011"/>
    <w:rsid w:val="00C343A2"/>
    <w:rsid w:val="00C362C1"/>
    <w:rsid w:val="00C41950"/>
    <w:rsid w:val="00C42C3B"/>
    <w:rsid w:val="00C51672"/>
    <w:rsid w:val="00C538A9"/>
    <w:rsid w:val="00C53B5A"/>
    <w:rsid w:val="00C53CB4"/>
    <w:rsid w:val="00C53E41"/>
    <w:rsid w:val="00C54909"/>
    <w:rsid w:val="00C54AF3"/>
    <w:rsid w:val="00C54F5A"/>
    <w:rsid w:val="00C553B0"/>
    <w:rsid w:val="00C569B4"/>
    <w:rsid w:val="00C57DDE"/>
    <w:rsid w:val="00C61468"/>
    <w:rsid w:val="00C61A97"/>
    <w:rsid w:val="00C61E44"/>
    <w:rsid w:val="00C64FF3"/>
    <w:rsid w:val="00C662AD"/>
    <w:rsid w:val="00C67A92"/>
    <w:rsid w:val="00C71280"/>
    <w:rsid w:val="00C717BF"/>
    <w:rsid w:val="00C75E3E"/>
    <w:rsid w:val="00C76178"/>
    <w:rsid w:val="00C84560"/>
    <w:rsid w:val="00C86679"/>
    <w:rsid w:val="00C8792F"/>
    <w:rsid w:val="00C90472"/>
    <w:rsid w:val="00C91D6E"/>
    <w:rsid w:val="00CA489E"/>
    <w:rsid w:val="00CB0279"/>
    <w:rsid w:val="00CB666B"/>
    <w:rsid w:val="00CB734B"/>
    <w:rsid w:val="00CC058C"/>
    <w:rsid w:val="00CC41B6"/>
    <w:rsid w:val="00CC7ADA"/>
    <w:rsid w:val="00CC7F1D"/>
    <w:rsid w:val="00CD0A88"/>
    <w:rsid w:val="00CD125D"/>
    <w:rsid w:val="00CD283C"/>
    <w:rsid w:val="00CD3641"/>
    <w:rsid w:val="00CD66EA"/>
    <w:rsid w:val="00CD7432"/>
    <w:rsid w:val="00CE0FA5"/>
    <w:rsid w:val="00CE2A23"/>
    <w:rsid w:val="00CE31C8"/>
    <w:rsid w:val="00CE484B"/>
    <w:rsid w:val="00CE7CBA"/>
    <w:rsid w:val="00CF0DEE"/>
    <w:rsid w:val="00CF42AA"/>
    <w:rsid w:val="00CF5EAA"/>
    <w:rsid w:val="00CF6AE3"/>
    <w:rsid w:val="00CF77BB"/>
    <w:rsid w:val="00D006AE"/>
    <w:rsid w:val="00D00905"/>
    <w:rsid w:val="00D010C1"/>
    <w:rsid w:val="00D01CF0"/>
    <w:rsid w:val="00D0442A"/>
    <w:rsid w:val="00D12A7B"/>
    <w:rsid w:val="00D12ADB"/>
    <w:rsid w:val="00D15E63"/>
    <w:rsid w:val="00D25A39"/>
    <w:rsid w:val="00D27CFA"/>
    <w:rsid w:val="00D310FA"/>
    <w:rsid w:val="00D325C6"/>
    <w:rsid w:val="00D37213"/>
    <w:rsid w:val="00D4360D"/>
    <w:rsid w:val="00D5607F"/>
    <w:rsid w:val="00D61388"/>
    <w:rsid w:val="00D61A54"/>
    <w:rsid w:val="00D62108"/>
    <w:rsid w:val="00D64AA4"/>
    <w:rsid w:val="00D64DEA"/>
    <w:rsid w:val="00D64F84"/>
    <w:rsid w:val="00D663CD"/>
    <w:rsid w:val="00D6726A"/>
    <w:rsid w:val="00D7001B"/>
    <w:rsid w:val="00D7160D"/>
    <w:rsid w:val="00D7168E"/>
    <w:rsid w:val="00D7195F"/>
    <w:rsid w:val="00D71E57"/>
    <w:rsid w:val="00D72D27"/>
    <w:rsid w:val="00D7786B"/>
    <w:rsid w:val="00D80893"/>
    <w:rsid w:val="00D82519"/>
    <w:rsid w:val="00D84854"/>
    <w:rsid w:val="00D924AE"/>
    <w:rsid w:val="00D92CF1"/>
    <w:rsid w:val="00D92D38"/>
    <w:rsid w:val="00D950F5"/>
    <w:rsid w:val="00D97379"/>
    <w:rsid w:val="00DA4752"/>
    <w:rsid w:val="00DA4C09"/>
    <w:rsid w:val="00DA61F3"/>
    <w:rsid w:val="00DA7CB3"/>
    <w:rsid w:val="00DB0D00"/>
    <w:rsid w:val="00DB0F93"/>
    <w:rsid w:val="00DB1A67"/>
    <w:rsid w:val="00DB3721"/>
    <w:rsid w:val="00DB4E34"/>
    <w:rsid w:val="00DB5074"/>
    <w:rsid w:val="00DC0281"/>
    <w:rsid w:val="00DC1930"/>
    <w:rsid w:val="00DC1C76"/>
    <w:rsid w:val="00DC4DBF"/>
    <w:rsid w:val="00DC4E19"/>
    <w:rsid w:val="00DC65FE"/>
    <w:rsid w:val="00DC7981"/>
    <w:rsid w:val="00DD4C07"/>
    <w:rsid w:val="00DD577D"/>
    <w:rsid w:val="00DD5ADC"/>
    <w:rsid w:val="00DE1093"/>
    <w:rsid w:val="00DE4EFA"/>
    <w:rsid w:val="00DE5520"/>
    <w:rsid w:val="00DE563D"/>
    <w:rsid w:val="00DE7AB5"/>
    <w:rsid w:val="00DF0152"/>
    <w:rsid w:val="00DF1958"/>
    <w:rsid w:val="00E04818"/>
    <w:rsid w:val="00E06442"/>
    <w:rsid w:val="00E06952"/>
    <w:rsid w:val="00E11E61"/>
    <w:rsid w:val="00E157B2"/>
    <w:rsid w:val="00E16055"/>
    <w:rsid w:val="00E2332D"/>
    <w:rsid w:val="00E23993"/>
    <w:rsid w:val="00E2574F"/>
    <w:rsid w:val="00E25951"/>
    <w:rsid w:val="00E25B8C"/>
    <w:rsid w:val="00E30BB4"/>
    <w:rsid w:val="00E31CF6"/>
    <w:rsid w:val="00E34A4A"/>
    <w:rsid w:val="00E35AFC"/>
    <w:rsid w:val="00E41D39"/>
    <w:rsid w:val="00E44852"/>
    <w:rsid w:val="00E50A02"/>
    <w:rsid w:val="00E54106"/>
    <w:rsid w:val="00E54697"/>
    <w:rsid w:val="00E57A08"/>
    <w:rsid w:val="00E63631"/>
    <w:rsid w:val="00E64C2A"/>
    <w:rsid w:val="00E65C85"/>
    <w:rsid w:val="00E66199"/>
    <w:rsid w:val="00E70526"/>
    <w:rsid w:val="00E754B4"/>
    <w:rsid w:val="00E755EC"/>
    <w:rsid w:val="00E7624D"/>
    <w:rsid w:val="00E81724"/>
    <w:rsid w:val="00E819A4"/>
    <w:rsid w:val="00E833FA"/>
    <w:rsid w:val="00E84B74"/>
    <w:rsid w:val="00E87066"/>
    <w:rsid w:val="00E966BF"/>
    <w:rsid w:val="00EA0C04"/>
    <w:rsid w:val="00EA3D42"/>
    <w:rsid w:val="00EA6B1B"/>
    <w:rsid w:val="00EB1CBD"/>
    <w:rsid w:val="00EB3A34"/>
    <w:rsid w:val="00EB3C3F"/>
    <w:rsid w:val="00EC04F1"/>
    <w:rsid w:val="00EC237F"/>
    <w:rsid w:val="00EC573A"/>
    <w:rsid w:val="00ED1A32"/>
    <w:rsid w:val="00ED35C8"/>
    <w:rsid w:val="00ED3968"/>
    <w:rsid w:val="00ED7323"/>
    <w:rsid w:val="00EE28F3"/>
    <w:rsid w:val="00EE50D1"/>
    <w:rsid w:val="00EE7614"/>
    <w:rsid w:val="00EF5110"/>
    <w:rsid w:val="00EF5890"/>
    <w:rsid w:val="00EF76BA"/>
    <w:rsid w:val="00F0231A"/>
    <w:rsid w:val="00F03463"/>
    <w:rsid w:val="00F036B7"/>
    <w:rsid w:val="00F052B7"/>
    <w:rsid w:val="00F0700F"/>
    <w:rsid w:val="00F07F1F"/>
    <w:rsid w:val="00F10411"/>
    <w:rsid w:val="00F10A9A"/>
    <w:rsid w:val="00F11B2D"/>
    <w:rsid w:val="00F121C2"/>
    <w:rsid w:val="00F1485B"/>
    <w:rsid w:val="00F15882"/>
    <w:rsid w:val="00F170C7"/>
    <w:rsid w:val="00F171E0"/>
    <w:rsid w:val="00F20BD3"/>
    <w:rsid w:val="00F2722C"/>
    <w:rsid w:val="00F322E9"/>
    <w:rsid w:val="00F3231B"/>
    <w:rsid w:val="00F33808"/>
    <w:rsid w:val="00F373A5"/>
    <w:rsid w:val="00F37864"/>
    <w:rsid w:val="00F404F9"/>
    <w:rsid w:val="00F44B0A"/>
    <w:rsid w:val="00F47559"/>
    <w:rsid w:val="00F50B30"/>
    <w:rsid w:val="00F51F5F"/>
    <w:rsid w:val="00F52D75"/>
    <w:rsid w:val="00F55582"/>
    <w:rsid w:val="00F57647"/>
    <w:rsid w:val="00F62A14"/>
    <w:rsid w:val="00F644AB"/>
    <w:rsid w:val="00F64C7B"/>
    <w:rsid w:val="00F676DD"/>
    <w:rsid w:val="00F67AB6"/>
    <w:rsid w:val="00F70028"/>
    <w:rsid w:val="00F70434"/>
    <w:rsid w:val="00F75A26"/>
    <w:rsid w:val="00F76706"/>
    <w:rsid w:val="00F77D6D"/>
    <w:rsid w:val="00F80206"/>
    <w:rsid w:val="00F83034"/>
    <w:rsid w:val="00F83FAD"/>
    <w:rsid w:val="00F844C6"/>
    <w:rsid w:val="00F85E40"/>
    <w:rsid w:val="00F92FA6"/>
    <w:rsid w:val="00F9353B"/>
    <w:rsid w:val="00F937F1"/>
    <w:rsid w:val="00F952A0"/>
    <w:rsid w:val="00FA31B1"/>
    <w:rsid w:val="00FA3320"/>
    <w:rsid w:val="00FA3C7F"/>
    <w:rsid w:val="00FA6246"/>
    <w:rsid w:val="00FB24ED"/>
    <w:rsid w:val="00FB3304"/>
    <w:rsid w:val="00FB5005"/>
    <w:rsid w:val="00FB60FE"/>
    <w:rsid w:val="00FB74E2"/>
    <w:rsid w:val="00FB778B"/>
    <w:rsid w:val="00FD5614"/>
    <w:rsid w:val="00FD5E78"/>
    <w:rsid w:val="00FE0BE1"/>
    <w:rsid w:val="00FE11BB"/>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498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860075164">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ERInquiry@aer.gov.au"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footer" Target="footer3.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7CF8C054</Template>
  <TotalTime>0</TotalTime>
  <Pages>10</Pages>
  <Words>2061</Words>
  <Characters>11752</Characters>
  <Application>Microsoft Office Word</Application>
  <DocSecurity>0</DocSecurity>
  <Lines>97</Lines>
  <Paragraphs>27</Paragraphs>
  <ScaleCrop>false</ScaleCrop>
  <LinksUpToDate>false</LinksUpToDate>
  <CharactersWithSpaces>13786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2016-05-20T10:11:00Z</dcterms:created>
  <dcterms:modified xsi:type="dcterms:W3CDTF">2016-05-20T10:11:00Z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8588461</vt:lpwstr>
  </property>
</Properties>
</file>