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8A" w:rsidRDefault="0085038A" w:rsidP="00290C63">
      <w:pPr>
        <w:rPr>
          <w:rFonts w:eastAsiaTheme="majorEastAsia" w:cstheme="majorBidi"/>
          <w:noProof/>
          <w:sz w:val="36"/>
          <w:szCs w:val="36"/>
          <w:lang w:eastAsia="en-AU"/>
        </w:rPr>
      </w:pPr>
      <w:bookmarkStart w:id="0" w:name="_GoBack"/>
      <w:bookmarkEnd w:id="0"/>
      <w:r>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7DE63B5" wp14:editId="09A3EE59">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0FB8CC5" wp14:editId="7D54437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B2092F"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96D92">
            <w:t>1</w:t>
          </w:r>
          <w:r w:rsidR="000474DF">
            <w:t xml:space="preserve"> </w:t>
          </w:r>
          <w:r w:rsidR="00185BA5">
            <w:t>–</w:t>
          </w:r>
          <w:r w:rsidR="000474DF">
            <w:t xml:space="preserve"> </w:t>
          </w:r>
          <w:r w:rsidR="00896D92">
            <w:t>Service target performance incentive scheme</w:t>
          </w:r>
        </w:p>
        <w:p w:rsidR="000A6C7B" w:rsidRPr="00327A1E" w:rsidRDefault="00CB1A98"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6588962"/>
      <w:r>
        <w:lastRenderedPageBreak/>
        <w:t>Note</w:t>
      </w:r>
      <w:bookmarkEnd w:id="2"/>
      <w:bookmarkEnd w:id="3"/>
      <w:bookmarkEnd w:id="4"/>
    </w:p>
    <w:p w:rsidR="00761454" w:rsidRDefault="00761454" w:rsidP="00761454">
      <w:pPr>
        <w:numPr>
          <w:ilvl w:val="0"/>
          <w:numId w:val="24"/>
        </w:numPr>
      </w:pPr>
      <w:r>
        <w:t xml:space="preserve">This </w:t>
      </w:r>
      <w:r w:rsidR="005C467C">
        <w:t xml:space="preserve">attachment </w:t>
      </w:r>
      <w:r>
        <w:t xml:space="preserve">forms part of the AER's </w:t>
      </w:r>
      <w:r w:rsidR="00DB4E34">
        <w:t>final</w:t>
      </w:r>
      <w:r w:rsidR="000474DF">
        <w:t xml:space="preserve"> </w:t>
      </w:r>
      <w:r>
        <w:t xml:space="preserve">decision on </w:t>
      </w:r>
      <w:r w:rsidR="00B2092F">
        <w:t>Jemena's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6588963"/>
      <w:r>
        <w:t>Contents</w:t>
      </w:r>
      <w:bookmarkEnd w:id="9"/>
      <w:bookmarkEnd w:id="10"/>
    </w:p>
    <w:p w:rsidR="00CE2A23" w:rsidRDefault="00CE2A23" w:rsidP="00CE2A23"/>
    <w:sdt>
      <w:sdtPr>
        <w:id w:val="1269200322"/>
        <w:docPartObj>
          <w:docPartGallery w:val="Table of Contents"/>
          <w:docPartUnique/>
        </w:docPartObj>
      </w:sdtPr>
      <w:sdtEndPr/>
      <w:sdtContent>
        <w:p w:rsidR="009D27A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6588962" w:history="1">
            <w:r w:rsidR="009D27A7" w:rsidRPr="00513E77">
              <w:rPr>
                <w:rStyle w:val="Hyperlink"/>
              </w:rPr>
              <w:t>Note</w:t>
            </w:r>
            <w:r w:rsidR="009D27A7">
              <w:rPr>
                <w:webHidden/>
              </w:rPr>
              <w:tab/>
            </w:r>
            <w:r w:rsidR="009D27A7">
              <w:rPr>
                <w:webHidden/>
              </w:rPr>
              <w:fldChar w:fldCharType="begin"/>
            </w:r>
            <w:r w:rsidR="009D27A7">
              <w:rPr>
                <w:webHidden/>
              </w:rPr>
              <w:instrText xml:space="preserve"> PAGEREF _Toc446588962 \h </w:instrText>
            </w:r>
            <w:r w:rsidR="009D27A7">
              <w:rPr>
                <w:webHidden/>
              </w:rPr>
            </w:r>
            <w:r w:rsidR="009D27A7">
              <w:rPr>
                <w:webHidden/>
              </w:rPr>
              <w:fldChar w:fldCharType="separate"/>
            </w:r>
            <w:r w:rsidR="009D27A7">
              <w:rPr>
                <w:webHidden/>
              </w:rPr>
              <w:t>11-2</w:t>
            </w:r>
            <w:r w:rsidR="009D27A7">
              <w:rPr>
                <w:webHidden/>
              </w:rPr>
              <w:fldChar w:fldCharType="end"/>
            </w:r>
          </w:hyperlink>
        </w:p>
        <w:p w:rsidR="009D27A7" w:rsidRDefault="000F3343">
          <w:pPr>
            <w:pStyle w:val="TOC1"/>
            <w:rPr>
              <w:rFonts w:asciiTheme="minorHAnsi" w:eastAsiaTheme="minorEastAsia" w:hAnsiTheme="minorHAnsi"/>
              <w:b w:val="0"/>
              <w:color w:val="auto"/>
              <w:sz w:val="22"/>
              <w:lang w:val="en-AU" w:eastAsia="en-AU"/>
            </w:rPr>
          </w:pPr>
          <w:hyperlink w:anchor="_Toc446588963" w:history="1">
            <w:r w:rsidR="009D27A7" w:rsidRPr="00513E77">
              <w:rPr>
                <w:rStyle w:val="Hyperlink"/>
              </w:rPr>
              <w:t>Contents</w:t>
            </w:r>
            <w:r w:rsidR="009D27A7">
              <w:rPr>
                <w:webHidden/>
              </w:rPr>
              <w:tab/>
            </w:r>
            <w:r w:rsidR="009D27A7">
              <w:rPr>
                <w:webHidden/>
              </w:rPr>
              <w:fldChar w:fldCharType="begin"/>
            </w:r>
            <w:r w:rsidR="009D27A7">
              <w:rPr>
                <w:webHidden/>
              </w:rPr>
              <w:instrText xml:space="preserve"> PAGEREF _Toc446588963 \h </w:instrText>
            </w:r>
            <w:r w:rsidR="009D27A7">
              <w:rPr>
                <w:webHidden/>
              </w:rPr>
            </w:r>
            <w:r w:rsidR="009D27A7">
              <w:rPr>
                <w:webHidden/>
              </w:rPr>
              <w:fldChar w:fldCharType="separate"/>
            </w:r>
            <w:r w:rsidR="009D27A7">
              <w:rPr>
                <w:webHidden/>
              </w:rPr>
              <w:t>11-3</w:t>
            </w:r>
            <w:r w:rsidR="009D27A7">
              <w:rPr>
                <w:webHidden/>
              </w:rPr>
              <w:fldChar w:fldCharType="end"/>
            </w:r>
          </w:hyperlink>
        </w:p>
        <w:p w:rsidR="009D27A7" w:rsidRDefault="000F3343">
          <w:pPr>
            <w:pStyle w:val="TOC1"/>
            <w:rPr>
              <w:rFonts w:asciiTheme="minorHAnsi" w:eastAsiaTheme="minorEastAsia" w:hAnsiTheme="minorHAnsi"/>
              <w:b w:val="0"/>
              <w:color w:val="auto"/>
              <w:sz w:val="22"/>
              <w:lang w:val="en-AU" w:eastAsia="en-AU"/>
            </w:rPr>
          </w:pPr>
          <w:hyperlink w:anchor="_Toc446588964" w:history="1">
            <w:r w:rsidR="009D27A7" w:rsidRPr="00513E77">
              <w:rPr>
                <w:rStyle w:val="Hyperlink"/>
              </w:rPr>
              <w:t>Shortened forms</w:t>
            </w:r>
            <w:r w:rsidR="009D27A7">
              <w:rPr>
                <w:webHidden/>
              </w:rPr>
              <w:tab/>
            </w:r>
            <w:r w:rsidR="009D27A7">
              <w:rPr>
                <w:webHidden/>
              </w:rPr>
              <w:fldChar w:fldCharType="begin"/>
            </w:r>
            <w:r w:rsidR="009D27A7">
              <w:rPr>
                <w:webHidden/>
              </w:rPr>
              <w:instrText xml:space="preserve"> PAGEREF _Toc446588964 \h </w:instrText>
            </w:r>
            <w:r w:rsidR="009D27A7">
              <w:rPr>
                <w:webHidden/>
              </w:rPr>
            </w:r>
            <w:r w:rsidR="009D27A7">
              <w:rPr>
                <w:webHidden/>
              </w:rPr>
              <w:fldChar w:fldCharType="separate"/>
            </w:r>
            <w:r w:rsidR="009D27A7">
              <w:rPr>
                <w:webHidden/>
              </w:rPr>
              <w:t>11-4</w:t>
            </w:r>
            <w:r w:rsidR="009D27A7">
              <w:rPr>
                <w:webHidden/>
              </w:rPr>
              <w:fldChar w:fldCharType="end"/>
            </w:r>
          </w:hyperlink>
        </w:p>
        <w:p w:rsidR="009D27A7" w:rsidRDefault="000F3343">
          <w:pPr>
            <w:pStyle w:val="TOC1"/>
            <w:rPr>
              <w:rFonts w:asciiTheme="minorHAnsi" w:eastAsiaTheme="minorEastAsia" w:hAnsiTheme="minorHAnsi"/>
              <w:b w:val="0"/>
              <w:color w:val="auto"/>
              <w:sz w:val="22"/>
              <w:lang w:val="en-AU" w:eastAsia="en-AU"/>
            </w:rPr>
          </w:pPr>
          <w:hyperlink w:anchor="_Toc446588965" w:history="1">
            <w:r w:rsidR="009D27A7" w:rsidRPr="00513E77">
              <w:rPr>
                <w:rStyle w:val="Hyperlink"/>
              </w:rPr>
              <w:t>11</w:t>
            </w:r>
            <w:r w:rsidR="009D27A7">
              <w:rPr>
                <w:rFonts w:asciiTheme="minorHAnsi" w:eastAsiaTheme="minorEastAsia" w:hAnsiTheme="minorHAnsi"/>
                <w:b w:val="0"/>
                <w:color w:val="auto"/>
                <w:sz w:val="22"/>
                <w:lang w:val="en-AU" w:eastAsia="en-AU"/>
              </w:rPr>
              <w:tab/>
            </w:r>
            <w:r w:rsidR="009D27A7" w:rsidRPr="00513E77">
              <w:rPr>
                <w:rStyle w:val="Hyperlink"/>
              </w:rPr>
              <w:t>Service target performance incentive scheme</w:t>
            </w:r>
            <w:r w:rsidR="009D27A7">
              <w:rPr>
                <w:webHidden/>
              </w:rPr>
              <w:tab/>
            </w:r>
            <w:r w:rsidR="009D27A7">
              <w:rPr>
                <w:webHidden/>
              </w:rPr>
              <w:fldChar w:fldCharType="begin"/>
            </w:r>
            <w:r w:rsidR="009D27A7">
              <w:rPr>
                <w:webHidden/>
              </w:rPr>
              <w:instrText xml:space="preserve"> PAGEREF _Toc446588965 \h </w:instrText>
            </w:r>
            <w:r w:rsidR="009D27A7">
              <w:rPr>
                <w:webHidden/>
              </w:rPr>
            </w:r>
            <w:r w:rsidR="009D27A7">
              <w:rPr>
                <w:webHidden/>
              </w:rPr>
              <w:fldChar w:fldCharType="separate"/>
            </w:r>
            <w:r w:rsidR="009D27A7">
              <w:rPr>
                <w:webHidden/>
              </w:rPr>
              <w:t>11-6</w:t>
            </w:r>
            <w:r w:rsidR="009D27A7">
              <w:rPr>
                <w:webHidden/>
              </w:rPr>
              <w:fldChar w:fldCharType="end"/>
            </w:r>
          </w:hyperlink>
        </w:p>
        <w:p w:rsidR="009D27A7" w:rsidRDefault="000F3343">
          <w:pPr>
            <w:pStyle w:val="TOC2"/>
            <w:tabs>
              <w:tab w:val="left" w:pos="1276"/>
            </w:tabs>
            <w:rPr>
              <w:rFonts w:asciiTheme="minorHAnsi" w:eastAsiaTheme="minorEastAsia" w:hAnsiTheme="minorHAnsi"/>
              <w:b w:val="0"/>
              <w:color w:val="auto"/>
              <w:sz w:val="22"/>
              <w:lang w:eastAsia="en-AU"/>
            </w:rPr>
          </w:pPr>
          <w:hyperlink w:anchor="_Toc446588966" w:history="1">
            <w:r w:rsidR="009D27A7" w:rsidRPr="00513E77">
              <w:rPr>
                <w:rStyle w:val="Hyperlink"/>
              </w:rPr>
              <w:t>11.1</w:t>
            </w:r>
            <w:r w:rsidR="009D27A7">
              <w:rPr>
                <w:rFonts w:asciiTheme="minorHAnsi" w:eastAsiaTheme="minorEastAsia" w:hAnsiTheme="minorHAnsi"/>
                <w:b w:val="0"/>
                <w:color w:val="auto"/>
                <w:sz w:val="22"/>
                <w:lang w:eastAsia="en-AU"/>
              </w:rPr>
              <w:tab/>
            </w:r>
            <w:r w:rsidR="009D27A7" w:rsidRPr="00513E77">
              <w:rPr>
                <w:rStyle w:val="Hyperlink"/>
              </w:rPr>
              <w:t>Final decision</w:t>
            </w:r>
            <w:r w:rsidR="009D27A7">
              <w:rPr>
                <w:webHidden/>
              </w:rPr>
              <w:tab/>
            </w:r>
            <w:r w:rsidR="009D27A7">
              <w:rPr>
                <w:webHidden/>
              </w:rPr>
              <w:fldChar w:fldCharType="begin"/>
            </w:r>
            <w:r w:rsidR="009D27A7">
              <w:rPr>
                <w:webHidden/>
              </w:rPr>
              <w:instrText xml:space="preserve"> PAGEREF _Toc446588966 \h </w:instrText>
            </w:r>
            <w:r w:rsidR="009D27A7">
              <w:rPr>
                <w:webHidden/>
              </w:rPr>
            </w:r>
            <w:r w:rsidR="009D27A7">
              <w:rPr>
                <w:webHidden/>
              </w:rPr>
              <w:fldChar w:fldCharType="separate"/>
            </w:r>
            <w:r w:rsidR="009D27A7">
              <w:rPr>
                <w:webHidden/>
              </w:rPr>
              <w:t>11-6</w:t>
            </w:r>
            <w:r w:rsidR="009D27A7">
              <w:rPr>
                <w:webHidden/>
              </w:rPr>
              <w:fldChar w:fldCharType="end"/>
            </w:r>
          </w:hyperlink>
        </w:p>
        <w:p w:rsidR="009D27A7" w:rsidRDefault="000F3343">
          <w:pPr>
            <w:pStyle w:val="TOC2"/>
            <w:tabs>
              <w:tab w:val="left" w:pos="1276"/>
            </w:tabs>
            <w:rPr>
              <w:rFonts w:asciiTheme="minorHAnsi" w:eastAsiaTheme="minorEastAsia" w:hAnsiTheme="minorHAnsi"/>
              <w:b w:val="0"/>
              <w:color w:val="auto"/>
              <w:sz w:val="22"/>
              <w:lang w:eastAsia="en-AU"/>
            </w:rPr>
          </w:pPr>
          <w:hyperlink w:anchor="_Toc446588970" w:history="1">
            <w:r w:rsidR="009D27A7" w:rsidRPr="00513E77">
              <w:rPr>
                <w:rStyle w:val="Hyperlink"/>
              </w:rPr>
              <w:t>11.2</w:t>
            </w:r>
            <w:r w:rsidR="009D27A7">
              <w:rPr>
                <w:rFonts w:asciiTheme="minorHAnsi" w:eastAsiaTheme="minorEastAsia" w:hAnsiTheme="minorHAnsi"/>
                <w:b w:val="0"/>
                <w:color w:val="auto"/>
                <w:sz w:val="22"/>
                <w:lang w:eastAsia="en-AU"/>
              </w:rPr>
              <w:tab/>
            </w:r>
            <w:r w:rsidR="009D27A7" w:rsidRPr="00513E77">
              <w:rPr>
                <w:rStyle w:val="Hyperlink"/>
              </w:rPr>
              <w:t>Jemena's revised proposal</w:t>
            </w:r>
            <w:r w:rsidR="009D27A7">
              <w:rPr>
                <w:webHidden/>
              </w:rPr>
              <w:tab/>
            </w:r>
            <w:r w:rsidR="009D27A7">
              <w:rPr>
                <w:webHidden/>
              </w:rPr>
              <w:fldChar w:fldCharType="begin"/>
            </w:r>
            <w:r w:rsidR="009D27A7">
              <w:rPr>
                <w:webHidden/>
              </w:rPr>
              <w:instrText xml:space="preserve"> PAGEREF _Toc446588970 \h </w:instrText>
            </w:r>
            <w:r w:rsidR="009D27A7">
              <w:rPr>
                <w:webHidden/>
              </w:rPr>
            </w:r>
            <w:r w:rsidR="009D27A7">
              <w:rPr>
                <w:webHidden/>
              </w:rPr>
              <w:fldChar w:fldCharType="separate"/>
            </w:r>
            <w:r w:rsidR="009D27A7">
              <w:rPr>
                <w:webHidden/>
              </w:rPr>
              <w:t>11-8</w:t>
            </w:r>
            <w:r w:rsidR="009D27A7">
              <w:rPr>
                <w:webHidden/>
              </w:rPr>
              <w:fldChar w:fldCharType="end"/>
            </w:r>
          </w:hyperlink>
        </w:p>
        <w:p w:rsidR="009D27A7" w:rsidRDefault="000F3343">
          <w:pPr>
            <w:pStyle w:val="TOC2"/>
            <w:tabs>
              <w:tab w:val="left" w:pos="1276"/>
            </w:tabs>
            <w:rPr>
              <w:rFonts w:asciiTheme="minorHAnsi" w:eastAsiaTheme="minorEastAsia" w:hAnsiTheme="minorHAnsi"/>
              <w:b w:val="0"/>
              <w:color w:val="auto"/>
              <w:sz w:val="22"/>
              <w:lang w:eastAsia="en-AU"/>
            </w:rPr>
          </w:pPr>
          <w:hyperlink w:anchor="_Toc446588971" w:history="1">
            <w:r w:rsidR="009D27A7" w:rsidRPr="00513E77">
              <w:rPr>
                <w:rStyle w:val="Hyperlink"/>
              </w:rPr>
              <w:t>11.3</w:t>
            </w:r>
            <w:r w:rsidR="009D27A7">
              <w:rPr>
                <w:rFonts w:asciiTheme="minorHAnsi" w:eastAsiaTheme="minorEastAsia" w:hAnsiTheme="minorHAnsi"/>
                <w:b w:val="0"/>
                <w:color w:val="auto"/>
                <w:sz w:val="22"/>
                <w:lang w:eastAsia="en-AU"/>
              </w:rPr>
              <w:tab/>
            </w:r>
            <w:r w:rsidR="009D27A7" w:rsidRPr="00513E77">
              <w:rPr>
                <w:rStyle w:val="Hyperlink"/>
              </w:rPr>
              <w:t>Assessment approach</w:t>
            </w:r>
            <w:r w:rsidR="009D27A7">
              <w:rPr>
                <w:webHidden/>
              </w:rPr>
              <w:tab/>
            </w:r>
            <w:r w:rsidR="009D27A7">
              <w:rPr>
                <w:webHidden/>
              </w:rPr>
              <w:fldChar w:fldCharType="begin"/>
            </w:r>
            <w:r w:rsidR="009D27A7">
              <w:rPr>
                <w:webHidden/>
              </w:rPr>
              <w:instrText xml:space="preserve"> PAGEREF _Toc446588971 \h </w:instrText>
            </w:r>
            <w:r w:rsidR="009D27A7">
              <w:rPr>
                <w:webHidden/>
              </w:rPr>
            </w:r>
            <w:r w:rsidR="009D27A7">
              <w:rPr>
                <w:webHidden/>
              </w:rPr>
              <w:fldChar w:fldCharType="separate"/>
            </w:r>
            <w:r w:rsidR="009D27A7">
              <w:rPr>
                <w:webHidden/>
              </w:rPr>
              <w:t>11-9</w:t>
            </w:r>
            <w:r w:rsidR="009D27A7">
              <w:rPr>
                <w:webHidden/>
              </w:rPr>
              <w:fldChar w:fldCharType="end"/>
            </w:r>
          </w:hyperlink>
        </w:p>
        <w:p w:rsidR="009D27A7" w:rsidRDefault="000F3343">
          <w:pPr>
            <w:pStyle w:val="TOC2"/>
            <w:tabs>
              <w:tab w:val="left" w:pos="1276"/>
            </w:tabs>
            <w:rPr>
              <w:rFonts w:asciiTheme="minorHAnsi" w:eastAsiaTheme="minorEastAsia" w:hAnsiTheme="minorHAnsi"/>
              <w:b w:val="0"/>
              <w:color w:val="auto"/>
              <w:sz w:val="22"/>
              <w:lang w:eastAsia="en-AU"/>
            </w:rPr>
          </w:pPr>
          <w:hyperlink w:anchor="_Toc446588973" w:history="1">
            <w:r w:rsidR="009D27A7" w:rsidRPr="00513E77">
              <w:rPr>
                <w:rStyle w:val="Hyperlink"/>
              </w:rPr>
              <w:t>11.4</w:t>
            </w:r>
            <w:r w:rsidR="009D27A7">
              <w:rPr>
                <w:rFonts w:asciiTheme="minorHAnsi" w:eastAsiaTheme="minorEastAsia" w:hAnsiTheme="minorHAnsi"/>
                <w:b w:val="0"/>
                <w:color w:val="auto"/>
                <w:sz w:val="22"/>
                <w:lang w:eastAsia="en-AU"/>
              </w:rPr>
              <w:tab/>
            </w:r>
            <w:r w:rsidR="009D27A7" w:rsidRPr="00513E77">
              <w:rPr>
                <w:rStyle w:val="Hyperlink"/>
              </w:rPr>
              <w:t>Application of the STPIS for 2016–20</w:t>
            </w:r>
            <w:r w:rsidR="009D27A7">
              <w:rPr>
                <w:webHidden/>
              </w:rPr>
              <w:tab/>
            </w:r>
            <w:r w:rsidR="009D27A7">
              <w:rPr>
                <w:webHidden/>
              </w:rPr>
              <w:fldChar w:fldCharType="begin"/>
            </w:r>
            <w:r w:rsidR="009D27A7">
              <w:rPr>
                <w:webHidden/>
              </w:rPr>
              <w:instrText xml:space="preserve"> PAGEREF _Toc446588973 \h </w:instrText>
            </w:r>
            <w:r w:rsidR="009D27A7">
              <w:rPr>
                <w:webHidden/>
              </w:rPr>
            </w:r>
            <w:r w:rsidR="009D27A7">
              <w:rPr>
                <w:webHidden/>
              </w:rPr>
              <w:fldChar w:fldCharType="separate"/>
            </w:r>
            <w:r w:rsidR="009D27A7">
              <w:rPr>
                <w:webHidden/>
              </w:rPr>
              <w:t>11-10</w:t>
            </w:r>
            <w:r w:rsidR="009D27A7">
              <w:rPr>
                <w:webHidden/>
              </w:rPr>
              <w:fldChar w:fldCharType="end"/>
            </w:r>
          </w:hyperlink>
        </w:p>
        <w:p w:rsidR="009D27A7" w:rsidRDefault="000F3343">
          <w:pPr>
            <w:pStyle w:val="TOC2"/>
            <w:tabs>
              <w:tab w:val="left" w:pos="1276"/>
            </w:tabs>
            <w:rPr>
              <w:rFonts w:asciiTheme="minorHAnsi" w:eastAsiaTheme="minorEastAsia" w:hAnsiTheme="minorHAnsi"/>
              <w:b w:val="0"/>
              <w:color w:val="auto"/>
              <w:sz w:val="22"/>
              <w:lang w:eastAsia="en-AU"/>
            </w:rPr>
          </w:pPr>
          <w:hyperlink w:anchor="_Toc446588986" w:history="1">
            <w:r w:rsidR="009D27A7" w:rsidRPr="00513E77">
              <w:rPr>
                <w:rStyle w:val="Hyperlink"/>
              </w:rPr>
              <w:t>11.5</w:t>
            </w:r>
            <w:r w:rsidR="009D27A7">
              <w:rPr>
                <w:rFonts w:asciiTheme="minorHAnsi" w:eastAsiaTheme="minorEastAsia" w:hAnsiTheme="minorHAnsi"/>
                <w:b w:val="0"/>
                <w:color w:val="auto"/>
                <w:sz w:val="22"/>
                <w:lang w:eastAsia="en-AU"/>
              </w:rPr>
              <w:tab/>
            </w:r>
            <w:r w:rsidR="009D27A7" w:rsidRPr="00513E77">
              <w:rPr>
                <w:rStyle w:val="Hyperlink"/>
              </w:rPr>
              <w:t>Transitional arrangements for the STPIS</w:t>
            </w:r>
            <w:r w:rsidR="009D27A7">
              <w:rPr>
                <w:webHidden/>
              </w:rPr>
              <w:tab/>
            </w:r>
            <w:r w:rsidR="009D27A7">
              <w:rPr>
                <w:webHidden/>
              </w:rPr>
              <w:fldChar w:fldCharType="begin"/>
            </w:r>
            <w:r w:rsidR="009D27A7">
              <w:rPr>
                <w:webHidden/>
              </w:rPr>
              <w:instrText xml:space="preserve"> PAGEREF _Toc446588986 \h </w:instrText>
            </w:r>
            <w:r w:rsidR="009D27A7">
              <w:rPr>
                <w:webHidden/>
              </w:rPr>
            </w:r>
            <w:r w:rsidR="009D27A7">
              <w:rPr>
                <w:webHidden/>
              </w:rPr>
              <w:fldChar w:fldCharType="separate"/>
            </w:r>
            <w:r w:rsidR="009D27A7">
              <w:rPr>
                <w:webHidden/>
              </w:rPr>
              <w:t>11-15</w:t>
            </w:r>
            <w:r w:rsidR="009D27A7">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6588964"/>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96D92" w:rsidP="00896D9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6588965"/>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Service target performance</w:t>
      </w:r>
      <w:r w:rsidR="00C343A2">
        <w:t xml:space="preserve"> incentive scheme</w:t>
      </w:r>
      <w:bookmarkEnd w:id="71"/>
    </w:p>
    <w:p w:rsidR="00165B1D" w:rsidRDefault="00165B1D" w:rsidP="00165B1D">
      <w:r>
        <w:t xml:space="preserve">Under clause 6.3.2 of the NER our regulatory determination must </w:t>
      </w:r>
      <w:r w:rsidRPr="00277932">
        <w:t xml:space="preserve">specify how any applicable </w:t>
      </w:r>
      <w:r>
        <w:t>service target performance incentive</w:t>
      </w:r>
      <w:r w:rsidR="00A81FC3">
        <w:t xml:space="preserve"> scheme</w:t>
      </w:r>
      <w:r>
        <w:t xml:space="preserve"> (</w:t>
      </w:r>
      <w:r w:rsidRPr="00277932">
        <w:t>STPIS</w:t>
      </w:r>
      <w:r>
        <w:t>)</w:t>
      </w:r>
      <w:r w:rsidRPr="00277932">
        <w:t xml:space="preserve"> is to apply in the </w:t>
      </w:r>
      <w:r>
        <w:t>2015–20</w:t>
      </w:r>
      <w:r w:rsidRPr="00277932">
        <w:t xml:space="preserve"> regulatory control period.</w:t>
      </w:r>
      <w:r>
        <w:t xml:space="preserve"> </w:t>
      </w:r>
    </w:p>
    <w:p w:rsidR="00165B1D" w:rsidRDefault="00165B1D" w:rsidP="00165B1D">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132D43" w:rsidRDefault="00165B1D" w:rsidP="00132D43">
      <w:r>
        <w:t>This attachment sets out how we will apply the STPIS to Jemena Electricity Networks (J</w:t>
      </w:r>
      <w:r w:rsidR="00CE519B">
        <w:t>emena</w:t>
      </w:r>
      <w:r>
        <w:t>) for the 2016</w:t>
      </w:r>
      <w:r w:rsidRPr="00165B1D">
        <w:t>─</w:t>
      </w:r>
      <w:r>
        <w:t>20 regulatory control period.</w:t>
      </w:r>
    </w:p>
    <w:p w:rsidR="00132D43" w:rsidRDefault="00DB4E34" w:rsidP="00132D43">
      <w:pPr>
        <w:pStyle w:val="Heading2"/>
      </w:pPr>
      <w:bookmarkStart w:id="72" w:name="_Toc446588966"/>
      <w:r>
        <w:t>Final</w:t>
      </w:r>
      <w:r w:rsidR="00132D43">
        <w:t xml:space="preserve"> decision</w:t>
      </w:r>
      <w:bookmarkEnd w:id="72"/>
    </w:p>
    <w:p w:rsidR="00165B1D" w:rsidRDefault="00165B1D" w:rsidP="00165B1D">
      <w:r>
        <w:t xml:space="preserve">Our final decision is to </w:t>
      </w:r>
      <w:r w:rsidRPr="0035295E">
        <w:t xml:space="preserve">apply the STPIS to </w:t>
      </w:r>
      <w:r w:rsidR="00CE519B">
        <w:t>Jemena</w:t>
      </w:r>
      <w:r>
        <w:t xml:space="preserve"> for the 2016–20 regulatory control period and it will be to:</w:t>
      </w:r>
    </w:p>
    <w:p w:rsidR="00165B1D" w:rsidRPr="00D6741A" w:rsidRDefault="00165B1D" w:rsidP="00165B1D">
      <w:pPr>
        <w:pStyle w:val="AERbulletlistfirststyle"/>
        <w:rPr>
          <w:rStyle w:val="AERbody"/>
        </w:rPr>
      </w:pPr>
      <w:r w:rsidRPr="00441E9B">
        <w:rPr>
          <w:rStyle w:val="AERbody"/>
        </w:rPr>
        <w:t xml:space="preserve">set revenue at risk for </w:t>
      </w:r>
      <w:r w:rsidR="00CE519B">
        <w:rPr>
          <w:rStyle w:val="AERbody"/>
        </w:rPr>
        <w:t>Jemena</w:t>
      </w:r>
      <w:r>
        <w:rPr>
          <w:rStyle w:val="AERbody"/>
        </w:rPr>
        <w:t xml:space="preserve"> at the </w:t>
      </w:r>
      <w:r w:rsidRPr="00441E9B">
        <w:rPr>
          <w:rStyle w:val="AERbody"/>
        </w:rPr>
        <w:t>range ±</w:t>
      </w:r>
      <w:r>
        <w:rPr>
          <w:rStyle w:val="AERbody"/>
        </w:rPr>
        <w:t xml:space="preserve"> 5.0</w:t>
      </w:r>
      <w:r w:rsidRPr="00D6741A">
        <w:rPr>
          <w:rStyle w:val="AERbody"/>
        </w:rPr>
        <w:t xml:space="preserve"> per cent</w:t>
      </w:r>
    </w:p>
    <w:p w:rsidR="00165B1D" w:rsidRPr="00D6741A" w:rsidRDefault="00165B1D" w:rsidP="00165B1D">
      <w:pPr>
        <w:pStyle w:val="AERbulletlistfirststyle"/>
      </w:pPr>
      <w:r w:rsidRPr="00C16C7B">
        <w:t xml:space="preserve">segment </w:t>
      </w:r>
      <w:r w:rsidR="00CE519B">
        <w:t>Jemena</w:t>
      </w:r>
      <w:r>
        <w:t xml:space="preserve">’s </w:t>
      </w:r>
      <w:r w:rsidRPr="00C16C7B">
        <w:t>network according to feeder categories urban</w:t>
      </w:r>
      <w:r>
        <w:t xml:space="preserve"> and short rural</w:t>
      </w:r>
      <w:r w:rsidRPr="00D6741A">
        <w:t xml:space="preserve"> </w:t>
      </w:r>
    </w:p>
    <w:p w:rsidR="00165B1D" w:rsidRDefault="00165B1D" w:rsidP="00165B1D">
      <w:pPr>
        <w:pStyle w:val="AERbulletlistfirststyle"/>
        <w:rPr>
          <w:rStyle w:val="AERbody"/>
        </w:rPr>
      </w:pPr>
      <w:r w:rsidRPr="00C16C7B">
        <w:t xml:space="preserve">set applicable reliability of supply </w:t>
      </w:r>
      <w:r w:rsidRPr="00D6741A">
        <w:t xml:space="preserve">system average interruption duration index </w:t>
      </w:r>
      <w:r>
        <w:t>(</w:t>
      </w:r>
      <w:r w:rsidRPr="00D6741A">
        <w:t>SAIDI</w:t>
      </w:r>
      <w:r>
        <w:t>),</w:t>
      </w:r>
      <w:r w:rsidRPr="00D6741A">
        <w:t xml:space="preserve"> system average interruption frequency index </w:t>
      </w:r>
      <w:r>
        <w:t>(</w:t>
      </w:r>
      <w:r w:rsidRPr="00D6741A">
        <w:t>SAIFI</w:t>
      </w:r>
      <w:r>
        <w:t>), m</w:t>
      </w:r>
      <w:r w:rsidRPr="00C450BF">
        <w:t xml:space="preserve">omentary </w:t>
      </w:r>
      <w:r>
        <w:t>a</w:t>
      </w:r>
      <w:r w:rsidRPr="00C450BF">
        <w:t xml:space="preserve">verage </w:t>
      </w:r>
      <w:r>
        <w:t>i</w:t>
      </w:r>
      <w:r w:rsidRPr="00C450BF">
        <w:t xml:space="preserve">nterruption </w:t>
      </w:r>
      <w:r>
        <w:t>f</w:t>
      </w:r>
      <w:r w:rsidRPr="00C450BF">
        <w:t xml:space="preserve">requency </w:t>
      </w:r>
      <w:r>
        <w:t>i</w:t>
      </w:r>
      <w:r w:rsidRPr="00C450BF">
        <w:t>ndex (MAIFI)</w:t>
      </w:r>
      <w:r w:rsidRPr="00D6741A">
        <w:t xml:space="preserve"> and </w:t>
      </w:r>
      <w:r w:rsidRPr="00D6741A">
        <w:rPr>
          <w:rStyle w:val="AERbody"/>
        </w:rPr>
        <w:t>customer service (telephone answering) parameters</w:t>
      </w:r>
    </w:p>
    <w:p w:rsidR="00165B1D" w:rsidRPr="00D6741A" w:rsidRDefault="00165B1D" w:rsidP="00165B1D">
      <w:pPr>
        <w:pStyle w:val="AERbulletlistfirststyle"/>
      </w:pPr>
      <w:r w:rsidRPr="00D6741A">
        <w:t xml:space="preserve">set performance targets based on the </w:t>
      </w:r>
      <w:r w:rsidR="00CE519B">
        <w:t>Jemena</w:t>
      </w:r>
      <w:r>
        <w:t xml:space="preserve">'s </w:t>
      </w:r>
      <w:r w:rsidRPr="00D6741A">
        <w:t xml:space="preserve">average performance over the past five regulatory years </w:t>
      </w:r>
    </w:p>
    <w:p w:rsidR="00165B1D" w:rsidRPr="00D6741A" w:rsidRDefault="00165B1D" w:rsidP="00165B1D">
      <w:pPr>
        <w:pStyle w:val="AERbulletlistfirststyle"/>
      </w:pPr>
      <w:r w:rsidRPr="00D6741A">
        <w:t xml:space="preserve">apply the methodology indicated in the national STPIS for excluding specific events from the calculation of annual performance targets </w:t>
      </w:r>
    </w:p>
    <w:p w:rsidR="00165B1D" w:rsidRDefault="00165B1D" w:rsidP="00165B1D">
      <w:pPr>
        <w:pStyle w:val="AERbulletlistfirststyle"/>
      </w:pPr>
      <w:r w:rsidRPr="00D6741A">
        <w:t>apply the methodology and value of customer reliability (VCR) values to the calculation of incentive rates</w:t>
      </w:r>
      <w:r>
        <w:t xml:space="preserve"> using the latest VCR for Victoria</w:t>
      </w:r>
      <w:r w:rsidRPr="00D6741A">
        <w:t>.</w:t>
      </w:r>
    </w:p>
    <w:p w:rsidR="004179A6" w:rsidRDefault="00EE6552" w:rsidP="00165B1D">
      <w:pPr>
        <w:pStyle w:val="AERbulletlistfirststyle"/>
      </w:pPr>
      <w:r>
        <w:t xml:space="preserve">not apply the guaranteed service level of the STPIS as </w:t>
      </w:r>
      <w:r w:rsidR="00C70906">
        <w:t>Jemena</w:t>
      </w:r>
      <w:r>
        <w:t xml:space="preserve"> is subjected to the Victorian GSL scheme.</w:t>
      </w:r>
    </w:p>
    <w:p w:rsidR="0092774A" w:rsidRPr="0092774A" w:rsidRDefault="0092774A" w:rsidP="0092774A">
      <w:pPr>
        <w:pStyle w:val="AERbulletlistfirststyle"/>
        <w:numPr>
          <w:ilvl w:val="0"/>
          <w:numId w:val="0"/>
        </w:numPr>
        <w:ind w:left="357"/>
      </w:pPr>
      <w:r w:rsidRPr="0092774A">
        <w:t xml:space="preserve">In making our final decision on the application of STPIS, we have taken into account our preliminary decision, framework and approach paper, </w:t>
      </w:r>
      <w:r>
        <w:t xml:space="preserve">Jemena's </w:t>
      </w:r>
      <w:r w:rsidRPr="0092774A">
        <w:t xml:space="preserve">regulatory proposals, our information requests to </w:t>
      </w:r>
      <w:r>
        <w:t>Jemena</w:t>
      </w:r>
      <w:r w:rsidRPr="0092774A">
        <w:t xml:space="preserve"> and submissions raised by stakeholders. Our response to the matters raised by </w:t>
      </w:r>
      <w:r>
        <w:t>Jemena</w:t>
      </w:r>
      <w:r w:rsidRPr="0092774A">
        <w:t xml:space="preserve"> and stakeholders about the application of the STPIS are also discussed in this final decision.</w:t>
      </w:r>
    </w:p>
    <w:p w:rsidR="00165B1D" w:rsidRPr="00165B1D" w:rsidRDefault="00165B1D" w:rsidP="00BF6549">
      <w:pPr>
        <w:pStyle w:val="Heading3"/>
        <w:ind w:left="578" w:hanging="578"/>
      </w:pPr>
      <w:bookmarkStart w:id="73" w:name="_Toc417479824"/>
      <w:bookmarkStart w:id="74" w:name="_Toc433536577"/>
      <w:bookmarkStart w:id="75" w:name="_Toc446588967"/>
      <w:r>
        <w:t>Revenue at risk</w:t>
      </w:r>
      <w:bookmarkEnd w:id="73"/>
      <w:bookmarkEnd w:id="74"/>
      <w:bookmarkEnd w:id="75"/>
    </w:p>
    <w:p w:rsidR="00165B1D" w:rsidRPr="00390F5A" w:rsidRDefault="00165B1D" w:rsidP="00165B1D">
      <w:pPr>
        <w:rPr>
          <w:rStyle w:val="AERbody"/>
        </w:rPr>
      </w:pPr>
      <w:r w:rsidRPr="00390F5A">
        <w:rPr>
          <w:rStyle w:val="AERbody"/>
        </w:rPr>
        <w:t xml:space="preserve">The maximum level of penalty or reward under the STPIS is calculated as a percentage adjustment to </w:t>
      </w:r>
      <w:r w:rsidR="00CE519B">
        <w:rPr>
          <w:rStyle w:val="AERbody"/>
        </w:rPr>
        <w:t>Jemena</w:t>
      </w:r>
      <w:r>
        <w:rPr>
          <w:rStyle w:val="AERbody"/>
        </w:rPr>
        <w:t>’s</w:t>
      </w:r>
      <w:r w:rsidRPr="00390F5A">
        <w:rPr>
          <w:rStyle w:val="AERbody"/>
        </w:rPr>
        <w:t xml:space="preserve"> total revenue</w:t>
      </w:r>
      <w:r>
        <w:rPr>
          <w:rStyle w:val="AERbody"/>
        </w:rPr>
        <w:t>. The S-factor adjustment</w:t>
      </w:r>
      <w:r w:rsidRPr="00390F5A">
        <w:rPr>
          <w:rStyle w:val="AERbody"/>
        </w:rPr>
        <w:t xml:space="preserve"> is subject to the revenue at risk cap.</w:t>
      </w:r>
      <w:r w:rsidR="00BF6549" w:rsidRPr="00165B1D">
        <w:rPr>
          <w:rStyle w:val="FootnoteReference"/>
        </w:rPr>
        <w:footnoteReference w:id="2"/>
      </w:r>
      <w:r w:rsidRPr="00390F5A">
        <w:rPr>
          <w:rStyle w:val="AERbody"/>
        </w:rPr>
        <w:t xml:space="preserve"> </w:t>
      </w:r>
    </w:p>
    <w:p w:rsidR="00165B1D" w:rsidRPr="00190F80" w:rsidRDefault="00165B1D" w:rsidP="00165B1D">
      <w:pPr>
        <w:rPr>
          <w:rStyle w:val="AERbody"/>
        </w:rPr>
      </w:pPr>
      <w:r>
        <w:rPr>
          <w:rStyle w:val="AERbody"/>
        </w:rPr>
        <w:t xml:space="preserve">The revenue at risk for Jemena for each regulatory year of the 2016–20 regulatory control period will be capped at </w:t>
      </w:r>
      <w:r w:rsidRPr="00165B1D">
        <w:rPr>
          <w:rStyle w:val="AERbody"/>
        </w:rPr>
        <w:t>±</w:t>
      </w:r>
      <w:r>
        <w:rPr>
          <w:rStyle w:val="AERbody"/>
        </w:rPr>
        <w:t xml:space="preserve">5 </w:t>
      </w:r>
      <w:r w:rsidRPr="00CC262C">
        <w:rPr>
          <w:rStyle w:val="AERbody"/>
        </w:rPr>
        <w:t>.</w:t>
      </w:r>
      <w:r>
        <w:rPr>
          <w:rStyle w:val="AERbody"/>
        </w:rPr>
        <w:t>0</w:t>
      </w:r>
      <w:r w:rsidRPr="00CC262C">
        <w:rPr>
          <w:rStyle w:val="AERbody"/>
        </w:rPr>
        <w:t xml:space="preserve"> per cent</w:t>
      </w:r>
      <w:r>
        <w:rPr>
          <w:rStyle w:val="AERbody"/>
        </w:rPr>
        <w:t xml:space="preserve"> of the annual allowable revenue.</w:t>
      </w:r>
      <w:r w:rsidR="000777DE">
        <w:rPr>
          <w:rStyle w:val="AERbody"/>
        </w:rPr>
        <w:t xml:space="preserve"> Within this overall cap, t</w:t>
      </w:r>
      <w:r w:rsidRPr="00190F80">
        <w:rPr>
          <w:rStyle w:val="AERbody"/>
        </w:rPr>
        <w:t xml:space="preserve">here is </w:t>
      </w:r>
      <w:r>
        <w:rPr>
          <w:rStyle w:val="AERbody"/>
        </w:rPr>
        <w:t xml:space="preserve">also </w:t>
      </w:r>
      <w:r w:rsidRPr="00190F80">
        <w:rPr>
          <w:rStyle w:val="AERbody"/>
        </w:rPr>
        <w:t xml:space="preserve">a cap on the revenue at risk of </w:t>
      </w:r>
      <w:r w:rsidRPr="00165B1D">
        <w:rPr>
          <w:rStyle w:val="AERbody"/>
        </w:rPr>
        <w:t>±</w:t>
      </w:r>
      <w:r>
        <w:rPr>
          <w:rStyle w:val="AERbody"/>
        </w:rPr>
        <w:t xml:space="preserve"> </w:t>
      </w:r>
      <w:r w:rsidRPr="00190F80">
        <w:rPr>
          <w:rStyle w:val="AERbody"/>
        </w:rPr>
        <w:t>0.5</w:t>
      </w:r>
      <w:r>
        <w:rPr>
          <w:rStyle w:val="AERbody"/>
        </w:rPr>
        <w:t xml:space="preserve"> per cent</w:t>
      </w:r>
      <w:r w:rsidRPr="00190F80">
        <w:rPr>
          <w:rStyle w:val="AERbody"/>
        </w:rPr>
        <w:t xml:space="preserve"> for the telephone answering parameter.</w:t>
      </w:r>
    </w:p>
    <w:p w:rsidR="00165B1D" w:rsidRPr="00165B1D" w:rsidRDefault="00165B1D" w:rsidP="00055A4F">
      <w:pPr>
        <w:pStyle w:val="Heading3"/>
        <w:ind w:left="578" w:hanging="578"/>
      </w:pPr>
      <w:bookmarkStart w:id="76" w:name="_Toc417479825"/>
      <w:bookmarkStart w:id="77" w:name="_Toc433536578"/>
      <w:bookmarkStart w:id="78" w:name="_Toc446588968"/>
      <w:r w:rsidRPr="00F955D3">
        <w:t>Incentive rates</w:t>
      </w:r>
      <w:bookmarkEnd w:id="76"/>
      <w:bookmarkEnd w:id="77"/>
      <w:bookmarkEnd w:id="78"/>
    </w:p>
    <w:p w:rsidR="00165B1D" w:rsidRDefault="00165B1D" w:rsidP="00165B1D">
      <w:r>
        <w:t>Incentive rates are the penalty or reward that Jemena receives for a single unit variation in performance.</w:t>
      </w:r>
      <w:r w:rsidR="00BF6549">
        <w:rPr>
          <w:rStyle w:val="FootnoteReference"/>
        </w:rPr>
        <w:footnoteReference w:id="3"/>
      </w:r>
      <w:r>
        <w:t xml:space="preserve"> The incentive rates parameters are calculated with reference to the</w:t>
      </w:r>
      <w:r w:rsidRPr="00D95D38">
        <w:t xml:space="preserve"> </w:t>
      </w:r>
      <w:r>
        <w:t>VCR.</w:t>
      </w:r>
      <w:r>
        <w:rPr>
          <w:rStyle w:val="FootnoteReference"/>
        </w:rPr>
        <w:footnoteReference w:id="4"/>
      </w:r>
      <w:r>
        <w:t xml:space="preserve"> </w:t>
      </w:r>
    </w:p>
    <w:p w:rsidR="00165B1D" w:rsidRDefault="00165B1D" w:rsidP="00165B1D">
      <w:r>
        <w:t>Our calculated incentives rates for the 20</w:t>
      </w:r>
      <w:r w:rsidR="0085038A">
        <w:t>16–20 regulatory control period are</w:t>
      </w:r>
      <w:r>
        <w:t xml:space="preserve"> outlined in </w:t>
      </w:r>
      <w:r>
        <w:fldChar w:fldCharType="begin"/>
      </w:r>
      <w:r>
        <w:instrText xml:space="preserve"> REF _Ref417394508 \h </w:instrText>
      </w:r>
      <w:r>
        <w:fldChar w:fldCharType="separate"/>
      </w:r>
      <w:r w:rsidR="00BF6549">
        <w:t xml:space="preserve">Table </w:t>
      </w:r>
      <w:r w:rsidR="00BF6549">
        <w:rPr>
          <w:noProof/>
        </w:rPr>
        <w:t>11</w:t>
      </w:r>
      <w:r w:rsidR="00BF6549">
        <w:t>.</w:t>
      </w:r>
      <w:r w:rsidR="00BF6549">
        <w:rPr>
          <w:noProof/>
        </w:rPr>
        <w:t>1</w:t>
      </w:r>
      <w:r>
        <w:fldChar w:fldCharType="end"/>
      </w:r>
      <w:r>
        <w:t xml:space="preserve">. </w:t>
      </w:r>
      <w:r w:rsidRPr="002A3A62">
        <w:t xml:space="preserve">The incentive rate for the </w:t>
      </w:r>
      <w:r>
        <w:t xml:space="preserve">customer service component </w:t>
      </w:r>
      <w:r w:rsidRPr="002A3A62">
        <w:t xml:space="preserve">will be </w:t>
      </w:r>
      <w:r w:rsidRPr="00165B1D">
        <w:t>─</w:t>
      </w:r>
      <w:r>
        <w:t>0.040</w:t>
      </w:r>
      <w:r w:rsidRPr="002A3A62">
        <w:t xml:space="preserve"> per cent per unit of the telephone answering parameter.</w:t>
      </w:r>
      <w:r>
        <w:t xml:space="preserve"> </w:t>
      </w:r>
    </w:p>
    <w:p w:rsidR="00BC25AB" w:rsidRDefault="00BC25AB" w:rsidP="00165B1D">
      <w:r>
        <w:t xml:space="preserve">Our preliminary decision incorrectly calculated the incentive rates using </w:t>
      </w:r>
      <w:r w:rsidR="00CE519B">
        <w:t>Jemena</w:t>
      </w:r>
      <w:r>
        <w:t>'s total energy consumption instead of average energy consumption.</w:t>
      </w:r>
      <w:r>
        <w:rPr>
          <w:rStyle w:val="FootnoteReference"/>
        </w:rPr>
        <w:footnoteReference w:id="5"/>
      </w:r>
      <w:r>
        <w:t xml:space="preserve"> This final decision has corrected for this oversight.</w:t>
      </w:r>
    </w:p>
    <w:p w:rsidR="00165B1D" w:rsidRPr="00A946AA" w:rsidRDefault="00165B1D" w:rsidP="00165B1D">
      <w:pPr>
        <w:pStyle w:val="Caption"/>
      </w:pPr>
      <w:bookmarkStart w:id="79" w:name="_Ref417394508"/>
      <w:r>
        <w:t xml:space="preserve">Table </w:t>
      </w:r>
      <w:r w:rsidR="00BF6549">
        <w:fldChar w:fldCharType="begin"/>
      </w:r>
      <w:r w:rsidR="00BF6549">
        <w:instrText xml:space="preserve"> STYLEREF 1 \s </w:instrText>
      </w:r>
      <w:r w:rsidR="00BF6549">
        <w:fldChar w:fldCharType="separate"/>
      </w:r>
      <w:r w:rsidR="00BF6549">
        <w:rPr>
          <w:noProof/>
        </w:rPr>
        <w:t>11</w:t>
      </w:r>
      <w:r w:rsidR="00BF6549">
        <w:fldChar w:fldCharType="end"/>
      </w:r>
      <w:r w:rsidR="00BF6549">
        <w:t>.</w:t>
      </w:r>
      <w:r w:rsidR="00BF6549">
        <w:fldChar w:fldCharType="begin"/>
      </w:r>
      <w:r w:rsidR="00BF6549">
        <w:instrText xml:space="preserve"> SEQ Table \* ARABIC \s 1 </w:instrText>
      </w:r>
      <w:r w:rsidR="00BF6549">
        <w:fldChar w:fldCharType="separate"/>
      </w:r>
      <w:r w:rsidR="00BF6549">
        <w:rPr>
          <w:noProof/>
        </w:rPr>
        <w:t>1</w:t>
      </w:r>
      <w:r w:rsidR="00BF6549">
        <w:fldChar w:fldCharType="end"/>
      </w:r>
      <w:bookmarkEnd w:id="79"/>
      <w:r>
        <w:tab/>
      </w:r>
      <w:bookmarkStart w:id="80" w:name="_Ref417394504"/>
      <w:r>
        <w:t>Final decision—STPIS i</w:t>
      </w:r>
      <w:r w:rsidRPr="00A946AA">
        <w:t xml:space="preserve">ncentive rates </w:t>
      </w:r>
      <w:r>
        <w:t xml:space="preserve">for </w:t>
      </w:r>
      <w:r w:rsidR="00CE519B">
        <w:t>Jemena</w:t>
      </w:r>
      <w:r w:rsidRPr="00A946AA">
        <w:t xml:space="preserve"> </w:t>
      </w:r>
      <w:r>
        <w:t>for the 2016–20</w:t>
      </w:r>
      <w:bookmarkEnd w:id="80"/>
      <w:r>
        <w:t xml:space="preserve"> regulatory control period</w:t>
      </w:r>
    </w:p>
    <w:tbl>
      <w:tblPr>
        <w:tblStyle w:val="AERtable-numbers"/>
        <w:tblW w:w="5000" w:type="pct"/>
        <w:tblLook w:val="04A0" w:firstRow="1" w:lastRow="0" w:firstColumn="1" w:lastColumn="0" w:noHBand="0" w:noVBand="1"/>
      </w:tblPr>
      <w:tblGrid>
        <w:gridCol w:w="2943"/>
        <w:gridCol w:w="2589"/>
        <w:gridCol w:w="3161"/>
      </w:tblGrid>
      <w:tr w:rsidR="00165B1D" w:rsidRPr="00A946AA" w:rsidTr="00F70F9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93" w:type="pct"/>
            <w:hideMark/>
          </w:tcPr>
          <w:p w:rsidR="00165B1D" w:rsidRPr="00165B1D" w:rsidRDefault="00165B1D" w:rsidP="00165B1D">
            <w:pPr>
              <w:pStyle w:val="Tabletext-centred"/>
            </w:pPr>
            <w:r w:rsidRPr="00A946AA">
              <w:t> </w:t>
            </w:r>
          </w:p>
        </w:tc>
        <w:tc>
          <w:tcPr>
            <w:tcW w:w="1489" w:type="pct"/>
            <w:hideMark/>
          </w:tcPr>
          <w:p w:rsidR="00165B1D" w:rsidRPr="00165B1D" w:rsidRDefault="00165B1D" w:rsidP="00165B1D">
            <w:pPr>
              <w:pStyle w:val="AERtabletextright"/>
              <w:cnfStyle w:val="100000000000" w:firstRow="1" w:lastRow="0" w:firstColumn="0" w:lastColumn="0" w:oddVBand="0" w:evenVBand="0" w:oddHBand="0" w:evenHBand="0" w:firstRowFirstColumn="0" w:firstRowLastColumn="0" w:lastRowFirstColumn="0" w:lastRowLastColumn="0"/>
            </w:pPr>
            <w:r>
              <w:t>Urban</w:t>
            </w:r>
            <w:r w:rsidRPr="00165B1D">
              <w:t xml:space="preserve"> </w:t>
            </w:r>
          </w:p>
        </w:tc>
        <w:tc>
          <w:tcPr>
            <w:tcW w:w="1818" w:type="pct"/>
            <w:hideMark/>
          </w:tcPr>
          <w:p w:rsidR="00165B1D" w:rsidRPr="00165B1D" w:rsidRDefault="00165B1D" w:rsidP="00165B1D">
            <w:pPr>
              <w:pStyle w:val="AERtabletextright"/>
              <w:cnfStyle w:val="100000000000" w:firstRow="1" w:lastRow="0" w:firstColumn="0" w:lastColumn="0" w:oddVBand="0" w:evenVBand="0" w:oddHBand="0" w:evenHBand="0" w:firstRowFirstColumn="0" w:firstRowLastColumn="0" w:lastRowFirstColumn="0" w:lastRowLastColumn="0"/>
            </w:pPr>
            <w:r>
              <w:t>S</w:t>
            </w:r>
            <w:r w:rsidRPr="00165B1D">
              <w:t>hort rural</w:t>
            </w:r>
          </w:p>
        </w:tc>
      </w:tr>
      <w:tr w:rsidR="00514257" w:rsidRPr="00A946AA" w:rsidTr="00514257">
        <w:trPr>
          <w:trHeight w:val="476"/>
        </w:trPr>
        <w:tc>
          <w:tcPr>
            <w:cnfStyle w:val="001000000000" w:firstRow="0" w:lastRow="0" w:firstColumn="1" w:lastColumn="0" w:oddVBand="0" w:evenVBand="0" w:oddHBand="0" w:evenHBand="0" w:firstRowFirstColumn="0" w:firstRowLastColumn="0" w:lastRowFirstColumn="0" w:lastRowLastColumn="0"/>
            <w:tcW w:w="1693" w:type="pct"/>
            <w:hideMark/>
          </w:tcPr>
          <w:p w:rsidR="00514257" w:rsidRPr="00514257" w:rsidRDefault="00514257" w:rsidP="00514257">
            <w:pPr>
              <w:pStyle w:val="AERtabletextleft"/>
            </w:pPr>
            <w:r w:rsidRPr="00514257">
              <w:t>SAIDI</w:t>
            </w:r>
          </w:p>
        </w:tc>
        <w:tc>
          <w:tcPr>
            <w:tcW w:w="1489" w:type="pct"/>
            <w:vAlign w:val="top"/>
          </w:tcPr>
          <w:p w:rsidR="00514257" w:rsidRPr="00514257" w:rsidRDefault="00514257" w:rsidP="00514257">
            <w:pPr>
              <w:cnfStyle w:val="000000000000" w:firstRow="0" w:lastRow="0" w:firstColumn="0" w:lastColumn="0" w:oddVBand="0" w:evenVBand="0" w:oddHBand="0" w:evenHBand="0" w:firstRowFirstColumn="0" w:firstRowLastColumn="0" w:lastRowFirstColumn="0" w:lastRowLastColumn="0"/>
            </w:pPr>
            <w:r w:rsidRPr="00514257">
              <w:t>0.0651</w:t>
            </w:r>
          </w:p>
        </w:tc>
        <w:tc>
          <w:tcPr>
            <w:tcW w:w="1818" w:type="pct"/>
            <w:vAlign w:val="top"/>
          </w:tcPr>
          <w:p w:rsidR="00514257" w:rsidRPr="00514257" w:rsidRDefault="00514257" w:rsidP="00514257">
            <w:pPr>
              <w:cnfStyle w:val="000000000000" w:firstRow="0" w:lastRow="0" w:firstColumn="0" w:lastColumn="0" w:oddVBand="0" w:evenVBand="0" w:oddHBand="0" w:evenHBand="0" w:firstRowFirstColumn="0" w:firstRowLastColumn="0" w:lastRowFirstColumn="0" w:lastRowLastColumn="0"/>
            </w:pPr>
            <w:r w:rsidRPr="00514257">
              <w:t>0.0026</w:t>
            </w:r>
          </w:p>
        </w:tc>
      </w:tr>
      <w:tr w:rsidR="00514257" w:rsidRPr="00A946AA" w:rsidTr="00514257">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93" w:type="pct"/>
          </w:tcPr>
          <w:p w:rsidR="00514257" w:rsidRPr="00514257" w:rsidRDefault="00514257" w:rsidP="00514257">
            <w:pPr>
              <w:pStyle w:val="AERtabletextleft"/>
            </w:pPr>
            <w:r w:rsidRPr="00514257">
              <w:t>SAIFI</w:t>
            </w:r>
          </w:p>
        </w:tc>
        <w:tc>
          <w:tcPr>
            <w:tcW w:w="1489" w:type="pct"/>
            <w:vAlign w:val="top"/>
          </w:tcPr>
          <w:p w:rsidR="00514257" w:rsidRPr="00514257" w:rsidRDefault="00514257" w:rsidP="00514257">
            <w:pPr>
              <w:cnfStyle w:val="000000010000" w:firstRow="0" w:lastRow="0" w:firstColumn="0" w:lastColumn="0" w:oddVBand="0" w:evenVBand="0" w:oddHBand="0" w:evenHBand="1" w:firstRowFirstColumn="0" w:firstRowLastColumn="0" w:lastRowFirstColumn="0" w:lastRowLastColumn="0"/>
            </w:pPr>
            <w:r w:rsidRPr="00514257">
              <w:t>3.9019</w:t>
            </w:r>
          </w:p>
        </w:tc>
        <w:tc>
          <w:tcPr>
            <w:tcW w:w="1818" w:type="pct"/>
            <w:vAlign w:val="top"/>
          </w:tcPr>
          <w:p w:rsidR="00514257" w:rsidRPr="00514257" w:rsidRDefault="00514257" w:rsidP="00514257">
            <w:pPr>
              <w:cnfStyle w:val="000000010000" w:firstRow="0" w:lastRow="0" w:firstColumn="0" w:lastColumn="0" w:oddVBand="0" w:evenVBand="0" w:oddHBand="0" w:evenHBand="1" w:firstRowFirstColumn="0" w:firstRowLastColumn="0" w:lastRowFirstColumn="0" w:lastRowLastColumn="0"/>
            </w:pPr>
            <w:r w:rsidRPr="00514257">
              <w:t>0.2114</w:t>
            </w:r>
          </w:p>
        </w:tc>
      </w:tr>
      <w:tr w:rsidR="00514257" w:rsidRPr="00A946AA" w:rsidTr="00514257">
        <w:trPr>
          <w:trHeight w:val="476"/>
        </w:trPr>
        <w:tc>
          <w:tcPr>
            <w:cnfStyle w:val="001000000000" w:firstRow="0" w:lastRow="0" w:firstColumn="1" w:lastColumn="0" w:oddVBand="0" w:evenVBand="0" w:oddHBand="0" w:evenHBand="0" w:firstRowFirstColumn="0" w:firstRowLastColumn="0" w:lastRowFirstColumn="0" w:lastRowLastColumn="0"/>
            <w:tcW w:w="1693" w:type="pct"/>
          </w:tcPr>
          <w:p w:rsidR="00514257" w:rsidRPr="00514257" w:rsidRDefault="00514257" w:rsidP="00514257">
            <w:pPr>
              <w:pStyle w:val="AERtabletextleft"/>
            </w:pPr>
            <w:r w:rsidRPr="00514257">
              <w:t>MAIFI</w:t>
            </w:r>
          </w:p>
        </w:tc>
        <w:tc>
          <w:tcPr>
            <w:tcW w:w="1489" w:type="pct"/>
            <w:vAlign w:val="top"/>
          </w:tcPr>
          <w:p w:rsidR="00514257" w:rsidRPr="00514257" w:rsidRDefault="00514257" w:rsidP="00514257">
            <w:pPr>
              <w:cnfStyle w:val="000000000000" w:firstRow="0" w:lastRow="0" w:firstColumn="0" w:lastColumn="0" w:oddVBand="0" w:evenVBand="0" w:oddHBand="0" w:evenHBand="0" w:firstRowFirstColumn="0" w:firstRowLastColumn="0" w:lastRowFirstColumn="0" w:lastRowLastColumn="0"/>
            </w:pPr>
            <w:r w:rsidRPr="00514257">
              <w:t>0.3122</w:t>
            </w:r>
          </w:p>
        </w:tc>
        <w:tc>
          <w:tcPr>
            <w:tcW w:w="1818" w:type="pct"/>
            <w:vAlign w:val="top"/>
          </w:tcPr>
          <w:p w:rsidR="00514257" w:rsidRPr="00514257" w:rsidRDefault="00514257" w:rsidP="00514257">
            <w:pPr>
              <w:cnfStyle w:val="000000000000" w:firstRow="0" w:lastRow="0" w:firstColumn="0" w:lastColumn="0" w:oddVBand="0" w:evenVBand="0" w:oddHBand="0" w:evenHBand="0" w:firstRowFirstColumn="0" w:firstRowLastColumn="0" w:lastRowFirstColumn="0" w:lastRowLastColumn="0"/>
            </w:pPr>
            <w:r w:rsidRPr="00514257">
              <w:t>0.0169</w:t>
            </w:r>
          </w:p>
        </w:tc>
      </w:tr>
    </w:tbl>
    <w:p w:rsidR="00165B1D" w:rsidRDefault="00165B1D" w:rsidP="000777DE">
      <w:pPr>
        <w:pStyle w:val="AERtablesource"/>
      </w:pPr>
      <w:r w:rsidRPr="001511CF">
        <w:t>Source:</w:t>
      </w:r>
      <w:r w:rsidRPr="001511CF">
        <w:tab/>
      </w:r>
      <w:r w:rsidRPr="000777DE">
        <w:rPr>
          <w:rStyle w:val="EndnoteReference"/>
          <w:vertAlign w:val="baseline"/>
        </w:rPr>
        <w:t>AER Analysi</w:t>
      </w:r>
      <w:r w:rsidRPr="000777DE">
        <w:t>s.</w:t>
      </w:r>
    </w:p>
    <w:p w:rsidR="0092774A" w:rsidRPr="0092774A" w:rsidRDefault="0092774A" w:rsidP="0092774A"/>
    <w:p w:rsidR="00165B1D" w:rsidRPr="00165B1D" w:rsidRDefault="00165B1D" w:rsidP="00BF6549">
      <w:pPr>
        <w:pStyle w:val="Heading3"/>
        <w:ind w:left="578" w:hanging="578"/>
      </w:pPr>
      <w:bookmarkStart w:id="81" w:name="_Toc417479826"/>
      <w:bookmarkStart w:id="82" w:name="_Toc433536579"/>
      <w:bookmarkStart w:id="83" w:name="_Toc446588969"/>
      <w:r w:rsidRPr="00F955D3">
        <w:t>Performance targets</w:t>
      </w:r>
      <w:bookmarkEnd w:id="81"/>
      <w:bookmarkEnd w:id="82"/>
      <w:bookmarkEnd w:id="83"/>
    </w:p>
    <w:p w:rsidR="00165B1D" w:rsidRPr="007879E1" w:rsidRDefault="00165B1D" w:rsidP="00165B1D">
      <w:r w:rsidRPr="00FF4C65">
        <w:t xml:space="preserve">We will apply the </w:t>
      </w:r>
      <w:r>
        <w:t>SAIDI,</w:t>
      </w:r>
      <w:r w:rsidRPr="00FF4C65">
        <w:t xml:space="preserve"> SAIFI</w:t>
      </w:r>
      <w:r>
        <w:t xml:space="preserve"> and MAIFI </w:t>
      </w:r>
      <w:r w:rsidRPr="00FF4C65">
        <w:t>reliability of supply parameters</w:t>
      </w:r>
      <w:r>
        <w:t xml:space="preserve"> as performance targets to </w:t>
      </w:r>
      <w:r w:rsidR="00CE519B">
        <w:t>Jemena</w:t>
      </w:r>
      <w:r>
        <w:t>.</w:t>
      </w:r>
      <w:r w:rsidR="00BF6549">
        <w:rPr>
          <w:rStyle w:val="FootnoteReference"/>
        </w:rPr>
        <w:footnoteReference w:id="6"/>
      </w:r>
      <w:r>
        <w:t xml:space="preserve"> </w:t>
      </w:r>
      <w:r w:rsidRPr="007879E1">
        <w:t>The</w:t>
      </w:r>
      <w:r>
        <w:t>se</w:t>
      </w:r>
      <w:r w:rsidRPr="007879E1">
        <w:t xml:space="preserve"> targets will be set by reference to </w:t>
      </w:r>
      <w:r w:rsidR="00CE519B">
        <w:t>Jemena</w:t>
      </w:r>
      <w:r>
        <w:t xml:space="preserve">'s </w:t>
      </w:r>
      <w:r w:rsidRPr="007879E1">
        <w:t xml:space="preserve">reliability performance in the previous regulatory </w:t>
      </w:r>
      <w:r>
        <w:t xml:space="preserve">control </w:t>
      </w:r>
      <w:r w:rsidRPr="007879E1">
        <w:t>period.</w:t>
      </w:r>
      <w:r>
        <w:rPr>
          <w:rStyle w:val="FootnoteReference"/>
        </w:rPr>
        <w:footnoteReference w:id="7"/>
      </w:r>
    </w:p>
    <w:p w:rsidR="00CE519B" w:rsidRDefault="00CE519B" w:rsidP="00CE519B">
      <w:r w:rsidRPr="001F1259">
        <w:t xml:space="preserve">We will apply the telephone answering parameter to </w:t>
      </w:r>
      <w:r>
        <w:t>Jemena</w:t>
      </w:r>
      <w:r w:rsidRPr="001F1259">
        <w:t xml:space="preserve">. We accept </w:t>
      </w:r>
      <w:r>
        <w:t>Jemena</w:t>
      </w:r>
      <w:r w:rsidRPr="001F1259">
        <w:t xml:space="preserve">'s proposed performance target that </w:t>
      </w:r>
      <w:r>
        <w:t>64.235</w:t>
      </w:r>
      <w:r w:rsidRPr="001F1259">
        <w:t xml:space="preserve"> per cent of calls will be answered within 30 seconds</w:t>
      </w:r>
      <w:r>
        <w:t>.</w:t>
      </w:r>
      <w:r>
        <w:rPr>
          <w:rStyle w:val="FootnoteReference"/>
        </w:rPr>
        <w:footnoteReference w:id="8"/>
      </w:r>
    </w:p>
    <w:p w:rsidR="00CE519B" w:rsidRDefault="00CE519B" w:rsidP="00CE519B">
      <w:r>
        <w:t>We will</w:t>
      </w:r>
      <w:r w:rsidRPr="00FF4C65">
        <w:t xml:space="preserve"> not</w:t>
      </w:r>
      <w:r>
        <w:t xml:space="preserve"> apply</w:t>
      </w:r>
      <w:r w:rsidRPr="00FF4C65">
        <w:t xml:space="preserve"> the STPIS Guaranteed Service Level (GSL) scheme</w:t>
      </w:r>
      <w:r>
        <w:t xml:space="preserve"> as Jemena</w:t>
      </w:r>
      <w:r w:rsidRPr="00FF4C65">
        <w:t xml:space="preserve"> must comply with the existing jurisdictional GSL scheme. </w:t>
      </w:r>
    </w:p>
    <w:p w:rsidR="00165B1D" w:rsidRDefault="00165B1D" w:rsidP="00165B1D">
      <w:r>
        <w:t xml:space="preserve">Our </w:t>
      </w:r>
      <w:r w:rsidR="00BC25AB">
        <w:t>final</w:t>
      </w:r>
      <w:r w:rsidR="00CE519B">
        <w:t xml:space="preserve"> decision</w:t>
      </w:r>
      <w:r w:rsidR="00BC25AB">
        <w:t xml:space="preserve"> </w:t>
      </w:r>
      <w:r w:rsidRPr="000B05E8">
        <w:t xml:space="preserve">on the performance targets for </w:t>
      </w:r>
      <w:r w:rsidR="00CE519B">
        <w:t>Jemena</w:t>
      </w:r>
      <w:r w:rsidRPr="000B05E8">
        <w:t>'s STPIS parameters</w:t>
      </w:r>
      <w:r>
        <w:t xml:space="preserve"> based on our calculation results are presented on </w:t>
      </w:r>
      <w:r>
        <w:fldChar w:fldCharType="begin"/>
      </w:r>
      <w:r>
        <w:instrText xml:space="preserve"> REF _Ref416785821 \h </w:instrText>
      </w:r>
      <w:r>
        <w:fldChar w:fldCharType="separate"/>
      </w:r>
      <w:r w:rsidR="00BF6549">
        <w:t xml:space="preserve">Table </w:t>
      </w:r>
      <w:r w:rsidR="00BF6549">
        <w:rPr>
          <w:noProof/>
        </w:rPr>
        <w:t>11</w:t>
      </w:r>
      <w:r w:rsidR="00BF6549">
        <w:t>.</w:t>
      </w:r>
      <w:r w:rsidR="00BF6549">
        <w:rPr>
          <w:noProof/>
        </w:rPr>
        <w:t>2</w:t>
      </w:r>
      <w:r>
        <w:fldChar w:fldCharType="end"/>
      </w:r>
      <w:r w:rsidRPr="000B05E8">
        <w:t xml:space="preserve">. </w:t>
      </w:r>
    </w:p>
    <w:p w:rsidR="00165B1D" w:rsidRDefault="00165B1D" w:rsidP="00165B1D">
      <w:pPr>
        <w:pStyle w:val="Caption"/>
      </w:pPr>
      <w:bookmarkStart w:id="84" w:name="_Ref416785821"/>
      <w:bookmarkStart w:id="85" w:name="_Ref321144991"/>
      <w:r>
        <w:t xml:space="preserve">Table </w:t>
      </w:r>
      <w:r w:rsidR="00BF6549">
        <w:fldChar w:fldCharType="begin"/>
      </w:r>
      <w:r w:rsidR="00BF6549">
        <w:instrText xml:space="preserve"> STYLEREF 1 \s </w:instrText>
      </w:r>
      <w:r w:rsidR="00BF6549">
        <w:fldChar w:fldCharType="separate"/>
      </w:r>
      <w:r w:rsidR="00BF6549">
        <w:rPr>
          <w:noProof/>
        </w:rPr>
        <w:t>11</w:t>
      </w:r>
      <w:r w:rsidR="00BF6549">
        <w:fldChar w:fldCharType="end"/>
      </w:r>
      <w:r w:rsidR="00BF6549">
        <w:t>.</w:t>
      </w:r>
      <w:r w:rsidR="00BF6549">
        <w:fldChar w:fldCharType="begin"/>
      </w:r>
      <w:r w:rsidR="00BF6549">
        <w:instrText xml:space="preserve"> SEQ Table \* ARABIC \s 1 </w:instrText>
      </w:r>
      <w:r w:rsidR="00BF6549">
        <w:fldChar w:fldCharType="separate"/>
      </w:r>
      <w:r w:rsidR="00BF6549">
        <w:rPr>
          <w:noProof/>
        </w:rPr>
        <w:t>2</w:t>
      </w:r>
      <w:r w:rsidR="00BF6549">
        <w:fldChar w:fldCharType="end"/>
      </w:r>
      <w:bookmarkEnd w:id="84"/>
      <w:r>
        <w:tab/>
        <w:t xml:space="preserve">Final decision—STPIS reliability targets for </w:t>
      </w:r>
      <w:r w:rsidR="00CE519B">
        <w:t>Jemena</w:t>
      </w:r>
      <w:bookmarkEnd w:id="85"/>
      <w:r>
        <w:t xml:space="preserve"> for the</w:t>
      </w:r>
      <w:r w:rsidR="00F70F95">
        <w:br/>
      </w:r>
      <w:r>
        <w:t>2016–20 regulatory control period</w:t>
      </w:r>
    </w:p>
    <w:tbl>
      <w:tblPr>
        <w:tblStyle w:val="AERtable-numbers"/>
        <w:tblW w:w="5000" w:type="pct"/>
        <w:tblLook w:val="04A0" w:firstRow="1" w:lastRow="0" w:firstColumn="1" w:lastColumn="0" w:noHBand="0" w:noVBand="1"/>
      </w:tblPr>
      <w:tblGrid>
        <w:gridCol w:w="3769"/>
        <w:gridCol w:w="4924"/>
      </w:tblGrid>
      <w:tr w:rsidR="00165B1D" w:rsidRPr="00670E6D" w:rsidTr="00F7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165B1D" w:rsidRPr="001511CF" w:rsidRDefault="00165B1D" w:rsidP="00165B1D">
            <w:pPr>
              <w:pStyle w:val="Tabletext-centred"/>
            </w:pPr>
          </w:p>
        </w:tc>
        <w:tc>
          <w:tcPr>
            <w:tcW w:w="2832" w:type="pct"/>
          </w:tcPr>
          <w:p w:rsidR="00165B1D" w:rsidRPr="00165B1D" w:rsidRDefault="00165B1D" w:rsidP="00165B1D">
            <w:pPr>
              <w:pStyle w:val="AERtabletextright"/>
              <w:cnfStyle w:val="100000000000" w:firstRow="1" w:lastRow="0" w:firstColumn="0" w:lastColumn="0" w:oddVBand="0" w:evenVBand="0" w:oddHBand="0" w:evenHBand="0" w:firstRowFirstColumn="0" w:firstRowLastColumn="0" w:lastRowFirstColumn="0" w:lastRowLastColumn="0"/>
            </w:pPr>
            <w:r w:rsidRPr="001511CF">
              <w:t>value</w:t>
            </w:r>
          </w:p>
        </w:tc>
      </w:tr>
      <w:tr w:rsidR="00165B1D" w:rsidRPr="00670E6D"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HeadingOrange"/>
            </w:pPr>
            <w:r w:rsidRPr="001511CF">
              <w:t>Urban</w:t>
            </w:r>
          </w:p>
        </w:tc>
        <w:tc>
          <w:tcPr>
            <w:tcW w:w="2832" w:type="pct"/>
          </w:tcPr>
          <w:p w:rsidR="00165B1D" w:rsidRPr="001511CF" w:rsidRDefault="00165B1D" w:rsidP="00165B1D">
            <w:pPr>
              <w:pStyle w:val="AERtabletextright"/>
              <w:cnfStyle w:val="000000000000" w:firstRow="0" w:lastRow="0" w:firstColumn="0" w:lastColumn="0" w:oddVBand="0" w:evenVBand="0" w:oddHBand="0" w:evenHBand="0" w:firstRowFirstColumn="0" w:firstRowLastColumn="0" w:lastRowFirstColumn="0" w:lastRowLastColumn="0"/>
            </w:pPr>
          </w:p>
        </w:tc>
      </w:tr>
      <w:tr w:rsidR="00165B1D"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165B1D" w:rsidRPr="00165B1D" w:rsidRDefault="00165B1D" w:rsidP="00165B1D">
            <w:pPr>
              <w:pStyle w:val="AERtabletextleft"/>
            </w:pPr>
            <w:r w:rsidRPr="001511CF">
              <w:t>SAIDI</w:t>
            </w:r>
          </w:p>
        </w:tc>
        <w:tc>
          <w:tcPr>
            <w:tcW w:w="2832" w:type="pct"/>
          </w:tcPr>
          <w:p w:rsidR="00165B1D" w:rsidRPr="00165B1D" w:rsidRDefault="003330A3" w:rsidP="00165B1D">
            <w:pPr>
              <w:pStyle w:val="AERtabletextright"/>
              <w:cnfStyle w:val="000000010000" w:firstRow="0" w:lastRow="0" w:firstColumn="0" w:lastColumn="0" w:oddVBand="0" w:evenVBand="0" w:oddHBand="0" w:evenHBand="1" w:firstRowFirstColumn="0" w:firstRowLastColumn="0" w:lastRowFirstColumn="0" w:lastRowLastColumn="0"/>
            </w:pPr>
            <w:r w:rsidRPr="003330A3">
              <w:t>55.401</w:t>
            </w:r>
          </w:p>
        </w:tc>
      </w:tr>
      <w:tr w:rsidR="00165B1D" w:rsidRPr="00670E6D"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AERtabletextleft"/>
            </w:pPr>
            <w:r w:rsidRPr="001511CF">
              <w:t>SAIFI</w:t>
            </w:r>
          </w:p>
        </w:tc>
        <w:tc>
          <w:tcPr>
            <w:tcW w:w="2832" w:type="pct"/>
          </w:tcPr>
          <w:p w:rsidR="00165B1D" w:rsidRPr="00165B1D" w:rsidRDefault="003330A3" w:rsidP="00165B1D">
            <w:pPr>
              <w:pStyle w:val="AERtabletextright"/>
              <w:cnfStyle w:val="000000000000" w:firstRow="0" w:lastRow="0" w:firstColumn="0" w:lastColumn="0" w:oddVBand="0" w:evenVBand="0" w:oddHBand="0" w:evenHBand="0" w:firstRowFirstColumn="0" w:firstRowLastColumn="0" w:lastRowFirstColumn="0" w:lastRowLastColumn="0"/>
            </w:pPr>
            <w:r w:rsidRPr="003330A3">
              <w:t>0.954</w:t>
            </w:r>
          </w:p>
        </w:tc>
      </w:tr>
      <w:tr w:rsidR="00165B1D"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AERtabletextleft"/>
            </w:pPr>
            <w:r w:rsidRPr="001511CF">
              <w:t>MAIFI</w:t>
            </w:r>
          </w:p>
        </w:tc>
        <w:tc>
          <w:tcPr>
            <w:tcW w:w="2832" w:type="pct"/>
          </w:tcPr>
          <w:p w:rsidR="00165B1D" w:rsidRPr="00165B1D" w:rsidRDefault="003330A3" w:rsidP="00165B1D">
            <w:pPr>
              <w:pStyle w:val="AERtabletextright"/>
              <w:cnfStyle w:val="000000010000" w:firstRow="0" w:lastRow="0" w:firstColumn="0" w:lastColumn="0" w:oddVBand="0" w:evenVBand="0" w:oddHBand="0" w:evenHBand="1" w:firstRowFirstColumn="0" w:firstRowLastColumn="0" w:lastRowFirstColumn="0" w:lastRowLastColumn="0"/>
            </w:pPr>
            <w:r w:rsidRPr="003330A3">
              <w:t>0.756</w:t>
            </w:r>
          </w:p>
        </w:tc>
      </w:tr>
      <w:tr w:rsidR="00165B1D" w:rsidRPr="00670E6D"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HeadingOrange"/>
            </w:pPr>
            <w:r w:rsidRPr="001511CF">
              <w:t>Rural short</w:t>
            </w:r>
          </w:p>
        </w:tc>
        <w:tc>
          <w:tcPr>
            <w:tcW w:w="2832" w:type="pct"/>
          </w:tcPr>
          <w:p w:rsidR="00165B1D" w:rsidRPr="001511CF" w:rsidRDefault="00165B1D" w:rsidP="00165B1D">
            <w:pPr>
              <w:pStyle w:val="HeadingOrange"/>
              <w:cnfStyle w:val="000000000000" w:firstRow="0" w:lastRow="0" w:firstColumn="0" w:lastColumn="0" w:oddVBand="0" w:evenVBand="0" w:oddHBand="0" w:evenHBand="0" w:firstRowFirstColumn="0" w:firstRowLastColumn="0" w:lastRowFirstColumn="0" w:lastRowLastColumn="0"/>
            </w:pPr>
          </w:p>
        </w:tc>
      </w:tr>
      <w:tr w:rsidR="00165B1D"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AERtabletextleft"/>
            </w:pPr>
            <w:r w:rsidRPr="001511CF">
              <w:t>SAIDI</w:t>
            </w:r>
          </w:p>
        </w:tc>
        <w:tc>
          <w:tcPr>
            <w:tcW w:w="2832" w:type="pct"/>
          </w:tcPr>
          <w:p w:rsidR="00165B1D" w:rsidRPr="00165B1D" w:rsidRDefault="003330A3" w:rsidP="00165B1D">
            <w:pPr>
              <w:pStyle w:val="AERtabletextright"/>
              <w:cnfStyle w:val="000000010000" w:firstRow="0" w:lastRow="0" w:firstColumn="0" w:lastColumn="0" w:oddVBand="0" w:evenVBand="0" w:oddHBand="0" w:evenHBand="1" w:firstRowFirstColumn="0" w:firstRowLastColumn="0" w:lastRowFirstColumn="0" w:lastRowLastColumn="0"/>
            </w:pPr>
            <w:r w:rsidRPr="003330A3">
              <w:t>91.955</w:t>
            </w:r>
          </w:p>
        </w:tc>
      </w:tr>
      <w:tr w:rsidR="00165B1D" w:rsidRPr="00670E6D"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AERtabletextleft"/>
            </w:pPr>
            <w:r w:rsidRPr="001511CF">
              <w:t>SAIFI</w:t>
            </w:r>
          </w:p>
        </w:tc>
        <w:tc>
          <w:tcPr>
            <w:tcW w:w="2832" w:type="pct"/>
          </w:tcPr>
          <w:p w:rsidR="00165B1D" w:rsidRPr="00165B1D" w:rsidRDefault="003330A3" w:rsidP="00165B1D">
            <w:pPr>
              <w:pStyle w:val="AERtabletextright"/>
              <w:cnfStyle w:val="000000000000" w:firstRow="0" w:lastRow="0" w:firstColumn="0" w:lastColumn="0" w:oddVBand="0" w:evenVBand="0" w:oddHBand="0" w:evenHBand="0" w:firstRowFirstColumn="0" w:firstRowLastColumn="0" w:lastRowFirstColumn="0" w:lastRowLastColumn="0"/>
            </w:pPr>
            <w:r w:rsidRPr="003330A3">
              <w:t>1.238</w:t>
            </w:r>
          </w:p>
        </w:tc>
      </w:tr>
      <w:tr w:rsidR="00165B1D"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AERtabletextleft"/>
            </w:pPr>
            <w:r w:rsidRPr="001511CF">
              <w:t>MAIFI</w:t>
            </w:r>
          </w:p>
        </w:tc>
        <w:tc>
          <w:tcPr>
            <w:tcW w:w="2832" w:type="pct"/>
          </w:tcPr>
          <w:p w:rsidR="00165B1D" w:rsidRPr="00165B1D" w:rsidRDefault="003330A3" w:rsidP="00165B1D">
            <w:pPr>
              <w:pStyle w:val="AERtabletextright"/>
              <w:cnfStyle w:val="000000010000" w:firstRow="0" w:lastRow="0" w:firstColumn="0" w:lastColumn="0" w:oddVBand="0" w:evenVBand="0" w:oddHBand="0" w:evenHBand="1" w:firstRowFirstColumn="0" w:firstRowLastColumn="0" w:lastRowFirstColumn="0" w:lastRowLastColumn="0"/>
            </w:pPr>
            <w:r w:rsidRPr="003330A3">
              <w:t>1.654</w:t>
            </w:r>
          </w:p>
        </w:tc>
      </w:tr>
      <w:tr w:rsidR="00165B1D" w:rsidRPr="00670E6D"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HeadingOrange"/>
            </w:pPr>
            <w:r w:rsidRPr="001511CF">
              <w:t>Telephone answering</w:t>
            </w:r>
          </w:p>
        </w:tc>
        <w:tc>
          <w:tcPr>
            <w:tcW w:w="2832" w:type="pct"/>
          </w:tcPr>
          <w:p w:rsidR="00165B1D" w:rsidRPr="001511CF" w:rsidRDefault="00165B1D" w:rsidP="00165B1D">
            <w:pPr>
              <w:pStyle w:val="HeadingOrange"/>
              <w:cnfStyle w:val="000000000000" w:firstRow="0" w:lastRow="0" w:firstColumn="0" w:lastColumn="0" w:oddVBand="0" w:evenVBand="0" w:oddHBand="0" w:evenHBand="0" w:firstRowFirstColumn="0" w:firstRowLastColumn="0" w:lastRowFirstColumn="0" w:lastRowLastColumn="0"/>
            </w:pPr>
          </w:p>
        </w:tc>
      </w:tr>
      <w:tr w:rsidR="00165B1D"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165B1D" w:rsidRPr="00165B1D" w:rsidRDefault="00165B1D" w:rsidP="00165B1D">
            <w:pPr>
              <w:pStyle w:val="AERtabletextleft"/>
            </w:pPr>
            <w:r w:rsidRPr="001511CF">
              <w:t>Percentage of calls will be answered within 30 seconds</w:t>
            </w:r>
          </w:p>
        </w:tc>
        <w:tc>
          <w:tcPr>
            <w:tcW w:w="2832" w:type="pct"/>
          </w:tcPr>
          <w:p w:rsidR="00165B1D" w:rsidRPr="00165B1D" w:rsidRDefault="003330A3" w:rsidP="00165B1D">
            <w:pPr>
              <w:pStyle w:val="AERtabletextright"/>
              <w:cnfStyle w:val="000000010000" w:firstRow="0" w:lastRow="0" w:firstColumn="0" w:lastColumn="0" w:oddVBand="0" w:evenVBand="0" w:oddHBand="0" w:evenHBand="1" w:firstRowFirstColumn="0" w:firstRowLastColumn="0" w:lastRowFirstColumn="0" w:lastRowLastColumn="0"/>
            </w:pPr>
            <w:r w:rsidRPr="003330A3">
              <w:t>64.235</w:t>
            </w:r>
          </w:p>
        </w:tc>
      </w:tr>
    </w:tbl>
    <w:p w:rsidR="00165B1D" w:rsidRDefault="00165B1D" w:rsidP="00165B1D">
      <w:pPr>
        <w:pStyle w:val="AERtablesource"/>
      </w:pPr>
      <w:r>
        <w:t xml:space="preserve">Source: </w:t>
      </w:r>
      <w:r>
        <w:tab/>
        <w:t>AER analysis.</w:t>
      </w:r>
    </w:p>
    <w:p w:rsidR="00EE6552" w:rsidRPr="00EE6552" w:rsidRDefault="00EE6552" w:rsidP="0092774A"/>
    <w:p w:rsidR="00132D43" w:rsidRDefault="00B2092F" w:rsidP="00132D43">
      <w:pPr>
        <w:pStyle w:val="Heading2"/>
      </w:pPr>
      <w:bookmarkStart w:id="86" w:name="_Toc446588970"/>
      <w:r>
        <w:t>Jemena's</w:t>
      </w:r>
      <w:r w:rsidR="00132D43">
        <w:t xml:space="preserve"> </w:t>
      </w:r>
      <w:r w:rsidR="000F0F0A">
        <w:t xml:space="preserve">revised </w:t>
      </w:r>
      <w:r w:rsidR="00132D43">
        <w:t>proposal</w:t>
      </w:r>
      <w:bookmarkEnd w:id="86"/>
    </w:p>
    <w:p w:rsidR="00132D43" w:rsidRDefault="003330A3" w:rsidP="00132D43">
      <w:r>
        <w:t xml:space="preserve">With the exception of the incentive rates calculation, </w:t>
      </w:r>
      <w:r w:rsidR="00CE519B">
        <w:t>Jemena</w:t>
      </w:r>
      <w:r w:rsidR="00165B1D">
        <w:t>'s revised regulatory proposal accepted our preliminary decision on the application of the STPIS.</w:t>
      </w:r>
      <w:r>
        <w:rPr>
          <w:rStyle w:val="FootnoteReference"/>
        </w:rPr>
        <w:footnoteReference w:id="9"/>
      </w:r>
    </w:p>
    <w:p w:rsidR="00132D43" w:rsidRDefault="00132D43" w:rsidP="00132D43">
      <w:pPr>
        <w:pStyle w:val="Heading2"/>
      </w:pPr>
      <w:bookmarkStart w:id="87" w:name="_Toc446588971"/>
      <w:r>
        <w:t>Assessment approach</w:t>
      </w:r>
      <w:bookmarkEnd w:id="87"/>
    </w:p>
    <w:p w:rsidR="00F70F95" w:rsidRPr="00543215" w:rsidRDefault="00F70F95" w:rsidP="00F70F95">
      <w:r>
        <w:t>We are required to make a decision on how the STPIS is to apply to Jemena.</w:t>
      </w:r>
      <w:r>
        <w:rPr>
          <w:rStyle w:val="FootnoteReference"/>
        </w:rPr>
        <w:footnoteReference w:id="10"/>
      </w:r>
      <w:r>
        <w:t xml:space="preserve"> When making a distribution determination, the STPIS requires us to </w:t>
      </w:r>
      <w:r w:rsidRPr="00543215">
        <w:t>determine all performance targets, incentive rates, revenue at risk and other parameters required to apply the scheme</w:t>
      </w:r>
      <w:r>
        <w:t>.</w:t>
      </w:r>
      <w:r>
        <w:rPr>
          <w:rStyle w:val="FootnoteReference"/>
        </w:rPr>
        <w:footnoteReference w:id="11"/>
      </w:r>
    </w:p>
    <w:p w:rsidR="00C70906" w:rsidRDefault="00D87329" w:rsidP="00D87329">
      <w:r>
        <w:t>We</w:t>
      </w:r>
      <w:r w:rsidRPr="00543215">
        <w:t xml:space="preserve"> outlined </w:t>
      </w:r>
      <w:r>
        <w:t xml:space="preserve">our proposed </w:t>
      </w:r>
      <w:r w:rsidRPr="00543215">
        <w:t xml:space="preserve">approach </w:t>
      </w:r>
      <w:r>
        <w:t xml:space="preserve">to, and justification for, </w:t>
      </w:r>
      <w:r w:rsidRPr="00543215">
        <w:t xml:space="preserve">the application of the STPIS in </w:t>
      </w:r>
      <w:r>
        <w:t>our</w:t>
      </w:r>
      <w:r w:rsidRPr="00543215">
        <w:t xml:space="preserve"> </w:t>
      </w:r>
      <w:r>
        <w:t>framework and approach paper</w:t>
      </w:r>
      <w:r w:rsidRPr="00543215">
        <w:t xml:space="preserve"> </w:t>
      </w:r>
      <w:r>
        <w:t xml:space="preserve">and preliminary decisions </w:t>
      </w:r>
      <w:r w:rsidRPr="00543215">
        <w:t xml:space="preserve">for </w:t>
      </w:r>
      <w:r>
        <w:t>Victorian electricity distributors</w:t>
      </w:r>
      <w:r w:rsidRPr="00543215">
        <w:t>.</w:t>
      </w:r>
      <w:r w:rsidR="00C70906">
        <w:t xml:space="preserve"> </w:t>
      </w:r>
      <w:r w:rsidRPr="00543215">
        <w:t xml:space="preserve"> </w:t>
      </w:r>
    </w:p>
    <w:p w:rsidR="00F70F95" w:rsidRDefault="00D87329" w:rsidP="00F70F95">
      <w:r>
        <w:t xml:space="preserve">Our final decision is consistent with </w:t>
      </w:r>
      <w:r w:rsidRPr="00543215">
        <w:t xml:space="preserve">the position in the </w:t>
      </w:r>
      <w:r>
        <w:t>preliminary decision and framework and approach paper</w:t>
      </w:r>
      <w:r w:rsidRPr="00543215">
        <w:t xml:space="preserve">, unless new information has become available or new arguments have been </w:t>
      </w:r>
      <w:r>
        <w:t xml:space="preserve">put </w:t>
      </w:r>
      <w:r w:rsidRPr="00543215">
        <w:t>forward which warrant</w:t>
      </w:r>
      <w:r>
        <w:t>s</w:t>
      </w:r>
      <w:r w:rsidRPr="00543215">
        <w:t xml:space="preserve"> a reconsideration of this position.</w:t>
      </w:r>
      <w:r w:rsidR="0092774A">
        <w:t xml:space="preserve"> </w:t>
      </w:r>
      <w:r>
        <w:t>We have considered materials submitted to us by Jemena and by stakeholders.</w:t>
      </w:r>
      <w:r w:rsidR="00F70F95">
        <w:rPr>
          <w:rStyle w:val="FootnoteReference"/>
        </w:rPr>
        <w:footnoteReference w:id="12"/>
      </w:r>
      <w:r w:rsidR="00F70F95" w:rsidRPr="00543215">
        <w:t xml:space="preserve"> </w:t>
      </w:r>
    </w:p>
    <w:p w:rsidR="00132D43" w:rsidRDefault="00132D43" w:rsidP="00132D43">
      <w:pPr>
        <w:pStyle w:val="Heading3"/>
        <w:tabs>
          <w:tab w:val="clear" w:pos="1021"/>
        </w:tabs>
        <w:ind w:left="142" w:hanging="142"/>
      </w:pPr>
      <w:bookmarkStart w:id="88" w:name="_Toc446588972"/>
      <w:r>
        <w:t>Interrelationships</w:t>
      </w:r>
      <w:bookmarkEnd w:id="88"/>
    </w:p>
    <w:p w:rsidR="00F70F95" w:rsidRPr="002204A1" w:rsidRDefault="00F70F95" w:rsidP="00F70F95">
      <w:pPr>
        <w:rPr>
          <w:rStyle w:val="AERbody"/>
        </w:rPr>
      </w:pPr>
      <w:r w:rsidRPr="002204A1">
        <w:rPr>
          <w:rStyle w:val="AERbody"/>
        </w:rPr>
        <w:t>In applying the STPIS we must consider any other incentives available to the distributor under the NER or relevant distribution determination.</w:t>
      </w:r>
      <w:r>
        <w:rPr>
          <w:rStyle w:val="FootnoteReference"/>
        </w:rPr>
        <w:footnoteReference w:id="13"/>
      </w:r>
      <w:r w:rsidRPr="002204A1">
        <w:rPr>
          <w:rStyle w:val="AERbody"/>
        </w:rPr>
        <w:t xml:space="preserve"> One of the objectives of the STPIS is to ensure that the incentives are sufficient to offset any financial incentives the </w:t>
      </w:r>
      <w:r>
        <w:rPr>
          <w:rStyle w:val="AERbody"/>
        </w:rPr>
        <w:t>distributor</w:t>
      </w:r>
      <w:r w:rsidRPr="002204A1">
        <w:rPr>
          <w:rStyle w:val="AERbody"/>
        </w:rPr>
        <w:t xml:space="preserve"> may have to reduce costs at the expense of service levels.</w:t>
      </w:r>
      <w:r>
        <w:rPr>
          <w:rStyle w:val="FootnoteReference"/>
        </w:rPr>
        <w:footnoteReference w:id="14"/>
      </w:r>
      <w:r w:rsidRPr="002204A1">
        <w:rPr>
          <w:rStyle w:val="AERbody"/>
        </w:rPr>
        <w:t xml:space="preserve">  For the 201</w:t>
      </w:r>
      <w:r>
        <w:rPr>
          <w:rStyle w:val="AERbody"/>
        </w:rPr>
        <w:t>6</w:t>
      </w:r>
      <w:r w:rsidRPr="002204A1">
        <w:rPr>
          <w:rStyle w:val="AERbody"/>
        </w:rPr>
        <w:t>–</w:t>
      </w:r>
      <w:r>
        <w:rPr>
          <w:rStyle w:val="AERbody"/>
        </w:rPr>
        <w:t>20</w:t>
      </w:r>
      <w:r w:rsidRPr="002204A1">
        <w:rPr>
          <w:rStyle w:val="AERbody"/>
        </w:rPr>
        <w:t xml:space="preserve"> regulatory control period, the STPIS will interact with the Capital Expenditure Sharing Scheme (CESS) and the opex Expenditure Benefit Sharing Scheme (EBSS).</w:t>
      </w:r>
    </w:p>
    <w:p w:rsidR="00F70F95" w:rsidRPr="002204A1" w:rsidRDefault="00F70F95" w:rsidP="00F70F95">
      <w:pPr>
        <w:rPr>
          <w:rStyle w:val="AERbody"/>
        </w:rPr>
      </w:pPr>
      <w:r w:rsidRPr="002204A1">
        <w:rPr>
          <w:rStyle w:val="AERbody"/>
        </w:rPr>
        <w:t>The reward and penalt</w:t>
      </w:r>
      <w:r>
        <w:rPr>
          <w:rStyle w:val="AERbody"/>
        </w:rPr>
        <w:t xml:space="preserve">y </w:t>
      </w:r>
      <w:r w:rsidRPr="002204A1">
        <w:rPr>
          <w:rStyle w:val="AERbody"/>
        </w:rPr>
        <w:t xml:space="preserve">amounts under STPIS are determined based on the average customer value </w:t>
      </w:r>
      <w:r>
        <w:rPr>
          <w:rStyle w:val="AERbody"/>
        </w:rPr>
        <w:t>for</w:t>
      </w:r>
      <w:r w:rsidRPr="002204A1">
        <w:rPr>
          <w:rStyle w:val="AERbody"/>
        </w:rPr>
        <w:t xml:space="preserve"> the improvement, or otherwise, to supply reliability </w:t>
      </w:r>
      <w:r>
        <w:rPr>
          <w:rStyle w:val="AERbody"/>
        </w:rPr>
        <w:br/>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F70F95" w:rsidRDefault="00F70F95" w:rsidP="00F70F95">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F70F95" w:rsidRPr="002204A1" w:rsidRDefault="00F70F95" w:rsidP="00F70F95">
      <w:pPr>
        <w:rPr>
          <w:rStyle w:val="AERbody"/>
        </w:rPr>
      </w:pPr>
      <w:r>
        <w:rPr>
          <w:rStyle w:val="AERbody"/>
        </w:rPr>
        <w:t>T</w:t>
      </w:r>
      <w:r w:rsidRPr="002204A1">
        <w:rPr>
          <w:rStyle w:val="AERbody"/>
        </w:rPr>
        <w:t>he STPIS</w:t>
      </w:r>
      <w:r>
        <w:rPr>
          <w:rStyle w:val="AERbody"/>
        </w:rPr>
        <w:t>,</w:t>
      </w:r>
      <w:r w:rsidRPr="002204A1">
        <w:rPr>
          <w:rStyle w:val="AERbody"/>
        </w:rPr>
        <w:t xml:space="preserve"> </w:t>
      </w:r>
      <w:r>
        <w:rPr>
          <w:rStyle w:val="AERbody"/>
        </w:rPr>
        <w:t xml:space="preserve">on the other hand, provides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F70F95" w:rsidRPr="002204A1" w:rsidRDefault="00F70F95" w:rsidP="00F70F95">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F70F95" w:rsidRPr="001638B5" w:rsidRDefault="00F70F95" w:rsidP="00F70F95">
      <w:pPr>
        <w:pStyle w:val="AERbulletlistfirststyle"/>
        <w:rPr>
          <w:rStyle w:val="AERbody"/>
        </w:rPr>
      </w:pPr>
      <w:r w:rsidRPr="001638B5">
        <w:rPr>
          <w:rStyle w:val="AERbody"/>
        </w:rPr>
        <w:tab/>
        <w:t>any additional investments to improve reliability are based on prudent economic decisions</w:t>
      </w:r>
    </w:p>
    <w:p w:rsidR="00F70F95" w:rsidRPr="001638B5" w:rsidRDefault="00F70F95" w:rsidP="00F70F95">
      <w:pPr>
        <w:pStyle w:val="AERbulletlistfirststyle"/>
        <w:rPr>
          <w:rStyle w:val="AERbody"/>
        </w:rPr>
      </w:pPr>
      <w:r w:rsidRPr="001638B5">
        <w:rPr>
          <w:rStyle w:val="AERbody"/>
        </w:rPr>
        <w:tab/>
        <w:t>reductions in capex  and opex are achieved efficiently, rather than at the expense of service levels to customers.</w:t>
      </w:r>
    </w:p>
    <w:p w:rsidR="00F70F95" w:rsidRDefault="00F70F95" w:rsidP="00F70F95">
      <w:pPr>
        <w:pStyle w:val="Heading2"/>
      </w:pPr>
      <w:bookmarkStart w:id="89" w:name="_Toc433536585"/>
      <w:bookmarkStart w:id="90" w:name="_Toc446588973"/>
      <w:r>
        <w:t>Application of the STPIS for 2016–20</w:t>
      </w:r>
      <w:bookmarkEnd w:id="89"/>
      <w:bookmarkEnd w:id="90"/>
    </w:p>
    <w:p w:rsidR="00F70F95" w:rsidRPr="00BA36D5" w:rsidRDefault="00A81FC3" w:rsidP="00F70F95">
      <w:r>
        <w:t>We will apply the scheme as is to Jemena's STPIS for the 2016–20 regulatory control period. This is consistent with our preliminary decision on STPIS for Jemena</w:t>
      </w:r>
      <w:r w:rsidR="00F70F95">
        <w:t>.</w:t>
      </w:r>
      <w:r w:rsidR="00364227">
        <w:rPr>
          <w:rStyle w:val="FootnoteReference"/>
        </w:rPr>
        <w:footnoteReference w:id="15"/>
      </w:r>
      <w:r w:rsidR="00F70F95">
        <w:t xml:space="preserve"> </w:t>
      </w:r>
    </w:p>
    <w:p w:rsidR="00F70F95" w:rsidRPr="00F70F95" w:rsidRDefault="00F70F95" w:rsidP="00055A4F">
      <w:pPr>
        <w:pStyle w:val="Heading3"/>
        <w:ind w:left="578" w:hanging="578"/>
      </w:pPr>
      <w:bookmarkStart w:id="91" w:name="_Toc433536586"/>
      <w:bookmarkStart w:id="92" w:name="_Toc446588974"/>
      <w:r w:rsidRPr="009C0D52">
        <w:t>Revenue at risk</w:t>
      </w:r>
      <w:bookmarkEnd w:id="91"/>
      <w:bookmarkEnd w:id="92"/>
    </w:p>
    <w:p w:rsidR="00F70F95" w:rsidRDefault="00CE519B" w:rsidP="00F70F95">
      <w:r>
        <w:t>Jemena</w:t>
      </w:r>
      <w:r w:rsidR="00F70F95">
        <w:t>'s</w:t>
      </w:r>
      <w:r w:rsidR="00F70F95" w:rsidRPr="009C0D52">
        <w:t xml:space="preserve"> revenue at risk for each regulatory year of the 201</w:t>
      </w:r>
      <w:r w:rsidR="00F70F95">
        <w:t>6</w:t>
      </w:r>
      <w:r w:rsidR="00F70F95" w:rsidRPr="009C0D52">
        <w:t>–</w:t>
      </w:r>
      <w:r w:rsidR="00F70F95">
        <w:t>20</w:t>
      </w:r>
      <w:r w:rsidR="00F70F95" w:rsidRPr="009C0D52">
        <w:t xml:space="preserve"> regulatory control period will be capped at </w:t>
      </w:r>
      <w:r w:rsidR="00F70F95" w:rsidRPr="00D72F73">
        <w:t>±</w:t>
      </w:r>
      <w:r w:rsidR="00F70F95">
        <w:t xml:space="preserve"> 5</w:t>
      </w:r>
      <w:r w:rsidR="00F70F95" w:rsidRPr="009C0D52">
        <w:t>.</w:t>
      </w:r>
      <w:r w:rsidR="00F70F95">
        <w:t>0</w:t>
      </w:r>
      <w:r w:rsidR="00F70F95" w:rsidRPr="009C0D52">
        <w:t xml:space="preserve"> per cent. Within this</w:t>
      </w:r>
      <w:r w:rsidR="00F70F95">
        <w:t xml:space="preserve">, </w:t>
      </w:r>
      <w:r w:rsidR="00F70F95" w:rsidRPr="009C0D52">
        <w:t xml:space="preserve">there will be a cap of </w:t>
      </w:r>
      <w:r w:rsidR="00F70F95" w:rsidRPr="00D72F73">
        <w:t>±</w:t>
      </w:r>
      <w:r w:rsidR="00F70F95">
        <w:t xml:space="preserve"> </w:t>
      </w:r>
      <w:r w:rsidR="00F70F95" w:rsidRPr="009C0D52">
        <w:t>0.</w:t>
      </w:r>
      <w:r w:rsidR="00F70F95">
        <w:t>5</w:t>
      </w:r>
      <w:r w:rsidR="00F70F95" w:rsidRPr="009C0D52">
        <w:t xml:space="preserve"> per cent for the customer service component.</w:t>
      </w:r>
    </w:p>
    <w:p w:rsidR="00D87329" w:rsidRDefault="00F70F95" w:rsidP="00364227">
      <w:r w:rsidRPr="009C0D52">
        <w:t xml:space="preserve">Revenue at risk caps the potential rewards and penalties </w:t>
      </w:r>
      <w:r>
        <w:t>for</w:t>
      </w:r>
      <w:r w:rsidRPr="009C0D52">
        <w:t xml:space="preserve"> </w:t>
      </w:r>
      <w:r w:rsidR="00CE519B">
        <w:t>Jemena</w:t>
      </w:r>
      <w:r>
        <w:t xml:space="preserve"> </w:t>
      </w:r>
      <w:r w:rsidRPr="009C0D52">
        <w:t xml:space="preserve">under the </w:t>
      </w:r>
      <w:r>
        <w:t xml:space="preserve">STPIS. We consider an </w:t>
      </w:r>
      <w:r w:rsidRPr="009C0D52">
        <w:t>incentive</w:t>
      </w:r>
      <w:r>
        <w:t xml:space="preserve"> of </w:t>
      </w:r>
      <w:r w:rsidRPr="00D72F73">
        <w:t>±</w:t>
      </w:r>
      <w:r>
        <w:t xml:space="preserve"> 5.0 per cent of the annual allowable revenue sh</w:t>
      </w:r>
      <w:r w:rsidRPr="009C0D52">
        <w:t xml:space="preserve">ould balance the risk to both consumers and </w:t>
      </w:r>
      <w:r w:rsidR="00CE519B">
        <w:t>Jemena</w:t>
      </w:r>
      <w:r w:rsidRPr="009C0D52">
        <w:t xml:space="preserve"> and thus better meet the objectives of the STPIS.</w:t>
      </w:r>
      <w:r>
        <w:t xml:space="preserve"> </w:t>
      </w:r>
      <w:bookmarkStart w:id="93" w:name="_Toc433536587"/>
    </w:p>
    <w:p w:rsidR="00F70F95" w:rsidRDefault="00F70F95" w:rsidP="00055A4F">
      <w:pPr>
        <w:pStyle w:val="Heading3"/>
        <w:ind w:left="578" w:hanging="578"/>
      </w:pPr>
      <w:r w:rsidRPr="00B82706">
        <w:t>Reliability of supply component</w:t>
      </w:r>
      <w:bookmarkEnd w:id="93"/>
      <w:r w:rsidR="00A21F1D">
        <w:t xml:space="preserve"> </w:t>
      </w:r>
      <w:r w:rsidR="00EB28F3">
        <w:t xml:space="preserve"> </w:t>
      </w:r>
    </w:p>
    <w:p w:rsidR="00F70F95" w:rsidRPr="00DF06C5" w:rsidRDefault="00F70F95" w:rsidP="00F70F95">
      <w:pPr>
        <w:pStyle w:val="Tabletitle"/>
      </w:pPr>
      <w:bookmarkStart w:id="94" w:name="_Toc433029294"/>
      <w:bookmarkStart w:id="95" w:name="_Toc433032951"/>
      <w:bookmarkStart w:id="96" w:name="_Toc433536588"/>
      <w:r w:rsidRPr="00DF06C5">
        <w:t>Applica</w:t>
      </w:r>
      <w:r>
        <w:t>ble</w:t>
      </w:r>
      <w:r w:rsidRPr="00DF06C5">
        <w:t xml:space="preserve"> components and parameters</w:t>
      </w:r>
      <w:bookmarkEnd w:id="94"/>
      <w:bookmarkEnd w:id="95"/>
      <w:bookmarkEnd w:id="96"/>
      <w:r w:rsidRPr="00DF06C5">
        <w:t xml:space="preserve"> </w:t>
      </w:r>
    </w:p>
    <w:p w:rsidR="00F70F95" w:rsidRDefault="00F70F95" w:rsidP="00F70F95">
      <w:r w:rsidRPr="00B82706">
        <w:t>We will apply unplanned SAIDI</w:t>
      </w:r>
      <w:r>
        <w:t>,</w:t>
      </w:r>
      <w:r w:rsidRPr="00B82706">
        <w:t xml:space="preserve"> unplanned SAIFI</w:t>
      </w:r>
      <w:r>
        <w:t xml:space="preserve"> and unplanned MAIFI</w:t>
      </w:r>
      <w:r w:rsidRPr="00B82706">
        <w:t xml:space="preserve"> parameters under the reliability of supply component to </w:t>
      </w:r>
      <w:r>
        <w:t xml:space="preserve">Jemena's urban and short rural feeders </w:t>
      </w:r>
      <w:r w:rsidRPr="00B82706">
        <w:t>for the 201</w:t>
      </w:r>
      <w:r>
        <w:t>6</w:t>
      </w:r>
      <w:r w:rsidRPr="00B82706">
        <w:t>–</w:t>
      </w:r>
      <w:r>
        <w:t>20</w:t>
      </w:r>
      <w:r w:rsidRPr="00B82706">
        <w:t xml:space="preserve"> regulatory control period.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r>
        <w:t xml:space="preserve">Unplanned MAIFI measures </w:t>
      </w:r>
      <w:r w:rsidRPr="00B115F2">
        <w:t>the total number of momentary interruptions divided by the total number of distribution customers.</w:t>
      </w:r>
    </w:p>
    <w:p w:rsidR="00F70F95" w:rsidRPr="00B82706" w:rsidRDefault="00F70F95" w:rsidP="00F70F95">
      <w:pPr>
        <w:pStyle w:val="Tabletitle"/>
      </w:pPr>
      <w:bookmarkStart w:id="97" w:name="_Toc433029295"/>
      <w:bookmarkStart w:id="98" w:name="_Toc433032952"/>
      <w:bookmarkStart w:id="99" w:name="_Toc433536589"/>
      <w:r>
        <w:t>E</w:t>
      </w:r>
      <w:r w:rsidRPr="00B82706">
        <w:t>xclusions</w:t>
      </w:r>
      <w:bookmarkEnd w:id="97"/>
      <w:bookmarkEnd w:id="98"/>
      <w:bookmarkEnd w:id="99"/>
    </w:p>
    <w:p w:rsidR="00F70F95" w:rsidRPr="00B82706" w:rsidRDefault="00F70F95" w:rsidP="00F70F95">
      <w:r w:rsidRPr="00B82706">
        <w:t xml:space="preserve">The STPIS allows certain events to be excluded from the calculation of the </w:t>
      </w:r>
      <w:r>
        <w:t>S</w:t>
      </w:r>
      <w:r w:rsidRPr="00B82706">
        <w:t xml:space="preserve">-factor revenue adjustment. These exclusions include the events that are beyond the control of </w:t>
      </w:r>
      <w:r>
        <w:t>Jemena</w:t>
      </w:r>
      <w:r w:rsidRPr="00B82706">
        <w:t xml:space="preserve">, such as the effects of transmission network outages and other upstream events. They also exclude the effects of extreme weather events that have the potential to significantly affect </w:t>
      </w:r>
      <w:r>
        <w:t>Jemena</w:t>
      </w:r>
      <w:r w:rsidRPr="00B82706">
        <w:t xml:space="preserve">'s STPIS performance. </w:t>
      </w:r>
    </w:p>
    <w:p w:rsidR="00364227" w:rsidRDefault="004A5551" w:rsidP="00364227">
      <w:r>
        <w:t>T</w:t>
      </w:r>
      <w:r w:rsidR="00364227">
        <w:t>he major event day (</w:t>
      </w:r>
      <w:r w:rsidR="00364227" w:rsidRPr="00B82706">
        <w:t>MED</w:t>
      </w:r>
      <w:r w:rsidR="00364227">
        <w:t>)</w:t>
      </w:r>
      <w:r w:rsidR="00364227" w:rsidRPr="00B82706">
        <w:t xml:space="preserve"> thresholds </w:t>
      </w:r>
      <w:r>
        <w:t xml:space="preserve">will be calculated </w:t>
      </w:r>
      <w:r w:rsidR="00364227" w:rsidRPr="00B82706">
        <w:t xml:space="preserve">using </w:t>
      </w:r>
      <w:r w:rsidR="00364227">
        <w:t xml:space="preserve">the </w:t>
      </w:r>
      <w:r w:rsidR="00364227" w:rsidRPr="00B82706">
        <w:t>2.5 beta</w:t>
      </w:r>
      <w:r w:rsidR="00364227">
        <w:t xml:space="preserve"> </w:t>
      </w:r>
      <w:r w:rsidR="00364227" w:rsidRPr="00B82706">
        <w:t>method in accordance with appendix D of the STPIS.</w:t>
      </w:r>
      <w:r>
        <w:rPr>
          <w:rStyle w:val="FootnoteReference"/>
        </w:rPr>
        <w:footnoteReference w:id="16"/>
      </w:r>
    </w:p>
    <w:p w:rsidR="00F70F95" w:rsidRPr="00F70F95" w:rsidRDefault="00F70F95" w:rsidP="00055A4F">
      <w:pPr>
        <w:pStyle w:val="Heading3"/>
        <w:ind w:left="578" w:hanging="578"/>
      </w:pPr>
      <w:bookmarkStart w:id="100" w:name="_Toc433536590"/>
      <w:bookmarkStart w:id="101" w:name="_Toc446588975"/>
      <w:r>
        <w:t>Performance target</w:t>
      </w:r>
      <w:r w:rsidRPr="00F70F95">
        <w:t>s</w:t>
      </w:r>
      <w:bookmarkEnd w:id="100"/>
      <w:bookmarkEnd w:id="101"/>
    </w:p>
    <w:p w:rsidR="00F70F95" w:rsidRPr="00C639D9" w:rsidRDefault="00F70F95" w:rsidP="00F70F95">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targets must be modified for </w:t>
      </w:r>
      <w:r w:rsidRPr="00C639D9">
        <w:t>any reliability improvements completed or planned where the planned</w:t>
      </w:r>
      <w:r>
        <w:t xml:space="preserve"> </w:t>
      </w:r>
      <w:r w:rsidRPr="00C639D9">
        <w:t>reliability improvements are:</w:t>
      </w:r>
      <w:r>
        <w:rPr>
          <w:rStyle w:val="FootnoteReference"/>
        </w:rPr>
        <w:footnoteReference w:id="17"/>
      </w:r>
    </w:p>
    <w:p w:rsidR="00F70F95" w:rsidRPr="00C639D9" w:rsidRDefault="00F70F95" w:rsidP="00F70F95">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F70F95" w:rsidRDefault="00F70F95" w:rsidP="00F70F95">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F70F95" w:rsidRDefault="00F70F95" w:rsidP="00F70F95">
      <w:pPr>
        <w:pStyle w:val="AERbulletlistfirststyle"/>
      </w:pPr>
      <w:r>
        <w:t>expected to result in a material improvement in supply reliability.</w:t>
      </w:r>
    </w:p>
    <w:p w:rsidR="00F70F95" w:rsidRDefault="00F70F95" w:rsidP="00F70F95">
      <w:pPr>
        <w:rPr>
          <w:rStyle w:val="AERbody"/>
        </w:rPr>
      </w:pPr>
      <w:r>
        <w:rPr>
          <w:rStyle w:val="AERbody"/>
        </w:rPr>
        <w:t>Jemena</w:t>
      </w:r>
      <w:r w:rsidRPr="00766D24">
        <w:rPr>
          <w:rStyle w:val="AERbody"/>
        </w:rPr>
        <w:t xml:space="preserve"> proposed to set the performance targets based on historical averages</w:t>
      </w:r>
      <w:r>
        <w:rPr>
          <w:rStyle w:val="AERbody"/>
        </w:rPr>
        <w:t>,</w:t>
      </w:r>
      <w:r w:rsidRPr="00766D24">
        <w:rPr>
          <w:rStyle w:val="AERbody"/>
        </w:rPr>
        <w:t xml:space="preserve"> </w:t>
      </w:r>
      <w:r>
        <w:rPr>
          <w:rStyle w:val="AERbody"/>
        </w:rPr>
        <w:t xml:space="preserve">without adjustments for reliability improvement expenditure, </w:t>
      </w:r>
      <w:r w:rsidRPr="00766D24">
        <w:rPr>
          <w:rStyle w:val="AERbody"/>
        </w:rPr>
        <w:t xml:space="preserve">as per the scheme. We accept this approach </w:t>
      </w:r>
      <w:r>
        <w:rPr>
          <w:rStyle w:val="AERbody"/>
        </w:rPr>
        <w:t xml:space="preserve">and accept that </w:t>
      </w:r>
      <w:r w:rsidRPr="00766D24">
        <w:rPr>
          <w:rStyle w:val="AERbody"/>
        </w:rPr>
        <w:t>the capex allowance under this decision does not result in any material increases in reliability performance</w:t>
      </w:r>
      <w:r>
        <w:rPr>
          <w:rStyle w:val="AERbody"/>
        </w:rPr>
        <w:t>—thus no adjustments to Jemena's targets are required</w:t>
      </w:r>
      <w:r w:rsidRPr="00766D24">
        <w:rPr>
          <w:rStyle w:val="AERbody"/>
        </w:rPr>
        <w:t>.</w:t>
      </w:r>
      <w:r w:rsidR="004A5551">
        <w:rPr>
          <w:rStyle w:val="FootnoteReference"/>
        </w:rPr>
        <w:footnoteReference w:id="18"/>
      </w:r>
    </w:p>
    <w:p w:rsidR="00A81FC3" w:rsidRPr="00574E96" w:rsidRDefault="00A81FC3" w:rsidP="00A81FC3">
      <w:r>
        <w:t>The national</w:t>
      </w:r>
      <w:r w:rsidRPr="00574E96">
        <w:t xml:space="preserve"> STPIS customer service target applicable to</w:t>
      </w:r>
      <w:r>
        <w:t xml:space="preserve"> Jemena</w:t>
      </w:r>
      <w:r w:rsidRPr="00574E96">
        <w:t xml:space="preserve"> is telephone response measured as the </w:t>
      </w:r>
      <w:r>
        <w:t>percentage</w:t>
      </w:r>
      <w:r w:rsidRPr="00574E96">
        <w:t xml:space="preserve"> of</w:t>
      </w:r>
      <w:r>
        <w:t xml:space="preserve"> </w:t>
      </w:r>
      <w:r w:rsidRPr="00574E96">
        <w:t>telephone calls answered within 30 seconds. This measure</w:t>
      </w:r>
      <w:r>
        <w:t xml:space="preserve"> </w:t>
      </w:r>
      <w:r w:rsidRPr="00574E96">
        <w:t>is referred to as the telephone Grade of Service (GOS).</w:t>
      </w:r>
    </w:p>
    <w:p w:rsidR="00F70F95" w:rsidRDefault="00F70F95" w:rsidP="00F70F95">
      <w:r>
        <w:t xml:space="preserve">Consequently, our calculated performance targets for Jemena for the 2016–20 regulatory control period are presented in </w:t>
      </w:r>
      <w:r>
        <w:fldChar w:fldCharType="begin"/>
      </w:r>
      <w:r>
        <w:instrText xml:space="preserve"> REF _Ref429494568 \h </w:instrText>
      </w:r>
      <w:r>
        <w:fldChar w:fldCharType="separate"/>
      </w:r>
      <w:r w:rsidR="00BF6549">
        <w:t xml:space="preserve">Table </w:t>
      </w:r>
      <w:r w:rsidR="00BF6549">
        <w:rPr>
          <w:noProof/>
        </w:rPr>
        <w:t>11</w:t>
      </w:r>
      <w:r w:rsidR="00BF6549">
        <w:t>.</w:t>
      </w:r>
      <w:r w:rsidR="00BF6549">
        <w:rPr>
          <w:noProof/>
        </w:rPr>
        <w:t>3</w:t>
      </w:r>
      <w:r>
        <w:fldChar w:fldCharType="end"/>
      </w:r>
      <w:r>
        <w:t xml:space="preserve">. </w:t>
      </w:r>
    </w:p>
    <w:p w:rsidR="00B069AD" w:rsidRPr="00F22ACB" w:rsidRDefault="00B069AD" w:rsidP="00F70F95"/>
    <w:p w:rsidR="00F70F95" w:rsidRPr="000D12B9" w:rsidRDefault="00F70F95" w:rsidP="00F70F95">
      <w:pPr>
        <w:pStyle w:val="Caption"/>
      </w:pPr>
      <w:bookmarkStart w:id="102" w:name="_Ref429494568"/>
      <w:r>
        <w:t xml:space="preserve">Table </w:t>
      </w:r>
      <w:r w:rsidR="00BF6549">
        <w:fldChar w:fldCharType="begin"/>
      </w:r>
      <w:r w:rsidR="00BF6549">
        <w:instrText xml:space="preserve"> STYLEREF 1 \s </w:instrText>
      </w:r>
      <w:r w:rsidR="00BF6549">
        <w:fldChar w:fldCharType="separate"/>
      </w:r>
      <w:r w:rsidR="00BF6549">
        <w:rPr>
          <w:noProof/>
        </w:rPr>
        <w:t>11</w:t>
      </w:r>
      <w:r w:rsidR="00BF6549">
        <w:fldChar w:fldCharType="end"/>
      </w:r>
      <w:r w:rsidR="00BF6549">
        <w:t>.</w:t>
      </w:r>
      <w:r w:rsidR="00BF6549">
        <w:fldChar w:fldCharType="begin"/>
      </w:r>
      <w:r w:rsidR="00BF6549">
        <w:instrText xml:space="preserve"> SEQ Table \* ARABIC \s 1 </w:instrText>
      </w:r>
      <w:r w:rsidR="00BF6549">
        <w:fldChar w:fldCharType="separate"/>
      </w:r>
      <w:r w:rsidR="00BF6549">
        <w:rPr>
          <w:noProof/>
        </w:rPr>
        <w:t>3</w:t>
      </w:r>
      <w:r w:rsidR="00BF6549">
        <w:fldChar w:fldCharType="end"/>
      </w:r>
      <w:bookmarkEnd w:id="102"/>
      <w:r>
        <w:tab/>
      </w:r>
      <w:r w:rsidR="002A2F3E">
        <w:t>Final</w:t>
      </w:r>
      <w:r>
        <w:t xml:space="preserve"> decision—STPIS reliability targets for Jemena for the 2016–20 regulatory control period </w:t>
      </w:r>
    </w:p>
    <w:tbl>
      <w:tblPr>
        <w:tblStyle w:val="AERtable-numbers"/>
        <w:tblW w:w="5000" w:type="pct"/>
        <w:tblLook w:val="04A0" w:firstRow="1" w:lastRow="0" w:firstColumn="1" w:lastColumn="0" w:noHBand="0" w:noVBand="1"/>
      </w:tblPr>
      <w:tblGrid>
        <w:gridCol w:w="3769"/>
        <w:gridCol w:w="4924"/>
      </w:tblGrid>
      <w:tr w:rsidR="00F70F95" w:rsidRPr="00670E6D" w:rsidTr="00F7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F70F95" w:rsidRPr="001511CF" w:rsidRDefault="00F70F95" w:rsidP="00F70F95">
            <w:pPr>
              <w:pStyle w:val="Tabletext-centred"/>
            </w:pPr>
          </w:p>
        </w:tc>
        <w:tc>
          <w:tcPr>
            <w:tcW w:w="2832" w:type="pct"/>
          </w:tcPr>
          <w:p w:rsidR="00F70F95" w:rsidRPr="00F70F95" w:rsidRDefault="00F70F95" w:rsidP="00F70F95">
            <w:pPr>
              <w:pStyle w:val="AERtabletextright"/>
              <w:cnfStyle w:val="100000000000" w:firstRow="1" w:lastRow="0" w:firstColumn="0" w:lastColumn="0" w:oddVBand="0" w:evenVBand="0" w:oddHBand="0" w:evenHBand="0" w:firstRowFirstColumn="0" w:firstRowLastColumn="0" w:lastRowFirstColumn="0" w:lastRowLastColumn="0"/>
            </w:pPr>
            <w:r w:rsidRPr="001511CF">
              <w:t>value</w:t>
            </w:r>
          </w:p>
        </w:tc>
      </w:tr>
      <w:tr w:rsidR="00F70F95" w:rsidRPr="00E60A24"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F70F95" w:rsidRPr="00F70F95" w:rsidRDefault="00F70F95" w:rsidP="00F70F95">
            <w:pPr>
              <w:pStyle w:val="AERtabletextleft"/>
              <w:rPr>
                <w:rStyle w:val="Strong"/>
              </w:rPr>
            </w:pPr>
            <w:r w:rsidRPr="00E60A24">
              <w:rPr>
                <w:rStyle w:val="Strong"/>
              </w:rPr>
              <w:t>Urban</w:t>
            </w:r>
          </w:p>
        </w:tc>
        <w:tc>
          <w:tcPr>
            <w:tcW w:w="2832" w:type="pct"/>
          </w:tcPr>
          <w:p w:rsidR="00F70F95" w:rsidRPr="00E60A24" w:rsidRDefault="00F70F95" w:rsidP="00F70F95">
            <w:pPr>
              <w:pStyle w:val="AERtabletextright"/>
              <w:cnfStyle w:val="000000000000" w:firstRow="0" w:lastRow="0" w:firstColumn="0" w:lastColumn="0" w:oddVBand="0" w:evenVBand="0" w:oddHBand="0" w:evenHBand="0" w:firstRowFirstColumn="0" w:firstRowLastColumn="0" w:lastRowFirstColumn="0" w:lastRowLastColumn="0"/>
              <w:rPr>
                <w:rStyle w:val="Strong"/>
              </w:rPr>
            </w:pPr>
          </w:p>
        </w:tc>
      </w:tr>
      <w:tr w:rsidR="004A5551"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4A5551" w:rsidRPr="004A5551" w:rsidRDefault="004A5551" w:rsidP="004A5551">
            <w:pPr>
              <w:pStyle w:val="AERtabletextleft"/>
            </w:pPr>
            <w:r w:rsidRPr="001511CF">
              <w:t>SAIDI</w:t>
            </w:r>
          </w:p>
        </w:tc>
        <w:tc>
          <w:tcPr>
            <w:tcW w:w="2832" w:type="pct"/>
          </w:tcPr>
          <w:p w:rsidR="004A5551" w:rsidRPr="004A5551" w:rsidRDefault="004A5551" w:rsidP="004A5551">
            <w:pPr>
              <w:pStyle w:val="AERtabletextright"/>
              <w:cnfStyle w:val="000000010000" w:firstRow="0" w:lastRow="0" w:firstColumn="0" w:lastColumn="0" w:oddVBand="0" w:evenVBand="0" w:oddHBand="0" w:evenHBand="1" w:firstRowFirstColumn="0" w:firstRowLastColumn="0" w:lastRowFirstColumn="0" w:lastRowLastColumn="0"/>
            </w:pPr>
            <w:r w:rsidRPr="003330A3">
              <w:t>55.401</w:t>
            </w:r>
          </w:p>
        </w:tc>
      </w:tr>
      <w:tr w:rsidR="004A5551" w:rsidRPr="00670E6D"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pPr>
            <w:r w:rsidRPr="001511CF">
              <w:t>SAIFI</w:t>
            </w:r>
          </w:p>
        </w:tc>
        <w:tc>
          <w:tcPr>
            <w:tcW w:w="2832" w:type="pct"/>
          </w:tcPr>
          <w:p w:rsidR="004A5551" w:rsidRPr="004A5551" w:rsidRDefault="004A5551" w:rsidP="004A5551">
            <w:pPr>
              <w:pStyle w:val="AERtabletextright"/>
              <w:cnfStyle w:val="000000000000" w:firstRow="0" w:lastRow="0" w:firstColumn="0" w:lastColumn="0" w:oddVBand="0" w:evenVBand="0" w:oddHBand="0" w:evenHBand="0" w:firstRowFirstColumn="0" w:firstRowLastColumn="0" w:lastRowFirstColumn="0" w:lastRowLastColumn="0"/>
            </w:pPr>
            <w:r w:rsidRPr="003330A3">
              <w:t>0.954</w:t>
            </w:r>
          </w:p>
        </w:tc>
      </w:tr>
      <w:tr w:rsidR="004A5551"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pPr>
            <w:r w:rsidRPr="001511CF">
              <w:t>MAIFI</w:t>
            </w:r>
          </w:p>
        </w:tc>
        <w:tc>
          <w:tcPr>
            <w:tcW w:w="2832" w:type="pct"/>
          </w:tcPr>
          <w:p w:rsidR="004A5551" w:rsidRPr="004A5551" w:rsidRDefault="004A5551" w:rsidP="004A5551">
            <w:pPr>
              <w:pStyle w:val="AERtabletextright"/>
              <w:cnfStyle w:val="000000010000" w:firstRow="0" w:lastRow="0" w:firstColumn="0" w:lastColumn="0" w:oddVBand="0" w:evenVBand="0" w:oddHBand="0" w:evenHBand="1" w:firstRowFirstColumn="0" w:firstRowLastColumn="0" w:lastRowFirstColumn="0" w:lastRowLastColumn="0"/>
            </w:pPr>
            <w:r w:rsidRPr="003330A3">
              <w:t>0.756</w:t>
            </w:r>
          </w:p>
        </w:tc>
      </w:tr>
      <w:tr w:rsidR="004A5551" w:rsidRPr="00E60A24"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rPr>
                <w:rStyle w:val="Strong"/>
              </w:rPr>
            </w:pPr>
            <w:r w:rsidRPr="00E60A24">
              <w:rPr>
                <w:rStyle w:val="Strong"/>
              </w:rPr>
              <w:t>Rural short</w:t>
            </w:r>
          </w:p>
        </w:tc>
        <w:tc>
          <w:tcPr>
            <w:tcW w:w="2832" w:type="pct"/>
          </w:tcPr>
          <w:p w:rsidR="004A5551" w:rsidRPr="001511CF" w:rsidRDefault="004A5551" w:rsidP="004A5551">
            <w:pPr>
              <w:pStyle w:val="HeadingOrange"/>
              <w:cnfStyle w:val="000000000000" w:firstRow="0" w:lastRow="0" w:firstColumn="0" w:lastColumn="0" w:oddVBand="0" w:evenVBand="0" w:oddHBand="0" w:evenHBand="0" w:firstRowFirstColumn="0" w:firstRowLastColumn="0" w:lastRowFirstColumn="0" w:lastRowLastColumn="0"/>
            </w:pPr>
          </w:p>
        </w:tc>
      </w:tr>
      <w:tr w:rsidR="004A5551"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pPr>
            <w:r w:rsidRPr="001511CF">
              <w:t>SAIDI</w:t>
            </w:r>
          </w:p>
        </w:tc>
        <w:tc>
          <w:tcPr>
            <w:tcW w:w="2832" w:type="pct"/>
          </w:tcPr>
          <w:p w:rsidR="004A5551" w:rsidRPr="004A5551" w:rsidRDefault="004A5551" w:rsidP="004A5551">
            <w:pPr>
              <w:pStyle w:val="AERtabletextright"/>
              <w:cnfStyle w:val="000000010000" w:firstRow="0" w:lastRow="0" w:firstColumn="0" w:lastColumn="0" w:oddVBand="0" w:evenVBand="0" w:oddHBand="0" w:evenHBand="1" w:firstRowFirstColumn="0" w:firstRowLastColumn="0" w:lastRowFirstColumn="0" w:lastRowLastColumn="0"/>
            </w:pPr>
            <w:r w:rsidRPr="003330A3">
              <w:t>91.955</w:t>
            </w:r>
          </w:p>
        </w:tc>
      </w:tr>
      <w:tr w:rsidR="004A5551" w:rsidRPr="00670E6D"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pPr>
            <w:r w:rsidRPr="001511CF">
              <w:t>SAIFI</w:t>
            </w:r>
          </w:p>
        </w:tc>
        <w:tc>
          <w:tcPr>
            <w:tcW w:w="2832" w:type="pct"/>
          </w:tcPr>
          <w:p w:rsidR="004A5551" w:rsidRPr="004A5551" w:rsidRDefault="004A5551" w:rsidP="004A5551">
            <w:pPr>
              <w:pStyle w:val="AERtabletextright"/>
              <w:cnfStyle w:val="000000000000" w:firstRow="0" w:lastRow="0" w:firstColumn="0" w:lastColumn="0" w:oddVBand="0" w:evenVBand="0" w:oddHBand="0" w:evenHBand="0" w:firstRowFirstColumn="0" w:firstRowLastColumn="0" w:lastRowFirstColumn="0" w:lastRowLastColumn="0"/>
            </w:pPr>
            <w:r w:rsidRPr="003330A3">
              <w:t>1.238</w:t>
            </w:r>
          </w:p>
        </w:tc>
      </w:tr>
      <w:tr w:rsidR="004A5551"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pPr>
            <w:r w:rsidRPr="001511CF">
              <w:t>MAIFI</w:t>
            </w:r>
          </w:p>
        </w:tc>
        <w:tc>
          <w:tcPr>
            <w:tcW w:w="2832" w:type="pct"/>
          </w:tcPr>
          <w:p w:rsidR="004A5551" w:rsidRPr="004A5551" w:rsidRDefault="004A5551" w:rsidP="004A5551">
            <w:pPr>
              <w:pStyle w:val="AERtabletextright"/>
              <w:cnfStyle w:val="000000010000" w:firstRow="0" w:lastRow="0" w:firstColumn="0" w:lastColumn="0" w:oddVBand="0" w:evenVBand="0" w:oddHBand="0" w:evenHBand="1" w:firstRowFirstColumn="0" w:firstRowLastColumn="0" w:lastRowFirstColumn="0" w:lastRowLastColumn="0"/>
            </w:pPr>
            <w:r w:rsidRPr="003330A3">
              <w:t>1.654</w:t>
            </w:r>
          </w:p>
        </w:tc>
      </w:tr>
      <w:tr w:rsidR="004A5551" w:rsidRPr="00E60A24" w:rsidTr="00F70F95">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rPr>
                <w:rStyle w:val="Strong"/>
              </w:rPr>
            </w:pPr>
            <w:r w:rsidRPr="00E60A24">
              <w:rPr>
                <w:rStyle w:val="Strong"/>
              </w:rPr>
              <w:t>Telephone answering</w:t>
            </w:r>
          </w:p>
        </w:tc>
        <w:tc>
          <w:tcPr>
            <w:tcW w:w="2832" w:type="pct"/>
          </w:tcPr>
          <w:p w:rsidR="004A5551" w:rsidRPr="001511CF" w:rsidRDefault="004A5551" w:rsidP="004A5551">
            <w:pPr>
              <w:pStyle w:val="HeadingOrange"/>
              <w:cnfStyle w:val="000000000000" w:firstRow="0" w:lastRow="0" w:firstColumn="0" w:lastColumn="0" w:oddVBand="0" w:evenVBand="0" w:oddHBand="0" w:evenHBand="0" w:firstRowFirstColumn="0" w:firstRowLastColumn="0" w:lastRowFirstColumn="0" w:lastRowLastColumn="0"/>
            </w:pPr>
          </w:p>
        </w:tc>
      </w:tr>
      <w:tr w:rsidR="004A5551" w:rsidRPr="00670E6D" w:rsidTr="00F70F9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4A5551" w:rsidRPr="004A5551" w:rsidRDefault="004A5551" w:rsidP="004A5551">
            <w:pPr>
              <w:pStyle w:val="AERtabletextleft"/>
            </w:pPr>
            <w:r w:rsidRPr="001511CF">
              <w:t>Percentage of calls will be answered within 30 seconds</w:t>
            </w:r>
          </w:p>
        </w:tc>
        <w:tc>
          <w:tcPr>
            <w:tcW w:w="2832" w:type="pct"/>
          </w:tcPr>
          <w:p w:rsidR="004A5551" w:rsidRPr="004A5551" w:rsidRDefault="004A5551" w:rsidP="004A5551">
            <w:pPr>
              <w:pStyle w:val="AERtabletextright"/>
              <w:cnfStyle w:val="000000010000" w:firstRow="0" w:lastRow="0" w:firstColumn="0" w:lastColumn="0" w:oddVBand="0" w:evenVBand="0" w:oddHBand="0" w:evenHBand="1" w:firstRowFirstColumn="0" w:firstRowLastColumn="0" w:lastRowFirstColumn="0" w:lastRowLastColumn="0"/>
            </w:pPr>
            <w:r w:rsidRPr="003330A3">
              <w:t>64.235</w:t>
            </w:r>
          </w:p>
        </w:tc>
      </w:tr>
    </w:tbl>
    <w:p w:rsidR="00F70F95" w:rsidRPr="00493D7B" w:rsidRDefault="00F70F95" w:rsidP="00493D7B">
      <w:pPr>
        <w:pStyle w:val="AERtablesource"/>
      </w:pPr>
      <w:r w:rsidRPr="00493D7B">
        <w:t>Source:</w:t>
      </w:r>
      <w:r w:rsidR="00493D7B">
        <w:tab/>
      </w:r>
      <w:r w:rsidRPr="00493D7B">
        <w:rPr>
          <w:rStyle w:val="EndnoteReference"/>
          <w:vertAlign w:val="baseline"/>
        </w:rPr>
        <w:t>AER Analysis</w:t>
      </w:r>
      <w:r w:rsidRPr="00493D7B">
        <w:t>.</w:t>
      </w:r>
    </w:p>
    <w:p w:rsidR="00F70F95" w:rsidRPr="00F70F95" w:rsidRDefault="00F70F95" w:rsidP="00055A4F">
      <w:pPr>
        <w:pStyle w:val="Heading3"/>
        <w:ind w:left="578" w:hanging="578"/>
      </w:pPr>
      <w:bookmarkStart w:id="103" w:name="_Toc446588976"/>
      <w:bookmarkStart w:id="104" w:name="_Toc446588978"/>
      <w:bookmarkEnd w:id="103"/>
      <w:bookmarkEnd w:id="104"/>
      <w:r w:rsidRPr="007D3DEA">
        <w:tab/>
      </w:r>
      <w:bookmarkStart w:id="105" w:name="_Toc433536592"/>
      <w:bookmarkStart w:id="106" w:name="_Toc446588979"/>
      <w:r w:rsidRPr="007D3DEA">
        <w:t>Incentive rates</w:t>
      </w:r>
      <w:bookmarkEnd w:id="105"/>
      <w:bookmarkEnd w:id="106"/>
    </w:p>
    <w:p w:rsidR="00F70F95" w:rsidRDefault="00F70F95" w:rsidP="00F70F95">
      <w:r w:rsidRPr="00E51231">
        <w:t xml:space="preserve">The </w:t>
      </w:r>
      <w:r>
        <w:t>incentive rates applicable to Jemena</w:t>
      </w:r>
      <w:r w:rsidRPr="00E51231">
        <w:t xml:space="preserve"> for the reliability of supply performance parameters of the STPIS have been calculated in accordance with clause 3.2.2 and using the formulae provided as </w:t>
      </w:r>
      <w:r>
        <w:t>appendix B of our</w:t>
      </w:r>
      <w:r w:rsidRPr="00E51231">
        <w:t xml:space="preserve"> National STPIS.</w:t>
      </w:r>
      <w:r>
        <w:t xml:space="preserve"> Our </w:t>
      </w:r>
      <w:r w:rsidR="00BC25AB">
        <w:t>final</w:t>
      </w:r>
      <w:r>
        <w:t xml:space="preserve"> decision of Jemena's incentive rates are at </w:t>
      </w:r>
      <w:r>
        <w:fldChar w:fldCharType="begin"/>
      </w:r>
      <w:r>
        <w:instrText xml:space="preserve"> REF _Ref429494595 \h </w:instrText>
      </w:r>
      <w:r>
        <w:fldChar w:fldCharType="separate"/>
      </w:r>
      <w:r w:rsidR="00BF6549">
        <w:t xml:space="preserve">Table </w:t>
      </w:r>
      <w:r w:rsidR="00BF6549">
        <w:rPr>
          <w:noProof/>
        </w:rPr>
        <w:t>11</w:t>
      </w:r>
      <w:r w:rsidR="00BF6549">
        <w:t>.</w:t>
      </w:r>
      <w:r w:rsidR="00BF6549">
        <w:rPr>
          <w:noProof/>
        </w:rPr>
        <w:t>4</w:t>
      </w:r>
      <w:r>
        <w:fldChar w:fldCharType="end"/>
      </w:r>
      <w:r>
        <w:t xml:space="preserve">. </w:t>
      </w:r>
      <w:r w:rsidRPr="002A3A62">
        <w:t xml:space="preserve">The incentive rate for the </w:t>
      </w:r>
      <w:r>
        <w:t xml:space="preserve">customer service component </w:t>
      </w:r>
      <w:r w:rsidRPr="002A3A62">
        <w:t xml:space="preserve">will be </w:t>
      </w:r>
      <w:r w:rsidRPr="00F70F95">
        <w:t>─</w:t>
      </w:r>
      <w:r>
        <w:t>0.040</w:t>
      </w:r>
      <w:r w:rsidRPr="002A3A62">
        <w:t xml:space="preserve"> per cent per unit of the telephone answering parameter.</w:t>
      </w:r>
      <w:r>
        <w:rPr>
          <w:rStyle w:val="FootnoteReference"/>
        </w:rPr>
        <w:footnoteReference w:id="19"/>
      </w:r>
      <w:r>
        <w:t xml:space="preserve"> </w:t>
      </w:r>
    </w:p>
    <w:p w:rsidR="00F70F95" w:rsidRPr="00E51231" w:rsidRDefault="00F70F95">
      <w:pPr>
        <w:pStyle w:val="Caption"/>
      </w:pPr>
      <w:bookmarkStart w:id="107" w:name="_Ref429494595"/>
      <w:r>
        <w:t xml:space="preserve">Table </w:t>
      </w:r>
      <w:r w:rsidR="00BF6549">
        <w:fldChar w:fldCharType="begin"/>
      </w:r>
      <w:r w:rsidR="00BF6549">
        <w:instrText xml:space="preserve"> STYLEREF 1 \s </w:instrText>
      </w:r>
      <w:r w:rsidR="00BF6549">
        <w:fldChar w:fldCharType="separate"/>
      </w:r>
      <w:r w:rsidR="00BF6549">
        <w:rPr>
          <w:noProof/>
        </w:rPr>
        <w:t>11</w:t>
      </w:r>
      <w:r w:rsidR="00BF6549">
        <w:fldChar w:fldCharType="end"/>
      </w:r>
      <w:r w:rsidR="00BF6549">
        <w:t>.</w:t>
      </w:r>
      <w:r w:rsidR="00BF6549">
        <w:fldChar w:fldCharType="begin"/>
      </w:r>
      <w:r w:rsidR="00BF6549">
        <w:instrText xml:space="preserve"> SEQ Table \* ARABIC \s 1 </w:instrText>
      </w:r>
      <w:r w:rsidR="00BF6549">
        <w:fldChar w:fldCharType="separate"/>
      </w:r>
      <w:r w:rsidR="00BF6549">
        <w:rPr>
          <w:noProof/>
        </w:rPr>
        <w:t>4</w:t>
      </w:r>
      <w:r w:rsidR="00BF6549">
        <w:fldChar w:fldCharType="end"/>
      </w:r>
      <w:bookmarkEnd w:id="107"/>
      <w:r>
        <w:tab/>
      </w:r>
      <w:r w:rsidR="00BC25AB">
        <w:t>Final</w:t>
      </w:r>
      <w:r w:rsidRPr="00E51231">
        <w:t xml:space="preserve"> decision</w:t>
      </w:r>
      <w:r>
        <w:t>—STPIS i</w:t>
      </w:r>
      <w:r w:rsidRPr="00E51231">
        <w:t xml:space="preserve">ncentive rates </w:t>
      </w:r>
      <w:r>
        <w:t>for Jemena for the 2016–20 regulatory control period</w:t>
      </w:r>
    </w:p>
    <w:tbl>
      <w:tblPr>
        <w:tblStyle w:val="AERtable-numbers"/>
        <w:tblW w:w="5000" w:type="pct"/>
        <w:tblLook w:val="04A0" w:firstRow="1" w:lastRow="0" w:firstColumn="1" w:lastColumn="0" w:noHBand="0" w:noVBand="1"/>
      </w:tblPr>
      <w:tblGrid>
        <w:gridCol w:w="2948"/>
        <w:gridCol w:w="2876"/>
        <w:gridCol w:w="2869"/>
      </w:tblGrid>
      <w:tr w:rsidR="00F70F95" w:rsidRPr="00A946AA" w:rsidTr="00F7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pct"/>
            <w:hideMark/>
          </w:tcPr>
          <w:p w:rsidR="00F70F95" w:rsidRPr="00F70F95" w:rsidRDefault="00F70F95" w:rsidP="00055A4F">
            <w:pPr>
              <w:pStyle w:val="Tabletext-centred"/>
              <w:keepNext/>
            </w:pPr>
            <w:r w:rsidRPr="00E51231">
              <w:t> </w:t>
            </w:r>
          </w:p>
        </w:tc>
        <w:tc>
          <w:tcPr>
            <w:tcW w:w="1654" w:type="pct"/>
            <w:hideMark/>
          </w:tcPr>
          <w:p w:rsidR="00F70F95" w:rsidRPr="00F70F95" w:rsidRDefault="00F70F95" w:rsidP="00055A4F">
            <w:pPr>
              <w:pStyle w:val="AERtabletextleft"/>
              <w:keepNext/>
              <w:cnfStyle w:val="100000000000" w:firstRow="1" w:lastRow="0" w:firstColumn="0" w:lastColumn="0" w:oddVBand="0" w:evenVBand="0" w:oddHBand="0" w:evenHBand="0" w:firstRowFirstColumn="0" w:firstRowLastColumn="0" w:lastRowFirstColumn="0" w:lastRowLastColumn="0"/>
            </w:pPr>
            <w:r>
              <w:t>Urban</w:t>
            </w:r>
          </w:p>
        </w:tc>
        <w:tc>
          <w:tcPr>
            <w:tcW w:w="1650" w:type="pct"/>
            <w:hideMark/>
          </w:tcPr>
          <w:p w:rsidR="00F70F95" w:rsidRPr="00F70F95" w:rsidRDefault="00F70F95" w:rsidP="00055A4F">
            <w:pPr>
              <w:pStyle w:val="AERtabletextleft"/>
              <w:keepNext/>
              <w:cnfStyle w:val="100000000000" w:firstRow="1" w:lastRow="0" w:firstColumn="0" w:lastColumn="0" w:oddVBand="0" w:evenVBand="0" w:oddHBand="0" w:evenHBand="0" w:firstRowFirstColumn="0" w:firstRowLastColumn="0" w:lastRowFirstColumn="0" w:lastRowLastColumn="0"/>
            </w:pPr>
            <w:r>
              <w:t>Short r</w:t>
            </w:r>
            <w:r w:rsidRPr="00F70F95">
              <w:t>ural</w:t>
            </w:r>
          </w:p>
        </w:tc>
      </w:tr>
      <w:tr w:rsidR="00514257" w:rsidRPr="00A946AA" w:rsidTr="00514257">
        <w:trPr>
          <w:trHeight w:val="465"/>
        </w:trPr>
        <w:tc>
          <w:tcPr>
            <w:cnfStyle w:val="001000000000" w:firstRow="0" w:lastRow="0" w:firstColumn="1" w:lastColumn="0" w:oddVBand="0" w:evenVBand="0" w:oddHBand="0" w:evenHBand="0" w:firstRowFirstColumn="0" w:firstRowLastColumn="0" w:lastRowFirstColumn="0" w:lastRowLastColumn="0"/>
            <w:tcW w:w="1696" w:type="pct"/>
            <w:hideMark/>
          </w:tcPr>
          <w:p w:rsidR="00514257" w:rsidRPr="00514257" w:rsidRDefault="00514257" w:rsidP="00055A4F">
            <w:pPr>
              <w:pStyle w:val="AERtabletextleft"/>
              <w:keepNext/>
            </w:pPr>
            <w:r w:rsidRPr="00514257">
              <w:t>SAIDI</w:t>
            </w:r>
          </w:p>
        </w:tc>
        <w:tc>
          <w:tcPr>
            <w:tcW w:w="1654" w:type="pct"/>
            <w:vAlign w:val="top"/>
          </w:tcPr>
          <w:p w:rsidR="00514257" w:rsidRPr="00514257" w:rsidRDefault="00514257" w:rsidP="00055A4F">
            <w:pPr>
              <w:keepNext/>
              <w:cnfStyle w:val="000000000000" w:firstRow="0" w:lastRow="0" w:firstColumn="0" w:lastColumn="0" w:oddVBand="0" w:evenVBand="0" w:oddHBand="0" w:evenHBand="0" w:firstRowFirstColumn="0" w:firstRowLastColumn="0" w:lastRowFirstColumn="0" w:lastRowLastColumn="0"/>
            </w:pPr>
            <w:r w:rsidRPr="00514257">
              <w:t>0.0651</w:t>
            </w:r>
          </w:p>
        </w:tc>
        <w:tc>
          <w:tcPr>
            <w:tcW w:w="1650" w:type="pct"/>
            <w:vAlign w:val="top"/>
          </w:tcPr>
          <w:p w:rsidR="00514257" w:rsidRPr="00514257" w:rsidRDefault="00514257" w:rsidP="00055A4F">
            <w:pPr>
              <w:keepNext/>
              <w:cnfStyle w:val="000000000000" w:firstRow="0" w:lastRow="0" w:firstColumn="0" w:lastColumn="0" w:oddVBand="0" w:evenVBand="0" w:oddHBand="0" w:evenHBand="0" w:firstRowFirstColumn="0" w:firstRowLastColumn="0" w:lastRowFirstColumn="0" w:lastRowLastColumn="0"/>
            </w:pPr>
            <w:r w:rsidRPr="00514257">
              <w:t>0.0026</w:t>
            </w:r>
          </w:p>
        </w:tc>
      </w:tr>
      <w:tr w:rsidR="00514257" w:rsidRPr="00A946AA" w:rsidTr="00514257">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96" w:type="pct"/>
          </w:tcPr>
          <w:p w:rsidR="00514257" w:rsidRPr="00514257" w:rsidRDefault="00514257" w:rsidP="00055A4F">
            <w:pPr>
              <w:pStyle w:val="AERtabletextleft"/>
              <w:keepNext/>
            </w:pPr>
            <w:r w:rsidRPr="00514257">
              <w:t>SAIFI</w:t>
            </w:r>
          </w:p>
        </w:tc>
        <w:tc>
          <w:tcPr>
            <w:tcW w:w="1654" w:type="pct"/>
            <w:vAlign w:val="top"/>
          </w:tcPr>
          <w:p w:rsidR="00514257" w:rsidRPr="00514257" w:rsidRDefault="00514257" w:rsidP="00055A4F">
            <w:pPr>
              <w:keepNext/>
              <w:cnfStyle w:val="000000010000" w:firstRow="0" w:lastRow="0" w:firstColumn="0" w:lastColumn="0" w:oddVBand="0" w:evenVBand="0" w:oddHBand="0" w:evenHBand="1" w:firstRowFirstColumn="0" w:firstRowLastColumn="0" w:lastRowFirstColumn="0" w:lastRowLastColumn="0"/>
            </w:pPr>
            <w:r w:rsidRPr="00514257">
              <w:t>3.9019</w:t>
            </w:r>
          </w:p>
        </w:tc>
        <w:tc>
          <w:tcPr>
            <w:tcW w:w="1650" w:type="pct"/>
            <w:vAlign w:val="top"/>
          </w:tcPr>
          <w:p w:rsidR="00514257" w:rsidRPr="00514257" w:rsidRDefault="00514257" w:rsidP="00055A4F">
            <w:pPr>
              <w:keepNext/>
              <w:cnfStyle w:val="000000010000" w:firstRow="0" w:lastRow="0" w:firstColumn="0" w:lastColumn="0" w:oddVBand="0" w:evenVBand="0" w:oddHBand="0" w:evenHBand="1" w:firstRowFirstColumn="0" w:firstRowLastColumn="0" w:lastRowFirstColumn="0" w:lastRowLastColumn="0"/>
            </w:pPr>
            <w:r w:rsidRPr="00514257">
              <w:t>0.2114</w:t>
            </w:r>
          </w:p>
        </w:tc>
      </w:tr>
      <w:tr w:rsidR="00514257" w:rsidRPr="00A946AA" w:rsidTr="00514257">
        <w:trPr>
          <w:trHeight w:val="465"/>
        </w:trPr>
        <w:tc>
          <w:tcPr>
            <w:cnfStyle w:val="001000000000" w:firstRow="0" w:lastRow="0" w:firstColumn="1" w:lastColumn="0" w:oddVBand="0" w:evenVBand="0" w:oddHBand="0" w:evenHBand="0" w:firstRowFirstColumn="0" w:firstRowLastColumn="0" w:lastRowFirstColumn="0" w:lastRowLastColumn="0"/>
            <w:tcW w:w="1696" w:type="pct"/>
          </w:tcPr>
          <w:p w:rsidR="00514257" w:rsidRPr="00514257" w:rsidRDefault="00514257" w:rsidP="00055A4F">
            <w:pPr>
              <w:pStyle w:val="AERtabletextleft"/>
              <w:keepNext/>
            </w:pPr>
            <w:r w:rsidRPr="00514257">
              <w:t>MAIFI</w:t>
            </w:r>
          </w:p>
        </w:tc>
        <w:tc>
          <w:tcPr>
            <w:tcW w:w="1654" w:type="pct"/>
            <w:vAlign w:val="top"/>
          </w:tcPr>
          <w:p w:rsidR="00514257" w:rsidRPr="00514257" w:rsidRDefault="00514257" w:rsidP="00055A4F">
            <w:pPr>
              <w:keepNext/>
              <w:cnfStyle w:val="000000000000" w:firstRow="0" w:lastRow="0" w:firstColumn="0" w:lastColumn="0" w:oddVBand="0" w:evenVBand="0" w:oddHBand="0" w:evenHBand="0" w:firstRowFirstColumn="0" w:firstRowLastColumn="0" w:lastRowFirstColumn="0" w:lastRowLastColumn="0"/>
            </w:pPr>
            <w:r w:rsidRPr="00514257">
              <w:t>0.3122</w:t>
            </w:r>
          </w:p>
        </w:tc>
        <w:tc>
          <w:tcPr>
            <w:tcW w:w="1650" w:type="pct"/>
            <w:vAlign w:val="top"/>
          </w:tcPr>
          <w:p w:rsidR="00514257" w:rsidRPr="00514257" w:rsidRDefault="00514257" w:rsidP="00055A4F">
            <w:pPr>
              <w:keepNext/>
              <w:cnfStyle w:val="000000000000" w:firstRow="0" w:lastRow="0" w:firstColumn="0" w:lastColumn="0" w:oddVBand="0" w:evenVBand="0" w:oddHBand="0" w:evenHBand="0" w:firstRowFirstColumn="0" w:firstRowLastColumn="0" w:lastRowFirstColumn="0" w:lastRowLastColumn="0"/>
            </w:pPr>
            <w:r w:rsidRPr="00514257">
              <w:t>0.0169</w:t>
            </w:r>
          </w:p>
        </w:tc>
      </w:tr>
    </w:tbl>
    <w:p w:rsidR="00F70F95" w:rsidRDefault="00F70F95" w:rsidP="00CE519B">
      <w:pPr>
        <w:pStyle w:val="AERtablesource"/>
      </w:pPr>
      <w:r w:rsidRPr="001511CF">
        <w:t>Source:</w:t>
      </w:r>
      <w:r w:rsidR="00493D7B">
        <w:tab/>
      </w:r>
      <w:r w:rsidRPr="00CE519B">
        <w:rPr>
          <w:rStyle w:val="EndnoteReference"/>
          <w:vertAlign w:val="baseline"/>
        </w:rPr>
        <w:t>AER Analysis</w:t>
      </w:r>
      <w:r w:rsidRPr="00CE519B">
        <w:t>.</w:t>
      </w:r>
    </w:p>
    <w:p w:rsidR="00F70F95" w:rsidRPr="00F70F95" w:rsidRDefault="00F70F95" w:rsidP="00055A4F">
      <w:pPr>
        <w:pStyle w:val="Heading3"/>
        <w:ind w:left="1021" w:hanging="1021"/>
      </w:pPr>
      <w:bookmarkStart w:id="108" w:name="_Toc433536593"/>
      <w:bookmarkStart w:id="109" w:name="_Toc446588980"/>
      <w:r w:rsidRPr="00726846">
        <w:t>Value of customer reliability to calculate the incentive rates</w:t>
      </w:r>
      <w:bookmarkEnd w:id="108"/>
      <w:bookmarkEnd w:id="109"/>
    </w:p>
    <w:p w:rsidR="0092774A" w:rsidRDefault="00F70F95" w:rsidP="00F70F95">
      <w:r>
        <w:t xml:space="preserve">Our F&amp;A paper stated that we will apply a </w:t>
      </w:r>
      <w:r w:rsidRPr="00F17A7C">
        <w:t>revise</w:t>
      </w:r>
      <w:r>
        <w:t>d</w:t>
      </w:r>
      <w:r w:rsidRPr="00F17A7C">
        <w:t xml:space="preserve"> value for VCR through the distribution determination </w:t>
      </w:r>
      <w:r>
        <w:t>in calculating Jemena’s incentive rates.</w:t>
      </w:r>
      <w:r>
        <w:rPr>
          <w:rStyle w:val="FootnoteReference"/>
        </w:rPr>
        <w:footnoteReference w:id="20"/>
      </w:r>
      <w:r>
        <w:t xml:space="preserve"> For this </w:t>
      </w:r>
      <w:r w:rsidR="00BC25AB">
        <w:t>final</w:t>
      </w:r>
      <w:r>
        <w:t xml:space="preserve"> decision, we have calculated Jemena’s incentive rates by deriving the VCR from Jemena’s consumption data, the other Victorian electricity distributors’ consumption data and AEMO’s published state wide VCR.</w:t>
      </w:r>
      <w:r w:rsidRPr="002C28FB">
        <w:t xml:space="preserve"> </w:t>
      </w:r>
    </w:p>
    <w:p w:rsidR="0092774A" w:rsidRDefault="0092774A" w:rsidP="0092774A">
      <w:r>
        <w:t>The VCR for Jemena's urban and short rural segments is $</w:t>
      </w:r>
      <w:r w:rsidRPr="00B32A61">
        <w:t xml:space="preserve"> 39</w:t>
      </w:r>
      <w:r>
        <w:t>.</w:t>
      </w:r>
      <w:r w:rsidRPr="00B32A61">
        <w:t>0</w:t>
      </w:r>
      <w:r>
        <w:t>3 per kWh. We have applied this VCR to calculate its incentives rates for 2016–20.</w:t>
      </w:r>
    </w:p>
    <w:p w:rsidR="00054887" w:rsidRPr="00054887" w:rsidRDefault="00054887" w:rsidP="00055A4F">
      <w:pPr>
        <w:pStyle w:val="Heading3"/>
        <w:ind w:left="1021" w:hanging="1021"/>
      </w:pPr>
      <w:bookmarkStart w:id="110" w:name="_Toc433536594"/>
      <w:bookmarkStart w:id="111" w:name="_Toc428779200"/>
      <w:bookmarkStart w:id="112" w:name="_Toc446588981"/>
      <w:bookmarkStart w:id="113" w:name="_Toc428779202"/>
      <w:bookmarkStart w:id="114" w:name="_Toc433536595"/>
      <w:r w:rsidRPr="00054887">
        <w:t>Adjusting STPIS targets for potential bushfire related expenditure</w:t>
      </w:r>
      <w:bookmarkEnd w:id="110"/>
      <w:bookmarkEnd w:id="111"/>
      <w:bookmarkEnd w:id="112"/>
    </w:p>
    <w:p w:rsidR="00054887" w:rsidRPr="00054887" w:rsidRDefault="00054887" w:rsidP="00054887">
      <w:r w:rsidRPr="00054887">
        <w:t xml:space="preserve">We received a submission from the Victorian Government recommending we consider the reliability benefits of installing repaid earth current fault limiters </w:t>
      </w:r>
      <w:r>
        <w:t xml:space="preserve">(REFCLs) </w:t>
      </w:r>
      <w:r w:rsidRPr="00054887">
        <w:t>in determining the performance targets.</w:t>
      </w:r>
      <w:r w:rsidRPr="00054887">
        <w:rPr>
          <w:rStyle w:val="FootnoteReference"/>
        </w:rPr>
        <w:footnoteReference w:id="21"/>
      </w:r>
      <w:r w:rsidRPr="00054887">
        <w:t xml:space="preserve"> The Victorian government quoted the findings from a study by Northpower in New Zealand to conclude that there are reliability benefits in installing REFCL.</w:t>
      </w:r>
    </w:p>
    <w:p w:rsidR="00054887" w:rsidRPr="00054887" w:rsidRDefault="00054887" w:rsidP="00054887">
      <w:r w:rsidRPr="00054887">
        <w:t xml:space="preserve">We agree that the installation of </w:t>
      </w:r>
      <w:r>
        <w:t xml:space="preserve">REFCLs </w:t>
      </w:r>
      <w:r w:rsidRPr="00054887">
        <w:t>may impact on the reliability of supply.</w:t>
      </w:r>
      <w:r w:rsidRPr="00054887">
        <w:rPr>
          <w:rStyle w:val="FootnoteReference"/>
        </w:rPr>
        <w:footnoteReference w:id="22"/>
      </w:r>
      <w:r w:rsidRPr="00054887">
        <w:t xml:space="preserve"> However, we anticipate these reliability benefits on Jemena's networks to be </w:t>
      </w:r>
      <w:r w:rsidR="00CE519B">
        <w:t>relatively minor as according to Jemena</w:t>
      </w:r>
      <w:r w:rsidRPr="00054887">
        <w:t>:</w:t>
      </w:r>
    </w:p>
    <w:p w:rsidR="00054887" w:rsidRPr="00054887" w:rsidRDefault="00054887" w:rsidP="00054887">
      <w:pPr>
        <w:pStyle w:val="AERbulletlistfirststyle"/>
      </w:pPr>
      <w:r w:rsidRPr="00054887">
        <w:t>REFCLs will only operate in full service a small number of days of the year</w:t>
      </w:r>
      <w:r w:rsidR="006A177B">
        <w:t>.</w:t>
      </w:r>
    </w:p>
    <w:p w:rsidR="00054887" w:rsidRPr="00054887" w:rsidRDefault="006A177B" w:rsidP="00054887">
      <w:pPr>
        <w:pStyle w:val="AERbulletlistfirststyle"/>
      </w:pPr>
      <w:r>
        <w:t>T</w:t>
      </w:r>
      <w:r w:rsidR="00054887" w:rsidRPr="00054887">
        <w:t>he installation of 4 REFCL devices over the 2016–20 regulatory control period will affect only a small proportion of Jemena's assets (this is a low proportion as contemplated by the Powerline Bushfire Safety Taskforce)</w:t>
      </w:r>
      <w:r>
        <w:t>.</w:t>
      </w:r>
    </w:p>
    <w:p w:rsidR="00054887" w:rsidRPr="00054887" w:rsidRDefault="006A177B" w:rsidP="00054887">
      <w:pPr>
        <w:pStyle w:val="AERbulletlistfirststyle"/>
      </w:pPr>
      <w:r>
        <w:t>M</w:t>
      </w:r>
      <w:r w:rsidR="00054887" w:rsidRPr="00054887">
        <w:t>ost REFCL devices are expected to be installed late in the 2016–20 regulatory control period and any reliability benefits will not emerge until 2020</w:t>
      </w:r>
      <w:r>
        <w:t>.</w:t>
      </w:r>
    </w:p>
    <w:p w:rsidR="00054887" w:rsidRPr="00054887" w:rsidRDefault="006A177B" w:rsidP="00054887">
      <w:pPr>
        <w:pStyle w:val="AERbulletlistfirststyle"/>
      </w:pPr>
      <w:r>
        <w:t>T</w:t>
      </w:r>
      <w:r w:rsidR="00054887" w:rsidRPr="00054887">
        <w:t>he devices will be installed in rural areas which only cover three percent of Jemena’s customers—as STPIS is calculated based on average performance across the customer base the impact is diluted significantly.</w:t>
      </w:r>
      <w:r w:rsidR="00054887" w:rsidRPr="00054887">
        <w:rPr>
          <w:rStyle w:val="FootnoteReference"/>
        </w:rPr>
        <w:footnoteReference w:id="23"/>
      </w:r>
      <w:r w:rsidR="00054887" w:rsidRPr="00054887">
        <w:t xml:space="preserve"> </w:t>
      </w:r>
    </w:p>
    <w:p w:rsidR="00054887" w:rsidRPr="00054887" w:rsidRDefault="00054887" w:rsidP="00054887">
      <w:r w:rsidRPr="00054887">
        <w:t>That said, the scheme</w:t>
      </w:r>
      <w:r w:rsidR="00CE519B">
        <w:t>, where relevant,</w:t>
      </w:r>
      <w:r w:rsidRPr="00054887">
        <w:t xml:space="preserve"> has provisions to make adjustments to Jemena's targets in the 2021–2025 regulatory control period for capital expenditure spent that may improve reliability. This will ensure that consumers are not paying for the expenditure again through STPIS for improvement </w:t>
      </w:r>
      <w:r w:rsidR="00D87329">
        <w:t>resulting from</w:t>
      </w:r>
      <w:r w:rsidRPr="00054887">
        <w:t xml:space="preserve"> this expenditure.</w:t>
      </w:r>
      <w:r w:rsidRPr="00054887">
        <w:rPr>
          <w:rStyle w:val="FootnoteReference"/>
        </w:rPr>
        <w:footnoteReference w:id="24"/>
      </w:r>
      <w:r w:rsidRPr="00054887">
        <w:t xml:space="preserve"> </w:t>
      </w:r>
    </w:p>
    <w:p w:rsidR="00054887" w:rsidRPr="00054887" w:rsidRDefault="00054887" w:rsidP="00055A4F">
      <w:pPr>
        <w:pStyle w:val="Heading3"/>
        <w:ind w:left="1021" w:hanging="1021"/>
      </w:pPr>
      <w:bookmarkStart w:id="115" w:name="_Toc446588982"/>
      <w:r w:rsidRPr="00054887">
        <w:t>Adjusting the STPIS targets for benefits associated with smart meters</w:t>
      </w:r>
      <w:bookmarkEnd w:id="115"/>
      <w:r w:rsidRPr="00054887">
        <w:t xml:space="preserve"> </w:t>
      </w:r>
    </w:p>
    <w:p w:rsidR="00A81FC3" w:rsidRPr="00391106" w:rsidRDefault="00A81FC3" w:rsidP="00A81FC3">
      <w:r w:rsidRPr="009F0CB6">
        <w:t>Based on a report by Deloitte in 2011,</w:t>
      </w:r>
      <w:r w:rsidRPr="00391106">
        <w:rPr>
          <w:rStyle w:val="FootnoteReference"/>
        </w:rPr>
        <w:footnoteReference w:id="25"/>
      </w:r>
      <w:r w:rsidRPr="00391106">
        <w:t xml:space="preserve"> the Victorian Government suggested that distributors’ historical 5-year average STPIS targets should be adjusted as result of the Advanced Metering Infrastructure (</w:t>
      </w:r>
      <w:r>
        <w:t>commonly known as smart meters</w:t>
      </w:r>
      <w:r w:rsidRPr="00391106">
        <w:t>) program. Specifically, the following benefits were identified in the Deloitte report:</w:t>
      </w:r>
    </w:p>
    <w:p w:rsidR="00A81FC3" w:rsidRPr="00391106" w:rsidRDefault="006A177B" w:rsidP="00A81FC3">
      <w:pPr>
        <w:pStyle w:val="AERbulletlistfirststyle"/>
      </w:pPr>
      <w:r>
        <w:t>r</w:t>
      </w:r>
      <w:r w:rsidR="00A81FC3" w:rsidRPr="00391106">
        <w:t>eduction in unserved energy due to faster detection of outages and restoration times</w:t>
      </w:r>
    </w:p>
    <w:p w:rsidR="00A81FC3" w:rsidRPr="00391106" w:rsidRDefault="006A177B" w:rsidP="00A81FC3">
      <w:pPr>
        <w:pStyle w:val="AERbulletlistfirststyle"/>
      </w:pPr>
      <w:r>
        <w:t>l</w:t>
      </w:r>
      <w:r w:rsidR="00A81FC3" w:rsidRPr="00391106">
        <w:t>ow voltage network monitoring improvement benefits</w:t>
      </w:r>
    </w:p>
    <w:p w:rsidR="00A81FC3" w:rsidRPr="00391106" w:rsidRDefault="006A177B" w:rsidP="00A81FC3">
      <w:pPr>
        <w:pStyle w:val="AERbulletlistfirststyle"/>
      </w:pPr>
      <w:r>
        <w:t>r</w:t>
      </w:r>
      <w:r w:rsidR="00A81FC3" w:rsidRPr="00391106">
        <w:t>ural and semi-rural area notification time improvement benefits</w:t>
      </w:r>
    </w:p>
    <w:p w:rsidR="00A81FC3" w:rsidRPr="00391106" w:rsidRDefault="006A177B" w:rsidP="00A81FC3">
      <w:pPr>
        <w:pStyle w:val="AERbulletlistfirststyle"/>
      </w:pPr>
      <w:r>
        <w:t>o</w:t>
      </w:r>
      <w:r w:rsidR="00A81FC3" w:rsidRPr="00391106">
        <w:t>utage Management innovation benefits.</w:t>
      </w:r>
    </w:p>
    <w:p w:rsidR="00A81FC3" w:rsidRPr="00391106" w:rsidRDefault="00A81FC3" w:rsidP="00A81FC3">
      <w:r>
        <w:t xml:space="preserve">All distributors </w:t>
      </w:r>
      <w:r w:rsidRPr="00391106">
        <w:t>refuted the Victorian Government</w:t>
      </w:r>
      <w:r w:rsidR="006A177B">
        <w:t>’</w:t>
      </w:r>
      <w:r w:rsidRPr="00391106">
        <w:t>s claims about the benefits of smart meters and commented that the assumptions used by Deloitte in it</w:t>
      </w:r>
      <w:r w:rsidR="006A177B">
        <w:t>s</w:t>
      </w:r>
      <w:r w:rsidRPr="00391106">
        <w:t xml:space="preserve"> 2011 report were flawed and not based on actual observation.</w:t>
      </w:r>
    </w:p>
    <w:p w:rsidR="00A81FC3" w:rsidRPr="00391106" w:rsidRDefault="00A81FC3" w:rsidP="00A81FC3">
      <w:r>
        <w:t xml:space="preserve">We consider that there is </w:t>
      </w:r>
      <w:r w:rsidRPr="00391106">
        <w:t>insufficient evidence to support the extent of improvements to reliability claimed by the 2011 Deloitte report because:</w:t>
      </w:r>
    </w:p>
    <w:p w:rsidR="00A81FC3" w:rsidRDefault="00A81FC3" w:rsidP="00A81FC3">
      <w:pPr>
        <w:pStyle w:val="AERbulletlistfirststyle"/>
      </w:pPr>
      <w:r>
        <w:t>O</w:t>
      </w:r>
      <w:r w:rsidRPr="00391106">
        <w:t xml:space="preserve">nly Jemena and AusNet Services achieved sustained performance improvement in the last regulatory period, whereas the </w:t>
      </w:r>
      <w:r>
        <w:t>CitiPower, Powercor and United Energy</w:t>
      </w:r>
      <w:r w:rsidRPr="00391106">
        <w:t>––all of whom achieved a very high rate of AMI implementation––did not report improvement in supply reliability.</w:t>
      </w:r>
    </w:p>
    <w:p w:rsidR="00A81FC3" w:rsidRPr="0076564E" w:rsidRDefault="00A81FC3" w:rsidP="00A81FC3">
      <w:pPr>
        <w:pStyle w:val="AERbulletlistfirststyle"/>
      </w:pPr>
      <w:r w:rsidRPr="0076564E">
        <w:t>On specific SAIDI benefits</w:t>
      </w:r>
      <w:r w:rsidRPr="0076564E">
        <w:rPr>
          <w:rStyle w:val="FootnoteReference"/>
        </w:rPr>
        <w:footnoteReference w:id="26"/>
      </w:r>
      <w:r w:rsidRPr="0076564E">
        <w:t>, Powercor stated that faster outage detection does not result in a change in the number or duration of outages recorded for STPIS purposes. Earlier notification of the fault means the distributor starts recording the outage sooner and commencing restoration procedures faster</w:t>
      </w:r>
      <w:r w:rsidR="003C24B2">
        <w:t>;</w:t>
      </w:r>
      <w:r w:rsidR="003C24B2" w:rsidRPr="0076564E">
        <w:t xml:space="preserve"> </w:t>
      </w:r>
      <w:r w:rsidRPr="0076564E">
        <w:t>however</w:t>
      </w:r>
      <w:r w:rsidR="003C24B2">
        <w:t>,</w:t>
      </w:r>
      <w:r w:rsidRPr="0076564E">
        <w:t xml:space="preserve"> this does not result in a reduction in the duration of the outage for STPIS purposes because the response process is the same.</w:t>
      </w:r>
      <w:r w:rsidRPr="0076564E">
        <w:rPr>
          <w:rStyle w:val="FootnoteReference"/>
        </w:rPr>
        <w:footnoteReference w:id="27"/>
      </w:r>
      <w:r w:rsidRPr="0076564E">
        <w:t xml:space="preserve"> </w:t>
      </w:r>
    </w:p>
    <w:p w:rsidR="00F70F95" w:rsidRDefault="00F70F95" w:rsidP="00F70F95">
      <w:pPr>
        <w:pStyle w:val="Heading2"/>
      </w:pPr>
      <w:bookmarkStart w:id="116" w:name="_Toc446588983"/>
      <w:bookmarkStart w:id="117" w:name="_Toc446588984"/>
      <w:bookmarkStart w:id="118" w:name="_Toc446588985"/>
      <w:bookmarkStart w:id="119" w:name="_Toc446588986"/>
      <w:bookmarkEnd w:id="116"/>
      <w:bookmarkEnd w:id="117"/>
      <w:bookmarkEnd w:id="118"/>
      <w:r>
        <w:t>Transitional arrangements for the STPIS</w:t>
      </w:r>
      <w:bookmarkEnd w:id="113"/>
      <w:bookmarkEnd w:id="114"/>
      <w:bookmarkEnd w:id="119"/>
    </w:p>
    <w:p w:rsidR="00F70F95" w:rsidRDefault="00F70F95" w:rsidP="00F70F95">
      <w:r>
        <w:t>This section addresses the following transitional issues relating</w:t>
      </w:r>
      <w:r w:rsidR="00A51D5B">
        <w:t xml:space="preserve"> to</w:t>
      </w:r>
      <w:r>
        <w:t xml:space="preserve"> the STPIS:</w:t>
      </w:r>
    </w:p>
    <w:p w:rsidR="00F70F95" w:rsidRDefault="00F70F95" w:rsidP="00F70F95">
      <w:pPr>
        <w:pStyle w:val="AERbulletlistfirststyle"/>
      </w:pPr>
      <w:r>
        <w:t>how we intend to adjust the S-factor between regulatory control periods</w:t>
      </w:r>
    </w:p>
    <w:p w:rsidR="00F70F95" w:rsidRDefault="00F70F95" w:rsidP="00F70F95">
      <w:pPr>
        <w:pStyle w:val="AERbulletlistfirststyle"/>
      </w:pPr>
      <w:r>
        <w:t xml:space="preserve">how we intend to account for revenue increments or decrements resulting from the STPIS outcomes between regulatory control periods </w:t>
      </w:r>
    </w:p>
    <w:p w:rsidR="00F70F95" w:rsidRDefault="00F70F95" w:rsidP="00F70F95">
      <w:pPr>
        <w:pStyle w:val="AERbulletlistfirststyle"/>
      </w:pPr>
      <w:r>
        <w:t>how we will close out Essential Services Commission service performance scheme for 2006–10.</w:t>
      </w:r>
    </w:p>
    <w:p w:rsidR="00F70F95" w:rsidRPr="00F70F95" w:rsidRDefault="00F70F95" w:rsidP="00055A4F">
      <w:pPr>
        <w:pStyle w:val="Heading3"/>
        <w:ind w:left="1021" w:hanging="1021"/>
      </w:pPr>
      <w:bookmarkStart w:id="120" w:name="_Toc428779203"/>
      <w:bookmarkStart w:id="121" w:name="_Toc433536596"/>
      <w:bookmarkStart w:id="122" w:name="_Toc446588987"/>
      <w:r>
        <w:t>S-factor adjustment between regulatory control periods</w:t>
      </w:r>
      <w:bookmarkEnd w:id="120"/>
      <w:bookmarkEnd w:id="121"/>
      <w:bookmarkEnd w:id="122"/>
    </w:p>
    <w:p w:rsidR="00F70F95" w:rsidRDefault="00F70F95" w:rsidP="00F70F95">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w:t>
      </w:r>
      <w:r w:rsidRPr="00B83039">
        <w:rPr>
          <w:rStyle w:val="AERbody"/>
        </w:rPr>
        <w:t xml:space="preserve">targets. Distributors are either rewarded or penalised via network charges two years after the end of each regulatory year because audited performance data would only be available after the regulatory year is completed––hence, the earliest time the S-factor can apply is the year following </w:t>
      </w:r>
      <w:r>
        <w:rPr>
          <w:rStyle w:val="AERbody"/>
        </w:rPr>
        <w:t xml:space="preserve">audited </w:t>
      </w:r>
      <w:r w:rsidRPr="00B83039">
        <w:rPr>
          <w:rStyle w:val="AERbody"/>
        </w:rPr>
        <w:t>performance data availabil</w:t>
      </w:r>
      <w:r>
        <w:rPr>
          <w:rStyle w:val="AERbody"/>
        </w:rPr>
        <w:t>i</w:t>
      </w:r>
      <w:r w:rsidRPr="00B83039">
        <w:rPr>
          <w:rStyle w:val="AERbody"/>
        </w:rPr>
        <w:t>ty.</w:t>
      </w:r>
      <w:r>
        <w:t xml:space="preserve">  </w:t>
      </w:r>
    </w:p>
    <w:p w:rsidR="00F70F95" w:rsidRDefault="00F70F95" w:rsidP="00F70F95">
      <w:r>
        <w:t xml:space="preserve">Consequently, the S-factor outcomes of 2014 and 2015 will apply to prices in the 2016 and 2017 regulatory years respectively. </w:t>
      </w:r>
    </w:p>
    <w:p w:rsidR="00F70F95" w:rsidRDefault="00F70F95" w:rsidP="00F70F95">
      <w:r>
        <w:rPr>
          <w:rStyle w:val="AERbody"/>
        </w:rPr>
        <w:t>T</w:t>
      </w:r>
      <w:r w:rsidRPr="00432754">
        <w:rPr>
          <w:rStyle w:val="AERbody"/>
        </w:rPr>
        <w:t>he revenue at risk</w:t>
      </w:r>
      <w:r w:rsidR="00C008DA">
        <w:rPr>
          <w:rStyle w:val="AERbody"/>
        </w:rPr>
        <w:t xml:space="preserve"> </w:t>
      </w:r>
      <w:r w:rsidRPr="00432754">
        <w:rPr>
          <w:rStyle w:val="AERbody"/>
        </w:rPr>
        <w:t>cap</w:t>
      </w:r>
      <w:r w:rsidR="00C008DA">
        <w:rPr>
          <w:rStyle w:val="AERbody"/>
        </w:rPr>
        <w:t xml:space="preserve"> limit</w:t>
      </w:r>
      <w:r w:rsidRPr="00432754">
        <w:rPr>
          <w:rStyle w:val="AERbody"/>
        </w:rPr>
        <w:t xml:space="preserve">s the risk of the STPIS to </w:t>
      </w:r>
      <w:r>
        <w:rPr>
          <w:rStyle w:val="AERbody"/>
        </w:rPr>
        <w:t xml:space="preserve">Jemena at </w:t>
      </w:r>
      <w:r w:rsidRPr="00F24776">
        <w:rPr>
          <w:rStyle w:val="AERbody"/>
        </w:rPr>
        <w:t>±</w:t>
      </w:r>
      <w:r>
        <w:rPr>
          <w:rStyle w:val="AERbody"/>
        </w:rPr>
        <w:t xml:space="preserve"> 5.0 per cent of the annual allowable revenue</w:t>
      </w:r>
      <w:r w:rsidRPr="00432754">
        <w:rPr>
          <w:rStyle w:val="AERbody"/>
        </w:rPr>
        <w:t xml:space="preserve">. </w:t>
      </w:r>
      <w:r>
        <w:rPr>
          <w:rStyle w:val="AERbody"/>
        </w:rPr>
        <w:t xml:space="preserve">However, distributors may exceed this cap where there are increases or decreases to the amount of the annual allowable revenue requirement that they can recover between regulatory control periods. </w:t>
      </w:r>
      <w:r>
        <w:t>The STPIS scheme accounts for the differences to the allowable revenue recoverable between regulatory control periods by making an adjustment to the "raw"</w:t>
      </w:r>
      <w:r>
        <w:rPr>
          <w:rStyle w:val="FootnoteReference"/>
        </w:rPr>
        <w:footnoteReference w:id="28"/>
      </w:r>
      <w:r>
        <w:t xml:space="preserve"> S-factor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by adjusting the raw S-factor value based on:</w:t>
      </w:r>
    </w:p>
    <w:p w:rsidR="00F70F95" w:rsidRDefault="00F70F95" w:rsidP="00F70F95">
      <w:pPr>
        <w:pStyle w:val="AERquoteindent1"/>
      </w:pP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r>
        <w:rPr>
          <w:rStyle w:val="FootnoteReference"/>
        </w:rPr>
        <w:footnoteReference w:id="29"/>
      </w:r>
    </w:p>
    <w:p w:rsidR="00F70F95" w:rsidRDefault="00F70F95" w:rsidP="00F70F95">
      <w:r>
        <w:t>Hence, the revenue at risk cap for the first two years of the next regulatory control period will be adjusted based on the approved revenue at risk cap of the previous regulatory control period.</w:t>
      </w:r>
    </w:p>
    <w:p w:rsidR="00F70F95" w:rsidRPr="00F70F95" w:rsidRDefault="00F70F95" w:rsidP="00055A4F">
      <w:pPr>
        <w:pStyle w:val="Heading3"/>
        <w:ind w:left="1021" w:hanging="1021"/>
      </w:pPr>
      <w:bookmarkStart w:id="123" w:name="_Toc428779204"/>
      <w:bookmarkStart w:id="124" w:name="_Toc433536597"/>
      <w:bookmarkStart w:id="125" w:name="_Toc446588988"/>
      <w:r w:rsidRPr="00FD0BEC">
        <w:t xml:space="preserve">Accounting </w:t>
      </w:r>
      <w:r w:rsidRPr="00F70F95">
        <w:t>revenue increments decrements between regulatory control periods</w:t>
      </w:r>
      <w:bookmarkEnd w:id="123"/>
      <w:bookmarkEnd w:id="124"/>
      <w:bookmarkEnd w:id="125"/>
      <w:r w:rsidRPr="00F70F95">
        <w:t xml:space="preserve"> </w:t>
      </w:r>
    </w:p>
    <w:p w:rsidR="00F70F95" w:rsidRPr="00AF64B3" w:rsidRDefault="00F70F95" w:rsidP="00F70F95">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F70F95" w:rsidRDefault="00F70F95" w:rsidP="00F70F95">
      <w:r w:rsidRPr="00AF64B3">
        <w:t xml:space="preserve">For example, if a </w:t>
      </w:r>
      <w:r>
        <w:t>distributor</w:t>
      </w:r>
      <w:r w:rsidRPr="00AF64B3">
        <w:t xml:space="preserve"> has a regulatory control period of </w:t>
      </w:r>
      <w:r w:rsidR="003C24B2">
        <w:t>five</w:t>
      </w:r>
      <w:r w:rsidR="003C24B2" w:rsidRPr="00AF64B3">
        <w:t xml:space="preserve"> </w:t>
      </w:r>
      <w:r w:rsidRPr="00AF64B3">
        <w:t>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30"/>
      </w:r>
    </w:p>
    <w:p w:rsidR="00F70F95" w:rsidRPr="00FD0BEC" w:rsidRDefault="00F70F95" w:rsidP="00F70F95">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31"/>
        </m:r>
      </m:oMath>
      <w:r w:rsidRPr="00FD0BEC">
        <w:t>, from one regulatory</w:t>
      </w:r>
      <w:r>
        <w:t xml:space="preserve"> </w:t>
      </w:r>
      <w:r w:rsidRPr="00FD0BEC">
        <w:t>control period to the next</w:t>
      </w:r>
      <w:r>
        <w:t>. For Jemena, t</w:t>
      </w:r>
      <w:r w:rsidRPr="00FD0BEC">
        <w:t xml:space="preserve">he ‘raw’ </w:t>
      </w:r>
      <w:r>
        <w:br/>
        <w:t>S-factor</w:t>
      </w:r>
      <w:r w:rsidRPr="00FD0BEC">
        <w:t xml:space="preserve">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32"/>
      </w:r>
      <w:r w:rsidRPr="00FD0BEC">
        <w:t xml:space="preserve"> </w:t>
      </w:r>
    </w:p>
    <w:p w:rsidR="00F70F95" w:rsidRPr="00FD0BEC" w:rsidRDefault="000F3343" w:rsidP="00F70F95">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F70F95" w:rsidRPr="00FD0BEC">
        <w:t xml:space="preserve"> </w:t>
      </w:r>
    </w:p>
    <w:p w:rsidR="00F70F95" w:rsidRPr="00FD0BEC" w:rsidRDefault="00F70F95" w:rsidP="00F70F95">
      <w:r w:rsidRPr="00FD0BEC">
        <w:t>Where:</w:t>
      </w:r>
    </w:p>
    <w:p w:rsidR="00F70F95" w:rsidRDefault="000F3343" w:rsidP="00F70F95">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r>
              <m:rPr>
                <m:sty m:val="p"/>
              </m:rPr>
              <w:rPr>
                <w:rFonts w:ascii="Cambria Math" w:hAnsi="Cambria Math"/>
              </w:rPr>
              <m:t>-</m:t>
            </m:r>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num>
          <m:den>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den>
        </m:f>
      </m:oMath>
      <w:r w:rsidR="00F70F95" w:rsidRPr="00FD0BEC">
        <w:t xml:space="preserve"> </w:t>
      </w:r>
    </w:p>
    <w:p w:rsidR="00F70F95" w:rsidRPr="00E118B5" w:rsidRDefault="000F3343" w:rsidP="00F70F95">
      <w:pPr>
        <w:pStyle w:val="AERbulletlistfirststyle"/>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F70F95" w:rsidRPr="00E118B5">
        <w:t xml:space="preserve"> is the sum of the s-factors for all parameters, after application of the s-bank, as determined in equation (3) in the STPIS</w:t>
      </w:r>
    </w:p>
    <w:p w:rsidR="00F70F95" w:rsidRPr="00FD0BEC" w:rsidRDefault="000F3343" w:rsidP="00F70F95">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oMath>
      <w:r w:rsidR="00F70F95" w:rsidRPr="00FD0BEC">
        <w:t xml:space="preserve"> is </w:t>
      </w:r>
      <w:r w:rsidR="00F70F95">
        <w:t>Jemena's</w:t>
      </w:r>
      <w:r w:rsidR="00F70F95" w:rsidRPr="00FD0BEC">
        <w:t xml:space="preserve"> approved revenue in the 201</w:t>
      </w:r>
      <w:r w:rsidR="00F70F95">
        <w:t>6</w:t>
      </w:r>
      <w:r w:rsidR="00F70F95" w:rsidRPr="00FD0BEC">
        <w:t xml:space="preserve"> pricing proposal </w:t>
      </w:r>
    </w:p>
    <w:p w:rsidR="00F70F95" w:rsidRDefault="000F3343" w:rsidP="00F70F95">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oMath>
      <w:r w:rsidR="00F70F95" w:rsidRPr="00FD0BEC">
        <w:t xml:space="preserve"> is </w:t>
      </w:r>
      <w:r w:rsidR="00F70F95">
        <w:t>Jemena's</w:t>
      </w:r>
      <w:r w:rsidR="00F70F95" w:rsidRPr="00FD0BEC">
        <w:t xml:space="preserve"> allowable revenue </w:t>
      </w:r>
      <w:r w:rsidR="00F70F95">
        <w:t xml:space="preserve">in the </w:t>
      </w:r>
      <w:r w:rsidR="00F70F95" w:rsidRPr="00FD0BEC">
        <w:t>final determination 201</w:t>
      </w:r>
      <w:r w:rsidR="00F70F95">
        <w:t>7</w:t>
      </w:r>
      <w:r w:rsidR="00F70F95" w:rsidRPr="00FD0BEC">
        <w:t>.</w:t>
      </w:r>
    </w:p>
    <w:p w:rsidR="00F70F95" w:rsidRPr="00F70F95" w:rsidRDefault="00F70F95" w:rsidP="00055A4F">
      <w:pPr>
        <w:pStyle w:val="Heading3"/>
        <w:keepNext/>
        <w:ind w:left="1021" w:hanging="1021"/>
      </w:pPr>
      <w:bookmarkStart w:id="126" w:name="_Toc428779205"/>
      <w:bookmarkStart w:id="127" w:name="_Toc433536598"/>
      <w:bookmarkStart w:id="128" w:name="_Toc446588989"/>
      <w:r>
        <w:t>Closing out of the ESCV’s service performance scheme</w:t>
      </w:r>
      <w:bookmarkEnd w:id="126"/>
      <w:bookmarkEnd w:id="127"/>
      <w:bookmarkEnd w:id="128"/>
      <w:r>
        <w:t xml:space="preserve"> </w:t>
      </w:r>
    </w:p>
    <w:p w:rsidR="00F70F95" w:rsidRDefault="00F70F95" w:rsidP="00055A4F">
      <w:pPr>
        <w:keepNext/>
      </w:pPr>
      <w:r>
        <w:t>Prior to the operation of STPIS from 2011, Victorian distributors were subjected to the Essential Services Commission Victoria’s (ESCV)</w:t>
      </w:r>
      <w:r w:rsidR="005B692B">
        <w:t xml:space="preserve"> "S</w:t>
      </w:r>
      <w:r w:rsidR="0092774A">
        <w:t xml:space="preserve"> </w:t>
      </w:r>
      <w:r w:rsidR="005B692B">
        <w:t>Factor"</w:t>
      </w:r>
      <w:r>
        <w:t xml:space="preserve"> service performance scheme. </w:t>
      </w:r>
    </w:p>
    <w:p w:rsidR="00F70F95" w:rsidRDefault="00F70F95" w:rsidP="00F70F95">
      <w:r>
        <w:t xml:space="preserve">In order to close out the ESCV’s </w:t>
      </w:r>
      <w:r w:rsidR="00373928">
        <w:t xml:space="preserve">S Factor </w:t>
      </w:r>
      <w:r>
        <w:t>scheme, we required the final performance data of the distributors’ for 2010. As this information was not available in time for the final decision of the 2011–15 determination, a preliminary close out was factored into the current determination, requiring a final true-up when the final performance data are available. We will complete the close out calculation in the final decision for the 2016</w:t>
      </w:r>
      <w:r w:rsidRPr="00F70F95">
        <w:t>─</w:t>
      </w:r>
      <w:r>
        <w:t>20 regulatory control period. The calculation method on how to close out the ESCV’s scheme was set out in our 2011–15 determination.</w:t>
      </w:r>
      <w:r w:rsidR="00D87329">
        <w:t xml:space="preserve"> The close-out of the "S</w:t>
      </w:r>
      <w:r w:rsidR="0092774A">
        <w:t xml:space="preserve"> </w:t>
      </w:r>
      <w:r w:rsidR="00D87329">
        <w:t>Factor" service performance scheme will result in an adjustment to Jemena's revenue in 2016</w:t>
      </w:r>
      <w:r w:rsidR="00C70906">
        <w:t>–17</w:t>
      </w:r>
      <w:r w:rsidR="00D87329">
        <w:t>.</w:t>
      </w:r>
    </w:p>
    <w:p w:rsidR="00F70F95" w:rsidRDefault="00F70F95" w:rsidP="00F70F95">
      <w:r>
        <w:t xml:space="preserve">In 2012 the Victorian government amended the </w:t>
      </w:r>
      <w:r w:rsidRPr="001511CF">
        <w:rPr>
          <w:rStyle w:val="AERtextitalic"/>
        </w:rPr>
        <w:t>National Electricity (Victoria) Act 2005</w:t>
      </w:r>
      <w:r>
        <w:t xml:space="preserve"> to allow us the power to close out the ESCV’s </w:t>
      </w:r>
      <w:r w:rsidR="00373928">
        <w:t>S</w:t>
      </w:r>
      <w:r w:rsidR="00D87329">
        <w:t>–</w:t>
      </w:r>
      <w:r w:rsidR="00373928">
        <w:t>Factor</w:t>
      </w:r>
      <w:r>
        <w:t xml:space="preserve"> scheme.</w:t>
      </w:r>
      <w:r>
        <w:rPr>
          <w:rStyle w:val="FootnoteReference"/>
        </w:rPr>
        <w:footnoteReference w:id="33"/>
      </w:r>
    </w:p>
    <w:p w:rsidR="00F70F95" w:rsidRDefault="00F70F95" w:rsidP="00F70F95">
      <w:r>
        <w:t xml:space="preserve">The financial penalty accrued by Jemena in the 2006–10 regulatory control period in the allowable revenue for 2016–20 regulatory control period will be $3.81 million </w:t>
      </w:r>
      <w:r w:rsidR="0092774A">
        <w:br/>
      </w:r>
      <w:r>
        <w:t xml:space="preserve">($ 2015) in total. This amendment to the legislation does not alter or limit our approach to close out the scheme. </w:t>
      </w:r>
    </w:p>
    <w:p w:rsidR="00BC25AB" w:rsidRDefault="00F70F95" w:rsidP="00BC25AB">
      <w:r>
        <w:t>T</w:t>
      </w:r>
      <w:r w:rsidRPr="005F3431">
        <w:t xml:space="preserve">his number has been </w:t>
      </w:r>
      <w:r>
        <w:t xml:space="preserve">included in </w:t>
      </w:r>
      <w:r w:rsidRPr="005F3431">
        <w:t xml:space="preserve">the forecast revenue for the forthcoming regulatory control period by including the adjustment in the ‘revenue adjustments’ row of the </w:t>
      </w:r>
      <w:r>
        <w:t>post-tax revenue model</w:t>
      </w:r>
      <w:r w:rsidRPr="005F3431">
        <w:t>.</w:t>
      </w:r>
      <w:r w:rsidR="00373928">
        <w:rPr>
          <w:rStyle w:val="FootnoteReference"/>
        </w:rPr>
        <w:footnoteReference w:id="34"/>
      </w:r>
      <w:r w:rsidR="004A5551">
        <w:t xml:space="preserve"> </w:t>
      </w:r>
    </w:p>
    <w:sectPr w:rsidR="00BC25AB"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A9" w:rsidRPr="00290C63" w:rsidRDefault="00D94EA9" w:rsidP="00290C63">
      <w:r>
        <w:separator/>
      </w:r>
    </w:p>
    <w:p w:rsidR="00D94EA9" w:rsidRDefault="00D94EA9"/>
  </w:endnote>
  <w:endnote w:type="continuationSeparator" w:id="0">
    <w:p w:rsidR="00D94EA9" w:rsidRPr="00290C63" w:rsidRDefault="00D94EA9" w:rsidP="00290C63">
      <w:r>
        <w:continuationSeparator/>
      </w:r>
    </w:p>
    <w:p w:rsidR="00D94EA9" w:rsidRDefault="00D94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A9" w:rsidRPr="00290C63" w:rsidRDefault="00D94E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94EA9" w:rsidRDefault="00D94EA9"/>
  <w:p w:rsidR="00D94EA9" w:rsidRDefault="00D94EA9"/>
  <w:p w:rsidR="00D94EA9" w:rsidRDefault="00D94EA9"/>
  <w:p w:rsidR="00D94EA9" w:rsidRDefault="00D94EA9"/>
  <w:p w:rsidR="00D94EA9" w:rsidRDefault="00D94EA9"/>
  <w:p w:rsidR="00D94EA9" w:rsidRDefault="00D94EA9"/>
  <w:p w:rsidR="00D94EA9" w:rsidRDefault="00D94E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810199"/>
      <w:docPartObj>
        <w:docPartGallery w:val="Page Numbers (Bottom of Page)"/>
        <w:docPartUnique/>
      </w:docPartObj>
    </w:sdtPr>
    <w:sdtEndPr>
      <w:rPr>
        <w:noProof/>
        <w:szCs w:val="16"/>
      </w:rPr>
    </w:sdtEndPr>
    <w:sdtContent>
      <w:p w:rsidR="00D94EA9" w:rsidRPr="009B6F84" w:rsidRDefault="00D94EA9">
        <w:pPr>
          <w:pStyle w:val="Footer"/>
          <w:rPr>
            <w:sz w:val="20"/>
          </w:rPr>
        </w:pPr>
        <w:r>
          <w:fldChar w:fldCharType="begin"/>
        </w:r>
        <w:r>
          <w:instrText xml:space="preserve"> PAGE   \* MERGEFORMAT </w:instrText>
        </w:r>
        <w:r>
          <w:fldChar w:fldCharType="separate"/>
        </w:r>
        <w:r w:rsidR="000F3343">
          <w:rPr>
            <w:noProof/>
          </w:rPr>
          <w:t>11-13</w:t>
        </w:r>
        <w:r>
          <w:rPr>
            <w:noProof/>
          </w:rPr>
          <w:fldChar w:fldCharType="end"/>
        </w:r>
        <w:r>
          <w:rPr>
            <w:noProof/>
          </w:rPr>
          <w:t xml:space="preserve">  </w:t>
        </w:r>
        <w:r>
          <w:t xml:space="preserve">Attachment 11 – Service target performance incentive scheme </w:t>
        </w:r>
        <w:r w:rsidRPr="004523B2">
          <w:t xml:space="preserve">| </w:t>
        </w:r>
        <w:r>
          <w:t>Jemena distribution determination final decision</w:t>
        </w:r>
        <w:r w:rsidRPr="004523B2">
          <w:t xml:space="preserve"> 201</w:t>
        </w:r>
        <w:r>
          <w:t>6</w:t>
        </w:r>
        <w:r w:rsidRPr="004523B2">
          <w:t>–</w:t>
        </w:r>
        <w:r>
          <w:t>20</w:t>
        </w:r>
      </w:p>
    </w:sdtContent>
  </w:sdt>
  <w:p w:rsidR="00D94EA9" w:rsidRDefault="00D94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A9" w:rsidRPr="00290C63" w:rsidRDefault="00D94E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94EA9" w:rsidRDefault="00D94EA9">
    <w:pPr>
      <w:pStyle w:val="Footer"/>
    </w:pPr>
  </w:p>
  <w:p w:rsidR="00D94EA9" w:rsidRDefault="00D94EA9"/>
  <w:p w:rsidR="00D94EA9" w:rsidRDefault="00D94EA9"/>
  <w:p w:rsidR="00D94EA9" w:rsidRDefault="00D94EA9"/>
  <w:p w:rsidR="00D94EA9" w:rsidRDefault="00D94EA9"/>
  <w:p w:rsidR="00D94EA9" w:rsidRDefault="00D94EA9"/>
  <w:p w:rsidR="00D94EA9" w:rsidRDefault="00D94EA9"/>
  <w:p w:rsidR="00D94EA9" w:rsidRDefault="00D94EA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A9" w:rsidRPr="00290C63" w:rsidRDefault="00D94E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94EA9" w:rsidRDefault="00D94EA9"/>
  <w:p w:rsidR="00D94EA9" w:rsidRDefault="00D94EA9"/>
  <w:p w:rsidR="00D94EA9" w:rsidRDefault="00D94EA9"/>
  <w:p w:rsidR="00D94EA9" w:rsidRDefault="00D94EA9"/>
  <w:p w:rsidR="00D94EA9" w:rsidRDefault="00D94EA9"/>
  <w:p w:rsidR="00D94EA9" w:rsidRDefault="00D94EA9"/>
  <w:p w:rsidR="00D94EA9" w:rsidRDefault="00D94E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A9" w:rsidRPr="00290C63" w:rsidRDefault="00D94E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94EA9" w:rsidRDefault="00D94EA9">
    <w:pPr>
      <w:pStyle w:val="Footer"/>
    </w:pPr>
  </w:p>
  <w:p w:rsidR="00D94EA9" w:rsidRDefault="00D94EA9"/>
  <w:p w:rsidR="00D94EA9" w:rsidRDefault="00D94EA9"/>
  <w:p w:rsidR="00D94EA9" w:rsidRDefault="00D94EA9"/>
  <w:p w:rsidR="00D94EA9" w:rsidRDefault="00D94EA9"/>
  <w:p w:rsidR="00D94EA9" w:rsidRDefault="00D94EA9"/>
  <w:p w:rsidR="00D94EA9" w:rsidRDefault="00D94EA9"/>
  <w:p w:rsidR="00D94EA9" w:rsidRDefault="00D94E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A9" w:rsidRPr="00290C63" w:rsidRDefault="00D94EA9" w:rsidP="00290C63">
      <w:r>
        <w:separator/>
      </w:r>
    </w:p>
    <w:p w:rsidR="00D94EA9" w:rsidRDefault="00D94EA9"/>
  </w:footnote>
  <w:footnote w:type="continuationSeparator" w:id="0">
    <w:p w:rsidR="00D94EA9" w:rsidRPr="00290C63" w:rsidRDefault="00D94EA9" w:rsidP="00290C63">
      <w:r>
        <w:continuationSeparator/>
      </w:r>
    </w:p>
    <w:p w:rsidR="00D94EA9" w:rsidRDefault="00D94EA9"/>
  </w:footnote>
  <w:footnote w:id="1">
    <w:p w:rsidR="00D94EA9" w:rsidRDefault="00D94EA9" w:rsidP="00165B1D">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BF6549" w:rsidRDefault="00BF6549" w:rsidP="00BF6549">
      <w:pPr>
        <w:pStyle w:val="FootnoteText"/>
      </w:pPr>
      <w:r>
        <w:rPr>
          <w:rStyle w:val="FootnoteReference"/>
        </w:rPr>
        <w:footnoteRef/>
      </w:r>
      <w:r>
        <w:t xml:space="preserve"> </w:t>
      </w:r>
      <w:r>
        <w:tab/>
      </w:r>
      <w:r w:rsidRPr="00C91158">
        <w:t xml:space="preserve">AER, </w:t>
      </w:r>
      <w:r w:rsidRPr="00C91158">
        <w:rPr>
          <w:rStyle w:val="AERtextitalic"/>
        </w:rPr>
        <w:t>STPIS</w:t>
      </w:r>
      <w:r w:rsidRPr="00C91158">
        <w:t>, November 2009, cl</w:t>
      </w:r>
      <w:r>
        <w:t>.</w:t>
      </w:r>
      <w:r w:rsidRPr="00C91158">
        <w:t xml:space="preserve"> 2.1(d)(2).</w:t>
      </w:r>
    </w:p>
  </w:footnote>
  <w:footnote w:id="3">
    <w:p w:rsidR="00BF6549" w:rsidRDefault="00BF6549">
      <w:pPr>
        <w:pStyle w:val="FootnoteText"/>
      </w:pPr>
      <w:r>
        <w:rPr>
          <w:rStyle w:val="FootnoteReference"/>
        </w:rPr>
        <w:footnoteRef/>
      </w:r>
      <w:r>
        <w:t xml:space="preserve"> </w:t>
      </w:r>
      <w:r>
        <w:tab/>
        <w:t xml:space="preserve">AER, </w:t>
      </w:r>
      <w:r w:rsidRPr="00682A8C">
        <w:rPr>
          <w:rStyle w:val="AERtextitalic"/>
        </w:rPr>
        <w:t>STPIS</w:t>
      </w:r>
      <w:r>
        <w:t>, November 2009, cl. 2.1(d)(3).</w:t>
      </w:r>
    </w:p>
  </w:footnote>
  <w:footnote w:id="4">
    <w:p w:rsidR="00D94EA9" w:rsidRDefault="00D94EA9" w:rsidP="00165B1D">
      <w:pPr>
        <w:pStyle w:val="FootnoteText"/>
      </w:pPr>
      <w:r>
        <w:rPr>
          <w:rStyle w:val="FootnoteReference"/>
        </w:rPr>
        <w:footnoteRef/>
      </w:r>
      <w:r>
        <w:t xml:space="preserve"> </w:t>
      </w:r>
      <w:r>
        <w:tab/>
      </w:r>
      <w:r w:rsidRPr="00D97269">
        <w:t>The VCR represents, in dollar terms, the willingness of customers to pay for the reliable supply of electricity. The values produced are used as a proxy in this way, and can be applied for use in revenue regulation, planning and operational purposes in the NEM. In network planning, the VCR is used by AEMO to assess the economic merits of carrying out additional investment in the electricity network. It is therefore important the VCR figures accurately reflect the value of reliability across a range of customers.</w:t>
      </w:r>
    </w:p>
  </w:footnote>
  <w:footnote w:id="5">
    <w:p w:rsidR="00D94EA9" w:rsidRDefault="00D94EA9" w:rsidP="003330A3">
      <w:pPr>
        <w:pStyle w:val="FootnoteText"/>
      </w:pPr>
      <w:r>
        <w:rPr>
          <w:rStyle w:val="FootnoteReference"/>
        </w:rPr>
        <w:footnoteRef/>
      </w:r>
      <w:r>
        <w:t xml:space="preserve"> </w:t>
      </w:r>
      <w:r>
        <w:tab/>
        <w:t>Jemena</w:t>
      </w:r>
      <w:r w:rsidRPr="003330A3">
        <w:rPr>
          <w:rStyle w:val="AERtextitalic"/>
        </w:rPr>
        <w:t>, 2016-20 Electricity Distribution Price Review Regulatory Proposal Revocation and substitution submission Attachment 3-1 Incentive schemes</w:t>
      </w:r>
      <w:r>
        <w:t>, 6 January 2016,</w:t>
      </w:r>
      <w:r w:rsidRPr="00F852F7">
        <w:t xml:space="preserve"> p. </w:t>
      </w:r>
      <w:r>
        <w:t>19 [81</w:t>
      </w:r>
      <w:r w:rsidRPr="00F852F7">
        <w:t>].</w:t>
      </w:r>
    </w:p>
  </w:footnote>
  <w:footnote w:id="6">
    <w:p w:rsidR="00BF6549" w:rsidRDefault="00BF6549">
      <w:pPr>
        <w:pStyle w:val="FootnoteText"/>
      </w:pPr>
      <w:r>
        <w:rPr>
          <w:rStyle w:val="FootnoteReference"/>
        </w:rPr>
        <w:footnoteRef/>
      </w:r>
      <w:r>
        <w:t xml:space="preserve"> </w:t>
      </w:r>
      <w:r>
        <w:tab/>
        <w:t xml:space="preserve">AER, </w:t>
      </w:r>
      <w:r w:rsidRPr="00682A8C">
        <w:rPr>
          <w:rStyle w:val="AERtextitalic"/>
        </w:rPr>
        <w:t>STPIS</w:t>
      </w:r>
      <w:r>
        <w:t>, November 2009, cl. 2.1(d)(4).</w:t>
      </w:r>
    </w:p>
  </w:footnote>
  <w:footnote w:id="7">
    <w:p w:rsidR="00D94EA9" w:rsidRDefault="00D94EA9" w:rsidP="00165B1D">
      <w:pPr>
        <w:pStyle w:val="FootnoteText"/>
      </w:pPr>
      <w:r>
        <w:rPr>
          <w:rStyle w:val="FootnoteReference"/>
        </w:rPr>
        <w:footnoteRef/>
      </w:r>
      <w:r>
        <w:t xml:space="preserve"> </w:t>
      </w:r>
      <w:r>
        <w:tab/>
      </w:r>
      <w:r w:rsidRPr="00F852F7">
        <w:t xml:space="preserve">Jemena Electricity Networks (Vic) Ltd, </w:t>
      </w:r>
      <w:r w:rsidRPr="00F852F7">
        <w:rPr>
          <w:rStyle w:val="AERtextitalic"/>
        </w:rPr>
        <w:t>2016-20 Electricity Distribution Price Review Regulatory Proposal</w:t>
      </w:r>
      <w:r>
        <w:rPr>
          <w:rStyle w:val="AERtextitalic"/>
        </w:rPr>
        <w:t xml:space="preserve">, </w:t>
      </w:r>
      <w:r w:rsidRPr="00F70F95">
        <w:rPr>
          <w:rStyle w:val="AERtextitalic"/>
        </w:rPr>
        <w:t>Revocation and substitution submission</w:t>
      </w:r>
      <w:r>
        <w:rPr>
          <w:rStyle w:val="AERtextitalic"/>
        </w:rPr>
        <w:t>,</w:t>
      </w:r>
      <w:r w:rsidRPr="00F852F7">
        <w:rPr>
          <w:rStyle w:val="AERtextitalic"/>
        </w:rPr>
        <w:t xml:space="preserve"> Attachment </w:t>
      </w:r>
      <w:r>
        <w:rPr>
          <w:rStyle w:val="AERtextitalic"/>
        </w:rPr>
        <w:t>3</w:t>
      </w:r>
      <w:r w:rsidRPr="00F852F7">
        <w:rPr>
          <w:rStyle w:val="AERtextitalic"/>
        </w:rPr>
        <w:t>-</w:t>
      </w:r>
      <w:r>
        <w:rPr>
          <w:rStyle w:val="AERtextitalic"/>
        </w:rPr>
        <w:t>1</w:t>
      </w:r>
      <w:r w:rsidRPr="00F852F7">
        <w:rPr>
          <w:rStyle w:val="AERtextitalic"/>
        </w:rPr>
        <w:t xml:space="preserve"> Incentive Schemes</w:t>
      </w:r>
      <w:r w:rsidRPr="00F852F7">
        <w:t xml:space="preserve">, </w:t>
      </w:r>
      <w:r>
        <w:t>6 January 2016</w:t>
      </w:r>
      <w:r w:rsidRPr="00F852F7">
        <w:t xml:space="preserve">, p. </w:t>
      </w:r>
      <w:r>
        <w:t>19 [75</w:t>
      </w:r>
      <w:r w:rsidRPr="00F852F7">
        <w:t>].</w:t>
      </w:r>
    </w:p>
  </w:footnote>
  <w:footnote w:id="8">
    <w:p w:rsidR="00D94EA9" w:rsidRDefault="00D94EA9" w:rsidP="00CE519B">
      <w:pPr>
        <w:pStyle w:val="FootnoteText"/>
      </w:pPr>
      <w:r>
        <w:rPr>
          <w:rStyle w:val="FootnoteReference"/>
        </w:rPr>
        <w:footnoteRef/>
      </w:r>
      <w:r>
        <w:t xml:space="preserve"> </w:t>
      </w:r>
      <w:r>
        <w:tab/>
      </w:r>
      <w:r w:rsidRPr="00F852F7">
        <w:t xml:space="preserve">Jemena Electricity Networks (Vic) Ltd, </w:t>
      </w:r>
      <w:r w:rsidRPr="00F852F7">
        <w:rPr>
          <w:rStyle w:val="AERtextitalic"/>
        </w:rPr>
        <w:t>2016-20 Electricity Distribution Price Review Regulatory Proposal</w:t>
      </w:r>
      <w:r>
        <w:rPr>
          <w:rStyle w:val="AERtextitalic"/>
        </w:rPr>
        <w:t xml:space="preserve">, </w:t>
      </w:r>
      <w:r w:rsidRPr="00F70F95">
        <w:rPr>
          <w:rStyle w:val="AERtextitalic"/>
        </w:rPr>
        <w:t>Revocation and substitution submission</w:t>
      </w:r>
      <w:r>
        <w:rPr>
          <w:rStyle w:val="AERtextitalic"/>
        </w:rPr>
        <w:t>,</w:t>
      </w:r>
      <w:r w:rsidRPr="00F852F7">
        <w:rPr>
          <w:rStyle w:val="AERtextitalic"/>
        </w:rPr>
        <w:t xml:space="preserve"> Attachment </w:t>
      </w:r>
      <w:r>
        <w:rPr>
          <w:rStyle w:val="AERtextitalic"/>
        </w:rPr>
        <w:t>3</w:t>
      </w:r>
      <w:r w:rsidRPr="00F852F7">
        <w:rPr>
          <w:rStyle w:val="AERtextitalic"/>
        </w:rPr>
        <w:t>-</w:t>
      </w:r>
      <w:r>
        <w:rPr>
          <w:rStyle w:val="AERtextitalic"/>
        </w:rPr>
        <w:t>1</w:t>
      </w:r>
      <w:r w:rsidRPr="00F852F7">
        <w:rPr>
          <w:rStyle w:val="AERtextitalic"/>
        </w:rPr>
        <w:t xml:space="preserve"> Incentive Schemes</w:t>
      </w:r>
      <w:r w:rsidRPr="00F852F7">
        <w:t xml:space="preserve">, </w:t>
      </w:r>
      <w:r>
        <w:t>6 January 2016</w:t>
      </w:r>
      <w:r w:rsidRPr="00F852F7">
        <w:t xml:space="preserve">, p. </w:t>
      </w:r>
      <w:r>
        <w:t>19 [82</w:t>
      </w:r>
      <w:r w:rsidRPr="00F852F7">
        <w:t>].</w:t>
      </w:r>
    </w:p>
  </w:footnote>
  <w:footnote w:id="9">
    <w:p w:rsidR="00D94EA9" w:rsidRDefault="00D94EA9">
      <w:pPr>
        <w:pStyle w:val="FootnoteText"/>
      </w:pPr>
      <w:r>
        <w:rPr>
          <w:rStyle w:val="FootnoteReference"/>
        </w:rPr>
        <w:footnoteRef/>
      </w:r>
      <w:r>
        <w:t xml:space="preserve"> </w:t>
      </w:r>
      <w:r>
        <w:tab/>
      </w:r>
      <w:r w:rsidRPr="003330A3">
        <w:t xml:space="preserve">Jemena Electricity Networks (Vic) Ltd, </w:t>
      </w:r>
      <w:r w:rsidRPr="00086E7E">
        <w:rPr>
          <w:rStyle w:val="AERtextitalic"/>
        </w:rPr>
        <w:t>2016-20 Electricity Distribution Price Review Regulatory Proposal, Revocation and substitution submission</w:t>
      </w:r>
      <w:r w:rsidRPr="003330A3">
        <w:t xml:space="preserve">, </w:t>
      </w:r>
      <w:r w:rsidRPr="00086E7E">
        <w:rPr>
          <w:rStyle w:val="AERtextitalic"/>
        </w:rPr>
        <w:t>Attachment 3-1 Incentive Schemes</w:t>
      </w:r>
      <w:r>
        <w:t>, 6 January 2016, p. 19 [7</w:t>
      </w:r>
      <w:r w:rsidRPr="003330A3">
        <w:t>2].</w:t>
      </w:r>
    </w:p>
  </w:footnote>
  <w:footnote w:id="10">
    <w:p w:rsidR="00D94EA9" w:rsidRDefault="00D94EA9" w:rsidP="00F70F95">
      <w:pPr>
        <w:pStyle w:val="FootnoteText"/>
      </w:pPr>
      <w:r>
        <w:rPr>
          <w:rStyle w:val="FootnoteReference"/>
        </w:rPr>
        <w:footnoteRef/>
      </w:r>
      <w:r>
        <w:t xml:space="preserve"> </w:t>
      </w:r>
      <w:r>
        <w:tab/>
        <w:t>NER, cl. 6.12.1(a).</w:t>
      </w:r>
    </w:p>
  </w:footnote>
  <w:footnote w:id="11">
    <w:p w:rsidR="00D94EA9" w:rsidRDefault="00D94EA9" w:rsidP="00F70F95">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2">
    <w:p w:rsidR="00D94EA9" w:rsidRDefault="00D94EA9" w:rsidP="00F70F95">
      <w:pPr>
        <w:pStyle w:val="FootnoteText"/>
      </w:pPr>
      <w:r>
        <w:rPr>
          <w:rStyle w:val="FootnoteReference"/>
        </w:rPr>
        <w:footnoteRef/>
      </w:r>
      <w:r>
        <w:t xml:space="preserve"> </w:t>
      </w:r>
      <w:r>
        <w:tab/>
        <w:t xml:space="preserve">AER, </w:t>
      </w:r>
      <w:r w:rsidRPr="003D6AD9">
        <w:rPr>
          <w:rStyle w:val="AERtextitalic"/>
        </w:rPr>
        <w:t>Final Framew</w:t>
      </w:r>
      <w:r>
        <w:rPr>
          <w:rStyle w:val="AERtextitalic"/>
        </w:rPr>
        <w:t>ork and approach for Victorian distributors commencing 1 July 2016</w:t>
      </w:r>
      <w:r>
        <w:t xml:space="preserve">, October </w:t>
      </w:r>
      <w:r w:rsidRPr="003D6AD9">
        <w:t>2014</w:t>
      </w:r>
      <w:r>
        <w:t>, pp. 96–97.</w:t>
      </w:r>
    </w:p>
  </w:footnote>
  <w:footnote w:id="13">
    <w:p w:rsidR="00D94EA9" w:rsidRDefault="00D94EA9" w:rsidP="00F70F95">
      <w:pPr>
        <w:pStyle w:val="FootnoteText"/>
      </w:pPr>
      <w:r>
        <w:rPr>
          <w:rStyle w:val="FootnoteReference"/>
        </w:rPr>
        <w:footnoteRef/>
      </w:r>
      <w:r>
        <w:t xml:space="preserve"> </w:t>
      </w:r>
      <w:r>
        <w:tab/>
        <w:t>NER, cl. 6.6.2(b)(3)(iv).</w:t>
      </w:r>
    </w:p>
  </w:footnote>
  <w:footnote w:id="14">
    <w:p w:rsidR="00D94EA9" w:rsidRDefault="00D94EA9" w:rsidP="00F70F95">
      <w:pPr>
        <w:pStyle w:val="FootnoteText"/>
      </w:pPr>
      <w:r>
        <w:rPr>
          <w:rStyle w:val="FootnoteReference"/>
        </w:rPr>
        <w:footnoteRef/>
      </w:r>
      <w:r>
        <w:t xml:space="preserve"> </w:t>
      </w:r>
      <w:r>
        <w:tab/>
        <w:t xml:space="preserve">AER, </w:t>
      </w:r>
      <w:r w:rsidRPr="008A5AB3">
        <w:rPr>
          <w:rStyle w:val="AERtextitalic"/>
        </w:rPr>
        <w:t>STPIS</w:t>
      </w:r>
      <w:r>
        <w:t>, November 2009, cl. 1.5(b)(5).</w:t>
      </w:r>
    </w:p>
  </w:footnote>
  <w:footnote w:id="15">
    <w:p w:rsidR="00D94EA9" w:rsidRDefault="00D94EA9">
      <w:pPr>
        <w:pStyle w:val="FootnoteText"/>
      </w:pPr>
      <w:r>
        <w:rPr>
          <w:rStyle w:val="FootnoteReference"/>
        </w:rPr>
        <w:footnoteRef/>
      </w:r>
      <w:r>
        <w:t xml:space="preserve"> </w:t>
      </w:r>
      <w:r>
        <w:tab/>
      </w:r>
      <w:r w:rsidRPr="00364227">
        <w:t xml:space="preserve">AER, </w:t>
      </w:r>
      <w:r w:rsidRPr="00086E7E">
        <w:rPr>
          <w:rStyle w:val="AERtextitalic"/>
        </w:rPr>
        <w:t>Preliminary Decision Jemena distribution determination 2016-2020, Attachment 11 – Service target performance incentive scheme</w:t>
      </w:r>
      <w:r w:rsidRPr="00364227">
        <w:t>, October 2015.</w:t>
      </w:r>
    </w:p>
  </w:footnote>
  <w:footnote w:id="16">
    <w:p w:rsidR="00D94EA9" w:rsidRDefault="00D94EA9">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Appendix D, pp. 35–37.</w:t>
      </w:r>
    </w:p>
  </w:footnote>
  <w:footnote w:id="17">
    <w:p w:rsidR="00D94EA9" w:rsidRDefault="00D94EA9" w:rsidP="00F70F95">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8">
    <w:p w:rsidR="00D94EA9" w:rsidRDefault="00D94EA9">
      <w:pPr>
        <w:pStyle w:val="FootnoteText"/>
      </w:pPr>
      <w:r>
        <w:rPr>
          <w:rStyle w:val="FootnoteReference"/>
        </w:rPr>
        <w:footnoteRef/>
      </w:r>
      <w:r>
        <w:t xml:space="preserve"> </w:t>
      </w:r>
      <w:r>
        <w:tab/>
      </w:r>
      <w:r w:rsidRPr="00364227">
        <w:t xml:space="preserve">Jemena Electricity Networks (Vic) Ltd, </w:t>
      </w:r>
      <w:r w:rsidRPr="00086E7E">
        <w:rPr>
          <w:rStyle w:val="AERtextitalic"/>
        </w:rPr>
        <w:t>2016-20 Electricity Distribution Price Review Regulatory Proposal, Revocation and substitution submission, Attachment 3-1 Incentive Schemes</w:t>
      </w:r>
      <w:r w:rsidRPr="00364227">
        <w:t>, 6 January 2016, p. 19 [</w:t>
      </w:r>
      <w:r>
        <w:t>72</w:t>
      </w:r>
      <w:r w:rsidRPr="00364227">
        <w:t>].</w:t>
      </w:r>
    </w:p>
  </w:footnote>
  <w:footnote w:id="19">
    <w:p w:rsidR="00D94EA9" w:rsidRDefault="00D94EA9" w:rsidP="00F70F95">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r>
        <w:t xml:space="preserve">. </w:t>
      </w:r>
      <w:r w:rsidRPr="00A81FC3">
        <w:t xml:space="preserve">Our preliminary decision incorrectly utilised </w:t>
      </w:r>
      <w:r>
        <w:t>Jemena</w:t>
      </w:r>
      <w:r w:rsidRPr="00A81FC3">
        <w:t xml:space="preserve">'s total energy consumption instead of average energy consumption to calculate the incentive rates. This final decision has corrected this error by using </w:t>
      </w:r>
      <w:r>
        <w:t>Jemena'</w:t>
      </w:r>
      <w:r w:rsidRPr="00A81FC3">
        <w:t>s average energy consumption to calculate the incentive rates.</w:t>
      </w:r>
    </w:p>
  </w:footnote>
  <w:footnote w:id="20">
    <w:p w:rsidR="00D94EA9" w:rsidRDefault="00D94EA9" w:rsidP="00F70F95">
      <w:pPr>
        <w:pStyle w:val="FootnoteText"/>
      </w:pPr>
      <w:r>
        <w:rPr>
          <w:rStyle w:val="FootnoteReference"/>
        </w:rPr>
        <w:footnoteRef/>
      </w:r>
      <w:r>
        <w:t xml:space="preserve"> </w:t>
      </w:r>
      <w:r>
        <w:tab/>
        <w:t xml:space="preserve">AER, </w:t>
      </w:r>
      <w:r w:rsidRPr="000A1C5A">
        <w:rPr>
          <w:rStyle w:val="AERtextitalic"/>
        </w:rPr>
        <w:t>STPIS</w:t>
      </w:r>
      <w:r w:rsidRPr="000A1C5A">
        <w:t>, November 2009</w:t>
      </w:r>
      <w:r w:rsidRPr="005D44E7">
        <w:t>.</w:t>
      </w:r>
    </w:p>
  </w:footnote>
  <w:footnote w:id="21">
    <w:p w:rsidR="00D94EA9" w:rsidRDefault="00D94EA9" w:rsidP="00054887">
      <w:pPr>
        <w:pStyle w:val="FootnoteText"/>
      </w:pPr>
      <w:r>
        <w:rPr>
          <w:rStyle w:val="FootnoteReference"/>
        </w:rPr>
        <w:footnoteRef/>
      </w:r>
      <w:r>
        <w:t xml:space="preserve"> </w:t>
      </w:r>
      <w:r>
        <w:tab/>
        <w:t>Victorian Department of Economic Development, Jobs, Transport &amp; Resources</w:t>
      </w:r>
      <w:r>
        <w:rPr>
          <w:rStyle w:val="Emphasis"/>
        </w:rPr>
        <w:t>, Submission to Victorian electricity distribution pricing review – 2016 to 2020</w:t>
      </w:r>
      <w:r>
        <w:t xml:space="preserve">, 14 January 2016, p. 8.  </w:t>
      </w:r>
    </w:p>
  </w:footnote>
  <w:footnote w:id="22">
    <w:p w:rsidR="00D94EA9" w:rsidRDefault="00D94EA9" w:rsidP="00054887">
      <w:pPr>
        <w:pStyle w:val="FootnoteText"/>
      </w:pPr>
      <w:r>
        <w:rPr>
          <w:rStyle w:val="FootnoteReference"/>
        </w:rPr>
        <w:footnoteRef/>
      </w:r>
      <w:r>
        <w:t xml:space="preserve"> </w:t>
      </w:r>
      <w:r>
        <w:tab/>
        <w:t>There is currently no certainty on the scope, implementation timeframe or the magnitude of the program.</w:t>
      </w:r>
    </w:p>
  </w:footnote>
  <w:footnote w:id="23">
    <w:p w:rsidR="00D94EA9" w:rsidRDefault="00D94EA9" w:rsidP="00054887">
      <w:pPr>
        <w:pStyle w:val="FootnoteText"/>
      </w:pPr>
      <w:r>
        <w:rPr>
          <w:rStyle w:val="FootnoteReference"/>
        </w:rPr>
        <w:footnoteRef/>
      </w:r>
      <w:r>
        <w:t xml:space="preserve"> </w:t>
      </w:r>
      <w:r>
        <w:tab/>
        <w:t xml:space="preserve">Jemena Electricity Networks, </w:t>
      </w:r>
      <w:r>
        <w:rPr>
          <w:rStyle w:val="AERtextitalic"/>
        </w:rPr>
        <w:t>Victorian 2016-2020 Electricity Distribution Process Review Submission to the Victorian EDPR Process,</w:t>
      </w:r>
      <w:r>
        <w:t xml:space="preserve"> 4 February 2016, pp. 18–20.</w:t>
      </w:r>
    </w:p>
  </w:footnote>
  <w:footnote w:id="24">
    <w:p w:rsidR="00D94EA9" w:rsidRDefault="00D94EA9" w:rsidP="00054887">
      <w:pPr>
        <w:pStyle w:val="FootnoteText"/>
      </w:pPr>
      <w:r>
        <w:rPr>
          <w:rStyle w:val="FootnoteReference"/>
        </w:rPr>
        <w:footnoteRef/>
      </w:r>
      <w:r>
        <w:t xml:space="preserve"> </w:t>
      </w:r>
      <w:r>
        <w:tab/>
        <w:t xml:space="preserve">AER, </w:t>
      </w:r>
      <w:r>
        <w:rPr>
          <w:rStyle w:val="AERtextitalic"/>
        </w:rPr>
        <w:t>STPIS</w:t>
      </w:r>
      <w:r>
        <w:t xml:space="preserve">, November 2009, cl. 3.2.1. </w:t>
      </w:r>
    </w:p>
  </w:footnote>
  <w:footnote w:id="25">
    <w:p w:rsidR="00D94EA9" w:rsidRPr="00513A77" w:rsidRDefault="00D94EA9" w:rsidP="00A81FC3">
      <w:pPr>
        <w:pStyle w:val="FootnoteText"/>
        <w:rPr>
          <w:rFonts w:ascii="Gautami" w:hAnsi="Gautami" w:cs="Gautami"/>
          <w:szCs w:val="16"/>
        </w:rPr>
      </w:pPr>
      <w:r w:rsidRPr="00513A77">
        <w:rPr>
          <w:rStyle w:val="FootnoteReference"/>
          <w:rFonts w:ascii="Gautami" w:hAnsi="Gautami" w:cs="Gautami"/>
          <w:szCs w:val="16"/>
        </w:rPr>
        <w:footnoteRef/>
      </w:r>
      <w:r w:rsidRPr="00513A77">
        <w:rPr>
          <w:rFonts w:ascii="Gautami" w:hAnsi="Gautami" w:cs="Gautami"/>
          <w:szCs w:val="16"/>
        </w:rPr>
        <w:t xml:space="preserve"> </w:t>
      </w:r>
      <w:r w:rsidRPr="00513A77">
        <w:rPr>
          <w:rFonts w:ascii="Gautami" w:hAnsi="Gautami" w:cs="Gautami"/>
          <w:szCs w:val="16"/>
        </w:rPr>
        <w:tab/>
      </w:r>
      <w:r w:rsidRPr="0086428F">
        <w:t xml:space="preserve">Deloitte, </w:t>
      </w:r>
      <w:r w:rsidRPr="00872F80">
        <w:rPr>
          <w:rStyle w:val="AERtextitalic"/>
        </w:rPr>
        <w:t>Advanced metering infrastructure cost benefit analysis</w:t>
      </w:r>
      <w:r w:rsidRPr="0086428F">
        <w:t>, August 2011</w:t>
      </w:r>
      <w:r>
        <w:t>.</w:t>
      </w:r>
    </w:p>
  </w:footnote>
  <w:footnote w:id="26">
    <w:p w:rsidR="00D94EA9" w:rsidRDefault="00D94EA9" w:rsidP="00A81FC3">
      <w:pPr>
        <w:pStyle w:val="FootnoteText"/>
      </w:pPr>
      <w:r>
        <w:rPr>
          <w:rStyle w:val="FootnoteReference"/>
        </w:rPr>
        <w:footnoteRef/>
      </w:r>
      <w:r>
        <w:t xml:space="preserve"> </w:t>
      </w:r>
      <w:r>
        <w:tab/>
        <w:t xml:space="preserve">Deloitte, </w:t>
      </w:r>
      <w:r w:rsidRPr="00872F80">
        <w:rPr>
          <w:rStyle w:val="AERtextitalic"/>
        </w:rPr>
        <w:t>Advanced metering infrastructure cost benefit analysis</w:t>
      </w:r>
      <w:r>
        <w:t>, 2 August 2011, p. 65; Available at ttp://www.smartmeters.vic.gov.au/about-smartmeters/ reports-and-consultations/advanced-metering-infrastructure-cost-benefit-analysis.</w:t>
      </w:r>
    </w:p>
  </w:footnote>
  <w:footnote w:id="27">
    <w:p w:rsidR="00D94EA9" w:rsidRDefault="00D94EA9" w:rsidP="00A81FC3">
      <w:pPr>
        <w:pStyle w:val="FootnoteText"/>
      </w:pPr>
      <w:r>
        <w:rPr>
          <w:rStyle w:val="FootnoteReference"/>
        </w:rPr>
        <w:footnoteRef/>
      </w:r>
      <w:r>
        <w:t xml:space="preserve"> </w:t>
      </w:r>
      <w:r>
        <w:tab/>
        <w:t>Powercor,</w:t>
      </w:r>
      <w:r w:rsidRPr="00253083">
        <w:t xml:space="preserve"> </w:t>
      </w:r>
      <w:r w:rsidRPr="009E723C">
        <w:rPr>
          <w:rStyle w:val="AERtextitalic"/>
        </w:rPr>
        <w:t>Further submission to the AER regarding preliminary determination</w:t>
      </w:r>
      <w:r>
        <w:t>, 4 February 2016, pp. 8–9.</w:t>
      </w:r>
    </w:p>
  </w:footnote>
  <w:footnote w:id="28">
    <w:p w:rsidR="00D94EA9" w:rsidRDefault="00D94EA9" w:rsidP="00F70F95">
      <w:pPr>
        <w:pStyle w:val="FootnoteText"/>
      </w:pPr>
      <w:r>
        <w:rPr>
          <w:rStyle w:val="FootnoteReference"/>
        </w:rPr>
        <w:footnoteRef/>
      </w:r>
      <w:r>
        <w:t xml:space="preserve"> </w:t>
      </w:r>
      <w:r>
        <w:tab/>
        <w:t>"Raw" refers to the S-factor prior to any adjustments.</w:t>
      </w:r>
    </w:p>
  </w:footnote>
  <w:footnote w:id="29">
    <w:p w:rsidR="00D94EA9" w:rsidRDefault="00D94EA9" w:rsidP="00F70F95">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30">
    <w:p w:rsidR="00D94EA9" w:rsidRDefault="00D94EA9" w:rsidP="00F70F95">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31">
    <w:p w:rsidR="00D94EA9" w:rsidRDefault="00D94EA9" w:rsidP="00F70F95">
      <w:pPr>
        <w:pStyle w:val="FootnoteText"/>
      </w:pPr>
      <w:r>
        <w:rPr>
          <w:rStyle w:val="FootnoteReference"/>
        </w:rPr>
        <w:footnoteRef/>
      </w:r>
      <w:r>
        <w:t xml:space="preserve"> </w:t>
      </w:r>
      <w:r>
        <w:tab/>
      </w:r>
      <w:r w:rsidRPr="00E451B2">
        <w:t>Defined as the percentage change between the annual revenue requirement in the last regulatory year of the previous regulatory control period and the annual revenue requirement for first regulatory year of the next regulatory control period taken from the post-tax revenue model, AER, STPIS, November 2009, Appendix C, pp. 33–34</w:t>
      </w:r>
      <w:r>
        <w:t xml:space="preserve">. </w:t>
      </w:r>
    </w:p>
  </w:footnote>
  <w:footnote w:id="32">
    <w:p w:rsidR="00D94EA9" w:rsidRDefault="00D94EA9" w:rsidP="00F70F95">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33">
    <w:p w:rsidR="00D94EA9" w:rsidRDefault="00D94EA9" w:rsidP="00F70F95">
      <w:pPr>
        <w:pStyle w:val="FootnoteText"/>
      </w:pPr>
      <w:r>
        <w:rPr>
          <w:rStyle w:val="FootnoteReference"/>
        </w:rPr>
        <w:footnoteRef/>
      </w:r>
      <w:r>
        <w:t xml:space="preserve"> </w:t>
      </w:r>
      <w:r>
        <w:tab/>
      </w:r>
      <w:r w:rsidRPr="00C72288">
        <w:rPr>
          <w:rStyle w:val="AERtextitalic"/>
        </w:rPr>
        <w:t>Energy Legislation Amendment Act 2012 (Victoria)</w:t>
      </w:r>
      <w:r>
        <w:t>, s. 10.</w:t>
      </w:r>
    </w:p>
  </w:footnote>
  <w:footnote w:id="34">
    <w:p w:rsidR="00D94EA9" w:rsidRDefault="00D94EA9">
      <w:pPr>
        <w:pStyle w:val="FootnoteText"/>
      </w:pPr>
      <w:r>
        <w:rPr>
          <w:rStyle w:val="FootnoteReference"/>
        </w:rPr>
        <w:footnoteRef/>
      </w:r>
      <w:r>
        <w:t xml:space="preserve"> </w:t>
      </w:r>
      <w:r>
        <w:tab/>
        <w:t>NER, c</w:t>
      </w:r>
      <w:r w:rsidR="00BF6549">
        <w:t>l</w:t>
      </w:r>
      <w:r>
        <w:t>l</w:t>
      </w:r>
      <w:r w:rsidR="00BF6549">
        <w:t>.</w:t>
      </w:r>
      <w:r>
        <w:t xml:space="preserve"> 6.4.3(a)(5) and (b)(5) as amended by Division 4 of Part 3 to the </w:t>
      </w:r>
      <w:r w:rsidRPr="0092774A">
        <w:rPr>
          <w:rStyle w:val="AERtextitalic"/>
        </w:rPr>
        <w:t>National Electricity (Victoria) Act 2005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A9" w:rsidRDefault="00D94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128CCF2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76\AER15 4371  AER - Final decision AusNet distribution determination - Attachment 11 - Service target performance incentive scheme - April 2016.DOCX"/>
  </w:docVars>
  <w:rsids>
    <w:rsidRoot w:val="00961A4A"/>
    <w:rsid w:val="000051DC"/>
    <w:rsid w:val="0000658F"/>
    <w:rsid w:val="0001507B"/>
    <w:rsid w:val="00020016"/>
    <w:rsid w:val="00021202"/>
    <w:rsid w:val="00021C2B"/>
    <w:rsid w:val="0002498B"/>
    <w:rsid w:val="0002517F"/>
    <w:rsid w:val="00026187"/>
    <w:rsid w:val="000263DA"/>
    <w:rsid w:val="000266FC"/>
    <w:rsid w:val="000273B3"/>
    <w:rsid w:val="00027E2D"/>
    <w:rsid w:val="0003578C"/>
    <w:rsid w:val="00044DA3"/>
    <w:rsid w:val="000474DF"/>
    <w:rsid w:val="00054887"/>
    <w:rsid w:val="00055A4F"/>
    <w:rsid w:val="00055A67"/>
    <w:rsid w:val="00063247"/>
    <w:rsid w:val="0006624E"/>
    <w:rsid w:val="00070F9F"/>
    <w:rsid w:val="0007137B"/>
    <w:rsid w:val="00073B74"/>
    <w:rsid w:val="00076416"/>
    <w:rsid w:val="000777DE"/>
    <w:rsid w:val="000805A8"/>
    <w:rsid w:val="0008190B"/>
    <w:rsid w:val="00082140"/>
    <w:rsid w:val="000836D9"/>
    <w:rsid w:val="00085663"/>
    <w:rsid w:val="00085EBF"/>
    <w:rsid w:val="00086E7E"/>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1989"/>
    <w:rsid w:val="000F3343"/>
    <w:rsid w:val="00100EA2"/>
    <w:rsid w:val="00101AA1"/>
    <w:rsid w:val="00102338"/>
    <w:rsid w:val="00104566"/>
    <w:rsid w:val="00104FF6"/>
    <w:rsid w:val="00105E9D"/>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5B1D"/>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2F3E"/>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30A3"/>
    <w:rsid w:val="00334C8D"/>
    <w:rsid w:val="003378BD"/>
    <w:rsid w:val="003424EA"/>
    <w:rsid w:val="00342C2F"/>
    <w:rsid w:val="003436EB"/>
    <w:rsid w:val="00343A18"/>
    <w:rsid w:val="00345744"/>
    <w:rsid w:val="003518B3"/>
    <w:rsid w:val="00353E79"/>
    <w:rsid w:val="00364227"/>
    <w:rsid w:val="00364EA0"/>
    <w:rsid w:val="00366981"/>
    <w:rsid w:val="00370678"/>
    <w:rsid w:val="0037214E"/>
    <w:rsid w:val="00372C85"/>
    <w:rsid w:val="00373845"/>
    <w:rsid w:val="00373928"/>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24B2"/>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179A6"/>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3D7B"/>
    <w:rsid w:val="00494D04"/>
    <w:rsid w:val="004A40BA"/>
    <w:rsid w:val="004A43D1"/>
    <w:rsid w:val="004A492B"/>
    <w:rsid w:val="004A5551"/>
    <w:rsid w:val="004B4412"/>
    <w:rsid w:val="004B6269"/>
    <w:rsid w:val="004C348C"/>
    <w:rsid w:val="004C462E"/>
    <w:rsid w:val="004C6CA3"/>
    <w:rsid w:val="004C7F5E"/>
    <w:rsid w:val="004D343C"/>
    <w:rsid w:val="004D372A"/>
    <w:rsid w:val="004D55BA"/>
    <w:rsid w:val="004D720C"/>
    <w:rsid w:val="004E0FA7"/>
    <w:rsid w:val="004E22EC"/>
    <w:rsid w:val="004E7F51"/>
    <w:rsid w:val="004F0BFA"/>
    <w:rsid w:val="004F13DA"/>
    <w:rsid w:val="004F4D69"/>
    <w:rsid w:val="004F6883"/>
    <w:rsid w:val="004F6A0E"/>
    <w:rsid w:val="004F6BB3"/>
    <w:rsid w:val="005009CD"/>
    <w:rsid w:val="00504E5F"/>
    <w:rsid w:val="00504FFF"/>
    <w:rsid w:val="0051337E"/>
    <w:rsid w:val="00513FA7"/>
    <w:rsid w:val="0051425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692B"/>
    <w:rsid w:val="005B704A"/>
    <w:rsid w:val="005B72D7"/>
    <w:rsid w:val="005C045F"/>
    <w:rsid w:val="005C16FE"/>
    <w:rsid w:val="005C1FAB"/>
    <w:rsid w:val="005C21A4"/>
    <w:rsid w:val="005C26CC"/>
    <w:rsid w:val="005C4463"/>
    <w:rsid w:val="005C467C"/>
    <w:rsid w:val="005C5B2E"/>
    <w:rsid w:val="005D3D88"/>
    <w:rsid w:val="005D4692"/>
    <w:rsid w:val="005D48C4"/>
    <w:rsid w:val="005D6208"/>
    <w:rsid w:val="005D6366"/>
    <w:rsid w:val="005D7BA2"/>
    <w:rsid w:val="005E36C2"/>
    <w:rsid w:val="005E4AF4"/>
    <w:rsid w:val="005F387E"/>
    <w:rsid w:val="00601E0B"/>
    <w:rsid w:val="0060258B"/>
    <w:rsid w:val="00610EF9"/>
    <w:rsid w:val="00611D8F"/>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177B"/>
    <w:rsid w:val="006A4739"/>
    <w:rsid w:val="006A66A1"/>
    <w:rsid w:val="006B032D"/>
    <w:rsid w:val="006B2395"/>
    <w:rsid w:val="006B40AC"/>
    <w:rsid w:val="006B4CF9"/>
    <w:rsid w:val="006B797C"/>
    <w:rsid w:val="006B7AC8"/>
    <w:rsid w:val="006C1736"/>
    <w:rsid w:val="006C329B"/>
    <w:rsid w:val="006C6303"/>
    <w:rsid w:val="006D4F42"/>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055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38A"/>
    <w:rsid w:val="00850C90"/>
    <w:rsid w:val="00851209"/>
    <w:rsid w:val="0085171F"/>
    <w:rsid w:val="00856A10"/>
    <w:rsid w:val="008658A1"/>
    <w:rsid w:val="0086716A"/>
    <w:rsid w:val="00870613"/>
    <w:rsid w:val="00872F80"/>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318E"/>
    <w:rsid w:val="00907683"/>
    <w:rsid w:val="009132B7"/>
    <w:rsid w:val="00916A2C"/>
    <w:rsid w:val="009233EE"/>
    <w:rsid w:val="0092774A"/>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7A7"/>
    <w:rsid w:val="009D2C84"/>
    <w:rsid w:val="009D3906"/>
    <w:rsid w:val="009D5E35"/>
    <w:rsid w:val="009D6B46"/>
    <w:rsid w:val="009E35B6"/>
    <w:rsid w:val="009E5ABC"/>
    <w:rsid w:val="009F2089"/>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1F1D"/>
    <w:rsid w:val="00A30BF5"/>
    <w:rsid w:val="00A31BE6"/>
    <w:rsid w:val="00A32FBB"/>
    <w:rsid w:val="00A40068"/>
    <w:rsid w:val="00A40BE9"/>
    <w:rsid w:val="00A428EE"/>
    <w:rsid w:val="00A443C2"/>
    <w:rsid w:val="00A4478A"/>
    <w:rsid w:val="00A44852"/>
    <w:rsid w:val="00A50502"/>
    <w:rsid w:val="00A5087B"/>
    <w:rsid w:val="00A51D5B"/>
    <w:rsid w:val="00A53409"/>
    <w:rsid w:val="00A53796"/>
    <w:rsid w:val="00A53848"/>
    <w:rsid w:val="00A56945"/>
    <w:rsid w:val="00A56A6E"/>
    <w:rsid w:val="00A57D04"/>
    <w:rsid w:val="00A60A26"/>
    <w:rsid w:val="00A61598"/>
    <w:rsid w:val="00A61777"/>
    <w:rsid w:val="00A63646"/>
    <w:rsid w:val="00A63914"/>
    <w:rsid w:val="00A81FC3"/>
    <w:rsid w:val="00A82B65"/>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069AD"/>
    <w:rsid w:val="00B115A4"/>
    <w:rsid w:val="00B13048"/>
    <w:rsid w:val="00B13883"/>
    <w:rsid w:val="00B1716D"/>
    <w:rsid w:val="00B17A1D"/>
    <w:rsid w:val="00B207A0"/>
    <w:rsid w:val="00B2092F"/>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4BC3"/>
    <w:rsid w:val="00BB6551"/>
    <w:rsid w:val="00BC25AB"/>
    <w:rsid w:val="00BC4A10"/>
    <w:rsid w:val="00BD30F4"/>
    <w:rsid w:val="00BD3329"/>
    <w:rsid w:val="00BD3446"/>
    <w:rsid w:val="00BD59CF"/>
    <w:rsid w:val="00BE1312"/>
    <w:rsid w:val="00BE1F1B"/>
    <w:rsid w:val="00BE3F89"/>
    <w:rsid w:val="00BE47B5"/>
    <w:rsid w:val="00BE5FCE"/>
    <w:rsid w:val="00BF6549"/>
    <w:rsid w:val="00C0079E"/>
    <w:rsid w:val="00C008DA"/>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0906"/>
    <w:rsid w:val="00C71280"/>
    <w:rsid w:val="00C717BF"/>
    <w:rsid w:val="00C75E3E"/>
    <w:rsid w:val="00C76178"/>
    <w:rsid w:val="00C84560"/>
    <w:rsid w:val="00C86679"/>
    <w:rsid w:val="00C8792F"/>
    <w:rsid w:val="00C90472"/>
    <w:rsid w:val="00C91D6E"/>
    <w:rsid w:val="00C927C6"/>
    <w:rsid w:val="00CA19AC"/>
    <w:rsid w:val="00CA489E"/>
    <w:rsid w:val="00CB0279"/>
    <w:rsid w:val="00CB1A98"/>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519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7329"/>
    <w:rsid w:val="00D924AE"/>
    <w:rsid w:val="00D92CF1"/>
    <w:rsid w:val="00D92D38"/>
    <w:rsid w:val="00D94EA9"/>
    <w:rsid w:val="00D950F5"/>
    <w:rsid w:val="00D95828"/>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2DA5"/>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46FDA"/>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28F3"/>
    <w:rsid w:val="00EB3A34"/>
    <w:rsid w:val="00EB3C3F"/>
    <w:rsid w:val="00EC04F1"/>
    <w:rsid w:val="00EC237F"/>
    <w:rsid w:val="00EC573A"/>
    <w:rsid w:val="00EC5D10"/>
    <w:rsid w:val="00ED35C8"/>
    <w:rsid w:val="00ED3968"/>
    <w:rsid w:val="00ED4B22"/>
    <w:rsid w:val="00ED7323"/>
    <w:rsid w:val="00EE28F3"/>
    <w:rsid w:val="00EE50D1"/>
    <w:rsid w:val="00EE6552"/>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5173"/>
    <w:rsid w:val="00F676DD"/>
    <w:rsid w:val="00F67AB6"/>
    <w:rsid w:val="00F70028"/>
    <w:rsid w:val="00F70434"/>
    <w:rsid w:val="00F70F95"/>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191028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9A4C1A-2B71-4ADA-8B67-8D6A7179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B9C23D47</Template>
  <TotalTime>0</TotalTime>
  <Pages>18</Pages>
  <Words>3846</Words>
  <Characters>21928</Characters>
  <Application>Microsoft Office Word</Application>
  <DocSecurity>0</DocSecurity>
  <Lines>182</Lines>
  <Paragraphs>51</Paragraphs>
  <ScaleCrop>false</ScaleCrop>
  <LinksUpToDate>false</LinksUpToDate>
  <CharactersWithSpaces>25723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2016-05-20T10:12:00Z</dcterms:created>
  <dcterms:modified xsi:type="dcterms:W3CDTF">2016-05-20T10:12:00Z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8588450</vt:lpwstr>
  </property>
</Properties>
</file>