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943FD8E" wp14:editId="00631631">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A153AC">
            <w:t xml:space="preserve">FINAL </w:t>
          </w:r>
          <w:r w:rsidR="00DA4752">
            <w:t>DECISION</w:t>
          </w:r>
        </w:p>
        <w:p w:rsidR="00415F31" w:rsidRDefault="00E12821" w:rsidP="008F07A3">
          <w:pPr>
            <w:pStyle w:val="ReportSubtitle"/>
          </w:pPr>
          <w:r>
            <w:t>Jemena</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8D22AC" w:rsidP="00327A1E">
          <w:pPr>
            <w:pStyle w:val="ReportDate"/>
          </w:pPr>
          <w:r>
            <w:t>May</w:t>
          </w:r>
          <w:r w:rsidR="00A153AC">
            <w:t xml:space="preserve"> 2016</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A153AC">
        <w:t>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51415618"/>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A153AC">
        <w:t>final</w:t>
      </w:r>
      <w:r w:rsidR="00415F31">
        <w:t xml:space="preserve"> decision on </w:t>
      </w:r>
      <w:r w:rsidR="00E12821">
        <w:t>Jemena</w:t>
      </w:r>
      <w:r w:rsidR="005C0A7F">
        <w:t>'s</w:t>
      </w:r>
      <w:r w:rsidR="00415F31">
        <w:t xml:space="preserve"> </w:t>
      </w:r>
      <w:r w:rsidR="00DA6CE5">
        <w:t>distribution determination for</w:t>
      </w:r>
      <w:r w:rsidR="00415F31">
        <w:t xml:space="preserve">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A153AC">
        <w:t>final</w:t>
      </w:r>
      <w:r w:rsidR="005C0A7F">
        <w:t xml:space="preserve"> </w:t>
      </w:r>
      <w:r w:rsidR="00415F31">
        <w:t>decision.</w:t>
      </w:r>
    </w:p>
    <w:p w:rsidR="00415F31" w:rsidRDefault="00415F31" w:rsidP="00DE772C">
      <w:pPr>
        <w:numPr>
          <w:ilvl w:val="0"/>
          <w:numId w:val="24"/>
        </w:numPr>
        <w:spacing w:before="0" w:after="240" w:line="288" w:lineRule="auto"/>
        <w:jc w:val="both"/>
      </w:pPr>
      <w:r>
        <w:t xml:space="preserve">The </w:t>
      </w:r>
      <w:r w:rsidR="00A153AC">
        <w:t>final</w:t>
      </w:r>
      <w:r w:rsidR="005C0A7F">
        <w:t xml:space="preserve">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417FD5" w:rsidRDefault="00417FD5" w:rsidP="0070011E">
      <w:r w:rsidRPr="001663B6">
        <w:t>Attachment 1</w:t>
      </w:r>
      <w:r w:rsidR="00BA5F99">
        <w:t>8</w:t>
      </w:r>
      <w:r w:rsidRPr="001663B6">
        <w:t xml:space="preserve"> - </w:t>
      </w:r>
      <w:r>
        <w:t>f-</w:t>
      </w:r>
      <w:r w:rsidRPr="001663B6">
        <w:t>factor scheme</w:t>
      </w:r>
    </w:p>
    <w:p w:rsidR="00DE563D" w:rsidRPr="00A72B34" w:rsidRDefault="00DE563D" w:rsidP="00DE772C">
      <w:pPr>
        <w:pStyle w:val="UnnumberedHeading"/>
        <w:numPr>
          <w:ilvl w:val="0"/>
          <w:numId w:val="23"/>
        </w:numPr>
      </w:pPr>
      <w:bookmarkStart w:id="6" w:name="_Toc403144133"/>
      <w:bookmarkStart w:id="7" w:name="_Toc451415619"/>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785686" w:rsidRDefault="0078568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 </w:instrText>
          </w:r>
          <w:r>
            <w:rPr>
              <w:color w:val="auto"/>
              <w:sz w:val="22"/>
            </w:rPr>
            <w:fldChar w:fldCharType="separate"/>
          </w:r>
          <w:hyperlink w:anchor="_Toc451415618" w:history="1">
            <w:r w:rsidRPr="00566D5D">
              <w:rPr>
                <w:rStyle w:val="Hyperlink"/>
              </w:rPr>
              <w:t>Note</w:t>
            </w:r>
            <w:r>
              <w:rPr>
                <w:webHidden/>
              </w:rPr>
              <w:tab/>
            </w:r>
            <w:r>
              <w:rPr>
                <w:webHidden/>
              </w:rPr>
              <w:fldChar w:fldCharType="begin"/>
            </w:r>
            <w:r>
              <w:rPr>
                <w:webHidden/>
              </w:rPr>
              <w:instrText xml:space="preserve"> PAGEREF _Toc451415618 \h </w:instrText>
            </w:r>
            <w:r>
              <w:rPr>
                <w:webHidden/>
              </w:rPr>
            </w:r>
            <w:r>
              <w:rPr>
                <w:webHidden/>
              </w:rPr>
              <w:fldChar w:fldCharType="separate"/>
            </w:r>
            <w:r>
              <w:rPr>
                <w:webHidden/>
              </w:rPr>
              <w:t>17-2</w:t>
            </w:r>
            <w:r>
              <w:rPr>
                <w:webHidden/>
              </w:rPr>
              <w:fldChar w:fldCharType="end"/>
            </w:r>
          </w:hyperlink>
        </w:p>
        <w:p w:rsidR="00785686" w:rsidRDefault="00785686">
          <w:pPr>
            <w:pStyle w:val="TOC1"/>
            <w:rPr>
              <w:rFonts w:asciiTheme="minorHAnsi" w:eastAsiaTheme="minorEastAsia" w:hAnsiTheme="minorHAnsi"/>
              <w:b w:val="0"/>
              <w:color w:val="auto"/>
              <w:sz w:val="22"/>
              <w:lang w:val="en-AU" w:eastAsia="en-AU"/>
            </w:rPr>
          </w:pPr>
          <w:hyperlink w:anchor="_Toc451415619" w:history="1">
            <w:r w:rsidRPr="00566D5D">
              <w:rPr>
                <w:rStyle w:val="Hyperlink"/>
              </w:rPr>
              <w:t>Contents</w:t>
            </w:r>
            <w:r>
              <w:rPr>
                <w:webHidden/>
              </w:rPr>
              <w:tab/>
            </w:r>
            <w:r>
              <w:rPr>
                <w:webHidden/>
              </w:rPr>
              <w:fldChar w:fldCharType="begin"/>
            </w:r>
            <w:r>
              <w:rPr>
                <w:webHidden/>
              </w:rPr>
              <w:instrText xml:space="preserve"> PAGEREF _Toc451415619 \h </w:instrText>
            </w:r>
            <w:r>
              <w:rPr>
                <w:webHidden/>
              </w:rPr>
            </w:r>
            <w:r>
              <w:rPr>
                <w:webHidden/>
              </w:rPr>
              <w:fldChar w:fldCharType="separate"/>
            </w:r>
            <w:r>
              <w:rPr>
                <w:webHidden/>
              </w:rPr>
              <w:t>17-3</w:t>
            </w:r>
            <w:r>
              <w:rPr>
                <w:webHidden/>
              </w:rPr>
              <w:fldChar w:fldCharType="end"/>
            </w:r>
          </w:hyperlink>
        </w:p>
        <w:p w:rsidR="00785686" w:rsidRDefault="00785686">
          <w:pPr>
            <w:pStyle w:val="TOC1"/>
            <w:rPr>
              <w:rFonts w:asciiTheme="minorHAnsi" w:eastAsiaTheme="minorEastAsia" w:hAnsiTheme="minorHAnsi"/>
              <w:b w:val="0"/>
              <w:color w:val="auto"/>
              <w:sz w:val="22"/>
              <w:lang w:val="en-AU" w:eastAsia="en-AU"/>
            </w:rPr>
          </w:pPr>
          <w:hyperlink w:anchor="_Toc451415620" w:history="1">
            <w:r w:rsidRPr="00566D5D">
              <w:rPr>
                <w:rStyle w:val="Hyperlink"/>
              </w:rPr>
              <w:t>Shortened forms</w:t>
            </w:r>
            <w:r>
              <w:rPr>
                <w:webHidden/>
              </w:rPr>
              <w:tab/>
            </w:r>
            <w:r>
              <w:rPr>
                <w:webHidden/>
              </w:rPr>
              <w:fldChar w:fldCharType="begin"/>
            </w:r>
            <w:r>
              <w:rPr>
                <w:webHidden/>
              </w:rPr>
              <w:instrText xml:space="preserve"> PAGEREF _Toc451415620 \h </w:instrText>
            </w:r>
            <w:r>
              <w:rPr>
                <w:webHidden/>
              </w:rPr>
            </w:r>
            <w:r>
              <w:rPr>
                <w:webHidden/>
              </w:rPr>
              <w:fldChar w:fldCharType="separate"/>
            </w:r>
            <w:r>
              <w:rPr>
                <w:webHidden/>
              </w:rPr>
              <w:t>17-4</w:t>
            </w:r>
            <w:r>
              <w:rPr>
                <w:webHidden/>
              </w:rPr>
              <w:fldChar w:fldCharType="end"/>
            </w:r>
          </w:hyperlink>
        </w:p>
        <w:p w:rsidR="00785686" w:rsidRDefault="00785686">
          <w:pPr>
            <w:pStyle w:val="TOC1"/>
            <w:rPr>
              <w:rFonts w:asciiTheme="minorHAnsi" w:eastAsiaTheme="minorEastAsia" w:hAnsiTheme="minorHAnsi"/>
              <w:b w:val="0"/>
              <w:color w:val="auto"/>
              <w:sz w:val="22"/>
              <w:lang w:val="en-AU" w:eastAsia="en-AU"/>
            </w:rPr>
          </w:pPr>
          <w:hyperlink w:anchor="_Toc451415621" w:history="1">
            <w:r w:rsidRPr="00566D5D">
              <w:rPr>
                <w:rStyle w:val="Hyperlink"/>
              </w:rPr>
              <w:t>17</w:t>
            </w:r>
            <w:r>
              <w:rPr>
                <w:rFonts w:asciiTheme="minorHAnsi" w:eastAsiaTheme="minorEastAsia" w:hAnsiTheme="minorHAnsi"/>
                <w:b w:val="0"/>
                <w:color w:val="auto"/>
                <w:sz w:val="22"/>
                <w:lang w:val="en-AU" w:eastAsia="en-AU"/>
              </w:rPr>
              <w:tab/>
            </w:r>
            <w:r w:rsidRPr="00566D5D">
              <w:rPr>
                <w:rStyle w:val="Hyperlink"/>
              </w:rPr>
              <w:t>Negotiated services framework and criteria</w:t>
            </w:r>
            <w:r>
              <w:rPr>
                <w:webHidden/>
              </w:rPr>
              <w:tab/>
            </w:r>
            <w:r>
              <w:rPr>
                <w:webHidden/>
              </w:rPr>
              <w:fldChar w:fldCharType="begin"/>
            </w:r>
            <w:r>
              <w:rPr>
                <w:webHidden/>
              </w:rPr>
              <w:instrText xml:space="preserve"> PAGEREF _Toc451415621 \h </w:instrText>
            </w:r>
            <w:r>
              <w:rPr>
                <w:webHidden/>
              </w:rPr>
            </w:r>
            <w:r>
              <w:rPr>
                <w:webHidden/>
              </w:rPr>
              <w:fldChar w:fldCharType="separate"/>
            </w:r>
            <w:r>
              <w:rPr>
                <w:webHidden/>
              </w:rPr>
              <w:t>17-6</w:t>
            </w:r>
            <w:r>
              <w:rPr>
                <w:webHidden/>
              </w:rPr>
              <w:fldChar w:fldCharType="end"/>
            </w:r>
          </w:hyperlink>
        </w:p>
        <w:p w:rsidR="00785686" w:rsidRDefault="00785686">
          <w:pPr>
            <w:pStyle w:val="TOC2"/>
            <w:tabs>
              <w:tab w:val="left" w:pos="1276"/>
            </w:tabs>
            <w:rPr>
              <w:rFonts w:asciiTheme="minorHAnsi" w:eastAsiaTheme="minorEastAsia" w:hAnsiTheme="minorHAnsi"/>
              <w:b w:val="0"/>
              <w:color w:val="auto"/>
              <w:sz w:val="22"/>
              <w:lang w:eastAsia="en-AU"/>
            </w:rPr>
          </w:pPr>
          <w:hyperlink w:anchor="_Toc451415622" w:history="1">
            <w:r w:rsidRPr="00566D5D">
              <w:rPr>
                <w:rStyle w:val="Hyperlink"/>
              </w:rPr>
              <w:t>17.1</w:t>
            </w:r>
            <w:r>
              <w:rPr>
                <w:rFonts w:asciiTheme="minorHAnsi" w:eastAsiaTheme="minorEastAsia" w:hAnsiTheme="minorHAnsi"/>
                <w:b w:val="0"/>
                <w:color w:val="auto"/>
                <w:sz w:val="22"/>
                <w:lang w:eastAsia="en-AU"/>
              </w:rPr>
              <w:tab/>
            </w:r>
            <w:r w:rsidRPr="00566D5D">
              <w:rPr>
                <w:rStyle w:val="Hyperlink"/>
              </w:rPr>
              <w:t>Final decision</w:t>
            </w:r>
            <w:r>
              <w:rPr>
                <w:webHidden/>
              </w:rPr>
              <w:tab/>
            </w:r>
            <w:r>
              <w:rPr>
                <w:webHidden/>
              </w:rPr>
              <w:fldChar w:fldCharType="begin"/>
            </w:r>
            <w:r>
              <w:rPr>
                <w:webHidden/>
              </w:rPr>
              <w:instrText xml:space="preserve"> PAGEREF _Toc451415622 \h </w:instrText>
            </w:r>
            <w:r>
              <w:rPr>
                <w:webHidden/>
              </w:rPr>
            </w:r>
            <w:r>
              <w:rPr>
                <w:webHidden/>
              </w:rPr>
              <w:fldChar w:fldCharType="separate"/>
            </w:r>
            <w:r>
              <w:rPr>
                <w:webHidden/>
              </w:rPr>
              <w:t>17-6</w:t>
            </w:r>
            <w:r>
              <w:rPr>
                <w:webHidden/>
              </w:rPr>
              <w:fldChar w:fldCharType="end"/>
            </w:r>
          </w:hyperlink>
        </w:p>
        <w:p w:rsidR="00785686" w:rsidRDefault="00785686">
          <w:pPr>
            <w:pStyle w:val="TOC2"/>
            <w:tabs>
              <w:tab w:val="left" w:pos="1276"/>
            </w:tabs>
            <w:rPr>
              <w:rFonts w:asciiTheme="minorHAnsi" w:eastAsiaTheme="minorEastAsia" w:hAnsiTheme="minorHAnsi"/>
              <w:b w:val="0"/>
              <w:color w:val="auto"/>
              <w:sz w:val="22"/>
              <w:lang w:eastAsia="en-AU"/>
            </w:rPr>
          </w:pPr>
          <w:hyperlink w:anchor="_Toc451415623" w:history="1">
            <w:r w:rsidRPr="00566D5D">
              <w:rPr>
                <w:rStyle w:val="Hyperlink"/>
              </w:rPr>
              <w:t>17.2</w:t>
            </w:r>
            <w:r>
              <w:rPr>
                <w:rFonts w:asciiTheme="minorHAnsi" w:eastAsiaTheme="minorEastAsia" w:hAnsiTheme="minorHAnsi"/>
                <w:b w:val="0"/>
                <w:color w:val="auto"/>
                <w:sz w:val="22"/>
                <w:lang w:eastAsia="en-AU"/>
              </w:rPr>
              <w:tab/>
            </w:r>
            <w:r w:rsidRPr="00566D5D">
              <w:rPr>
                <w:rStyle w:val="Hyperlink"/>
              </w:rPr>
              <w:t>AER’s assessment approach</w:t>
            </w:r>
            <w:r>
              <w:rPr>
                <w:webHidden/>
              </w:rPr>
              <w:tab/>
            </w:r>
            <w:r>
              <w:rPr>
                <w:webHidden/>
              </w:rPr>
              <w:fldChar w:fldCharType="begin"/>
            </w:r>
            <w:r>
              <w:rPr>
                <w:webHidden/>
              </w:rPr>
              <w:instrText xml:space="preserve"> PAGEREF _Toc451415623 \h </w:instrText>
            </w:r>
            <w:r>
              <w:rPr>
                <w:webHidden/>
              </w:rPr>
            </w:r>
            <w:r>
              <w:rPr>
                <w:webHidden/>
              </w:rPr>
              <w:fldChar w:fldCharType="separate"/>
            </w:r>
            <w:r>
              <w:rPr>
                <w:webHidden/>
              </w:rPr>
              <w:t>17-7</w:t>
            </w:r>
            <w:r>
              <w:rPr>
                <w:webHidden/>
              </w:rPr>
              <w:fldChar w:fldCharType="end"/>
            </w:r>
          </w:hyperlink>
        </w:p>
        <w:p w:rsidR="00785686" w:rsidRDefault="00785686">
          <w:pPr>
            <w:pStyle w:val="TOC2"/>
            <w:tabs>
              <w:tab w:val="left" w:pos="1276"/>
            </w:tabs>
            <w:rPr>
              <w:rFonts w:asciiTheme="minorHAnsi" w:eastAsiaTheme="minorEastAsia" w:hAnsiTheme="minorHAnsi"/>
              <w:b w:val="0"/>
              <w:color w:val="auto"/>
              <w:sz w:val="22"/>
              <w:lang w:eastAsia="en-AU"/>
            </w:rPr>
          </w:pPr>
          <w:hyperlink w:anchor="_Toc451415624" w:history="1">
            <w:r w:rsidRPr="00566D5D">
              <w:rPr>
                <w:rStyle w:val="Hyperlink"/>
              </w:rPr>
              <w:t>17.3</w:t>
            </w:r>
            <w:r>
              <w:rPr>
                <w:rFonts w:asciiTheme="minorHAnsi" w:eastAsiaTheme="minorEastAsia" w:hAnsiTheme="minorHAnsi"/>
                <w:b w:val="0"/>
                <w:color w:val="auto"/>
                <w:sz w:val="22"/>
                <w:lang w:eastAsia="en-AU"/>
              </w:rPr>
              <w:tab/>
            </w:r>
            <w:r w:rsidRPr="00566D5D">
              <w:rPr>
                <w:rStyle w:val="Hyperlink"/>
              </w:rPr>
              <w:t>Reasons for final decision</w:t>
            </w:r>
            <w:r>
              <w:rPr>
                <w:webHidden/>
              </w:rPr>
              <w:tab/>
            </w:r>
            <w:r>
              <w:rPr>
                <w:webHidden/>
              </w:rPr>
              <w:fldChar w:fldCharType="begin"/>
            </w:r>
            <w:r>
              <w:rPr>
                <w:webHidden/>
              </w:rPr>
              <w:instrText xml:space="preserve"> PAGEREF _Toc451415624 \h </w:instrText>
            </w:r>
            <w:r>
              <w:rPr>
                <w:webHidden/>
              </w:rPr>
            </w:r>
            <w:r>
              <w:rPr>
                <w:webHidden/>
              </w:rPr>
              <w:fldChar w:fldCharType="separate"/>
            </w:r>
            <w:r>
              <w:rPr>
                <w:webHidden/>
              </w:rPr>
              <w:t>17-7</w:t>
            </w:r>
            <w:r>
              <w:rPr>
                <w:webHidden/>
              </w:rPr>
              <w:fldChar w:fldCharType="end"/>
            </w:r>
          </w:hyperlink>
        </w:p>
        <w:p w:rsidR="00DE563D" w:rsidRDefault="00785686" w:rsidP="00785686">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51415620"/>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211ADA"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211ADA" w:rsidRPr="005C4C9C" w:rsidRDefault="00211ADA" w:rsidP="005C4C9C">
            <w:pPr>
              <w:numPr>
                <w:ilvl w:val="0"/>
                <w:numId w:val="24"/>
              </w:numPr>
            </w:pPr>
            <w:r>
              <w:t>AMI</w:t>
            </w:r>
          </w:p>
        </w:tc>
        <w:tc>
          <w:tcPr>
            <w:tcW w:w="4344" w:type="dxa"/>
          </w:tcPr>
          <w:p w:rsidR="00211ADA" w:rsidRPr="005C4C9C" w:rsidRDefault="00A153AC" w:rsidP="005C4C9C">
            <w:pPr>
              <w:numPr>
                <w:ilvl w:val="0"/>
                <w:numId w:val="24"/>
              </w:numPr>
            </w:pPr>
            <w:r>
              <w:t>a</w:t>
            </w:r>
            <w:r w:rsidR="00211ADA">
              <w:t>dvanced metering infrastructure</w:t>
            </w:r>
          </w:p>
        </w:tc>
      </w:tr>
      <w:tr w:rsidR="005C4C9C" w:rsidTr="005C4C9C">
        <w:tc>
          <w:tcPr>
            <w:tcW w:w="4349" w:type="dxa"/>
          </w:tcPr>
          <w:p w:rsidR="005C4C9C" w:rsidRPr="005C4C9C" w:rsidRDefault="005C4C9C" w:rsidP="005C4C9C">
            <w:pPr>
              <w:numPr>
                <w:ilvl w:val="0"/>
                <w:numId w:val="24"/>
              </w:numPr>
            </w:pPr>
            <w:r w:rsidRPr="005C4C9C">
              <w:t>augex</w:t>
            </w:r>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DUoS</w:t>
            </w:r>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5C0A7F"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r w:rsidRPr="005C4C9C">
              <w:t>opex</w:t>
            </w:r>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repex</w:t>
            </w:r>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lastRenderedPageBreak/>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Sharpe-Lintner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28545E" w:rsidRDefault="0028545E" w:rsidP="0028545E">
      <w:pPr>
        <w:pStyle w:val="Heading1"/>
      </w:pPr>
      <w:bookmarkStart w:id="10" w:name="_Toc419287680"/>
      <w:bookmarkStart w:id="11" w:name="_Toc451415621"/>
      <w:r>
        <w:t>Negotiated services framework and criteria</w:t>
      </w:r>
      <w:bookmarkEnd w:id="10"/>
      <w:bookmarkEnd w:id="11"/>
    </w:p>
    <w:p w:rsidR="0028545E" w:rsidRDefault="0028545E" w:rsidP="0028545E">
      <w:pPr>
        <w:numPr>
          <w:ilvl w:val="0"/>
          <w:numId w:val="24"/>
        </w:numPr>
      </w:pPr>
      <w:r>
        <w:t>The NER require us to make constituent decisions on:</w:t>
      </w:r>
    </w:p>
    <w:p w:rsidR="0028545E" w:rsidRDefault="0028545E" w:rsidP="0028545E">
      <w:pPr>
        <w:pStyle w:val="AERbulletlistfirststyle"/>
      </w:pPr>
      <w:r>
        <w:t>the negotiating framework that is to apply to Jemena (which may be as proposed by the distributor, some variant of it, or a framework substituted by us),</w:t>
      </w:r>
      <w:r>
        <w:rPr>
          <w:rStyle w:val="FootnoteReference"/>
        </w:rPr>
        <w:footnoteReference w:id="1"/>
      </w:r>
      <w:r>
        <w:t xml:space="preserve"> and</w:t>
      </w:r>
    </w:p>
    <w:p w:rsidR="0028545E" w:rsidRDefault="0028545E" w:rsidP="0028545E">
      <w:pPr>
        <w:pStyle w:val="AERbulletlistfirststyle"/>
      </w:pPr>
      <w:r>
        <w:t>a decision on the negotiated distribution service criteria (NDSC) for the distributor.</w:t>
      </w:r>
      <w:r>
        <w:rPr>
          <w:rStyle w:val="FootnoteReference"/>
        </w:rPr>
        <w:footnoteReference w:id="2"/>
      </w:r>
    </w:p>
    <w:p w:rsidR="00D94B24" w:rsidRDefault="00D94B24" w:rsidP="0028545E">
      <w:pPr>
        <w:numPr>
          <w:ilvl w:val="0"/>
          <w:numId w:val="24"/>
        </w:numPr>
      </w:pPr>
      <w:r>
        <w:t>Jemena submitted an amended negotiating framework as part of its revised regulatory proposal for our consideration.</w:t>
      </w:r>
      <w:r>
        <w:rPr>
          <w:rStyle w:val="FootnoteReference"/>
        </w:rPr>
        <w:footnoteReference w:id="3"/>
      </w:r>
    </w:p>
    <w:p w:rsidR="0028545E" w:rsidRDefault="0028545E" w:rsidP="0028545E">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w:t>
      </w:r>
      <w:r w:rsidR="00A153AC">
        <w:t>final</w:t>
      </w:r>
      <w:r>
        <w:t xml:space="preserve"> decision on </w:t>
      </w:r>
      <w:r w:rsidR="004330CA">
        <w:t>Jemena</w:t>
      </w:r>
      <w:r>
        <w:t xml:space="preserve">'s negotiating framework and NDSC. </w:t>
      </w:r>
    </w:p>
    <w:p w:rsidR="0028545E" w:rsidRPr="00A856C0" w:rsidRDefault="00A153AC" w:rsidP="0028545E">
      <w:pPr>
        <w:pStyle w:val="Heading2"/>
      </w:pPr>
      <w:bookmarkStart w:id="12" w:name="_Toc404684205"/>
      <w:bookmarkStart w:id="13" w:name="_Toc408404904"/>
      <w:bookmarkStart w:id="14" w:name="_Toc451415622"/>
      <w:r>
        <w:t>Final</w:t>
      </w:r>
      <w:r w:rsidR="0028545E" w:rsidRPr="00CC783D">
        <w:t xml:space="preserve"> decision</w:t>
      </w:r>
      <w:bookmarkEnd w:id="12"/>
      <w:bookmarkEnd w:id="13"/>
      <w:bookmarkEnd w:id="14"/>
    </w:p>
    <w:p w:rsidR="0028545E" w:rsidRDefault="0028545E" w:rsidP="0028545E">
      <w:pPr>
        <w:pStyle w:val="HeadingBoldBlue"/>
        <w:numPr>
          <w:ilvl w:val="0"/>
          <w:numId w:val="24"/>
        </w:numPr>
      </w:pPr>
      <w:r>
        <w:t>Negotiating framework</w:t>
      </w:r>
    </w:p>
    <w:p w:rsidR="00D94B24" w:rsidRDefault="00D94B24" w:rsidP="00913F84">
      <w:r>
        <w:t>In our preliminary decision, we proposed a variatio</w:t>
      </w:r>
      <w:r w:rsidR="0026771F">
        <w:t>n</w:t>
      </w:r>
      <w:r>
        <w:t xml:space="preserve"> to Jemena's negotiating framework for the 2016–20 regulatory control period.</w:t>
      </w:r>
      <w:r>
        <w:rPr>
          <w:rStyle w:val="FootnoteReference"/>
        </w:rPr>
        <w:footnoteReference w:id="4"/>
      </w:r>
      <w:r w:rsidRPr="00C66450">
        <w:t xml:space="preserve"> </w:t>
      </w:r>
      <w:r>
        <w:t>Specifically, our preliminary decision was to:</w:t>
      </w:r>
    </w:p>
    <w:p w:rsidR="00913F84" w:rsidRDefault="00913F84" w:rsidP="00913F84">
      <w:pPr>
        <w:pStyle w:val="AERbulletlistfirststyle"/>
      </w:pPr>
      <w:r>
        <w:t>amend section 6 of Jemena's negotiating framework to refer to Part L of Chapter 6 of the NER rather than Chapter 8 of the NER</w:t>
      </w:r>
      <w:r>
        <w:rPr>
          <w:rStyle w:val="FootnoteReference"/>
        </w:rPr>
        <w:footnoteReference w:id="5"/>
      </w:r>
      <w:r>
        <w:t xml:space="preserve"> </w:t>
      </w:r>
    </w:p>
    <w:p w:rsidR="00913F84" w:rsidRDefault="00913F84" w:rsidP="00913F84">
      <w:pPr>
        <w:pStyle w:val="AERbulletlistfirststyle"/>
      </w:pPr>
      <w:r>
        <w:t>otherwise adopt Jemena's proposed negotiating framework.</w:t>
      </w:r>
    </w:p>
    <w:p w:rsidR="0026771F" w:rsidRDefault="0026771F" w:rsidP="0026771F">
      <w:r w:rsidRPr="0026771F">
        <w:t xml:space="preserve">Jemena's revised proposed negotiating framework for the 2016−20 regulatory control period </w:t>
      </w:r>
      <w:r w:rsidR="00AC1F51">
        <w:t>adopts</w:t>
      </w:r>
      <w:r w:rsidRPr="0026771F">
        <w:t xml:space="preserve"> the variation set out in our preliminary decision in full. Therefore, our final decision is to accept </w:t>
      </w:r>
      <w:r>
        <w:t>Jemena's</w:t>
      </w:r>
      <w:r w:rsidRPr="0026771F">
        <w:t xml:space="preserve"> revised proposed negotiating framework</w:t>
      </w:r>
      <w:r>
        <w:rPr>
          <w:rStyle w:val="FootnoteReference"/>
        </w:rPr>
        <w:footnoteReference w:id="6"/>
      </w:r>
      <w:r w:rsidRPr="0026771F">
        <w:t xml:space="preserve"> as set out in appendix A. </w:t>
      </w:r>
    </w:p>
    <w:p w:rsidR="0028545E" w:rsidRDefault="0028545E" w:rsidP="009903F6">
      <w:pPr>
        <w:pStyle w:val="HeadingBoldBlue"/>
        <w:keepNext/>
        <w:numPr>
          <w:ilvl w:val="0"/>
          <w:numId w:val="24"/>
        </w:numPr>
      </w:pPr>
      <w:r>
        <w:t>Negotiated distribution service criteria</w:t>
      </w:r>
    </w:p>
    <w:p w:rsidR="0028545E" w:rsidRDefault="0028545E" w:rsidP="009903F6">
      <w:pPr>
        <w:keepNext/>
      </w:pPr>
      <w:r>
        <w:t xml:space="preserve">Our </w:t>
      </w:r>
      <w:r w:rsidR="00A153AC">
        <w:t>final</w:t>
      </w:r>
      <w:r>
        <w:t xml:space="preserve"> decision is to retain the NDSC that we published for Jemena in May 2015</w:t>
      </w:r>
      <w:r>
        <w:rPr>
          <w:rStyle w:val="FootnoteReference"/>
        </w:rPr>
        <w:footnoteReference w:id="7"/>
      </w:r>
      <w:r>
        <w:t xml:space="preserve"> for the 2016</w:t>
      </w:r>
      <w:r w:rsidRPr="008E68A3">
        <w:t>–</w:t>
      </w:r>
      <w:r>
        <w:t>2</w:t>
      </w:r>
      <w:r w:rsidR="008E66B6">
        <w:t>0</w:t>
      </w:r>
      <w:r>
        <w:t xml:space="preserve"> regulatory control period. The NDSC give effect to the negotiated distribution service principles.</w:t>
      </w:r>
      <w:r>
        <w:rPr>
          <w:rStyle w:val="FootnoteReference"/>
        </w:rPr>
        <w:footnoteReference w:id="8"/>
      </w:r>
      <w:r>
        <w:t xml:space="preserve"> </w:t>
      </w:r>
    </w:p>
    <w:p w:rsidR="0028545E" w:rsidRPr="00A856C0" w:rsidRDefault="0028545E" w:rsidP="0028545E">
      <w:pPr>
        <w:pStyle w:val="Heading2"/>
      </w:pPr>
      <w:bookmarkStart w:id="15" w:name="_Toc404684206"/>
      <w:bookmarkStart w:id="16" w:name="_Toc408404905"/>
      <w:bookmarkStart w:id="17" w:name="_Toc451415623"/>
      <w:r>
        <w:t>AER’s assessment approach</w:t>
      </w:r>
      <w:bookmarkEnd w:id="15"/>
      <w:bookmarkEnd w:id="16"/>
      <w:bookmarkEnd w:id="17"/>
    </w:p>
    <w:p w:rsidR="0028545E" w:rsidRDefault="0028545E" w:rsidP="0028545E">
      <w:pPr>
        <w:pStyle w:val="HeadingBoldBlue"/>
        <w:numPr>
          <w:ilvl w:val="0"/>
          <w:numId w:val="24"/>
        </w:numPr>
      </w:pPr>
      <w:r>
        <w:t>Negotiating framework</w:t>
      </w:r>
    </w:p>
    <w:p w:rsidR="0028545E" w:rsidRDefault="0028545E" w:rsidP="0028545E">
      <w:r>
        <w:t xml:space="preserve">To be approved, a proposed negotiating framework must specify the obligations in clause 6.7.5(c) of the NER. We examined whether Jemena's proposed negotiating framework has done that. </w:t>
      </w:r>
    </w:p>
    <w:p w:rsidR="0028545E" w:rsidRDefault="0028545E" w:rsidP="0028545E">
      <w:pPr>
        <w:pStyle w:val="HeadingBoldBlue"/>
        <w:numPr>
          <w:ilvl w:val="0"/>
          <w:numId w:val="24"/>
        </w:numPr>
      </w:pPr>
      <w:r>
        <w:t>Negotiated distribution services criteria</w:t>
      </w:r>
    </w:p>
    <w:p w:rsidR="0028545E" w:rsidRDefault="0028545E" w:rsidP="0028545E">
      <w:r>
        <w:t xml:space="preserve">We consider NDSC that reflect the negotiated distribution service principles would satisfy the NER. Therefore we assessed whether our proposed NDSC reflect the negotiated distribution service principles in clause 6.7.1 of the NER. </w:t>
      </w:r>
    </w:p>
    <w:p w:rsidR="0028545E" w:rsidRPr="00A856C0" w:rsidRDefault="0028545E" w:rsidP="0028545E">
      <w:pPr>
        <w:pStyle w:val="Heading2"/>
      </w:pPr>
      <w:bookmarkStart w:id="18" w:name="_Toc404684207"/>
      <w:bookmarkStart w:id="19" w:name="_Toc408404906"/>
      <w:bookmarkStart w:id="20" w:name="_Toc451415624"/>
      <w:r>
        <w:t xml:space="preserve">Reasons for </w:t>
      </w:r>
      <w:r w:rsidR="00A153AC">
        <w:t>final</w:t>
      </w:r>
      <w:r>
        <w:t xml:space="preserve"> decision</w:t>
      </w:r>
      <w:bookmarkEnd w:id="18"/>
      <w:bookmarkEnd w:id="19"/>
      <w:bookmarkEnd w:id="20"/>
      <w:r>
        <w:t xml:space="preserve"> </w:t>
      </w:r>
    </w:p>
    <w:p w:rsidR="0028545E" w:rsidRDefault="0028545E" w:rsidP="0028545E">
      <w:pPr>
        <w:pStyle w:val="HeadingBoldBlue"/>
        <w:numPr>
          <w:ilvl w:val="0"/>
          <w:numId w:val="24"/>
        </w:numPr>
      </w:pPr>
      <w:r>
        <w:t>Negotiating framework</w:t>
      </w:r>
    </w:p>
    <w:p w:rsidR="00913F84" w:rsidRDefault="00CB0F9C" w:rsidP="00913F84">
      <w:pPr>
        <w:numPr>
          <w:ilvl w:val="0"/>
          <w:numId w:val="24"/>
        </w:numPr>
      </w:pPr>
      <w:r>
        <w:t>We approve Jemena's revised proposed negotiating framework because it specifies the minimum requirements of the NER.</w:t>
      </w:r>
      <w:r>
        <w:rPr>
          <w:rStyle w:val="FootnoteReference"/>
        </w:rPr>
        <w:footnoteReference w:id="9"/>
      </w:r>
      <w:r>
        <w:t xml:space="preserve"> </w:t>
      </w:r>
      <w:r w:rsidR="00913F84">
        <w:t xml:space="preserve">A negotiating framework must specify a number of minimum requirements set out in the NER. Those requirements include, among other things, a statement that a distributor will negotiate in good faith and a process for dealing with disputes. </w:t>
      </w:r>
    </w:p>
    <w:p w:rsidR="0028545E" w:rsidRDefault="0028545E" w:rsidP="00C61D4A">
      <w:pPr>
        <w:numPr>
          <w:ilvl w:val="0"/>
          <w:numId w:val="24"/>
        </w:numPr>
      </w:pPr>
      <w:r>
        <w:fldChar w:fldCharType="begin"/>
      </w:r>
      <w:r>
        <w:instrText xml:space="preserve"> REF _Ref417314743 \h </w:instrText>
      </w:r>
      <w:r>
        <w:fldChar w:fldCharType="separate"/>
      </w:r>
      <w:r>
        <w:t xml:space="preserve">Table </w:t>
      </w:r>
      <w:r w:rsidRPr="00A856C0">
        <w:t>17</w:t>
      </w:r>
      <w:r>
        <w:t>.</w:t>
      </w:r>
      <w:r w:rsidRPr="00A856C0">
        <w:t>1</w:t>
      </w:r>
      <w:r>
        <w:fldChar w:fldCharType="end"/>
      </w:r>
      <w:r>
        <w:t xml:space="preserve"> summarises our assessment of Jemena's </w:t>
      </w:r>
      <w:r w:rsidR="004C7CFF">
        <w:t xml:space="preserve">revised </w:t>
      </w:r>
      <w:r>
        <w:t xml:space="preserve">proposed negotiating framework. </w:t>
      </w:r>
      <w:r w:rsidR="00C61D4A" w:rsidRPr="00C61D4A">
        <w:t xml:space="preserve">It </w:t>
      </w:r>
      <w:r w:rsidR="00C61D4A">
        <w:t>indicates where in Jemena</w:t>
      </w:r>
      <w:r w:rsidR="00C61D4A" w:rsidRPr="00C61D4A">
        <w:t>’s negotiating framework the relevant NER requirements are addressed. Our view is that each of the NER requirements for a negotiated framework is satisfactorily addressed.</w:t>
      </w:r>
    </w:p>
    <w:p w:rsidR="0028545E" w:rsidRPr="00602E99" w:rsidRDefault="0028545E" w:rsidP="00EC6B7B">
      <w:pPr>
        <w:pStyle w:val="Caption"/>
      </w:pPr>
      <w:bookmarkStart w:id="21" w:name="_Ref417314743"/>
      <w:r>
        <w:t xml:space="preserve">Table </w:t>
      </w:r>
      <w:r w:rsidRPr="00A856C0">
        <w:fldChar w:fldCharType="begin"/>
      </w:r>
      <w:r>
        <w:instrText xml:space="preserve"> STYLEREF 1 \s </w:instrText>
      </w:r>
      <w:r w:rsidRPr="00A856C0">
        <w:fldChar w:fldCharType="separate"/>
      </w:r>
      <w:r w:rsidRPr="00A856C0">
        <w:t>17</w:t>
      </w:r>
      <w:r w:rsidRPr="00A856C0">
        <w:fldChar w:fldCharType="end"/>
      </w:r>
      <w:r>
        <w:t>.</w:t>
      </w:r>
      <w:fldSimple w:instr=" SEQ Table \* ARABIC \s 1 ">
        <w:r w:rsidRPr="00A856C0">
          <w:t>1</w:t>
        </w:r>
      </w:fldSimple>
      <w:bookmarkEnd w:id="21"/>
      <w:r>
        <w:tab/>
      </w:r>
      <w:r w:rsidRPr="00602E99">
        <w:t xml:space="preserve">AER's assessment of </w:t>
      </w:r>
      <w:r>
        <w:t>Jemena's</w:t>
      </w:r>
      <w:r w:rsidRPr="00602E99">
        <w:t xml:space="preserve"> </w:t>
      </w:r>
      <w:r w:rsidR="00CB0F9C">
        <w:t xml:space="preserve">revised </w:t>
      </w:r>
      <w:r w:rsidRPr="00602E99">
        <w:t xml:space="preserve">proposed negotiating framework </w:t>
      </w:r>
    </w:p>
    <w:tbl>
      <w:tblPr>
        <w:tblStyle w:val="AERtable-text0"/>
        <w:tblW w:w="0" w:type="auto"/>
        <w:tblLook w:val="04A0" w:firstRow="1" w:lastRow="0" w:firstColumn="1" w:lastColumn="0" w:noHBand="0" w:noVBand="1"/>
      </w:tblPr>
      <w:tblGrid>
        <w:gridCol w:w="5721"/>
        <w:gridCol w:w="2972"/>
      </w:tblGrid>
      <w:tr w:rsidR="0028545E" w:rsidTr="008F4941">
        <w:trPr>
          <w:cnfStyle w:val="100000000000" w:firstRow="1" w:lastRow="0" w:firstColumn="0" w:lastColumn="0" w:oddVBand="0" w:evenVBand="0" w:oddHBand="0" w:evenHBand="0" w:firstRowFirstColumn="0" w:firstRowLastColumn="0" w:lastRowFirstColumn="0" w:lastRowLastColumn="0"/>
        </w:trPr>
        <w:tc>
          <w:tcPr>
            <w:tcW w:w="6085" w:type="dxa"/>
          </w:tcPr>
          <w:p w:rsidR="0028545E" w:rsidRPr="008E68A3" w:rsidRDefault="0028545E" w:rsidP="009903F6">
            <w:pPr>
              <w:keepNext/>
              <w:numPr>
                <w:ilvl w:val="0"/>
                <w:numId w:val="24"/>
              </w:numPr>
            </w:pPr>
            <w:r>
              <w:t xml:space="preserve">NER requirements </w:t>
            </w:r>
          </w:p>
        </w:tc>
        <w:tc>
          <w:tcPr>
            <w:tcW w:w="3118" w:type="dxa"/>
          </w:tcPr>
          <w:p w:rsidR="0028545E" w:rsidRPr="008E68A3" w:rsidRDefault="00C61D4A" w:rsidP="009903F6">
            <w:pPr>
              <w:keepNext/>
              <w:numPr>
                <w:ilvl w:val="0"/>
                <w:numId w:val="24"/>
              </w:numPr>
            </w:pPr>
            <w:r w:rsidRPr="00C61D4A">
              <w:t xml:space="preserve">Requirement addressed in </w:t>
            </w:r>
            <w:r>
              <w:t>Jemena'</w:t>
            </w:r>
            <w:r w:rsidRPr="00C61D4A">
              <w:t>s negotiating framework</w:t>
            </w:r>
          </w:p>
        </w:tc>
      </w:tr>
      <w:tr w:rsidR="0028545E" w:rsidTr="008F4941">
        <w:tc>
          <w:tcPr>
            <w:tcW w:w="6085" w:type="dxa"/>
          </w:tcPr>
          <w:p w:rsidR="0028545E" w:rsidRPr="0028545E" w:rsidRDefault="0028545E" w:rsidP="009903F6">
            <w:pPr>
              <w:pStyle w:val="AERbodytextnospaceleftalign"/>
              <w:keepNext/>
              <w:rPr>
                <w:rStyle w:val="AERtextsize8"/>
                <w:rFonts w:eastAsia="Calibri"/>
                <w:b/>
                <w:szCs w:val="20"/>
              </w:rPr>
            </w:pPr>
            <w:r w:rsidRPr="00602E99">
              <w:rPr>
                <w:rStyle w:val="AERtextsize8"/>
              </w:rPr>
              <w:t>Requirement for a distributor and applicant</w:t>
            </w:r>
            <w:r w:rsidRPr="00913F84">
              <w:rPr>
                <w:rStyle w:val="AERsuperscript"/>
              </w:rPr>
              <w:footnoteReference w:id="10"/>
            </w:r>
            <w:r w:rsidRPr="00913F84">
              <w:rPr>
                <w:rStyle w:val="AERsuperscript"/>
              </w:rPr>
              <w:t xml:space="preserve"> </w:t>
            </w:r>
            <w:r w:rsidRPr="0028545E">
              <w:rPr>
                <w:rStyle w:val="AERtextsize8"/>
              </w:rPr>
              <w:t>to negotiate in good faith— cl. 6.7.5(c)(1)</w:t>
            </w:r>
          </w:p>
        </w:tc>
        <w:tc>
          <w:tcPr>
            <w:tcW w:w="3118" w:type="dxa"/>
          </w:tcPr>
          <w:p w:rsidR="0028545E" w:rsidRPr="0028545E" w:rsidRDefault="0028545E" w:rsidP="009903F6">
            <w:pPr>
              <w:pStyle w:val="AERbodytextnospaceleftalign"/>
              <w:keepNext/>
              <w:rPr>
                <w:rStyle w:val="AERtextsize8"/>
                <w:rFonts w:eastAsiaTheme="minorHAnsi" w:cstheme="minorBidi"/>
                <w:szCs w:val="22"/>
                <w:lang w:eastAsia="en-US"/>
              </w:rPr>
            </w:pPr>
            <w:r w:rsidRPr="00602E99">
              <w:rPr>
                <w:rStyle w:val="AERtextsize8"/>
              </w:rPr>
              <w:t xml:space="preserve">Section </w:t>
            </w:r>
            <w:r w:rsidR="00913F84">
              <w:rPr>
                <w:rStyle w:val="AERtextsize8"/>
              </w:rPr>
              <w:t xml:space="preserve">1.5 </w:t>
            </w:r>
            <w:r w:rsidRPr="0028545E">
              <w:rPr>
                <w:rStyle w:val="AERtextsize8"/>
              </w:rPr>
              <w:t xml:space="preserve">of </w:t>
            </w:r>
            <w:r>
              <w:rPr>
                <w:rStyle w:val="AERtextsize8"/>
              </w:rPr>
              <w:t>Jemena</w:t>
            </w:r>
            <w:r w:rsidRPr="0028545E">
              <w:rPr>
                <w:rStyle w:val="AERtextsize8"/>
              </w:rPr>
              <w:t>'s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9903F6">
            <w:pPr>
              <w:pStyle w:val="AERbodytextnospaceleftalign"/>
              <w:keepNext/>
              <w:rPr>
                <w:rStyle w:val="AERtextsize8"/>
              </w:rPr>
            </w:pPr>
            <w:r w:rsidRPr="00602E99">
              <w:rPr>
                <w:rStyle w:val="AERtextsize8"/>
              </w:rPr>
              <w:t>Requirement for a distributor</w:t>
            </w:r>
            <w:r w:rsidRPr="0028545E">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28545E" w:rsidRPr="0028545E" w:rsidRDefault="0028545E" w:rsidP="009903F6">
            <w:pPr>
              <w:pStyle w:val="AERbodytextnospaceleftalign"/>
              <w:keepNext/>
              <w:rPr>
                <w:rStyle w:val="AERtextsize8"/>
              </w:rPr>
            </w:pPr>
            <w:r>
              <w:rPr>
                <w:rStyle w:val="AERtextsize8"/>
              </w:rPr>
              <w:t>Section 4 of Jemena's framework</w:t>
            </w:r>
          </w:p>
        </w:tc>
      </w:tr>
      <w:tr w:rsidR="0028545E" w:rsidTr="008F4941">
        <w:tc>
          <w:tcPr>
            <w:tcW w:w="6085" w:type="dxa"/>
          </w:tcPr>
          <w:p w:rsidR="0028545E" w:rsidRPr="0028545E" w:rsidRDefault="0028545E" w:rsidP="009903F6">
            <w:pPr>
              <w:pStyle w:val="AERbodytextnospaceleftalign"/>
              <w:keepNext/>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28545E" w:rsidRPr="0028545E" w:rsidRDefault="0028545E" w:rsidP="009903F6">
            <w:pPr>
              <w:pStyle w:val="AERbodytextnospaceleftalign"/>
              <w:keepNext/>
              <w:rPr>
                <w:rStyle w:val="AERtextsize8"/>
              </w:rPr>
            </w:pPr>
            <w:r>
              <w:rPr>
                <w:rStyle w:val="AERtextsize8"/>
              </w:rPr>
              <w:t>Section 4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9903F6">
            <w:pPr>
              <w:pStyle w:val="AERbodytextnospaceleftalign"/>
              <w:keepNext/>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28545E" w:rsidRPr="0028545E" w:rsidRDefault="0028545E" w:rsidP="009903F6">
            <w:pPr>
              <w:pStyle w:val="AERbodytextnospaceleftalign"/>
              <w:keepNext/>
              <w:rPr>
                <w:rStyle w:val="AERtextsize8"/>
              </w:rPr>
            </w:pPr>
            <w:r>
              <w:rPr>
                <w:rStyle w:val="AERtextsize8"/>
              </w:rPr>
              <w:t xml:space="preserve">Section </w:t>
            </w:r>
            <w:r w:rsidR="00913F84">
              <w:rPr>
                <w:rStyle w:val="AERtextsize8"/>
              </w:rPr>
              <w:t>3.1</w:t>
            </w:r>
            <w:r>
              <w:rPr>
                <w:rStyle w:val="AERtextsize8"/>
              </w:rPr>
              <w:t xml:space="preserve"> of Jemena's framework</w:t>
            </w:r>
          </w:p>
        </w:tc>
      </w:tr>
      <w:tr w:rsidR="0028545E" w:rsidTr="008F4941">
        <w:tc>
          <w:tcPr>
            <w:tcW w:w="6085" w:type="dxa"/>
          </w:tcPr>
          <w:p w:rsidR="0028545E" w:rsidRPr="0028545E" w:rsidRDefault="0028545E" w:rsidP="009903F6">
            <w:pPr>
              <w:pStyle w:val="AERbodytextnospaceleftalign"/>
              <w:keepNext/>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28545E" w:rsidRPr="0028545E" w:rsidRDefault="0028545E" w:rsidP="009903F6">
            <w:pPr>
              <w:pStyle w:val="AERbodytextnospaceleftalign"/>
              <w:keepNext/>
              <w:rPr>
                <w:rStyle w:val="AERtextsize8"/>
              </w:rPr>
            </w:pPr>
            <w:r>
              <w:rPr>
                <w:rStyle w:val="AERtextsize8"/>
              </w:rPr>
              <w:t xml:space="preserve">Section </w:t>
            </w:r>
            <w:r w:rsidR="00913F84">
              <w:rPr>
                <w:rStyle w:val="AERtextsize8"/>
              </w:rPr>
              <w:t>2</w:t>
            </w:r>
            <w:r>
              <w:rPr>
                <w:rStyle w:val="AERtextsize8"/>
              </w:rPr>
              <w:t xml:space="preserve">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9903F6">
            <w:pPr>
              <w:pStyle w:val="AERbodytextnospaceleftalign"/>
              <w:keepNext/>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28545E" w:rsidRPr="0028545E" w:rsidRDefault="0028545E" w:rsidP="009903F6">
            <w:pPr>
              <w:pStyle w:val="AERbodytextnospaceleftalign"/>
              <w:keepNext/>
              <w:rPr>
                <w:rStyle w:val="AERtextsize8"/>
              </w:rPr>
            </w:pPr>
            <w:r>
              <w:rPr>
                <w:rStyle w:val="AERtextsize8"/>
              </w:rPr>
              <w:t xml:space="preserve">Section </w:t>
            </w:r>
            <w:r w:rsidR="00913F84">
              <w:rPr>
                <w:rStyle w:val="AERtextsize8"/>
              </w:rPr>
              <w:t>10</w:t>
            </w:r>
            <w:r>
              <w:rPr>
                <w:rStyle w:val="AERtextsize8"/>
              </w:rPr>
              <w:t xml:space="preserve"> of Jemena's framework</w:t>
            </w:r>
          </w:p>
        </w:tc>
      </w:tr>
      <w:tr w:rsidR="0028545E" w:rsidTr="008F4941">
        <w:tc>
          <w:tcPr>
            <w:tcW w:w="6085" w:type="dxa"/>
          </w:tcPr>
          <w:p w:rsidR="0028545E" w:rsidRPr="0028545E" w:rsidRDefault="0028545E" w:rsidP="009903F6">
            <w:pPr>
              <w:pStyle w:val="AERbodytextnospaceleftalign"/>
              <w:keepNext/>
              <w:rPr>
                <w:rStyle w:val="AERtextsize8"/>
              </w:rPr>
            </w:pPr>
            <w:r w:rsidRPr="00602E99">
              <w:rPr>
                <w:rStyle w:val="AERtextsize8"/>
              </w:rPr>
              <w:t xml:space="preserve">Requirements to specify arrangements for the payment of a </w:t>
            </w:r>
            <w:r w:rsidRPr="0028545E">
              <w:rPr>
                <w:rStyle w:val="AERtextsize8"/>
              </w:rPr>
              <w:t>distributor's reasonable direct expenses incurred in processing the application to provide the negotiated distribution service— cl. 6.7.5(c)(7)</w:t>
            </w:r>
          </w:p>
        </w:tc>
        <w:tc>
          <w:tcPr>
            <w:tcW w:w="3118" w:type="dxa"/>
          </w:tcPr>
          <w:p w:rsidR="0028545E" w:rsidRPr="0028545E" w:rsidRDefault="0028545E" w:rsidP="009903F6">
            <w:pPr>
              <w:pStyle w:val="AERbodytextnospaceleftalign"/>
              <w:keepNext/>
              <w:rPr>
                <w:rStyle w:val="AERtextsize8"/>
              </w:rPr>
            </w:pPr>
            <w:r>
              <w:rPr>
                <w:rStyle w:val="AERtextsize8"/>
              </w:rPr>
              <w:t xml:space="preserve">Section </w:t>
            </w:r>
            <w:r w:rsidR="00913F84">
              <w:rPr>
                <w:rStyle w:val="AERtextsize8"/>
              </w:rPr>
              <w:t>7</w:t>
            </w:r>
            <w:r>
              <w:rPr>
                <w:rStyle w:val="AERtextsize8"/>
              </w:rPr>
              <w:t xml:space="preserve">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9903F6">
            <w:pPr>
              <w:pStyle w:val="AERbodytextnospaceleftalign"/>
              <w:keepNext/>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28545E" w:rsidRPr="0028545E" w:rsidRDefault="0028545E" w:rsidP="009903F6">
            <w:pPr>
              <w:pStyle w:val="AERbodytextnospaceleftalign"/>
              <w:keepNext/>
              <w:rPr>
                <w:rStyle w:val="AERtextsize8"/>
              </w:rPr>
            </w:pPr>
            <w:r>
              <w:rPr>
                <w:rStyle w:val="AERtextsize8"/>
              </w:rPr>
              <w:t xml:space="preserve">Section </w:t>
            </w:r>
            <w:r w:rsidR="00913F84">
              <w:rPr>
                <w:rStyle w:val="AERtextsize8"/>
              </w:rPr>
              <w:t>6</w:t>
            </w:r>
            <w:r>
              <w:rPr>
                <w:rStyle w:val="AERtextsize8"/>
              </w:rPr>
              <w:t xml:space="preserve"> of Jemena's framework</w:t>
            </w:r>
          </w:p>
        </w:tc>
      </w:tr>
      <w:tr w:rsidR="0028545E" w:rsidTr="008F4941">
        <w:tc>
          <w:tcPr>
            <w:tcW w:w="6085" w:type="dxa"/>
          </w:tcPr>
          <w:p w:rsidR="0028545E" w:rsidRPr="0028545E" w:rsidRDefault="0028545E" w:rsidP="009903F6">
            <w:pPr>
              <w:pStyle w:val="AERbodytextnospaceleftalign"/>
              <w:keepNext/>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28545E" w:rsidRPr="0028545E" w:rsidRDefault="0028545E" w:rsidP="009903F6">
            <w:pPr>
              <w:pStyle w:val="AERbodytextnospaceleftalign"/>
              <w:keepNext/>
              <w:rPr>
                <w:rStyle w:val="AERtextsize8"/>
              </w:rPr>
            </w:pPr>
            <w:r>
              <w:rPr>
                <w:rStyle w:val="AERtextsize8"/>
              </w:rPr>
              <w:t xml:space="preserve">Section </w:t>
            </w:r>
            <w:r w:rsidR="00913F84">
              <w:rPr>
                <w:rStyle w:val="AERtextsize8"/>
              </w:rPr>
              <w:t>6</w:t>
            </w:r>
            <w:r>
              <w:rPr>
                <w:rStyle w:val="AERtextsize8"/>
              </w:rPr>
              <w:t xml:space="preserve"> of Jemena's framework</w:t>
            </w:r>
          </w:p>
        </w:tc>
      </w:tr>
      <w:tr w:rsidR="0028545E"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28545E" w:rsidRPr="0028545E" w:rsidRDefault="0028545E" w:rsidP="009903F6">
            <w:pPr>
              <w:pStyle w:val="AERbodytextnospaceleftalign"/>
              <w:keepNext/>
              <w:rPr>
                <w:rStyle w:val="AERtextsize8"/>
              </w:rPr>
            </w:pPr>
            <w:r w:rsidRPr="00602E99">
              <w:rPr>
                <w:rStyle w:val="AERtextsize8"/>
              </w:rPr>
              <w:t>Requirement that the distributor publish the results of negotiations on its website</w:t>
            </w:r>
            <w:r w:rsidRPr="0028545E">
              <w:rPr>
                <w:rStyle w:val="AERtextsize8"/>
              </w:rPr>
              <w:t xml:space="preserve"> − cl. 6.7.5(c)(10)</w:t>
            </w:r>
          </w:p>
        </w:tc>
        <w:tc>
          <w:tcPr>
            <w:tcW w:w="3118" w:type="dxa"/>
          </w:tcPr>
          <w:p w:rsidR="0028545E" w:rsidRPr="0028545E" w:rsidRDefault="00913F84" w:rsidP="009903F6">
            <w:pPr>
              <w:pStyle w:val="AERbodytextnospaceleftalign"/>
              <w:keepNext/>
              <w:rPr>
                <w:rStyle w:val="AERtextsize8"/>
              </w:rPr>
            </w:pPr>
            <w:r>
              <w:rPr>
                <w:rStyle w:val="AERtextsize8"/>
              </w:rPr>
              <w:t xml:space="preserve">Section 9 </w:t>
            </w:r>
            <w:r w:rsidR="0028545E">
              <w:rPr>
                <w:rStyle w:val="AERtextsize8"/>
              </w:rPr>
              <w:t>of Jemena's framework</w:t>
            </w:r>
          </w:p>
        </w:tc>
      </w:tr>
    </w:tbl>
    <w:p w:rsidR="0028545E" w:rsidRDefault="0028545E" w:rsidP="009903F6">
      <w:pPr>
        <w:pStyle w:val="AERtablesource"/>
        <w:keepNext/>
      </w:pPr>
      <w:r>
        <w:t>Source:</w:t>
      </w:r>
      <w:r>
        <w:tab/>
        <w:t xml:space="preserve">AER analysis. </w:t>
      </w:r>
    </w:p>
    <w:p w:rsidR="0028545E" w:rsidRDefault="0028545E" w:rsidP="0028545E">
      <w:pPr>
        <w:pStyle w:val="HeadingBoldBlue"/>
        <w:numPr>
          <w:ilvl w:val="0"/>
          <w:numId w:val="24"/>
        </w:numPr>
      </w:pPr>
      <w:r>
        <w:t>Negotiated distribution services criteria</w:t>
      </w:r>
    </w:p>
    <w:p w:rsidR="0028545E" w:rsidRDefault="0028545E" w:rsidP="0028545E">
      <w:pPr>
        <w:numPr>
          <w:ilvl w:val="0"/>
          <w:numId w:val="24"/>
        </w:numPr>
      </w:pPr>
      <w:r>
        <w:t xml:space="preserve">In May 2015, we published an invitation for submissions on </w:t>
      </w:r>
      <w:r w:rsidRPr="008E68A3">
        <w:t xml:space="preserve">our proposed NDSC for </w:t>
      </w:r>
      <w:r>
        <w:t>the Victorian distributors including Jemena</w:t>
      </w:r>
      <w:r w:rsidRPr="008E68A3">
        <w:t xml:space="preserve">. We did not receive any submissions in response to our proposed NDSC. The NDSC </w:t>
      </w:r>
      <w:r>
        <w:t xml:space="preserve">we have decided to apply to Jemena </w:t>
      </w:r>
      <w:r w:rsidRPr="008E68A3">
        <w:t>follow:</w:t>
      </w:r>
    </w:p>
    <w:p w:rsidR="0028545E" w:rsidRDefault="0028545E" w:rsidP="009903F6">
      <w:pPr>
        <w:pStyle w:val="HeadingBoldItalic"/>
        <w:keepNext/>
        <w:numPr>
          <w:ilvl w:val="0"/>
          <w:numId w:val="24"/>
        </w:numPr>
      </w:pPr>
      <w:r>
        <w:t>National Electricity Objective</w:t>
      </w:r>
    </w:p>
    <w:p w:rsidR="0028545E" w:rsidRPr="00327200" w:rsidRDefault="0028545E" w:rsidP="009903F6">
      <w:pPr>
        <w:pStyle w:val="ListNumber"/>
        <w:keepNext/>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28545E" w:rsidRPr="00CF4C8F" w:rsidRDefault="0028545E" w:rsidP="0028545E">
      <w:pPr>
        <w:pStyle w:val="HeadingBoldItalic"/>
      </w:pPr>
      <w:r w:rsidRPr="00CF4C8F">
        <w:t>Criteria for terms and conditions of access</w:t>
      </w:r>
    </w:p>
    <w:p w:rsidR="0028545E" w:rsidRPr="00CF4C8F" w:rsidRDefault="0028545E" w:rsidP="0028545E">
      <w:pPr>
        <w:pStyle w:val="HeadingItalic"/>
      </w:pPr>
      <w:r w:rsidRPr="00CF4C8F">
        <w:t>Terms and Conditions of Access</w:t>
      </w:r>
    </w:p>
    <w:p w:rsidR="0028545E" w:rsidRPr="00327200" w:rsidRDefault="0028545E" w:rsidP="0028545E">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28545E" w:rsidRPr="00327200" w:rsidRDefault="0028545E" w:rsidP="0028545E">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28545E" w:rsidRPr="00327200" w:rsidRDefault="0028545E" w:rsidP="0028545E">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28545E" w:rsidRPr="00BD2FE2" w:rsidRDefault="0028545E" w:rsidP="0028545E">
      <w:pPr>
        <w:pStyle w:val="HeadingItalic"/>
      </w:pPr>
      <w:r w:rsidRPr="00BD2FE2">
        <w:t>Price of Services</w:t>
      </w:r>
    </w:p>
    <w:p w:rsidR="0028545E" w:rsidRPr="00327200" w:rsidRDefault="0028545E" w:rsidP="0028545E">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28545E" w:rsidRPr="00327200" w:rsidRDefault="0028545E" w:rsidP="0028545E">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28545E" w:rsidRPr="00327200" w:rsidRDefault="0028545E" w:rsidP="0028545E">
      <w:pPr>
        <w:pStyle w:val="ListNumber"/>
        <w:numPr>
          <w:ilvl w:val="1"/>
          <w:numId w:val="24"/>
        </w:numPr>
      </w:pPr>
      <w:r w:rsidRPr="00124B21">
        <w:t>If a negotiated distribution service is a shared distribution service that:</w:t>
      </w:r>
    </w:p>
    <w:p w:rsidR="0028545E" w:rsidRPr="00327200" w:rsidRDefault="0028545E" w:rsidP="0028545E">
      <w:pPr>
        <w:pStyle w:val="AERnumberedlistthirdstyle"/>
        <w:numPr>
          <w:ilvl w:val="3"/>
          <w:numId w:val="24"/>
        </w:numPr>
      </w:pPr>
      <w:r w:rsidRPr="00124B21">
        <w:t>exceeds any network performance requirements which it is required to meet under any relevant electricity legislation: or</w:t>
      </w:r>
    </w:p>
    <w:p w:rsidR="0028545E" w:rsidRPr="00327200" w:rsidRDefault="0028545E" w:rsidP="0028545E">
      <w:pPr>
        <w:pStyle w:val="AERnumberedlistthirdstyle"/>
        <w:numPr>
          <w:ilvl w:val="3"/>
          <w:numId w:val="24"/>
        </w:numPr>
      </w:pPr>
      <w:r w:rsidRPr="00124B21">
        <w:t>exceeds the network performance requirements set out in schedule 5.1a and 5.1 of the NER,</w:t>
      </w:r>
    </w:p>
    <w:p w:rsidR="0028545E" w:rsidRPr="0028545E" w:rsidRDefault="0028545E" w:rsidP="004330CA">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28545E">
        <w:t xml:space="preserve"> a distributor’s incremental cost of providing that service (as appropriate).</w:t>
      </w:r>
    </w:p>
    <w:p w:rsidR="0028545E" w:rsidRPr="00327200" w:rsidRDefault="0028545E" w:rsidP="0028545E">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28545E" w:rsidRPr="00327200" w:rsidRDefault="0028545E" w:rsidP="0028545E">
      <w:pPr>
        <w:pStyle w:val="ListNumber"/>
        <w:numPr>
          <w:ilvl w:val="1"/>
          <w:numId w:val="24"/>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28545E" w:rsidRPr="00327200" w:rsidRDefault="0028545E" w:rsidP="0028545E">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28545E" w:rsidRPr="00327200" w:rsidRDefault="0028545E" w:rsidP="0028545E">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28545E" w:rsidRPr="00BD2FE2" w:rsidRDefault="0028545E" w:rsidP="0028545E">
      <w:pPr>
        <w:pStyle w:val="HeadingBoldItalic"/>
      </w:pPr>
      <w:r w:rsidRPr="00BD2FE2">
        <w:t>Criteria for access charges</w:t>
      </w:r>
    </w:p>
    <w:p w:rsidR="0028545E" w:rsidRPr="00BD2FE2" w:rsidRDefault="0028545E" w:rsidP="0028545E">
      <w:pPr>
        <w:pStyle w:val="HeadingItalic"/>
      </w:pPr>
      <w:r w:rsidRPr="00BD2FE2">
        <w:t>Access Charges</w:t>
      </w:r>
    </w:p>
    <w:p w:rsidR="0028545E" w:rsidRPr="00327200" w:rsidRDefault="0028545E" w:rsidP="0028545E">
      <w:pPr>
        <w:pStyle w:val="ListNumber"/>
        <w:numPr>
          <w:ilvl w:val="1"/>
          <w:numId w:val="24"/>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28545E" w:rsidRPr="00327200" w:rsidRDefault="0028545E" w:rsidP="0028545E">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28545E" w:rsidRDefault="00BD7940" w:rsidP="0028545E">
      <w:pPr>
        <w:numPr>
          <w:ilvl w:val="0"/>
          <w:numId w:val="24"/>
        </w:numPr>
      </w:pPr>
      <w:r>
        <w:t>This attachment therefore sets out</w:t>
      </w:r>
      <w:r w:rsidR="0028545E">
        <w:t xml:space="preserve"> our constituent decisions on the negotiating framework and NDSC to apply to </w:t>
      </w:r>
      <w:r w:rsidR="004330CA">
        <w:t>Jemena</w:t>
      </w:r>
      <w:r w:rsidR="0028545E">
        <w:t xml:space="preserve"> for the 2016</w:t>
      </w:r>
      <w:r w:rsidR="0028545E" w:rsidRPr="00A856C0">
        <w:t>–2</w:t>
      </w:r>
      <w:r w:rsidR="008E66B6">
        <w:t>0</w:t>
      </w:r>
      <w:r w:rsidR="0028545E">
        <w:t xml:space="preserve"> regulatory control period. </w:t>
      </w:r>
    </w:p>
    <w:p w:rsidR="0028545E" w:rsidRDefault="0028545E" w:rsidP="0028545E">
      <w:pPr>
        <w:pStyle w:val="Heading7"/>
      </w:pPr>
      <w:bookmarkStart w:id="22" w:name="_Toc404684208"/>
      <w:bookmarkStart w:id="23" w:name="_Toc408404907"/>
      <w:r>
        <w:t>Jemena's negotiating framework</w:t>
      </w:r>
      <w:bookmarkEnd w:id="22"/>
      <w:bookmarkEnd w:id="23"/>
    </w:p>
    <w:p w:rsidR="0028545E" w:rsidRDefault="00CB0F9C">
      <w:pPr>
        <w:spacing w:line="240" w:lineRule="auto"/>
      </w:pPr>
      <w:r w:rsidRPr="00CB0F9C">
        <w:rPr>
          <w:noProof/>
          <w:lang w:eastAsia="en-AU"/>
        </w:rPr>
        <w:drawing>
          <wp:inline distT="0" distB="0" distL="0" distR="0" wp14:anchorId="3455EADF" wp14:editId="5F2036AA">
            <wp:extent cx="5695950" cy="8061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97294" cy="8062920"/>
                    </a:xfrm>
                    <a:prstGeom prst="rect">
                      <a:avLst/>
                    </a:prstGeom>
                  </pic:spPr>
                </pic:pic>
              </a:graphicData>
            </a:graphic>
          </wp:inline>
        </w:drawing>
      </w:r>
    </w:p>
    <w:p w:rsidR="00CB0F9C" w:rsidRDefault="00CB0F9C">
      <w:pPr>
        <w:spacing w:line="240" w:lineRule="auto"/>
      </w:pPr>
      <w:r w:rsidRPr="00CB0F9C">
        <w:rPr>
          <w:noProof/>
          <w:lang w:eastAsia="en-AU"/>
        </w:rPr>
        <w:drawing>
          <wp:inline distT="0" distB="0" distL="0" distR="0" wp14:anchorId="45915957" wp14:editId="741D4362">
            <wp:extent cx="5581650" cy="797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2967" cy="7972147"/>
                    </a:xfrm>
                    <a:prstGeom prst="rect">
                      <a:avLst/>
                    </a:prstGeom>
                  </pic:spPr>
                </pic:pic>
              </a:graphicData>
            </a:graphic>
          </wp:inline>
        </w:drawing>
      </w:r>
    </w:p>
    <w:p w:rsidR="00CB0F9C" w:rsidRDefault="00CB0F9C">
      <w:pPr>
        <w:spacing w:line="240" w:lineRule="auto"/>
      </w:pPr>
    </w:p>
    <w:p w:rsidR="00CB0F9C" w:rsidRDefault="00CB0F9C">
      <w:pPr>
        <w:spacing w:line="240" w:lineRule="auto"/>
      </w:pPr>
      <w:r w:rsidRPr="00CB0F9C">
        <w:rPr>
          <w:noProof/>
          <w:lang w:eastAsia="en-AU"/>
        </w:rPr>
        <w:drawing>
          <wp:inline distT="0" distB="0" distL="0" distR="0" wp14:anchorId="6EAB6279" wp14:editId="3FED9BA4">
            <wp:extent cx="5610225" cy="796098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1549" cy="7962863"/>
                    </a:xfrm>
                    <a:prstGeom prst="rect">
                      <a:avLst/>
                    </a:prstGeom>
                  </pic:spPr>
                </pic:pic>
              </a:graphicData>
            </a:graphic>
          </wp:inline>
        </w:drawing>
      </w:r>
    </w:p>
    <w:p w:rsidR="00CB0F9C" w:rsidRDefault="00CB0F9C">
      <w:pPr>
        <w:spacing w:line="240" w:lineRule="auto"/>
      </w:pPr>
      <w:r w:rsidRPr="00CB0F9C">
        <w:rPr>
          <w:noProof/>
          <w:lang w:eastAsia="en-AU"/>
        </w:rPr>
        <w:drawing>
          <wp:inline distT="0" distB="0" distL="0" distR="0" wp14:anchorId="5582DB4C" wp14:editId="1823CAE1">
            <wp:extent cx="5649178" cy="79629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50511" cy="7964779"/>
                    </a:xfrm>
                    <a:prstGeom prst="rect">
                      <a:avLst/>
                    </a:prstGeom>
                  </pic:spPr>
                </pic:pic>
              </a:graphicData>
            </a:graphic>
          </wp:inline>
        </w:drawing>
      </w:r>
    </w:p>
    <w:p w:rsidR="00CB0F9C" w:rsidRDefault="00CB0F9C">
      <w:pPr>
        <w:spacing w:line="240" w:lineRule="auto"/>
      </w:pPr>
    </w:p>
    <w:p w:rsidR="00CB0F9C" w:rsidRDefault="00CB0F9C">
      <w:pPr>
        <w:spacing w:line="240" w:lineRule="auto"/>
      </w:pPr>
    </w:p>
    <w:p w:rsidR="00CB0F9C" w:rsidRDefault="00CB0F9C">
      <w:pPr>
        <w:spacing w:line="240" w:lineRule="auto"/>
      </w:pPr>
      <w:r w:rsidRPr="00CB0F9C">
        <w:rPr>
          <w:noProof/>
          <w:lang w:eastAsia="en-AU"/>
        </w:rPr>
        <w:drawing>
          <wp:inline distT="0" distB="0" distL="0" distR="0" wp14:anchorId="607A90A8" wp14:editId="590C5E5D">
            <wp:extent cx="5574251" cy="79248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7297" cy="7929130"/>
                    </a:xfrm>
                    <a:prstGeom prst="rect">
                      <a:avLst/>
                    </a:prstGeom>
                  </pic:spPr>
                </pic:pic>
              </a:graphicData>
            </a:graphic>
          </wp:inline>
        </w:drawing>
      </w:r>
    </w:p>
    <w:p w:rsidR="00CB0F9C" w:rsidRDefault="00CB0F9C">
      <w:pPr>
        <w:spacing w:line="240" w:lineRule="auto"/>
      </w:pPr>
    </w:p>
    <w:p w:rsidR="00CB0F9C" w:rsidRDefault="00CB0F9C">
      <w:pPr>
        <w:spacing w:line="240" w:lineRule="auto"/>
      </w:pPr>
    </w:p>
    <w:p w:rsidR="00CB0F9C" w:rsidRDefault="00CB0F9C">
      <w:pPr>
        <w:spacing w:line="240" w:lineRule="auto"/>
      </w:pPr>
      <w:r w:rsidRPr="00CB0F9C">
        <w:rPr>
          <w:noProof/>
          <w:lang w:eastAsia="en-AU"/>
        </w:rPr>
        <w:drawing>
          <wp:inline distT="0" distB="0" distL="0" distR="0" wp14:anchorId="6F61AB02" wp14:editId="10EA5275">
            <wp:extent cx="5638800" cy="805187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40131" cy="8053773"/>
                    </a:xfrm>
                    <a:prstGeom prst="rect">
                      <a:avLst/>
                    </a:prstGeom>
                  </pic:spPr>
                </pic:pic>
              </a:graphicData>
            </a:graphic>
          </wp:inline>
        </w:drawing>
      </w:r>
    </w:p>
    <w:p w:rsidR="00CB0F9C" w:rsidRDefault="00CB0F9C">
      <w:pPr>
        <w:spacing w:line="240" w:lineRule="auto"/>
      </w:pPr>
    </w:p>
    <w:p w:rsidR="00CB0F9C" w:rsidRDefault="00CB0F9C">
      <w:pPr>
        <w:spacing w:line="240" w:lineRule="auto"/>
      </w:pPr>
    </w:p>
    <w:p w:rsidR="00CB0F9C" w:rsidRDefault="00CB0F9C">
      <w:pPr>
        <w:spacing w:line="240" w:lineRule="auto"/>
      </w:pPr>
      <w:r w:rsidRPr="00CB0F9C">
        <w:rPr>
          <w:noProof/>
          <w:lang w:eastAsia="en-AU"/>
        </w:rPr>
        <w:drawing>
          <wp:inline distT="0" distB="0" distL="0" distR="0" wp14:anchorId="23F5EEC4" wp14:editId="2CD5AC0C">
            <wp:extent cx="5572125" cy="793916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73522" cy="7941152"/>
                    </a:xfrm>
                    <a:prstGeom prst="rect">
                      <a:avLst/>
                    </a:prstGeom>
                  </pic:spPr>
                </pic:pic>
              </a:graphicData>
            </a:graphic>
          </wp:inline>
        </w:drawing>
      </w:r>
    </w:p>
    <w:p w:rsidR="0028545E" w:rsidRDefault="0028545E">
      <w:pPr>
        <w:spacing w:line="240" w:lineRule="auto"/>
      </w:pPr>
    </w:p>
    <w:p w:rsidR="0028545E" w:rsidRDefault="0028545E">
      <w:pPr>
        <w:spacing w:line="240" w:lineRule="auto"/>
      </w:pPr>
    </w:p>
    <w:p w:rsidR="0028545E" w:rsidRDefault="00CB0F9C">
      <w:pPr>
        <w:spacing w:line="240" w:lineRule="auto"/>
      </w:pPr>
      <w:r w:rsidRPr="00CB0F9C">
        <w:rPr>
          <w:noProof/>
          <w:lang w:eastAsia="en-AU"/>
        </w:rPr>
        <w:drawing>
          <wp:inline distT="0" distB="0" distL="0" distR="0" wp14:anchorId="50BA8AA2" wp14:editId="1F653967">
            <wp:extent cx="5531279" cy="786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32584" cy="7869507"/>
                    </a:xfrm>
                    <a:prstGeom prst="rect">
                      <a:avLst/>
                    </a:prstGeom>
                  </pic:spPr>
                </pic:pic>
              </a:graphicData>
            </a:graphic>
          </wp:inline>
        </w:drawing>
      </w:r>
    </w:p>
    <w:p w:rsidR="00CB0F9C" w:rsidRDefault="00CB0F9C">
      <w:pPr>
        <w:spacing w:line="240" w:lineRule="auto"/>
      </w:pPr>
    </w:p>
    <w:p w:rsidR="00CB0F9C" w:rsidRDefault="00CB0F9C">
      <w:pPr>
        <w:spacing w:line="240" w:lineRule="auto"/>
      </w:pPr>
    </w:p>
    <w:p w:rsidR="00CB0F9C" w:rsidRDefault="00CB0F9C">
      <w:pPr>
        <w:spacing w:line="240" w:lineRule="auto"/>
      </w:pPr>
    </w:p>
    <w:p w:rsidR="00CB0F9C" w:rsidRDefault="00FE2CB8">
      <w:pPr>
        <w:spacing w:line="240" w:lineRule="auto"/>
      </w:pPr>
      <w:r w:rsidRPr="00FE2CB8">
        <w:rPr>
          <w:noProof/>
          <w:lang w:eastAsia="en-AU"/>
        </w:rPr>
        <w:drawing>
          <wp:inline distT="0" distB="0" distL="0" distR="0" wp14:anchorId="1614FABD" wp14:editId="3DE3CF98">
            <wp:extent cx="5642301" cy="802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44331" cy="8022936"/>
                    </a:xfrm>
                    <a:prstGeom prst="rect">
                      <a:avLst/>
                    </a:prstGeom>
                  </pic:spPr>
                </pic:pic>
              </a:graphicData>
            </a:graphic>
          </wp:inline>
        </w:drawing>
      </w:r>
    </w:p>
    <w:p w:rsidR="00FE2CB8" w:rsidRDefault="00FE2CB8">
      <w:pPr>
        <w:spacing w:line="240" w:lineRule="auto"/>
      </w:pPr>
    </w:p>
    <w:p w:rsidR="00FE2CB8" w:rsidRDefault="00FE2CB8">
      <w:pPr>
        <w:spacing w:line="240" w:lineRule="auto"/>
      </w:pPr>
    </w:p>
    <w:p w:rsidR="00FE2CB8" w:rsidRDefault="00FE2CB8">
      <w:pPr>
        <w:spacing w:line="240" w:lineRule="auto"/>
      </w:pPr>
      <w:r w:rsidRPr="00FE2CB8">
        <w:rPr>
          <w:noProof/>
          <w:lang w:eastAsia="en-AU"/>
        </w:rPr>
        <w:drawing>
          <wp:inline distT="0" distB="0" distL="0" distR="0" wp14:anchorId="659397A4" wp14:editId="6A2D675C">
            <wp:extent cx="5562600" cy="79147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63913" cy="7916592"/>
                    </a:xfrm>
                    <a:prstGeom prst="rect">
                      <a:avLst/>
                    </a:prstGeom>
                  </pic:spPr>
                </pic:pic>
              </a:graphicData>
            </a:graphic>
          </wp:inline>
        </w:drawing>
      </w:r>
    </w:p>
    <w:p w:rsidR="00FE2CB8" w:rsidRDefault="00FE2CB8">
      <w:pPr>
        <w:spacing w:line="240" w:lineRule="auto"/>
      </w:pPr>
    </w:p>
    <w:p w:rsidR="00FE2CB8" w:rsidRDefault="00FE2CB8">
      <w:pPr>
        <w:spacing w:line="240" w:lineRule="auto"/>
      </w:pPr>
    </w:p>
    <w:p w:rsidR="00FE2CB8" w:rsidRDefault="00AC1F51">
      <w:pPr>
        <w:spacing w:line="240" w:lineRule="auto"/>
      </w:pPr>
      <w:r w:rsidRPr="00AC1F51">
        <w:rPr>
          <w:noProof/>
          <w:lang w:eastAsia="en-AU"/>
        </w:rPr>
        <w:drawing>
          <wp:inline distT="0" distB="0" distL="0" distR="0" wp14:anchorId="2CA2A1C1" wp14:editId="76242E7E">
            <wp:extent cx="5581650" cy="794182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82967" cy="7943703"/>
                    </a:xfrm>
                    <a:prstGeom prst="rect">
                      <a:avLst/>
                    </a:prstGeom>
                  </pic:spPr>
                </pic:pic>
              </a:graphicData>
            </a:graphic>
          </wp:inline>
        </w:drawing>
      </w:r>
    </w:p>
    <w:p w:rsidR="00AC1F51" w:rsidRDefault="00AC1F51">
      <w:pPr>
        <w:spacing w:line="240" w:lineRule="auto"/>
      </w:pPr>
    </w:p>
    <w:p w:rsidR="00AC1F51" w:rsidRDefault="00AC1F51">
      <w:pPr>
        <w:spacing w:line="240" w:lineRule="auto"/>
      </w:pPr>
    </w:p>
    <w:p w:rsidR="00AC1F51" w:rsidRDefault="00AC1F51">
      <w:pPr>
        <w:spacing w:line="240" w:lineRule="auto"/>
      </w:pPr>
      <w:r w:rsidRPr="00AC1F51">
        <w:rPr>
          <w:noProof/>
          <w:lang w:eastAsia="en-AU"/>
        </w:rPr>
        <w:drawing>
          <wp:inline distT="0" distB="0" distL="0" distR="0" wp14:anchorId="5EBA84F3" wp14:editId="348B5809">
            <wp:extent cx="5539378" cy="79152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2981" cy="7920424"/>
                    </a:xfrm>
                    <a:prstGeom prst="rect">
                      <a:avLst/>
                    </a:prstGeom>
                  </pic:spPr>
                </pic:pic>
              </a:graphicData>
            </a:graphic>
          </wp:inline>
        </w:drawing>
      </w:r>
    </w:p>
    <w:p w:rsidR="00AC1F51" w:rsidRDefault="00AC1F51">
      <w:pPr>
        <w:spacing w:line="240" w:lineRule="auto"/>
      </w:pPr>
    </w:p>
    <w:p w:rsidR="00AC1F51" w:rsidRDefault="00AC1F51">
      <w:pPr>
        <w:spacing w:line="240" w:lineRule="auto"/>
      </w:pPr>
    </w:p>
    <w:p w:rsidR="00AC1F51" w:rsidRDefault="00AC1F51">
      <w:pPr>
        <w:spacing w:line="240" w:lineRule="auto"/>
      </w:pPr>
      <w:r w:rsidRPr="00AC1F51">
        <w:rPr>
          <w:noProof/>
          <w:lang w:eastAsia="en-AU"/>
        </w:rPr>
        <w:drawing>
          <wp:inline distT="0" distB="0" distL="0" distR="0" wp14:anchorId="64C2CB2F" wp14:editId="1FF9A50A">
            <wp:extent cx="5563042" cy="792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64355" cy="7926670"/>
                    </a:xfrm>
                    <a:prstGeom prst="rect">
                      <a:avLst/>
                    </a:prstGeom>
                  </pic:spPr>
                </pic:pic>
              </a:graphicData>
            </a:graphic>
          </wp:inline>
        </w:drawing>
      </w:r>
    </w:p>
    <w:p w:rsidR="00AC1F51" w:rsidRDefault="00AC1F51">
      <w:pPr>
        <w:spacing w:line="240" w:lineRule="auto"/>
      </w:pPr>
    </w:p>
    <w:sectPr w:rsidR="00AC1F51" w:rsidSect="00B757A6">
      <w:headerReference w:type="even" r:id="rId25"/>
      <w:footerReference w:type="even" r:id="rId26"/>
      <w:footerReference w:type="default" r:id="rId27"/>
      <w:headerReference w:type="first" r:id="rId28"/>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fldChar w:fldCharType="separate"/>
    </w:r>
    <w:r w:rsidR="00D45694">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A52A2" w:rsidRPr="00CA52A2" w:rsidRDefault="00CA52A2" w:rsidP="00CA52A2">
        <w:pPr>
          <w:pStyle w:val="Footer"/>
        </w:pPr>
        <w:r w:rsidRPr="00CA52A2">
          <w:fldChar w:fldCharType="begin"/>
        </w:r>
        <w:r>
          <w:instrText xml:space="preserve"> PAGE   \* MERGEFORMAT </w:instrText>
        </w:r>
        <w:r w:rsidRPr="00CA52A2">
          <w:fldChar w:fldCharType="separate"/>
        </w:r>
        <w:r w:rsidR="0058154C">
          <w:rPr>
            <w:noProof/>
          </w:rPr>
          <w:t>17-8</w:t>
        </w:r>
        <w:r w:rsidRPr="00CA52A2">
          <w:fldChar w:fldCharType="end"/>
        </w:r>
        <w:r w:rsidRPr="00CA52A2">
          <w:t xml:space="preserve">     Attachment 1</w:t>
        </w:r>
        <w:r w:rsidR="001B7D00">
          <w:t>7</w:t>
        </w:r>
        <w:r w:rsidRPr="00CA52A2">
          <w:t xml:space="preserve"> – </w:t>
        </w:r>
        <w:r w:rsidR="001B7D00">
          <w:t>Negotiated services framework and criteria</w:t>
        </w:r>
        <w:r w:rsidRPr="00CA52A2">
          <w:t xml:space="preserve"> | </w:t>
        </w:r>
        <w:r w:rsidR="00C71D7A">
          <w:t>Jemena</w:t>
        </w:r>
        <w:r w:rsidRPr="00CA52A2">
          <w:t xml:space="preserve"> </w:t>
        </w:r>
        <w:r w:rsidR="00785686">
          <w:t>distribution determination f</w:t>
        </w:r>
        <w:r w:rsidR="00A153AC">
          <w:t xml:space="preserve">inal </w:t>
        </w:r>
        <w:r w:rsidR="001B7D00">
          <w:t>decision 2016</w:t>
        </w:r>
        <w:r w:rsidRPr="00CA52A2">
          <w:t>–</w:t>
        </w:r>
        <w:r w:rsidR="001B7D00">
          <w:t>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28545E" w:rsidRDefault="0028545E" w:rsidP="0028545E">
      <w:pPr>
        <w:pStyle w:val="FootnoteText"/>
      </w:pPr>
      <w:r>
        <w:rPr>
          <w:rStyle w:val="FootnoteReference"/>
        </w:rPr>
        <w:footnoteRef/>
      </w:r>
      <w:r>
        <w:t xml:space="preserve"> </w:t>
      </w:r>
      <w:r>
        <w:tab/>
        <w:t>NER, cl. 6.12.1(15).</w:t>
      </w:r>
    </w:p>
  </w:footnote>
  <w:footnote w:id="2">
    <w:p w:rsidR="0028545E" w:rsidRDefault="0028545E" w:rsidP="0028545E">
      <w:pPr>
        <w:pStyle w:val="FootnoteText"/>
      </w:pPr>
      <w:r>
        <w:rPr>
          <w:rStyle w:val="FootnoteReference"/>
        </w:rPr>
        <w:footnoteRef/>
      </w:r>
      <w:r>
        <w:t xml:space="preserve"> </w:t>
      </w:r>
      <w:r>
        <w:tab/>
        <w:t>NER, cl. 6.12.1(16).</w:t>
      </w:r>
    </w:p>
  </w:footnote>
  <w:footnote w:id="3">
    <w:p w:rsidR="00D94B24" w:rsidRDefault="00D94B24">
      <w:pPr>
        <w:pStyle w:val="FootnoteText"/>
      </w:pPr>
      <w:r>
        <w:rPr>
          <w:rStyle w:val="FootnoteReference"/>
        </w:rPr>
        <w:footnoteRef/>
      </w:r>
      <w:r>
        <w:t xml:space="preserve"> </w:t>
      </w:r>
      <w:r>
        <w:tab/>
        <w:t xml:space="preserve">Jemena, </w:t>
      </w:r>
      <w:r w:rsidRPr="00D94B24">
        <w:rPr>
          <w:rStyle w:val="AERtextitalic"/>
        </w:rPr>
        <w:t>Revised revenue proposal</w:t>
      </w:r>
      <w:r>
        <w:t xml:space="preserve"> at p. 62 and </w:t>
      </w:r>
      <w:r w:rsidRPr="00D94B24">
        <w:rPr>
          <w:rStyle w:val="AERtextitalic"/>
        </w:rPr>
        <w:t>Attachment 10.05, Revised negotiating framework</w:t>
      </w:r>
      <w:r>
        <w:t xml:space="preserve">, January 2016. </w:t>
      </w:r>
    </w:p>
  </w:footnote>
  <w:footnote w:id="4">
    <w:p w:rsidR="00D94B24" w:rsidRDefault="00D94B24" w:rsidP="00D94B24">
      <w:pPr>
        <w:pStyle w:val="FootnoteText"/>
      </w:pPr>
      <w:r>
        <w:rPr>
          <w:rStyle w:val="FootnoteReference"/>
        </w:rPr>
        <w:footnoteRef/>
      </w:r>
      <w:r>
        <w:t xml:space="preserve"> </w:t>
      </w:r>
      <w:r>
        <w:tab/>
        <w:t xml:space="preserve">NER, cl. 6.12.1(15).  </w:t>
      </w:r>
    </w:p>
  </w:footnote>
  <w:footnote w:id="5">
    <w:p w:rsidR="00913F84" w:rsidRDefault="00913F84" w:rsidP="00913F84">
      <w:pPr>
        <w:pStyle w:val="FootnoteText"/>
      </w:pPr>
      <w:r>
        <w:rPr>
          <w:rStyle w:val="FootnoteReference"/>
        </w:rPr>
        <w:footnoteRef/>
      </w:r>
      <w:r>
        <w:t xml:space="preserve"> </w:t>
      </w:r>
      <w:r>
        <w:tab/>
        <w:t>To comply with NER, cl. 6.7.5(c)(6) and refer to the correct dispute resolution provisions under the NER.</w:t>
      </w:r>
    </w:p>
  </w:footnote>
  <w:footnote w:id="6">
    <w:p w:rsidR="0026771F" w:rsidRDefault="0026771F">
      <w:pPr>
        <w:pStyle w:val="FootnoteText"/>
      </w:pPr>
      <w:r>
        <w:rPr>
          <w:rStyle w:val="FootnoteReference"/>
        </w:rPr>
        <w:footnoteRef/>
      </w:r>
      <w:r>
        <w:t xml:space="preserve"> </w:t>
      </w:r>
      <w:r>
        <w:tab/>
        <w:t xml:space="preserve">Jemena, </w:t>
      </w:r>
      <w:r w:rsidRPr="0026771F">
        <w:rPr>
          <w:rStyle w:val="AERtextitalic"/>
        </w:rPr>
        <w:t xml:space="preserve">Revised revenue proposal, attachment 10.05, Revised </w:t>
      </w:r>
      <w:r w:rsidR="00B37D84" w:rsidRPr="0026771F">
        <w:rPr>
          <w:rStyle w:val="AERtextitalic"/>
        </w:rPr>
        <w:t>negotiating</w:t>
      </w:r>
      <w:r w:rsidRPr="0026771F">
        <w:rPr>
          <w:rStyle w:val="AERtextitalic"/>
        </w:rPr>
        <w:t xml:space="preserve"> framework</w:t>
      </w:r>
      <w:r>
        <w:t>, January 2016.</w:t>
      </w:r>
    </w:p>
  </w:footnote>
  <w:footnote w:id="7">
    <w:p w:rsidR="0028545E" w:rsidRDefault="0028545E" w:rsidP="0028545E">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xml:space="preserve">, May 2015. </w:t>
      </w:r>
    </w:p>
  </w:footnote>
  <w:footnote w:id="8">
    <w:p w:rsidR="0028545E" w:rsidRDefault="0028545E" w:rsidP="0028545E">
      <w:pPr>
        <w:pStyle w:val="FootnoteText"/>
      </w:pPr>
      <w:r>
        <w:rPr>
          <w:rStyle w:val="FootnoteReference"/>
        </w:rPr>
        <w:footnoteRef/>
      </w:r>
      <w:r>
        <w:t xml:space="preserve"> </w:t>
      </w:r>
      <w:r>
        <w:tab/>
        <w:t>NER, cl. 6.7.1.</w:t>
      </w:r>
    </w:p>
  </w:footnote>
  <w:footnote w:id="9">
    <w:p w:rsidR="00CB0F9C" w:rsidRDefault="00CB0F9C" w:rsidP="00CB0F9C">
      <w:pPr>
        <w:pStyle w:val="FootnoteText"/>
      </w:pPr>
      <w:r>
        <w:rPr>
          <w:rStyle w:val="FootnoteReference"/>
        </w:rPr>
        <w:footnoteRef/>
      </w:r>
      <w:r>
        <w:t xml:space="preserve"> </w:t>
      </w:r>
      <w:r>
        <w:tab/>
        <w:t>NER, cl. 6.7.5(c).</w:t>
      </w:r>
    </w:p>
  </w:footnote>
  <w:footnote w:id="10">
    <w:p w:rsidR="0028545E" w:rsidRDefault="0028545E" w:rsidP="0028545E">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58154C">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58154C">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ocumentProtection w:formatting="1" w:enforcement="1" w:spinCount="100000" w:hashValue="OoQ7q8Jlm2vWWaWiH+PuEx8soVcdV32g5dASFBvYJns=" w:saltValue="4x9Rawr7KQujbuZEMhof6g=="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792\AER15 2601  AER - Preliminary decision Jemena distribution determination - Attachment 17 - Negotiated services framework and criteria - October 2015.DOCX"/>
  </w:docVars>
  <w:rsids>
    <w:rsidRoot w:val="00961A4A"/>
    <w:rsid w:val="00010286"/>
    <w:rsid w:val="00021202"/>
    <w:rsid w:val="00021C2B"/>
    <w:rsid w:val="0002517F"/>
    <w:rsid w:val="00026495"/>
    <w:rsid w:val="0003578C"/>
    <w:rsid w:val="000401AF"/>
    <w:rsid w:val="00063247"/>
    <w:rsid w:val="00070F9F"/>
    <w:rsid w:val="0007137B"/>
    <w:rsid w:val="00085663"/>
    <w:rsid w:val="00085EBF"/>
    <w:rsid w:val="00091B15"/>
    <w:rsid w:val="000A3020"/>
    <w:rsid w:val="000A6C7B"/>
    <w:rsid w:val="000C2B40"/>
    <w:rsid w:val="000D06C1"/>
    <w:rsid w:val="000D122C"/>
    <w:rsid w:val="000D3016"/>
    <w:rsid w:val="000E1819"/>
    <w:rsid w:val="000E4821"/>
    <w:rsid w:val="000E6C72"/>
    <w:rsid w:val="000F0B2B"/>
    <w:rsid w:val="000F3E72"/>
    <w:rsid w:val="000F48B1"/>
    <w:rsid w:val="00116EB2"/>
    <w:rsid w:val="00124609"/>
    <w:rsid w:val="00126A4C"/>
    <w:rsid w:val="00142AB6"/>
    <w:rsid w:val="0014573B"/>
    <w:rsid w:val="001573E4"/>
    <w:rsid w:val="00160756"/>
    <w:rsid w:val="0017232E"/>
    <w:rsid w:val="00174102"/>
    <w:rsid w:val="001754EE"/>
    <w:rsid w:val="00180157"/>
    <w:rsid w:val="001809B8"/>
    <w:rsid w:val="00185CB9"/>
    <w:rsid w:val="00186F77"/>
    <w:rsid w:val="001926A4"/>
    <w:rsid w:val="00192AD5"/>
    <w:rsid w:val="001A40CD"/>
    <w:rsid w:val="001B45A0"/>
    <w:rsid w:val="001B7D00"/>
    <w:rsid w:val="001D055E"/>
    <w:rsid w:val="001F05A4"/>
    <w:rsid w:val="001F492E"/>
    <w:rsid w:val="001F6DA3"/>
    <w:rsid w:val="002010BC"/>
    <w:rsid w:val="002016E7"/>
    <w:rsid w:val="00201F98"/>
    <w:rsid w:val="00202E03"/>
    <w:rsid w:val="0020478D"/>
    <w:rsid w:val="0020492C"/>
    <w:rsid w:val="00211ADA"/>
    <w:rsid w:val="00224DB9"/>
    <w:rsid w:val="00227DCE"/>
    <w:rsid w:val="0023276C"/>
    <w:rsid w:val="00233775"/>
    <w:rsid w:val="00251745"/>
    <w:rsid w:val="00263AC0"/>
    <w:rsid w:val="00264264"/>
    <w:rsid w:val="0026771F"/>
    <w:rsid w:val="0026772D"/>
    <w:rsid w:val="0028545E"/>
    <w:rsid w:val="00286874"/>
    <w:rsid w:val="00290C63"/>
    <w:rsid w:val="00296B65"/>
    <w:rsid w:val="002A7DEF"/>
    <w:rsid w:val="002B1003"/>
    <w:rsid w:val="002C233C"/>
    <w:rsid w:val="002D72E8"/>
    <w:rsid w:val="002E7B22"/>
    <w:rsid w:val="002F7986"/>
    <w:rsid w:val="00301B40"/>
    <w:rsid w:val="003029EE"/>
    <w:rsid w:val="0030370B"/>
    <w:rsid w:val="003047A5"/>
    <w:rsid w:val="00305CC8"/>
    <w:rsid w:val="00307F6D"/>
    <w:rsid w:val="00313C3D"/>
    <w:rsid w:val="003177A2"/>
    <w:rsid w:val="003271B5"/>
    <w:rsid w:val="00327A1E"/>
    <w:rsid w:val="00331264"/>
    <w:rsid w:val="00334C8D"/>
    <w:rsid w:val="00343A18"/>
    <w:rsid w:val="00344473"/>
    <w:rsid w:val="003518B3"/>
    <w:rsid w:val="003846F1"/>
    <w:rsid w:val="003A6AD4"/>
    <w:rsid w:val="003B484F"/>
    <w:rsid w:val="003B7FBA"/>
    <w:rsid w:val="003F174D"/>
    <w:rsid w:val="003F7442"/>
    <w:rsid w:val="00415F31"/>
    <w:rsid w:val="00417FD5"/>
    <w:rsid w:val="00423A77"/>
    <w:rsid w:val="004330CA"/>
    <w:rsid w:val="0045777E"/>
    <w:rsid w:val="00464C82"/>
    <w:rsid w:val="00474EC7"/>
    <w:rsid w:val="00480B4B"/>
    <w:rsid w:val="00485DC4"/>
    <w:rsid w:val="004A28A7"/>
    <w:rsid w:val="004A43D1"/>
    <w:rsid w:val="004B4412"/>
    <w:rsid w:val="004C348C"/>
    <w:rsid w:val="004C7CFF"/>
    <w:rsid w:val="004D55BA"/>
    <w:rsid w:val="004E22EC"/>
    <w:rsid w:val="004F6A0E"/>
    <w:rsid w:val="00530128"/>
    <w:rsid w:val="00532467"/>
    <w:rsid w:val="00537FD6"/>
    <w:rsid w:val="00564A4D"/>
    <w:rsid w:val="0056588A"/>
    <w:rsid w:val="00567BA5"/>
    <w:rsid w:val="00571B35"/>
    <w:rsid w:val="00571D57"/>
    <w:rsid w:val="00577A09"/>
    <w:rsid w:val="0058154C"/>
    <w:rsid w:val="005829C2"/>
    <w:rsid w:val="00584D8F"/>
    <w:rsid w:val="00586819"/>
    <w:rsid w:val="0059704C"/>
    <w:rsid w:val="005A404D"/>
    <w:rsid w:val="005B0CBE"/>
    <w:rsid w:val="005B1E3C"/>
    <w:rsid w:val="005B704A"/>
    <w:rsid w:val="005C0A7F"/>
    <w:rsid w:val="005C26CC"/>
    <w:rsid w:val="005C4A28"/>
    <w:rsid w:val="005C4C9C"/>
    <w:rsid w:val="005D7BA2"/>
    <w:rsid w:val="005E36C2"/>
    <w:rsid w:val="006007DE"/>
    <w:rsid w:val="00601638"/>
    <w:rsid w:val="00610EF9"/>
    <w:rsid w:val="00612F4F"/>
    <w:rsid w:val="00615C6B"/>
    <w:rsid w:val="00621DCE"/>
    <w:rsid w:val="00632D6D"/>
    <w:rsid w:val="00642C3E"/>
    <w:rsid w:val="00651C3A"/>
    <w:rsid w:val="00651CB2"/>
    <w:rsid w:val="006560CA"/>
    <w:rsid w:val="0066104A"/>
    <w:rsid w:val="00663DAD"/>
    <w:rsid w:val="00665649"/>
    <w:rsid w:val="00675E20"/>
    <w:rsid w:val="00676679"/>
    <w:rsid w:val="00677A52"/>
    <w:rsid w:val="00683C89"/>
    <w:rsid w:val="00691D9A"/>
    <w:rsid w:val="006B2395"/>
    <w:rsid w:val="006B4CF9"/>
    <w:rsid w:val="006B785B"/>
    <w:rsid w:val="006B7AC8"/>
    <w:rsid w:val="006C1736"/>
    <w:rsid w:val="006C4798"/>
    <w:rsid w:val="006D550F"/>
    <w:rsid w:val="006E3DF3"/>
    <w:rsid w:val="006F3AD1"/>
    <w:rsid w:val="006F3FC8"/>
    <w:rsid w:val="0070011E"/>
    <w:rsid w:val="00701CAB"/>
    <w:rsid w:val="00707563"/>
    <w:rsid w:val="0072348C"/>
    <w:rsid w:val="00724A37"/>
    <w:rsid w:val="007303C3"/>
    <w:rsid w:val="00741E23"/>
    <w:rsid w:val="007429BE"/>
    <w:rsid w:val="00743223"/>
    <w:rsid w:val="00746E01"/>
    <w:rsid w:val="00747EEA"/>
    <w:rsid w:val="00757364"/>
    <w:rsid w:val="00757BDF"/>
    <w:rsid w:val="007609D0"/>
    <w:rsid w:val="00763E5D"/>
    <w:rsid w:val="00767740"/>
    <w:rsid w:val="00771EB0"/>
    <w:rsid w:val="00777EE6"/>
    <w:rsid w:val="00782EEA"/>
    <w:rsid w:val="00785686"/>
    <w:rsid w:val="007B186E"/>
    <w:rsid w:val="007B2C72"/>
    <w:rsid w:val="007C1C53"/>
    <w:rsid w:val="007C74BB"/>
    <w:rsid w:val="007D456E"/>
    <w:rsid w:val="007E4904"/>
    <w:rsid w:val="007E4CB5"/>
    <w:rsid w:val="007E5FB0"/>
    <w:rsid w:val="007F066B"/>
    <w:rsid w:val="007F213A"/>
    <w:rsid w:val="007F75C4"/>
    <w:rsid w:val="008033C4"/>
    <w:rsid w:val="00806C88"/>
    <w:rsid w:val="0081034E"/>
    <w:rsid w:val="008221F2"/>
    <w:rsid w:val="00825985"/>
    <w:rsid w:val="008344F6"/>
    <w:rsid w:val="0083510F"/>
    <w:rsid w:val="008408C5"/>
    <w:rsid w:val="00851209"/>
    <w:rsid w:val="0085722A"/>
    <w:rsid w:val="008837AC"/>
    <w:rsid w:val="008A587D"/>
    <w:rsid w:val="008B35CD"/>
    <w:rsid w:val="008B5FCC"/>
    <w:rsid w:val="008B7544"/>
    <w:rsid w:val="008C3374"/>
    <w:rsid w:val="008C5486"/>
    <w:rsid w:val="008C708B"/>
    <w:rsid w:val="008D1661"/>
    <w:rsid w:val="008D22AC"/>
    <w:rsid w:val="008D6800"/>
    <w:rsid w:val="008E66B6"/>
    <w:rsid w:val="008E7031"/>
    <w:rsid w:val="008E77DE"/>
    <w:rsid w:val="008F07A3"/>
    <w:rsid w:val="008F34DD"/>
    <w:rsid w:val="009001B6"/>
    <w:rsid w:val="00900E1B"/>
    <w:rsid w:val="00901C3C"/>
    <w:rsid w:val="0091361D"/>
    <w:rsid w:val="00913F84"/>
    <w:rsid w:val="009233EE"/>
    <w:rsid w:val="009272AD"/>
    <w:rsid w:val="009277DC"/>
    <w:rsid w:val="00933626"/>
    <w:rsid w:val="009460AA"/>
    <w:rsid w:val="00951978"/>
    <w:rsid w:val="00961A4A"/>
    <w:rsid w:val="009661DE"/>
    <w:rsid w:val="00983C25"/>
    <w:rsid w:val="009856B7"/>
    <w:rsid w:val="00985C86"/>
    <w:rsid w:val="009903F6"/>
    <w:rsid w:val="009A5113"/>
    <w:rsid w:val="009A5FC3"/>
    <w:rsid w:val="009B5F1C"/>
    <w:rsid w:val="009B6F84"/>
    <w:rsid w:val="009B74B0"/>
    <w:rsid w:val="009D2F36"/>
    <w:rsid w:val="009D3906"/>
    <w:rsid w:val="009D6B46"/>
    <w:rsid w:val="009F4940"/>
    <w:rsid w:val="009F5BA1"/>
    <w:rsid w:val="00A02A88"/>
    <w:rsid w:val="00A0562E"/>
    <w:rsid w:val="00A0726D"/>
    <w:rsid w:val="00A153AC"/>
    <w:rsid w:val="00A32FBB"/>
    <w:rsid w:val="00A428EE"/>
    <w:rsid w:val="00A4478A"/>
    <w:rsid w:val="00A44852"/>
    <w:rsid w:val="00A4650A"/>
    <w:rsid w:val="00A50502"/>
    <w:rsid w:val="00A57D04"/>
    <w:rsid w:val="00A60A26"/>
    <w:rsid w:val="00A61598"/>
    <w:rsid w:val="00A84A99"/>
    <w:rsid w:val="00A84F46"/>
    <w:rsid w:val="00A871F4"/>
    <w:rsid w:val="00AB00AF"/>
    <w:rsid w:val="00AC1B2C"/>
    <w:rsid w:val="00AC1F51"/>
    <w:rsid w:val="00AC3264"/>
    <w:rsid w:val="00AE1BF1"/>
    <w:rsid w:val="00AF0DD2"/>
    <w:rsid w:val="00AF4357"/>
    <w:rsid w:val="00B0209D"/>
    <w:rsid w:val="00B07CEA"/>
    <w:rsid w:val="00B13048"/>
    <w:rsid w:val="00B1716D"/>
    <w:rsid w:val="00B17A1D"/>
    <w:rsid w:val="00B207A0"/>
    <w:rsid w:val="00B37D84"/>
    <w:rsid w:val="00B514DD"/>
    <w:rsid w:val="00B52AF0"/>
    <w:rsid w:val="00B561BD"/>
    <w:rsid w:val="00B56E03"/>
    <w:rsid w:val="00B757A6"/>
    <w:rsid w:val="00B8080B"/>
    <w:rsid w:val="00B82223"/>
    <w:rsid w:val="00B87BA5"/>
    <w:rsid w:val="00B87C39"/>
    <w:rsid w:val="00B9562D"/>
    <w:rsid w:val="00BA4665"/>
    <w:rsid w:val="00BA5F99"/>
    <w:rsid w:val="00BB2FB2"/>
    <w:rsid w:val="00BB3304"/>
    <w:rsid w:val="00BB7528"/>
    <w:rsid w:val="00BD310B"/>
    <w:rsid w:val="00BD3446"/>
    <w:rsid w:val="00BD7940"/>
    <w:rsid w:val="00BE1F1B"/>
    <w:rsid w:val="00BE47B5"/>
    <w:rsid w:val="00C04223"/>
    <w:rsid w:val="00C25FA6"/>
    <w:rsid w:val="00C538A9"/>
    <w:rsid w:val="00C53B5A"/>
    <w:rsid w:val="00C54F5A"/>
    <w:rsid w:val="00C569B4"/>
    <w:rsid w:val="00C56A3E"/>
    <w:rsid w:val="00C61D4A"/>
    <w:rsid w:val="00C67A92"/>
    <w:rsid w:val="00C71D7A"/>
    <w:rsid w:val="00C7497E"/>
    <w:rsid w:val="00C84560"/>
    <w:rsid w:val="00C84F52"/>
    <w:rsid w:val="00C86679"/>
    <w:rsid w:val="00CA489E"/>
    <w:rsid w:val="00CA52A2"/>
    <w:rsid w:val="00CB0279"/>
    <w:rsid w:val="00CB0F9C"/>
    <w:rsid w:val="00CB666B"/>
    <w:rsid w:val="00CC7F1D"/>
    <w:rsid w:val="00CE484B"/>
    <w:rsid w:val="00CF0DEE"/>
    <w:rsid w:val="00D006AE"/>
    <w:rsid w:val="00D01CF0"/>
    <w:rsid w:val="00D01EFD"/>
    <w:rsid w:val="00D0442A"/>
    <w:rsid w:val="00D17683"/>
    <w:rsid w:val="00D45694"/>
    <w:rsid w:val="00D56AAD"/>
    <w:rsid w:val="00D61388"/>
    <w:rsid w:val="00D61A54"/>
    <w:rsid w:val="00D64DEA"/>
    <w:rsid w:val="00D7168E"/>
    <w:rsid w:val="00D71E57"/>
    <w:rsid w:val="00D80893"/>
    <w:rsid w:val="00D84854"/>
    <w:rsid w:val="00D848B4"/>
    <w:rsid w:val="00D92CF1"/>
    <w:rsid w:val="00D92D38"/>
    <w:rsid w:val="00D94B24"/>
    <w:rsid w:val="00D950F5"/>
    <w:rsid w:val="00DA4752"/>
    <w:rsid w:val="00DA61F3"/>
    <w:rsid w:val="00DA6B93"/>
    <w:rsid w:val="00DA6CE5"/>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12821"/>
    <w:rsid w:val="00E23993"/>
    <w:rsid w:val="00E25B8C"/>
    <w:rsid w:val="00E51D65"/>
    <w:rsid w:val="00E6200B"/>
    <w:rsid w:val="00E65C85"/>
    <w:rsid w:val="00E66199"/>
    <w:rsid w:val="00E711C7"/>
    <w:rsid w:val="00E755EC"/>
    <w:rsid w:val="00E7624D"/>
    <w:rsid w:val="00EA3D42"/>
    <w:rsid w:val="00EA6B1B"/>
    <w:rsid w:val="00EB5BC8"/>
    <w:rsid w:val="00EB606C"/>
    <w:rsid w:val="00EC04F1"/>
    <w:rsid w:val="00EC6B7B"/>
    <w:rsid w:val="00ED7323"/>
    <w:rsid w:val="00EE28F3"/>
    <w:rsid w:val="00EE50D1"/>
    <w:rsid w:val="00EF5110"/>
    <w:rsid w:val="00F0334E"/>
    <w:rsid w:val="00F10411"/>
    <w:rsid w:val="00F15882"/>
    <w:rsid w:val="00F171E0"/>
    <w:rsid w:val="00F20BD3"/>
    <w:rsid w:val="00F2526A"/>
    <w:rsid w:val="00F373A5"/>
    <w:rsid w:val="00F47559"/>
    <w:rsid w:val="00F516A7"/>
    <w:rsid w:val="00F61176"/>
    <w:rsid w:val="00F64C7B"/>
    <w:rsid w:val="00F65B25"/>
    <w:rsid w:val="00F676DD"/>
    <w:rsid w:val="00F71667"/>
    <w:rsid w:val="00F75A26"/>
    <w:rsid w:val="00F76706"/>
    <w:rsid w:val="00F768C8"/>
    <w:rsid w:val="00F81B8D"/>
    <w:rsid w:val="00F83FAD"/>
    <w:rsid w:val="00F8653A"/>
    <w:rsid w:val="00F92349"/>
    <w:rsid w:val="00F952A0"/>
    <w:rsid w:val="00FA3C7F"/>
    <w:rsid w:val="00FB4402"/>
    <w:rsid w:val="00FB60FE"/>
    <w:rsid w:val="00FB74E2"/>
    <w:rsid w:val="00FC71DC"/>
    <w:rsid w:val="00FD2ED2"/>
    <w:rsid w:val="00FD5614"/>
    <w:rsid w:val="00FD5E78"/>
    <w:rsid w:val="00FE0BE1"/>
    <w:rsid w:val="00FE1DE9"/>
    <w:rsid w:val="00FE2CB8"/>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726757-B97B-4D6F-B01B-BC45D169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5D8D724B</Template>
  <TotalTime>0</TotalTime>
  <Pages>24</Pages>
  <Words>2220</Words>
  <Characters>12660</Characters>
  <Application>Microsoft Office Word</Application>
  <DocSecurity>0</DocSecurity>
  <Lines>105</Lines>
  <Paragraphs>29</Paragraphs>
  <ScaleCrop>false</ScaleCrop>
  <Company/>
  <LinksUpToDate>false</LinksUpToDate>
  <CharactersWithSpaces>14851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2016-05-23T00:40:00Z</dcterms:created>
  <dcterms:modified xsi:type="dcterms:W3CDTF">2016-05-23T00:40:00Z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8571561</vt:lpwstr>
  </property>
</Properties>
</file>