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4725F13A" wp14:editId="15A41BA9">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3C5D0D9" wp14:editId="66EA0659">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2D0534" w:rsidP="008F07A3">
          <w:pPr>
            <w:pStyle w:val="ReportSubtitle"/>
          </w:pPr>
          <w:r>
            <w:t>Jemena</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3F2346">
            <w:t>2</w:t>
          </w:r>
          <w:r w:rsidR="000474DF">
            <w:t xml:space="preserve"> </w:t>
          </w:r>
          <w:r w:rsidR="00185BA5">
            <w:t>–</w:t>
          </w:r>
          <w:r w:rsidR="000474DF">
            <w:t xml:space="preserve"> </w:t>
          </w:r>
          <w:r w:rsidR="000F65B0">
            <w:t>R</w:t>
          </w:r>
          <w:r w:rsidR="003F2346">
            <w:t>egulatory asset base</w:t>
          </w:r>
        </w:p>
        <w:p w:rsidR="000A6C7B" w:rsidRPr="00327A1E" w:rsidRDefault="00D34CD3" w:rsidP="00327A1E">
          <w:pPr>
            <w:pStyle w:val="ReportDate"/>
          </w:pPr>
          <w:r>
            <w:t>May</w:t>
          </w:r>
          <w:r w:rsidR="00DB4E34">
            <w:t xml:space="preserve"> 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285641"/>
      <w:r>
        <w:lastRenderedPageBreak/>
        <w:t>Note</w:t>
      </w:r>
      <w:bookmarkEnd w:id="2"/>
      <w:bookmarkEnd w:id="3"/>
      <w:bookmarkEnd w:id="4"/>
    </w:p>
    <w:p w:rsidR="00761454" w:rsidRDefault="00761454" w:rsidP="00761454">
      <w:pPr>
        <w:numPr>
          <w:ilvl w:val="0"/>
          <w:numId w:val="24"/>
        </w:numPr>
      </w:pPr>
      <w:r>
        <w:t xml:space="preserve">This </w:t>
      </w:r>
      <w:r w:rsidR="00DE7B49">
        <w:t xml:space="preserve">attachment </w:t>
      </w:r>
      <w:r>
        <w:t xml:space="preserve">forms part of the AER's </w:t>
      </w:r>
      <w:r w:rsidR="00DB4E34">
        <w:t>final</w:t>
      </w:r>
      <w:r w:rsidR="000474DF">
        <w:t xml:space="preserve"> </w:t>
      </w:r>
      <w:r>
        <w:t xml:space="preserve">decision on </w:t>
      </w:r>
      <w:r w:rsidR="002D0534">
        <w:t>Jemena's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285642"/>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BC1771"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285641" w:history="1">
            <w:r w:rsidR="00BC1771" w:rsidRPr="009F539D">
              <w:rPr>
                <w:rStyle w:val="Hyperlink"/>
              </w:rPr>
              <w:t>Note</w:t>
            </w:r>
            <w:r w:rsidR="00BC1771">
              <w:rPr>
                <w:webHidden/>
              </w:rPr>
              <w:tab/>
            </w:r>
            <w:r w:rsidR="00BC1771">
              <w:rPr>
                <w:webHidden/>
              </w:rPr>
              <w:fldChar w:fldCharType="begin"/>
            </w:r>
            <w:r w:rsidR="00BC1771">
              <w:rPr>
                <w:webHidden/>
              </w:rPr>
              <w:instrText xml:space="preserve"> PAGEREF _Toc451285641 \h </w:instrText>
            </w:r>
            <w:r w:rsidR="00BC1771">
              <w:rPr>
                <w:webHidden/>
              </w:rPr>
            </w:r>
            <w:r w:rsidR="00BC1771">
              <w:rPr>
                <w:webHidden/>
              </w:rPr>
              <w:fldChar w:fldCharType="separate"/>
            </w:r>
            <w:r w:rsidR="00BC1771">
              <w:rPr>
                <w:webHidden/>
              </w:rPr>
              <w:t>2-2</w:t>
            </w:r>
            <w:r w:rsidR="00BC1771">
              <w:rPr>
                <w:webHidden/>
              </w:rPr>
              <w:fldChar w:fldCharType="end"/>
            </w:r>
          </w:hyperlink>
        </w:p>
        <w:p w:rsidR="00BC1771" w:rsidRDefault="00FC6183">
          <w:pPr>
            <w:pStyle w:val="TOC1"/>
            <w:rPr>
              <w:rFonts w:asciiTheme="minorHAnsi" w:eastAsiaTheme="minorEastAsia" w:hAnsiTheme="minorHAnsi"/>
              <w:b w:val="0"/>
              <w:color w:val="auto"/>
              <w:sz w:val="22"/>
              <w:lang w:val="en-AU" w:eastAsia="en-AU"/>
            </w:rPr>
          </w:pPr>
          <w:hyperlink w:anchor="_Toc451285642" w:history="1">
            <w:r w:rsidR="00BC1771" w:rsidRPr="009F539D">
              <w:rPr>
                <w:rStyle w:val="Hyperlink"/>
              </w:rPr>
              <w:t>Contents</w:t>
            </w:r>
            <w:r w:rsidR="00BC1771">
              <w:rPr>
                <w:webHidden/>
              </w:rPr>
              <w:tab/>
            </w:r>
            <w:r w:rsidR="00BC1771">
              <w:rPr>
                <w:webHidden/>
              </w:rPr>
              <w:fldChar w:fldCharType="begin"/>
            </w:r>
            <w:r w:rsidR="00BC1771">
              <w:rPr>
                <w:webHidden/>
              </w:rPr>
              <w:instrText xml:space="preserve"> PAGEREF _Toc451285642 \h </w:instrText>
            </w:r>
            <w:r w:rsidR="00BC1771">
              <w:rPr>
                <w:webHidden/>
              </w:rPr>
            </w:r>
            <w:r w:rsidR="00BC1771">
              <w:rPr>
                <w:webHidden/>
              </w:rPr>
              <w:fldChar w:fldCharType="separate"/>
            </w:r>
            <w:r w:rsidR="00BC1771">
              <w:rPr>
                <w:webHidden/>
              </w:rPr>
              <w:t>2-3</w:t>
            </w:r>
            <w:r w:rsidR="00BC1771">
              <w:rPr>
                <w:webHidden/>
              </w:rPr>
              <w:fldChar w:fldCharType="end"/>
            </w:r>
          </w:hyperlink>
        </w:p>
        <w:p w:rsidR="00BC1771" w:rsidRDefault="00FC6183">
          <w:pPr>
            <w:pStyle w:val="TOC1"/>
            <w:rPr>
              <w:rFonts w:asciiTheme="minorHAnsi" w:eastAsiaTheme="minorEastAsia" w:hAnsiTheme="minorHAnsi"/>
              <w:b w:val="0"/>
              <w:color w:val="auto"/>
              <w:sz w:val="22"/>
              <w:lang w:val="en-AU" w:eastAsia="en-AU"/>
            </w:rPr>
          </w:pPr>
          <w:hyperlink w:anchor="_Toc451285643" w:history="1">
            <w:r w:rsidR="00BC1771" w:rsidRPr="009F539D">
              <w:rPr>
                <w:rStyle w:val="Hyperlink"/>
              </w:rPr>
              <w:t>Shortened forms</w:t>
            </w:r>
            <w:r w:rsidR="00BC1771">
              <w:rPr>
                <w:webHidden/>
              </w:rPr>
              <w:tab/>
            </w:r>
            <w:r w:rsidR="00BC1771">
              <w:rPr>
                <w:webHidden/>
              </w:rPr>
              <w:fldChar w:fldCharType="begin"/>
            </w:r>
            <w:r w:rsidR="00BC1771">
              <w:rPr>
                <w:webHidden/>
              </w:rPr>
              <w:instrText xml:space="preserve"> PAGEREF _Toc451285643 \h </w:instrText>
            </w:r>
            <w:r w:rsidR="00BC1771">
              <w:rPr>
                <w:webHidden/>
              </w:rPr>
            </w:r>
            <w:r w:rsidR="00BC1771">
              <w:rPr>
                <w:webHidden/>
              </w:rPr>
              <w:fldChar w:fldCharType="separate"/>
            </w:r>
            <w:r w:rsidR="00BC1771">
              <w:rPr>
                <w:webHidden/>
              </w:rPr>
              <w:t>2-4</w:t>
            </w:r>
            <w:r w:rsidR="00BC1771">
              <w:rPr>
                <w:webHidden/>
              </w:rPr>
              <w:fldChar w:fldCharType="end"/>
            </w:r>
          </w:hyperlink>
        </w:p>
        <w:p w:rsidR="00BC1771" w:rsidRDefault="00FC6183">
          <w:pPr>
            <w:pStyle w:val="TOC1"/>
            <w:rPr>
              <w:rFonts w:asciiTheme="minorHAnsi" w:eastAsiaTheme="minorEastAsia" w:hAnsiTheme="minorHAnsi"/>
              <w:b w:val="0"/>
              <w:color w:val="auto"/>
              <w:sz w:val="22"/>
              <w:lang w:val="en-AU" w:eastAsia="en-AU"/>
            </w:rPr>
          </w:pPr>
          <w:hyperlink w:anchor="_Toc451285644" w:history="1">
            <w:r w:rsidR="00BC1771" w:rsidRPr="009F539D">
              <w:rPr>
                <w:rStyle w:val="Hyperlink"/>
              </w:rPr>
              <w:t>2</w:t>
            </w:r>
            <w:r w:rsidR="00BC1771">
              <w:rPr>
                <w:rFonts w:asciiTheme="minorHAnsi" w:eastAsiaTheme="minorEastAsia" w:hAnsiTheme="minorHAnsi"/>
                <w:b w:val="0"/>
                <w:color w:val="auto"/>
                <w:sz w:val="22"/>
                <w:lang w:val="en-AU" w:eastAsia="en-AU"/>
              </w:rPr>
              <w:tab/>
            </w:r>
            <w:r w:rsidR="00BC1771" w:rsidRPr="009F539D">
              <w:rPr>
                <w:rStyle w:val="Hyperlink"/>
              </w:rPr>
              <w:t>Regulatory asset base</w:t>
            </w:r>
            <w:r w:rsidR="00BC1771">
              <w:rPr>
                <w:webHidden/>
              </w:rPr>
              <w:tab/>
            </w:r>
            <w:r w:rsidR="00BC1771">
              <w:rPr>
                <w:webHidden/>
              </w:rPr>
              <w:fldChar w:fldCharType="begin"/>
            </w:r>
            <w:r w:rsidR="00BC1771">
              <w:rPr>
                <w:webHidden/>
              </w:rPr>
              <w:instrText xml:space="preserve"> PAGEREF _Toc451285644 \h </w:instrText>
            </w:r>
            <w:r w:rsidR="00BC1771">
              <w:rPr>
                <w:webHidden/>
              </w:rPr>
            </w:r>
            <w:r w:rsidR="00BC1771">
              <w:rPr>
                <w:webHidden/>
              </w:rPr>
              <w:fldChar w:fldCharType="separate"/>
            </w:r>
            <w:r w:rsidR="00BC1771">
              <w:rPr>
                <w:webHidden/>
              </w:rPr>
              <w:t>2-6</w:t>
            </w:r>
            <w:r w:rsidR="00BC1771">
              <w:rPr>
                <w:webHidden/>
              </w:rPr>
              <w:fldChar w:fldCharType="end"/>
            </w:r>
          </w:hyperlink>
        </w:p>
        <w:p w:rsidR="00BC1771" w:rsidRDefault="00FC6183">
          <w:pPr>
            <w:pStyle w:val="TOC2"/>
            <w:rPr>
              <w:rFonts w:asciiTheme="minorHAnsi" w:eastAsiaTheme="minorEastAsia" w:hAnsiTheme="minorHAnsi"/>
              <w:b w:val="0"/>
              <w:color w:val="auto"/>
              <w:sz w:val="22"/>
              <w:lang w:eastAsia="en-AU"/>
            </w:rPr>
          </w:pPr>
          <w:hyperlink w:anchor="_Toc451285645" w:history="1">
            <w:r w:rsidR="00BC1771" w:rsidRPr="009F539D">
              <w:rPr>
                <w:rStyle w:val="Hyperlink"/>
              </w:rPr>
              <w:t>2.1</w:t>
            </w:r>
            <w:r w:rsidR="00BC1771">
              <w:rPr>
                <w:rFonts w:asciiTheme="minorHAnsi" w:eastAsiaTheme="minorEastAsia" w:hAnsiTheme="minorHAnsi"/>
                <w:b w:val="0"/>
                <w:color w:val="auto"/>
                <w:sz w:val="22"/>
                <w:lang w:eastAsia="en-AU"/>
              </w:rPr>
              <w:tab/>
            </w:r>
            <w:r w:rsidR="00BC1771" w:rsidRPr="009F539D">
              <w:rPr>
                <w:rStyle w:val="Hyperlink"/>
              </w:rPr>
              <w:t>Final decision</w:t>
            </w:r>
            <w:r w:rsidR="00BC1771">
              <w:rPr>
                <w:webHidden/>
              </w:rPr>
              <w:tab/>
            </w:r>
            <w:r w:rsidR="00BC1771">
              <w:rPr>
                <w:webHidden/>
              </w:rPr>
              <w:fldChar w:fldCharType="begin"/>
            </w:r>
            <w:r w:rsidR="00BC1771">
              <w:rPr>
                <w:webHidden/>
              </w:rPr>
              <w:instrText xml:space="preserve"> PAGEREF _Toc451285645 \h </w:instrText>
            </w:r>
            <w:r w:rsidR="00BC1771">
              <w:rPr>
                <w:webHidden/>
              </w:rPr>
            </w:r>
            <w:r w:rsidR="00BC1771">
              <w:rPr>
                <w:webHidden/>
              </w:rPr>
              <w:fldChar w:fldCharType="separate"/>
            </w:r>
            <w:r w:rsidR="00BC1771">
              <w:rPr>
                <w:webHidden/>
              </w:rPr>
              <w:t>2-6</w:t>
            </w:r>
            <w:r w:rsidR="00BC1771">
              <w:rPr>
                <w:webHidden/>
              </w:rPr>
              <w:fldChar w:fldCharType="end"/>
            </w:r>
          </w:hyperlink>
        </w:p>
        <w:p w:rsidR="00BC1771" w:rsidRDefault="00FC6183">
          <w:pPr>
            <w:pStyle w:val="TOC2"/>
            <w:rPr>
              <w:rFonts w:asciiTheme="minorHAnsi" w:eastAsiaTheme="minorEastAsia" w:hAnsiTheme="minorHAnsi"/>
              <w:b w:val="0"/>
              <w:color w:val="auto"/>
              <w:sz w:val="22"/>
              <w:lang w:eastAsia="en-AU"/>
            </w:rPr>
          </w:pPr>
          <w:hyperlink w:anchor="_Toc451285646" w:history="1">
            <w:r w:rsidR="00BC1771" w:rsidRPr="009F539D">
              <w:rPr>
                <w:rStyle w:val="Hyperlink"/>
              </w:rPr>
              <w:t>2.2</w:t>
            </w:r>
            <w:r w:rsidR="00BC1771">
              <w:rPr>
                <w:rFonts w:asciiTheme="minorHAnsi" w:eastAsiaTheme="minorEastAsia" w:hAnsiTheme="minorHAnsi"/>
                <w:b w:val="0"/>
                <w:color w:val="auto"/>
                <w:sz w:val="22"/>
                <w:lang w:eastAsia="en-AU"/>
              </w:rPr>
              <w:tab/>
            </w:r>
            <w:r w:rsidR="00BC1771" w:rsidRPr="009F539D">
              <w:rPr>
                <w:rStyle w:val="Hyperlink"/>
              </w:rPr>
              <w:t>Jemena's revised proposal</w:t>
            </w:r>
            <w:r w:rsidR="00BC1771">
              <w:rPr>
                <w:webHidden/>
              </w:rPr>
              <w:tab/>
            </w:r>
            <w:r w:rsidR="00BC1771">
              <w:rPr>
                <w:webHidden/>
              </w:rPr>
              <w:fldChar w:fldCharType="begin"/>
            </w:r>
            <w:r w:rsidR="00BC1771">
              <w:rPr>
                <w:webHidden/>
              </w:rPr>
              <w:instrText xml:space="preserve"> PAGEREF _Toc451285646 \h </w:instrText>
            </w:r>
            <w:r w:rsidR="00BC1771">
              <w:rPr>
                <w:webHidden/>
              </w:rPr>
            </w:r>
            <w:r w:rsidR="00BC1771">
              <w:rPr>
                <w:webHidden/>
              </w:rPr>
              <w:fldChar w:fldCharType="separate"/>
            </w:r>
            <w:r w:rsidR="00BC1771">
              <w:rPr>
                <w:webHidden/>
              </w:rPr>
              <w:t>2-7</w:t>
            </w:r>
            <w:r w:rsidR="00BC1771">
              <w:rPr>
                <w:webHidden/>
              </w:rPr>
              <w:fldChar w:fldCharType="end"/>
            </w:r>
          </w:hyperlink>
        </w:p>
        <w:p w:rsidR="00BC1771" w:rsidRDefault="00FC6183">
          <w:pPr>
            <w:pStyle w:val="TOC2"/>
            <w:rPr>
              <w:rFonts w:asciiTheme="minorHAnsi" w:eastAsiaTheme="minorEastAsia" w:hAnsiTheme="minorHAnsi"/>
              <w:b w:val="0"/>
              <w:color w:val="auto"/>
              <w:sz w:val="22"/>
              <w:lang w:eastAsia="en-AU"/>
            </w:rPr>
          </w:pPr>
          <w:hyperlink w:anchor="_Toc451285647" w:history="1">
            <w:r w:rsidR="00BC1771" w:rsidRPr="009F539D">
              <w:rPr>
                <w:rStyle w:val="Hyperlink"/>
              </w:rPr>
              <w:t>2.3</w:t>
            </w:r>
            <w:r w:rsidR="00BC1771">
              <w:rPr>
                <w:rFonts w:asciiTheme="minorHAnsi" w:eastAsiaTheme="minorEastAsia" w:hAnsiTheme="minorHAnsi"/>
                <w:b w:val="0"/>
                <w:color w:val="auto"/>
                <w:sz w:val="22"/>
                <w:lang w:eastAsia="en-AU"/>
              </w:rPr>
              <w:tab/>
            </w:r>
            <w:r w:rsidR="00BC1771" w:rsidRPr="009F539D">
              <w:rPr>
                <w:rStyle w:val="Hyperlink"/>
              </w:rPr>
              <w:t>Assessment approach</w:t>
            </w:r>
            <w:r w:rsidR="00BC1771">
              <w:rPr>
                <w:webHidden/>
              </w:rPr>
              <w:tab/>
            </w:r>
            <w:r w:rsidR="00BC1771">
              <w:rPr>
                <w:webHidden/>
              </w:rPr>
              <w:fldChar w:fldCharType="begin"/>
            </w:r>
            <w:r w:rsidR="00BC1771">
              <w:rPr>
                <w:webHidden/>
              </w:rPr>
              <w:instrText xml:space="preserve"> PAGEREF _Toc451285647 \h </w:instrText>
            </w:r>
            <w:r w:rsidR="00BC1771">
              <w:rPr>
                <w:webHidden/>
              </w:rPr>
            </w:r>
            <w:r w:rsidR="00BC1771">
              <w:rPr>
                <w:webHidden/>
              </w:rPr>
              <w:fldChar w:fldCharType="separate"/>
            </w:r>
            <w:r w:rsidR="00BC1771">
              <w:rPr>
                <w:webHidden/>
              </w:rPr>
              <w:t>2-9</w:t>
            </w:r>
            <w:r w:rsidR="00BC1771">
              <w:rPr>
                <w:webHidden/>
              </w:rPr>
              <w:fldChar w:fldCharType="end"/>
            </w:r>
          </w:hyperlink>
        </w:p>
        <w:p w:rsidR="00BC1771" w:rsidRDefault="00FC6183">
          <w:pPr>
            <w:pStyle w:val="TOC2"/>
            <w:rPr>
              <w:rFonts w:asciiTheme="minorHAnsi" w:eastAsiaTheme="minorEastAsia" w:hAnsiTheme="minorHAnsi"/>
              <w:b w:val="0"/>
              <w:color w:val="auto"/>
              <w:sz w:val="22"/>
              <w:lang w:eastAsia="en-AU"/>
            </w:rPr>
          </w:pPr>
          <w:hyperlink w:anchor="_Toc451285648" w:history="1">
            <w:r w:rsidR="00BC1771" w:rsidRPr="009F539D">
              <w:rPr>
                <w:rStyle w:val="Hyperlink"/>
              </w:rPr>
              <w:t>2.4</w:t>
            </w:r>
            <w:r w:rsidR="00BC1771">
              <w:rPr>
                <w:rFonts w:asciiTheme="minorHAnsi" w:eastAsiaTheme="minorEastAsia" w:hAnsiTheme="minorHAnsi"/>
                <w:b w:val="0"/>
                <w:color w:val="auto"/>
                <w:sz w:val="22"/>
                <w:lang w:eastAsia="en-AU"/>
              </w:rPr>
              <w:tab/>
            </w:r>
            <w:r w:rsidR="00BC1771" w:rsidRPr="009F539D">
              <w:rPr>
                <w:rStyle w:val="Hyperlink"/>
              </w:rPr>
              <w:t>Reasons for final decision</w:t>
            </w:r>
            <w:r w:rsidR="00BC1771">
              <w:rPr>
                <w:webHidden/>
              </w:rPr>
              <w:tab/>
            </w:r>
            <w:r w:rsidR="00BC1771">
              <w:rPr>
                <w:webHidden/>
              </w:rPr>
              <w:fldChar w:fldCharType="begin"/>
            </w:r>
            <w:r w:rsidR="00BC1771">
              <w:rPr>
                <w:webHidden/>
              </w:rPr>
              <w:instrText xml:space="preserve"> PAGEREF _Toc451285648 \h </w:instrText>
            </w:r>
            <w:r w:rsidR="00BC1771">
              <w:rPr>
                <w:webHidden/>
              </w:rPr>
            </w:r>
            <w:r w:rsidR="00BC1771">
              <w:rPr>
                <w:webHidden/>
              </w:rPr>
              <w:fldChar w:fldCharType="separate"/>
            </w:r>
            <w:r w:rsidR="00BC1771">
              <w:rPr>
                <w:webHidden/>
              </w:rPr>
              <w:t>2-9</w:t>
            </w:r>
            <w:r w:rsidR="00BC1771">
              <w:rPr>
                <w:webHidden/>
              </w:rPr>
              <w:fldChar w:fldCharType="end"/>
            </w:r>
          </w:hyperlink>
        </w:p>
        <w:p w:rsidR="00BC1771" w:rsidRDefault="00FC6183">
          <w:pPr>
            <w:pStyle w:val="TOC3"/>
            <w:rPr>
              <w:rFonts w:asciiTheme="minorHAnsi" w:eastAsiaTheme="minorEastAsia" w:hAnsiTheme="minorHAnsi"/>
              <w:lang w:eastAsia="en-AU"/>
            </w:rPr>
          </w:pPr>
          <w:hyperlink w:anchor="_Toc451285649" w:history="1">
            <w:r w:rsidR="00BC1771" w:rsidRPr="009F539D">
              <w:rPr>
                <w:rStyle w:val="Hyperlink"/>
              </w:rPr>
              <w:t>2.4.1</w:t>
            </w:r>
            <w:r w:rsidR="00BC1771">
              <w:rPr>
                <w:rFonts w:asciiTheme="minorHAnsi" w:eastAsiaTheme="minorEastAsia" w:hAnsiTheme="minorHAnsi"/>
                <w:lang w:eastAsia="en-AU"/>
              </w:rPr>
              <w:tab/>
            </w:r>
            <w:r w:rsidR="00BC1771" w:rsidRPr="009F539D">
              <w:rPr>
                <w:rStyle w:val="Hyperlink"/>
              </w:rPr>
              <w:t>Opening RAB as at 1 January 2016</w:t>
            </w:r>
            <w:r w:rsidR="00BC1771">
              <w:rPr>
                <w:webHidden/>
              </w:rPr>
              <w:tab/>
            </w:r>
            <w:r w:rsidR="00BC1771">
              <w:rPr>
                <w:webHidden/>
              </w:rPr>
              <w:fldChar w:fldCharType="begin"/>
            </w:r>
            <w:r w:rsidR="00BC1771">
              <w:rPr>
                <w:webHidden/>
              </w:rPr>
              <w:instrText xml:space="preserve"> PAGEREF _Toc451285649 \h </w:instrText>
            </w:r>
            <w:r w:rsidR="00BC1771">
              <w:rPr>
                <w:webHidden/>
              </w:rPr>
            </w:r>
            <w:r w:rsidR="00BC1771">
              <w:rPr>
                <w:webHidden/>
              </w:rPr>
              <w:fldChar w:fldCharType="separate"/>
            </w:r>
            <w:r w:rsidR="00BC1771">
              <w:rPr>
                <w:webHidden/>
              </w:rPr>
              <w:t>2-10</w:t>
            </w:r>
            <w:r w:rsidR="00BC1771">
              <w:rPr>
                <w:webHidden/>
              </w:rPr>
              <w:fldChar w:fldCharType="end"/>
            </w:r>
          </w:hyperlink>
        </w:p>
        <w:p w:rsidR="00BC1771" w:rsidRDefault="00FC6183">
          <w:pPr>
            <w:pStyle w:val="TOC3"/>
            <w:rPr>
              <w:rFonts w:asciiTheme="minorHAnsi" w:eastAsiaTheme="minorEastAsia" w:hAnsiTheme="minorHAnsi"/>
              <w:lang w:eastAsia="en-AU"/>
            </w:rPr>
          </w:pPr>
          <w:hyperlink w:anchor="_Toc451285650" w:history="1">
            <w:r w:rsidR="00BC1771" w:rsidRPr="009F539D">
              <w:rPr>
                <w:rStyle w:val="Hyperlink"/>
              </w:rPr>
              <w:t>2.4.2</w:t>
            </w:r>
            <w:r w:rsidR="00BC1771">
              <w:rPr>
                <w:rFonts w:asciiTheme="minorHAnsi" w:eastAsiaTheme="minorEastAsia" w:hAnsiTheme="minorHAnsi"/>
                <w:lang w:eastAsia="en-AU"/>
              </w:rPr>
              <w:tab/>
            </w:r>
            <w:r w:rsidR="00BC1771" w:rsidRPr="009F539D">
              <w:rPr>
                <w:rStyle w:val="Hyperlink"/>
              </w:rPr>
              <w:t>Forecast closing RAB as at 31 December 2020</w:t>
            </w:r>
            <w:r w:rsidR="00BC1771">
              <w:rPr>
                <w:webHidden/>
              </w:rPr>
              <w:tab/>
            </w:r>
            <w:r w:rsidR="00BC1771">
              <w:rPr>
                <w:webHidden/>
              </w:rPr>
              <w:fldChar w:fldCharType="begin"/>
            </w:r>
            <w:r w:rsidR="00BC1771">
              <w:rPr>
                <w:webHidden/>
              </w:rPr>
              <w:instrText xml:space="preserve"> PAGEREF _Toc451285650 \h </w:instrText>
            </w:r>
            <w:r w:rsidR="00BC1771">
              <w:rPr>
                <w:webHidden/>
              </w:rPr>
            </w:r>
            <w:r w:rsidR="00BC1771">
              <w:rPr>
                <w:webHidden/>
              </w:rPr>
              <w:fldChar w:fldCharType="separate"/>
            </w:r>
            <w:r w:rsidR="00BC1771">
              <w:rPr>
                <w:webHidden/>
              </w:rPr>
              <w:t>2-13</w:t>
            </w:r>
            <w:r w:rsidR="00BC1771">
              <w:rPr>
                <w:webHidden/>
              </w:rPr>
              <w:fldChar w:fldCharType="end"/>
            </w:r>
          </w:hyperlink>
        </w:p>
        <w:p w:rsidR="00BC1771" w:rsidRDefault="00FC6183">
          <w:pPr>
            <w:pStyle w:val="TOC3"/>
            <w:rPr>
              <w:rFonts w:asciiTheme="minorHAnsi" w:eastAsiaTheme="minorEastAsia" w:hAnsiTheme="minorHAnsi"/>
              <w:lang w:eastAsia="en-AU"/>
            </w:rPr>
          </w:pPr>
          <w:hyperlink w:anchor="_Toc451285651" w:history="1">
            <w:r w:rsidR="00BC1771" w:rsidRPr="009F539D">
              <w:rPr>
                <w:rStyle w:val="Hyperlink"/>
              </w:rPr>
              <w:t>2.4.3</w:t>
            </w:r>
            <w:r w:rsidR="00BC1771">
              <w:rPr>
                <w:rFonts w:asciiTheme="minorHAnsi" w:eastAsiaTheme="minorEastAsia" w:hAnsiTheme="minorHAnsi"/>
                <w:lang w:eastAsia="en-AU"/>
              </w:rPr>
              <w:tab/>
            </w:r>
            <w:r w:rsidR="00BC1771" w:rsidRPr="009F539D">
              <w:rPr>
                <w:rStyle w:val="Hyperlink"/>
              </w:rPr>
              <w:t>Application of depreciation approach in RAB roll forward for next reset</w:t>
            </w:r>
            <w:r w:rsidR="00BC1771">
              <w:rPr>
                <w:webHidden/>
              </w:rPr>
              <w:tab/>
            </w:r>
            <w:r w:rsidR="00BC1771">
              <w:rPr>
                <w:webHidden/>
              </w:rPr>
              <w:tab/>
            </w:r>
            <w:r w:rsidR="00BC1771">
              <w:rPr>
                <w:webHidden/>
              </w:rPr>
              <w:fldChar w:fldCharType="begin"/>
            </w:r>
            <w:r w:rsidR="00BC1771">
              <w:rPr>
                <w:webHidden/>
              </w:rPr>
              <w:instrText xml:space="preserve"> PAGEREF _Toc451285651 \h </w:instrText>
            </w:r>
            <w:r w:rsidR="00BC1771">
              <w:rPr>
                <w:webHidden/>
              </w:rPr>
            </w:r>
            <w:r w:rsidR="00BC1771">
              <w:rPr>
                <w:webHidden/>
              </w:rPr>
              <w:fldChar w:fldCharType="separate"/>
            </w:r>
            <w:r w:rsidR="00BC1771">
              <w:rPr>
                <w:webHidden/>
              </w:rPr>
              <w:t>2-14</w:t>
            </w:r>
            <w:r w:rsidR="00BC1771">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285643"/>
      <w:r>
        <w:lastRenderedPageBreak/>
        <w:t>Shortened forms</w:t>
      </w:r>
      <w:bookmarkEnd w:id="11"/>
      <w:bookmarkEnd w:id="12"/>
    </w:p>
    <w:tbl>
      <w:tblPr>
        <w:tblStyle w:val="AERtable-text0"/>
        <w:tblW w:w="0" w:type="auto"/>
        <w:tblLook w:val="04A0" w:firstRow="1" w:lastRow="0" w:firstColumn="1" w:lastColumn="0" w:noHBand="0" w:noVBand="1"/>
      </w:tblPr>
      <w:tblGrid>
        <w:gridCol w:w="3510"/>
        <w:gridCol w:w="5183"/>
      </w:tblGrid>
      <w:tr w:rsidR="0053603C" w:rsidRPr="0087648F" w:rsidTr="001E0F60">
        <w:trPr>
          <w:cnfStyle w:val="100000000000" w:firstRow="1" w:lastRow="0" w:firstColumn="0" w:lastColumn="0" w:oddVBand="0" w:evenVBand="0" w:oddHBand="0" w:evenHBand="0" w:firstRowFirstColumn="0" w:firstRowLastColumn="0" w:lastRowFirstColumn="0" w:lastRowLastColumn="0"/>
          <w:tblHeader/>
        </w:trPr>
        <w:tc>
          <w:tcPr>
            <w:tcW w:w="3510" w:type="dxa"/>
          </w:tcPr>
          <w:p w:rsidR="0053603C" w:rsidRPr="0087648F" w:rsidRDefault="0087648F" w:rsidP="0087648F">
            <w:r>
              <w:t>Shortened form</w:t>
            </w:r>
          </w:p>
        </w:tc>
        <w:tc>
          <w:tcPr>
            <w:tcW w:w="5183" w:type="dxa"/>
          </w:tcPr>
          <w:p w:rsidR="0053603C" w:rsidRPr="0087648F" w:rsidRDefault="0087648F" w:rsidP="0087648F">
            <w:r>
              <w:t>Extended form</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AEMC</w:t>
            </w:r>
          </w:p>
        </w:tc>
        <w:tc>
          <w:tcPr>
            <w:tcW w:w="518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AEMO</w:t>
            </w:r>
          </w:p>
        </w:tc>
        <w:tc>
          <w:tcPr>
            <w:tcW w:w="518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AER</w:t>
            </w:r>
          </w:p>
        </w:tc>
        <w:tc>
          <w:tcPr>
            <w:tcW w:w="518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0F0F0A" w:rsidRPr="00712239" w:rsidRDefault="000F0F0A" w:rsidP="004523B2">
            <w:pPr>
              <w:pStyle w:val="AERtabletextleft"/>
              <w:rPr>
                <w:rStyle w:val="AERtextsize8"/>
              </w:rPr>
            </w:pPr>
            <w:r>
              <w:rPr>
                <w:rStyle w:val="AERtextsize8"/>
              </w:rPr>
              <w:t>AMI</w:t>
            </w:r>
          </w:p>
        </w:tc>
        <w:tc>
          <w:tcPr>
            <w:tcW w:w="518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augex</w:t>
            </w:r>
          </w:p>
        </w:tc>
        <w:tc>
          <w:tcPr>
            <w:tcW w:w="518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capex</w:t>
            </w:r>
          </w:p>
        </w:tc>
        <w:tc>
          <w:tcPr>
            <w:tcW w:w="518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CCP</w:t>
            </w:r>
          </w:p>
        </w:tc>
        <w:tc>
          <w:tcPr>
            <w:tcW w:w="518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CESS</w:t>
            </w:r>
          </w:p>
        </w:tc>
        <w:tc>
          <w:tcPr>
            <w:tcW w:w="518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CPI</w:t>
            </w:r>
          </w:p>
        </w:tc>
        <w:tc>
          <w:tcPr>
            <w:tcW w:w="518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DRP</w:t>
            </w:r>
          </w:p>
        </w:tc>
        <w:tc>
          <w:tcPr>
            <w:tcW w:w="518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DMIA</w:t>
            </w:r>
          </w:p>
        </w:tc>
        <w:tc>
          <w:tcPr>
            <w:tcW w:w="518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DMIS</w:t>
            </w:r>
          </w:p>
        </w:tc>
        <w:tc>
          <w:tcPr>
            <w:tcW w:w="518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distributor</w:t>
            </w:r>
          </w:p>
        </w:tc>
        <w:tc>
          <w:tcPr>
            <w:tcW w:w="518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DUoS</w:t>
            </w:r>
          </w:p>
        </w:tc>
        <w:tc>
          <w:tcPr>
            <w:tcW w:w="518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EBSS</w:t>
            </w:r>
          </w:p>
        </w:tc>
        <w:tc>
          <w:tcPr>
            <w:tcW w:w="518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ERP</w:t>
            </w:r>
          </w:p>
        </w:tc>
        <w:tc>
          <w:tcPr>
            <w:tcW w:w="518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518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F&amp;A</w:t>
            </w:r>
          </w:p>
        </w:tc>
        <w:tc>
          <w:tcPr>
            <w:tcW w:w="518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MRP</w:t>
            </w:r>
          </w:p>
        </w:tc>
        <w:tc>
          <w:tcPr>
            <w:tcW w:w="518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NEL</w:t>
            </w:r>
          </w:p>
        </w:tc>
        <w:tc>
          <w:tcPr>
            <w:tcW w:w="518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NEM</w:t>
            </w:r>
          </w:p>
        </w:tc>
        <w:tc>
          <w:tcPr>
            <w:tcW w:w="518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NEO</w:t>
            </w:r>
          </w:p>
        </w:tc>
        <w:tc>
          <w:tcPr>
            <w:tcW w:w="518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NER</w:t>
            </w:r>
          </w:p>
        </w:tc>
        <w:tc>
          <w:tcPr>
            <w:tcW w:w="518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NSP</w:t>
            </w:r>
          </w:p>
        </w:tc>
        <w:tc>
          <w:tcPr>
            <w:tcW w:w="518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opex</w:t>
            </w:r>
          </w:p>
        </w:tc>
        <w:tc>
          <w:tcPr>
            <w:tcW w:w="518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PPI</w:t>
            </w:r>
          </w:p>
        </w:tc>
        <w:tc>
          <w:tcPr>
            <w:tcW w:w="518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PTRM</w:t>
            </w:r>
          </w:p>
        </w:tc>
        <w:tc>
          <w:tcPr>
            <w:tcW w:w="518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RAB</w:t>
            </w:r>
          </w:p>
        </w:tc>
        <w:tc>
          <w:tcPr>
            <w:tcW w:w="518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RBA</w:t>
            </w:r>
          </w:p>
        </w:tc>
        <w:tc>
          <w:tcPr>
            <w:tcW w:w="518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repex</w:t>
            </w:r>
          </w:p>
        </w:tc>
        <w:tc>
          <w:tcPr>
            <w:tcW w:w="518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lastRenderedPageBreak/>
              <w:t>RFM</w:t>
            </w:r>
          </w:p>
        </w:tc>
        <w:tc>
          <w:tcPr>
            <w:tcW w:w="518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RIN</w:t>
            </w:r>
          </w:p>
        </w:tc>
        <w:tc>
          <w:tcPr>
            <w:tcW w:w="518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RPP</w:t>
            </w:r>
          </w:p>
        </w:tc>
        <w:tc>
          <w:tcPr>
            <w:tcW w:w="518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SAIDI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SAIFI</w:t>
            </w:r>
          </w:p>
        </w:tc>
        <w:tc>
          <w:tcPr>
            <w:tcW w:w="518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SLCAPM</w:t>
            </w:r>
          </w:p>
        </w:tc>
        <w:tc>
          <w:tcPr>
            <w:tcW w:w="518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1E0F60">
        <w:tc>
          <w:tcPr>
            <w:tcW w:w="3510" w:type="dxa"/>
          </w:tcPr>
          <w:p w:rsidR="004523B2" w:rsidRPr="004523B2" w:rsidRDefault="004523B2" w:rsidP="004523B2">
            <w:pPr>
              <w:pStyle w:val="AERtabletextleft"/>
              <w:rPr>
                <w:rStyle w:val="AERtextsize8"/>
              </w:rPr>
            </w:pPr>
            <w:r w:rsidRPr="00712239">
              <w:rPr>
                <w:rStyle w:val="AERtextsize8"/>
              </w:rPr>
              <w:t>STPIS</w:t>
            </w:r>
          </w:p>
        </w:tc>
        <w:tc>
          <w:tcPr>
            <w:tcW w:w="518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1E0F60">
        <w:trPr>
          <w:cnfStyle w:val="000000010000" w:firstRow="0" w:lastRow="0" w:firstColumn="0" w:lastColumn="0" w:oddVBand="0" w:evenVBand="0" w:oddHBand="0" w:evenHBand="1" w:firstRowFirstColumn="0" w:firstRowLastColumn="0" w:lastRowFirstColumn="0" w:lastRowLastColumn="0"/>
        </w:trPr>
        <w:tc>
          <w:tcPr>
            <w:tcW w:w="3510" w:type="dxa"/>
          </w:tcPr>
          <w:p w:rsidR="004523B2" w:rsidRPr="004523B2" w:rsidRDefault="004523B2" w:rsidP="004523B2">
            <w:pPr>
              <w:pStyle w:val="AERtabletextleft"/>
              <w:rPr>
                <w:rStyle w:val="AERtextsize8"/>
              </w:rPr>
            </w:pPr>
            <w:r w:rsidRPr="00712239">
              <w:rPr>
                <w:rStyle w:val="AERtextsize8"/>
              </w:rPr>
              <w:t>WACC</w:t>
            </w:r>
          </w:p>
        </w:tc>
        <w:tc>
          <w:tcPr>
            <w:tcW w:w="518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3F2346" w:rsidP="003F2346">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285644"/>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Regulatory asset base</w:t>
      </w:r>
      <w:bookmarkEnd w:id="71"/>
    </w:p>
    <w:p w:rsidR="00132D43" w:rsidRPr="00132D43" w:rsidRDefault="00A62C28" w:rsidP="00132D43">
      <w:r w:rsidRPr="009D678A">
        <w:t xml:space="preserve">We are required to make a decision on </w:t>
      </w:r>
      <w:r>
        <w:t>Jemena</w:t>
      </w:r>
      <w:r w:rsidRPr="009D678A">
        <w:t>'s opening regulatory asset base (RAB) as at 1 January 2016.</w:t>
      </w:r>
      <w:r>
        <w:rPr>
          <w:rStyle w:val="FootnoteReference"/>
        </w:rPr>
        <w:footnoteReference w:id="1"/>
      </w:r>
      <w:r w:rsidRPr="009D678A">
        <w:t xml:space="preserve">  We use the RAB at the start of each regulatory year to determine the return of capital (regulatory depreciation) and return on capital building block allowances. This attachment presents our </w:t>
      </w:r>
      <w:r>
        <w:t>final</w:t>
      </w:r>
      <w:r w:rsidRPr="009D678A">
        <w:t xml:space="preserve"> decision on the opening RAB value as at 1 January 2016 for </w:t>
      </w:r>
      <w:r>
        <w:t>Jemena</w:t>
      </w:r>
      <w:r w:rsidRPr="009D678A">
        <w:t xml:space="preserve"> and roll forward of the forecast RAB over the 2016–20 regulatory control period.</w:t>
      </w:r>
    </w:p>
    <w:p w:rsidR="00132D43" w:rsidRDefault="00DB4E34" w:rsidP="00132D43">
      <w:pPr>
        <w:pStyle w:val="Heading2"/>
      </w:pPr>
      <w:bookmarkStart w:id="72" w:name="_Toc451285645"/>
      <w:r>
        <w:t>Final</w:t>
      </w:r>
      <w:r w:rsidR="00132D43">
        <w:t xml:space="preserve"> decision</w:t>
      </w:r>
      <w:bookmarkEnd w:id="72"/>
    </w:p>
    <w:p w:rsidR="00A62C28" w:rsidRDefault="002331E8" w:rsidP="00A62C28">
      <w:r>
        <w:t>We do not accept Jemena's revised proposed opening RAB value of $1198.5 million ($ nominal) as at 1 January 2016</w:t>
      </w:r>
      <w:r w:rsidR="00C44BC0">
        <w:t>.</w:t>
      </w:r>
      <w:r w:rsidR="00C44BC0">
        <w:rPr>
          <w:rStyle w:val="FootnoteReference"/>
        </w:rPr>
        <w:footnoteReference w:id="2"/>
      </w:r>
      <w:r w:rsidR="00C44BC0">
        <w:t xml:space="preserve"> </w:t>
      </w:r>
      <w:r>
        <w:t xml:space="preserve"> </w:t>
      </w:r>
      <w:r w:rsidR="00C44BC0">
        <w:t>Instead, w</w:t>
      </w:r>
      <w:r w:rsidR="00A62C28">
        <w:t xml:space="preserve">e determine an opening RAB value of </w:t>
      </w:r>
      <w:r w:rsidR="00F55156">
        <w:t>$11</w:t>
      </w:r>
      <w:r w:rsidR="00D14A12">
        <w:t>86.8 </w:t>
      </w:r>
      <w:r w:rsidR="00A62C28">
        <w:t>million ($ nominal) as at 1 January 2016</w:t>
      </w:r>
      <w:r w:rsidR="00EC2A9A">
        <w:t xml:space="preserve"> for Jemena</w:t>
      </w:r>
      <w:r w:rsidR="00A62C28">
        <w:t xml:space="preserve">. </w:t>
      </w:r>
      <w:r w:rsidR="00A62C28" w:rsidRPr="009D678A">
        <w:t>Th</w:t>
      </w:r>
      <w:r w:rsidR="00A62C28">
        <w:t xml:space="preserve">is is a </w:t>
      </w:r>
      <w:r w:rsidR="00A62C28" w:rsidRPr="009D678A">
        <w:t>reduc</w:t>
      </w:r>
      <w:r w:rsidR="00A62C28">
        <w:t>tion</w:t>
      </w:r>
      <w:r w:rsidR="00A62C28" w:rsidRPr="009D678A">
        <w:t xml:space="preserve"> </w:t>
      </w:r>
      <w:r w:rsidR="00A62C28">
        <w:t>of</w:t>
      </w:r>
      <w:r w:rsidR="00A62C28" w:rsidRPr="009D678A">
        <w:t xml:space="preserve"> $</w:t>
      </w:r>
      <w:r w:rsidR="00D14A12">
        <w:t>11.7 </w:t>
      </w:r>
      <w:r w:rsidR="00A62C28" w:rsidRPr="009D678A">
        <w:t xml:space="preserve">million (or </w:t>
      </w:r>
      <w:r w:rsidR="00D14A12">
        <w:t>1.0 </w:t>
      </w:r>
      <w:r w:rsidR="00A62C28" w:rsidRPr="009D678A">
        <w:t xml:space="preserve">per cent) compared </w:t>
      </w:r>
      <w:r w:rsidR="00A62C28">
        <w:t>to Jemena</w:t>
      </w:r>
      <w:r w:rsidR="00A62C28" w:rsidRPr="009D678A">
        <w:t xml:space="preserve">'s </w:t>
      </w:r>
      <w:r w:rsidR="00A62C28">
        <w:t xml:space="preserve">revised </w:t>
      </w:r>
      <w:r w:rsidR="00A62C28" w:rsidRPr="009D678A">
        <w:t xml:space="preserve">proposed opening RAB </w:t>
      </w:r>
      <w:r w:rsidR="00C44BC0">
        <w:t>value</w:t>
      </w:r>
      <w:r w:rsidR="00A62C28" w:rsidRPr="009D678A">
        <w:t>.</w:t>
      </w:r>
      <w:r w:rsidR="00A62C28">
        <w:t xml:space="preserve"> </w:t>
      </w:r>
      <w:r w:rsidR="00C44BC0">
        <w:t>In coming to this decision:</w:t>
      </w:r>
    </w:p>
    <w:p w:rsidR="00C44BC0" w:rsidRDefault="00C44BC0" w:rsidP="00C44BC0">
      <w:pPr>
        <w:pStyle w:val="AERbulletlistfirststyle"/>
      </w:pPr>
      <w:r>
        <w:t>We accept Jemena's revised proposed approach to RAB indexation</w:t>
      </w:r>
      <w:r w:rsidR="006954A2" w:rsidRPr="006954A2">
        <w:t xml:space="preserve"> </w:t>
      </w:r>
      <w:r w:rsidR="006954A2">
        <w:t xml:space="preserve">using </w:t>
      </w:r>
      <w:r w:rsidR="006954A2" w:rsidRPr="00C44BC0">
        <w:t xml:space="preserve">annual actual </w:t>
      </w:r>
      <w:r w:rsidR="006954A2">
        <w:t xml:space="preserve">(one-year lagged) </w:t>
      </w:r>
      <w:r w:rsidR="006954A2" w:rsidRPr="00C44BC0">
        <w:t>inflation inputs</w:t>
      </w:r>
      <w:r>
        <w:t>.</w:t>
      </w:r>
    </w:p>
    <w:p w:rsidR="00C44BC0" w:rsidRDefault="00C44BC0" w:rsidP="00C44BC0">
      <w:pPr>
        <w:pStyle w:val="AERbulletlistfirststyle"/>
      </w:pPr>
      <w:r>
        <w:t>We updated the 2015 capex estimate with a more recent estimate provided by Jemena.</w:t>
      </w:r>
    </w:p>
    <w:p w:rsidR="00A62C28" w:rsidRDefault="00EC2A9A" w:rsidP="00A62C28">
      <w:r>
        <w:fldChar w:fldCharType="begin"/>
      </w:r>
      <w:r>
        <w:instrText xml:space="preserve"> REF _Ref450131801 \h </w:instrText>
      </w:r>
      <w:r>
        <w:fldChar w:fldCharType="separate"/>
      </w:r>
      <w:r w:rsidR="00BC1771">
        <w:t xml:space="preserve">Table </w:t>
      </w:r>
      <w:r w:rsidR="00BC1771">
        <w:rPr>
          <w:noProof/>
        </w:rPr>
        <w:t>2</w:t>
      </w:r>
      <w:r w:rsidR="00BC1771">
        <w:t>.</w:t>
      </w:r>
      <w:r w:rsidR="00BC1771">
        <w:rPr>
          <w:noProof/>
        </w:rPr>
        <w:t>1</w:t>
      </w:r>
      <w:r>
        <w:fldChar w:fldCharType="end"/>
      </w:r>
      <w:r>
        <w:t xml:space="preserve"> </w:t>
      </w:r>
      <w:r w:rsidR="00A62C28" w:rsidRPr="009D678A">
        <w:t xml:space="preserve">sets out our </w:t>
      </w:r>
      <w:r w:rsidR="006954A2">
        <w:t>final</w:t>
      </w:r>
      <w:r w:rsidR="006954A2" w:rsidRPr="009D678A">
        <w:t xml:space="preserve"> </w:t>
      </w:r>
      <w:r w:rsidR="00A62C28" w:rsidRPr="009D678A">
        <w:t>decision on the roll forward of the RAB values for the 2011–15 regulatory control period.</w:t>
      </w:r>
    </w:p>
    <w:p w:rsidR="00210435" w:rsidRDefault="00210435" w:rsidP="00210435">
      <w:bookmarkStart w:id="73" w:name="_Ref442168264"/>
      <w:r w:rsidRPr="009D678A">
        <w:t>We determine a forecast closing RAB value at 31 December 2020 of $</w:t>
      </w:r>
      <w:r w:rsidR="00354EE3">
        <w:t>1698.3 </w:t>
      </w:r>
      <w:r w:rsidRPr="009D678A">
        <w:t>million ($</w:t>
      </w:r>
      <w:r>
        <w:t> </w:t>
      </w:r>
      <w:r w:rsidRPr="009D678A">
        <w:t>nominal). This is $</w:t>
      </w:r>
      <w:r w:rsidR="00354EE3">
        <w:t>4.5</w:t>
      </w:r>
      <w:r w:rsidR="00D14A12">
        <w:t> </w:t>
      </w:r>
      <w:r w:rsidRPr="009D678A">
        <w:t xml:space="preserve">million (or </w:t>
      </w:r>
      <w:r w:rsidR="00354EE3">
        <w:t>0.3</w:t>
      </w:r>
      <w:r w:rsidR="00D14A12">
        <w:t> </w:t>
      </w:r>
      <w:r w:rsidRPr="009D678A">
        <w:t xml:space="preserve">per cent) </w:t>
      </w:r>
      <w:r w:rsidR="00EC2A9A">
        <w:t>higher</w:t>
      </w:r>
      <w:r w:rsidRPr="009D678A">
        <w:t xml:space="preserve"> than the amount of $</w:t>
      </w:r>
      <w:r w:rsidR="00EC2A9A">
        <w:t>1693.7 </w:t>
      </w:r>
      <w:r w:rsidRPr="009D678A">
        <w:t>million ($</w:t>
      </w:r>
      <w:r>
        <w:t> </w:t>
      </w:r>
      <w:r w:rsidRPr="009D678A">
        <w:t xml:space="preserve">nominal) </w:t>
      </w:r>
      <w:r>
        <w:t>in Jemena's revised proposal</w:t>
      </w:r>
      <w:r w:rsidRPr="009D678A">
        <w:t>.</w:t>
      </w:r>
      <w:r w:rsidR="00220A3D">
        <w:rPr>
          <w:rStyle w:val="FootnoteReference"/>
        </w:rPr>
        <w:footnoteReference w:id="3"/>
      </w:r>
      <w:r w:rsidRPr="009D678A">
        <w:t xml:space="preserve"> Our </w:t>
      </w:r>
      <w:r>
        <w:t>final</w:t>
      </w:r>
      <w:r w:rsidRPr="009D678A">
        <w:t xml:space="preserve"> decision on the forecast closing RAB reflects the amended opening RAB as at 1 January 2016 and our </w:t>
      </w:r>
      <w:r>
        <w:t>final</w:t>
      </w:r>
      <w:r w:rsidRPr="009D678A">
        <w:t xml:space="preserve"> decisions on</w:t>
      </w:r>
      <w:r>
        <w:t xml:space="preserve"> the </w:t>
      </w:r>
      <w:r w:rsidR="00597E76">
        <w:t>expected</w:t>
      </w:r>
      <w:r w:rsidRPr="009D678A">
        <w:t xml:space="preserve"> </w:t>
      </w:r>
      <w:r>
        <w:t>inflation rate (attachment 3)</w:t>
      </w:r>
      <w:r w:rsidRPr="009D678A">
        <w:t xml:space="preserve"> and forecast depreciation (attachment 5).</w:t>
      </w:r>
    </w:p>
    <w:p w:rsidR="00210435" w:rsidRPr="009D678A" w:rsidRDefault="00210435" w:rsidP="00210435">
      <w:r>
        <w:rPr>
          <w:rStyle w:val="AERbody"/>
        </w:rPr>
        <w:t xml:space="preserve">Our final decision also </w:t>
      </w:r>
      <w:r w:rsidRPr="00D5100F">
        <w:rPr>
          <w:rStyle w:val="AERbody"/>
        </w:rPr>
        <w:t>maintain</w:t>
      </w:r>
      <w:r>
        <w:rPr>
          <w:rStyle w:val="AERbody"/>
        </w:rPr>
        <w:t>s</w:t>
      </w:r>
      <w:r w:rsidRPr="00D5100F">
        <w:rPr>
          <w:rStyle w:val="AERbody"/>
        </w:rPr>
        <w:t xml:space="preserve"> our preliminary decision position on the use of forecast depreciation for establishing the RAB at the commencement of the regulatory control period from 1 </w:t>
      </w:r>
      <w:r>
        <w:rPr>
          <w:rStyle w:val="AERbody"/>
        </w:rPr>
        <w:t>January</w:t>
      </w:r>
      <w:r w:rsidRPr="00D5100F">
        <w:rPr>
          <w:rStyle w:val="AERbody"/>
        </w:rPr>
        <w:t xml:space="preserve"> 202</w:t>
      </w:r>
      <w:r>
        <w:rPr>
          <w:rStyle w:val="AERbody"/>
        </w:rPr>
        <w:t>1</w:t>
      </w:r>
      <w:r w:rsidRPr="00D5100F">
        <w:rPr>
          <w:rStyle w:val="AERbody"/>
        </w:rPr>
        <w:t>.</w:t>
      </w:r>
      <w:r w:rsidRPr="00E5295B">
        <w:rPr>
          <w:rStyle w:val="FootnoteReference"/>
        </w:rPr>
        <w:footnoteReference w:id="4"/>
      </w:r>
      <w:r w:rsidRPr="00D5100F">
        <w:rPr>
          <w:rStyle w:val="AERbody"/>
        </w:rPr>
        <w:t xml:space="preserve"> </w:t>
      </w:r>
      <w:r>
        <w:rPr>
          <w:rStyle w:val="AERbody"/>
        </w:rPr>
        <w:t>Jemena</w:t>
      </w:r>
      <w:r w:rsidRPr="00D5100F">
        <w:rPr>
          <w:rStyle w:val="AERbody"/>
        </w:rPr>
        <w:t xml:space="preserve">'s revised proposal </w:t>
      </w:r>
      <w:r>
        <w:rPr>
          <w:rStyle w:val="AERbody"/>
        </w:rPr>
        <w:t>adopted our preliminary decision on this issue</w:t>
      </w:r>
      <w:r w:rsidRPr="00D5100F">
        <w:rPr>
          <w:rStyle w:val="AERbody"/>
        </w:rPr>
        <w:t>.</w:t>
      </w:r>
      <w:r>
        <w:rPr>
          <w:rStyle w:val="FootnoteReference"/>
        </w:rPr>
        <w:footnoteReference w:id="5"/>
      </w:r>
    </w:p>
    <w:p w:rsidR="00EC2A9A" w:rsidRDefault="00210435" w:rsidP="00EC2A9A">
      <w:r>
        <w:lastRenderedPageBreak/>
        <w:fldChar w:fldCharType="begin"/>
      </w:r>
      <w:r>
        <w:instrText xml:space="preserve"> REF _Ref442168668 \h </w:instrText>
      </w:r>
      <w:r>
        <w:fldChar w:fldCharType="separate"/>
      </w:r>
      <w:r w:rsidR="00BC1771">
        <w:t xml:space="preserve">Table </w:t>
      </w:r>
      <w:r w:rsidR="00BC1771">
        <w:rPr>
          <w:noProof/>
        </w:rPr>
        <w:t>2</w:t>
      </w:r>
      <w:r w:rsidR="00BC1771">
        <w:t>.</w:t>
      </w:r>
      <w:r w:rsidR="00BC1771">
        <w:rPr>
          <w:noProof/>
        </w:rPr>
        <w:t>2</w:t>
      </w:r>
      <w:r>
        <w:fldChar w:fldCharType="end"/>
      </w:r>
      <w:r>
        <w:t xml:space="preserve"> </w:t>
      </w:r>
      <w:r w:rsidRPr="009D678A">
        <w:t xml:space="preserve">sets out our </w:t>
      </w:r>
      <w:r>
        <w:t>final</w:t>
      </w:r>
      <w:r w:rsidRPr="009D678A">
        <w:t xml:space="preserve"> decision on the forecast RAB values for </w:t>
      </w:r>
      <w:r>
        <w:t>Jemena</w:t>
      </w:r>
      <w:r w:rsidRPr="009D678A">
        <w:t xml:space="preserve"> over the 2016–20 regulatory control period.</w:t>
      </w:r>
      <w:bookmarkEnd w:id="73"/>
    </w:p>
    <w:p w:rsidR="00A62C28" w:rsidRDefault="00EC2A9A" w:rsidP="00EC2A9A">
      <w:pPr>
        <w:pStyle w:val="Caption"/>
      </w:pPr>
      <w:bookmarkStart w:id="74" w:name="_Ref450131801"/>
      <w:r>
        <w:t xml:space="preserve">Table </w:t>
      </w:r>
      <w:r w:rsidR="00FC6183">
        <w:fldChar w:fldCharType="begin"/>
      </w:r>
      <w:r w:rsidR="00FC6183">
        <w:instrText xml:space="preserve"> STYLEREF 1 \s </w:instrText>
      </w:r>
      <w:r w:rsidR="00FC6183">
        <w:fldChar w:fldCharType="separate"/>
      </w:r>
      <w:r w:rsidR="00BC1771">
        <w:rPr>
          <w:noProof/>
        </w:rPr>
        <w:t>2</w:t>
      </w:r>
      <w:r w:rsidR="00FC6183">
        <w:rPr>
          <w:noProof/>
        </w:rPr>
        <w:fldChar w:fldCharType="end"/>
      </w:r>
      <w:r>
        <w:t>.</w:t>
      </w:r>
      <w:fldSimple w:instr=" SEQ Table \* ARABIC \s 1 ">
        <w:r w:rsidR="00BC1771">
          <w:rPr>
            <w:noProof/>
          </w:rPr>
          <w:t>1</w:t>
        </w:r>
      </w:fldSimple>
      <w:bookmarkEnd w:id="74"/>
      <w:r>
        <w:tab/>
      </w:r>
      <w:r w:rsidR="00A62C28" w:rsidRPr="00A62C28">
        <w:t xml:space="preserve">AER's final decision on </w:t>
      </w:r>
      <w:r w:rsidR="00A62C28">
        <w:t>Jemena</w:t>
      </w:r>
      <w:r w:rsidR="00A62C28" w:rsidRPr="00A62C28">
        <w:t>'s RAB for the 2011–15 regulatory control period ($ million, nominal)</w:t>
      </w:r>
    </w:p>
    <w:tbl>
      <w:tblPr>
        <w:tblStyle w:val="AERtable-numbers"/>
        <w:tblW w:w="5036" w:type="pct"/>
        <w:tblLayout w:type="fixed"/>
        <w:tblLook w:val="04A0" w:firstRow="1" w:lastRow="0" w:firstColumn="1" w:lastColumn="0" w:noHBand="0" w:noVBand="1"/>
      </w:tblPr>
      <w:tblGrid>
        <w:gridCol w:w="3797"/>
        <w:gridCol w:w="991"/>
        <w:gridCol w:w="991"/>
        <w:gridCol w:w="993"/>
        <w:gridCol w:w="991"/>
        <w:gridCol w:w="993"/>
      </w:tblGrid>
      <w:tr w:rsidR="00A62C28" w:rsidRPr="00237902" w:rsidTr="00A62C28">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A62C28" w:rsidRPr="00A62C28" w:rsidRDefault="00A62C28" w:rsidP="00A62C28">
            <w:r w:rsidRPr="00237902">
              <w:t> </w:t>
            </w:r>
          </w:p>
        </w:tc>
        <w:tc>
          <w:tcPr>
            <w:tcW w:w="566"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2011</w:t>
            </w:r>
          </w:p>
        </w:tc>
        <w:tc>
          <w:tcPr>
            <w:tcW w:w="566"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w:t>
            </w:r>
            <w:r w:rsidRPr="00A62C28">
              <w:t>12</w:t>
            </w:r>
          </w:p>
        </w:tc>
        <w:tc>
          <w:tcPr>
            <w:tcW w:w="567"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201</w:t>
            </w:r>
            <w:r w:rsidRPr="00A62C28">
              <w:t>3</w:t>
            </w:r>
          </w:p>
        </w:tc>
        <w:tc>
          <w:tcPr>
            <w:tcW w:w="566"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201</w:t>
            </w:r>
            <w:r w:rsidRPr="00A62C28">
              <w:t>4</w:t>
            </w:r>
          </w:p>
        </w:tc>
        <w:tc>
          <w:tcPr>
            <w:tcW w:w="567"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201</w:t>
            </w:r>
            <w:r w:rsidRPr="00A62C28">
              <w:t>5</w:t>
            </w:r>
            <w:r w:rsidRPr="00A62C28">
              <w:rPr>
                <w:rStyle w:val="AERsuperscript"/>
              </w:rPr>
              <w:t>a</w:t>
            </w:r>
          </w:p>
        </w:tc>
      </w:tr>
      <w:tr w:rsidR="00D14A12" w:rsidRPr="000663D7" w:rsidTr="00F5515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r w:rsidRPr="00D14A12">
              <w:t>Opening RAB</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764.2</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861.3</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954.8</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1033.2</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1115.6</w:t>
            </w:r>
          </w:p>
        </w:tc>
      </w:tr>
      <w:tr w:rsidR="00D14A12" w:rsidRPr="00237902" w:rsidTr="00F5515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r w:rsidRPr="00D14A12">
              <w:t>Capital expenditure</w:t>
            </w:r>
            <w:r w:rsidRPr="00D14A12">
              <w:rPr>
                <w:rStyle w:val="AERsuperscript"/>
              </w:rPr>
              <w:t>b</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122.0</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117.2</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121.9</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128.7</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137.1</w:t>
            </w:r>
          </w:p>
        </w:tc>
      </w:tr>
      <w:tr w:rsidR="00D14A12" w:rsidRPr="00237902" w:rsidTr="00F5515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r w:rsidRPr="00D14A12">
              <w:t>Inflation indexation on opening RAB</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21.3</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30.3</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19.1</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22.3</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25.7</w:t>
            </w:r>
          </w:p>
        </w:tc>
      </w:tr>
      <w:tr w:rsidR="00D14A12" w:rsidRPr="00237902" w:rsidTr="00F5515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r w:rsidRPr="00D14A12">
              <w:rPr>
                <w:rStyle w:val="AERtextitalic"/>
              </w:rPr>
              <w:t>Less</w:t>
            </w:r>
            <w:r w:rsidRPr="00D14A12">
              <w:t>: straight-line depreciation</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46.2</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54.0</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62.6</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68.7</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71.8</w:t>
            </w:r>
          </w:p>
        </w:tc>
      </w:tr>
      <w:tr w:rsidR="00D14A12" w:rsidRPr="008978BA" w:rsidTr="00F55156">
        <w:trPr>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r w:rsidRPr="00D14A12">
              <w:t>Closing RAB</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861.3</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954.8</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1033.2</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1115.6</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1206.6</w:t>
            </w:r>
          </w:p>
        </w:tc>
      </w:tr>
      <w:tr w:rsidR="00D14A12" w:rsidRPr="00237902" w:rsidTr="00F55156">
        <w:trPr>
          <w:cnfStyle w:val="000000010000" w:firstRow="0" w:lastRow="0" w:firstColumn="0" w:lastColumn="0" w:oddVBand="0" w:evenVBand="0" w:oddHBand="0" w:evenHBand="1" w:firstRowFirstColumn="0" w:firstRowLastColumn="0" w:lastRowFirstColumn="0" w:lastRowLastColumn="0"/>
          <w:trHeight w:val="66"/>
        </w:trPr>
        <w:tc>
          <w:tcPr>
            <w:cnfStyle w:val="001000000000" w:firstRow="0" w:lastRow="0" w:firstColumn="1" w:lastColumn="0" w:oddVBand="0" w:evenVBand="0" w:oddHBand="0" w:evenHBand="0" w:firstRowFirstColumn="0" w:firstRowLastColumn="0" w:lastRowFirstColumn="0" w:lastRowLastColumn="0"/>
            <w:tcW w:w="2168" w:type="pct"/>
            <w:hideMark/>
          </w:tcPr>
          <w:p w:rsidR="00D14A12" w:rsidRPr="00D14A12" w:rsidRDefault="00D14A12" w:rsidP="00D14A12">
            <w:r w:rsidRPr="00D14A12">
              <w:t>Difference between estimated and actual 2010 capex (1 January 2010 to 31 December 2010)</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 </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 </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 </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rsidRPr="00D14A12">
              <w:t> </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pPr>
            <w:r>
              <w:t>–</w:t>
            </w:r>
            <w:r w:rsidRPr="00D14A12">
              <w:t>12.1</w:t>
            </w:r>
          </w:p>
        </w:tc>
      </w:tr>
      <w:tr w:rsidR="00D14A12" w:rsidRPr="00237902" w:rsidTr="00F55156">
        <w:trPr>
          <w:trHeight w:val="303"/>
        </w:trPr>
        <w:tc>
          <w:tcPr>
            <w:cnfStyle w:val="001000000000" w:firstRow="0" w:lastRow="0" w:firstColumn="1" w:lastColumn="0" w:oddVBand="0" w:evenVBand="0" w:oddHBand="0" w:evenHBand="0" w:firstRowFirstColumn="0" w:firstRowLastColumn="0" w:lastRowFirstColumn="0" w:lastRowLastColumn="0"/>
            <w:tcW w:w="2168" w:type="pct"/>
            <w:hideMark/>
          </w:tcPr>
          <w:p w:rsidR="00D14A12" w:rsidRPr="00D14A12" w:rsidRDefault="00D14A12" w:rsidP="00D14A12">
            <w:r w:rsidRPr="00D14A12">
              <w:t>Return on difference for 2010 capex</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 </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 </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 </w:t>
            </w:r>
          </w:p>
        </w:tc>
        <w:tc>
          <w:tcPr>
            <w:tcW w:w="566"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rsidRPr="00D14A12">
              <w:t> </w:t>
            </w:r>
          </w:p>
        </w:tc>
        <w:tc>
          <w:tcPr>
            <w:tcW w:w="567" w:type="pct"/>
            <w:noWrap/>
            <w:vAlign w:val="bottom"/>
          </w:tcPr>
          <w:p w:rsidR="00D14A12" w:rsidRPr="00D14A12" w:rsidRDefault="00D14A12" w:rsidP="00D14A12">
            <w:pPr>
              <w:cnfStyle w:val="000000000000" w:firstRow="0" w:lastRow="0" w:firstColumn="0" w:lastColumn="0" w:oddVBand="0" w:evenVBand="0" w:oddHBand="0" w:evenHBand="0" w:firstRowFirstColumn="0" w:firstRowLastColumn="0" w:lastRowFirstColumn="0" w:lastRowLastColumn="0"/>
            </w:pPr>
            <w:r>
              <w:t>–</w:t>
            </w:r>
            <w:r w:rsidRPr="00D14A12">
              <w:t>7.7</w:t>
            </w:r>
          </w:p>
        </w:tc>
      </w:tr>
      <w:tr w:rsidR="00D14A12" w:rsidRPr="00D14A12" w:rsidTr="00F55156">
        <w:trPr>
          <w:cnfStyle w:val="000000010000" w:firstRow="0" w:lastRow="0" w:firstColumn="0" w:lastColumn="0" w:oddVBand="0" w:evenVBand="0" w:oddHBand="0" w:evenHBand="1"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2168" w:type="pct"/>
            <w:noWrap/>
            <w:hideMark/>
          </w:tcPr>
          <w:p w:rsidR="00D14A12" w:rsidRPr="00D14A12" w:rsidRDefault="00D14A12" w:rsidP="00D14A12">
            <w:pPr>
              <w:rPr>
                <w:rStyle w:val="Strong"/>
              </w:rPr>
            </w:pPr>
            <w:r w:rsidRPr="00D14A12">
              <w:rPr>
                <w:rStyle w:val="Strong"/>
              </w:rPr>
              <w:t>Closing RAB as at 31 December 2015</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rPr>
                <w:rStyle w:val="Strong"/>
              </w:rPr>
            </w:pPr>
            <w:r w:rsidRPr="00D14A12">
              <w:rPr>
                <w:rStyle w:val="Strong"/>
              </w:rPr>
              <w:t> </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rPr>
                <w:rStyle w:val="Strong"/>
              </w:rPr>
            </w:pPr>
            <w:r w:rsidRPr="00D14A12">
              <w:rPr>
                <w:rStyle w:val="Strong"/>
              </w:rPr>
              <w:t> </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rPr>
                <w:rStyle w:val="Strong"/>
              </w:rPr>
            </w:pPr>
            <w:r w:rsidRPr="00D14A12">
              <w:rPr>
                <w:rStyle w:val="Strong"/>
              </w:rPr>
              <w:t> </w:t>
            </w:r>
          </w:p>
        </w:tc>
        <w:tc>
          <w:tcPr>
            <w:tcW w:w="566"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rPr>
                <w:rStyle w:val="Strong"/>
              </w:rPr>
            </w:pPr>
            <w:r w:rsidRPr="00D14A12">
              <w:rPr>
                <w:rStyle w:val="Strong"/>
              </w:rPr>
              <w:t> </w:t>
            </w:r>
          </w:p>
        </w:tc>
        <w:tc>
          <w:tcPr>
            <w:tcW w:w="567" w:type="pct"/>
            <w:noWrap/>
            <w:vAlign w:val="bottom"/>
          </w:tcPr>
          <w:p w:rsidR="00D14A12" w:rsidRPr="00D14A12" w:rsidRDefault="00D14A12" w:rsidP="00D14A12">
            <w:pPr>
              <w:cnfStyle w:val="000000010000" w:firstRow="0" w:lastRow="0" w:firstColumn="0" w:lastColumn="0" w:oddVBand="0" w:evenVBand="0" w:oddHBand="0" w:evenHBand="1" w:firstRowFirstColumn="0" w:firstRowLastColumn="0" w:lastRowFirstColumn="0" w:lastRowLastColumn="0"/>
              <w:rPr>
                <w:rStyle w:val="Strong"/>
              </w:rPr>
            </w:pPr>
            <w:r w:rsidRPr="00D14A12">
              <w:rPr>
                <w:rStyle w:val="Strong"/>
              </w:rPr>
              <w:t>1186.8</w:t>
            </w:r>
          </w:p>
        </w:tc>
      </w:tr>
    </w:tbl>
    <w:p w:rsidR="00A62C28" w:rsidRPr="009D678A" w:rsidRDefault="00A62C28" w:rsidP="00A62C28">
      <w:pPr>
        <w:pStyle w:val="AERtablesource"/>
      </w:pPr>
      <w:r w:rsidRPr="009D678A">
        <w:t>Source:</w:t>
      </w:r>
      <w:r w:rsidRPr="009D678A">
        <w:tab/>
        <w:t>AER analysis.</w:t>
      </w:r>
    </w:p>
    <w:p w:rsidR="00A62C28" w:rsidRPr="009D678A" w:rsidRDefault="00A62C28" w:rsidP="00A62C28">
      <w:pPr>
        <w:pStyle w:val="AERtablesource"/>
      </w:pPr>
      <w:r>
        <w:t>(a)</w:t>
      </w:r>
      <w:r>
        <w:tab/>
        <w:t>Based on estimated capex.</w:t>
      </w:r>
    </w:p>
    <w:p w:rsidR="00A62C28" w:rsidRDefault="00A62C28" w:rsidP="00A62C28">
      <w:pPr>
        <w:pStyle w:val="AERtablesource"/>
      </w:pPr>
      <w:r w:rsidRPr="009D678A">
        <w:t>(b)</w:t>
      </w:r>
      <w:r w:rsidRPr="009D678A">
        <w:tab/>
        <w:t>Net of disposals and capital contributions, and adjusted for CPI.</w:t>
      </w:r>
    </w:p>
    <w:p w:rsidR="00A62C28" w:rsidRDefault="00A62C28" w:rsidP="00A62C28">
      <w:pPr>
        <w:pStyle w:val="Caption"/>
      </w:pPr>
      <w:bookmarkStart w:id="75" w:name="_Ref442168668"/>
      <w:r>
        <w:t xml:space="preserve">Table </w:t>
      </w:r>
      <w:r w:rsidR="00FC6183">
        <w:fldChar w:fldCharType="begin"/>
      </w:r>
      <w:r w:rsidR="00FC6183">
        <w:instrText xml:space="preserve"> STYLEREF 1 \s </w:instrText>
      </w:r>
      <w:r w:rsidR="00FC6183">
        <w:fldChar w:fldCharType="separate"/>
      </w:r>
      <w:r w:rsidR="00BC1771">
        <w:rPr>
          <w:noProof/>
        </w:rPr>
        <w:t>2</w:t>
      </w:r>
      <w:r w:rsidR="00FC6183">
        <w:rPr>
          <w:noProof/>
        </w:rPr>
        <w:fldChar w:fldCharType="end"/>
      </w:r>
      <w:r w:rsidR="00EC2A9A">
        <w:t>.</w:t>
      </w:r>
      <w:fldSimple w:instr=" SEQ Table \* ARABIC \s 1 ">
        <w:r w:rsidR="00BC1771">
          <w:rPr>
            <w:noProof/>
          </w:rPr>
          <w:t>2</w:t>
        </w:r>
      </w:fldSimple>
      <w:bookmarkEnd w:id="75"/>
      <w:r>
        <w:tab/>
      </w:r>
      <w:r w:rsidRPr="00A62C28">
        <w:t xml:space="preserve">AER's final decision on </w:t>
      </w:r>
      <w:r>
        <w:t>Jemena</w:t>
      </w:r>
      <w:r w:rsidRPr="00A62C28">
        <w:t>'s RAB for the 2016–20 regulatory control period ($ million, nominal)</w:t>
      </w:r>
    </w:p>
    <w:tbl>
      <w:tblPr>
        <w:tblStyle w:val="AERtable-numbers"/>
        <w:tblW w:w="5000" w:type="pct"/>
        <w:tblLook w:val="04A0" w:firstRow="1" w:lastRow="0" w:firstColumn="1" w:lastColumn="0" w:noHBand="0" w:noVBand="1"/>
      </w:tblPr>
      <w:tblGrid>
        <w:gridCol w:w="3458"/>
        <w:gridCol w:w="1047"/>
        <w:gridCol w:w="1047"/>
        <w:gridCol w:w="1047"/>
        <w:gridCol w:w="1047"/>
        <w:gridCol w:w="1047"/>
      </w:tblGrid>
      <w:tr w:rsidR="00A62C28" w:rsidRPr="00237902" w:rsidTr="00A62C2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A62C28" w:rsidRPr="00A62C28" w:rsidRDefault="00A62C28" w:rsidP="00A62C28">
            <w:r w:rsidRPr="00237902">
              <w:t> </w:t>
            </w:r>
          </w:p>
        </w:tc>
        <w:tc>
          <w:tcPr>
            <w:tcW w:w="602"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t>201</w:t>
            </w:r>
            <w:r w:rsidRPr="00A62C28">
              <w:t>6</w:t>
            </w:r>
          </w:p>
        </w:tc>
        <w:tc>
          <w:tcPr>
            <w:tcW w:w="602"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237902">
              <w:t>2017</w:t>
            </w:r>
          </w:p>
        </w:tc>
        <w:tc>
          <w:tcPr>
            <w:tcW w:w="602"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237902">
              <w:t>2018</w:t>
            </w:r>
          </w:p>
        </w:tc>
        <w:tc>
          <w:tcPr>
            <w:tcW w:w="602"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237902">
              <w:t>2019</w:t>
            </w:r>
          </w:p>
        </w:tc>
        <w:tc>
          <w:tcPr>
            <w:tcW w:w="602" w:type="pct"/>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237902">
              <w:t>2020</w:t>
            </w:r>
          </w:p>
        </w:tc>
      </w:tr>
      <w:tr w:rsidR="00354EE3" w:rsidRPr="00237902" w:rsidTr="00D14A1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54EE3" w:rsidRPr="00354EE3" w:rsidRDefault="00354EE3" w:rsidP="00354EE3">
            <w:r w:rsidRPr="00354EE3">
              <w:t>Opening RAB</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1186.8</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1277.1</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1415.6</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1519.1</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1619.5</w:t>
            </w:r>
          </w:p>
        </w:tc>
      </w:tr>
      <w:tr w:rsidR="00354EE3" w:rsidRPr="00237902" w:rsidTr="00D14A1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54EE3" w:rsidRPr="00354EE3" w:rsidRDefault="00354EE3" w:rsidP="00354EE3">
            <w:r w:rsidRPr="00354EE3">
              <w:t>Capital expenditure</w:t>
            </w:r>
            <w:r w:rsidRPr="00354EE3">
              <w:rPr>
                <w:rStyle w:val="AERsuperscript"/>
              </w:rPr>
              <w:t>a</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145.8</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183.4</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152.9</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154.2</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138.1</w:t>
            </w:r>
          </w:p>
        </w:tc>
      </w:tr>
      <w:tr w:rsidR="00354EE3" w:rsidRPr="00237902" w:rsidTr="00D14A1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54EE3" w:rsidRPr="00354EE3" w:rsidRDefault="00354EE3" w:rsidP="00354EE3">
            <w:r w:rsidRPr="00354EE3">
              <w:t>Inflation indexation on opening RAB</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27.6</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29.7</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32.9</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35.3</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37.6</w:t>
            </w:r>
          </w:p>
        </w:tc>
      </w:tr>
      <w:tr w:rsidR="00354EE3" w:rsidRPr="00237902" w:rsidTr="00D14A12">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54EE3" w:rsidRPr="00354EE3" w:rsidRDefault="00354EE3" w:rsidP="00354EE3">
            <w:r w:rsidRPr="00354EE3">
              <w:rPr>
                <w:rStyle w:val="AERtextitalic"/>
              </w:rPr>
              <w:t>Less</w:t>
            </w:r>
            <w:r w:rsidRPr="00354EE3">
              <w:t>: straight-line depreciation</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83.1</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74.5</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82.2</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89.1</w:t>
            </w:r>
          </w:p>
        </w:tc>
        <w:tc>
          <w:tcPr>
            <w:tcW w:w="602" w:type="pct"/>
            <w:noWrap/>
            <w:vAlign w:val="bottom"/>
          </w:tcPr>
          <w:p w:rsidR="00354EE3" w:rsidRPr="00354EE3" w:rsidRDefault="00354EE3" w:rsidP="00354EE3">
            <w:pPr>
              <w:cnfStyle w:val="000000010000" w:firstRow="0" w:lastRow="0" w:firstColumn="0" w:lastColumn="0" w:oddVBand="0" w:evenVBand="0" w:oddHBand="0" w:evenHBand="1" w:firstRowFirstColumn="0" w:firstRowLastColumn="0" w:lastRowFirstColumn="0" w:lastRowLastColumn="0"/>
            </w:pPr>
            <w:r w:rsidRPr="00354EE3">
              <w:t>96.9</w:t>
            </w:r>
          </w:p>
        </w:tc>
      </w:tr>
      <w:tr w:rsidR="00354EE3" w:rsidRPr="002330F7" w:rsidTr="00D14A12">
        <w:trPr>
          <w:trHeight w:val="300"/>
        </w:trPr>
        <w:tc>
          <w:tcPr>
            <w:cnfStyle w:val="001000000000" w:firstRow="0" w:lastRow="0" w:firstColumn="1" w:lastColumn="0" w:oddVBand="0" w:evenVBand="0" w:oddHBand="0" w:evenHBand="0" w:firstRowFirstColumn="0" w:firstRowLastColumn="0" w:lastRowFirstColumn="0" w:lastRowLastColumn="0"/>
            <w:tcW w:w="1989" w:type="pct"/>
            <w:noWrap/>
            <w:hideMark/>
          </w:tcPr>
          <w:p w:rsidR="00354EE3" w:rsidRPr="00354EE3" w:rsidRDefault="00354EE3" w:rsidP="00354EE3">
            <w:r w:rsidRPr="00354EE3">
              <w:t>Closing RAB</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1277.1</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1415.6</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1519.1</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1619.5</w:t>
            </w:r>
          </w:p>
        </w:tc>
        <w:tc>
          <w:tcPr>
            <w:tcW w:w="602" w:type="pct"/>
            <w:noWrap/>
            <w:vAlign w:val="bottom"/>
          </w:tcPr>
          <w:p w:rsidR="00354EE3" w:rsidRPr="00354EE3" w:rsidRDefault="00354EE3" w:rsidP="00354EE3">
            <w:pPr>
              <w:cnfStyle w:val="000000000000" w:firstRow="0" w:lastRow="0" w:firstColumn="0" w:lastColumn="0" w:oddVBand="0" w:evenVBand="0" w:oddHBand="0" w:evenHBand="0" w:firstRowFirstColumn="0" w:firstRowLastColumn="0" w:lastRowFirstColumn="0" w:lastRowLastColumn="0"/>
            </w:pPr>
            <w:r w:rsidRPr="00354EE3">
              <w:t>1698.3</w:t>
            </w:r>
          </w:p>
        </w:tc>
      </w:tr>
    </w:tbl>
    <w:p w:rsidR="00A62C28" w:rsidRPr="00C37607" w:rsidRDefault="00A62C28" w:rsidP="00A62C28">
      <w:pPr>
        <w:pStyle w:val="AERtablesource"/>
      </w:pPr>
      <w:r w:rsidRPr="00C37607">
        <w:t>Source:</w:t>
      </w:r>
      <w:r w:rsidRPr="00C37607">
        <w:tab/>
        <w:t>AER analysis.</w:t>
      </w:r>
    </w:p>
    <w:p w:rsidR="00A62C28" w:rsidRPr="00A62C28" w:rsidRDefault="00DF7F4D" w:rsidP="00A62C28">
      <w:pPr>
        <w:pStyle w:val="AERtablesource"/>
      </w:pPr>
      <w:r>
        <w:t>(a)</w:t>
      </w:r>
      <w:r w:rsidR="00A62C28" w:rsidRPr="00C37607">
        <w:tab/>
        <w:t>Net of forecast disposals and capital contributions.</w:t>
      </w:r>
      <w:r w:rsidR="00DD0081">
        <w:t xml:space="preserve"> </w:t>
      </w:r>
      <w:r w:rsidR="00DD0081" w:rsidRPr="00DD0081">
        <w:t xml:space="preserve">Inclusive of </w:t>
      </w:r>
      <w:r w:rsidR="003438BE">
        <w:t>equity raising costs</w:t>
      </w:r>
      <w:r w:rsidR="00DD0081" w:rsidRPr="00DD0081">
        <w:t xml:space="preserve"> and the</w:t>
      </w:r>
      <w:r w:rsidR="003438BE">
        <w:t xml:space="preserve"> half-</w:t>
      </w:r>
      <w:r w:rsidR="00DD0081" w:rsidRPr="00DD0081">
        <w:t>WACC to account for</w:t>
      </w:r>
      <w:r w:rsidR="003438BE">
        <w:t xml:space="preserve"> the</w:t>
      </w:r>
      <w:r w:rsidR="00DD0081" w:rsidRPr="00DD0081">
        <w:t xml:space="preserve"> timing assumptions in the PTRM.</w:t>
      </w:r>
    </w:p>
    <w:p w:rsidR="00132D43" w:rsidRDefault="002D0534" w:rsidP="00132D43">
      <w:pPr>
        <w:pStyle w:val="Heading2"/>
      </w:pPr>
      <w:bookmarkStart w:id="76" w:name="_Toc451285646"/>
      <w:r>
        <w:t>Jemena's</w:t>
      </w:r>
      <w:r w:rsidR="00132D43">
        <w:t xml:space="preserve"> </w:t>
      </w:r>
      <w:r w:rsidR="000F0F0A">
        <w:t xml:space="preserve">revised </w:t>
      </w:r>
      <w:r w:rsidR="00132D43">
        <w:t>proposal</w:t>
      </w:r>
      <w:bookmarkEnd w:id="76"/>
    </w:p>
    <w:p w:rsidR="00EA55B4" w:rsidRDefault="00A62C28" w:rsidP="00EA55B4">
      <w:r>
        <w:t>Jemena</w:t>
      </w:r>
      <w:r w:rsidR="006954A2">
        <w:t>'s revised proposal</w:t>
      </w:r>
      <w:r w:rsidRPr="00F97CE2">
        <w:t xml:space="preserve"> used our RFM to establish an opening RAB as at 1 January 2016 and our PTRM to roll forward the RAB over the 2016–20 regulatory control </w:t>
      </w:r>
      <w:r w:rsidRPr="00F97CE2">
        <w:lastRenderedPageBreak/>
        <w:t>period.</w:t>
      </w:r>
      <w:r w:rsidR="006954A2">
        <w:t xml:space="preserve"> Its revised proposal submitted an opening RAB value a</w:t>
      </w:r>
      <w:r w:rsidR="006954A2" w:rsidRPr="00F97CE2">
        <w:t>s at 1 January 2011 of $</w:t>
      </w:r>
      <w:r w:rsidR="00D14A12">
        <w:t>1198.5</w:t>
      </w:r>
      <w:r w:rsidR="006954A2" w:rsidRPr="00F97CE2">
        <w:t xml:space="preserve"> million ($ nominal)</w:t>
      </w:r>
      <w:r w:rsidR="006954A2">
        <w:t>.</w:t>
      </w:r>
      <w:r w:rsidR="006954A2">
        <w:rPr>
          <w:rStyle w:val="FootnoteReference"/>
        </w:rPr>
        <w:footnoteReference w:id="6"/>
      </w:r>
      <w:r w:rsidR="006954A2">
        <w:t xml:space="preserve"> </w:t>
      </w:r>
      <w:r w:rsidR="00EA55B4">
        <w:t>It adopted the preliminary decision</w:t>
      </w:r>
      <w:r w:rsidR="008E4DF9">
        <w:t>'s</w:t>
      </w:r>
      <w:r w:rsidR="00EA55B4">
        <w:t>:</w:t>
      </w:r>
      <w:r w:rsidR="00EA55B4">
        <w:rPr>
          <w:rStyle w:val="FootnoteReference"/>
        </w:rPr>
        <w:footnoteReference w:id="7"/>
      </w:r>
    </w:p>
    <w:p w:rsidR="00EA55B4" w:rsidRDefault="00666331" w:rsidP="00EA55B4">
      <w:pPr>
        <w:pStyle w:val="AERbulletlistfirststyle"/>
      </w:pPr>
      <w:r>
        <w:t xml:space="preserve">adjustment for </w:t>
      </w:r>
      <w:r w:rsidR="00EA55B4">
        <w:t>r</w:t>
      </w:r>
      <w:r w:rsidR="00EA55B4" w:rsidRPr="00EA55B4">
        <w:t>emov</w:t>
      </w:r>
      <w:r>
        <w:t>ing</w:t>
      </w:r>
      <w:r w:rsidR="00EA55B4" w:rsidRPr="00EA55B4">
        <w:t xml:space="preserve"> the half-year WACC allowance for 2010 actual net capex</w:t>
      </w:r>
    </w:p>
    <w:p w:rsidR="00033DE5" w:rsidRDefault="00033DE5" w:rsidP="00EA55B4">
      <w:pPr>
        <w:pStyle w:val="AERbulletlistfirststyle"/>
      </w:pPr>
      <w:r>
        <w:rPr>
          <w:rStyle w:val="AERbody"/>
        </w:rPr>
        <w:t xml:space="preserve">corrections for </w:t>
      </w:r>
      <w:r w:rsidRPr="001D52FB">
        <w:rPr>
          <w:rStyle w:val="AERbody"/>
        </w:rPr>
        <w:t>adjustment</w:t>
      </w:r>
      <w:r>
        <w:rPr>
          <w:rStyle w:val="AERbody"/>
        </w:rPr>
        <w:t xml:space="preserve">s which </w:t>
      </w:r>
      <w:r w:rsidRPr="001D52FB">
        <w:rPr>
          <w:rStyle w:val="AERbody"/>
        </w:rPr>
        <w:t>account for the difference between 2005 actual and forecast net capex</w:t>
      </w:r>
    </w:p>
    <w:p w:rsidR="00EA55B4" w:rsidRDefault="00EA55B4" w:rsidP="00EA55B4">
      <w:pPr>
        <w:pStyle w:val="AERbulletlistfirststyle"/>
      </w:pPr>
      <w:r>
        <w:t>adjustment to 2011 capex f</w:t>
      </w:r>
      <w:r w:rsidR="0017029F">
        <w:t xml:space="preserve">or </w:t>
      </w:r>
      <w:r w:rsidR="00666331">
        <w:t xml:space="preserve">removing </w:t>
      </w:r>
      <w:r w:rsidR="0017029F">
        <w:t>capitalised finance charges.</w:t>
      </w:r>
    </w:p>
    <w:p w:rsidR="00A62C28" w:rsidRDefault="002330F7" w:rsidP="00EA55B4">
      <w:r>
        <w:t>However, i</w:t>
      </w:r>
      <w:r w:rsidR="00EA55B4">
        <w:t xml:space="preserve">t did not adopt the preliminary decision approach to indexing the RAB for actual inflation. </w:t>
      </w:r>
      <w:r w:rsidR="0017029F">
        <w:t>Jemena</w:t>
      </w:r>
      <w:r w:rsidR="00EA55B4">
        <w:t xml:space="preserve">'s revised proposal </w:t>
      </w:r>
      <w:r w:rsidR="0017029F">
        <w:t xml:space="preserve">maintains its initial proposal approach to apply </w:t>
      </w:r>
      <w:r w:rsidR="00EA55B4">
        <w:t xml:space="preserve">a </w:t>
      </w:r>
      <w:r>
        <w:t xml:space="preserve">one-year </w:t>
      </w:r>
      <w:r w:rsidR="00EA55B4">
        <w:t>lagged inflation rate across all components of the RAB roll forward.</w:t>
      </w:r>
      <w:r w:rsidR="0017029F">
        <w:rPr>
          <w:rStyle w:val="FootnoteReference"/>
        </w:rPr>
        <w:footnoteReference w:id="8"/>
      </w:r>
      <w:r w:rsidR="00EA55B4">
        <w:t xml:space="preserve"> </w:t>
      </w:r>
      <w:r w:rsidR="00A62C28">
        <w:t xml:space="preserve"> </w:t>
      </w:r>
    </w:p>
    <w:p w:rsidR="00132D43" w:rsidRDefault="006F125B" w:rsidP="00A62C28">
      <w:r>
        <w:fldChar w:fldCharType="begin"/>
      </w:r>
      <w:r>
        <w:instrText xml:space="preserve"> REF _Ref442168841 \h </w:instrText>
      </w:r>
      <w:r>
        <w:fldChar w:fldCharType="separate"/>
      </w:r>
      <w:r w:rsidR="00BC1771">
        <w:t xml:space="preserve">Table </w:t>
      </w:r>
      <w:r w:rsidR="00BC1771">
        <w:rPr>
          <w:noProof/>
        </w:rPr>
        <w:t>2</w:t>
      </w:r>
      <w:r w:rsidR="00BC1771">
        <w:t>.</w:t>
      </w:r>
      <w:r w:rsidR="00BC1771">
        <w:rPr>
          <w:noProof/>
        </w:rPr>
        <w:t>3</w:t>
      </w:r>
      <w:r>
        <w:fldChar w:fldCharType="end"/>
      </w:r>
      <w:r>
        <w:t xml:space="preserve"> </w:t>
      </w:r>
      <w:r w:rsidR="00A62C28" w:rsidRPr="00F97CE2">
        <w:t xml:space="preserve">presents </w:t>
      </w:r>
      <w:r w:rsidR="00A62C28">
        <w:t>Jemena</w:t>
      </w:r>
      <w:r w:rsidR="00A62C28" w:rsidRPr="00F97CE2">
        <w:t xml:space="preserve">'s </w:t>
      </w:r>
      <w:r w:rsidR="00A62C28">
        <w:t xml:space="preserve">revised </w:t>
      </w:r>
      <w:r w:rsidR="00A62C28" w:rsidRPr="00F97CE2">
        <w:t>proposed roll forward of its RAB during the 2011–15 regulatory control period.</w:t>
      </w:r>
    </w:p>
    <w:p w:rsidR="00A62C28" w:rsidRDefault="00A62C28" w:rsidP="00A62C28">
      <w:pPr>
        <w:pStyle w:val="Caption"/>
      </w:pPr>
      <w:bookmarkStart w:id="77" w:name="_Ref442168841"/>
      <w:r>
        <w:t xml:space="preserve">Table </w:t>
      </w:r>
      <w:r w:rsidR="00FC6183">
        <w:fldChar w:fldCharType="begin"/>
      </w:r>
      <w:r w:rsidR="00FC6183">
        <w:instrText xml:space="preserve"> STYLEREF 1 \s </w:instrText>
      </w:r>
      <w:r w:rsidR="00FC6183">
        <w:fldChar w:fldCharType="separate"/>
      </w:r>
      <w:r w:rsidR="00BC1771">
        <w:rPr>
          <w:noProof/>
        </w:rPr>
        <w:t>2</w:t>
      </w:r>
      <w:r w:rsidR="00FC6183">
        <w:rPr>
          <w:noProof/>
        </w:rPr>
        <w:fldChar w:fldCharType="end"/>
      </w:r>
      <w:r w:rsidR="00EC2A9A">
        <w:t>.</w:t>
      </w:r>
      <w:fldSimple w:instr=" SEQ Table \* ARABIC \s 1 ">
        <w:r w:rsidR="00BC1771">
          <w:rPr>
            <w:noProof/>
          </w:rPr>
          <w:t>3</w:t>
        </w:r>
      </w:fldSimple>
      <w:bookmarkEnd w:id="77"/>
      <w:r>
        <w:tab/>
        <w:t>Jemena</w:t>
      </w:r>
      <w:r w:rsidRPr="00A62C28">
        <w:t>'s revised proposed RAB for the 2011–15 regulatory control period ($million, nominal)</w:t>
      </w:r>
    </w:p>
    <w:tbl>
      <w:tblPr>
        <w:tblStyle w:val="AERtable-numbers"/>
        <w:tblW w:w="8755" w:type="dxa"/>
        <w:tblLayout w:type="fixed"/>
        <w:tblLook w:val="04A0" w:firstRow="1" w:lastRow="0" w:firstColumn="1" w:lastColumn="0" w:noHBand="0" w:noVBand="1"/>
      </w:tblPr>
      <w:tblGrid>
        <w:gridCol w:w="3586"/>
        <w:gridCol w:w="1033"/>
        <w:gridCol w:w="1034"/>
        <w:gridCol w:w="1034"/>
        <w:gridCol w:w="1034"/>
        <w:gridCol w:w="1034"/>
      </w:tblGrid>
      <w:tr w:rsidR="00A62C28" w:rsidRPr="0011410F" w:rsidTr="00A62C28">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A62C28" w:rsidRPr="00A62C28" w:rsidRDefault="00A62C28" w:rsidP="00A62C28">
            <w:r w:rsidRPr="00924046">
              <w:t> </w:t>
            </w:r>
          </w:p>
        </w:tc>
        <w:tc>
          <w:tcPr>
            <w:tcW w:w="1033"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24046">
              <w:t>2011</w:t>
            </w:r>
          </w:p>
        </w:tc>
        <w:tc>
          <w:tcPr>
            <w:tcW w:w="1034"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24046">
              <w:t>2012</w:t>
            </w:r>
          </w:p>
        </w:tc>
        <w:tc>
          <w:tcPr>
            <w:tcW w:w="1034"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24046">
              <w:t>2013</w:t>
            </w:r>
          </w:p>
        </w:tc>
        <w:tc>
          <w:tcPr>
            <w:tcW w:w="1034"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24046">
              <w:t>2014</w:t>
            </w:r>
          </w:p>
        </w:tc>
        <w:tc>
          <w:tcPr>
            <w:tcW w:w="1034"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24046">
              <w:t>2015</w:t>
            </w:r>
            <w:r w:rsidRPr="00A62C28">
              <w:rPr>
                <w:rStyle w:val="AERsuperscript"/>
              </w:rPr>
              <w:t>a</w:t>
            </w:r>
          </w:p>
        </w:tc>
      </w:tr>
      <w:tr w:rsidR="006F125B" w:rsidRPr="00F30662" w:rsidTr="00F5515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Opening RAB</w:t>
            </w:r>
          </w:p>
        </w:tc>
        <w:tc>
          <w:tcPr>
            <w:tcW w:w="1033"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764.2</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861.3</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954.8</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1033.2</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1115.6</w:t>
            </w:r>
          </w:p>
        </w:tc>
      </w:tr>
      <w:tr w:rsidR="006F125B" w:rsidRPr="00F30662" w:rsidTr="00F5515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Capital expenditure</w:t>
            </w:r>
            <w:r w:rsidRPr="006F125B">
              <w:rPr>
                <w:rStyle w:val="AERsuperscript"/>
              </w:rPr>
              <w:t>b</w:t>
            </w:r>
          </w:p>
        </w:tc>
        <w:tc>
          <w:tcPr>
            <w:tcW w:w="1033"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122.0</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117.2</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121.9</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128.7</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144.1</w:t>
            </w:r>
          </w:p>
        </w:tc>
      </w:tr>
      <w:tr w:rsidR="006F125B" w:rsidRPr="00F30662" w:rsidTr="00F5515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Inflation indexation on opening RAB</w:t>
            </w:r>
          </w:p>
        </w:tc>
        <w:tc>
          <w:tcPr>
            <w:tcW w:w="1033"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21.3</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30.3</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19.1</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22.3</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25.7</w:t>
            </w:r>
          </w:p>
        </w:tc>
      </w:tr>
      <w:tr w:rsidR="006F125B" w:rsidRPr="00F30662" w:rsidTr="00F5515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rPr>
                <w:rStyle w:val="AERtextitalic"/>
              </w:rPr>
              <w:t>Less</w:t>
            </w:r>
            <w:r w:rsidRPr="006F125B">
              <w:t>: straight-line depreciation</w:t>
            </w:r>
          </w:p>
        </w:tc>
        <w:tc>
          <w:tcPr>
            <w:tcW w:w="1033"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46.2</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54.0</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62.6</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68.7</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71.8</w:t>
            </w:r>
          </w:p>
        </w:tc>
      </w:tr>
      <w:tr w:rsidR="006F125B" w:rsidRPr="008978BA" w:rsidTr="00F5515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Closing RAB</w:t>
            </w:r>
          </w:p>
        </w:tc>
        <w:tc>
          <w:tcPr>
            <w:tcW w:w="1033"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861.3</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954.8</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1033.2</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1115.6</w:t>
            </w:r>
          </w:p>
        </w:tc>
        <w:tc>
          <w:tcPr>
            <w:tcW w:w="1034"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1213.6</w:t>
            </w:r>
          </w:p>
        </w:tc>
      </w:tr>
      <w:tr w:rsidR="006F125B" w:rsidRPr="00F30662" w:rsidTr="00F5515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Difference between estimated and actual 2010 capex (1 January 2010 to 31 December 2010)</w:t>
            </w:r>
          </w:p>
        </w:tc>
        <w:tc>
          <w:tcPr>
            <w:tcW w:w="1033" w:type="dxa"/>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pPr>
            <w:r w:rsidRPr="006F125B">
              <w:t> </w:t>
            </w:r>
          </w:p>
        </w:tc>
        <w:tc>
          <w:tcPr>
            <w:tcW w:w="1034" w:type="dxa"/>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pPr>
            <w:r w:rsidRPr="006F125B">
              <w:t> </w:t>
            </w:r>
          </w:p>
        </w:tc>
        <w:tc>
          <w:tcPr>
            <w:tcW w:w="1034" w:type="dxa"/>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pPr>
            <w:r w:rsidRPr="006F125B">
              <w:t> </w:t>
            </w:r>
          </w:p>
        </w:tc>
        <w:tc>
          <w:tcPr>
            <w:tcW w:w="1034" w:type="dxa"/>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pPr>
            <w:r w:rsidRPr="006F125B">
              <w:t> </w:t>
            </w:r>
          </w:p>
        </w:tc>
        <w:tc>
          <w:tcPr>
            <w:tcW w:w="1034" w:type="dxa"/>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t>–</w:t>
            </w:r>
            <w:r w:rsidRPr="006F125B">
              <w:t>9.2</w:t>
            </w:r>
          </w:p>
        </w:tc>
      </w:tr>
      <w:tr w:rsidR="006F125B" w:rsidRPr="00F30662" w:rsidTr="00F55156">
        <w:trPr>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r w:rsidRPr="006F125B">
              <w:t>Return on difference for 2010  capex</w:t>
            </w:r>
          </w:p>
        </w:tc>
        <w:tc>
          <w:tcPr>
            <w:tcW w:w="1033" w:type="dxa"/>
            <w:vAlign w:val="bottom"/>
          </w:tcPr>
          <w:p w:rsidR="006F125B" w:rsidRPr="006F125B" w:rsidRDefault="006F125B">
            <w:pPr>
              <w:cnfStyle w:val="000000000000" w:firstRow="0" w:lastRow="0" w:firstColumn="0" w:lastColumn="0" w:oddVBand="0" w:evenVBand="0" w:oddHBand="0" w:evenHBand="0" w:firstRowFirstColumn="0" w:firstRowLastColumn="0" w:lastRowFirstColumn="0" w:lastRowLastColumn="0"/>
            </w:pPr>
            <w:r w:rsidRPr="006F125B">
              <w:t> </w:t>
            </w:r>
          </w:p>
        </w:tc>
        <w:tc>
          <w:tcPr>
            <w:tcW w:w="1034" w:type="dxa"/>
            <w:vAlign w:val="bottom"/>
          </w:tcPr>
          <w:p w:rsidR="006F125B" w:rsidRPr="006F125B" w:rsidRDefault="006F125B">
            <w:pPr>
              <w:cnfStyle w:val="000000000000" w:firstRow="0" w:lastRow="0" w:firstColumn="0" w:lastColumn="0" w:oddVBand="0" w:evenVBand="0" w:oddHBand="0" w:evenHBand="0" w:firstRowFirstColumn="0" w:firstRowLastColumn="0" w:lastRowFirstColumn="0" w:lastRowLastColumn="0"/>
            </w:pPr>
            <w:r w:rsidRPr="006F125B">
              <w:t> </w:t>
            </w:r>
          </w:p>
        </w:tc>
        <w:tc>
          <w:tcPr>
            <w:tcW w:w="1034" w:type="dxa"/>
            <w:vAlign w:val="bottom"/>
          </w:tcPr>
          <w:p w:rsidR="006F125B" w:rsidRPr="006F125B" w:rsidRDefault="006F125B">
            <w:pPr>
              <w:cnfStyle w:val="000000000000" w:firstRow="0" w:lastRow="0" w:firstColumn="0" w:lastColumn="0" w:oddVBand="0" w:evenVBand="0" w:oddHBand="0" w:evenHBand="0" w:firstRowFirstColumn="0" w:firstRowLastColumn="0" w:lastRowFirstColumn="0" w:lastRowLastColumn="0"/>
            </w:pPr>
            <w:r w:rsidRPr="006F125B">
              <w:t> </w:t>
            </w:r>
          </w:p>
        </w:tc>
        <w:tc>
          <w:tcPr>
            <w:tcW w:w="1034" w:type="dxa"/>
            <w:vAlign w:val="bottom"/>
          </w:tcPr>
          <w:p w:rsidR="006F125B" w:rsidRPr="006F125B" w:rsidRDefault="006F125B">
            <w:pPr>
              <w:cnfStyle w:val="000000000000" w:firstRow="0" w:lastRow="0" w:firstColumn="0" w:lastColumn="0" w:oddVBand="0" w:evenVBand="0" w:oddHBand="0" w:evenHBand="0" w:firstRowFirstColumn="0" w:firstRowLastColumn="0" w:lastRowFirstColumn="0" w:lastRowLastColumn="0"/>
            </w:pPr>
            <w:r w:rsidRPr="006F125B">
              <w:t> </w:t>
            </w:r>
          </w:p>
        </w:tc>
        <w:tc>
          <w:tcPr>
            <w:tcW w:w="1034" w:type="dxa"/>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t>–</w:t>
            </w:r>
            <w:r w:rsidRPr="006F125B">
              <w:t>5.8</w:t>
            </w:r>
          </w:p>
        </w:tc>
      </w:tr>
      <w:tr w:rsidR="006F125B" w:rsidRPr="006F125B" w:rsidTr="00F55156">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586" w:type="dxa"/>
            <w:noWrap/>
            <w:hideMark/>
          </w:tcPr>
          <w:p w:rsidR="006F125B" w:rsidRPr="006F125B" w:rsidRDefault="006F125B" w:rsidP="006F125B">
            <w:pPr>
              <w:rPr>
                <w:rStyle w:val="Strong"/>
              </w:rPr>
            </w:pPr>
            <w:r w:rsidRPr="006F125B">
              <w:rPr>
                <w:rStyle w:val="Strong"/>
              </w:rPr>
              <w:t>Closing RAB as at 31 December 2015</w:t>
            </w:r>
          </w:p>
        </w:tc>
        <w:tc>
          <w:tcPr>
            <w:tcW w:w="1033" w:type="dxa"/>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rPr>
                <w:rStyle w:val="Strong"/>
              </w:rPr>
            </w:pPr>
            <w:r w:rsidRPr="006F125B">
              <w:rPr>
                <w:rStyle w:val="Strong"/>
              </w:rPr>
              <w:t> </w:t>
            </w:r>
          </w:p>
        </w:tc>
        <w:tc>
          <w:tcPr>
            <w:tcW w:w="1034" w:type="dxa"/>
            <w:noWrap/>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rPr>
                <w:rStyle w:val="Strong"/>
              </w:rPr>
            </w:pPr>
            <w:r w:rsidRPr="006F125B">
              <w:rPr>
                <w:rStyle w:val="Strong"/>
              </w:rPr>
              <w:t> </w:t>
            </w:r>
          </w:p>
        </w:tc>
        <w:tc>
          <w:tcPr>
            <w:tcW w:w="1034" w:type="dxa"/>
            <w:noWrap/>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rPr>
                <w:rStyle w:val="Strong"/>
              </w:rPr>
            </w:pPr>
            <w:r w:rsidRPr="006F125B">
              <w:rPr>
                <w:rStyle w:val="Strong"/>
              </w:rPr>
              <w:t> </w:t>
            </w:r>
          </w:p>
        </w:tc>
        <w:tc>
          <w:tcPr>
            <w:tcW w:w="1034" w:type="dxa"/>
            <w:noWrap/>
            <w:vAlign w:val="bottom"/>
          </w:tcPr>
          <w:p w:rsidR="006F125B" w:rsidRPr="006F125B" w:rsidRDefault="006F125B">
            <w:pPr>
              <w:cnfStyle w:val="000000010000" w:firstRow="0" w:lastRow="0" w:firstColumn="0" w:lastColumn="0" w:oddVBand="0" w:evenVBand="0" w:oddHBand="0" w:evenHBand="1" w:firstRowFirstColumn="0" w:firstRowLastColumn="0" w:lastRowFirstColumn="0" w:lastRowLastColumn="0"/>
              <w:rPr>
                <w:rStyle w:val="Strong"/>
              </w:rPr>
            </w:pPr>
            <w:r w:rsidRPr="006F125B">
              <w:rPr>
                <w:rStyle w:val="Strong"/>
              </w:rPr>
              <w:t> </w:t>
            </w:r>
          </w:p>
        </w:tc>
        <w:tc>
          <w:tcPr>
            <w:tcW w:w="1034"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rPr>
                <w:rStyle w:val="Strong"/>
              </w:rPr>
            </w:pPr>
            <w:r w:rsidRPr="006F125B">
              <w:rPr>
                <w:rStyle w:val="Strong"/>
              </w:rPr>
              <w:t>1198.5</w:t>
            </w:r>
          </w:p>
        </w:tc>
      </w:tr>
    </w:tbl>
    <w:p w:rsidR="00A62C28" w:rsidRPr="00924046" w:rsidRDefault="00A62C28" w:rsidP="00A62C28">
      <w:pPr>
        <w:pStyle w:val="AERtablesource"/>
      </w:pPr>
      <w:r w:rsidRPr="00924046">
        <w:t>Source:</w:t>
      </w:r>
      <w:r w:rsidRPr="00924046">
        <w:tab/>
      </w:r>
      <w:r w:rsidR="006F125B" w:rsidRPr="006F125B">
        <w:t xml:space="preserve">Jemena, </w:t>
      </w:r>
      <w:r w:rsidR="006F125B" w:rsidRPr="006F125B">
        <w:rPr>
          <w:rStyle w:val="AERtextitalic"/>
        </w:rPr>
        <w:t>Revised regulatory proposal</w:t>
      </w:r>
      <w:r w:rsidR="0017029F">
        <w:rPr>
          <w:rStyle w:val="AERtextitalic"/>
        </w:rPr>
        <w:t xml:space="preserve"> –</w:t>
      </w:r>
      <w:r w:rsidR="006F125B" w:rsidRPr="006F125B">
        <w:rPr>
          <w:rStyle w:val="AERtextitalic"/>
        </w:rPr>
        <w:t xml:space="preserve"> Attachment 5–</w:t>
      </w:r>
      <w:r w:rsidR="006F125B">
        <w:rPr>
          <w:rStyle w:val="AERtextitalic"/>
        </w:rPr>
        <w:t>3</w:t>
      </w:r>
      <w:r w:rsidR="00917DBD">
        <w:rPr>
          <w:rStyle w:val="AERtextitalic"/>
        </w:rPr>
        <w:t xml:space="preserve"> </w:t>
      </w:r>
      <w:r w:rsidR="00917DBD" w:rsidRPr="00BC1771">
        <w:rPr>
          <w:rStyle w:val="Emphasis"/>
        </w:rPr>
        <w:t>RAB RFM</w:t>
      </w:r>
      <w:r w:rsidR="006F125B" w:rsidRPr="006F125B">
        <w:t>, January 2016</w:t>
      </w:r>
      <w:r w:rsidR="00917DBD">
        <w:t>.</w:t>
      </w:r>
    </w:p>
    <w:p w:rsidR="00A62C28" w:rsidRPr="00924046" w:rsidRDefault="00A62C28" w:rsidP="00A62C28">
      <w:pPr>
        <w:pStyle w:val="AERtablesource"/>
      </w:pPr>
      <w:r>
        <w:t>(a)</w:t>
      </w:r>
      <w:r w:rsidRPr="00924046">
        <w:tab/>
        <w:t>Based on estimated capex.</w:t>
      </w:r>
    </w:p>
    <w:p w:rsidR="00A62C28" w:rsidRDefault="00A62C28" w:rsidP="00A62C28">
      <w:pPr>
        <w:pStyle w:val="AERtablesource"/>
      </w:pPr>
      <w:r>
        <w:t>(b)</w:t>
      </w:r>
      <w:r w:rsidRPr="00924046">
        <w:tab/>
        <w:t>Net of disposals</w:t>
      </w:r>
      <w:r w:rsidRPr="00C91E9E">
        <w:t xml:space="preserve"> </w:t>
      </w:r>
      <w:r>
        <w:t>and capital contributions,</w:t>
      </w:r>
      <w:r w:rsidRPr="00924046">
        <w:t xml:space="preserve"> and adjusted for CPI.</w:t>
      </w:r>
    </w:p>
    <w:p w:rsidR="00A62C28" w:rsidRDefault="00A62C28" w:rsidP="00A62C28">
      <w:r>
        <w:t>Jemena</w:t>
      </w:r>
      <w:r w:rsidRPr="00F97CE2">
        <w:t xml:space="preserve"> proposed a </w:t>
      </w:r>
      <w:r>
        <w:t xml:space="preserve">revised </w:t>
      </w:r>
      <w:r w:rsidRPr="00F97CE2">
        <w:t>closing forecast RAB as at 31 December 2020 of $</w:t>
      </w:r>
      <w:r w:rsidR="006F125B">
        <w:t>1693.7 </w:t>
      </w:r>
      <w:r w:rsidRPr="00F97CE2">
        <w:t>million ($</w:t>
      </w:r>
      <w:r>
        <w:t> </w:t>
      </w:r>
      <w:r w:rsidRPr="00F97CE2">
        <w:t>nominal).</w:t>
      </w:r>
      <w:r w:rsidR="0017029F">
        <w:rPr>
          <w:rStyle w:val="FootnoteReference"/>
        </w:rPr>
        <w:footnoteReference w:id="9"/>
      </w:r>
      <w:r w:rsidRPr="00F97CE2">
        <w:t xml:space="preserve"> This value reflects its </w:t>
      </w:r>
      <w:r>
        <w:t xml:space="preserve">revised </w:t>
      </w:r>
      <w:r w:rsidRPr="00F97CE2">
        <w:t xml:space="preserve">proposed opening RAB, </w:t>
      </w:r>
      <w:r w:rsidRPr="00F97CE2">
        <w:lastRenderedPageBreak/>
        <w:t xml:space="preserve">forecast capex, </w:t>
      </w:r>
      <w:r w:rsidR="00A3332E">
        <w:t>expected</w:t>
      </w:r>
      <w:r w:rsidRPr="00F97CE2">
        <w:t xml:space="preserve"> inflation, and depreciation (based on forecast capex) over the 2016–20 regulatory control period. Its projected RAB over the 2016–20 regulatory control period is shown in</w:t>
      </w:r>
      <w:r w:rsidR="00BB02B2">
        <w:t xml:space="preserve"> </w:t>
      </w:r>
      <w:r w:rsidR="00BB02B2">
        <w:fldChar w:fldCharType="begin"/>
      </w:r>
      <w:r w:rsidR="00BB02B2">
        <w:instrText xml:space="preserve"> REF _Ref443912788 \h </w:instrText>
      </w:r>
      <w:r w:rsidR="00BB02B2">
        <w:fldChar w:fldCharType="separate"/>
      </w:r>
      <w:r w:rsidR="00BC1771">
        <w:t xml:space="preserve">Table </w:t>
      </w:r>
      <w:r w:rsidR="00BC1771">
        <w:rPr>
          <w:noProof/>
        </w:rPr>
        <w:t>2</w:t>
      </w:r>
      <w:r w:rsidR="00BC1771">
        <w:t>.</w:t>
      </w:r>
      <w:r w:rsidR="00BC1771">
        <w:rPr>
          <w:noProof/>
        </w:rPr>
        <w:t>4</w:t>
      </w:r>
      <w:r w:rsidR="00BB02B2">
        <w:fldChar w:fldCharType="end"/>
      </w:r>
      <w:r w:rsidRPr="00F97CE2">
        <w:t>.</w:t>
      </w:r>
    </w:p>
    <w:p w:rsidR="00A62C28" w:rsidRDefault="00A62C28" w:rsidP="00A62C28">
      <w:pPr>
        <w:pStyle w:val="Caption"/>
      </w:pPr>
      <w:bookmarkStart w:id="78" w:name="_Ref443912788"/>
      <w:r>
        <w:t xml:space="preserve">Table </w:t>
      </w:r>
      <w:r w:rsidR="00FC6183">
        <w:fldChar w:fldCharType="begin"/>
      </w:r>
      <w:r w:rsidR="00FC6183">
        <w:instrText xml:space="preserve"> STYLEREF 1 \s </w:instrText>
      </w:r>
      <w:r w:rsidR="00FC6183">
        <w:fldChar w:fldCharType="separate"/>
      </w:r>
      <w:r w:rsidR="00BC1771">
        <w:rPr>
          <w:noProof/>
        </w:rPr>
        <w:t>2</w:t>
      </w:r>
      <w:r w:rsidR="00FC6183">
        <w:rPr>
          <w:noProof/>
        </w:rPr>
        <w:fldChar w:fldCharType="end"/>
      </w:r>
      <w:r w:rsidR="00EC2A9A">
        <w:t>.</w:t>
      </w:r>
      <w:fldSimple w:instr=" SEQ Table \* ARABIC \s 1 ">
        <w:r w:rsidR="00BC1771">
          <w:rPr>
            <w:noProof/>
          </w:rPr>
          <w:t>4</w:t>
        </w:r>
      </w:fldSimple>
      <w:bookmarkEnd w:id="78"/>
      <w:r>
        <w:tab/>
        <w:t>Jemena</w:t>
      </w:r>
      <w:r w:rsidRPr="00A62C28">
        <w:t>'s revised proposed RAB for the 2016–20 regulatory control period ($million, nominal)</w:t>
      </w:r>
    </w:p>
    <w:tbl>
      <w:tblPr>
        <w:tblStyle w:val="AERtable-numbers"/>
        <w:tblW w:w="8755" w:type="dxa"/>
        <w:tblLayout w:type="fixed"/>
        <w:tblLook w:val="04A0" w:firstRow="1" w:lastRow="0" w:firstColumn="1" w:lastColumn="0" w:noHBand="0" w:noVBand="1"/>
      </w:tblPr>
      <w:tblGrid>
        <w:gridCol w:w="3416"/>
        <w:gridCol w:w="1067"/>
        <w:gridCol w:w="1068"/>
        <w:gridCol w:w="1068"/>
        <w:gridCol w:w="1068"/>
        <w:gridCol w:w="1068"/>
      </w:tblGrid>
      <w:tr w:rsidR="00A62C28" w:rsidRPr="00237902" w:rsidTr="00A62C28">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A62C28" w:rsidRPr="00A62C28" w:rsidRDefault="00A62C28" w:rsidP="00A62C28">
            <w:r w:rsidRPr="009A523C">
              <w:t> </w:t>
            </w:r>
          </w:p>
        </w:tc>
        <w:tc>
          <w:tcPr>
            <w:tcW w:w="1067"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A523C">
              <w:t>2016</w:t>
            </w:r>
          </w:p>
        </w:tc>
        <w:tc>
          <w:tcPr>
            <w:tcW w:w="1068"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A523C">
              <w:t>2017</w:t>
            </w:r>
          </w:p>
        </w:tc>
        <w:tc>
          <w:tcPr>
            <w:tcW w:w="1068"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A523C">
              <w:t>2018</w:t>
            </w:r>
          </w:p>
        </w:tc>
        <w:tc>
          <w:tcPr>
            <w:tcW w:w="1068"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A523C">
              <w:t>2019</w:t>
            </w:r>
          </w:p>
        </w:tc>
        <w:tc>
          <w:tcPr>
            <w:tcW w:w="1068" w:type="dxa"/>
            <w:noWrap/>
            <w:hideMark/>
          </w:tcPr>
          <w:p w:rsidR="00A62C28" w:rsidRPr="00A62C28" w:rsidRDefault="00A62C28" w:rsidP="00A62C28">
            <w:pPr>
              <w:cnfStyle w:val="100000000000" w:firstRow="1" w:lastRow="0" w:firstColumn="0" w:lastColumn="0" w:oddVBand="0" w:evenVBand="0" w:oddHBand="0" w:evenHBand="0" w:firstRowFirstColumn="0" w:firstRowLastColumn="0" w:lastRowFirstColumn="0" w:lastRowLastColumn="0"/>
            </w:pPr>
            <w:r w:rsidRPr="009A523C">
              <w:t>2020</w:t>
            </w:r>
          </w:p>
        </w:tc>
      </w:tr>
      <w:tr w:rsidR="006F125B" w:rsidRPr="00237902" w:rsidTr="00F5515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F125B" w:rsidRPr="006F125B" w:rsidRDefault="006F125B" w:rsidP="006F125B">
            <w:r w:rsidRPr="006F125B">
              <w:t>Opening RAB</w:t>
            </w:r>
          </w:p>
        </w:tc>
        <w:tc>
          <w:tcPr>
            <w:tcW w:w="1067"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1198.5</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1285.6</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1423.3</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1520.7</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1618.4</w:t>
            </w:r>
          </w:p>
        </w:tc>
      </w:tr>
      <w:tr w:rsidR="006F125B" w:rsidRPr="00237902" w:rsidTr="00F5515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F125B" w:rsidRPr="006F125B" w:rsidRDefault="006F125B" w:rsidP="006F125B">
            <w:r w:rsidRPr="006F125B">
              <w:t>Capital expenditure</w:t>
            </w:r>
            <w:r w:rsidRPr="006F125B">
              <w:rPr>
                <w:rStyle w:val="AERsuperscript"/>
              </w:rPr>
              <w:t>a</w:t>
            </w:r>
          </w:p>
        </w:tc>
        <w:tc>
          <w:tcPr>
            <w:tcW w:w="1067"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146.0</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184.9</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153.8</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154.7</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138.3</w:t>
            </w:r>
          </w:p>
        </w:tc>
      </w:tr>
      <w:tr w:rsidR="006F125B" w:rsidRPr="00237902" w:rsidTr="00F5515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F125B" w:rsidRPr="006F125B" w:rsidRDefault="006F125B" w:rsidP="006F125B">
            <w:r w:rsidRPr="006F125B">
              <w:t>Inflation indexation on opening RAB</w:t>
            </w:r>
          </w:p>
        </w:tc>
        <w:tc>
          <w:tcPr>
            <w:tcW w:w="1067"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26.2</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28.2</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31.2</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33.3</w:t>
            </w:r>
          </w:p>
        </w:tc>
        <w:tc>
          <w:tcPr>
            <w:tcW w:w="1068" w:type="dxa"/>
            <w:noWrap/>
            <w:vAlign w:val="bottom"/>
          </w:tcPr>
          <w:p w:rsidR="006F125B" w:rsidRPr="006F125B" w:rsidRDefault="006F125B" w:rsidP="006F125B">
            <w:pPr>
              <w:cnfStyle w:val="000000000000" w:firstRow="0" w:lastRow="0" w:firstColumn="0" w:lastColumn="0" w:oddVBand="0" w:evenVBand="0" w:oddHBand="0" w:evenHBand="0" w:firstRowFirstColumn="0" w:firstRowLastColumn="0" w:lastRowFirstColumn="0" w:lastRowLastColumn="0"/>
            </w:pPr>
            <w:r w:rsidRPr="006F125B">
              <w:t>35.4</w:t>
            </w:r>
          </w:p>
        </w:tc>
      </w:tr>
      <w:tr w:rsidR="006F125B" w:rsidRPr="00237902" w:rsidTr="00F5515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F125B" w:rsidRPr="006F125B" w:rsidRDefault="006F125B" w:rsidP="006F125B">
            <w:r w:rsidRPr="006F125B">
              <w:rPr>
                <w:rStyle w:val="AERtextitalic"/>
              </w:rPr>
              <w:t>Less</w:t>
            </w:r>
            <w:r w:rsidRPr="006F125B">
              <w:t>: straight-line depreciation</w:t>
            </w:r>
          </w:p>
        </w:tc>
        <w:tc>
          <w:tcPr>
            <w:tcW w:w="1067"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85.3</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75.3</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87.5</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90.4</w:t>
            </w:r>
          </w:p>
        </w:tc>
        <w:tc>
          <w:tcPr>
            <w:tcW w:w="1068" w:type="dxa"/>
            <w:noWrap/>
            <w:vAlign w:val="bottom"/>
          </w:tcPr>
          <w:p w:rsidR="006F125B" w:rsidRPr="006F125B" w:rsidRDefault="006F125B" w:rsidP="006F125B">
            <w:pPr>
              <w:cnfStyle w:val="000000010000" w:firstRow="0" w:lastRow="0" w:firstColumn="0" w:lastColumn="0" w:oddVBand="0" w:evenVBand="0" w:oddHBand="0" w:evenHBand="1" w:firstRowFirstColumn="0" w:firstRowLastColumn="0" w:lastRowFirstColumn="0" w:lastRowLastColumn="0"/>
            </w:pPr>
            <w:r w:rsidRPr="006F125B">
              <w:t>98.3</w:t>
            </w:r>
          </w:p>
        </w:tc>
      </w:tr>
      <w:tr w:rsidR="006F125B" w:rsidRPr="002330F7" w:rsidTr="00F55156">
        <w:trPr>
          <w:trHeight w:val="284"/>
        </w:trPr>
        <w:tc>
          <w:tcPr>
            <w:cnfStyle w:val="001000000000" w:firstRow="0" w:lastRow="0" w:firstColumn="1" w:lastColumn="0" w:oddVBand="0" w:evenVBand="0" w:oddHBand="0" w:evenHBand="0" w:firstRowFirstColumn="0" w:firstRowLastColumn="0" w:lastRowFirstColumn="0" w:lastRowLastColumn="0"/>
            <w:tcW w:w="3416" w:type="dxa"/>
            <w:noWrap/>
            <w:hideMark/>
          </w:tcPr>
          <w:p w:rsidR="006F125B" w:rsidRPr="00C93DAC" w:rsidRDefault="006F125B" w:rsidP="002330F7">
            <w:r w:rsidRPr="00C93DAC">
              <w:t>Closing RAB</w:t>
            </w:r>
          </w:p>
        </w:tc>
        <w:tc>
          <w:tcPr>
            <w:tcW w:w="1067" w:type="dxa"/>
            <w:noWrap/>
            <w:vAlign w:val="bottom"/>
          </w:tcPr>
          <w:p w:rsidR="006F125B" w:rsidRPr="00C93DAC" w:rsidRDefault="006F125B" w:rsidP="002330F7">
            <w:pPr>
              <w:cnfStyle w:val="000000000000" w:firstRow="0" w:lastRow="0" w:firstColumn="0" w:lastColumn="0" w:oddVBand="0" w:evenVBand="0" w:oddHBand="0" w:evenHBand="0" w:firstRowFirstColumn="0" w:firstRowLastColumn="0" w:lastRowFirstColumn="0" w:lastRowLastColumn="0"/>
            </w:pPr>
            <w:r w:rsidRPr="00C93DAC">
              <w:t>1285.6</w:t>
            </w:r>
          </w:p>
        </w:tc>
        <w:tc>
          <w:tcPr>
            <w:tcW w:w="1068" w:type="dxa"/>
            <w:noWrap/>
            <w:vAlign w:val="bottom"/>
          </w:tcPr>
          <w:p w:rsidR="006F125B" w:rsidRPr="00C93DAC" w:rsidRDefault="006F125B" w:rsidP="007F4658">
            <w:pPr>
              <w:cnfStyle w:val="000000000000" w:firstRow="0" w:lastRow="0" w:firstColumn="0" w:lastColumn="0" w:oddVBand="0" w:evenVBand="0" w:oddHBand="0" w:evenHBand="0" w:firstRowFirstColumn="0" w:firstRowLastColumn="0" w:lastRowFirstColumn="0" w:lastRowLastColumn="0"/>
            </w:pPr>
            <w:r w:rsidRPr="00C93DAC">
              <w:t>1423.3</w:t>
            </w:r>
          </w:p>
        </w:tc>
        <w:tc>
          <w:tcPr>
            <w:tcW w:w="1068" w:type="dxa"/>
            <w:noWrap/>
            <w:vAlign w:val="bottom"/>
          </w:tcPr>
          <w:p w:rsidR="006F125B" w:rsidRPr="00C93DAC" w:rsidRDefault="006F125B" w:rsidP="00864977">
            <w:pPr>
              <w:cnfStyle w:val="000000000000" w:firstRow="0" w:lastRow="0" w:firstColumn="0" w:lastColumn="0" w:oddVBand="0" w:evenVBand="0" w:oddHBand="0" w:evenHBand="0" w:firstRowFirstColumn="0" w:firstRowLastColumn="0" w:lastRowFirstColumn="0" w:lastRowLastColumn="0"/>
            </w:pPr>
            <w:r w:rsidRPr="00C93DAC">
              <w:t>1520.7</w:t>
            </w:r>
          </w:p>
        </w:tc>
        <w:tc>
          <w:tcPr>
            <w:tcW w:w="1068" w:type="dxa"/>
            <w:noWrap/>
            <w:vAlign w:val="bottom"/>
          </w:tcPr>
          <w:p w:rsidR="006F125B" w:rsidRPr="00C93DAC" w:rsidRDefault="006F125B">
            <w:pPr>
              <w:cnfStyle w:val="000000000000" w:firstRow="0" w:lastRow="0" w:firstColumn="0" w:lastColumn="0" w:oddVBand="0" w:evenVBand="0" w:oddHBand="0" w:evenHBand="0" w:firstRowFirstColumn="0" w:firstRowLastColumn="0" w:lastRowFirstColumn="0" w:lastRowLastColumn="0"/>
            </w:pPr>
            <w:r w:rsidRPr="00C93DAC">
              <w:t>1618.4</w:t>
            </w:r>
          </w:p>
        </w:tc>
        <w:tc>
          <w:tcPr>
            <w:tcW w:w="1068" w:type="dxa"/>
            <w:noWrap/>
            <w:vAlign w:val="bottom"/>
          </w:tcPr>
          <w:p w:rsidR="006F125B" w:rsidRPr="00C93DAC" w:rsidRDefault="006F125B">
            <w:pPr>
              <w:cnfStyle w:val="000000000000" w:firstRow="0" w:lastRow="0" w:firstColumn="0" w:lastColumn="0" w:oddVBand="0" w:evenVBand="0" w:oddHBand="0" w:evenHBand="0" w:firstRowFirstColumn="0" w:firstRowLastColumn="0" w:lastRowFirstColumn="0" w:lastRowLastColumn="0"/>
            </w:pPr>
            <w:r w:rsidRPr="00C93DAC">
              <w:t>1693.7</w:t>
            </w:r>
          </w:p>
        </w:tc>
      </w:tr>
    </w:tbl>
    <w:p w:rsidR="00A62C28" w:rsidRPr="009A523C" w:rsidRDefault="00A62C28" w:rsidP="00A62C28">
      <w:pPr>
        <w:pStyle w:val="AERtablesource"/>
      </w:pPr>
      <w:r w:rsidRPr="009A523C">
        <w:t>Source:</w:t>
      </w:r>
      <w:r w:rsidRPr="009A523C">
        <w:tab/>
      </w:r>
      <w:r w:rsidR="006F125B" w:rsidRPr="006F125B">
        <w:t xml:space="preserve">Jemena, </w:t>
      </w:r>
      <w:r w:rsidR="006F125B" w:rsidRPr="006F125B">
        <w:rPr>
          <w:rStyle w:val="AERtextitalic"/>
        </w:rPr>
        <w:t>Revised regulatory proposal: Attachment 5–</w:t>
      </w:r>
      <w:r w:rsidR="006F125B">
        <w:rPr>
          <w:rStyle w:val="AERtextitalic"/>
        </w:rPr>
        <w:t>2</w:t>
      </w:r>
      <w:r w:rsidR="00917DBD">
        <w:rPr>
          <w:rStyle w:val="AERtextitalic"/>
        </w:rPr>
        <w:t xml:space="preserve"> </w:t>
      </w:r>
      <w:r w:rsidR="00917DBD" w:rsidRPr="00BC1771">
        <w:rPr>
          <w:rStyle w:val="Emphasis"/>
        </w:rPr>
        <w:t>PTRM</w:t>
      </w:r>
      <w:r w:rsidR="006F125B" w:rsidRPr="006F125B">
        <w:t>, January 2016</w:t>
      </w:r>
      <w:r w:rsidR="00917DBD">
        <w:t>.</w:t>
      </w:r>
    </w:p>
    <w:p w:rsidR="00A62C28" w:rsidRDefault="00A62C28" w:rsidP="00A62C28">
      <w:pPr>
        <w:pStyle w:val="AERtablesource"/>
      </w:pPr>
      <w:r w:rsidRPr="009A523C">
        <w:t>(a)</w:t>
      </w:r>
      <w:r w:rsidRPr="009A523C">
        <w:tab/>
        <w:t>Net of disposals and capital contributions.</w:t>
      </w:r>
      <w:r w:rsidR="00DD0081">
        <w:t xml:space="preserve"> </w:t>
      </w:r>
      <w:r w:rsidR="003438BE" w:rsidRPr="003438BE">
        <w:t>Inclusive of equ</w:t>
      </w:r>
      <w:r w:rsidR="003438BE">
        <w:t>ity raising costs and the half-</w:t>
      </w:r>
      <w:r w:rsidR="003438BE" w:rsidRPr="003438BE">
        <w:t>WACC to account for the timing assumptions in the PTRM.</w:t>
      </w:r>
    </w:p>
    <w:p w:rsidR="00132D43" w:rsidRDefault="00132D43" w:rsidP="00132D43">
      <w:pPr>
        <w:pStyle w:val="Heading2"/>
      </w:pPr>
      <w:bookmarkStart w:id="79" w:name="_Toc451285647"/>
      <w:r>
        <w:t>Assessment approach</w:t>
      </w:r>
      <w:bookmarkEnd w:id="79"/>
    </w:p>
    <w:p w:rsidR="00132D43" w:rsidRDefault="00A57CD3" w:rsidP="00132D43">
      <w:r>
        <w:t>Many aspects of</w:t>
      </w:r>
      <w:r w:rsidRPr="00C7256C">
        <w:t xml:space="preserve"> our assessment approach for </w:t>
      </w:r>
      <w:r w:rsidR="002330F7">
        <w:t>the RAB</w:t>
      </w:r>
      <w:r w:rsidRPr="00C7256C">
        <w:t xml:space="preserve"> from our preliminary</w:t>
      </w:r>
      <w:r>
        <w:t xml:space="preserve"> decision remain unchanged. </w:t>
      </w:r>
      <w:r w:rsidRPr="00E004A9">
        <w:t xml:space="preserve">Section </w:t>
      </w:r>
      <w:r>
        <w:t>2</w:t>
      </w:r>
      <w:r w:rsidRPr="00E004A9">
        <w:t>.3 of our preliminary decision details th</w:t>
      </w:r>
      <w:r>
        <w:t>e general</w:t>
      </w:r>
      <w:r w:rsidRPr="00E004A9">
        <w:t xml:space="preserve"> approach.</w:t>
      </w:r>
      <w:r w:rsidR="00A62C28">
        <w:rPr>
          <w:rStyle w:val="FootnoteReference"/>
        </w:rPr>
        <w:footnoteReference w:id="10"/>
      </w:r>
      <w:r>
        <w:t xml:space="preserve"> However, we have accepted a change to the approach for indexation o</w:t>
      </w:r>
      <w:r w:rsidR="002330F7">
        <w:t>f</w:t>
      </w:r>
      <w:r>
        <w:t xml:space="preserve"> the opening RAB for Jemena. Section 2.4.1 discusses this change as it affects </w:t>
      </w:r>
      <w:r w:rsidR="00B015DB">
        <w:t>Jemena</w:t>
      </w:r>
      <w:r>
        <w:t>.</w:t>
      </w:r>
    </w:p>
    <w:p w:rsidR="00132D43" w:rsidRDefault="00132D43" w:rsidP="00132D43">
      <w:pPr>
        <w:pStyle w:val="Heading2"/>
      </w:pPr>
      <w:bookmarkStart w:id="80" w:name="_Toc451285648"/>
      <w:r>
        <w:t xml:space="preserve">Reasons for </w:t>
      </w:r>
      <w:r w:rsidR="00DB4E34">
        <w:t>final</w:t>
      </w:r>
      <w:r>
        <w:t xml:space="preserve"> decision</w:t>
      </w:r>
      <w:bookmarkEnd w:id="80"/>
    </w:p>
    <w:p w:rsidR="00A62C28" w:rsidRDefault="00A62C28" w:rsidP="00A62C28">
      <w:r w:rsidRPr="00D033BE">
        <w:t xml:space="preserve">We determine an opening RAB value for </w:t>
      </w:r>
      <w:r>
        <w:t>Jemena</w:t>
      </w:r>
      <w:r w:rsidRPr="00D033BE">
        <w:t xml:space="preserve"> of $</w:t>
      </w:r>
      <w:r w:rsidR="00BB02B2">
        <w:t>1186.8</w:t>
      </w:r>
      <w:r>
        <w:t> </w:t>
      </w:r>
      <w:r w:rsidRPr="00D033BE">
        <w:t>million ($</w:t>
      </w:r>
      <w:r>
        <w:t> </w:t>
      </w:r>
      <w:r w:rsidRPr="00D033BE">
        <w:t>nominal) as at 1</w:t>
      </w:r>
      <w:r w:rsidR="00AF3DE4">
        <w:t> </w:t>
      </w:r>
      <w:r w:rsidRPr="00D033BE">
        <w:t>January 2016, a reduction of $</w:t>
      </w:r>
      <w:r w:rsidR="00BB02B2">
        <w:t>11.7 </w:t>
      </w:r>
      <w:r w:rsidRPr="00D033BE">
        <w:t>million ($</w:t>
      </w:r>
      <w:r>
        <w:t> </w:t>
      </w:r>
      <w:r w:rsidRPr="00D033BE">
        <w:t xml:space="preserve">nominal) or </w:t>
      </w:r>
      <w:r w:rsidR="00BB02B2">
        <w:t>1</w:t>
      </w:r>
      <w:r w:rsidR="00D57458">
        <w:t>.0 </w:t>
      </w:r>
      <w:r w:rsidRPr="00D033BE">
        <w:t xml:space="preserve">per cent from the </w:t>
      </w:r>
      <w:r>
        <w:t xml:space="preserve">revised </w:t>
      </w:r>
      <w:r w:rsidRPr="00D033BE">
        <w:t xml:space="preserve">proposed value. </w:t>
      </w:r>
      <w:r w:rsidRPr="001B612F">
        <w:t>This difference is due to our update of the 2015 inputs in the RAB roll forward for a revised estimate of capex.</w:t>
      </w:r>
      <w:r>
        <w:t xml:space="preserve"> </w:t>
      </w:r>
    </w:p>
    <w:p w:rsidR="00A62C28" w:rsidRDefault="00A62C28" w:rsidP="00A62C28">
      <w:r>
        <w:t>Based on the approved opening RAB w</w:t>
      </w:r>
      <w:r w:rsidRPr="00D033BE">
        <w:t>e forecast a closing RAB value of $</w:t>
      </w:r>
      <w:r w:rsidR="00D57458">
        <w:t>1</w:t>
      </w:r>
      <w:r w:rsidR="00354EE3">
        <w:t>698.3 </w:t>
      </w:r>
      <w:r w:rsidRPr="00D033BE">
        <w:t>million by 31 December 2020. This represents a</w:t>
      </w:r>
      <w:r w:rsidR="00EC2A9A">
        <w:t>n increase</w:t>
      </w:r>
      <w:r w:rsidRPr="00D033BE">
        <w:t xml:space="preserve"> of $</w:t>
      </w:r>
      <w:r w:rsidR="00354EE3">
        <w:t>4.5 </w:t>
      </w:r>
      <w:r w:rsidRPr="00D033BE">
        <w:t xml:space="preserve">million, or </w:t>
      </w:r>
      <w:r w:rsidR="00354EE3">
        <w:t>0.3</w:t>
      </w:r>
      <w:r w:rsidR="00D57458">
        <w:t> </w:t>
      </w:r>
      <w:r w:rsidRPr="00D033BE">
        <w:t xml:space="preserve">per cent compared to the </w:t>
      </w:r>
      <w:r>
        <w:t xml:space="preserve">revised </w:t>
      </w:r>
      <w:r w:rsidRPr="00D033BE">
        <w:t>proposal. The reasons for our decision are discussed below.</w:t>
      </w:r>
    </w:p>
    <w:p w:rsidR="004F12C2" w:rsidRDefault="004F12C2" w:rsidP="00A62C28"/>
    <w:p w:rsidR="004F12C2" w:rsidRDefault="004F12C2" w:rsidP="00A62C28"/>
    <w:p w:rsidR="00A62C28" w:rsidRPr="00A62C28" w:rsidRDefault="00A62C28" w:rsidP="00BC1771">
      <w:pPr>
        <w:pStyle w:val="Heading3"/>
        <w:ind w:left="578" w:hanging="578"/>
      </w:pPr>
      <w:bookmarkStart w:id="81" w:name="_Toc451285649"/>
      <w:r w:rsidRPr="00A62C28">
        <w:lastRenderedPageBreak/>
        <w:t>Opening RAB as at 1 January 2016</w:t>
      </w:r>
      <w:bookmarkEnd w:id="81"/>
    </w:p>
    <w:p w:rsidR="00A62C28" w:rsidRDefault="00A62C28" w:rsidP="00A62C28">
      <w:r w:rsidRPr="001B612F">
        <w:t xml:space="preserve">We determine </w:t>
      </w:r>
      <w:r>
        <w:t>Jemena</w:t>
      </w:r>
      <w:r w:rsidRPr="001B612F">
        <w:t xml:space="preserve">'s opening RAB value as at 1 </w:t>
      </w:r>
      <w:r>
        <w:t>January</w:t>
      </w:r>
      <w:r w:rsidRPr="001B612F">
        <w:t xml:space="preserve"> 201</w:t>
      </w:r>
      <w:r>
        <w:t>6</w:t>
      </w:r>
      <w:r w:rsidRPr="001B612F">
        <w:t xml:space="preserve"> to be $</w:t>
      </w:r>
      <w:r w:rsidR="00F55156">
        <w:t>11</w:t>
      </w:r>
      <w:r w:rsidR="00BB02B2">
        <w:t>86.8 </w:t>
      </w:r>
      <w:r w:rsidRPr="001B612F">
        <w:t>million ($</w:t>
      </w:r>
      <w:r>
        <w:t> </w:t>
      </w:r>
      <w:r w:rsidRPr="001B612F">
        <w:t>nominal). This amount is $</w:t>
      </w:r>
      <w:r w:rsidR="00BB02B2">
        <w:t>11.7 </w:t>
      </w:r>
      <w:r w:rsidRPr="001B612F">
        <w:t xml:space="preserve">million (or </w:t>
      </w:r>
      <w:r w:rsidR="00BB02B2">
        <w:t>1</w:t>
      </w:r>
      <w:r w:rsidR="00D57458">
        <w:t>.0 </w:t>
      </w:r>
      <w:r w:rsidRPr="001B612F">
        <w:t xml:space="preserve">per cent) lower than </w:t>
      </w:r>
      <w:r>
        <w:t>Jemena</w:t>
      </w:r>
      <w:r w:rsidRPr="001B612F">
        <w:t>'s value of $</w:t>
      </w:r>
      <w:r w:rsidR="00F55156">
        <w:t>1198.5 </w:t>
      </w:r>
      <w:r w:rsidRPr="001B612F">
        <w:t xml:space="preserve">million </w:t>
      </w:r>
      <w:r w:rsidR="00F55156">
        <w:t xml:space="preserve">($ nominal) </w:t>
      </w:r>
      <w:r w:rsidRPr="001B612F">
        <w:t xml:space="preserve">in its revised proposal. </w:t>
      </w:r>
      <w:r w:rsidR="00A57CD3">
        <w:t>Our final decision on Jemena's opening R</w:t>
      </w:r>
      <w:r w:rsidR="001974F9">
        <w:t>AB as at 1 January 2016 reflect</w:t>
      </w:r>
      <w:r w:rsidR="007F4658">
        <w:t>s</w:t>
      </w:r>
      <w:r w:rsidR="00A57CD3">
        <w:t>:</w:t>
      </w:r>
    </w:p>
    <w:p w:rsidR="00A62C28" w:rsidRDefault="00B015DB" w:rsidP="00A62C28">
      <w:pPr>
        <w:pStyle w:val="AERbulletlistfirststyle"/>
      </w:pPr>
      <w:r>
        <w:t>u</w:t>
      </w:r>
      <w:r w:rsidR="00A62C28">
        <w:t>pdate</w:t>
      </w:r>
      <w:r w:rsidR="004A3125">
        <w:t>d</w:t>
      </w:r>
      <w:r w:rsidR="00A62C28">
        <w:t xml:space="preserve"> </w:t>
      </w:r>
      <w:r w:rsidR="00A57CD3">
        <w:t xml:space="preserve">2015 </w:t>
      </w:r>
      <w:r w:rsidR="00A62C28">
        <w:t xml:space="preserve">capex </w:t>
      </w:r>
      <w:r w:rsidR="00A57CD3">
        <w:t>estimate</w:t>
      </w:r>
      <w:r w:rsidR="00A62C28" w:rsidRPr="007B193F">
        <w:t xml:space="preserve"> using revised estimates </w:t>
      </w:r>
      <w:r w:rsidR="004A3125">
        <w:t>provided by</w:t>
      </w:r>
      <w:r w:rsidR="00A62C28" w:rsidRPr="007B193F">
        <w:t xml:space="preserve"> </w:t>
      </w:r>
      <w:r w:rsidR="00A62C28">
        <w:t>Jemena</w:t>
      </w:r>
    </w:p>
    <w:p w:rsidR="0094129C" w:rsidRDefault="00B015DB" w:rsidP="00A62C28">
      <w:pPr>
        <w:pStyle w:val="AERbulletlistfirststyle"/>
      </w:pPr>
      <w:r>
        <w:t>a</w:t>
      </w:r>
      <w:r w:rsidR="001974F9">
        <w:t xml:space="preserve"> change in </w:t>
      </w:r>
      <w:r w:rsidR="00A62C28">
        <w:t>approach</w:t>
      </w:r>
      <w:r w:rsidR="001974F9">
        <w:t xml:space="preserve"> from the preliminary decision to the indexation of the RAB for actual inflation. Our final decision is to accept the approa</w:t>
      </w:r>
      <w:r w:rsidR="004F12C2">
        <w:t>ch in Jemena's revised proposal</w:t>
      </w:r>
    </w:p>
    <w:p w:rsidR="00A62C28" w:rsidRDefault="00B015DB" w:rsidP="00A62C28">
      <w:pPr>
        <w:pStyle w:val="AERbulletlistfirststyle"/>
      </w:pPr>
      <w:r>
        <w:t>r</w:t>
      </w:r>
      <w:r w:rsidR="0094129C">
        <w:t>emov</w:t>
      </w:r>
      <w:r w:rsidR="00A57CD3">
        <w:t>al of</w:t>
      </w:r>
      <w:r w:rsidR="0094129C">
        <w:t xml:space="preserve"> the </w:t>
      </w:r>
      <w:r w:rsidR="006A7492">
        <w:t>inflation</w:t>
      </w:r>
      <w:r w:rsidR="0094129C">
        <w:t xml:space="preserve"> adjustment to </w:t>
      </w:r>
      <w:r w:rsidR="00A57CD3">
        <w:t xml:space="preserve">the previous period </w:t>
      </w:r>
      <w:r w:rsidR="0094129C">
        <w:t>capex</w:t>
      </w:r>
      <w:r w:rsidR="00A62C28">
        <w:t>.</w:t>
      </w:r>
    </w:p>
    <w:p w:rsidR="00A62C28" w:rsidRDefault="00A62C28" w:rsidP="00A62C28">
      <w:pPr>
        <w:rPr>
          <w:rStyle w:val="AERbody"/>
        </w:rPr>
      </w:pPr>
      <w:r w:rsidRPr="007B193F">
        <w:rPr>
          <w:rStyle w:val="AERbody"/>
        </w:rPr>
        <w:t xml:space="preserve">In the preliminary decision, we made certain amendments to </w:t>
      </w:r>
      <w:r>
        <w:rPr>
          <w:rStyle w:val="AERbody"/>
        </w:rPr>
        <w:t>Jemena</w:t>
      </w:r>
      <w:r w:rsidRPr="007B193F">
        <w:rPr>
          <w:rStyle w:val="AERbody"/>
        </w:rPr>
        <w:t xml:space="preserve">'s proposed roll </w:t>
      </w:r>
      <w:r>
        <w:rPr>
          <w:rStyle w:val="AERbody"/>
        </w:rPr>
        <w:t>forward of its RAB over the 2011</w:t>
      </w:r>
      <w:r w:rsidRPr="007B193F">
        <w:rPr>
          <w:rStyle w:val="AERbody"/>
        </w:rPr>
        <w:t xml:space="preserve">–15 </w:t>
      </w:r>
      <w:r w:rsidR="001974F9">
        <w:rPr>
          <w:rStyle w:val="AERbody"/>
        </w:rPr>
        <w:t xml:space="preserve">regulatory control period </w:t>
      </w:r>
      <w:r w:rsidR="00A57CD3">
        <w:rPr>
          <w:rStyle w:val="AERbody"/>
        </w:rPr>
        <w:t>which Jemena adopted in its revised proposal. These amendments include</w:t>
      </w:r>
      <w:r w:rsidR="001974F9">
        <w:rPr>
          <w:rStyle w:val="AERbody"/>
        </w:rPr>
        <w:t>d</w:t>
      </w:r>
      <w:r>
        <w:rPr>
          <w:rStyle w:val="AERbody"/>
        </w:rPr>
        <w:t>:</w:t>
      </w:r>
    </w:p>
    <w:p w:rsidR="00BE5F8F" w:rsidRDefault="00BE5F8F" w:rsidP="00BE5F8F">
      <w:pPr>
        <w:pStyle w:val="AERbulletlistfirststyle"/>
      </w:pPr>
      <w:r>
        <w:t>r</w:t>
      </w:r>
      <w:r w:rsidRPr="00EA55B4">
        <w:t>emov</w:t>
      </w:r>
      <w:r>
        <w:t xml:space="preserve">ing </w:t>
      </w:r>
      <w:r w:rsidRPr="00EA55B4">
        <w:t>the half-year WACC allowance for 2010 actual net capex</w:t>
      </w:r>
    </w:p>
    <w:p w:rsidR="00033DE5" w:rsidRDefault="00033DE5" w:rsidP="00A62C28">
      <w:pPr>
        <w:pStyle w:val="AERbulletlistfirststyle"/>
        <w:rPr>
          <w:rStyle w:val="AERbody"/>
        </w:rPr>
      </w:pPr>
      <w:r>
        <w:rPr>
          <w:rStyle w:val="AERbody"/>
        </w:rPr>
        <w:t xml:space="preserve">correcting the </w:t>
      </w:r>
      <w:r w:rsidRPr="001D52FB">
        <w:rPr>
          <w:rStyle w:val="AERbody"/>
        </w:rPr>
        <w:t>adjustment</w:t>
      </w:r>
      <w:r>
        <w:rPr>
          <w:rStyle w:val="AERbody"/>
        </w:rPr>
        <w:t>s</w:t>
      </w:r>
      <w:r w:rsidRPr="001D52FB">
        <w:rPr>
          <w:rStyle w:val="AERbody"/>
        </w:rPr>
        <w:t xml:space="preserve"> to account for the difference between 2005 actual and forecast net capex</w:t>
      </w:r>
    </w:p>
    <w:p w:rsidR="00A62C28" w:rsidRDefault="007F4658" w:rsidP="00A62C28">
      <w:pPr>
        <w:pStyle w:val="AERbulletlistfirststyle"/>
        <w:rPr>
          <w:rStyle w:val="AERbody"/>
        </w:rPr>
      </w:pPr>
      <w:r>
        <w:rPr>
          <w:rStyle w:val="AERbody"/>
        </w:rPr>
        <w:t>removing</w:t>
      </w:r>
      <w:r w:rsidR="00A62C28">
        <w:rPr>
          <w:rStyle w:val="AERbody"/>
        </w:rPr>
        <w:t xml:space="preserve"> capitalised </w:t>
      </w:r>
      <w:r w:rsidR="00BE5F8F">
        <w:rPr>
          <w:rStyle w:val="AERbody"/>
        </w:rPr>
        <w:t>finance charges</w:t>
      </w:r>
      <w:r>
        <w:rPr>
          <w:rStyle w:val="AERbody"/>
        </w:rPr>
        <w:t xml:space="preserve"> from the proposed 2011 capex</w:t>
      </w:r>
      <w:r w:rsidR="00A62C28">
        <w:rPr>
          <w:rStyle w:val="AERbody"/>
        </w:rPr>
        <w:t xml:space="preserve">. </w:t>
      </w:r>
    </w:p>
    <w:p w:rsidR="001974F9" w:rsidRDefault="001974F9" w:rsidP="001974F9">
      <w:pPr>
        <w:rPr>
          <w:rStyle w:val="AERbody"/>
        </w:rPr>
      </w:pPr>
      <w:r w:rsidRPr="007B193F">
        <w:rPr>
          <w:rStyle w:val="AERbody"/>
        </w:rPr>
        <w:t>We</w:t>
      </w:r>
      <w:r>
        <w:rPr>
          <w:rStyle w:val="AERbody"/>
        </w:rPr>
        <w:t xml:space="preserve"> also</w:t>
      </w:r>
      <w:r w:rsidRPr="007B193F">
        <w:rPr>
          <w:rStyle w:val="AERbody"/>
        </w:rPr>
        <w:t xml:space="preserve"> noted the roll forward of </w:t>
      </w:r>
      <w:r>
        <w:rPr>
          <w:rStyle w:val="AERbody"/>
        </w:rPr>
        <w:t>Jemena</w:t>
      </w:r>
      <w:r w:rsidRPr="007B193F">
        <w:rPr>
          <w:rStyle w:val="AERbody"/>
        </w:rPr>
        <w:t>'s RAB included an estimated capex value for 2015</w:t>
      </w:r>
      <w:r w:rsidR="009B621D">
        <w:rPr>
          <w:rStyle w:val="AERbody"/>
        </w:rPr>
        <w:t>, because actual capex was not yet available</w:t>
      </w:r>
      <w:r w:rsidRPr="007B193F">
        <w:rPr>
          <w:rStyle w:val="AERbody"/>
        </w:rPr>
        <w:t>.</w:t>
      </w:r>
      <w:r w:rsidR="009B621D">
        <w:rPr>
          <w:rStyle w:val="FootnoteReference"/>
        </w:rPr>
        <w:footnoteReference w:id="11"/>
      </w:r>
      <w:r w:rsidRPr="007B193F">
        <w:rPr>
          <w:rStyle w:val="AERbody"/>
        </w:rPr>
        <w:t xml:space="preserve"> We</w:t>
      </w:r>
      <w:r>
        <w:rPr>
          <w:rStyle w:val="AERbody"/>
        </w:rPr>
        <w:t xml:space="preserve"> stated we would update the 201</w:t>
      </w:r>
      <w:r w:rsidRPr="007B193F">
        <w:rPr>
          <w:rStyle w:val="AERbody"/>
        </w:rPr>
        <w:t>5 estimated capex value for the final decision.</w:t>
      </w:r>
    </w:p>
    <w:p w:rsidR="007F4658" w:rsidRDefault="007F4658" w:rsidP="007F4658">
      <w:r>
        <w:t>Jemena</w:t>
      </w:r>
      <w:r w:rsidRPr="007F4658">
        <w:t>'s revised proposal did not adopt the preliminary decision approach to indexing the RAB for actual inflation.</w:t>
      </w:r>
    </w:p>
    <w:p w:rsidR="00274339" w:rsidRDefault="00274339" w:rsidP="007F4658">
      <w:pPr>
        <w:rPr>
          <w:rStyle w:val="AERbody"/>
        </w:rPr>
      </w:pPr>
      <w:r>
        <w:rPr>
          <w:rStyle w:val="AERbody"/>
        </w:rPr>
        <w:t>For this final decision, we removed the inflation adjustment to the previous period 2010 capex.</w:t>
      </w:r>
    </w:p>
    <w:p w:rsidR="007F4658" w:rsidRPr="007F4658" w:rsidRDefault="007F4658" w:rsidP="007F4658">
      <w:pPr>
        <w:rPr>
          <w:rStyle w:val="AERbody"/>
        </w:rPr>
      </w:pPr>
      <w:r>
        <w:rPr>
          <w:rStyle w:val="AERbody"/>
        </w:rPr>
        <w:t xml:space="preserve">These </w:t>
      </w:r>
      <w:r w:rsidR="00272773">
        <w:rPr>
          <w:rStyle w:val="AERbody"/>
        </w:rPr>
        <w:t xml:space="preserve">three </w:t>
      </w:r>
      <w:r>
        <w:rPr>
          <w:rStyle w:val="AERbody"/>
        </w:rPr>
        <w:t>issues are discussed in turn below.</w:t>
      </w:r>
    </w:p>
    <w:p w:rsidR="00387809" w:rsidRDefault="00A66965" w:rsidP="00387809">
      <w:pPr>
        <w:rPr>
          <w:rStyle w:val="AERbody"/>
        </w:rPr>
      </w:pPr>
      <w:r>
        <w:rPr>
          <w:rStyle w:val="AERbody"/>
        </w:rPr>
        <w:t>We are required to consider the extent to which our roll forward of the RAB to 1 January 2016 contributes to the achievement of the capital expenditure incentive objective.</w:t>
      </w:r>
      <w:r>
        <w:rPr>
          <w:rStyle w:val="FootnoteReference"/>
        </w:rPr>
        <w:footnoteReference w:id="12"/>
      </w:r>
      <w:r>
        <w:rPr>
          <w:rStyle w:val="AERbody"/>
        </w:rPr>
        <w:t xml:space="preserve"> </w:t>
      </w:r>
      <w:r w:rsidR="00387809" w:rsidRPr="00DB1673">
        <w:rPr>
          <w:rStyle w:val="AERbody"/>
        </w:rPr>
        <w:t>We note that under the transitional rules, in making this distribution determination we do not have the power to determine whether past capex should be excluded for inefficiency reasons</w:t>
      </w:r>
      <w:r w:rsidR="00387809">
        <w:rPr>
          <w:rStyle w:val="AERbody"/>
        </w:rPr>
        <w:t>.</w:t>
      </w:r>
      <w:r w:rsidR="00387809">
        <w:rPr>
          <w:rStyle w:val="FootnoteReference"/>
        </w:rPr>
        <w:footnoteReference w:id="13"/>
      </w:r>
      <w:r w:rsidR="00387809">
        <w:rPr>
          <w:rStyle w:val="AERbody"/>
        </w:rPr>
        <w:t xml:space="preserve"> </w:t>
      </w:r>
      <w:r w:rsidR="00387809" w:rsidRPr="00DB1673">
        <w:rPr>
          <w:rStyle w:val="AERbody"/>
        </w:rPr>
        <w:t xml:space="preserve">Therefore, for the purposes of this final decision, we have included </w:t>
      </w:r>
      <w:r w:rsidR="00387809">
        <w:rPr>
          <w:rStyle w:val="AERbody"/>
        </w:rPr>
        <w:t xml:space="preserve">Jemena's </w:t>
      </w:r>
      <w:r w:rsidR="00387809" w:rsidRPr="00DB1673">
        <w:rPr>
          <w:rStyle w:val="AERbody"/>
        </w:rPr>
        <w:t xml:space="preserve">actual or estimated capex in the 2011–15 regulatory control period </w:t>
      </w:r>
      <w:r w:rsidR="00387809">
        <w:rPr>
          <w:rStyle w:val="AERbody"/>
        </w:rPr>
        <w:t>when rolling forward the RAB to 1 January 2016</w:t>
      </w:r>
      <w:r w:rsidR="00387809" w:rsidRPr="00DB1673">
        <w:rPr>
          <w:rStyle w:val="AERbody"/>
        </w:rPr>
        <w:t xml:space="preserve">. In future determinations, the NER allow us to review a service provider's past capex and </w:t>
      </w:r>
      <w:r w:rsidR="00387809" w:rsidRPr="00DB1673">
        <w:rPr>
          <w:rStyle w:val="AERbody"/>
        </w:rPr>
        <w:lastRenderedPageBreak/>
        <w:t>exclude inefficient past capex from being rolled into the</w:t>
      </w:r>
      <w:r w:rsidR="00387809">
        <w:rPr>
          <w:rStyle w:val="AERbody"/>
        </w:rPr>
        <w:t xml:space="preserve"> RAB.</w:t>
      </w:r>
      <w:r w:rsidR="00387809">
        <w:rPr>
          <w:rStyle w:val="FootnoteReference"/>
        </w:rPr>
        <w:footnoteReference w:id="14"/>
      </w:r>
      <w:r w:rsidR="00387809" w:rsidRPr="00DB1673">
        <w:rPr>
          <w:rStyle w:val="AERbody"/>
        </w:rPr>
        <w:t xml:space="preserve"> </w:t>
      </w:r>
      <w:r w:rsidR="00387809">
        <w:rPr>
          <w:rStyle w:val="AERbody"/>
        </w:rPr>
        <w:t>Our RAB roll forward applies the incentive framework approved in the previous distribution determination</w:t>
      </w:r>
      <w:r>
        <w:rPr>
          <w:rStyle w:val="AERbody"/>
        </w:rPr>
        <w:t xml:space="preserve">, which </w:t>
      </w:r>
      <w:r>
        <w:t>included the use of an actual depreciation approach</w:t>
      </w:r>
      <w:r w:rsidR="00387809">
        <w:rPr>
          <w:rStyle w:val="AERbody"/>
        </w:rPr>
        <w:t>.</w:t>
      </w:r>
      <w:r w:rsidR="00387809">
        <w:rPr>
          <w:rStyle w:val="FootnoteReference"/>
        </w:rPr>
        <w:footnoteReference w:id="15"/>
      </w:r>
      <w:r w:rsidR="00387809">
        <w:rPr>
          <w:rStyle w:val="AERbody"/>
        </w:rPr>
        <w:t xml:space="preserve"> As such, we consider that it contributes to an opening RAB that includes capex that reflects prudent and efficient costs, in accordance with the capital expenditure criteria.</w:t>
      </w:r>
      <w:r w:rsidR="00387809">
        <w:rPr>
          <w:rStyle w:val="FootnoteReference"/>
        </w:rPr>
        <w:footnoteReference w:id="16"/>
      </w:r>
    </w:p>
    <w:p w:rsidR="00A62C28" w:rsidRPr="0072354E" w:rsidRDefault="0072354E" w:rsidP="0072354E">
      <w:pPr>
        <w:pStyle w:val="HeadingBoldBlue"/>
        <w:rPr>
          <w:rStyle w:val="AERbody"/>
          <w:color w:val="70635A" w:themeColor="text2"/>
          <w:sz w:val="28"/>
        </w:rPr>
      </w:pPr>
      <w:r w:rsidRPr="00F979B5">
        <w:rPr>
          <w:rStyle w:val="AERbody"/>
          <w:color w:val="70635A" w:themeColor="text2"/>
          <w:sz w:val="28"/>
        </w:rPr>
        <w:t>Indexing the RAB for a</w:t>
      </w:r>
      <w:r w:rsidR="00A62C28" w:rsidRPr="0072354E">
        <w:rPr>
          <w:rStyle w:val="AERbody"/>
          <w:color w:val="70635A" w:themeColor="text2"/>
          <w:sz w:val="28"/>
        </w:rPr>
        <w:t>ctual inflation inputs</w:t>
      </w:r>
    </w:p>
    <w:p w:rsidR="00EA7D2B" w:rsidRPr="00693505" w:rsidRDefault="00EA7D2B" w:rsidP="00EA7D2B">
      <w:r w:rsidRPr="00693505">
        <w:t xml:space="preserve">Our final decision is to accept </w:t>
      </w:r>
      <w:r>
        <w:t>Jemena</w:t>
      </w:r>
      <w:r w:rsidRPr="00693505">
        <w:t>'</w:t>
      </w:r>
      <w:r>
        <w:t>s</w:t>
      </w:r>
      <w:r w:rsidRPr="00693505">
        <w:t xml:space="preserve"> revised proposed approach to RAB indexation, known as the 'all-lagged' approach. Under this approach, a one-year lagged inflation series is used to index all components of the RAB roll forward.</w:t>
      </w:r>
      <w:r w:rsidRPr="00693505">
        <w:rPr>
          <w:rStyle w:val="FootnoteReference"/>
        </w:rPr>
        <w:footnoteReference w:id="17"/>
      </w:r>
      <w:r w:rsidRPr="00693505">
        <w:t xml:space="preserve"> This is a departure from our preliminary decision, which used our standard 'partially-lagged' approach.</w:t>
      </w:r>
      <w:r w:rsidRPr="00693505">
        <w:rPr>
          <w:rStyle w:val="FootnoteReference"/>
        </w:rPr>
        <w:footnoteReference w:id="18"/>
      </w:r>
    </w:p>
    <w:p w:rsidR="00EA7D2B" w:rsidRPr="00693505" w:rsidRDefault="00EA7D2B" w:rsidP="00EA7D2B">
      <w:r w:rsidRPr="00693505">
        <w:t xml:space="preserve">We have had regard to the indexation approach used in previous </w:t>
      </w:r>
      <w:r>
        <w:t>Victorian distribution</w:t>
      </w:r>
      <w:r w:rsidRPr="00693505">
        <w:t xml:space="preserve"> determinations, where the Essential Services Commission (ESC) applied the all-lagged approach prior to 2010.</w:t>
      </w:r>
      <w:r w:rsidRPr="00693505">
        <w:rPr>
          <w:rStyle w:val="FootnoteReference"/>
        </w:rPr>
        <w:footnoteReference w:id="19"/>
      </w:r>
      <w:r w:rsidRPr="00693505">
        <w:t xml:space="preserve"> </w:t>
      </w:r>
      <w:r>
        <w:t>Each of the five Victorian service providers, including Jemena,</w:t>
      </w:r>
      <w:r w:rsidRPr="00693505">
        <w:t xml:space="preserve"> submitted that we should apply the same unbroken inflation series to preserve the real value of its assets.</w:t>
      </w:r>
      <w:r>
        <w:rPr>
          <w:rStyle w:val="FootnoteReference"/>
        </w:rPr>
        <w:footnoteReference w:id="20"/>
      </w:r>
      <w:r w:rsidRPr="00693505">
        <w:t xml:space="preserve"> We agree that this consistency is desirable. </w:t>
      </w:r>
      <w:r>
        <w:t>To</w:t>
      </w:r>
      <w:r w:rsidRPr="00693505">
        <w:t xml:space="preserve"> this</w:t>
      </w:r>
      <w:r>
        <w:t xml:space="preserve"> end</w:t>
      </w:r>
      <w:r w:rsidRPr="00693505">
        <w:t xml:space="preserve">, </w:t>
      </w:r>
      <w:r>
        <w:t xml:space="preserve">the Victorian service providers' </w:t>
      </w:r>
      <w:r w:rsidRPr="00693505">
        <w:t xml:space="preserve">historical indexation differs from the standard approach applied to other non-Victorian networks in previous determinations. </w:t>
      </w:r>
    </w:p>
    <w:p w:rsidR="00EA7D2B" w:rsidRDefault="00EA7D2B" w:rsidP="00EA7D2B">
      <w:r w:rsidRPr="00693505">
        <w:t xml:space="preserve">More broadly, </w:t>
      </w:r>
      <w:r>
        <w:t>Jemena</w:t>
      </w:r>
      <w:r w:rsidRPr="00693505">
        <w:t xml:space="preserve"> also submitted a number of reasons why the all-lagged approach should be used, regardless of the previous approach to indexation.</w:t>
      </w:r>
      <w:r w:rsidRPr="00693505">
        <w:rPr>
          <w:rStyle w:val="FootnoteReference"/>
        </w:rPr>
        <w:footnoteReference w:id="21"/>
      </w:r>
      <w:r w:rsidRPr="00693505">
        <w:t xml:space="preserve"> </w:t>
      </w:r>
      <w:r>
        <w:t xml:space="preserve">We have reviewed this material together with the submissions on this common issue from </w:t>
      </w:r>
      <w:r>
        <w:lastRenderedPageBreak/>
        <w:t>the four other Victorian service providers.</w:t>
      </w:r>
      <w:r>
        <w:rPr>
          <w:rStyle w:val="FootnoteReference"/>
        </w:rPr>
        <w:footnoteReference w:id="22"/>
      </w:r>
      <w:r>
        <w:t xml:space="preserve"> </w:t>
      </w:r>
      <w:r w:rsidRPr="00693505">
        <w:t xml:space="preserve">While we agree with elements of this reasoning, there are several areas where we disagree or where the available evidence is inconclusive. </w:t>
      </w:r>
      <w:r>
        <w:t>Our views have been informed by consideration of this issue in our recent update of the RFM template for transmission service providers.</w:t>
      </w:r>
      <w:r>
        <w:rPr>
          <w:rStyle w:val="FootnoteReference"/>
        </w:rPr>
        <w:footnoteReference w:id="23"/>
      </w:r>
      <w:r>
        <w:t xml:space="preserve"> </w:t>
      </w:r>
      <w:r w:rsidR="009B621D">
        <w:t>In that update, we decided to maintain applying the partially-lagged approach for indexation. However, the Victorian service providers have raised several new issues that were not before us at that time.</w:t>
      </w:r>
    </w:p>
    <w:p w:rsidR="00EA7D2B" w:rsidRPr="00693505" w:rsidRDefault="00EA7D2B" w:rsidP="00EA7D2B">
      <w:r w:rsidRPr="00693505">
        <w:t xml:space="preserve">These conceptual issues relating to indexation in the RAB roll forward are relevant for all </w:t>
      </w:r>
      <w:r>
        <w:t>distribution service providers</w:t>
      </w:r>
      <w:r w:rsidRPr="00693505">
        <w:t xml:space="preserve">, not just </w:t>
      </w:r>
      <w:r>
        <w:t>Jemena</w:t>
      </w:r>
      <w:r w:rsidRPr="00693505">
        <w:t xml:space="preserve"> or the Victorian </w:t>
      </w:r>
      <w:r>
        <w:t xml:space="preserve">service providers </w:t>
      </w:r>
      <w:r w:rsidRPr="00693505">
        <w:t xml:space="preserve">as a group. We </w:t>
      </w:r>
      <w:r>
        <w:t>expect to</w:t>
      </w:r>
      <w:r w:rsidRPr="00693505">
        <w:t xml:space="preserve"> commence a formal update of the AER's standard RFM </w:t>
      </w:r>
      <w:r>
        <w:t xml:space="preserve">template for distribution networks </w:t>
      </w:r>
      <w:r w:rsidRPr="00693505">
        <w:t>later this year.</w:t>
      </w:r>
      <w:r w:rsidRPr="00693505">
        <w:rPr>
          <w:rStyle w:val="FootnoteReference"/>
        </w:rPr>
        <w:footnoteReference w:id="24"/>
      </w:r>
      <w:r w:rsidRPr="00693505">
        <w:t xml:space="preserve"> That process will allow us to </w:t>
      </w:r>
      <w:r>
        <w:t>further</w:t>
      </w:r>
      <w:r w:rsidRPr="00693505">
        <w:t xml:space="preserve"> evaluate the strengths and weaknesses of both indexation approaches (and any other alternatives). It will also </w:t>
      </w:r>
      <w:r w:rsidR="009B621D">
        <w:t>allow</w:t>
      </w:r>
      <w:r w:rsidRPr="00693505">
        <w:t xml:space="preserve"> affected stakeholders, including other service providers and consumers, to comment.</w:t>
      </w:r>
      <w:r w:rsidRPr="00693505">
        <w:rPr>
          <w:rStyle w:val="FootnoteReference"/>
        </w:rPr>
        <w:footnoteReference w:id="25"/>
      </w:r>
      <w:r w:rsidRPr="00693505">
        <w:t xml:space="preserve"> </w:t>
      </w:r>
    </w:p>
    <w:p w:rsidR="00EA7D2B" w:rsidRDefault="00EA7D2B" w:rsidP="00A62C28">
      <w:r w:rsidRPr="00693505">
        <w:t xml:space="preserve">Our decision to accept </w:t>
      </w:r>
      <w:r>
        <w:t>Jemena's</w:t>
      </w:r>
      <w:r w:rsidRPr="00693505">
        <w:t xml:space="preserve"> revised proposed approach, therefore, reflects the specific history of the Victorian </w:t>
      </w:r>
      <w:r>
        <w:t>service providers</w:t>
      </w:r>
      <w:r w:rsidRPr="00693505">
        <w:t xml:space="preserve"> and the current mixed state of evidence for the partially-lagged and all-lagged </w:t>
      </w:r>
      <w:r>
        <w:t xml:space="preserve">indexation </w:t>
      </w:r>
      <w:r w:rsidRPr="00693505">
        <w:t>approaches.</w:t>
      </w:r>
      <w:r w:rsidRPr="00693505">
        <w:rPr>
          <w:rStyle w:val="FootnoteReference"/>
        </w:rPr>
        <w:footnoteReference w:id="26"/>
      </w:r>
      <w:r w:rsidRPr="00693505">
        <w:t xml:space="preserve"> </w:t>
      </w:r>
      <w:r>
        <w:t>As part of this, we accept the RFM</w:t>
      </w:r>
      <w:r w:rsidRPr="00693505">
        <w:t xml:space="preserve"> implementation</w:t>
      </w:r>
      <w:r>
        <w:t xml:space="preserve"> in</w:t>
      </w:r>
      <w:r w:rsidRPr="00693505">
        <w:t xml:space="preserve"> </w:t>
      </w:r>
      <w:r>
        <w:t>Jemena</w:t>
      </w:r>
      <w:r w:rsidRPr="00693505">
        <w:t>'</w:t>
      </w:r>
      <w:r>
        <w:t>s</w:t>
      </w:r>
      <w:r w:rsidRPr="00693505">
        <w:t xml:space="preserve"> revised proposal, where the inflation inputs are lagged by one year and formulae in the RFM are adjusted so that this one-year lag then flows through to </w:t>
      </w:r>
      <w:r>
        <w:t xml:space="preserve">the </w:t>
      </w:r>
      <w:r w:rsidRPr="00693505">
        <w:t>inflation index construction.</w:t>
      </w:r>
      <w:r w:rsidRPr="00693505">
        <w:rPr>
          <w:rStyle w:val="FootnoteReference"/>
        </w:rPr>
        <w:footnoteReference w:id="27"/>
      </w:r>
    </w:p>
    <w:p w:rsidR="00A62C28" w:rsidRPr="00A62C28" w:rsidRDefault="00A62C28" w:rsidP="00A62C28">
      <w:pPr>
        <w:pStyle w:val="HeadingBoldBlue"/>
      </w:pPr>
      <w:r w:rsidRPr="00A62C28">
        <w:t>Update to 2015 estimated capex</w:t>
      </w:r>
    </w:p>
    <w:p w:rsidR="00A62C28" w:rsidRDefault="00A62C28" w:rsidP="00A62C28">
      <w:pPr>
        <w:rPr>
          <w:rStyle w:val="AERbody"/>
        </w:rPr>
      </w:pPr>
      <w:r>
        <w:rPr>
          <w:rStyle w:val="AERbody"/>
        </w:rPr>
        <w:t>Jemena's revised proposal did not include an update for 2015 estimated capex</w:t>
      </w:r>
      <w:r w:rsidR="00B015DB">
        <w:rPr>
          <w:rStyle w:val="AERbody"/>
        </w:rPr>
        <w:t xml:space="preserve">; </w:t>
      </w:r>
      <w:r>
        <w:rPr>
          <w:rStyle w:val="AERbody"/>
        </w:rPr>
        <w:t xml:space="preserve">however, a revised estimate was provided following an information </w:t>
      </w:r>
      <w:r w:rsidRPr="00CF0900">
        <w:rPr>
          <w:rStyle w:val="AERbody"/>
        </w:rPr>
        <w:t>request.</w:t>
      </w:r>
      <w:r>
        <w:rPr>
          <w:rStyle w:val="FootnoteReference"/>
        </w:rPr>
        <w:footnoteReference w:id="28"/>
      </w:r>
      <w:r>
        <w:rPr>
          <w:rStyle w:val="AERbody"/>
        </w:rPr>
        <w:t xml:space="preserve"> </w:t>
      </w:r>
      <w:r w:rsidRPr="00CF0900">
        <w:rPr>
          <w:rStyle w:val="AERbody"/>
        </w:rPr>
        <w:t xml:space="preserve">We accept </w:t>
      </w:r>
      <w:r>
        <w:rPr>
          <w:rStyle w:val="AERbody"/>
        </w:rPr>
        <w:t>Jemena</w:t>
      </w:r>
      <w:r w:rsidRPr="00CF0900">
        <w:rPr>
          <w:rStyle w:val="AERbody"/>
        </w:rPr>
        <w:t>'s revision to the net capex</w:t>
      </w:r>
      <w:r>
        <w:rPr>
          <w:rStyle w:val="AERbody"/>
        </w:rPr>
        <w:t xml:space="preserve"> estimate for 201</w:t>
      </w:r>
      <w:r w:rsidRPr="00CF0900">
        <w:rPr>
          <w:rStyle w:val="AERbody"/>
        </w:rPr>
        <w:t>5 of $</w:t>
      </w:r>
      <w:r w:rsidR="00AB4816">
        <w:rPr>
          <w:rStyle w:val="AERbody"/>
        </w:rPr>
        <w:t>11</w:t>
      </w:r>
      <w:r w:rsidR="00D57458">
        <w:rPr>
          <w:rStyle w:val="AERbody"/>
        </w:rPr>
        <w:t>5.2 </w:t>
      </w:r>
      <w:r w:rsidRPr="00CF0900">
        <w:rPr>
          <w:rStyle w:val="AERbody"/>
        </w:rPr>
        <w:t>million</w:t>
      </w:r>
      <w:r w:rsidR="00AB4816">
        <w:rPr>
          <w:rStyle w:val="AERbody"/>
        </w:rPr>
        <w:t xml:space="preserve"> ($ nominal)</w:t>
      </w:r>
      <w:r w:rsidRPr="00CF0900">
        <w:rPr>
          <w:rStyle w:val="AERbody"/>
        </w:rPr>
        <w:t>.</w:t>
      </w:r>
      <w:r>
        <w:rPr>
          <w:rStyle w:val="FootnoteReference"/>
        </w:rPr>
        <w:footnoteReference w:id="29"/>
      </w:r>
      <w:r w:rsidRPr="00CF0900">
        <w:rPr>
          <w:rStyle w:val="AERbody"/>
        </w:rPr>
        <w:t xml:space="preserve"> This amount is lower than in the initial proposal and reflects more up-to-date data, and therefore is the best forecast available. We note that the financial </w:t>
      </w:r>
      <w:r w:rsidRPr="00CF0900">
        <w:rPr>
          <w:rStyle w:val="AERbody"/>
        </w:rPr>
        <w:lastRenderedPageBreak/>
        <w:t>impact of any difference between actual and estimated cap</w:t>
      </w:r>
      <w:r>
        <w:rPr>
          <w:rStyle w:val="AERbody"/>
        </w:rPr>
        <w:t>ex for 201</w:t>
      </w:r>
      <w:r w:rsidRPr="00CF0900">
        <w:rPr>
          <w:rStyle w:val="AERbody"/>
        </w:rPr>
        <w:t>5 will be accounted for at the next reset.</w:t>
      </w:r>
      <w:r>
        <w:rPr>
          <w:rStyle w:val="FootnoteReference"/>
        </w:rPr>
        <w:footnoteReference w:id="30"/>
      </w:r>
    </w:p>
    <w:p w:rsidR="00BB02B2" w:rsidRPr="0072354E" w:rsidRDefault="0072354E" w:rsidP="0072354E">
      <w:pPr>
        <w:pStyle w:val="HeadingBoldBlue"/>
        <w:rPr>
          <w:rStyle w:val="AERbody"/>
          <w:color w:val="70635A" w:themeColor="text2"/>
          <w:sz w:val="28"/>
        </w:rPr>
      </w:pPr>
      <w:r w:rsidRPr="0072354E">
        <w:rPr>
          <w:rStyle w:val="AERbody"/>
          <w:color w:val="70635A" w:themeColor="text2"/>
          <w:sz w:val="28"/>
        </w:rPr>
        <w:t>Inflation adjustment to p</w:t>
      </w:r>
      <w:r w:rsidR="0094129C" w:rsidRPr="0072354E">
        <w:rPr>
          <w:rStyle w:val="AERbody"/>
          <w:color w:val="70635A" w:themeColor="text2"/>
          <w:sz w:val="28"/>
        </w:rPr>
        <w:t>revious</w:t>
      </w:r>
      <w:r w:rsidR="00BB02B2" w:rsidRPr="00F979B5">
        <w:rPr>
          <w:rStyle w:val="AERbody"/>
          <w:color w:val="70635A" w:themeColor="text2"/>
          <w:sz w:val="28"/>
        </w:rPr>
        <w:t xml:space="preserve"> period </w:t>
      </w:r>
      <w:r w:rsidRPr="0072354E">
        <w:rPr>
          <w:rStyle w:val="AERbody"/>
          <w:color w:val="70635A" w:themeColor="text2"/>
          <w:sz w:val="28"/>
        </w:rPr>
        <w:t>capex</w:t>
      </w:r>
    </w:p>
    <w:p w:rsidR="00FF4937" w:rsidRDefault="00BB02B2" w:rsidP="00A62C28">
      <w:r>
        <w:t xml:space="preserve">The template </w:t>
      </w:r>
      <w:r w:rsidR="00864977">
        <w:t xml:space="preserve">distribution </w:t>
      </w:r>
      <w:r>
        <w:t xml:space="preserve">RFM has an input in the 'Adjustment for previous period' </w:t>
      </w:r>
      <w:r w:rsidR="00F979B5">
        <w:t>work</w:t>
      </w:r>
      <w:r>
        <w:t xml:space="preserve">sheet for 2009 inflation. This inflation rate is used when calculating the difference between estimated and actual 2010 </w:t>
      </w:r>
      <w:r w:rsidR="00864977">
        <w:t xml:space="preserve">(previous period) </w:t>
      </w:r>
      <w:r>
        <w:t>capex to be trued-up in this determination. When th</w:t>
      </w:r>
      <w:r w:rsidR="00864977">
        <w:t>is</w:t>
      </w:r>
      <w:r>
        <w:t xml:space="preserve"> template RFM was developed i</w:t>
      </w:r>
      <w:r w:rsidR="00864977">
        <w:t>t</w:t>
      </w:r>
      <w:r>
        <w:t xml:space="preserve"> was determined that </w:t>
      </w:r>
      <w:r w:rsidR="00864977">
        <w:t>such</w:t>
      </w:r>
      <w:r>
        <w:t xml:space="preserve"> inflation adjustment was required to</w:t>
      </w:r>
      <w:r w:rsidRPr="004A60B7">
        <w:t xml:space="preserve"> ensure that actual net capex is consistent in nominal terms with the forecast net capex rolled into the RAB as allowed in the previous </w:t>
      </w:r>
      <w:r w:rsidR="00864977">
        <w:t xml:space="preserve">decision </w:t>
      </w:r>
      <w:r w:rsidRPr="004A60B7">
        <w:t>RFM.</w:t>
      </w:r>
      <w:r>
        <w:t xml:space="preserve"> In our recent review of the</w:t>
      </w:r>
      <w:r w:rsidR="00864977">
        <w:t xml:space="preserve"> template</w:t>
      </w:r>
      <w:r>
        <w:t xml:space="preserve"> transmission RFM this </w:t>
      </w:r>
      <w:r w:rsidR="00864977">
        <w:t>same inflation</w:t>
      </w:r>
      <w:r>
        <w:t xml:space="preserve"> adjustment was removed from the calculation, after further analysis determined that the adjustment was not required when comparing the capex values.</w:t>
      </w:r>
      <w:r>
        <w:rPr>
          <w:rStyle w:val="FootnoteReference"/>
        </w:rPr>
        <w:footnoteReference w:id="31"/>
      </w:r>
      <w:r w:rsidR="00864977">
        <w:t xml:space="preserve"> </w:t>
      </w:r>
    </w:p>
    <w:p w:rsidR="00BB02B2" w:rsidRDefault="00864977" w:rsidP="00A62C28">
      <w:r>
        <w:t>We have therefore removed this inflation adjustment from Jemena's RFM.</w:t>
      </w:r>
      <w:r>
        <w:rPr>
          <w:rStyle w:val="FootnoteReference"/>
        </w:rPr>
        <w:footnoteReference w:id="32"/>
      </w:r>
      <w:r w:rsidR="003D3C83">
        <w:t xml:space="preserve"> We note t</w:t>
      </w:r>
      <w:r w:rsidR="0094129C">
        <w:t>he other Victorian service providers</w:t>
      </w:r>
      <w:r w:rsidR="003D3C83">
        <w:t>' revised proposals</w:t>
      </w:r>
      <w:r w:rsidR="0094129C">
        <w:t xml:space="preserve"> removed this adjustment, consistent with the </w:t>
      </w:r>
      <w:r w:rsidR="00FF4937">
        <w:t xml:space="preserve">template </w:t>
      </w:r>
      <w:r w:rsidR="0094129C">
        <w:t>transmission RFM.</w:t>
      </w:r>
      <w:r w:rsidR="0094129C">
        <w:rPr>
          <w:rStyle w:val="FootnoteReference"/>
        </w:rPr>
        <w:footnoteReference w:id="33"/>
      </w:r>
      <w:r w:rsidR="0094129C">
        <w:t xml:space="preserve"> </w:t>
      </w:r>
    </w:p>
    <w:p w:rsidR="00A62C28" w:rsidRPr="00BC1771" w:rsidRDefault="00A62C28" w:rsidP="00BC1771">
      <w:pPr>
        <w:pStyle w:val="Heading3"/>
        <w:ind w:left="578" w:hanging="578"/>
      </w:pPr>
      <w:bookmarkStart w:id="82" w:name="_Toc451285650"/>
      <w:r w:rsidRPr="00BC1771">
        <w:t>Forecast closing RAB as at 31 December 2020</w:t>
      </w:r>
      <w:bookmarkEnd w:id="82"/>
    </w:p>
    <w:p w:rsidR="00A62C28" w:rsidRDefault="00A62C28" w:rsidP="00A62C28">
      <w:pPr>
        <w:rPr>
          <w:rStyle w:val="AERbody"/>
        </w:rPr>
      </w:pPr>
      <w:r w:rsidRPr="0071683B">
        <w:rPr>
          <w:rStyle w:val="AERbody"/>
        </w:rPr>
        <w:t>We forecast a closing RAB value of $</w:t>
      </w:r>
      <w:r w:rsidR="00D57458">
        <w:rPr>
          <w:rStyle w:val="AERbody"/>
        </w:rPr>
        <w:t>1</w:t>
      </w:r>
      <w:r w:rsidR="00354EE3">
        <w:rPr>
          <w:rStyle w:val="AERbody"/>
        </w:rPr>
        <w:t>698.3 </w:t>
      </w:r>
      <w:r w:rsidRPr="0071683B">
        <w:rPr>
          <w:rStyle w:val="AERbody"/>
        </w:rPr>
        <w:t>million by 3</w:t>
      </w:r>
      <w:r>
        <w:rPr>
          <w:rStyle w:val="AERbody"/>
        </w:rPr>
        <w:t>1</w:t>
      </w:r>
      <w:r w:rsidRPr="0071683B">
        <w:rPr>
          <w:rStyle w:val="AERbody"/>
        </w:rPr>
        <w:t xml:space="preserve"> </w:t>
      </w:r>
      <w:r>
        <w:rPr>
          <w:rStyle w:val="AERbody"/>
        </w:rPr>
        <w:t>December</w:t>
      </w:r>
      <w:r w:rsidRPr="0071683B">
        <w:rPr>
          <w:rStyle w:val="AERbody"/>
        </w:rPr>
        <w:t xml:space="preserve"> 2020 for </w:t>
      </w:r>
      <w:r>
        <w:rPr>
          <w:rStyle w:val="AERbody"/>
        </w:rPr>
        <w:t>Jemena</w:t>
      </w:r>
      <w:r w:rsidRPr="0071683B">
        <w:rPr>
          <w:rStyle w:val="AERbody"/>
        </w:rPr>
        <w:t>. This represents a</w:t>
      </w:r>
      <w:r w:rsidR="00EC2A9A">
        <w:rPr>
          <w:rStyle w:val="AERbody"/>
        </w:rPr>
        <w:t>n increase</w:t>
      </w:r>
      <w:r w:rsidRPr="0071683B">
        <w:rPr>
          <w:rStyle w:val="AERbody"/>
        </w:rPr>
        <w:t xml:space="preserve"> of $</w:t>
      </w:r>
      <w:r w:rsidR="00354EE3">
        <w:rPr>
          <w:rStyle w:val="AERbody"/>
        </w:rPr>
        <w:t>4.5</w:t>
      </w:r>
      <w:r w:rsidR="00D57458">
        <w:rPr>
          <w:rStyle w:val="AERbody"/>
        </w:rPr>
        <w:t> </w:t>
      </w:r>
      <w:r w:rsidRPr="0071683B">
        <w:rPr>
          <w:rStyle w:val="AERbody"/>
        </w:rPr>
        <w:t xml:space="preserve">million, or </w:t>
      </w:r>
      <w:r w:rsidR="00354EE3">
        <w:rPr>
          <w:rStyle w:val="AERbody"/>
        </w:rPr>
        <w:t>0.3</w:t>
      </w:r>
      <w:r w:rsidR="00D57458">
        <w:rPr>
          <w:rStyle w:val="AERbody"/>
        </w:rPr>
        <w:t> </w:t>
      </w:r>
      <w:r w:rsidRPr="0071683B">
        <w:rPr>
          <w:rStyle w:val="AERbody"/>
        </w:rPr>
        <w:t xml:space="preserve">per cent to </w:t>
      </w:r>
      <w:r>
        <w:rPr>
          <w:rStyle w:val="AERbody"/>
        </w:rPr>
        <w:t>Jemena</w:t>
      </w:r>
      <w:r w:rsidRPr="0071683B">
        <w:rPr>
          <w:rStyle w:val="AERbody"/>
        </w:rPr>
        <w:t xml:space="preserve">'s revised proposal. This </w:t>
      </w:r>
      <w:r w:rsidR="00EC2A9A">
        <w:rPr>
          <w:rStyle w:val="AERbody"/>
        </w:rPr>
        <w:t>increase</w:t>
      </w:r>
      <w:r w:rsidRPr="0071683B">
        <w:rPr>
          <w:rStyle w:val="AERbody"/>
        </w:rPr>
        <w:t xml:space="preserve"> reflects our final decision on the required inputs for determining the forecast RAB in the PTRM. To determine the forecast RAB value, we have amended the PTRM inputs as a result of the following changes:</w:t>
      </w:r>
    </w:p>
    <w:p w:rsidR="00A62C28" w:rsidRPr="0071683B" w:rsidRDefault="00A62C28" w:rsidP="00A62C28">
      <w:pPr>
        <w:pStyle w:val="AERbulletlistfirststyle"/>
        <w:rPr>
          <w:rStyle w:val="AERbody"/>
        </w:rPr>
      </w:pPr>
      <w:r w:rsidRPr="0071683B">
        <w:rPr>
          <w:rStyle w:val="AERbody"/>
        </w:rPr>
        <w:t xml:space="preserve">We reduced </w:t>
      </w:r>
      <w:r>
        <w:rPr>
          <w:rStyle w:val="AERbody"/>
        </w:rPr>
        <w:t>Jemena</w:t>
      </w:r>
      <w:r w:rsidRPr="0071683B">
        <w:rPr>
          <w:rStyle w:val="AERbody"/>
        </w:rPr>
        <w:t xml:space="preserve">'s revised proposed opening RAB as at 1 </w:t>
      </w:r>
      <w:r>
        <w:rPr>
          <w:rStyle w:val="AERbody"/>
        </w:rPr>
        <w:t>January 2016</w:t>
      </w:r>
      <w:r w:rsidRPr="0071683B">
        <w:rPr>
          <w:rStyle w:val="AERbody"/>
        </w:rPr>
        <w:t xml:space="preserve"> by $</w:t>
      </w:r>
      <w:r w:rsidR="00522514">
        <w:rPr>
          <w:rStyle w:val="AERbody"/>
        </w:rPr>
        <w:t>11.7 </w:t>
      </w:r>
      <w:r w:rsidRPr="0071683B">
        <w:rPr>
          <w:rStyle w:val="AERbody"/>
        </w:rPr>
        <w:t xml:space="preserve">million or </w:t>
      </w:r>
      <w:r w:rsidR="00522514">
        <w:rPr>
          <w:rStyle w:val="AERbody"/>
        </w:rPr>
        <w:t>1</w:t>
      </w:r>
      <w:r w:rsidR="00D57458">
        <w:rPr>
          <w:rStyle w:val="AERbody"/>
        </w:rPr>
        <w:t>.0 </w:t>
      </w:r>
      <w:r w:rsidRPr="0071683B">
        <w:rPr>
          <w:rStyle w:val="AERbody"/>
        </w:rPr>
        <w:t>per cent (section 2.4.1).</w:t>
      </w:r>
    </w:p>
    <w:p w:rsidR="00A62C28" w:rsidRPr="0071683B" w:rsidRDefault="00A62C28" w:rsidP="00A62C28">
      <w:pPr>
        <w:pStyle w:val="AERbulletlistfirststyle"/>
        <w:rPr>
          <w:rStyle w:val="AERbody"/>
        </w:rPr>
      </w:pPr>
      <w:r w:rsidRPr="0071683B">
        <w:rPr>
          <w:rStyle w:val="AERbody"/>
        </w:rPr>
        <w:t xml:space="preserve">We </w:t>
      </w:r>
      <w:r>
        <w:rPr>
          <w:rStyle w:val="AERbody"/>
        </w:rPr>
        <w:t>increased</w:t>
      </w:r>
      <w:r w:rsidRPr="0071683B">
        <w:rPr>
          <w:rStyle w:val="AERbody"/>
        </w:rPr>
        <w:t xml:space="preserve"> </w:t>
      </w:r>
      <w:r>
        <w:rPr>
          <w:rStyle w:val="AERbody"/>
        </w:rPr>
        <w:t>Jemena</w:t>
      </w:r>
      <w:r w:rsidRPr="0071683B">
        <w:rPr>
          <w:rStyle w:val="AERbody"/>
        </w:rPr>
        <w:t xml:space="preserve">'s revised proposed </w:t>
      </w:r>
      <w:r w:rsidR="00B51DD7">
        <w:rPr>
          <w:rStyle w:val="AERbody"/>
        </w:rPr>
        <w:t xml:space="preserve">expected </w:t>
      </w:r>
      <w:r>
        <w:rPr>
          <w:rStyle w:val="AERbody"/>
        </w:rPr>
        <w:t xml:space="preserve">inflation </w:t>
      </w:r>
      <w:r w:rsidR="00F0443E">
        <w:rPr>
          <w:rStyle w:val="AERbody"/>
        </w:rPr>
        <w:t xml:space="preserve">rate </w:t>
      </w:r>
      <w:r>
        <w:rPr>
          <w:rStyle w:val="AERbody"/>
        </w:rPr>
        <w:t>from 2.01</w:t>
      </w:r>
      <w:r w:rsidR="007F4658">
        <w:rPr>
          <w:rStyle w:val="AERbody"/>
        </w:rPr>
        <w:t xml:space="preserve"> per cent</w:t>
      </w:r>
      <w:r>
        <w:rPr>
          <w:rStyle w:val="AERbody"/>
        </w:rPr>
        <w:t xml:space="preserve"> to </w:t>
      </w:r>
      <w:r w:rsidR="00787D23">
        <w:rPr>
          <w:rStyle w:val="AERbody"/>
        </w:rPr>
        <w:t>2.</w:t>
      </w:r>
      <w:r w:rsidR="00354EE3">
        <w:rPr>
          <w:rStyle w:val="AERbody"/>
        </w:rPr>
        <w:t>32</w:t>
      </w:r>
      <w:r w:rsidR="00787D23">
        <w:rPr>
          <w:rStyle w:val="AERbody"/>
        </w:rPr>
        <w:t> </w:t>
      </w:r>
      <w:r>
        <w:rPr>
          <w:rStyle w:val="AERbody"/>
        </w:rPr>
        <w:t xml:space="preserve">per cent </w:t>
      </w:r>
      <w:r w:rsidRPr="0071683B">
        <w:rPr>
          <w:rStyle w:val="AERbody"/>
        </w:rPr>
        <w:t xml:space="preserve">(attachment </w:t>
      </w:r>
      <w:r>
        <w:rPr>
          <w:rStyle w:val="AERbody"/>
        </w:rPr>
        <w:t>3</w:t>
      </w:r>
      <w:r w:rsidRPr="0071683B">
        <w:rPr>
          <w:rStyle w:val="AERbody"/>
        </w:rPr>
        <w:t>).</w:t>
      </w:r>
      <w:r w:rsidR="00297CDB">
        <w:rPr>
          <w:rStyle w:val="AERbody"/>
        </w:rPr>
        <w:t xml:space="preserve"> This results in an increase to the indexation of the RAB component for the 2015–20 regulatory control period by $</w:t>
      </w:r>
      <w:r w:rsidR="00354EE3">
        <w:rPr>
          <w:rStyle w:val="AERbody"/>
        </w:rPr>
        <w:t>8.7 </w:t>
      </w:r>
      <w:r w:rsidR="00297CDB">
        <w:rPr>
          <w:rStyle w:val="AERbody"/>
        </w:rPr>
        <w:t xml:space="preserve">million ($ nominal) or </w:t>
      </w:r>
      <w:r w:rsidR="00354EE3">
        <w:rPr>
          <w:rStyle w:val="AERbody"/>
        </w:rPr>
        <w:t>5.6</w:t>
      </w:r>
      <w:r w:rsidR="00D57458">
        <w:rPr>
          <w:rStyle w:val="AERbody"/>
        </w:rPr>
        <w:t> </w:t>
      </w:r>
      <w:r w:rsidR="00297CDB">
        <w:rPr>
          <w:rStyle w:val="AERbody"/>
        </w:rPr>
        <w:t>per cent.</w:t>
      </w:r>
    </w:p>
    <w:p w:rsidR="00A62C28" w:rsidRPr="007B193F" w:rsidRDefault="00A62C28" w:rsidP="00A62C28">
      <w:pPr>
        <w:pStyle w:val="AERbulletlistfirststyle"/>
        <w:rPr>
          <w:rStyle w:val="AERbody"/>
        </w:rPr>
      </w:pPr>
      <w:r w:rsidRPr="0071683B">
        <w:rPr>
          <w:rStyle w:val="AERbody"/>
        </w:rPr>
        <w:t xml:space="preserve">We reduced </w:t>
      </w:r>
      <w:r>
        <w:rPr>
          <w:rStyle w:val="AERbody"/>
        </w:rPr>
        <w:t>Jemena</w:t>
      </w:r>
      <w:r w:rsidRPr="0071683B">
        <w:rPr>
          <w:rStyle w:val="AERbody"/>
        </w:rPr>
        <w:t xml:space="preserve">'s revised proposed forecast </w:t>
      </w:r>
      <w:r w:rsidR="00131A58">
        <w:rPr>
          <w:rStyle w:val="AERbody"/>
        </w:rPr>
        <w:t xml:space="preserve">straight-line </w:t>
      </w:r>
      <w:r w:rsidRPr="0071683B">
        <w:rPr>
          <w:rStyle w:val="AERbody"/>
        </w:rPr>
        <w:t>depreciation for the 201</w:t>
      </w:r>
      <w:r w:rsidR="003E3539">
        <w:rPr>
          <w:rStyle w:val="AERbody"/>
        </w:rPr>
        <w:t>6</w:t>
      </w:r>
      <w:r w:rsidRPr="0071683B">
        <w:rPr>
          <w:rStyle w:val="AERbody"/>
        </w:rPr>
        <w:t>–20 regulatory control period by $</w:t>
      </w:r>
      <w:r w:rsidR="00354EE3">
        <w:rPr>
          <w:rStyle w:val="AERbody"/>
        </w:rPr>
        <w:t>10.9</w:t>
      </w:r>
      <w:r w:rsidR="00D57458">
        <w:rPr>
          <w:rStyle w:val="AERbody"/>
        </w:rPr>
        <w:t> </w:t>
      </w:r>
      <w:r w:rsidRPr="0071683B">
        <w:rPr>
          <w:rStyle w:val="AERbody"/>
        </w:rPr>
        <w:t xml:space="preserve">million ($ nominal) or </w:t>
      </w:r>
      <w:r w:rsidR="00354EE3">
        <w:rPr>
          <w:rStyle w:val="AERbody"/>
        </w:rPr>
        <w:t>2.5</w:t>
      </w:r>
      <w:r w:rsidR="00D57458">
        <w:rPr>
          <w:rStyle w:val="AERbody"/>
        </w:rPr>
        <w:t> </w:t>
      </w:r>
      <w:r w:rsidRPr="0071683B">
        <w:rPr>
          <w:rStyle w:val="AERbody"/>
        </w:rPr>
        <w:t>per cent (attachment 5).</w:t>
      </w:r>
    </w:p>
    <w:p w:rsidR="00132D43" w:rsidRDefault="002D64E3" w:rsidP="00BC1771">
      <w:pPr>
        <w:pStyle w:val="Heading3"/>
        <w:ind w:left="1021" w:hanging="1021"/>
      </w:pPr>
      <w:bookmarkStart w:id="83" w:name="_Toc451285651"/>
      <w:r w:rsidRPr="002D64E3">
        <w:lastRenderedPageBreak/>
        <w:t>Application of depreciation approach in RAB roll forward for next reset</w:t>
      </w:r>
      <w:bookmarkEnd w:id="83"/>
    </w:p>
    <w:p w:rsidR="002D64E3" w:rsidRDefault="002D64E3" w:rsidP="00132D43">
      <w:r w:rsidRPr="002D64E3">
        <w:t xml:space="preserve">Our final decision </w:t>
      </w:r>
      <w:r>
        <w:t xml:space="preserve">accepts Jemena's revised proposal </w:t>
      </w:r>
      <w:r w:rsidRPr="002D64E3">
        <w:t xml:space="preserve">to roll forward </w:t>
      </w:r>
      <w:r w:rsidR="0034207D">
        <w:t>its</w:t>
      </w:r>
      <w:r w:rsidRPr="002D64E3">
        <w:t xml:space="preserve"> RAB for the commencement of </w:t>
      </w:r>
      <w:r w:rsidR="0034207D">
        <w:t>the</w:t>
      </w:r>
      <w:r w:rsidRPr="002D64E3">
        <w:t xml:space="preserve"> 2021–25 regulatory control period</w:t>
      </w:r>
      <w:r>
        <w:t xml:space="preserve"> using </w:t>
      </w:r>
      <w:r w:rsidRPr="002D64E3">
        <w:t>depreciation based on forecast capex (updated for actual inflation)</w:t>
      </w:r>
      <w:r>
        <w:t>.</w:t>
      </w:r>
      <w:r>
        <w:rPr>
          <w:rStyle w:val="FootnoteReference"/>
        </w:rPr>
        <w:footnoteReference w:id="34"/>
      </w:r>
      <w:r>
        <w:t xml:space="preserve"> This approach is consistent with</w:t>
      </w:r>
      <w:r w:rsidR="005F3FEA">
        <w:t xml:space="preserve"> </w:t>
      </w:r>
      <w:r>
        <w:t xml:space="preserve">our preliminary decision and </w:t>
      </w:r>
      <w:r w:rsidRPr="00BC2C2F">
        <w:t>the framework and approach.</w:t>
      </w:r>
      <w:r>
        <w:rPr>
          <w:rStyle w:val="FootnoteReference"/>
        </w:rPr>
        <w:footnoteReference w:id="35"/>
      </w:r>
    </w:p>
    <w:sectPr w:rsidR="002D64E3" w:rsidSect="00CF42AA">
      <w:headerReference w:type="default" r:id="rId16"/>
      <w:footerReference w:type="even" r:id="rId17"/>
      <w:footerReference w:type="first" r:id="rId18"/>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60" w:rsidRPr="00290C63" w:rsidRDefault="001E0F60" w:rsidP="00290C63">
      <w:r>
        <w:separator/>
      </w:r>
    </w:p>
    <w:p w:rsidR="001E0F60" w:rsidRDefault="001E0F60"/>
  </w:endnote>
  <w:endnote w:type="continuationSeparator" w:id="0">
    <w:p w:rsidR="001E0F60" w:rsidRPr="00290C63" w:rsidRDefault="001E0F60" w:rsidP="00290C63">
      <w:r>
        <w:continuationSeparator/>
      </w:r>
    </w:p>
    <w:p w:rsidR="001E0F60" w:rsidRDefault="001E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60" w:rsidRPr="00290C63" w:rsidRDefault="001E0F6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E0F60" w:rsidRDefault="001E0F60"/>
  <w:p w:rsidR="001E0F60" w:rsidRDefault="001E0F60"/>
  <w:p w:rsidR="001E0F60" w:rsidRDefault="001E0F60"/>
  <w:p w:rsidR="001E0F60" w:rsidRDefault="001E0F60"/>
  <w:p w:rsidR="001E0F60" w:rsidRDefault="001E0F60"/>
  <w:p w:rsidR="001E0F60" w:rsidRDefault="001E0F60"/>
  <w:p w:rsidR="001E0F60" w:rsidRDefault="001E0F6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1E0F60" w:rsidRPr="009B6F84" w:rsidRDefault="001E0F60">
        <w:pPr>
          <w:pStyle w:val="Footer"/>
          <w:rPr>
            <w:sz w:val="20"/>
          </w:rPr>
        </w:pPr>
        <w:r>
          <w:fldChar w:fldCharType="begin"/>
        </w:r>
        <w:r>
          <w:instrText xml:space="preserve"> PAGE   \* MERGEFORMAT </w:instrText>
        </w:r>
        <w:r>
          <w:fldChar w:fldCharType="separate"/>
        </w:r>
        <w:r w:rsidR="00FC6183">
          <w:rPr>
            <w:noProof/>
          </w:rPr>
          <w:t>2-9</w:t>
        </w:r>
        <w:r>
          <w:rPr>
            <w:noProof/>
          </w:rPr>
          <w:fldChar w:fldCharType="end"/>
        </w:r>
        <w:r>
          <w:rPr>
            <w:noProof/>
          </w:rPr>
          <w:t xml:space="preserve">  </w:t>
        </w:r>
        <w:r w:rsidRPr="008F78AD">
          <w:t xml:space="preserve">Attachment </w:t>
        </w:r>
        <w:r>
          <w:t>2</w:t>
        </w:r>
        <w:r w:rsidRPr="008F78AD">
          <w:t xml:space="preserve"> – </w:t>
        </w:r>
        <w:r>
          <w:t xml:space="preserve">Regulatory asset base </w:t>
        </w:r>
        <w:r w:rsidRPr="004523B2">
          <w:t xml:space="preserve">| </w:t>
        </w:r>
        <w:r>
          <w:t>Jemena distribution determination final decision</w:t>
        </w:r>
        <w:r w:rsidRPr="004523B2">
          <w:t xml:space="preserve"> 201</w:t>
        </w:r>
        <w:r>
          <w:t>6</w:t>
        </w:r>
        <w:r w:rsidRPr="004523B2">
          <w:t>–</w:t>
        </w:r>
        <w:r>
          <w:t>20</w:t>
        </w:r>
      </w:p>
    </w:sdtContent>
  </w:sdt>
  <w:p w:rsidR="001E0F60" w:rsidRDefault="001E0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60" w:rsidRPr="00290C63" w:rsidRDefault="001E0F6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E0F60" w:rsidRDefault="001E0F60">
    <w:pPr>
      <w:pStyle w:val="Footer"/>
    </w:pPr>
  </w:p>
  <w:p w:rsidR="001E0F60" w:rsidRDefault="001E0F60"/>
  <w:p w:rsidR="001E0F60" w:rsidRDefault="001E0F60"/>
  <w:p w:rsidR="001E0F60" w:rsidRDefault="001E0F60"/>
  <w:p w:rsidR="001E0F60" w:rsidRDefault="001E0F60"/>
  <w:p w:rsidR="001E0F60" w:rsidRDefault="001E0F60"/>
  <w:p w:rsidR="001E0F60" w:rsidRDefault="001E0F60"/>
  <w:p w:rsidR="001E0F60" w:rsidRDefault="001E0F6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60" w:rsidRPr="00290C63" w:rsidRDefault="001E0F60"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1E0F60" w:rsidRDefault="001E0F60"/>
  <w:p w:rsidR="001E0F60" w:rsidRDefault="001E0F60"/>
  <w:p w:rsidR="001E0F60" w:rsidRDefault="001E0F60"/>
  <w:p w:rsidR="001E0F60" w:rsidRDefault="001E0F60"/>
  <w:p w:rsidR="001E0F60" w:rsidRDefault="001E0F60"/>
  <w:p w:rsidR="001E0F60" w:rsidRDefault="001E0F60"/>
  <w:p w:rsidR="001E0F60" w:rsidRDefault="001E0F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60" w:rsidRPr="00290C63" w:rsidRDefault="001E0F60"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1E0F60" w:rsidRDefault="001E0F60">
    <w:pPr>
      <w:pStyle w:val="Footer"/>
    </w:pPr>
  </w:p>
  <w:p w:rsidR="001E0F60" w:rsidRDefault="001E0F60"/>
  <w:p w:rsidR="001E0F60" w:rsidRDefault="001E0F60"/>
  <w:p w:rsidR="001E0F60" w:rsidRDefault="001E0F60"/>
  <w:p w:rsidR="001E0F60" w:rsidRDefault="001E0F60"/>
  <w:p w:rsidR="001E0F60" w:rsidRDefault="001E0F60"/>
  <w:p w:rsidR="001E0F60" w:rsidRDefault="001E0F60"/>
  <w:p w:rsidR="001E0F60" w:rsidRDefault="001E0F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60" w:rsidRPr="00290C63" w:rsidRDefault="001E0F60" w:rsidP="00290C63">
      <w:r>
        <w:separator/>
      </w:r>
    </w:p>
    <w:p w:rsidR="001E0F60" w:rsidRDefault="001E0F60"/>
  </w:footnote>
  <w:footnote w:type="continuationSeparator" w:id="0">
    <w:p w:rsidR="001E0F60" w:rsidRPr="00290C63" w:rsidRDefault="001E0F60" w:rsidP="00290C63">
      <w:r>
        <w:continuationSeparator/>
      </w:r>
    </w:p>
    <w:p w:rsidR="001E0F60" w:rsidRDefault="001E0F60"/>
  </w:footnote>
  <w:footnote w:id="1">
    <w:p w:rsidR="001E0F60" w:rsidRDefault="001E0F60" w:rsidP="00A62C28">
      <w:pPr>
        <w:pStyle w:val="FootnoteText"/>
      </w:pPr>
      <w:r>
        <w:rPr>
          <w:rStyle w:val="FootnoteReference"/>
        </w:rPr>
        <w:footnoteRef/>
      </w:r>
      <w:r>
        <w:t xml:space="preserve"> </w:t>
      </w:r>
      <w:r>
        <w:tab/>
      </w:r>
      <w:r w:rsidRPr="00C37607">
        <w:t>NER, cl. 6.12.1(6).</w:t>
      </w:r>
    </w:p>
  </w:footnote>
  <w:footnote w:id="2">
    <w:p w:rsidR="001E0F60" w:rsidRDefault="001E0F60">
      <w:pPr>
        <w:pStyle w:val="FootnoteText"/>
      </w:pPr>
      <w:r>
        <w:rPr>
          <w:rStyle w:val="FootnoteReference"/>
        </w:rPr>
        <w:footnoteRef/>
      </w:r>
      <w:r>
        <w:t xml:space="preserve"> </w:t>
      </w:r>
      <w:r>
        <w:tab/>
        <w:t xml:space="preserve">Jemena, </w:t>
      </w:r>
      <w:r w:rsidRPr="0017029F">
        <w:rPr>
          <w:rStyle w:val="AERtextitalic"/>
        </w:rPr>
        <w:t>Revised regulatory proposal – Attachment 5-4 Asset base roll-forward and depreciation</w:t>
      </w:r>
      <w:r>
        <w:t>, January 2016, p. v</w:t>
      </w:r>
      <w:r w:rsidRPr="00CA76D5">
        <w:t>.</w:t>
      </w:r>
      <w:r>
        <w:t xml:space="preserve"> Note: Revised proposal document presents $1198.6 which represents a rounding error.</w:t>
      </w:r>
    </w:p>
  </w:footnote>
  <w:footnote w:id="3">
    <w:p w:rsidR="001E0F60" w:rsidRDefault="001E0F60">
      <w:pPr>
        <w:pStyle w:val="FootnoteText"/>
      </w:pPr>
      <w:r>
        <w:rPr>
          <w:rStyle w:val="FootnoteReference"/>
        </w:rPr>
        <w:footnoteRef/>
      </w:r>
      <w:r>
        <w:t xml:space="preserve"> </w:t>
      </w:r>
      <w:r>
        <w:tab/>
      </w:r>
      <w:r w:rsidRPr="00220A3D">
        <w:t>The higher closing RAB is the result of the higher expected inflation rate (attachment 3)</w:t>
      </w:r>
      <w:r w:rsidRPr="00F45979">
        <w:t xml:space="preserve"> that impacts on the indexation of the RAB</w:t>
      </w:r>
      <w:r w:rsidRPr="00220A3D">
        <w:t xml:space="preserve">, and amendments to </w:t>
      </w:r>
      <w:r>
        <w:t>some</w:t>
      </w:r>
      <w:r w:rsidRPr="00220A3D">
        <w:t xml:space="preserve"> of Jemena's standard asset lives leading to lower forecast straight-line depreciation removed from the RAB (attachment 5).</w:t>
      </w:r>
    </w:p>
  </w:footnote>
  <w:footnote w:id="4">
    <w:p w:rsidR="001E0F60" w:rsidRDefault="001E0F60" w:rsidP="00210435">
      <w:pPr>
        <w:pStyle w:val="FootnoteText"/>
      </w:pPr>
      <w:r>
        <w:rPr>
          <w:rStyle w:val="FootnoteReference"/>
        </w:rPr>
        <w:footnoteRef/>
      </w:r>
      <w:r>
        <w:t xml:space="preserve"> </w:t>
      </w:r>
      <w:r>
        <w:tab/>
      </w:r>
      <w:r w:rsidRPr="00CA76D5">
        <w:t>NER, cl. 6.12.1(18).</w:t>
      </w:r>
    </w:p>
  </w:footnote>
  <w:footnote w:id="5">
    <w:p w:rsidR="001E0F60" w:rsidRDefault="001E0F60" w:rsidP="00210435">
      <w:pPr>
        <w:pStyle w:val="FootnoteText"/>
      </w:pPr>
      <w:r>
        <w:rPr>
          <w:rStyle w:val="FootnoteReference"/>
        </w:rPr>
        <w:footnoteRef/>
      </w:r>
      <w:r>
        <w:t xml:space="preserve"> </w:t>
      </w:r>
      <w:r>
        <w:tab/>
      </w:r>
      <w:r w:rsidRPr="00E5295B">
        <w:t xml:space="preserve">Jemena, </w:t>
      </w:r>
      <w:r w:rsidRPr="00E5295B">
        <w:rPr>
          <w:rStyle w:val="AERtextitalic"/>
        </w:rPr>
        <w:t xml:space="preserve">Revised regulatory </w:t>
      </w:r>
      <w:r w:rsidRPr="006F125B">
        <w:rPr>
          <w:rStyle w:val="AERtextitalic"/>
        </w:rPr>
        <w:t>proposa</w:t>
      </w:r>
      <w:r>
        <w:rPr>
          <w:rStyle w:val="AERtextitalic"/>
        </w:rPr>
        <w:t xml:space="preserve">l </w:t>
      </w:r>
      <w:r w:rsidRPr="0017029F">
        <w:rPr>
          <w:rStyle w:val="AERtextitalic"/>
        </w:rPr>
        <w:t>– Attachment 5-4 Asset base roll-forward and depreciation</w:t>
      </w:r>
      <w:r w:rsidRPr="00E5295B">
        <w:t>, January 2016,</w:t>
      </w:r>
      <w:r>
        <w:t xml:space="preserve"> p. 7</w:t>
      </w:r>
      <w:r w:rsidRPr="00E5295B">
        <w:t>.</w:t>
      </w:r>
    </w:p>
  </w:footnote>
  <w:footnote w:id="6">
    <w:p w:rsidR="001E0F60" w:rsidRDefault="001E0F60" w:rsidP="006954A2">
      <w:pPr>
        <w:pStyle w:val="FootnoteText"/>
      </w:pPr>
      <w:r>
        <w:rPr>
          <w:rStyle w:val="FootnoteReference"/>
        </w:rPr>
        <w:footnoteRef/>
      </w:r>
      <w:r>
        <w:t xml:space="preserve"> </w:t>
      </w:r>
      <w:r>
        <w:tab/>
        <w:t xml:space="preserve">Jemena, </w:t>
      </w:r>
      <w:r w:rsidRPr="0017029F">
        <w:rPr>
          <w:rStyle w:val="AERtextitalic"/>
        </w:rPr>
        <w:t>Revised regulatory proposal – Attachment 5-4 Asset base roll-forward and depreciation</w:t>
      </w:r>
      <w:r>
        <w:t>, January 2016, p. v</w:t>
      </w:r>
      <w:r w:rsidRPr="00CA76D5">
        <w:t>.</w:t>
      </w:r>
      <w:r>
        <w:t xml:space="preserve"> Note: Revised proposal document presents $1198.6 which represents a rounding error.</w:t>
      </w:r>
    </w:p>
  </w:footnote>
  <w:footnote w:id="7">
    <w:p w:rsidR="001E0F60" w:rsidRDefault="001E0F60" w:rsidP="00EA55B4">
      <w:pPr>
        <w:pStyle w:val="FootnoteText"/>
      </w:pPr>
      <w:r>
        <w:rPr>
          <w:rStyle w:val="FootnoteReference"/>
        </w:rPr>
        <w:footnoteRef/>
      </w:r>
      <w:r>
        <w:t xml:space="preserve"> </w:t>
      </w:r>
      <w:r>
        <w:tab/>
        <w:t xml:space="preserve">Jemena, </w:t>
      </w:r>
      <w:r w:rsidRPr="0017029F">
        <w:rPr>
          <w:rStyle w:val="AERtextitalic"/>
        </w:rPr>
        <w:t>Revised regulatory proposal – Attachment 5-4 Asset base roll-forward and depreciation</w:t>
      </w:r>
      <w:r>
        <w:t>, January 2016, pp. 6–7.</w:t>
      </w:r>
    </w:p>
  </w:footnote>
  <w:footnote w:id="8">
    <w:p w:rsidR="001E0F60" w:rsidRDefault="001E0F60">
      <w:pPr>
        <w:pStyle w:val="FootnoteText"/>
      </w:pPr>
      <w:r>
        <w:rPr>
          <w:rStyle w:val="FootnoteReference"/>
        </w:rPr>
        <w:footnoteRef/>
      </w:r>
      <w:r>
        <w:t xml:space="preserve"> </w:t>
      </w:r>
      <w:r>
        <w:tab/>
        <w:t xml:space="preserve">Jemena, </w:t>
      </w:r>
      <w:r w:rsidRPr="0017029F">
        <w:rPr>
          <w:rStyle w:val="AERtextitalic"/>
        </w:rPr>
        <w:t>Revised regulatory proposal – Attachment 5-4 Asset base roll-forward and depreciation</w:t>
      </w:r>
      <w:r>
        <w:t>, January 2016, pp. 2–6.</w:t>
      </w:r>
    </w:p>
  </w:footnote>
  <w:footnote w:id="9">
    <w:p w:rsidR="001E0F60" w:rsidRDefault="001E0F60">
      <w:pPr>
        <w:pStyle w:val="FootnoteText"/>
      </w:pPr>
      <w:r>
        <w:rPr>
          <w:rStyle w:val="FootnoteReference"/>
        </w:rPr>
        <w:footnoteRef/>
      </w:r>
      <w:r>
        <w:t xml:space="preserve"> </w:t>
      </w:r>
      <w:r>
        <w:tab/>
        <w:t xml:space="preserve">Jemena, </w:t>
      </w:r>
      <w:r w:rsidRPr="0017029F">
        <w:rPr>
          <w:rStyle w:val="AERtextitalic"/>
        </w:rPr>
        <w:t>Revised regulatory proposal – Attachment 5-4 Asset base roll-forward and depreciation</w:t>
      </w:r>
      <w:r>
        <w:t>, January 2016, p. v</w:t>
      </w:r>
      <w:r w:rsidRPr="00CA76D5">
        <w:t>.</w:t>
      </w:r>
    </w:p>
  </w:footnote>
  <w:footnote w:id="10">
    <w:p w:rsidR="001E0F60" w:rsidRDefault="001E0F60" w:rsidP="00A62C28">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Jemena </w:t>
      </w:r>
      <w:r>
        <w:rPr>
          <w:rStyle w:val="AERtextitalic"/>
        </w:rPr>
        <w:t xml:space="preserve">distribution </w:t>
      </w:r>
      <w:r w:rsidRPr="00B10347">
        <w:rPr>
          <w:rStyle w:val="AERtextitalic"/>
        </w:rPr>
        <w:t>determination 2016 to 2020: Attachment 2 – Regulatory asset base</w:t>
      </w:r>
      <w:r w:rsidRPr="00D033BE">
        <w:t xml:space="preserve">, </w:t>
      </w:r>
      <w:r>
        <w:t>October</w:t>
      </w:r>
      <w:r w:rsidRPr="00D033BE">
        <w:t xml:space="preserve"> 2015, pp. 9–13.</w:t>
      </w:r>
    </w:p>
  </w:footnote>
  <w:footnote w:id="11">
    <w:p w:rsidR="001E0F60" w:rsidRDefault="001E0F60">
      <w:pPr>
        <w:pStyle w:val="FootnoteText"/>
      </w:pPr>
      <w:r>
        <w:rPr>
          <w:rStyle w:val="FootnoteReference"/>
        </w:rPr>
        <w:footnoteRef/>
      </w:r>
      <w:r>
        <w:t xml:space="preserve"> </w:t>
      </w:r>
      <w:r>
        <w:tab/>
      </w:r>
      <w:r w:rsidRPr="009B621D">
        <w:t>NER, cl S6.2.1(e)(2).</w:t>
      </w:r>
    </w:p>
  </w:footnote>
  <w:footnote w:id="12">
    <w:p w:rsidR="001E0F60" w:rsidRDefault="001E0F60" w:rsidP="00A66965">
      <w:pPr>
        <w:pStyle w:val="FootnoteText"/>
      </w:pPr>
      <w:r>
        <w:rPr>
          <w:rStyle w:val="FootnoteReference"/>
        </w:rPr>
        <w:footnoteRef/>
      </w:r>
      <w:r>
        <w:t xml:space="preserve"> </w:t>
      </w:r>
      <w:r>
        <w:tab/>
        <w:t>NER, cl. 6.12.2(b).</w:t>
      </w:r>
    </w:p>
  </w:footnote>
  <w:footnote w:id="13">
    <w:p w:rsidR="001E0F60" w:rsidRDefault="001E0F60" w:rsidP="00387809">
      <w:pPr>
        <w:pStyle w:val="FootnoteText"/>
      </w:pPr>
      <w:r>
        <w:rPr>
          <w:rStyle w:val="FootnoteReference"/>
        </w:rPr>
        <w:footnoteRef/>
      </w:r>
      <w:r>
        <w:t xml:space="preserve"> </w:t>
      </w:r>
      <w:r>
        <w:tab/>
        <w:t>NER, cl. 11.60.5.</w:t>
      </w:r>
    </w:p>
  </w:footnote>
  <w:footnote w:id="14">
    <w:p w:rsidR="001E0F60" w:rsidRDefault="001E0F60" w:rsidP="00387809">
      <w:pPr>
        <w:pStyle w:val="FootnoteText"/>
      </w:pPr>
      <w:r>
        <w:rPr>
          <w:rStyle w:val="FootnoteReference"/>
        </w:rPr>
        <w:footnoteRef/>
      </w:r>
      <w:r>
        <w:t xml:space="preserve"> </w:t>
      </w:r>
      <w:r>
        <w:tab/>
        <w:t xml:space="preserve">Here, 'inefficient' past capex refers to three specific assessments (labelled the overspending, margin and capitalisation requirements) detailed in NER, cl. S6.2.2A. The details of our assessment approach for inefficient capex are set out in AER, </w:t>
      </w:r>
      <w:r w:rsidRPr="00965D78">
        <w:rPr>
          <w:rStyle w:val="Emphasis"/>
        </w:rPr>
        <w:t>Capital expenditure incentive guideline</w:t>
      </w:r>
      <w:r>
        <w:t>, November 2013, pp. 12–20.</w:t>
      </w:r>
    </w:p>
  </w:footnote>
  <w:footnote w:id="15">
    <w:p w:rsidR="001E0F60" w:rsidRDefault="001E0F60" w:rsidP="00387809">
      <w:pPr>
        <w:pStyle w:val="FootnoteText"/>
      </w:pPr>
      <w:r>
        <w:rPr>
          <w:rStyle w:val="FootnoteReference"/>
        </w:rPr>
        <w:footnoteRef/>
      </w:r>
      <w:r>
        <w:t xml:space="preserve"> </w:t>
      </w:r>
      <w:r>
        <w:tab/>
        <w:t xml:space="preserve">See </w:t>
      </w:r>
      <w:r w:rsidRPr="001A00C0">
        <w:t xml:space="preserve">AER, </w:t>
      </w:r>
      <w:r w:rsidRPr="001A00C0">
        <w:rPr>
          <w:rStyle w:val="Emphasis"/>
        </w:rPr>
        <w:t>Final decision, Victorian electricity distribution network service providers, Distribution determination 2011–15</w:t>
      </w:r>
      <w:r w:rsidRPr="001A00C0">
        <w:t>, October 2010, pp. 459–462.</w:t>
      </w:r>
    </w:p>
  </w:footnote>
  <w:footnote w:id="16">
    <w:p w:rsidR="001E0F60" w:rsidRDefault="001E0F60" w:rsidP="00387809">
      <w:pPr>
        <w:pStyle w:val="FootnoteText"/>
      </w:pPr>
      <w:r>
        <w:rPr>
          <w:rStyle w:val="FootnoteReference"/>
        </w:rPr>
        <w:footnoteRef/>
      </w:r>
      <w:r>
        <w:t xml:space="preserve"> </w:t>
      </w:r>
      <w:r>
        <w:tab/>
        <w:t>NER, cll. 6.5.7(a) and (c).</w:t>
      </w:r>
    </w:p>
  </w:footnote>
  <w:footnote w:id="17">
    <w:p w:rsidR="001E0F60" w:rsidRDefault="001E0F60" w:rsidP="00EA7D2B">
      <w:pPr>
        <w:pStyle w:val="FootnoteText"/>
      </w:pPr>
      <w:r>
        <w:rPr>
          <w:rStyle w:val="FootnoteReference"/>
        </w:rPr>
        <w:footnoteRef/>
      </w:r>
      <w:r>
        <w:t xml:space="preserve"> </w:t>
      </w:r>
      <w:r>
        <w:tab/>
        <w:t xml:space="preserve">Although we describe this as one-year lag (as does Jemena), the series is lagged by one year and three months. The additional three months reflects a practical delay to allow for the publication of CPI data and implementation in the annual pricing approval process. This additional three month delay is accepted by both parties and not considered contentious. </w:t>
      </w:r>
    </w:p>
  </w:footnote>
  <w:footnote w:id="18">
    <w:p w:rsidR="001E0F60" w:rsidRDefault="001E0F60" w:rsidP="00EA7D2B">
      <w:pPr>
        <w:pStyle w:val="FootnoteText"/>
      </w:pPr>
      <w:r>
        <w:rPr>
          <w:rStyle w:val="FootnoteReference"/>
        </w:rPr>
        <w:footnoteRef/>
      </w:r>
      <w:r>
        <w:t xml:space="preserve"> </w:t>
      </w:r>
      <w:r>
        <w:tab/>
      </w:r>
      <w:r w:rsidRPr="00F54A21">
        <w:t xml:space="preserve">Under </w:t>
      </w:r>
      <w:r>
        <w:t>the partially lagged approach, two</w:t>
      </w:r>
      <w:r w:rsidRPr="00F54A21">
        <w:t xml:space="preserve"> aspects of</w:t>
      </w:r>
      <w:r>
        <w:t xml:space="preserve"> the</w:t>
      </w:r>
      <w:r w:rsidRPr="00F54A21">
        <w:t xml:space="preserve"> RFM indexation use a one-year lagged inflation series</w:t>
      </w:r>
      <w:r>
        <w:t xml:space="preserve"> (straight line depreciation and new capex)</w:t>
      </w:r>
      <w:r w:rsidRPr="00F54A21">
        <w:t xml:space="preserve">, but </w:t>
      </w:r>
      <w:r>
        <w:t>one aspect</w:t>
      </w:r>
      <w:r w:rsidRPr="00F54A21">
        <w:t xml:space="preserve"> use</w:t>
      </w:r>
      <w:r>
        <w:t>s</w:t>
      </w:r>
      <w:r w:rsidRPr="00F54A21">
        <w:t xml:space="preserve"> the actual (</w:t>
      </w:r>
      <w:r>
        <w:t>non</w:t>
      </w:r>
      <w:r w:rsidRPr="00F54A21">
        <w:t>-lagged) inflation outcomes</w:t>
      </w:r>
      <w:r>
        <w:t xml:space="preserve"> (opening RAB). Note that, as per the previous footnote, the actual (non-</w:t>
      </w:r>
      <w:r w:rsidRPr="00F54A21">
        <w:t>lagged) inflation series is lagged by three months</w:t>
      </w:r>
      <w:r>
        <w:t xml:space="preserve"> to allow for publication of CPI data and pricing implementation</w:t>
      </w:r>
      <w:r w:rsidRPr="00F54A21">
        <w:t>.</w:t>
      </w:r>
    </w:p>
  </w:footnote>
  <w:footnote w:id="19">
    <w:p w:rsidR="001E0F60" w:rsidRDefault="001E0F60" w:rsidP="00EA7D2B">
      <w:pPr>
        <w:pStyle w:val="FootnoteText"/>
      </w:pPr>
      <w:r>
        <w:rPr>
          <w:rStyle w:val="FootnoteReference"/>
        </w:rPr>
        <w:footnoteRef/>
      </w:r>
      <w:r>
        <w:t xml:space="preserve"> </w:t>
      </w:r>
      <w:r>
        <w:tab/>
        <w:t xml:space="preserve">In our 2010 determination for Jemena we applied the RAB roll forward from 2006 to 2010 in accordance with the ESC approach under transitional rules. AER, </w:t>
      </w:r>
      <w:r w:rsidRPr="009C6132">
        <w:rPr>
          <w:rStyle w:val="AERtextitalic"/>
        </w:rPr>
        <w:t>Final decision, Victorian electricity distribution network service providers, Distribution determination 2011–2015</w:t>
      </w:r>
      <w:r>
        <w:t xml:space="preserve">, October 2010, attachment </w:t>
      </w:r>
      <w:r w:rsidRPr="007C6DF6">
        <w:rPr>
          <w:rStyle w:val="AERtextitalic"/>
        </w:rPr>
        <w:t>'</w:t>
      </w:r>
      <w:r>
        <w:rPr>
          <w:rStyle w:val="AERtextitalic"/>
        </w:rPr>
        <w:t>Jemena</w:t>
      </w:r>
      <w:r w:rsidRPr="007C6DF6">
        <w:rPr>
          <w:rStyle w:val="AERtextitalic"/>
        </w:rPr>
        <w:t xml:space="preserve"> </w:t>
      </w:r>
      <w:r w:rsidRPr="009C6132">
        <w:rPr>
          <w:rStyle w:val="AERtextitalic"/>
        </w:rPr>
        <w:t>RFM Final Decision.xls</w:t>
      </w:r>
      <w:r>
        <w:t>'.</w:t>
      </w:r>
    </w:p>
  </w:footnote>
  <w:footnote w:id="20">
    <w:p w:rsidR="001E0F60" w:rsidRDefault="001E0F60" w:rsidP="00EA7D2B">
      <w:pPr>
        <w:pStyle w:val="FootnoteText"/>
      </w:pPr>
      <w:r>
        <w:rPr>
          <w:rStyle w:val="FootnoteReference"/>
        </w:rPr>
        <w:footnoteRef/>
      </w:r>
      <w:r>
        <w:t xml:space="preserve"> </w:t>
      </w:r>
      <w:r>
        <w:tab/>
        <w:t xml:space="preserve">Jemena, </w:t>
      </w:r>
      <w:r>
        <w:rPr>
          <w:rStyle w:val="AERtextitalic"/>
        </w:rPr>
        <w:t xml:space="preserve">Revised regulatory proposal, </w:t>
      </w:r>
      <w:r w:rsidRPr="0017029F">
        <w:rPr>
          <w:rStyle w:val="AERtextitalic"/>
        </w:rPr>
        <w:t>Attachment 5-4 Asset base roll-forward and depreciation</w:t>
      </w:r>
      <w:r w:rsidRPr="00333053">
        <w:rPr>
          <w:rStyle w:val="AERtextitalic"/>
        </w:rPr>
        <w:t>,</w:t>
      </w:r>
      <w:r>
        <w:t xml:space="preserve"> 6 January 2016, pp. 2–3; AusNet Services, </w:t>
      </w:r>
      <w:r w:rsidRPr="009C653F">
        <w:rPr>
          <w:rStyle w:val="AERtextitalic"/>
        </w:rPr>
        <w:t>Revised regulatory proposal</w:t>
      </w:r>
      <w:r>
        <w:t xml:space="preserve">, 6 January 2016, pp. 8-7 to 8-8; CitiPower, </w:t>
      </w:r>
      <w:r w:rsidRPr="00333053">
        <w:rPr>
          <w:rStyle w:val="AERtextitalic"/>
        </w:rPr>
        <w:t>Revised regulatory proposal</w:t>
      </w:r>
      <w:r>
        <w:t xml:space="preserve">, 6 January 2016, pp. 256–257; Powercor, </w:t>
      </w:r>
      <w:r w:rsidRPr="00333053">
        <w:rPr>
          <w:rStyle w:val="AERtextitalic"/>
        </w:rPr>
        <w:t>Revised regulatory proposal</w:t>
      </w:r>
      <w:r>
        <w:t xml:space="preserve">, 6 January 2016, pp. 250–251; and United Energy, </w:t>
      </w:r>
      <w:r w:rsidRPr="00333053">
        <w:rPr>
          <w:rStyle w:val="AERtextitalic"/>
        </w:rPr>
        <w:t>Revised regulatory proposal</w:t>
      </w:r>
      <w:r>
        <w:t>, 6 January 2016, pp. 72–73.</w:t>
      </w:r>
    </w:p>
  </w:footnote>
  <w:footnote w:id="21">
    <w:p w:rsidR="001E0F60" w:rsidRDefault="001E0F60" w:rsidP="00EA7D2B">
      <w:pPr>
        <w:pStyle w:val="FootnoteText"/>
      </w:pPr>
      <w:r>
        <w:rPr>
          <w:rStyle w:val="FootnoteReference"/>
        </w:rPr>
        <w:footnoteRef/>
      </w:r>
      <w:r>
        <w:t xml:space="preserve"> </w:t>
      </w:r>
      <w:r>
        <w:tab/>
        <w:t xml:space="preserve">Jemena, </w:t>
      </w:r>
      <w:r>
        <w:rPr>
          <w:rStyle w:val="AERtextitalic"/>
        </w:rPr>
        <w:t xml:space="preserve">Revised regulatory proposal, </w:t>
      </w:r>
      <w:r w:rsidRPr="0017029F">
        <w:rPr>
          <w:rStyle w:val="AERtextitalic"/>
        </w:rPr>
        <w:t>Attachment 5-4 Asset base roll-forward and depreciation</w:t>
      </w:r>
      <w:r w:rsidRPr="00333053">
        <w:rPr>
          <w:rStyle w:val="AERtextitalic"/>
        </w:rPr>
        <w:t>,</w:t>
      </w:r>
      <w:r>
        <w:t xml:space="preserve"> 6 January 2016, pp. 1–6.</w:t>
      </w:r>
    </w:p>
  </w:footnote>
  <w:footnote w:id="22">
    <w:p w:rsidR="001E0F60" w:rsidRDefault="001E0F60" w:rsidP="00EA7D2B">
      <w:pPr>
        <w:pStyle w:val="FootnoteText"/>
      </w:pPr>
      <w:r>
        <w:rPr>
          <w:rStyle w:val="FootnoteReference"/>
        </w:rPr>
        <w:footnoteRef/>
      </w:r>
      <w:r>
        <w:t xml:space="preserve"> </w:t>
      </w:r>
      <w:r>
        <w:tab/>
        <w:t xml:space="preserve">AusNet Services, </w:t>
      </w:r>
      <w:r w:rsidRPr="00107D90">
        <w:rPr>
          <w:rStyle w:val="AERtextitalic"/>
        </w:rPr>
        <w:t>Revised regulatory proposal</w:t>
      </w:r>
      <w:r>
        <w:t xml:space="preserve">, 6 January 2016, pp. 8-6 to 8-9; CitiPower, </w:t>
      </w:r>
      <w:r w:rsidRPr="00333053">
        <w:rPr>
          <w:rStyle w:val="AERtextitalic"/>
        </w:rPr>
        <w:t>Revised regulatory proposal</w:t>
      </w:r>
      <w:r>
        <w:t xml:space="preserve">, 6 January 2016, pp. 254–258; Powercor, </w:t>
      </w:r>
      <w:r w:rsidRPr="00333053">
        <w:rPr>
          <w:rStyle w:val="AERtextitalic"/>
        </w:rPr>
        <w:t>Revised regulatory proposal</w:t>
      </w:r>
      <w:r>
        <w:t xml:space="preserve">, 6 January 2016, pp. 248–252; and United Energy, </w:t>
      </w:r>
      <w:r w:rsidRPr="00333053">
        <w:rPr>
          <w:rStyle w:val="AERtextitalic"/>
        </w:rPr>
        <w:t>Revised regulatory proposal</w:t>
      </w:r>
      <w:r>
        <w:t>, 6 January 2016, pp. 72–73.</w:t>
      </w:r>
    </w:p>
  </w:footnote>
  <w:footnote w:id="23">
    <w:p w:rsidR="001E0F60" w:rsidRDefault="001E0F60" w:rsidP="00EA7D2B">
      <w:pPr>
        <w:pStyle w:val="FootnoteText"/>
      </w:pPr>
      <w:r>
        <w:rPr>
          <w:rStyle w:val="FootnoteReference"/>
        </w:rPr>
        <w:footnoteRef/>
      </w:r>
      <w:r>
        <w:t xml:space="preserve"> </w:t>
      </w:r>
      <w:r>
        <w:tab/>
        <w:t xml:space="preserve">AER, </w:t>
      </w:r>
      <w:r w:rsidRPr="00107D90">
        <w:rPr>
          <w:rStyle w:val="AERtextitalic"/>
        </w:rPr>
        <w:t>Final decision, Amendment, Electricity transmission network service providers, Roll forward model (version 3)</w:t>
      </w:r>
      <w:r>
        <w:t>, 23 October 2015, p. 11–12.</w:t>
      </w:r>
    </w:p>
  </w:footnote>
  <w:footnote w:id="24">
    <w:p w:rsidR="001E0F60" w:rsidRDefault="001E0F60" w:rsidP="00EA7D2B">
      <w:pPr>
        <w:pStyle w:val="FootnoteText"/>
      </w:pPr>
      <w:r>
        <w:rPr>
          <w:rStyle w:val="FootnoteReference"/>
        </w:rPr>
        <w:footnoteRef/>
      </w:r>
      <w:r>
        <w:t xml:space="preserve"> </w:t>
      </w:r>
      <w:r>
        <w:tab/>
        <w:t>NER, cl. 6.5.1(b)–(d).</w:t>
      </w:r>
    </w:p>
  </w:footnote>
  <w:footnote w:id="25">
    <w:p w:rsidR="001E0F60" w:rsidRDefault="001E0F60" w:rsidP="00EA7D2B">
      <w:pPr>
        <w:pStyle w:val="FootnoteText"/>
      </w:pPr>
      <w:r>
        <w:rPr>
          <w:rStyle w:val="FootnoteReference"/>
        </w:rPr>
        <w:footnoteRef/>
      </w:r>
      <w:r>
        <w:t xml:space="preserve"> </w:t>
      </w:r>
      <w:r>
        <w:tab/>
        <w:t xml:space="preserve">We note that the AER's current approach had support from service providers when the current RFM template was developed in 2008. See the submissions available online at </w:t>
      </w:r>
      <w:r w:rsidRPr="00C113FF">
        <w:t>http://www.aer.gov.au/networks-pipelines/guidelines-schemes-models-reviews/roll-forward-model-2008/draft-decision</w:t>
      </w:r>
      <w:r>
        <w:t>.</w:t>
      </w:r>
    </w:p>
  </w:footnote>
  <w:footnote w:id="26">
    <w:p w:rsidR="001E0F60" w:rsidRDefault="001E0F60" w:rsidP="00EA7D2B">
      <w:pPr>
        <w:pStyle w:val="FootnoteText"/>
      </w:pPr>
      <w:r>
        <w:rPr>
          <w:rStyle w:val="FootnoteReference"/>
        </w:rPr>
        <w:footnoteRef/>
      </w:r>
      <w:r>
        <w:t xml:space="preserve"> </w:t>
      </w:r>
      <w:r>
        <w:tab/>
      </w:r>
      <w:r w:rsidRPr="00C113FF">
        <w:t>Further, it is likely that there would not be a material difference in revenue outcomes</w:t>
      </w:r>
      <w:r>
        <w:t xml:space="preserve"> even if we were to change our final decision from all-lagged to the partially-lagged approach. This is because, when changing from one inflation series to another, we would give consideration to a transitional adjustment reflecting the impact of the change.</w:t>
      </w:r>
    </w:p>
  </w:footnote>
  <w:footnote w:id="27">
    <w:p w:rsidR="001E0F60" w:rsidRDefault="001E0F60" w:rsidP="00EA7D2B">
      <w:pPr>
        <w:pStyle w:val="FootnoteText"/>
      </w:pPr>
      <w:r>
        <w:rPr>
          <w:rStyle w:val="FootnoteReference"/>
        </w:rPr>
        <w:footnoteRef/>
      </w:r>
      <w:r>
        <w:t xml:space="preserve"> </w:t>
      </w:r>
      <w:r>
        <w:tab/>
        <w:t>This approach is consistent with Jemena's initial proposal, and has been adopted by the other four Victorian service providers in their revised proposals.</w:t>
      </w:r>
    </w:p>
  </w:footnote>
  <w:footnote w:id="28">
    <w:p w:rsidR="001E0F60" w:rsidRDefault="001E0F60" w:rsidP="00A62C28">
      <w:pPr>
        <w:pStyle w:val="FootnoteText"/>
      </w:pPr>
      <w:r>
        <w:rPr>
          <w:rStyle w:val="FootnoteReference"/>
        </w:rPr>
        <w:footnoteRef/>
      </w:r>
      <w:r>
        <w:t xml:space="preserve"> </w:t>
      </w:r>
      <w:r>
        <w:tab/>
        <w:t xml:space="preserve">Jemena, </w:t>
      </w:r>
      <w:r>
        <w:rPr>
          <w:rStyle w:val="AERtextitalic"/>
        </w:rPr>
        <w:t xml:space="preserve">RE: </w:t>
      </w:r>
      <w:r w:rsidRPr="00B10347">
        <w:rPr>
          <w:rStyle w:val="AERtextitalic"/>
        </w:rPr>
        <w:t>AER information request – Jemena - #028 – 2015 estimated capex update</w:t>
      </w:r>
      <w:r>
        <w:rPr>
          <w:rStyle w:val="AERtextitalic"/>
        </w:rPr>
        <w:t xml:space="preserve"> </w:t>
      </w:r>
      <w:r w:rsidRPr="00BC1771">
        <w:rPr>
          <w:rStyle w:val="AERtextsize8"/>
        </w:rPr>
        <w:t>[email to AER]</w:t>
      </w:r>
      <w:r>
        <w:t>, 1 February 2016.</w:t>
      </w:r>
    </w:p>
  </w:footnote>
  <w:footnote w:id="29">
    <w:p w:rsidR="001E0F60" w:rsidRDefault="001E0F60" w:rsidP="00A62C28">
      <w:pPr>
        <w:pStyle w:val="FootnoteText"/>
      </w:pPr>
      <w:r>
        <w:rPr>
          <w:rStyle w:val="FootnoteReference"/>
        </w:rPr>
        <w:footnoteRef/>
      </w:r>
      <w:r>
        <w:t xml:space="preserve"> </w:t>
      </w:r>
      <w:r>
        <w:tab/>
      </w:r>
      <w:r w:rsidRPr="00CF0900">
        <w:t>This amount is before adjusting for the half-WACC to account for the timing assumption in the PTRM.</w:t>
      </w:r>
    </w:p>
  </w:footnote>
  <w:footnote w:id="30">
    <w:p w:rsidR="001E0F60" w:rsidRDefault="001E0F60" w:rsidP="00A62C28">
      <w:pPr>
        <w:pStyle w:val="FootnoteText"/>
      </w:pPr>
      <w:r>
        <w:rPr>
          <w:rStyle w:val="FootnoteReference"/>
        </w:rPr>
        <w:footnoteRef/>
      </w:r>
      <w:r>
        <w:t xml:space="preserve"> </w:t>
      </w:r>
      <w:r>
        <w:tab/>
      </w:r>
      <w:r w:rsidRPr="00CF0900">
        <w:t>NER, cl. S6.2.1(e)(3).</w:t>
      </w:r>
    </w:p>
  </w:footnote>
  <w:footnote w:id="31">
    <w:p w:rsidR="001E0F60" w:rsidRDefault="001E0F60" w:rsidP="00BB02B2">
      <w:pPr>
        <w:pStyle w:val="FootnoteText"/>
      </w:pPr>
      <w:r>
        <w:rPr>
          <w:rStyle w:val="FootnoteReference"/>
        </w:rPr>
        <w:footnoteRef/>
      </w:r>
      <w:r>
        <w:t xml:space="preserve"> </w:t>
      </w:r>
      <w:r>
        <w:tab/>
        <w:t xml:space="preserve">AER, </w:t>
      </w:r>
      <w:r w:rsidRPr="0005012F">
        <w:rPr>
          <w:rStyle w:val="AERtextitalic"/>
        </w:rPr>
        <w:t>Final decision - Amendments to the electricity transmission roll forward model</w:t>
      </w:r>
      <w:r>
        <w:t xml:space="preserve">, </w:t>
      </w:r>
      <w:r w:rsidRPr="004F12C2">
        <w:rPr>
          <w:rStyle w:val="Emphasis"/>
        </w:rPr>
        <w:t>Appendix A - Transmission roll forward model - Version 3</w:t>
      </w:r>
      <w:r>
        <w:t xml:space="preserve">, </w:t>
      </w:r>
      <w:r w:rsidRPr="0005012F">
        <w:t>October 2015</w:t>
      </w:r>
      <w:r>
        <w:t>.</w:t>
      </w:r>
    </w:p>
  </w:footnote>
  <w:footnote w:id="32">
    <w:p w:rsidR="001E0F60" w:rsidRDefault="001E0F60">
      <w:pPr>
        <w:pStyle w:val="FootnoteText"/>
      </w:pPr>
      <w:r>
        <w:rPr>
          <w:rStyle w:val="FootnoteReference"/>
        </w:rPr>
        <w:footnoteRef/>
      </w:r>
      <w:r>
        <w:t xml:space="preserve"> </w:t>
      </w:r>
      <w:r>
        <w:tab/>
        <w:t>See AER final decision RFM, 'Adjustment for previous period' worksheet – cells G76:G105.</w:t>
      </w:r>
    </w:p>
  </w:footnote>
  <w:footnote w:id="33">
    <w:p w:rsidR="001E0F60" w:rsidRDefault="001E0F60">
      <w:pPr>
        <w:pStyle w:val="FootnoteText"/>
      </w:pPr>
      <w:r>
        <w:rPr>
          <w:rStyle w:val="FootnoteReference"/>
        </w:rPr>
        <w:footnoteRef/>
      </w:r>
      <w:r>
        <w:t xml:space="preserve"> </w:t>
      </w:r>
      <w:r>
        <w:tab/>
        <w:t>AusNet, CitiPower and Powercor removed the CPI adjustment from the '</w:t>
      </w:r>
      <w:r w:rsidRPr="0094129C">
        <w:t>Nominal Difference Between Actual and Forecast Net Capex</w:t>
      </w:r>
      <w:r>
        <w:t>' formula, while United Energy used 2010 CPI as the 2009 input. Both have the effect of removing the inflation adjustment to actual 2010 capex.</w:t>
      </w:r>
    </w:p>
  </w:footnote>
  <w:footnote w:id="34">
    <w:p w:rsidR="001E0F60" w:rsidRDefault="001E0F60">
      <w:pPr>
        <w:pStyle w:val="FootnoteText"/>
      </w:pPr>
      <w:r>
        <w:rPr>
          <w:rStyle w:val="FootnoteReference"/>
        </w:rPr>
        <w:footnoteRef/>
      </w:r>
      <w:r>
        <w:t xml:space="preserve"> </w:t>
      </w:r>
      <w:r>
        <w:tab/>
      </w:r>
      <w:r w:rsidRPr="00E5295B">
        <w:t xml:space="preserve">Jemena, </w:t>
      </w:r>
      <w:r w:rsidRPr="00E5295B">
        <w:rPr>
          <w:rStyle w:val="AERtextitalic"/>
        </w:rPr>
        <w:t xml:space="preserve">Revised regulatory </w:t>
      </w:r>
      <w:r w:rsidRPr="006F125B">
        <w:rPr>
          <w:rStyle w:val="AERtextitalic"/>
        </w:rPr>
        <w:t xml:space="preserve">proposal </w:t>
      </w:r>
      <w:r w:rsidRPr="0017029F">
        <w:rPr>
          <w:rStyle w:val="AERtextitalic"/>
        </w:rPr>
        <w:t>– Attachment 5-4 Asset base roll-forward and depreciation</w:t>
      </w:r>
      <w:r w:rsidRPr="00E5295B">
        <w:t>, January 2016,</w:t>
      </w:r>
      <w:r>
        <w:t xml:space="preserve"> p. 7</w:t>
      </w:r>
      <w:r w:rsidRPr="00E5295B">
        <w:t>.</w:t>
      </w:r>
    </w:p>
  </w:footnote>
  <w:footnote w:id="35">
    <w:p w:rsidR="001E0F60" w:rsidRDefault="001E0F60" w:rsidP="002D64E3">
      <w:pPr>
        <w:pStyle w:val="FootnoteText"/>
      </w:pPr>
      <w:r>
        <w:rPr>
          <w:rStyle w:val="FootnoteReference"/>
        </w:rPr>
        <w:footnoteRef/>
      </w:r>
      <w:r>
        <w:t xml:space="preserve"> </w:t>
      </w:r>
      <w:r>
        <w:tab/>
        <w:t xml:space="preserve">AER, </w:t>
      </w:r>
      <w:r w:rsidRPr="002D64E3">
        <w:rPr>
          <w:rStyle w:val="AERtextitalic"/>
        </w:rPr>
        <w:t>Preliminary decision Jemena distribution determination - Attachment 2 - Regulatory asset base</w:t>
      </w:r>
      <w:r>
        <w:t xml:space="preserve">, </w:t>
      </w:r>
      <w:r w:rsidRPr="002D64E3">
        <w:t>October 2015</w:t>
      </w:r>
      <w:r w:rsidRPr="002D64E3">
        <w:rPr>
          <w:rStyle w:val="AERtextitalic"/>
          <w:i w:val="0"/>
        </w:rPr>
        <w:t>, p. 16</w:t>
      </w:r>
      <w:r>
        <w:t xml:space="preserve">; AER, </w:t>
      </w:r>
      <w:r w:rsidRPr="00BC2C2F">
        <w:rPr>
          <w:rStyle w:val="AERtextitalic"/>
        </w:rPr>
        <w:t>Final Framework and Approach for the Victorian Electricity Distributors</w:t>
      </w:r>
      <w:r>
        <w:t>,</w:t>
      </w:r>
      <w:r w:rsidRPr="00BC2C2F">
        <w:t xml:space="preserve"> October 2014</w:t>
      </w:r>
      <w:r>
        <w:t>, pp. 121–126.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60" w:rsidRDefault="001E0F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E65AAAF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num>
  <w:num w:numId="37">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nMq2RpZ1RcMUoawLuvZFJqlm+I5auFUToifD5Igdshc=" w:saltValue="A08PX08EP8OYpiioWexAug==" w:algorithmName="SHA-256"/>
  <w:defaultTabStop w:val="340"/>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7556\AER15 4380  AER - Final decision AusNet distribution determination - Attachment 2 - Regulatory asset base - April 2016.DOCX"/>
  </w:docVars>
  <w:rsids>
    <w:rsidRoot w:val="00961A4A"/>
    <w:rsid w:val="000051DC"/>
    <w:rsid w:val="0000658F"/>
    <w:rsid w:val="0001507B"/>
    <w:rsid w:val="00020016"/>
    <w:rsid w:val="00021202"/>
    <w:rsid w:val="00021C2B"/>
    <w:rsid w:val="0002498B"/>
    <w:rsid w:val="0002517F"/>
    <w:rsid w:val="00026187"/>
    <w:rsid w:val="000266FC"/>
    <w:rsid w:val="000273B3"/>
    <w:rsid w:val="00027E2D"/>
    <w:rsid w:val="00033DE5"/>
    <w:rsid w:val="0003578C"/>
    <w:rsid w:val="00044DA3"/>
    <w:rsid w:val="000474DF"/>
    <w:rsid w:val="00055A67"/>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3568"/>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5743"/>
    <w:rsid w:val="00116EB2"/>
    <w:rsid w:val="0012132C"/>
    <w:rsid w:val="00124609"/>
    <w:rsid w:val="00126A4C"/>
    <w:rsid w:val="001270E3"/>
    <w:rsid w:val="00131A58"/>
    <w:rsid w:val="00132D43"/>
    <w:rsid w:val="00133366"/>
    <w:rsid w:val="00133F47"/>
    <w:rsid w:val="00134029"/>
    <w:rsid w:val="00142C2D"/>
    <w:rsid w:val="00144C96"/>
    <w:rsid w:val="0014573B"/>
    <w:rsid w:val="001463A3"/>
    <w:rsid w:val="001475F0"/>
    <w:rsid w:val="0015073A"/>
    <w:rsid w:val="001562EA"/>
    <w:rsid w:val="001573E4"/>
    <w:rsid w:val="00160756"/>
    <w:rsid w:val="00161DC8"/>
    <w:rsid w:val="00166760"/>
    <w:rsid w:val="0017029F"/>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34F1"/>
    <w:rsid w:val="00194597"/>
    <w:rsid w:val="00194E00"/>
    <w:rsid w:val="0019745E"/>
    <w:rsid w:val="001974F9"/>
    <w:rsid w:val="00197B16"/>
    <w:rsid w:val="001A530D"/>
    <w:rsid w:val="001A5FB3"/>
    <w:rsid w:val="001A7155"/>
    <w:rsid w:val="001B45A0"/>
    <w:rsid w:val="001B5B26"/>
    <w:rsid w:val="001B680E"/>
    <w:rsid w:val="001D055E"/>
    <w:rsid w:val="001E0F60"/>
    <w:rsid w:val="001E1B3F"/>
    <w:rsid w:val="001E44A6"/>
    <w:rsid w:val="001E7161"/>
    <w:rsid w:val="001F05A4"/>
    <w:rsid w:val="001F3D4A"/>
    <w:rsid w:val="001F492E"/>
    <w:rsid w:val="001F64EF"/>
    <w:rsid w:val="001F6DA3"/>
    <w:rsid w:val="002010BC"/>
    <w:rsid w:val="002016E7"/>
    <w:rsid w:val="00202E03"/>
    <w:rsid w:val="002033B9"/>
    <w:rsid w:val="002043D0"/>
    <w:rsid w:val="0020492C"/>
    <w:rsid w:val="00204EC9"/>
    <w:rsid w:val="00206505"/>
    <w:rsid w:val="0020743F"/>
    <w:rsid w:val="00210435"/>
    <w:rsid w:val="00216721"/>
    <w:rsid w:val="00216C93"/>
    <w:rsid w:val="00220A3D"/>
    <w:rsid w:val="00223051"/>
    <w:rsid w:val="00224DB9"/>
    <w:rsid w:val="0022569A"/>
    <w:rsid w:val="0023005C"/>
    <w:rsid w:val="00231012"/>
    <w:rsid w:val="002330F7"/>
    <w:rsid w:val="002331E8"/>
    <w:rsid w:val="00233775"/>
    <w:rsid w:val="0023414B"/>
    <w:rsid w:val="00243635"/>
    <w:rsid w:val="002449AE"/>
    <w:rsid w:val="00247079"/>
    <w:rsid w:val="00251745"/>
    <w:rsid w:val="002552BA"/>
    <w:rsid w:val="00260016"/>
    <w:rsid w:val="00263AC0"/>
    <w:rsid w:val="00264264"/>
    <w:rsid w:val="0026689B"/>
    <w:rsid w:val="0026772D"/>
    <w:rsid w:val="00270F40"/>
    <w:rsid w:val="00272773"/>
    <w:rsid w:val="002730B2"/>
    <w:rsid w:val="00274339"/>
    <w:rsid w:val="00274C7E"/>
    <w:rsid w:val="002777CF"/>
    <w:rsid w:val="002810F2"/>
    <w:rsid w:val="00286874"/>
    <w:rsid w:val="00290C63"/>
    <w:rsid w:val="00290F66"/>
    <w:rsid w:val="00291A99"/>
    <w:rsid w:val="00293B6D"/>
    <w:rsid w:val="00294B08"/>
    <w:rsid w:val="0029518C"/>
    <w:rsid w:val="002963DD"/>
    <w:rsid w:val="00296B65"/>
    <w:rsid w:val="00297CDB"/>
    <w:rsid w:val="002A5674"/>
    <w:rsid w:val="002A7DEF"/>
    <w:rsid w:val="002B0696"/>
    <w:rsid w:val="002C0222"/>
    <w:rsid w:val="002C1499"/>
    <w:rsid w:val="002C233C"/>
    <w:rsid w:val="002C517B"/>
    <w:rsid w:val="002D0534"/>
    <w:rsid w:val="002D3509"/>
    <w:rsid w:val="002D51D0"/>
    <w:rsid w:val="002D5457"/>
    <w:rsid w:val="002D64E3"/>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07D"/>
    <w:rsid w:val="003424EA"/>
    <w:rsid w:val="00342C2F"/>
    <w:rsid w:val="003436EB"/>
    <w:rsid w:val="003438BE"/>
    <w:rsid w:val="00343A18"/>
    <w:rsid w:val="00345744"/>
    <w:rsid w:val="003518B3"/>
    <w:rsid w:val="00353E79"/>
    <w:rsid w:val="00354EE3"/>
    <w:rsid w:val="00364EA0"/>
    <w:rsid w:val="00366981"/>
    <w:rsid w:val="00370678"/>
    <w:rsid w:val="0037214E"/>
    <w:rsid w:val="00372C85"/>
    <w:rsid w:val="00373845"/>
    <w:rsid w:val="003744E3"/>
    <w:rsid w:val="00375F71"/>
    <w:rsid w:val="00376219"/>
    <w:rsid w:val="0037663E"/>
    <w:rsid w:val="0037699E"/>
    <w:rsid w:val="00376BEA"/>
    <w:rsid w:val="00377A29"/>
    <w:rsid w:val="00377C69"/>
    <w:rsid w:val="0038415D"/>
    <w:rsid w:val="0038461C"/>
    <w:rsid w:val="003846F1"/>
    <w:rsid w:val="00387809"/>
    <w:rsid w:val="00390E6A"/>
    <w:rsid w:val="00393ABE"/>
    <w:rsid w:val="00395DB6"/>
    <w:rsid w:val="00396DA4"/>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3C83"/>
    <w:rsid w:val="003D41F1"/>
    <w:rsid w:val="003D42AB"/>
    <w:rsid w:val="003D5B94"/>
    <w:rsid w:val="003E0D3A"/>
    <w:rsid w:val="003E3539"/>
    <w:rsid w:val="003E3AAB"/>
    <w:rsid w:val="003E7FE9"/>
    <w:rsid w:val="003F07D4"/>
    <w:rsid w:val="003F174D"/>
    <w:rsid w:val="003F2329"/>
    <w:rsid w:val="003F2346"/>
    <w:rsid w:val="00400FD2"/>
    <w:rsid w:val="00403711"/>
    <w:rsid w:val="00403720"/>
    <w:rsid w:val="00404C52"/>
    <w:rsid w:val="004156D5"/>
    <w:rsid w:val="00415BA9"/>
    <w:rsid w:val="00415F31"/>
    <w:rsid w:val="0041691D"/>
    <w:rsid w:val="0042000C"/>
    <w:rsid w:val="0042090E"/>
    <w:rsid w:val="00421F27"/>
    <w:rsid w:val="004238D8"/>
    <w:rsid w:val="00423A77"/>
    <w:rsid w:val="004324F4"/>
    <w:rsid w:val="00434544"/>
    <w:rsid w:val="00441F4E"/>
    <w:rsid w:val="00445D43"/>
    <w:rsid w:val="004465AB"/>
    <w:rsid w:val="00446CD2"/>
    <w:rsid w:val="004523B2"/>
    <w:rsid w:val="0045777E"/>
    <w:rsid w:val="00460422"/>
    <w:rsid w:val="00465258"/>
    <w:rsid w:val="00471BC6"/>
    <w:rsid w:val="00476221"/>
    <w:rsid w:val="004766F5"/>
    <w:rsid w:val="00480B4B"/>
    <w:rsid w:val="004838D8"/>
    <w:rsid w:val="00485DC4"/>
    <w:rsid w:val="00494D04"/>
    <w:rsid w:val="004A3125"/>
    <w:rsid w:val="004A40BA"/>
    <w:rsid w:val="004A43D1"/>
    <w:rsid w:val="004A492B"/>
    <w:rsid w:val="004B4412"/>
    <w:rsid w:val="004B6269"/>
    <w:rsid w:val="004C348C"/>
    <w:rsid w:val="004C462E"/>
    <w:rsid w:val="004C6CA3"/>
    <w:rsid w:val="004C7F5E"/>
    <w:rsid w:val="004D343C"/>
    <w:rsid w:val="004D372A"/>
    <w:rsid w:val="004D55BA"/>
    <w:rsid w:val="004D720C"/>
    <w:rsid w:val="004E0FA7"/>
    <w:rsid w:val="004E22EC"/>
    <w:rsid w:val="004F0BFA"/>
    <w:rsid w:val="004F12C2"/>
    <w:rsid w:val="004F13DA"/>
    <w:rsid w:val="004F4D69"/>
    <w:rsid w:val="004F6883"/>
    <w:rsid w:val="004F6A0E"/>
    <w:rsid w:val="004F6BB3"/>
    <w:rsid w:val="005009CD"/>
    <w:rsid w:val="00504E5F"/>
    <w:rsid w:val="00506442"/>
    <w:rsid w:val="0051337E"/>
    <w:rsid w:val="00513FA7"/>
    <w:rsid w:val="0051768F"/>
    <w:rsid w:val="00522514"/>
    <w:rsid w:val="00522DC2"/>
    <w:rsid w:val="00530128"/>
    <w:rsid w:val="00532467"/>
    <w:rsid w:val="005332A9"/>
    <w:rsid w:val="0053603C"/>
    <w:rsid w:val="00537871"/>
    <w:rsid w:val="00542FE9"/>
    <w:rsid w:val="00544598"/>
    <w:rsid w:val="00544C8D"/>
    <w:rsid w:val="00544DFD"/>
    <w:rsid w:val="00556B1E"/>
    <w:rsid w:val="0055707C"/>
    <w:rsid w:val="00564A4D"/>
    <w:rsid w:val="0056598C"/>
    <w:rsid w:val="00566E0B"/>
    <w:rsid w:val="00567BA5"/>
    <w:rsid w:val="00571B35"/>
    <w:rsid w:val="00571B43"/>
    <w:rsid w:val="00571D57"/>
    <w:rsid w:val="00573A3B"/>
    <w:rsid w:val="00577716"/>
    <w:rsid w:val="00577A09"/>
    <w:rsid w:val="005829C2"/>
    <w:rsid w:val="00584A1A"/>
    <w:rsid w:val="00584D8F"/>
    <w:rsid w:val="00587A18"/>
    <w:rsid w:val="00587ADE"/>
    <w:rsid w:val="00597E76"/>
    <w:rsid w:val="005A0BEC"/>
    <w:rsid w:val="005A404D"/>
    <w:rsid w:val="005B1E3C"/>
    <w:rsid w:val="005B6518"/>
    <w:rsid w:val="005B704A"/>
    <w:rsid w:val="005B72D7"/>
    <w:rsid w:val="005C045F"/>
    <w:rsid w:val="005C16FE"/>
    <w:rsid w:val="005C1FAB"/>
    <w:rsid w:val="005C21A4"/>
    <w:rsid w:val="005C26CC"/>
    <w:rsid w:val="005C4463"/>
    <w:rsid w:val="005D3D88"/>
    <w:rsid w:val="005D4692"/>
    <w:rsid w:val="005D48C4"/>
    <w:rsid w:val="005D6208"/>
    <w:rsid w:val="005D6366"/>
    <w:rsid w:val="005D7BA2"/>
    <w:rsid w:val="005E36C2"/>
    <w:rsid w:val="005E4AF4"/>
    <w:rsid w:val="005F387E"/>
    <w:rsid w:val="005F3FEA"/>
    <w:rsid w:val="005F73CF"/>
    <w:rsid w:val="006000EB"/>
    <w:rsid w:val="00601E0B"/>
    <w:rsid w:val="0060258B"/>
    <w:rsid w:val="00610EF9"/>
    <w:rsid w:val="00612F4F"/>
    <w:rsid w:val="006134A9"/>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561E"/>
    <w:rsid w:val="00666331"/>
    <w:rsid w:val="00666634"/>
    <w:rsid w:val="00671692"/>
    <w:rsid w:val="00675E20"/>
    <w:rsid w:val="00676679"/>
    <w:rsid w:val="00683C89"/>
    <w:rsid w:val="00691B53"/>
    <w:rsid w:val="006954A2"/>
    <w:rsid w:val="00697D0B"/>
    <w:rsid w:val="006A12BA"/>
    <w:rsid w:val="006A4739"/>
    <w:rsid w:val="006A66A1"/>
    <w:rsid w:val="006A7492"/>
    <w:rsid w:val="006B032D"/>
    <w:rsid w:val="006B2395"/>
    <w:rsid w:val="006B40AC"/>
    <w:rsid w:val="006B4CF9"/>
    <w:rsid w:val="006B5DA9"/>
    <w:rsid w:val="006B797C"/>
    <w:rsid w:val="006B7AC8"/>
    <w:rsid w:val="006C1736"/>
    <w:rsid w:val="006C329B"/>
    <w:rsid w:val="006C6303"/>
    <w:rsid w:val="006D550F"/>
    <w:rsid w:val="006D6146"/>
    <w:rsid w:val="006D7F7E"/>
    <w:rsid w:val="006E0CFF"/>
    <w:rsid w:val="006F0D92"/>
    <w:rsid w:val="006F125B"/>
    <w:rsid w:val="006F267D"/>
    <w:rsid w:val="0070011E"/>
    <w:rsid w:val="00701CAB"/>
    <w:rsid w:val="007023BB"/>
    <w:rsid w:val="00704DD7"/>
    <w:rsid w:val="00707563"/>
    <w:rsid w:val="00715F61"/>
    <w:rsid w:val="00722132"/>
    <w:rsid w:val="007228F7"/>
    <w:rsid w:val="0072348C"/>
    <w:rsid w:val="0072354E"/>
    <w:rsid w:val="00724A37"/>
    <w:rsid w:val="007303C3"/>
    <w:rsid w:val="00731188"/>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3E5D"/>
    <w:rsid w:val="00767740"/>
    <w:rsid w:val="00767B5E"/>
    <w:rsid w:val="00770064"/>
    <w:rsid w:val="00775460"/>
    <w:rsid w:val="00777EE6"/>
    <w:rsid w:val="00782EEA"/>
    <w:rsid w:val="00786CA4"/>
    <w:rsid w:val="00787D23"/>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651F"/>
    <w:rsid w:val="007B7BB5"/>
    <w:rsid w:val="007C1C53"/>
    <w:rsid w:val="007C284C"/>
    <w:rsid w:val="007C4B82"/>
    <w:rsid w:val="007C74BB"/>
    <w:rsid w:val="007C7F64"/>
    <w:rsid w:val="007D0A95"/>
    <w:rsid w:val="007D0EB5"/>
    <w:rsid w:val="007D456E"/>
    <w:rsid w:val="007D5837"/>
    <w:rsid w:val="007D7AB7"/>
    <w:rsid w:val="007E4904"/>
    <w:rsid w:val="007E4CB5"/>
    <w:rsid w:val="007E4DAE"/>
    <w:rsid w:val="007F066B"/>
    <w:rsid w:val="007F4658"/>
    <w:rsid w:val="007F4EAB"/>
    <w:rsid w:val="007F5B16"/>
    <w:rsid w:val="007F7C9D"/>
    <w:rsid w:val="008033C4"/>
    <w:rsid w:val="00806731"/>
    <w:rsid w:val="00806C88"/>
    <w:rsid w:val="0081034E"/>
    <w:rsid w:val="00810806"/>
    <w:rsid w:val="00815882"/>
    <w:rsid w:val="00820454"/>
    <w:rsid w:val="00822AC7"/>
    <w:rsid w:val="00822E86"/>
    <w:rsid w:val="008344F6"/>
    <w:rsid w:val="0083510F"/>
    <w:rsid w:val="00837BF3"/>
    <w:rsid w:val="008415DE"/>
    <w:rsid w:val="008420DE"/>
    <w:rsid w:val="00845865"/>
    <w:rsid w:val="0084799B"/>
    <w:rsid w:val="00850C90"/>
    <w:rsid w:val="00851209"/>
    <w:rsid w:val="0085171F"/>
    <w:rsid w:val="00856A10"/>
    <w:rsid w:val="00864977"/>
    <w:rsid w:val="008658A1"/>
    <w:rsid w:val="0086716A"/>
    <w:rsid w:val="00870613"/>
    <w:rsid w:val="0087380F"/>
    <w:rsid w:val="0087648F"/>
    <w:rsid w:val="00876612"/>
    <w:rsid w:val="0087718C"/>
    <w:rsid w:val="00882BB1"/>
    <w:rsid w:val="008837AC"/>
    <w:rsid w:val="008909DC"/>
    <w:rsid w:val="00894255"/>
    <w:rsid w:val="008945AD"/>
    <w:rsid w:val="00894689"/>
    <w:rsid w:val="00896D92"/>
    <w:rsid w:val="008A0645"/>
    <w:rsid w:val="008A1C02"/>
    <w:rsid w:val="008A370D"/>
    <w:rsid w:val="008A37BF"/>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4DF9"/>
    <w:rsid w:val="008E5AFF"/>
    <w:rsid w:val="008E7031"/>
    <w:rsid w:val="008E77DE"/>
    <w:rsid w:val="008F040C"/>
    <w:rsid w:val="008F07A3"/>
    <w:rsid w:val="008F3322"/>
    <w:rsid w:val="008F3519"/>
    <w:rsid w:val="008F3A0D"/>
    <w:rsid w:val="008F78AD"/>
    <w:rsid w:val="009001B6"/>
    <w:rsid w:val="00900E1B"/>
    <w:rsid w:val="0090131F"/>
    <w:rsid w:val="00907683"/>
    <w:rsid w:val="009132B7"/>
    <w:rsid w:val="00916A2C"/>
    <w:rsid w:val="00917DBD"/>
    <w:rsid w:val="009233EE"/>
    <w:rsid w:val="00930B1A"/>
    <w:rsid w:val="00932612"/>
    <w:rsid w:val="009327DC"/>
    <w:rsid w:val="009338D9"/>
    <w:rsid w:val="009339BD"/>
    <w:rsid w:val="009356CF"/>
    <w:rsid w:val="00935C29"/>
    <w:rsid w:val="0094129C"/>
    <w:rsid w:val="00945E53"/>
    <w:rsid w:val="009460AA"/>
    <w:rsid w:val="00951978"/>
    <w:rsid w:val="00952C8B"/>
    <w:rsid w:val="00961A4A"/>
    <w:rsid w:val="009661DE"/>
    <w:rsid w:val="00972C7C"/>
    <w:rsid w:val="009776F4"/>
    <w:rsid w:val="00982DA2"/>
    <w:rsid w:val="00983C25"/>
    <w:rsid w:val="0098466D"/>
    <w:rsid w:val="009856B7"/>
    <w:rsid w:val="009859D6"/>
    <w:rsid w:val="00985C86"/>
    <w:rsid w:val="009A4E62"/>
    <w:rsid w:val="009A5FC3"/>
    <w:rsid w:val="009B555E"/>
    <w:rsid w:val="009B621D"/>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2A88"/>
    <w:rsid w:val="00A04012"/>
    <w:rsid w:val="00A046FA"/>
    <w:rsid w:val="00A0562E"/>
    <w:rsid w:val="00A0726D"/>
    <w:rsid w:val="00A073AE"/>
    <w:rsid w:val="00A12204"/>
    <w:rsid w:val="00A12750"/>
    <w:rsid w:val="00A13CB0"/>
    <w:rsid w:val="00A1561F"/>
    <w:rsid w:val="00A16544"/>
    <w:rsid w:val="00A1736F"/>
    <w:rsid w:val="00A30BF5"/>
    <w:rsid w:val="00A31BE6"/>
    <w:rsid w:val="00A32FBB"/>
    <w:rsid w:val="00A3332E"/>
    <w:rsid w:val="00A40068"/>
    <w:rsid w:val="00A40BE9"/>
    <w:rsid w:val="00A428EE"/>
    <w:rsid w:val="00A443C2"/>
    <w:rsid w:val="00A4478A"/>
    <w:rsid w:val="00A44852"/>
    <w:rsid w:val="00A50502"/>
    <w:rsid w:val="00A5087B"/>
    <w:rsid w:val="00A53409"/>
    <w:rsid w:val="00A53796"/>
    <w:rsid w:val="00A53848"/>
    <w:rsid w:val="00A56945"/>
    <w:rsid w:val="00A56A6E"/>
    <w:rsid w:val="00A57CD3"/>
    <w:rsid w:val="00A57D04"/>
    <w:rsid w:val="00A60A26"/>
    <w:rsid w:val="00A61598"/>
    <w:rsid w:val="00A61777"/>
    <w:rsid w:val="00A62C28"/>
    <w:rsid w:val="00A63646"/>
    <w:rsid w:val="00A63914"/>
    <w:rsid w:val="00A66965"/>
    <w:rsid w:val="00A84A99"/>
    <w:rsid w:val="00A84F46"/>
    <w:rsid w:val="00A85E87"/>
    <w:rsid w:val="00A86AEA"/>
    <w:rsid w:val="00A871F4"/>
    <w:rsid w:val="00A9431A"/>
    <w:rsid w:val="00A95988"/>
    <w:rsid w:val="00A959DF"/>
    <w:rsid w:val="00A97A1B"/>
    <w:rsid w:val="00AA2927"/>
    <w:rsid w:val="00AB2CB8"/>
    <w:rsid w:val="00AB4617"/>
    <w:rsid w:val="00AB4816"/>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3DE4"/>
    <w:rsid w:val="00AF4231"/>
    <w:rsid w:val="00B00B0E"/>
    <w:rsid w:val="00B00B26"/>
    <w:rsid w:val="00B015DB"/>
    <w:rsid w:val="00B02385"/>
    <w:rsid w:val="00B02F9D"/>
    <w:rsid w:val="00B05766"/>
    <w:rsid w:val="00B10347"/>
    <w:rsid w:val="00B13048"/>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1DD7"/>
    <w:rsid w:val="00B52AF0"/>
    <w:rsid w:val="00B53D5F"/>
    <w:rsid w:val="00B54051"/>
    <w:rsid w:val="00B561BD"/>
    <w:rsid w:val="00B56E03"/>
    <w:rsid w:val="00B62765"/>
    <w:rsid w:val="00B65DF5"/>
    <w:rsid w:val="00B7679F"/>
    <w:rsid w:val="00B77159"/>
    <w:rsid w:val="00B8080B"/>
    <w:rsid w:val="00B82223"/>
    <w:rsid w:val="00B83D6D"/>
    <w:rsid w:val="00B87BA5"/>
    <w:rsid w:val="00B87C39"/>
    <w:rsid w:val="00B93891"/>
    <w:rsid w:val="00B9562D"/>
    <w:rsid w:val="00BA21DA"/>
    <w:rsid w:val="00BA2B60"/>
    <w:rsid w:val="00BA3C93"/>
    <w:rsid w:val="00BA4665"/>
    <w:rsid w:val="00BA7FD7"/>
    <w:rsid w:val="00BB02B2"/>
    <w:rsid w:val="00BB1681"/>
    <w:rsid w:val="00BB2FB2"/>
    <w:rsid w:val="00BB3304"/>
    <w:rsid w:val="00BB6551"/>
    <w:rsid w:val="00BC1771"/>
    <w:rsid w:val="00BC4A10"/>
    <w:rsid w:val="00BD30F4"/>
    <w:rsid w:val="00BD3446"/>
    <w:rsid w:val="00BD59CF"/>
    <w:rsid w:val="00BE1312"/>
    <w:rsid w:val="00BE1F1B"/>
    <w:rsid w:val="00BE3F89"/>
    <w:rsid w:val="00BE47B5"/>
    <w:rsid w:val="00BE4F5C"/>
    <w:rsid w:val="00BE5F8F"/>
    <w:rsid w:val="00BE5FCE"/>
    <w:rsid w:val="00C0079E"/>
    <w:rsid w:val="00C0572A"/>
    <w:rsid w:val="00C13EBD"/>
    <w:rsid w:val="00C1631B"/>
    <w:rsid w:val="00C163AB"/>
    <w:rsid w:val="00C170F0"/>
    <w:rsid w:val="00C25962"/>
    <w:rsid w:val="00C25FA6"/>
    <w:rsid w:val="00C3099D"/>
    <w:rsid w:val="00C33011"/>
    <w:rsid w:val="00C343A2"/>
    <w:rsid w:val="00C362C1"/>
    <w:rsid w:val="00C41950"/>
    <w:rsid w:val="00C42C3B"/>
    <w:rsid w:val="00C44BC0"/>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84560"/>
    <w:rsid w:val="00C86679"/>
    <w:rsid w:val="00C8792F"/>
    <w:rsid w:val="00C90472"/>
    <w:rsid w:val="00C91D6E"/>
    <w:rsid w:val="00C93DAC"/>
    <w:rsid w:val="00CA489E"/>
    <w:rsid w:val="00CB0279"/>
    <w:rsid w:val="00CB666B"/>
    <w:rsid w:val="00CB734B"/>
    <w:rsid w:val="00CC058C"/>
    <w:rsid w:val="00CC34F5"/>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442A"/>
    <w:rsid w:val="00D12A7B"/>
    <w:rsid w:val="00D12ADB"/>
    <w:rsid w:val="00D14A12"/>
    <w:rsid w:val="00D15E63"/>
    <w:rsid w:val="00D25A39"/>
    <w:rsid w:val="00D27CFA"/>
    <w:rsid w:val="00D310FA"/>
    <w:rsid w:val="00D325C6"/>
    <w:rsid w:val="00D34CD3"/>
    <w:rsid w:val="00D37213"/>
    <w:rsid w:val="00D4360D"/>
    <w:rsid w:val="00D5607F"/>
    <w:rsid w:val="00D57458"/>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D0081"/>
    <w:rsid w:val="00DD4C07"/>
    <w:rsid w:val="00DD577D"/>
    <w:rsid w:val="00DD5ADC"/>
    <w:rsid w:val="00DE1093"/>
    <w:rsid w:val="00DE4EFA"/>
    <w:rsid w:val="00DE5520"/>
    <w:rsid w:val="00DE563D"/>
    <w:rsid w:val="00DE7AB5"/>
    <w:rsid w:val="00DE7B49"/>
    <w:rsid w:val="00DF0152"/>
    <w:rsid w:val="00DF1958"/>
    <w:rsid w:val="00DF7F4D"/>
    <w:rsid w:val="00E04818"/>
    <w:rsid w:val="00E06442"/>
    <w:rsid w:val="00E06952"/>
    <w:rsid w:val="00E11E61"/>
    <w:rsid w:val="00E157B2"/>
    <w:rsid w:val="00E16055"/>
    <w:rsid w:val="00E2332D"/>
    <w:rsid w:val="00E23993"/>
    <w:rsid w:val="00E2574F"/>
    <w:rsid w:val="00E25951"/>
    <w:rsid w:val="00E25B8C"/>
    <w:rsid w:val="00E30BB4"/>
    <w:rsid w:val="00E31CF6"/>
    <w:rsid w:val="00E34A4A"/>
    <w:rsid w:val="00E35AFC"/>
    <w:rsid w:val="00E41D39"/>
    <w:rsid w:val="00E44852"/>
    <w:rsid w:val="00E50A02"/>
    <w:rsid w:val="00E5295B"/>
    <w:rsid w:val="00E54106"/>
    <w:rsid w:val="00E54697"/>
    <w:rsid w:val="00E57A08"/>
    <w:rsid w:val="00E60B55"/>
    <w:rsid w:val="00E63631"/>
    <w:rsid w:val="00E64A81"/>
    <w:rsid w:val="00E64C2A"/>
    <w:rsid w:val="00E65C85"/>
    <w:rsid w:val="00E66199"/>
    <w:rsid w:val="00E70526"/>
    <w:rsid w:val="00E754B4"/>
    <w:rsid w:val="00E755EC"/>
    <w:rsid w:val="00E7624D"/>
    <w:rsid w:val="00E763D4"/>
    <w:rsid w:val="00E81724"/>
    <w:rsid w:val="00E819A4"/>
    <w:rsid w:val="00E833FA"/>
    <w:rsid w:val="00E84B74"/>
    <w:rsid w:val="00E87066"/>
    <w:rsid w:val="00E94A51"/>
    <w:rsid w:val="00E966BF"/>
    <w:rsid w:val="00EA0C04"/>
    <w:rsid w:val="00EA3D42"/>
    <w:rsid w:val="00EA55B4"/>
    <w:rsid w:val="00EA6B1B"/>
    <w:rsid w:val="00EA7D2B"/>
    <w:rsid w:val="00EB1CBD"/>
    <w:rsid w:val="00EB3A34"/>
    <w:rsid w:val="00EB3C3F"/>
    <w:rsid w:val="00EC04F1"/>
    <w:rsid w:val="00EC237F"/>
    <w:rsid w:val="00EC2A9A"/>
    <w:rsid w:val="00EC573A"/>
    <w:rsid w:val="00ED0DD6"/>
    <w:rsid w:val="00ED35C8"/>
    <w:rsid w:val="00ED3968"/>
    <w:rsid w:val="00ED7323"/>
    <w:rsid w:val="00EE28F3"/>
    <w:rsid w:val="00EE50D1"/>
    <w:rsid w:val="00EE7614"/>
    <w:rsid w:val="00EF5110"/>
    <w:rsid w:val="00EF5890"/>
    <w:rsid w:val="00EF76BA"/>
    <w:rsid w:val="00F0231A"/>
    <w:rsid w:val="00F03463"/>
    <w:rsid w:val="00F036B7"/>
    <w:rsid w:val="00F0443E"/>
    <w:rsid w:val="00F0700F"/>
    <w:rsid w:val="00F07F1F"/>
    <w:rsid w:val="00F10411"/>
    <w:rsid w:val="00F10A9A"/>
    <w:rsid w:val="00F11B2D"/>
    <w:rsid w:val="00F121C2"/>
    <w:rsid w:val="00F1485B"/>
    <w:rsid w:val="00F15882"/>
    <w:rsid w:val="00F170C7"/>
    <w:rsid w:val="00F171E0"/>
    <w:rsid w:val="00F20BD3"/>
    <w:rsid w:val="00F2722C"/>
    <w:rsid w:val="00F322E9"/>
    <w:rsid w:val="00F3231B"/>
    <w:rsid w:val="00F33808"/>
    <w:rsid w:val="00F373A5"/>
    <w:rsid w:val="00F37864"/>
    <w:rsid w:val="00F404F9"/>
    <w:rsid w:val="00F44B0A"/>
    <w:rsid w:val="00F45979"/>
    <w:rsid w:val="00F47559"/>
    <w:rsid w:val="00F50B30"/>
    <w:rsid w:val="00F51F5F"/>
    <w:rsid w:val="00F52D75"/>
    <w:rsid w:val="00F55156"/>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979B5"/>
    <w:rsid w:val="00FA31B1"/>
    <w:rsid w:val="00FA3320"/>
    <w:rsid w:val="00FA3C7F"/>
    <w:rsid w:val="00FA6246"/>
    <w:rsid w:val="00FB24ED"/>
    <w:rsid w:val="00FB3304"/>
    <w:rsid w:val="00FB5005"/>
    <w:rsid w:val="00FB60FE"/>
    <w:rsid w:val="00FB74E2"/>
    <w:rsid w:val="00FB778B"/>
    <w:rsid w:val="00FC6183"/>
    <w:rsid w:val="00FD5614"/>
    <w:rsid w:val="00FD5E78"/>
    <w:rsid w:val="00FE0BE1"/>
    <w:rsid w:val="00FE11BB"/>
    <w:rsid w:val="00FE1DE9"/>
    <w:rsid w:val="00FE36AF"/>
    <w:rsid w:val="00FE39C2"/>
    <w:rsid w:val="00FE3C32"/>
    <w:rsid w:val="00FE64AE"/>
    <w:rsid w:val="00FF49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1DDB61-B72D-4508-A4CE-1F4687431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52D1E0AB</Template>
  <TotalTime>0</TotalTime>
  <Pages>15</Pages>
  <Words>3054</Words>
  <Characters>17411</Characters>
  <Application>Microsoft Office Word</Application>
  <DocSecurity>0</DocSecurity>
  <Lines>145</Lines>
  <Paragraphs>40</Paragraphs>
  <ScaleCrop>false</ScaleCrop>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2016-05-20T10:00:00Z</dcterms:created>
  <dcterms:modified xsi:type="dcterms:W3CDTF">2016-05-20T10:00:00Z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8588691</vt:lpwstr>
  </property>
</Properties>
</file>