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49F92EB" wp14:editId="48D3F61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695D84F" wp14:editId="3D980865">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3E02A7"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F78AD">
            <w:t>4</w:t>
          </w:r>
          <w:r w:rsidR="000474DF">
            <w:t xml:space="preserve"> </w:t>
          </w:r>
          <w:r w:rsidR="00185BA5">
            <w:t>–</w:t>
          </w:r>
          <w:r w:rsidR="000474DF">
            <w:t xml:space="preserve"> </w:t>
          </w:r>
          <w:r w:rsidR="008F78AD">
            <w:t>Value of imputation credits</w:t>
          </w:r>
        </w:p>
        <w:p w:rsidR="000A6C7B" w:rsidRPr="00327A1E" w:rsidRDefault="00234C46"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936155"/>
      <w:r>
        <w:lastRenderedPageBreak/>
        <w:t>Note</w:t>
      </w:r>
      <w:bookmarkEnd w:id="2"/>
      <w:bookmarkEnd w:id="3"/>
      <w:bookmarkEnd w:id="4"/>
    </w:p>
    <w:p w:rsidR="00761454" w:rsidRDefault="00761454" w:rsidP="00761454">
      <w:pPr>
        <w:numPr>
          <w:ilvl w:val="0"/>
          <w:numId w:val="24"/>
        </w:numPr>
      </w:pPr>
      <w:r>
        <w:t xml:space="preserve">This </w:t>
      </w:r>
      <w:r w:rsidR="00563E21">
        <w:t>attachment</w:t>
      </w:r>
      <w:r>
        <w:t xml:space="preserve"> forms part of the AER's </w:t>
      </w:r>
      <w:r w:rsidR="00DB4E34">
        <w:t>final</w:t>
      </w:r>
      <w:r w:rsidR="000474DF">
        <w:t xml:space="preserve"> </w:t>
      </w:r>
      <w:r>
        <w:t xml:space="preserve">decision on </w:t>
      </w:r>
      <w:r w:rsidR="003E02A7">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93615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46877" w:rsidRDefault="00746877">
          <w:pPr>
            <w:pStyle w:val="TOC1"/>
            <w:rPr>
              <w:rFonts w:asciiTheme="minorHAnsi" w:eastAsiaTheme="minorEastAsia" w:hAnsiTheme="minorHAnsi"/>
              <w:b w:val="0"/>
              <w:color w:val="auto"/>
              <w:sz w:val="22"/>
              <w:lang w:val="en-AU" w:eastAsia="en-AU"/>
            </w:rPr>
          </w:pPr>
          <w:r>
            <w:fldChar w:fldCharType="begin"/>
          </w:r>
          <w:r>
            <w:instrText xml:space="preserve"> TOC \o "1-2" \h \z \u \t "Heading 3,3,Heading 7,1,Heading 8,2" </w:instrText>
          </w:r>
          <w:r>
            <w:fldChar w:fldCharType="separate"/>
          </w:r>
          <w:hyperlink w:anchor="_Toc451936155" w:history="1">
            <w:r w:rsidRPr="00FE1ED7">
              <w:rPr>
                <w:rStyle w:val="Hyperlink"/>
              </w:rPr>
              <w:t>Note</w:t>
            </w:r>
            <w:r>
              <w:rPr>
                <w:webHidden/>
              </w:rPr>
              <w:tab/>
            </w:r>
            <w:r>
              <w:rPr>
                <w:webHidden/>
              </w:rPr>
              <w:fldChar w:fldCharType="begin"/>
            </w:r>
            <w:r>
              <w:rPr>
                <w:webHidden/>
              </w:rPr>
              <w:instrText xml:space="preserve"> PAGEREF _Toc451936155 \h </w:instrText>
            </w:r>
            <w:r>
              <w:rPr>
                <w:webHidden/>
              </w:rPr>
            </w:r>
            <w:r>
              <w:rPr>
                <w:webHidden/>
              </w:rPr>
              <w:fldChar w:fldCharType="separate"/>
            </w:r>
            <w:r>
              <w:rPr>
                <w:webHidden/>
              </w:rPr>
              <w:t>4-2</w:t>
            </w:r>
            <w:r>
              <w:rPr>
                <w:webHidden/>
              </w:rPr>
              <w:fldChar w:fldCharType="end"/>
            </w:r>
          </w:hyperlink>
        </w:p>
        <w:p w:rsidR="00746877" w:rsidRDefault="00BA5C67">
          <w:pPr>
            <w:pStyle w:val="TOC1"/>
            <w:rPr>
              <w:rFonts w:asciiTheme="minorHAnsi" w:eastAsiaTheme="minorEastAsia" w:hAnsiTheme="minorHAnsi"/>
              <w:b w:val="0"/>
              <w:color w:val="auto"/>
              <w:sz w:val="22"/>
              <w:lang w:val="en-AU" w:eastAsia="en-AU"/>
            </w:rPr>
          </w:pPr>
          <w:hyperlink w:anchor="_Toc451936156" w:history="1">
            <w:r w:rsidR="00746877" w:rsidRPr="00FE1ED7">
              <w:rPr>
                <w:rStyle w:val="Hyperlink"/>
              </w:rPr>
              <w:t>Contents</w:t>
            </w:r>
            <w:r w:rsidR="00746877">
              <w:rPr>
                <w:webHidden/>
              </w:rPr>
              <w:tab/>
            </w:r>
            <w:r w:rsidR="00746877">
              <w:rPr>
                <w:webHidden/>
              </w:rPr>
              <w:fldChar w:fldCharType="begin"/>
            </w:r>
            <w:r w:rsidR="00746877">
              <w:rPr>
                <w:webHidden/>
              </w:rPr>
              <w:instrText xml:space="preserve"> PAGEREF _Toc451936156 \h </w:instrText>
            </w:r>
            <w:r w:rsidR="00746877">
              <w:rPr>
                <w:webHidden/>
              </w:rPr>
            </w:r>
            <w:r w:rsidR="00746877">
              <w:rPr>
                <w:webHidden/>
              </w:rPr>
              <w:fldChar w:fldCharType="separate"/>
            </w:r>
            <w:r w:rsidR="00746877">
              <w:rPr>
                <w:webHidden/>
              </w:rPr>
              <w:t>4-3</w:t>
            </w:r>
            <w:r w:rsidR="00746877">
              <w:rPr>
                <w:webHidden/>
              </w:rPr>
              <w:fldChar w:fldCharType="end"/>
            </w:r>
          </w:hyperlink>
        </w:p>
        <w:p w:rsidR="00746877" w:rsidRDefault="00BA5C67">
          <w:pPr>
            <w:pStyle w:val="TOC1"/>
            <w:rPr>
              <w:rFonts w:asciiTheme="minorHAnsi" w:eastAsiaTheme="minorEastAsia" w:hAnsiTheme="minorHAnsi"/>
              <w:b w:val="0"/>
              <w:color w:val="auto"/>
              <w:sz w:val="22"/>
              <w:lang w:val="en-AU" w:eastAsia="en-AU"/>
            </w:rPr>
          </w:pPr>
          <w:hyperlink w:anchor="_Toc451936157" w:history="1">
            <w:r w:rsidR="00746877" w:rsidRPr="00FE1ED7">
              <w:rPr>
                <w:rStyle w:val="Hyperlink"/>
              </w:rPr>
              <w:t>Shortened forms</w:t>
            </w:r>
            <w:r w:rsidR="00746877">
              <w:rPr>
                <w:webHidden/>
              </w:rPr>
              <w:tab/>
            </w:r>
            <w:r w:rsidR="00746877">
              <w:rPr>
                <w:webHidden/>
              </w:rPr>
              <w:fldChar w:fldCharType="begin"/>
            </w:r>
            <w:r w:rsidR="00746877">
              <w:rPr>
                <w:webHidden/>
              </w:rPr>
              <w:instrText xml:space="preserve"> PAGEREF _Toc451936157 \h </w:instrText>
            </w:r>
            <w:r w:rsidR="00746877">
              <w:rPr>
                <w:webHidden/>
              </w:rPr>
            </w:r>
            <w:r w:rsidR="00746877">
              <w:rPr>
                <w:webHidden/>
              </w:rPr>
              <w:fldChar w:fldCharType="separate"/>
            </w:r>
            <w:r w:rsidR="00746877">
              <w:rPr>
                <w:webHidden/>
              </w:rPr>
              <w:t>4-5</w:t>
            </w:r>
            <w:r w:rsidR="00746877">
              <w:rPr>
                <w:webHidden/>
              </w:rPr>
              <w:fldChar w:fldCharType="end"/>
            </w:r>
          </w:hyperlink>
        </w:p>
        <w:p w:rsidR="00746877" w:rsidRDefault="00BA5C67">
          <w:pPr>
            <w:pStyle w:val="TOC1"/>
            <w:rPr>
              <w:rFonts w:asciiTheme="minorHAnsi" w:eastAsiaTheme="minorEastAsia" w:hAnsiTheme="minorHAnsi"/>
              <w:b w:val="0"/>
              <w:color w:val="auto"/>
              <w:sz w:val="22"/>
              <w:lang w:val="en-AU" w:eastAsia="en-AU"/>
            </w:rPr>
          </w:pPr>
          <w:hyperlink w:anchor="_Toc451936158" w:history="1">
            <w:r w:rsidR="00746877" w:rsidRPr="00FE1ED7">
              <w:rPr>
                <w:rStyle w:val="Hyperlink"/>
              </w:rPr>
              <w:t>4</w:t>
            </w:r>
            <w:r w:rsidR="00746877">
              <w:rPr>
                <w:rFonts w:asciiTheme="minorHAnsi" w:eastAsiaTheme="minorEastAsia" w:hAnsiTheme="minorHAnsi"/>
                <w:b w:val="0"/>
                <w:color w:val="auto"/>
                <w:sz w:val="22"/>
                <w:lang w:val="en-AU" w:eastAsia="en-AU"/>
              </w:rPr>
              <w:tab/>
            </w:r>
            <w:r w:rsidR="00746877" w:rsidRPr="00FE1ED7">
              <w:rPr>
                <w:rStyle w:val="Hyperlink"/>
              </w:rPr>
              <w:t>Value of imputation credits</w:t>
            </w:r>
            <w:r w:rsidR="00746877">
              <w:rPr>
                <w:webHidden/>
              </w:rPr>
              <w:tab/>
            </w:r>
            <w:r w:rsidR="00746877">
              <w:rPr>
                <w:webHidden/>
              </w:rPr>
              <w:fldChar w:fldCharType="begin"/>
            </w:r>
            <w:r w:rsidR="00746877">
              <w:rPr>
                <w:webHidden/>
              </w:rPr>
              <w:instrText xml:space="preserve"> PAGEREF _Toc451936158 \h </w:instrText>
            </w:r>
            <w:r w:rsidR="00746877">
              <w:rPr>
                <w:webHidden/>
              </w:rPr>
            </w:r>
            <w:r w:rsidR="00746877">
              <w:rPr>
                <w:webHidden/>
              </w:rPr>
              <w:fldChar w:fldCharType="separate"/>
            </w:r>
            <w:r w:rsidR="00746877">
              <w:rPr>
                <w:webHidden/>
              </w:rPr>
              <w:t>4-7</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59" w:history="1">
            <w:r w:rsidR="00746877" w:rsidRPr="00FE1ED7">
              <w:rPr>
                <w:rStyle w:val="Hyperlink"/>
              </w:rPr>
              <w:t>4.1</w:t>
            </w:r>
            <w:r w:rsidR="00746877">
              <w:rPr>
                <w:rFonts w:asciiTheme="minorHAnsi" w:eastAsiaTheme="minorEastAsia" w:hAnsiTheme="minorHAnsi"/>
                <w:b w:val="0"/>
                <w:color w:val="auto"/>
                <w:sz w:val="22"/>
                <w:lang w:eastAsia="en-AU"/>
              </w:rPr>
              <w:tab/>
            </w:r>
            <w:r w:rsidR="00746877" w:rsidRPr="00FE1ED7">
              <w:rPr>
                <w:rStyle w:val="Hyperlink"/>
              </w:rPr>
              <w:t>Final decision</w:t>
            </w:r>
            <w:r w:rsidR="00746877">
              <w:rPr>
                <w:webHidden/>
              </w:rPr>
              <w:tab/>
            </w:r>
            <w:r w:rsidR="00746877">
              <w:rPr>
                <w:webHidden/>
              </w:rPr>
              <w:fldChar w:fldCharType="begin"/>
            </w:r>
            <w:r w:rsidR="00746877">
              <w:rPr>
                <w:webHidden/>
              </w:rPr>
              <w:instrText xml:space="preserve"> PAGEREF _Toc451936159 \h </w:instrText>
            </w:r>
            <w:r w:rsidR="00746877">
              <w:rPr>
                <w:webHidden/>
              </w:rPr>
            </w:r>
            <w:r w:rsidR="00746877">
              <w:rPr>
                <w:webHidden/>
              </w:rPr>
              <w:fldChar w:fldCharType="separate"/>
            </w:r>
            <w:r w:rsidR="00746877">
              <w:rPr>
                <w:webHidden/>
              </w:rPr>
              <w:t>4-7</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60" w:history="1">
            <w:r w:rsidR="00746877" w:rsidRPr="00FE1ED7">
              <w:rPr>
                <w:rStyle w:val="Hyperlink"/>
              </w:rPr>
              <w:t>4.2</w:t>
            </w:r>
            <w:r w:rsidR="00746877">
              <w:rPr>
                <w:rFonts w:asciiTheme="minorHAnsi" w:eastAsiaTheme="minorEastAsia" w:hAnsiTheme="minorHAnsi"/>
                <w:b w:val="0"/>
                <w:color w:val="auto"/>
                <w:sz w:val="22"/>
                <w:lang w:eastAsia="en-AU"/>
              </w:rPr>
              <w:tab/>
            </w:r>
            <w:r w:rsidR="00746877" w:rsidRPr="00FE1ED7">
              <w:rPr>
                <w:rStyle w:val="Hyperlink"/>
              </w:rPr>
              <w:t>Jemena's revised proposal</w:t>
            </w:r>
            <w:r w:rsidR="00746877">
              <w:rPr>
                <w:webHidden/>
              </w:rPr>
              <w:tab/>
            </w:r>
            <w:r w:rsidR="00746877">
              <w:rPr>
                <w:webHidden/>
              </w:rPr>
              <w:fldChar w:fldCharType="begin"/>
            </w:r>
            <w:r w:rsidR="00746877">
              <w:rPr>
                <w:webHidden/>
              </w:rPr>
              <w:instrText xml:space="preserve"> PAGEREF _Toc451936160 \h </w:instrText>
            </w:r>
            <w:r w:rsidR="00746877">
              <w:rPr>
                <w:webHidden/>
              </w:rPr>
            </w:r>
            <w:r w:rsidR="00746877">
              <w:rPr>
                <w:webHidden/>
              </w:rPr>
              <w:fldChar w:fldCharType="separate"/>
            </w:r>
            <w:r w:rsidR="00746877">
              <w:rPr>
                <w:webHidden/>
              </w:rPr>
              <w:t>4-15</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61" w:history="1">
            <w:r w:rsidR="00746877" w:rsidRPr="00FE1ED7">
              <w:rPr>
                <w:rStyle w:val="Hyperlink"/>
              </w:rPr>
              <w:t>4.3</w:t>
            </w:r>
            <w:r w:rsidR="00746877">
              <w:rPr>
                <w:rFonts w:asciiTheme="minorHAnsi" w:eastAsiaTheme="minorEastAsia" w:hAnsiTheme="minorHAnsi"/>
                <w:b w:val="0"/>
                <w:color w:val="auto"/>
                <w:sz w:val="22"/>
                <w:lang w:eastAsia="en-AU"/>
              </w:rPr>
              <w:tab/>
            </w:r>
            <w:r w:rsidR="00746877" w:rsidRPr="00FE1ED7">
              <w:rPr>
                <w:rStyle w:val="Hyperlink"/>
              </w:rPr>
              <w:t>AER’s assessment approach</w:t>
            </w:r>
            <w:r w:rsidR="00746877">
              <w:rPr>
                <w:webHidden/>
              </w:rPr>
              <w:tab/>
            </w:r>
            <w:r w:rsidR="00746877">
              <w:rPr>
                <w:webHidden/>
              </w:rPr>
              <w:fldChar w:fldCharType="begin"/>
            </w:r>
            <w:r w:rsidR="00746877">
              <w:rPr>
                <w:webHidden/>
              </w:rPr>
              <w:instrText xml:space="preserve"> PAGEREF _Toc451936161 \h </w:instrText>
            </w:r>
            <w:r w:rsidR="00746877">
              <w:rPr>
                <w:webHidden/>
              </w:rPr>
            </w:r>
            <w:r w:rsidR="00746877">
              <w:rPr>
                <w:webHidden/>
              </w:rPr>
              <w:fldChar w:fldCharType="separate"/>
            </w:r>
            <w:r w:rsidR="00746877">
              <w:rPr>
                <w:webHidden/>
              </w:rPr>
              <w:t>4-16</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2" w:history="1">
            <w:r w:rsidR="00746877" w:rsidRPr="00FE1ED7">
              <w:rPr>
                <w:rStyle w:val="Hyperlink"/>
              </w:rPr>
              <w:t>4.3.1</w:t>
            </w:r>
            <w:r w:rsidR="00746877">
              <w:rPr>
                <w:rFonts w:asciiTheme="minorHAnsi" w:eastAsiaTheme="minorEastAsia" w:hAnsiTheme="minorHAnsi"/>
                <w:lang w:eastAsia="en-AU"/>
              </w:rPr>
              <w:tab/>
            </w:r>
            <w:r w:rsidR="00746877" w:rsidRPr="00FE1ED7">
              <w:rPr>
                <w:rStyle w:val="Hyperlink"/>
              </w:rPr>
              <w:t>Requirements of the NEL/NGL and NER/NGR</w:t>
            </w:r>
            <w:r w:rsidR="00746877">
              <w:rPr>
                <w:webHidden/>
              </w:rPr>
              <w:tab/>
            </w:r>
            <w:r w:rsidR="00746877">
              <w:rPr>
                <w:webHidden/>
              </w:rPr>
              <w:fldChar w:fldCharType="begin"/>
            </w:r>
            <w:r w:rsidR="00746877">
              <w:rPr>
                <w:webHidden/>
              </w:rPr>
              <w:instrText xml:space="preserve"> PAGEREF _Toc451936162 \h </w:instrText>
            </w:r>
            <w:r w:rsidR="00746877">
              <w:rPr>
                <w:webHidden/>
              </w:rPr>
            </w:r>
            <w:r w:rsidR="00746877">
              <w:rPr>
                <w:webHidden/>
              </w:rPr>
              <w:fldChar w:fldCharType="separate"/>
            </w:r>
            <w:r w:rsidR="00746877">
              <w:rPr>
                <w:webHidden/>
              </w:rPr>
              <w:t>4-16</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3" w:history="1">
            <w:r w:rsidR="00746877" w:rsidRPr="00FE1ED7">
              <w:rPr>
                <w:rStyle w:val="Hyperlink"/>
              </w:rPr>
              <w:t>4.3.2</w:t>
            </w:r>
            <w:r w:rsidR="00746877">
              <w:rPr>
                <w:rFonts w:asciiTheme="minorHAnsi" w:eastAsiaTheme="minorEastAsia" w:hAnsiTheme="minorHAnsi"/>
                <w:lang w:eastAsia="en-AU"/>
              </w:rPr>
              <w:tab/>
            </w:r>
            <w:r w:rsidR="00746877" w:rsidRPr="00FE1ED7">
              <w:rPr>
                <w:rStyle w:val="Hyperlink"/>
              </w:rPr>
              <w:t>Rate of return Guideline</w:t>
            </w:r>
            <w:r w:rsidR="00746877">
              <w:rPr>
                <w:webHidden/>
              </w:rPr>
              <w:tab/>
            </w:r>
            <w:r w:rsidR="00746877">
              <w:rPr>
                <w:webHidden/>
              </w:rPr>
              <w:fldChar w:fldCharType="begin"/>
            </w:r>
            <w:r w:rsidR="00746877">
              <w:rPr>
                <w:webHidden/>
              </w:rPr>
              <w:instrText xml:space="preserve"> PAGEREF _Toc451936163 \h </w:instrText>
            </w:r>
            <w:r w:rsidR="00746877">
              <w:rPr>
                <w:webHidden/>
              </w:rPr>
            </w:r>
            <w:r w:rsidR="00746877">
              <w:rPr>
                <w:webHidden/>
              </w:rPr>
              <w:fldChar w:fldCharType="separate"/>
            </w:r>
            <w:r w:rsidR="00746877">
              <w:rPr>
                <w:webHidden/>
              </w:rPr>
              <w:t>4-19</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4" w:history="1">
            <w:r w:rsidR="00746877" w:rsidRPr="00FE1ED7">
              <w:rPr>
                <w:rStyle w:val="Hyperlink"/>
              </w:rPr>
              <w:t>4.3.3</w:t>
            </w:r>
            <w:r w:rsidR="00746877">
              <w:rPr>
                <w:rFonts w:asciiTheme="minorHAnsi" w:eastAsiaTheme="minorEastAsia" w:hAnsiTheme="minorHAnsi"/>
                <w:lang w:eastAsia="en-AU"/>
              </w:rPr>
              <w:tab/>
            </w:r>
            <w:r w:rsidR="00746877" w:rsidRPr="00FE1ED7">
              <w:rPr>
                <w:rStyle w:val="Hyperlink"/>
              </w:rPr>
              <w:t>Definition of a benchmark efficient entity</w:t>
            </w:r>
            <w:r w:rsidR="00746877">
              <w:rPr>
                <w:webHidden/>
              </w:rPr>
              <w:tab/>
            </w:r>
            <w:r w:rsidR="00746877">
              <w:rPr>
                <w:webHidden/>
              </w:rPr>
              <w:fldChar w:fldCharType="begin"/>
            </w:r>
            <w:r w:rsidR="00746877">
              <w:rPr>
                <w:webHidden/>
              </w:rPr>
              <w:instrText xml:space="preserve"> PAGEREF _Toc451936164 \h </w:instrText>
            </w:r>
            <w:r w:rsidR="00746877">
              <w:rPr>
                <w:webHidden/>
              </w:rPr>
            </w:r>
            <w:r w:rsidR="00746877">
              <w:rPr>
                <w:webHidden/>
              </w:rPr>
              <w:fldChar w:fldCharType="separate"/>
            </w:r>
            <w:r w:rsidR="00746877">
              <w:rPr>
                <w:webHidden/>
              </w:rPr>
              <w:t>4-19</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5" w:history="1">
            <w:r w:rsidR="00746877" w:rsidRPr="00FE1ED7">
              <w:rPr>
                <w:rStyle w:val="Hyperlink"/>
              </w:rPr>
              <w:t>4.3.4</w:t>
            </w:r>
            <w:r w:rsidR="00746877">
              <w:rPr>
                <w:rFonts w:asciiTheme="minorHAnsi" w:eastAsiaTheme="minorEastAsia" w:hAnsiTheme="minorHAnsi"/>
                <w:lang w:eastAsia="en-AU"/>
              </w:rPr>
              <w:tab/>
            </w:r>
            <w:r w:rsidR="00746877" w:rsidRPr="00FE1ED7">
              <w:rPr>
                <w:rStyle w:val="Hyperlink"/>
              </w:rPr>
              <w:t>Interrelationships</w:t>
            </w:r>
            <w:r w:rsidR="00746877">
              <w:rPr>
                <w:webHidden/>
              </w:rPr>
              <w:tab/>
            </w:r>
            <w:r w:rsidR="00746877">
              <w:rPr>
                <w:webHidden/>
              </w:rPr>
              <w:fldChar w:fldCharType="begin"/>
            </w:r>
            <w:r w:rsidR="00746877">
              <w:rPr>
                <w:webHidden/>
              </w:rPr>
              <w:instrText xml:space="preserve"> PAGEREF _Toc451936165 \h </w:instrText>
            </w:r>
            <w:r w:rsidR="00746877">
              <w:rPr>
                <w:webHidden/>
              </w:rPr>
            </w:r>
            <w:r w:rsidR="00746877">
              <w:rPr>
                <w:webHidden/>
              </w:rPr>
              <w:fldChar w:fldCharType="separate"/>
            </w:r>
            <w:r w:rsidR="00746877">
              <w:rPr>
                <w:webHidden/>
              </w:rPr>
              <w:t>4-20</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6" w:history="1">
            <w:r w:rsidR="00746877" w:rsidRPr="00FE1ED7">
              <w:rPr>
                <w:rStyle w:val="Hyperlink"/>
              </w:rPr>
              <w:t>4.3.5</w:t>
            </w:r>
            <w:r w:rsidR="00746877">
              <w:rPr>
                <w:rFonts w:asciiTheme="minorHAnsi" w:eastAsiaTheme="minorEastAsia" w:hAnsiTheme="minorHAnsi"/>
                <w:lang w:eastAsia="en-AU"/>
              </w:rPr>
              <w:tab/>
            </w:r>
            <w:r w:rsidR="00746877" w:rsidRPr="00FE1ED7">
              <w:rPr>
                <w:rStyle w:val="Hyperlink"/>
              </w:rPr>
              <w:t>Expert reports</w:t>
            </w:r>
            <w:r w:rsidR="00746877">
              <w:rPr>
                <w:webHidden/>
              </w:rPr>
              <w:tab/>
            </w:r>
            <w:r w:rsidR="00746877">
              <w:rPr>
                <w:webHidden/>
              </w:rPr>
              <w:fldChar w:fldCharType="begin"/>
            </w:r>
            <w:r w:rsidR="00746877">
              <w:rPr>
                <w:webHidden/>
              </w:rPr>
              <w:instrText xml:space="preserve"> PAGEREF _Toc451936166 \h </w:instrText>
            </w:r>
            <w:r w:rsidR="00746877">
              <w:rPr>
                <w:webHidden/>
              </w:rPr>
            </w:r>
            <w:r w:rsidR="00746877">
              <w:rPr>
                <w:webHidden/>
              </w:rPr>
              <w:fldChar w:fldCharType="separate"/>
            </w:r>
            <w:r w:rsidR="00746877">
              <w:rPr>
                <w:webHidden/>
              </w:rPr>
              <w:t>4-21</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7" w:history="1">
            <w:r w:rsidR="00746877" w:rsidRPr="00FE1ED7">
              <w:rPr>
                <w:rStyle w:val="Hyperlink"/>
              </w:rPr>
              <w:t>4.3.6</w:t>
            </w:r>
            <w:r w:rsidR="00746877">
              <w:rPr>
                <w:rFonts w:asciiTheme="minorHAnsi" w:eastAsiaTheme="minorEastAsia" w:hAnsiTheme="minorHAnsi"/>
                <w:lang w:eastAsia="en-AU"/>
              </w:rPr>
              <w:tab/>
            </w:r>
            <w:r w:rsidR="00746877" w:rsidRPr="00FE1ED7">
              <w:rPr>
                <w:rStyle w:val="Hyperlink"/>
              </w:rPr>
              <w:t>Approach to determining the value of imputation credits</w:t>
            </w:r>
            <w:r w:rsidR="00746877">
              <w:rPr>
                <w:webHidden/>
              </w:rPr>
              <w:tab/>
            </w:r>
            <w:r w:rsidR="00746877">
              <w:rPr>
                <w:webHidden/>
              </w:rPr>
              <w:fldChar w:fldCharType="begin"/>
            </w:r>
            <w:r w:rsidR="00746877">
              <w:rPr>
                <w:webHidden/>
              </w:rPr>
              <w:instrText xml:space="preserve"> PAGEREF _Toc451936167 \h </w:instrText>
            </w:r>
            <w:r w:rsidR="00746877">
              <w:rPr>
                <w:webHidden/>
              </w:rPr>
            </w:r>
            <w:r w:rsidR="00746877">
              <w:rPr>
                <w:webHidden/>
              </w:rPr>
              <w:fldChar w:fldCharType="separate"/>
            </w:r>
            <w:r w:rsidR="00746877">
              <w:rPr>
                <w:webHidden/>
              </w:rPr>
              <w:t>4-22</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68" w:history="1">
            <w:r w:rsidR="00746877" w:rsidRPr="00FE1ED7">
              <w:rPr>
                <w:rStyle w:val="Hyperlink"/>
              </w:rPr>
              <w:t>4.4</w:t>
            </w:r>
            <w:r w:rsidR="00746877">
              <w:rPr>
                <w:rFonts w:asciiTheme="minorHAnsi" w:eastAsiaTheme="minorEastAsia" w:hAnsiTheme="minorHAnsi"/>
                <w:b w:val="0"/>
                <w:color w:val="auto"/>
                <w:sz w:val="22"/>
                <w:lang w:eastAsia="en-AU"/>
              </w:rPr>
              <w:tab/>
            </w:r>
            <w:r w:rsidR="00746877" w:rsidRPr="00FE1ED7">
              <w:rPr>
                <w:rStyle w:val="Hyperlink"/>
              </w:rPr>
              <w:t>Reasons for final decision</w:t>
            </w:r>
            <w:r w:rsidR="00746877">
              <w:rPr>
                <w:webHidden/>
              </w:rPr>
              <w:tab/>
            </w:r>
            <w:r w:rsidR="00746877">
              <w:rPr>
                <w:webHidden/>
              </w:rPr>
              <w:fldChar w:fldCharType="begin"/>
            </w:r>
            <w:r w:rsidR="00746877">
              <w:rPr>
                <w:webHidden/>
              </w:rPr>
              <w:instrText xml:space="preserve"> PAGEREF _Toc451936168 \h </w:instrText>
            </w:r>
            <w:r w:rsidR="00746877">
              <w:rPr>
                <w:webHidden/>
              </w:rPr>
            </w:r>
            <w:r w:rsidR="00746877">
              <w:rPr>
                <w:webHidden/>
              </w:rPr>
              <w:fldChar w:fldCharType="separate"/>
            </w:r>
            <w:r w:rsidR="00746877">
              <w:rPr>
                <w:webHidden/>
              </w:rPr>
              <w:t>4-24</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69" w:history="1">
            <w:r w:rsidR="00746877" w:rsidRPr="00FE1ED7">
              <w:rPr>
                <w:rStyle w:val="Hyperlink"/>
              </w:rPr>
              <w:t>4.4.1</w:t>
            </w:r>
            <w:r w:rsidR="00746877">
              <w:rPr>
                <w:rFonts w:asciiTheme="minorHAnsi" w:eastAsiaTheme="minorEastAsia" w:hAnsiTheme="minorHAnsi"/>
                <w:lang w:eastAsia="en-AU"/>
              </w:rPr>
              <w:tab/>
            </w:r>
            <w:r w:rsidR="00746877" w:rsidRPr="00FE1ED7">
              <w:rPr>
                <w:rStyle w:val="Hyperlink"/>
              </w:rPr>
              <w:t>Evidence underlying our estimate of the value of imputation credits</w:t>
            </w:r>
            <w:r w:rsidR="00746877">
              <w:rPr>
                <w:webHidden/>
              </w:rPr>
              <w:tab/>
            </w:r>
            <w:r w:rsidR="00746877">
              <w:rPr>
                <w:webHidden/>
              </w:rPr>
              <w:fldChar w:fldCharType="begin"/>
            </w:r>
            <w:r w:rsidR="00746877">
              <w:rPr>
                <w:webHidden/>
              </w:rPr>
              <w:instrText xml:space="preserve"> PAGEREF _Toc451936169 \h </w:instrText>
            </w:r>
            <w:r w:rsidR="00746877">
              <w:rPr>
                <w:webHidden/>
              </w:rPr>
            </w:r>
            <w:r w:rsidR="00746877">
              <w:rPr>
                <w:webHidden/>
              </w:rPr>
              <w:fldChar w:fldCharType="separate"/>
            </w:r>
            <w:r w:rsidR="00746877">
              <w:rPr>
                <w:webHidden/>
              </w:rPr>
              <w:t>4-29</w:t>
            </w:r>
            <w:r w:rsidR="00746877">
              <w:rPr>
                <w:webHidden/>
              </w:rPr>
              <w:fldChar w:fldCharType="end"/>
            </w:r>
          </w:hyperlink>
        </w:p>
        <w:p w:rsidR="00746877" w:rsidRDefault="00BA5C67">
          <w:pPr>
            <w:pStyle w:val="TOC3"/>
            <w:rPr>
              <w:rFonts w:asciiTheme="minorHAnsi" w:eastAsiaTheme="minorEastAsia" w:hAnsiTheme="minorHAnsi"/>
              <w:lang w:eastAsia="en-AU"/>
            </w:rPr>
          </w:pPr>
          <w:hyperlink w:anchor="_Toc451936170" w:history="1">
            <w:r w:rsidR="00746877" w:rsidRPr="00FE1ED7">
              <w:rPr>
                <w:rStyle w:val="Hyperlink"/>
              </w:rPr>
              <w:t>4.4.2</w:t>
            </w:r>
            <w:r w:rsidR="00746877">
              <w:rPr>
                <w:rFonts w:asciiTheme="minorHAnsi" w:eastAsiaTheme="minorEastAsia" w:hAnsiTheme="minorHAnsi"/>
                <w:lang w:eastAsia="en-AU"/>
              </w:rPr>
              <w:tab/>
            </w:r>
            <w:r w:rsidR="00746877" w:rsidRPr="00FE1ED7">
              <w:rPr>
                <w:rStyle w:val="Hyperlink"/>
              </w:rPr>
              <w:t>Response to submissions by stakeholders</w:t>
            </w:r>
            <w:r w:rsidR="00746877">
              <w:rPr>
                <w:webHidden/>
              </w:rPr>
              <w:tab/>
            </w:r>
            <w:r w:rsidR="00746877">
              <w:rPr>
                <w:webHidden/>
              </w:rPr>
              <w:fldChar w:fldCharType="begin"/>
            </w:r>
            <w:r w:rsidR="00746877">
              <w:rPr>
                <w:webHidden/>
              </w:rPr>
              <w:instrText xml:space="preserve"> PAGEREF _Toc451936170 \h </w:instrText>
            </w:r>
            <w:r w:rsidR="00746877">
              <w:rPr>
                <w:webHidden/>
              </w:rPr>
            </w:r>
            <w:r w:rsidR="00746877">
              <w:rPr>
                <w:webHidden/>
              </w:rPr>
              <w:fldChar w:fldCharType="separate"/>
            </w:r>
            <w:r w:rsidR="00746877">
              <w:rPr>
                <w:webHidden/>
              </w:rPr>
              <w:t>4-40</w:t>
            </w:r>
            <w:r w:rsidR="00746877">
              <w:rPr>
                <w:webHidden/>
              </w:rPr>
              <w:fldChar w:fldCharType="end"/>
            </w:r>
          </w:hyperlink>
        </w:p>
        <w:p w:rsidR="00746877" w:rsidRDefault="00BA5C67">
          <w:pPr>
            <w:pStyle w:val="TOC1"/>
            <w:rPr>
              <w:rFonts w:asciiTheme="minorHAnsi" w:eastAsiaTheme="minorEastAsia" w:hAnsiTheme="minorHAnsi"/>
              <w:b w:val="0"/>
              <w:color w:val="auto"/>
              <w:sz w:val="22"/>
              <w:lang w:val="en-AU" w:eastAsia="en-AU"/>
            </w:rPr>
          </w:pPr>
          <w:hyperlink w:anchor="_Toc451936171" w:history="1">
            <w:r w:rsidR="00746877" w:rsidRPr="00FE1ED7">
              <w:rPr>
                <w:rStyle w:val="Hyperlink"/>
              </w:rPr>
              <w:t>A</w:t>
            </w:r>
            <w:r w:rsidR="00746877">
              <w:rPr>
                <w:rFonts w:asciiTheme="minorHAnsi" w:eastAsiaTheme="minorEastAsia" w:hAnsiTheme="minorHAnsi"/>
                <w:b w:val="0"/>
                <w:color w:val="auto"/>
                <w:sz w:val="22"/>
                <w:lang w:val="en-AU" w:eastAsia="en-AU"/>
              </w:rPr>
              <w:tab/>
            </w:r>
            <w:r w:rsidR="00746877" w:rsidRPr="00FE1ED7">
              <w:rPr>
                <w:rStyle w:val="Hyperlink"/>
              </w:rPr>
              <w:t>Value of imputation credits: Detailed analysis</w:t>
            </w:r>
            <w:r w:rsidR="00746877">
              <w:rPr>
                <w:webHidden/>
              </w:rPr>
              <w:tab/>
            </w:r>
            <w:r w:rsidR="00746877">
              <w:rPr>
                <w:webHidden/>
              </w:rPr>
              <w:fldChar w:fldCharType="begin"/>
            </w:r>
            <w:r w:rsidR="00746877">
              <w:rPr>
                <w:webHidden/>
              </w:rPr>
              <w:instrText xml:space="preserve"> PAGEREF _Toc451936171 \h </w:instrText>
            </w:r>
            <w:r w:rsidR="00746877">
              <w:rPr>
                <w:webHidden/>
              </w:rPr>
            </w:r>
            <w:r w:rsidR="00746877">
              <w:rPr>
                <w:webHidden/>
              </w:rPr>
              <w:fldChar w:fldCharType="separate"/>
            </w:r>
            <w:r w:rsidR="00746877">
              <w:rPr>
                <w:webHidden/>
              </w:rPr>
              <w:t>4-50</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2" w:history="1">
            <w:r w:rsidR="00746877" w:rsidRPr="00FE1ED7">
              <w:rPr>
                <w:rStyle w:val="Hyperlink"/>
              </w:rPr>
              <w:t>A.1</w:t>
            </w:r>
            <w:r w:rsidR="00746877">
              <w:rPr>
                <w:rFonts w:asciiTheme="minorHAnsi" w:eastAsiaTheme="minorEastAsia" w:hAnsiTheme="minorHAnsi"/>
                <w:b w:val="0"/>
                <w:color w:val="auto"/>
                <w:sz w:val="22"/>
                <w:lang w:eastAsia="en-AU"/>
              </w:rPr>
              <w:tab/>
            </w:r>
            <w:r w:rsidR="00746877" w:rsidRPr="00FE1ED7">
              <w:rPr>
                <w:rStyle w:val="Hyperlink"/>
              </w:rPr>
              <w:t>Expert views on the value of imputation credits</w:t>
            </w:r>
            <w:r w:rsidR="00746877">
              <w:rPr>
                <w:webHidden/>
              </w:rPr>
              <w:tab/>
            </w:r>
            <w:r w:rsidR="00746877">
              <w:rPr>
                <w:webHidden/>
              </w:rPr>
              <w:fldChar w:fldCharType="begin"/>
            </w:r>
            <w:r w:rsidR="00746877">
              <w:rPr>
                <w:webHidden/>
              </w:rPr>
              <w:instrText xml:space="preserve"> PAGEREF _Toc451936172 \h </w:instrText>
            </w:r>
            <w:r w:rsidR="00746877">
              <w:rPr>
                <w:webHidden/>
              </w:rPr>
            </w:r>
            <w:r w:rsidR="00746877">
              <w:rPr>
                <w:webHidden/>
              </w:rPr>
              <w:fldChar w:fldCharType="separate"/>
            </w:r>
            <w:r w:rsidR="00746877">
              <w:rPr>
                <w:webHidden/>
              </w:rPr>
              <w:t>4-51</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3" w:history="1">
            <w:r w:rsidR="00746877" w:rsidRPr="00FE1ED7">
              <w:rPr>
                <w:rStyle w:val="Hyperlink"/>
              </w:rPr>
              <w:t>A.2</w:t>
            </w:r>
            <w:r w:rsidR="00746877">
              <w:rPr>
                <w:rFonts w:asciiTheme="minorHAnsi" w:eastAsiaTheme="minorEastAsia" w:hAnsiTheme="minorHAnsi"/>
                <w:b w:val="0"/>
                <w:color w:val="auto"/>
                <w:sz w:val="22"/>
                <w:lang w:eastAsia="en-AU"/>
              </w:rPr>
              <w:tab/>
            </w:r>
            <w:r w:rsidR="00746877" w:rsidRPr="00FE1ED7">
              <w:rPr>
                <w:rStyle w:val="Hyperlink"/>
              </w:rPr>
              <w:t>The value of imputation credits used by other regulators</w:t>
            </w:r>
            <w:r w:rsidR="00746877">
              <w:rPr>
                <w:webHidden/>
              </w:rPr>
              <w:tab/>
            </w:r>
            <w:r w:rsidR="00746877">
              <w:rPr>
                <w:webHidden/>
              </w:rPr>
              <w:fldChar w:fldCharType="begin"/>
            </w:r>
            <w:r w:rsidR="00746877">
              <w:rPr>
                <w:webHidden/>
              </w:rPr>
              <w:instrText xml:space="preserve"> PAGEREF _Toc451936173 \h </w:instrText>
            </w:r>
            <w:r w:rsidR="00746877">
              <w:rPr>
                <w:webHidden/>
              </w:rPr>
            </w:r>
            <w:r w:rsidR="00746877">
              <w:rPr>
                <w:webHidden/>
              </w:rPr>
              <w:fldChar w:fldCharType="separate"/>
            </w:r>
            <w:r w:rsidR="00746877">
              <w:rPr>
                <w:webHidden/>
              </w:rPr>
              <w:t>4-53</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4" w:history="1">
            <w:r w:rsidR="00746877" w:rsidRPr="00FE1ED7">
              <w:rPr>
                <w:rStyle w:val="Hyperlink"/>
              </w:rPr>
              <w:t>A.3</w:t>
            </w:r>
            <w:r w:rsidR="00746877">
              <w:rPr>
                <w:rFonts w:asciiTheme="minorHAnsi" w:eastAsiaTheme="minorEastAsia" w:hAnsiTheme="minorHAnsi"/>
                <w:b w:val="0"/>
                <w:color w:val="auto"/>
                <w:sz w:val="22"/>
                <w:lang w:eastAsia="en-AU"/>
              </w:rPr>
              <w:tab/>
            </w:r>
            <w:r w:rsidR="00746877" w:rsidRPr="00FE1ED7">
              <w:rPr>
                <w:rStyle w:val="Hyperlink"/>
              </w:rPr>
              <w:t>Previous Australian Competition Tribunal considerations</w:t>
            </w:r>
            <w:r w:rsidR="00746877">
              <w:rPr>
                <w:webHidden/>
              </w:rPr>
              <w:tab/>
            </w:r>
            <w:r w:rsidR="00746877">
              <w:rPr>
                <w:webHidden/>
              </w:rPr>
              <w:fldChar w:fldCharType="begin"/>
            </w:r>
            <w:r w:rsidR="00746877">
              <w:rPr>
                <w:webHidden/>
              </w:rPr>
              <w:instrText xml:space="preserve"> PAGEREF _Toc451936174 \h </w:instrText>
            </w:r>
            <w:r w:rsidR="00746877">
              <w:rPr>
                <w:webHidden/>
              </w:rPr>
            </w:r>
            <w:r w:rsidR="00746877">
              <w:rPr>
                <w:webHidden/>
              </w:rPr>
              <w:fldChar w:fldCharType="separate"/>
            </w:r>
            <w:r w:rsidR="00746877">
              <w:rPr>
                <w:webHidden/>
              </w:rPr>
              <w:t>4-55</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5" w:history="1">
            <w:r w:rsidR="00746877" w:rsidRPr="00FE1ED7">
              <w:rPr>
                <w:rStyle w:val="Hyperlink"/>
              </w:rPr>
              <w:t>A.4</w:t>
            </w:r>
            <w:r w:rsidR="00746877">
              <w:rPr>
                <w:rFonts w:asciiTheme="minorHAnsi" w:eastAsiaTheme="minorEastAsia" w:hAnsiTheme="minorHAnsi"/>
                <w:b w:val="0"/>
                <w:color w:val="auto"/>
                <w:sz w:val="22"/>
                <w:lang w:eastAsia="en-AU"/>
              </w:rPr>
              <w:tab/>
            </w:r>
            <w:r w:rsidR="00746877" w:rsidRPr="00FE1ED7">
              <w:rPr>
                <w:rStyle w:val="Hyperlink"/>
              </w:rPr>
              <w:t>Key concerns of the service providers</w:t>
            </w:r>
            <w:r w:rsidR="00746877">
              <w:rPr>
                <w:webHidden/>
              </w:rPr>
              <w:tab/>
            </w:r>
            <w:r w:rsidR="00746877">
              <w:rPr>
                <w:webHidden/>
              </w:rPr>
              <w:fldChar w:fldCharType="begin"/>
            </w:r>
            <w:r w:rsidR="00746877">
              <w:rPr>
                <w:webHidden/>
              </w:rPr>
              <w:instrText xml:space="preserve"> PAGEREF _Toc451936175 \h </w:instrText>
            </w:r>
            <w:r w:rsidR="00746877">
              <w:rPr>
                <w:webHidden/>
              </w:rPr>
            </w:r>
            <w:r w:rsidR="00746877">
              <w:rPr>
                <w:webHidden/>
              </w:rPr>
              <w:fldChar w:fldCharType="separate"/>
            </w:r>
            <w:r w:rsidR="00746877">
              <w:rPr>
                <w:webHidden/>
              </w:rPr>
              <w:t>4-67</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6" w:history="1">
            <w:r w:rsidR="00746877" w:rsidRPr="00FE1ED7">
              <w:rPr>
                <w:rStyle w:val="Hyperlink"/>
              </w:rPr>
              <w:t>A.5</w:t>
            </w:r>
            <w:r w:rsidR="00746877">
              <w:rPr>
                <w:rFonts w:asciiTheme="minorHAnsi" w:eastAsiaTheme="minorEastAsia" w:hAnsiTheme="minorHAnsi"/>
                <w:b w:val="0"/>
                <w:color w:val="auto"/>
                <w:sz w:val="22"/>
                <w:lang w:eastAsia="en-AU"/>
              </w:rPr>
              <w:tab/>
            </w:r>
            <w:r w:rsidR="00746877" w:rsidRPr="00FE1ED7">
              <w:rPr>
                <w:rStyle w:val="Hyperlink"/>
              </w:rPr>
              <w:t>The role of the value of imputation credits in the regulatory framework</w:t>
            </w:r>
            <w:r w:rsidR="00746877">
              <w:rPr>
                <w:webHidden/>
              </w:rPr>
              <w:tab/>
            </w:r>
            <w:r w:rsidR="00746877">
              <w:rPr>
                <w:webHidden/>
              </w:rPr>
              <w:tab/>
            </w:r>
            <w:r w:rsidR="00746877">
              <w:rPr>
                <w:webHidden/>
              </w:rPr>
              <w:fldChar w:fldCharType="begin"/>
            </w:r>
            <w:r w:rsidR="00746877">
              <w:rPr>
                <w:webHidden/>
              </w:rPr>
              <w:instrText xml:space="preserve"> PAGEREF _Toc451936176 \h </w:instrText>
            </w:r>
            <w:r w:rsidR="00746877">
              <w:rPr>
                <w:webHidden/>
              </w:rPr>
            </w:r>
            <w:r w:rsidR="00746877">
              <w:rPr>
                <w:webHidden/>
              </w:rPr>
              <w:fldChar w:fldCharType="separate"/>
            </w:r>
            <w:r w:rsidR="00746877">
              <w:rPr>
                <w:webHidden/>
              </w:rPr>
              <w:t>4-71</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7" w:history="1">
            <w:r w:rsidR="00746877" w:rsidRPr="00FE1ED7">
              <w:rPr>
                <w:rStyle w:val="Hyperlink"/>
              </w:rPr>
              <w:t>A.6</w:t>
            </w:r>
            <w:r w:rsidR="00746877">
              <w:rPr>
                <w:rFonts w:asciiTheme="minorHAnsi" w:eastAsiaTheme="minorEastAsia" w:hAnsiTheme="minorHAnsi"/>
                <w:b w:val="0"/>
                <w:color w:val="auto"/>
                <w:sz w:val="22"/>
                <w:lang w:eastAsia="en-AU"/>
              </w:rPr>
              <w:tab/>
            </w:r>
            <w:r w:rsidR="00746877" w:rsidRPr="00FE1ED7">
              <w:rPr>
                <w:rStyle w:val="Hyperlink"/>
              </w:rPr>
              <w:t>The conceptual framework for the value of imputation credits</w:t>
            </w:r>
            <w:r w:rsidR="00746877">
              <w:rPr>
                <w:webHidden/>
              </w:rPr>
              <w:tab/>
            </w:r>
            <w:r w:rsidR="00746877">
              <w:rPr>
                <w:webHidden/>
              </w:rPr>
              <w:fldChar w:fldCharType="begin"/>
            </w:r>
            <w:r w:rsidR="00746877">
              <w:rPr>
                <w:webHidden/>
              </w:rPr>
              <w:instrText xml:space="preserve"> PAGEREF _Toc451936177 \h </w:instrText>
            </w:r>
            <w:r w:rsidR="00746877">
              <w:rPr>
                <w:webHidden/>
              </w:rPr>
            </w:r>
            <w:r w:rsidR="00746877">
              <w:rPr>
                <w:webHidden/>
              </w:rPr>
              <w:fldChar w:fldCharType="separate"/>
            </w:r>
            <w:r w:rsidR="00746877">
              <w:rPr>
                <w:webHidden/>
              </w:rPr>
              <w:t>4-74</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8" w:history="1">
            <w:r w:rsidR="00746877" w:rsidRPr="00FE1ED7">
              <w:rPr>
                <w:rStyle w:val="Hyperlink"/>
              </w:rPr>
              <w:t>A.7</w:t>
            </w:r>
            <w:r w:rsidR="00746877">
              <w:rPr>
                <w:rFonts w:asciiTheme="minorHAnsi" w:eastAsiaTheme="minorEastAsia" w:hAnsiTheme="minorHAnsi"/>
                <w:b w:val="0"/>
                <w:color w:val="auto"/>
                <w:sz w:val="22"/>
                <w:lang w:eastAsia="en-AU"/>
              </w:rPr>
              <w:tab/>
            </w:r>
            <w:r w:rsidR="00746877" w:rsidRPr="00FE1ED7">
              <w:rPr>
                <w:rStyle w:val="Hyperlink"/>
              </w:rPr>
              <w:t>Gray's comments on the conceptual framework.</w:t>
            </w:r>
            <w:r w:rsidR="00746877">
              <w:rPr>
                <w:webHidden/>
              </w:rPr>
              <w:tab/>
            </w:r>
            <w:r w:rsidR="00746877">
              <w:rPr>
                <w:webHidden/>
              </w:rPr>
              <w:fldChar w:fldCharType="begin"/>
            </w:r>
            <w:r w:rsidR="00746877">
              <w:rPr>
                <w:webHidden/>
              </w:rPr>
              <w:instrText xml:space="preserve"> PAGEREF _Toc451936178 \h </w:instrText>
            </w:r>
            <w:r w:rsidR="00746877">
              <w:rPr>
                <w:webHidden/>
              </w:rPr>
            </w:r>
            <w:r w:rsidR="00746877">
              <w:rPr>
                <w:webHidden/>
              </w:rPr>
              <w:fldChar w:fldCharType="separate"/>
            </w:r>
            <w:r w:rsidR="00746877">
              <w:rPr>
                <w:webHidden/>
              </w:rPr>
              <w:t>4-81</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79" w:history="1">
            <w:r w:rsidR="00746877" w:rsidRPr="00FE1ED7">
              <w:rPr>
                <w:rStyle w:val="Hyperlink"/>
              </w:rPr>
              <w:t>A.8</w:t>
            </w:r>
            <w:r w:rsidR="00746877">
              <w:rPr>
                <w:rFonts w:asciiTheme="minorHAnsi" w:eastAsiaTheme="minorEastAsia" w:hAnsiTheme="minorHAnsi"/>
                <w:b w:val="0"/>
                <w:color w:val="auto"/>
                <w:sz w:val="22"/>
                <w:lang w:eastAsia="en-AU"/>
              </w:rPr>
              <w:tab/>
            </w:r>
            <w:r w:rsidR="00746877" w:rsidRPr="00FE1ED7">
              <w:rPr>
                <w:rStyle w:val="Hyperlink"/>
              </w:rPr>
              <w:t>Further issues relating to the utilisation rate</w:t>
            </w:r>
            <w:r w:rsidR="00746877">
              <w:rPr>
                <w:webHidden/>
              </w:rPr>
              <w:tab/>
            </w:r>
            <w:r w:rsidR="00746877">
              <w:rPr>
                <w:webHidden/>
              </w:rPr>
              <w:fldChar w:fldCharType="begin"/>
            </w:r>
            <w:r w:rsidR="00746877">
              <w:rPr>
                <w:webHidden/>
              </w:rPr>
              <w:instrText xml:space="preserve"> PAGEREF _Toc451936179 \h </w:instrText>
            </w:r>
            <w:r w:rsidR="00746877">
              <w:rPr>
                <w:webHidden/>
              </w:rPr>
            </w:r>
            <w:r w:rsidR="00746877">
              <w:rPr>
                <w:webHidden/>
              </w:rPr>
              <w:fldChar w:fldCharType="separate"/>
            </w:r>
            <w:r w:rsidR="00746877">
              <w:rPr>
                <w:webHidden/>
              </w:rPr>
              <w:t>4-92</w:t>
            </w:r>
            <w:r w:rsidR="00746877">
              <w:rPr>
                <w:webHidden/>
              </w:rPr>
              <w:fldChar w:fldCharType="end"/>
            </w:r>
          </w:hyperlink>
        </w:p>
        <w:p w:rsidR="00746877" w:rsidRDefault="00BA5C67">
          <w:pPr>
            <w:pStyle w:val="TOC2"/>
            <w:rPr>
              <w:rFonts w:asciiTheme="minorHAnsi" w:eastAsiaTheme="minorEastAsia" w:hAnsiTheme="minorHAnsi"/>
              <w:b w:val="0"/>
              <w:color w:val="auto"/>
              <w:sz w:val="22"/>
              <w:lang w:eastAsia="en-AU"/>
            </w:rPr>
          </w:pPr>
          <w:hyperlink w:anchor="_Toc451936180" w:history="1">
            <w:r w:rsidR="00746877" w:rsidRPr="00FE1ED7">
              <w:rPr>
                <w:rStyle w:val="Hyperlink"/>
              </w:rPr>
              <w:t>A.9</w:t>
            </w:r>
            <w:r w:rsidR="00746877">
              <w:rPr>
                <w:rFonts w:asciiTheme="minorHAnsi" w:eastAsiaTheme="minorEastAsia" w:hAnsiTheme="minorHAnsi"/>
                <w:b w:val="0"/>
                <w:color w:val="auto"/>
                <w:sz w:val="22"/>
                <w:lang w:eastAsia="en-AU"/>
              </w:rPr>
              <w:tab/>
            </w:r>
            <w:r w:rsidR="00746877" w:rsidRPr="00FE1ED7">
              <w:rPr>
                <w:rStyle w:val="Hyperlink"/>
              </w:rPr>
              <w:t>Estimation approach considerations</w:t>
            </w:r>
            <w:r w:rsidR="00746877">
              <w:rPr>
                <w:webHidden/>
              </w:rPr>
              <w:tab/>
            </w:r>
            <w:r w:rsidR="00746877">
              <w:rPr>
                <w:webHidden/>
              </w:rPr>
              <w:fldChar w:fldCharType="begin"/>
            </w:r>
            <w:r w:rsidR="00746877">
              <w:rPr>
                <w:webHidden/>
              </w:rPr>
              <w:instrText xml:space="preserve"> PAGEREF _Toc451936180 \h </w:instrText>
            </w:r>
            <w:r w:rsidR="00746877">
              <w:rPr>
                <w:webHidden/>
              </w:rPr>
            </w:r>
            <w:r w:rsidR="00746877">
              <w:rPr>
                <w:webHidden/>
              </w:rPr>
              <w:fldChar w:fldCharType="separate"/>
            </w:r>
            <w:r w:rsidR="00746877">
              <w:rPr>
                <w:webHidden/>
              </w:rPr>
              <w:t>4-115</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1" w:history="1">
            <w:r w:rsidR="00746877" w:rsidRPr="00FE1ED7">
              <w:rPr>
                <w:rStyle w:val="Hyperlink"/>
              </w:rPr>
              <w:t>A.10</w:t>
            </w:r>
            <w:r w:rsidR="00746877">
              <w:rPr>
                <w:rFonts w:asciiTheme="minorHAnsi" w:eastAsiaTheme="minorEastAsia" w:hAnsiTheme="minorHAnsi"/>
                <w:b w:val="0"/>
                <w:color w:val="auto"/>
                <w:sz w:val="22"/>
                <w:lang w:eastAsia="en-AU"/>
              </w:rPr>
              <w:tab/>
            </w:r>
            <w:r w:rsidR="00746877" w:rsidRPr="00FE1ED7">
              <w:rPr>
                <w:rStyle w:val="Hyperlink"/>
              </w:rPr>
              <w:t>Estimating the distribution rate</w:t>
            </w:r>
            <w:r w:rsidR="00746877">
              <w:rPr>
                <w:webHidden/>
              </w:rPr>
              <w:tab/>
            </w:r>
            <w:r w:rsidR="00746877">
              <w:rPr>
                <w:webHidden/>
              </w:rPr>
              <w:fldChar w:fldCharType="begin"/>
            </w:r>
            <w:r w:rsidR="00746877">
              <w:rPr>
                <w:webHidden/>
              </w:rPr>
              <w:instrText xml:space="preserve"> PAGEREF _Toc451936181 \h </w:instrText>
            </w:r>
            <w:r w:rsidR="00746877">
              <w:rPr>
                <w:webHidden/>
              </w:rPr>
            </w:r>
            <w:r w:rsidR="00746877">
              <w:rPr>
                <w:webHidden/>
              </w:rPr>
              <w:fldChar w:fldCharType="separate"/>
            </w:r>
            <w:r w:rsidR="00746877">
              <w:rPr>
                <w:webHidden/>
              </w:rPr>
              <w:t>4-119</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2" w:history="1">
            <w:r w:rsidR="00746877" w:rsidRPr="00FE1ED7">
              <w:rPr>
                <w:rStyle w:val="Hyperlink"/>
              </w:rPr>
              <w:t>A.11</w:t>
            </w:r>
            <w:r w:rsidR="00746877">
              <w:rPr>
                <w:rFonts w:asciiTheme="minorHAnsi" w:eastAsiaTheme="minorEastAsia" w:hAnsiTheme="minorHAnsi"/>
                <w:b w:val="0"/>
                <w:color w:val="auto"/>
                <w:sz w:val="22"/>
                <w:lang w:eastAsia="en-AU"/>
              </w:rPr>
              <w:tab/>
            </w:r>
            <w:r w:rsidR="00746877" w:rsidRPr="00FE1ED7">
              <w:rPr>
                <w:rStyle w:val="Hyperlink"/>
              </w:rPr>
              <w:t>Application of rate of return criteria to evidence on the utilisation rate</w:t>
            </w:r>
            <w:r w:rsidR="00746877">
              <w:rPr>
                <w:rStyle w:val="Hyperlink"/>
              </w:rPr>
              <w:tab/>
            </w:r>
            <w:r w:rsidR="00746877">
              <w:rPr>
                <w:rStyle w:val="Hyperlink"/>
              </w:rPr>
              <w:tab/>
            </w:r>
            <w:r w:rsidR="00746877">
              <w:rPr>
                <w:webHidden/>
              </w:rPr>
              <w:tab/>
            </w:r>
            <w:r w:rsidR="00746877">
              <w:rPr>
                <w:webHidden/>
              </w:rPr>
              <w:fldChar w:fldCharType="begin"/>
            </w:r>
            <w:r w:rsidR="00746877">
              <w:rPr>
                <w:webHidden/>
              </w:rPr>
              <w:instrText xml:space="preserve"> PAGEREF _Toc451936182 \h </w:instrText>
            </w:r>
            <w:r w:rsidR="00746877">
              <w:rPr>
                <w:webHidden/>
              </w:rPr>
            </w:r>
            <w:r w:rsidR="00746877">
              <w:rPr>
                <w:webHidden/>
              </w:rPr>
              <w:fldChar w:fldCharType="separate"/>
            </w:r>
            <w:r w:rsidR="00746877">
              <w:rPr>
                <w:webHidden/>
              </w:rPr>
              <w:t>4-129</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3" w:history="1">
            <w:r w:rsidR="00746877" w:rsidRPr="00FE1ED7">
              <w:rPr>
                <w:rStyle w:val="Hyperlink"/>
              </w:rPr>
              <w:t>A.12</w:t>
            </w:r>
            <w:r w:rsidR="00746877">
              <w:rPr>
                <w:rFonts w:asciiTheme="minorHAnsi" w:eastAsiaTheme="minorEastAsia" w:hAnsiTheme="minorHAnsi"/>
                <w:b w:val="0"/>
                <w:color w:val="auto"/>
                <w:sz w:val="22"/>
                <w:lang w:eastAsia="en-AU"/>
              </w:rPr>
              <w:tab/>
            </w:r>
            <w:r w:rsidR="00746877" w:rsidRPr="00FE1ED7">
              <w:rPr>
                <w:rStyle w:val="Hyperlink"/>
              </w:rPr>
              <w:t>The equity ownership approach</w:t>
            </w:r>
            <w:r w:rsidR="00746877">
              <w:rPr>
                <w:webHidden/>
              </w:rPr>
              <w:tab/>
            </w:r>
            <w:r w:rsidR="00746877">
              <w:rPr>
                <w:webHidden/>
              </w:rPr>
              <w:fldChar w:fldCharType="begin"/>
            </w:r>
            <w:r w:rsidR="00746877">
              <w:rPr>
                <w:webHidden/>
              </w:rPr>
              <w:instrText xml:space="preserve"> PAGEREF _Toc451936183 \h </w:instrText>
            </w:r>
            <w:r w:rsidR="00746877">
              <w:rPr>
                <w:webHidden/>
              </w:rPr>
            </w:r>
            <w:r w:rsidR="00746877">
              <w:rPr>
                <w:webHidden/>
              </w:rPr>
              <w:fldChar w:fldCharType="separate"/>
            </w:r>
            <w:r w:rsidR="00746877">
              <w:rPr>
                <w:webHidden/>
              </w:rPr>
              <w:t>4-131</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4" w:history="1">
            <w:r w:rsidR="00746877" w:rsidRPr="00FE1ED7">
              <w:rPr>
                <w:rStyle w:val="Hyperlink"/>
              </w:rPr>
              <w:t>A.13</w:t>
            </w:r>
            <w:r w:rsidR="00746877">
              <w:rPr>
                <w:rFonts w:asciiTheme="minorHAnsi" w:eastAsiaTheme="minorEastAsia" w:hAnsiTheme="minorHAnsi"/>
                <w:b w:val="0"/>
                <w:color w:val="auto"/>
                <w:sz w:val="22"/>
                <w:lang w:eastAsia="en-AU"/>
              </w:rPr>
              <w:tab/>
            </w:r>
            <w:r w:rsidR="00746877" w:rsidRPr="00FE1ED7">
              <w:rPr>
                <w:rStyle w:val="Hyperlink"/>
              </w:rPr>
              <w:t>Tax statistics</w:t>
            </w:r>
            <w:r w:rsidR="00746877">
              <w:rPr>
                <w:webHidden/>
              </w:rPr>
              <w:tab/>
            </w:r>
            <w:r w:rsidR="00746877">
              <w:rPr>
                <w:webHidden/>
              </w:rPr>
              <w:fldChar w:fldCharType="begin"/>
            </w:r>
            <w:r w:rsidR="00746877">
              <w:rPr>
                <w:webHidden/>
              </w:rPr>
              <w:instrText xml:space="preserve"> PAGEREF _Toc451936184 \h </w:instrText>
            </w:r>
            <w:r w:rsidR="00746877">
              <w:rPr>
                <w:webHidden/>
              </w:rPr>
            </w:r>
            <w:r w:rsidR="00746877">
              <w:rPr>
                <w:webHidden/>
              </w:rPr>
              <w:fldChar w:fldCharType="separate"/>
            </w:r>
            <w:r w:rsidR="00746877">
              <w:rPr>
                <w:webHidden/>
              </w:rPr>
              <w:t>4-137</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5" w:history="1">
            <w:r w:rsidR="00746877" w:rsidRPr="00FE1ED7">
              <w:rPr>
                <w:rStyle w:val="Hyperlink"/>
              </w:rPr>
              <w:t>A.14</w:t>
            </w:r>
            <w:r w:rsidR="00746877">
              <w:rPr>
                <w:rFonts w:asciiTheme="minorHAnsi" w:eastAsiaTheme="minorEastAsia" w:hAnsiTheme="minorHAnsi"/>
                <w:b w:val="0"/>
                <w:color w:val="auto"/>
                <w:sz w:val="22"/>
                <w:lang w:eastAsia="en-AU"/>
              </w:rPr>
              <w:tab/>
            </w:r>
            <w:r w:rsidR="00746877" w:rsidRPr="00FE1ED7">
              <w:rPr>
                <w:rStyle w:val="Hyperlink"/>
              </w:rPr>
              <w:t>Difference between equity ownership approach and tax statistics</w:t>
            </w:r>
            <w:r w:rsidR="00746877">
              <w:rPr>
                <w:webHidden/>
              </w:rPr>
              <w:tab/>
            </w:r>
            <w:r w:rsidR="00746877">
              <w:rPr>
                <w:webHidden/>
              </w:rPr>
              <w:tab/>
            </w:r>
            <w:r w:rsidR="00746877">
              <w:rPr>
                <w:webHidden/>
              </w:rPr>
              <w:tab/>
            </w:r>
            <w:r w:rsidR="00746877">
              <w:rPr>
                <w:webHidden/>
              </w:rPr>
              <w:tab/>
            </w:r>
            <w:r w:rsidR="00746877">
              <w:rPr>
                <w:webHidden/>
              </w:rPr>
              <w:fldChar w:fldCharType="begin"/>
            </w:r>
            <w:r w:rsidR="00746877">
              <w:rPr>
                <w:webHidden/>
              </w:rPr>
              <w:instrText xml:space="preserve"> PAGEREF _Toc451936185 \h </w:instrText>
            </w:r>
            <w:r w:rsidR="00746877">
              <w:rPr>
                <w:webHidden/>
              </w:rPr>
            </w:r>
            <w:r w:rsidR="00746877">
              <w:rPr>
                <w:webHidden/>
              </w:rPr>
              <w:fldChar w:fldCharType="separate"/>
            </w:r>
            <w:r w:rsidR="00746877">
              <w:rPr>
                <w:webHidden/>
              </w:rPr>
              <w:t>4-140</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6" w:history="1">
            <w:r w:rsidR="00746877" w:rsidRPr="00FE1ED7">
              <w:rPr>
                <w:rStyle w:val="Hyperlink"/>
              </w:rPr>
              <w:t>A.15</w:t>
            </w:r>
            <w:r w:rsidR="00746877">
              <w:rPr>
                <w:rFonts w:asciiTheme="minorHAnsi" w:eastAsiaTheme="minorEastAsia" w:hAnsiTheme="minorHAnsi"/>
                <w:b w:val="0"/>
                <w:color w:val="auto"/>
                <w:sz w:val="22"/>
                <w:lang w:eastAsia="en-AU"/>
              </w:rPr>
              <w:tab/>
            </w:r>
            <w:r w:rsidR="00746877" w:rsidRPr="00FE1ED7">
              <w:rPr>
                <w:rStyle w:val="Hyperlink"/>
              </w:rPr>
              <w:t>Implied market value studies</w:t>
            </w:r>
            <w:r w:rsidR="00746877">
              <w:rPr>
                <w:webHidden/>
              </w:rPr>
              <w:tab/>
            </w:r>
            <w:r w:rsidR="00746877">
              <w:rPr>
                <w:webHidden/>
              </w:rPr>
              <w:fldChar w:fldCharType="begin"/>
            </w:r>
            <w:r w:rsidR="00746877">
              <w:rPr>
                <w:webHidden/>
              </w:rPr>
              <w:instrText xml:space="preserve"> PAGEREF _Toc451936186 \h </w:instrText>
            </w:r>
            <w:r w:rsidR="00746877">
              <w:rPr>
                <w:webHidden/>
              </w:rPr>
            </w:r>
            <w:r w:rsidR="00746877">
              <w:rPr>
                <w:webHidden/>
              </w:rPr>
              <w:fldChar w:fldCharType="separate"/>
            </w:r>
            <w:r w:rsidR="00746877">
              <w:rPr>
                <w:webHidden/>
              </w:rPr>
              <w:t>4-141</w:t>
            </w:r>
            <w:r w:rsidR="00746877">
              <w:rPr>
                <w:webHidden/>
              </w:rPr>
              <w:fldChar w:fldCharType="end"/>
            </w:r>
          </w:hyperlink>
        </w:p>
        <w:p w:rsidR="00746877" w:rsidRDefault="00BA5C67">
          <w:pPr>
            <w:pStyle w:val="TOC2"/>
            <w:tabs>
              <w:tab w:val="left" w:pos="1276"/>
            </w:tabs>
            <w:rPr>
              <w:rFonts w:asciiTheme="minorHAnsi" w:eastAsiaTheme="minorEastAsia" w:hAnsiTheme="minorHAnsi"/>
              <w:b w:val="0"/>
              <w:color w:val="auto"/>
              <w:sz w:val="22"/>
              <w:lang w:eastAsia="en-AU"/>
            </w:rPr>
          </w:pPr>
          <w:hyperlink w:anchor="_Toc451936187" w:history="1">
            <w:r w:rsidR="00746877" w:rsidRPr="00FE1ED7">
              <w:rPr>
                <w:rStyle w:val="Hyperlink"/>
              </w:rPr>
              <w:t>A.16</w:t>
            </w:r>
            <w:r w:rsidR="00746877">
              <w:rPr>
                <w:rFonts w:asciiTheme="minorHAnsi" w:eastAsiaTheme="minorEastAsia" w:hAnsiTheme="minorHAnsi"/>
                <w:b w:val="0"/>
                <w:color w:val="auto"/>
                <w:sz w:val="22"/>
                <w:lang w:eastAsia="en-AU"/>
              </w:rPr>
              <w:tab/>
            </w:r>
            <w:r w:rsidR="00746877" w:rsidRPr="00FE1ED7">
              <w:rPr>
                <w:rStyle w:val="Hyperlink"/>
              </w:rPr>
              <w:t>Revised consideration of the conceptual goalposts approach</w:t>
            </w:r>
            <w:r w:rsidR="00746877">
              <w:rPr>
                <w:webHidden/>
              </w:rPr>
              <w:tab/>
            </w:r>
            <w:r w:rsidR="00746877">
              <w:rPr>
                <w:webHidden/>
              </w:rPr>
              <w:fldChar w:fldCharType="begin"/>
            </w:r>
            <w:r w:rsidR="00746877">
              <w:rPr>
                <w:webHidden/>
              </w:rPr>
              <w:instrText xml:space="preserve"> PAGEREF _Toc451936187 \h </w:instrText>
            </w:r>
            <w:r w:rsidR="00746877">
              <w:rPr>
                <w:webHidden/>
              </w:rPr>
            </w:r>
            <w:r w:rsidR="00746877">
              <w:rPr>
                <w:webHidden/>
              </w:rPr>
              <w:fldChar w:fldCharType="separate"/>
            </w:r>
            <w:r w:rsidR="00746877">
              <w:rPr>
                <w:webHidden/>
              </w:rPr>
              <w:t>4-171</w:t>
            </w:r>
            <w:r w:rsidR="00746877">
              <w:rPr>
                <w:webHidden/>
              </w:rPr>
              <w:fldChar w:fldCharType="end"/>
            </w:r>
          </w:hyperlink>
        </w:p>
        <w:p w:rsidR="00CE2A23" w:rsidRDefault="00746877" w:rsidP="00746877">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93615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F78AD" w:rsidP="008F78A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93615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Value of imputation credits</w:t>
      </w:r>
      <w:bookmarkEnd w:id="71"/>
    </w:p>
    <w:p w:rsidR="00BA5850" w:rsidRDefault="00BA5850" w:rsidP="00BA5850">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BA5850" w:rsidRDefault="00BA5850" w:rsidP="00BA5850">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BA5850" w:rsidRPr="00E356F9" w:rsidRDefault="00BA5850" w:rsidP="00BA5850">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BA5850" w:rsidRDefault="00BA5850" w:rsidP="00BA5850">
      <w:pPr>
        <w:numPr>
          <w:ilvl w:val="0"/>
          <w:numId w:val="24"/>
        </w:numPr>
      </w:pPr>
      <w:r>
        <w:t xml:space="preserve">In this attachment, we set out our final decision on the value of imputation credits and our key reasons for this decision. We also consider </w:t>
      </w:r>
      <w:r w:rsidR="00555647">
        <w:t>Jemena Electricity Network's (JEN)</w:t>
      </w:r>
      <w:r>
        <w:t xml:space="preserve"> proposed value of imputation credits and the key reasons for its (revised) proposal. In appendix A, we include further supporting detail on our position on the value of imputation credits and also respond to </w:t>
      </w:r>
      <w:r w:rsidR="00555647">
        <w:t>JEN's</w:t>
      </w:r>
      <w:r>
        <w:t xml:space="preserve"> revised proposal in detail. </w:t>
      </w:r>
    </w:p>
    <w:p w:rsidR="00BA5850" w:rsidRPr="00883125" w:rsidRDefault="00BA5850" w:rsidP="00BA5850">
      <w:pPr>
        <w:pStyle w:val="Heading2"/>
      </w:pPr>
      <w:bookmarkStart w:id="72" w:name="_Toc408404320"/>
      <w:bookmarkStart w:id="73" w:name="_Toc419366913"/>
      <w:bookmarkStart w:id="74" w:name="_Ref451246970"/>
      <w:bookmarkStart w:id="75" w:name="_Ref451789904"/>
      <w:bookmarkStart w:id="76" w:name="_Ref451793040"/>
      <w:bookmarkStart w:id="77" w:name="_Ref451816453"/>
      <w:bookmarkStart w:id="78" w:name="_Toc451842232"/>
      <w:bookmarkStart w:id="79" w:name="_Toc451936159"/>
      <w:r w:rsidRPr="00883125">
        <w:t>Final decision</w:t>
      </w:r>
      <w:bookmarkEnd w:id="72"/>
      <w:bookmarkEnd w:id="73"/>
      <w:bookmarkEnd w:id="74"/>
      <w:bookmarkEnd w:id="75"/>
      <w:bookmarkEnd w:id="76"/>
      <w:bookmarkEnd w:id="77"/>
      <w:bookmarkEnd w:id="78"/>
      <w:bookmarkEnd w:id="79"/>
    </w:p>
    <w:p w:rsidR="00BA5850" w:rsidRPr="00C94AE8" w:rsidRDefault="00BA5850" w:rsidP="00BA5850">
      <w:pPr>
        <w:numPr>
          <w:ilvl w:val="0"/>
          <w:numId w:val="24"/>
        </w:numPr>
      </w:pPr>
      <w:r w:rsidRPr="00883125">
        <w:t xml:space="preserve">We do not accept </w:t>
      </w:r>
      <w:r w:rsidR="00555647">
        <w:t>JEN's</w:t>
      </w:r>
      <w:r w:rsidRPr="00883125">
        <w:t>'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t>a</w:t>
      </w:r>
      <w:r w:rsidRPr="00C94AE8">
        <w:t xml:space="preserve"> benchmark efficient entity.</w:t>
      </w:r>
    </w:p>
    <w:p w:rsidR="00BA5850" w:rsidRPr="00883125" w:rsidRDefault="00BA5850" w:rsidP="00BA5850">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BA5850" w:rsidRPr="005942A6" w:rsidRDefault="00BA5850" w:rsidP="00BA5850">
      <w:pPr>
        <w:rPr>
          <w:rStyle w:val="AERbody"/>
        </w:rPr>
      </w:pPr>
      <w:r w:rsidRPr="005942A6">
        <w:rPr>
          <w:rStyle w:val="AERbody"/>
        </w:rPr>
        <w:t>In coming to a value of imputation credits of 0.4:</w:t>
      </w:r>
    </w:p>
    <w:p w:rsidR="00BA5850" w:rsidRPr="00BA5850" w:rsidRDefault="00BA5850" w:rsidP="00BA5850">
      <w:pPr>
        <w:pStyle w:val="AERbulletlistfirststyle"/>
      </w:pPr>
      <w:r w:rsidRPr="00DD1139">
        <w:t>We a</w:t>
      </w:r>
      <w:r w:rsidRPr="00BA5850">
        <w:t>dopt a conceptual approach consistent with the Officer framework,</w:t>
      </w:r>
      <w:r w:rsidRPr="0086094B">
        <w:rPr>
          <w:rStyle w:val="FootnoteReference"/>
        </w:rPr>
        <w:footnoteReference w:id="6"/>
      </w:r>
      <w:r w:rsidRPr="00BA5850">
        <w:t xml:space="preserve"> which we consider best promotes the objectives and requirements of the NER/NGR. This approach considers the value of imputation credits is a post-tax value before the impact of personal taxes and transaction costs. As such, we view the value of imputation credits as the proportion of company tax returned to investors through the utilisation of imputation credits.</w:t>
      </w:r>
      <w:r w:rsidRPr="00BA5850">
        <w:rPr>
          <w:rStyle w:val="FootnoteReference"/>
        </w:rPr>
        <w:footnoteReference w:id="7"/>
      </w:r>
    </w:p>
    <w:p w:rsidR="00BA5850" w:rsidRPr="00BA5850" w:rsidRDefault="00BA5850" w:rsidP="00BA5850">
      <w:pPr>
        <w:pStyle w:val="AERbulletlistfirststyle"/>
      </w:pPr>
      <w:r w:rsidRPr="00DD1139">
        <w:t>We consider our</w:t>
      </w:r>
      <w:r w:rsidRPr="00BA5850">
        <w:t xml:space="preserve"> conceptual approach allows for the value of imputation credits to be estimated on a consistent basis with the allowed rate of return and allowed revenues under the post-tax framework in the NER/NGR.</w:t>
      </w:r>
      <w:r w:rsidRPr="00BA5850">
        <w:rPr>
          <w:rStyle w:val="FootnoteReference"/>
        </w:rPr>
        <w:footnoteReference w:id="8"/>
      </w:r>
      <w:r w:rsidRPr="00BA5850">
        <w:t xml:space="preserve"> </w:t>
      </w:r>
    </w:p>
    <w:p w:rsidR="00BA5850" w:rsidRPr="00BA5850" w:rsidRDefault="00BA5850" w:rsidP="00BA5850">
      <w:pPr>
        <w:pStyle w:val="AERbulletlistfirststyle"/>
      </w:pPr>
      <w:r w:rsidRPr="00DD1139">
        <w:t xml:space="preserve">We use the widely accepted approach of estimating the value of imputation credits as the product of two sub-parameters: the 'distribution rate' and the 'utilisation </w:t>
      </w:r>
      <w:r w:rsidRPr="00BA5850">
        <w:t>rate'.</w:t>
      </w:r>
      <w:r w:rsidRPr="00BA5850">
        <w:rPr>
          <w:rStyle w:val="FootnoteReference"/>
        </w:rPr>
        <w:footnoteReference w:id="9"/>
      </w:r>
      <w:r w:rsidRPr="00BA5850">
        <w:t xml:space="preserve"> Our definition of, and estimation approach for, these sub-parameters is set out in </w:t>
      </w:r>
      <w:r w:rsidRPr="00BA5850">
        <w:fldChar w:fldCharType="begin"/>
      </w:r>
      <w:r w:rsidRPr="00BA5850">
        <w:instrText xml:space="preserve"> REF  _Ref450662555 \* Lower \h  \* MERGEFORMAT </w:instrText>
      </w:r>
      <w:r w:rsidRPr="00BA5850">
        <w:fldChar w:fldCharType="separate"/>
      </w:r>
      <w:r w:rsidR="00746877">
        <w:t>table 4</w:t>
      </w:r>
      <w:r w:rsidR="00746877">
        <w:noBreakHyphen/>
        <w:t>1</w:t>
      </w:r>
      <w:r w:rsidRPr="00BA5850">
        <w:fldChar w:fldCharType="end"/>
      </w:r>
      <w:r w:rsidRPr="00BA5850">
        <w:t>.</w:t>
      </w:r>
    </w:p>
    <w:p w:rsidR="00BA5850" w:rsidRDefault="00BA5850" w:rsidP="00593A40">
      <w:pPr>
        <w:pStyle w:val="Caption"/>
      </w:pPr>
      <w:bookmarkStart w:id="80" w:name="_Ref450662555"/>
      <w:r>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w:t>
      </w:r>
      <w:r w:rsidRPr="00BA5850">
        <w:fldChar w:fldCharType="end"/>
      </w:r>
      <w:bookmarkEnd w:id="80"/>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BA5850" w:rsidTr="00343639">
        <w:trPr>
          <w:cnfStyle w:val="100000000000" w:firstRow="1" w:lastRow="0" w:firstColumn="0" w:lastColumn="0" w:oddVBand="0" w:evenVBand="0" w:oddHBand="0" w:evenHBand="0" w:firstRowFirstColumn="0" w:firstRowLastColumn="0" w:lastRowFirstColumn="0" w:lastRowLastColumn="0"/>
        </w:trPr>
        <w:tc>
          <w:tcPr>
            <w:tcW w:w="2518" w:type="dxa"/>
          </w:tcPr>
          <w:p w:rsidR="00BA5850" w:rsidRDefault="00BA5850" w:rsidP="00593A40">
            <w:pPr>
              <w:keepNext/>
              <w:numPr>
                <w:ilvl w:val="0"/>
                <w:numId w:val="24"/>
              </w:numPr>
            </w:pPr>
            <w:r>
              <w:t>Sub-parameter</w:t>
            </w:r>
          </w:p>
        </w:tc>
        <w:tc>
          <w:tcPr>
            <w:tcW w:w="2977" w:type="dxa"/>
          </w:tcPr>
          <w:p w:rsidR="00BA5850" w:rsidRDefault="00BA5850" w:rsidP="00593A40">
            <w:pPr>
              <w:keepNext/>
              <w:numPr>
                <w:ilvl w:val="0"/>
                <w:numId w:val="24"/>
              </w:numPr>
            </w:pPr>
            <w:r>
              <w:t>Definition</w:t>
            </w:r>
          </w:p>
        </w:tc>
        <w:tc>
          <w:tcPr>
            <w:tcW w:w="3747" w:type="dxa"/>
          </w:tcPr>
          <w:p w:rsidR="00BA5850" w:rsidRDefault="00BA5850" w:rsidP="00593A40">
            <w:pPr>
              <w:keepNext/>
              <w:numPr>
                <w:ilvl w:val="0"/>
                <w:numId w:val="24"/>
              </w:numPr>
            </w:pPr>
            <w:r>
              <w:t>Estimation approach</w:t>
            </w:r>
          </w:p>
        </w:tc>
      </w:tr>
      <w:tr w:rsidR="00BA5850" w:rsidTr="00343639">
        <w:tc>
          <w:tcPr>
            <w:tcW w:w="2518" w:type="dxa"/>
          </w:tcPr>
          <w:p w:rsidR="00BA5850" w:rsidRDefault="00BA5850" w:rsidP="00593A40">
            <w:pPr>
              <w:keepNext/>
              <w:numPr>
                <w:ilvl w:val="0"/>
                <w:numId w:val="24"/>
              </w:numPr>
            </w:pPr>
            <w:r>
              <w:t>Distribution rate (or payout ratio)</w:t>
            </w:r>
          </w:p>
        </w:tc>
        <w:tc>
          <w:tcPr>
            <w:tcW w:w="2977" w:type="dxa"/>
          </w:tcPr>
          <w:p w:rsidR="00BA5850" w:rsidRDefault="00BA5850" w:rsidP="00593A40">
            <w:pPr>
              <w:keepNext/>
              <w:numPr>
                <w:ilvl w:val="0"/>
                <w:numId w:val="24"/>
              </w:numPr>
            </w:pPr>
            <w:r>
              <w:t>T</w:t>
            </w:r>
            <w:r w:rsidRPr="004746B6">
              <w:t>he proportion of imputation credits generated that is distributed to investors</w:t>
            </w:r>
          </w:p>
        </w:tc>
        <w:tc>
          <w:tcPr>
            <w:tcW w:w="3747" w:type="dxa"/>
          </w:tcPr>
          <w:p w:rsidR="00BA5850" w:rsidRDefault="00BA5850" w:rsidP="00593A40">
            <w:pPr>
              <w:keepNext/>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2518" w:type="dxa"/>
          </w:tcPr>
          <w:p w:rsidR="00BA5850" w:rsidRDefault="00BA5850" w:rsidP="00593A40">
            <w:pPr>
              <w:keepNext/>
              <w:numPr>
                <w:ilvl w:val="0"/>
                <w:numId w:val="24"/>
              </w:numPr>
            </w:pPr>
            <w:r>
              <w:t>Utilisation rate (or theta)</w:t>
            </w:r>
          </w:p>
        </w:tc>
        <w:tc>
          <w:tcPr>
            <w:tcW w:w="2977" w:type="dxa"/>
          </w:tcPr>
          <w:p w:rsidR="00BA5850" w:rsidRDefault="00BA5850" w:rsidP="00593A40">
            <w:pPr>
              <w:keepNext/>
              <w:numPr>
                <w:ilvl w:val="0"/>
                <w:numId w:val="24"/>
              </w:numPr>
            </w:pPr>
            <w:r>
              <w:t>T</w:t>
            </w:r>
            <w:r w:rsidRPr="004746B6">
              <w:t>he utilisation value to investors in the market per dollar of imputation credits distributed</w:t>
            </w:r>
            <w:r>
              <w:rPr>
                <w:rStyle w:val="FootnoteReference"/>
              </w:rPr>
              <w:footnoteReference w:id="10"/>
            </w:r>
          </w:p>
        </w:tc>
        <w:tc>
          <w:tcPr>
            <w:tcW w:w="3747" w:type="dxa"/>
          </w:tcPr>
          <w:p w:rsidR="00BA5850" w:rsidRDefault="00BA5850" w:rsidP="00593A40">
            <w:pPr>
              <w:keepNext/>
              <w:numPr>
                <w:ilvl w:val="0"/>
                <w:numId w:val="24"/>
              </w:numPr>
            </w:pPr>
            <w:r>
              <w:t>A range of approaches, with due regard to the merit of each approach:</w:t>
            </w:r>
          </w:p>
          <w:p w:rsidR="00BA5850" w:rsidRPr="00BA5850" w:rsidRDefault="00BA5850" w:rsidP="00593A40">
            <w:pPr>
              <w:pStyle w:val="AERbulletlistfirststyle"/>
              <w:keepNext/>
            </w:pPr>
            <w:r>
              <w:t>equity ownership approach</w:t>
            </w:r>
          </w:p>
          <w:p w:rsidR="00BA5850" w:rsidRDefault="00BA5850" w:rsidP="00593A40">
            <w:pPr>
              <w:pStyle w:val="AERbulletlistfirststyle"/>
              <w:keepNext/>
            </w:pPr>
            <w:r>
              <w:t>tax statistics</w:t>
            </w:r>
          </w:p>
          <w:p w:rsidR="00BA5850" w:rsidRDefault="00BA5850" w:rsidP="00593A40">
            <w:pPr>
              <w:pStyle w:val="AERbulletlistfirststyle"/>
              <w:keepNext/>
            </w:pPr>
            <w:r>
              <w:t>implied market value studies</w:t>
            </w:r>
          </w:p>
        </w:tc>
      </w:tr>
    </w:tbl>
    <w:p w:rsidR="00BA5850" w:rsidRDefault="00BA5850" w:rsidP="00593A40">
      <w:pPr>
        <w:pStyle w:val="AERtablesource"/>
        <w:keepNext/>
      </w:pPr>
      <w:r>
        <w:t>Source:</w:t>
      </w:r>
      <w:r>
        <w:tab/>
        <w:t xml:space="preserve">AER analysis, see section </w:t>
      </w:r>
      <w:r>
        <w:fldChar w:fldCharType="begin"/>
      </w:r>
      <w:r>
        <w:instrText xml:space="preserve"> REF _Ref401133206 \r \h </w:instrText>
      </w:r>
      <w:r>
        <w:fldChar w:fldCharType="separate"/>
      </w:r>
      <w:r w:rsidR="00746877">
        <w:t>A.10</w:t>
      </w:r>
      <w:r>
        <w:fldChar w:fldCharType="end"/>
      </w:r>
      <w:r>
        <w:t xml:space="preserve">, </w:t>
      </w:r>
      <w:r>
        <w:fldChar w:fldCharType="begin"/>
      </w:r>
      <w:r>
        <w:instrText xml:space="preserve"> REF _Ref415049811 \r \h </w:instrText>
      </w:r>
      <w:r>
        <w:fldChar w:fldCharType="separate"/>
      </w:r>
      <w:r w:rsidR="00746877">
        <w:t>A.12</w:t>
      </w:r>
      <w:r>
        <w:fldChar w:fldCharType="end"/>
      </w:r>
      <w:r>
        <w:t xml:space="preserve">, </w:t>
      </w:r>
      <w:r>
        <w:fldChar w:fldCharType="begin"/>
      </w:r>
      <w:r>
        <w:instrText xml:space="preserve"> REF _Ref402179420 \r \h </w:instrText>
      </w:r>
      <w:r>
        <w:fldChar w:fldCharType="separate"/>
      </w:r>
      <w:r w:rsidR="00746877">
        <w:t>A.13</w:t>
      </w:r>
      <w:r>
        <w:fldChar w:fldCharType="end"/>
      </w:r>
      <w:r>
        <w:t xml:space="preserve"> and </w:t>
      </w:r>
      <w:r>
        <w:fldChar w:fldCharType="begin"/>
      </w:r>
      <w:r>
        <w:instrText xml:space="preserve"> REF _Ref451184082 \r \h </w:instrText>
      </w:r>
      <w:r>
        <w:fldChar w:fldCharType="separate"/>
      </w:r>
      <w:r w:rsidR="00746877">
        <w:t>A.15</w:t>
      </w:r>
      <w:r>
        <w:fldChar w:fldCharType="end"/>
      </w:r>
      <w:r>
        <w:t>.</w:t>
      </w:r>
    </w:p>
    <w:p w:rsidR="00BA5850" w:rsidRPr="00883125" w:rsidRDefault="00BA5850" w:rsidP="00BA5850">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BA5850" w:rsidRDefault="00BA5850" w:rsidP="00BA5850">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BA5850" w:rsidRPr="00883125" w:rsidRDefault="00BA5850" w:rsidP="00BA5850">
      <w:pPr>
        <w:pStyle w:val="HeadingBoldBlue"/>
      </w:pPr>
      <w:r>
        <w:t>Recent developments</w:t>
      </w:r>
    </w:p>
    <w:p w:rsidR="00BA5850" w:rsidRDefault="00BA5850" w:rsidP="00BA5850">
      <w:pPr>
        <w:rPr>
          <w:rStyle w:val="AERbody"/>
        </w:rPr>
      </w:pPr>
      <w:r w:rsidRPr="005942A6">
        <w:rPr>
          <w:rStyle w:val="AERbody"/>
        </w:rPr>
        <w:t>Since the service providers submitted their revised proposals, a number of service providers made late submissions.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1"/>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BA5850" w:rsidRPr="00BA5850" w:rsidRDefault="00BA5850" w:rsidP="00BA5850">
      <w:pPr>
        <w:pStyle w:val="AERbulletlistfirststyle"/>
      </w:pPr>
      <w:r w:rsidRPr="00E44473">
        <w:t>there is no consensus amongst experts as to the best approach to estimating gamma</w:t>
      </w:r>
      <w:r w:rsidRPr="00BA5850">
        <w:t>.  The AER must therefore choose an appropriate value for gamma from amongst the alternatives.  We must reach our own view on the appropriate reliance to place upon different views and methodologies in reaching our decision</w:t>
      </w:r>
    </w:p>
    <w:p w:rsidR="00BA5850" w:rsidRPr="00BA5850" w:rsidRDefault="00BA5850" w:rsidP="00BA5850">
      <w:pPr>
        <w:pStyle w:val="AERbulletlistfirststyle"/>
      </w:pPr>
      <w:r w:rsidRPr="00E44473">
        <w:lastRenderedPageBreak/>
        <w:t>the Tribunal</w:t>
      </w:r>
      <w:r w:rsidRPr="00BA5850">
        <w:t>'s view that the “tax statistics approach” to estimating gamma could be used only as an “upper bound” for the purposes of ascertaining theta, is not correct</w:t>
      </w:r>
    </w:p>
    <w:p w:rsidR="00BA5850" w:rsidRPr="00BA5850" w:rsidRDefault="00BA5850" w:rsidP="00BA5850">
      <w:pPr>
        <w:pStyle w:val="AERbulletlistfirststyle"/>
      </w:pPr>
      <w:r w:rsidRPr="00E44473">
        <w:t xml:space="preserve">the </w:t>
      </w:r>
      <w:r w:rsidRPr="00BA5850">
        <w:t>Tribunal erred on the meaning of “the valuation of imputation credits” in the NER and NGR. The value of gamma should be seen as a post-tax value, before the impact of personal taxes and transaction costs, with the result that one dollar of claimed imputation credits has a post (company) tax value of one dollar to investors, before personal taxes and personal transaction costs.</w:t>
      </w:r>
    </w:p>
    <w:p w:rsidR="00BA5850" w:rsidRPr="00BA5850" w:rsidRDefault="00BA5850" w:rsidP="00BA5850">
      <w:pPr>
        <w:pStyle w:val="AERbulletlistfirststyle"/>
        <w:rPr>
          <w:rStyle w:val="AERbody"/>
        </w:rPr>
      </w:pPr>
      <w:r>
        <w:t>applying the Tribunal’s reasons in relation to gamma does not automatically lead to a value of 0.25 for gamma.</w:t>
      </w:r>
    </w:p>
    <w:p w:rsidR="00BA5850" w:rsidRPr="005942A6" w:rsidRDefault="00BA5850" w:rsidP="00BA5850">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2"/>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BA5850" w:rsidRPr="00DD1139" w:rsidRDefault="00BA5850" w:rsidP="00BA5850">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3"/>
      </w:r>
      <w:r w:rsidRPr="00DD1139">
        <w:rPr>
          <w:rStyle w:val="AERbody"/>
        </w:rPr>
        <w:t xml:space="preserve"> United Energy submitted we should apply a gamma of 0.25, consistent with the Tribunal decisions. The key issues it raised are set out in section 4.4.2.</w:t>
      </w:r>
    </w:p>
    <w:p w:rsidR="00BA5850" w:rsidRPr="005764F6" w:rsidRDefault="00BA5850" w:rsidP="00BA5850">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4"/>
      </w:r>
      <w:r w:rsidRPr="005764F6">
        <w:rPr>
          <w:rStyle w:val="AERbody"/>
        </w:rPr>
        <w:t xml:space="preserve"> </w:t>
      </w:r>
      <w:r>
        <w:rPr>
          <w:rStyle w:val="AERbody"/>
        </w:rPr>
        <w:t>W</w:t>
      </w:r>
      <w:r w:rsidRPr="005764F6">
        <w:rPr>
          <w:rStyle w:val="AERbody"/>
        </w:rPr>
        <w:t>e recognise stakeholders have not had an opportunity to comment on this advice as it was requested following the late submissions</w:t>
      </w:r>
      <w:r>
        <w:rPr>
          <w:rStyle w:val="AERbody"/>
        </w:rPr>
        <w:t xml:space="preserve"> and only received shortly before the publication of our determination</w:t>
      </w:r>
      <w:r w:rsidRPr="005764F6">
        <w:rPr>
          <w:rStyle w:val="AERbody"/>
        </w:rPr>
        <w:t>. We consider the advice from Lally is directed only to the issues that have been raised for our consideration.</w:t>
      </w:r>
    </w:p>
    <w:p w:rsidR="00BA5850" w:rsidRPr="005764F6" w:rsidRDefault="00BA5850" w:rsidP="00BA5850">
      <w:pPr>
        <w:rPr>
          <w:rStyle w:val="AERbody"/>
        </w:rPr>
      </w:pPr>
      <w:r w:rsidRPr="005764F6">
        <w:rPr>
          <w:rStyle w:val="AERbody"/>
        </w:rPr>
        <w:t>Following this review, we consider the use of a gamma of 0.4 is appropriate for the reasons set out in this decision</w:t>
      </w:r>
      <w:r>
        <w:rPr>
          <w:rStyle w:val="AERbody"/>
        </w:rPr>
        <w:t xml:space="preserve"> and we therefore maintain that value from our preliminary determination</w:t>
      </w:r>
      <w:r w:rsidRPr="005764F6">
        <w:rPr>
          <w:rStyle w:val="AERbody"/>
        </w:rPr>
        <w:t xml:space="preserve">. These reasons are substantively based on the reasons we set out in prior decisions, but we have clarified our reasoning in response to the issues raised in the late submissions following the Tribunal's recent decisions. </w:t>
      </w:r>
      <w:r w:rsidRPr="005764F6" w:rsidDel="006E2669">
        <w:rPr>
          <w:rStyle w:val="AERbody"/>
        </w:rPr>
        <w:t xml:space="preserve"> </w:t>
      </w:r>
    </w:p>
    <w:p w:rsidR="00BA5850" w:rsidRPr="005764F6" w:rsidRDefault="00BA5850" w:rsidP="0086094B">
      <w:pPr>
        <w:keepNext/>
        <w:rPr>
          <w:rStyle w:val="AERbody"/>
        </w:rPr>
      </w:pPr>
      <w:r w:rsidRPr="005764F6">
        <w:rPr>
          <w:rStyle w:val="AERbody"/>
        </w:rPr>
        <w:lastRenderedPageBreak/>
        <w:t>With regard to United Energy's late submission, we consider:</w:t>
      </w:r>
    </w:p>
    <w:p w:rsidR="00BA5850" w:rsidRPr="00BA5850" w:rsidRDefault="00BA5850" w:rsidP="0086094B">
      <w:pPr>
        <w:pStyle w:val="AERbulletlistfirststyle"/>
        <w:keepNext/>
      </w:pPr>
      <w:r w:rsidRPr="005764F6">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Pr="00BA5850">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BA5850">
        <w:fldChar w:fldCharType="begin"/>
      </w:r>
      <w:r w:rsidRPr="00BA5850">
        <w:instrText xml:space="preserve"> REF _Ref415144114 \r \h  \* MERGEFORMAT </w:instrText>
      </w:r>
      <w:r w:rsidRPr="00BA5850">
        <w:fldChar w:fldCharType="separate"/>
      </w:r>
      <w:r w:rsidR="00746877">
        <w:t>A.5</w:t>
      </w:r>
      <w:r w:rsidRPr="00BA5850">
        <w:fldChar w:fldCharType="end"/>
      </w:r>
      <w:r w:rsidRPr="00BA5850">
        <w:t xml:space="preserve"> and </w:t>
      </w:r>
      <w:r w:rsidRPr="00BA5850">
        <w:fldChar w:fldCharType="begin"/>
      </w:r>
      <w:r w:rsidRPr="00BA5850">
        <w:instrText xml:space="preserve"> REF _Ref400965182 \r \h  \* MERGEFORMAT </w:instrText>
      </w:r>
      <w:r w:rsidRPr="00BA5850">
        <w:fldChar w:fldCharType="separate"/>
      </w:r>
      <w:r w:rsidR="00746877">
        <w:t>A.6</w:t>
      </w:r>
      <w:r w:rsidRPr="00BA5850">
        <w:fldChar w:fldCharType="end"/>
      </w:r>
      <w:r w:rsidRPr="00BA5850">
        <w:t>.</w:t>
      </w:r>
    </w:p>
    <w:p w:rsidR="00BA5850" w:rsidRPr="00BA5850" w:rsidRDefault="00BA5850" w:rsidP="00BA5850">
      <w:pPr>
        <w:pStyle w:val="AERbulletlistfirststyle"/>
      </w:pPr>
      <w:r w:rsidRPr="005764F6">
        <w:t>O</w:t>
      </w:r>
      <w:r w:rsidRPr="00BA5850">
        <w:t xml:space="preserve">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BA5850">
        <w:fldChar w:fldCharType="begin"/>
      </w:r>
      <w:r w:rsidRPr="00BA5850">
        <w:instrText xml:space="preserve"> REF _Ref450298425 \r \h  \* MERGEFORMAT </w:instrText>
      </w:r>
      <w:r w:rsidRPr="00BA5850">
        <w:fldChar w:fldCharType="separate"/>
      </w:r>
      <w:r w:rsidR="00746877">
        <w:t>A.8.2</w:t>
      </w:r>
      <w:r w:rsidRPr="00BA5850">
        <w:fldChar w:fldCharType="end"/>
      </w:r>
      <w:r w:rsidRPr="00BA5850">
        <w:t xml:space="preserve">). Our interpretation of the post-tax framework in the NER/NGR is covered in section </w:t>
      </w:r>
      <w:r w:rsidRPr="00BA5850">
        <w:fldChar w:fldCharType="begin"/>
      </w:r>
      <w:r w:rsidRPr="00BA5850">
        <w:instrText xml:space="preserve"> REF _Ref400965182 \r \h  \* MERGEFORMAT </w:instrText>
      </w:r>
      <w:r w:rsidRPr="00BA5850">
        <w:fldChar w:fldCharType="separate"/>
      </w:r>
      <w:r w:rsidR="00746877">
        <w:t>A.6</w:t>
      </w:r>
      <w:r w:rsidRPr="00BA5850">
        <w:fldChar w:fldCharType="end"/>
      </w:r>
      <w:r w:rsidRPr="00BA5850">
        <w:t xml:space="preserve">. </w:t>
      </w:r>
    </w:p>
    <w:p w:rsidR="00BA5850" w:rsidRPr="00BA5850" w:rsidRDefault="00BA5850" w:rsidP="00BA5850">
      <w:pPr>
        <w:pStyle w:val="AERbulletlistfirststyle"/>
      </w:pPr>
      <w:r w:rsidRPr="005764F6">
        <w:t>We use a range of relevant evidence to estimate the utilisation</w:t>
      </w:r>
      <w:r w:rsidRPr="00BA5850">
        <w:t xml:space="preserve"> rate. We consider:</w:t>
      </w:r>
    </w:p>
    <w:p w:rsidR="00BA5850" w:rsidRPr="005764F6" w:rsidRDefault="00BA5850" w:rsidP="00BA5850">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746877">
        <w:t>A.12</w:t>
      </w:r>
      <w:r w:rsidRPr="005764F6">
        <w:fldChar w:fldCharType="end"/>
      </w:r>
      <w:r w:rsidRPr="005764F6">
        <w:t>).</w:t>
      </w:r>
    </w:p>
    <w:p w:rsidR="00BA5850" w:rsidRPr="005764F6" w:rsidRDefault="00BA5850" w:rsidP="00BA5850">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 place less reliance upon it. (see section </w:t>
      </w:r>
      <w:r w:rsidRPr="005764F6">
        <w:fldChar w:fldCharType="begin"/>
      </w:r>
      <w:r w:rsidRPr="005764F6">
        <w:instrText xml:space="preserve"> REF _Ref402179420 \r \h  \* MERGEFORMAT </w:instrText>
      </w:r>
      <w:r w:rsidRPr="005764F6">
        <w:fldChar w:fldCharType="separate"/>
      </w:r>
      <w:r w:rsidR="00746877">
        <w:t>A.13</w:t>
      </w:r>
      <w:r w:rsidRPr="005764F6">
        <w:fldChar w:fldCharType="end"/>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6"/>
      </w:r>
    </w:p>
    <w:p w:rsidR="00BA5850" w:rsidRPr="005764F6" w:rsidRDefault="00BA5850" w:rsidP="00BA5850">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w:t>
      </w:r>
      <w:r w:rsidRPr="005764F6">
        <w:lastRenderedPageBreak/>
        <w:t xml:space="preserve">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746877">
        <w:t>A.15</w:t>
      </w:r>
      <w:r w:rsidRPr="005764F6">
        <w:fldChar w:fldCharType="end"/>
      </w:r>
      <w:r w:rsidRPr="005764F6">
        <w:t>).</w:t>
      </w:r>
      <w:r w:rsidRPr="00583683">
        <w:rPr>
          <w:rStyle w:val="FootnoteReference"/>
        </w:rPr>
        <w:footnoteReference w:id="17"/>
      </w:r>
    </w:p>
    <w:p w:rsidR="00BA5850" w:rsidRPr="00BA5850" w:rsidRDefault="00BA5850" w:rsidP="00BA5850">
      <w:pPr>
        <w:pStyle w:val="AERbulletlistfirststyle"/>
      </w:pPr>
      <w:r w:rsidRPr="005764F6">
        <w:t xml:space="preserve">Tax statistics do not </w:t>
      </w:r>
      <w:r w:rsidRPr="00BA5850">
        <w:t>provide an upper bound estimate for gamma, as the Tribunal found.</w:t>
      </w:r>
      <w:r w:rsidRPr="00BA5850">
        <w:footnoteReference w:id="18"/>
      </w:r>
      <w:r w:rsidRPr="00BA5850">
        <w:t xml:space="preserve"> Lally supports this view.</w:t>
      </w:r>
      <w:r w:rsidRPr="00BA5850">
        <w:rPr>
          <w:rStyle w:val="FootnoteReference"/>
        </w:rPr>
        <w:footnoteReference w:id="19"/>
      </w:r>
      <w:r w:rsidRPr="00BA5850">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BA5850">
        <w:fldChar w:fldCharType="begin"/>
      </w:r>
      <w:r w:rsidRPr="00BA5850">
        <w:instrText xml:space="preserve"> REF _Ref402179420 \r \h  \* MERGEFORMAT </w:instrText>
      </w:r>
      <w:r w:rsidRPr="00BA5850">
        <w:fldChar w:fldCharType="separate"/>
      </w:r>
      <w:r w:rsidR="00746877">
        <w:t>A.13</w:t>
      </w:r>
      <w:r w:rsidRPr="00BA5850">
        <w:fldChar w:fldCharType="end"/>
      </w:r>
      <w:r w:rsidRPr="00BA5850">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BA5850" w:rsidRPr="00BA5850" w:rsidRDefault="00BA5850" w:rsidP="00BA5850">
      <w:pPr>
        <w:pStyle w:val="AERbulletlistfirststyle"/>
      </w:pPr>
      <w:r w:rsidRPr="005764F6">
        <w:t xml:space="preserve">Because tax statistics are not an upper bound, there </w:t>
      </w:r>
      <w:r w:rsidRPr="00BA5850">
        <w:t>is no evidence the equity ownership approach materially overstates the true utilisation rate. On this point, we also consider:</w:t>
      </w:r>
    </w:p>
    <w:p w:rsidR="00BA5850" w:rsidRPr="005764F6" w:rsidRDefault="00BA5850" w:rsidP="00BA5850">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746877">
        <w:t>A.8.3</w:t>
      </w:r>
      <w:r w:rsidRPr="005764F6">
        <w:fldChar w:fldCharType="end"/>
      </w:r>
      <w:r w:rsidRPr="005764F6">
        <w:t>.</w:t>
      </w:r>
    </w:p>
    <w:p w:rsidR="00BA5850" w:rsidRPr="005764F6" w:rsidRDefault="00BA5850" w:rsidP="00BA5850">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BA5850" w:rsidRPr="00BA5850" w:rsidRDefault="00BA5850" w:rsidP="00BA5850">
      <w:pPr>
        <w:pStyle w:val="AERbulletlistfirststyle"/>
      </w:pPr>
      <w:r w:rsidRPr="005764F6">
        <w:t xml:space="preserve">It is open to us to </w:t>
      </w:r>
      <w:r w:rsidRPr="00BA5850">
        <w:t xml:space="preserve">have regard to a listed equity measure of the distribution rate, which we consider is reasonably reflective of a benchmark efficient entity given the trade-offs associated with choosing an appropriate dataset (see section </w:t>
      </w:r>
      <w:r w:rsidRPr="00BA5850">
        <w:fldChar w:fldCharType="begin"/>
      </w:r>
      <w:r w:rsidRPr="00BA5850">
        <w:instrText xml:space="preserve"> REF _Ref401133206 \r \h  \* MERGEFORMAT </w:instrText>
      </w:r>
      <w:r w:rsidRPr="00BA5850">
        <w:fldChar w:fldCharType="separate"/>
      </w:r>
      <w:r w:rsidR="00746877">
        <w:t>A.10</w:t>
      </w:r>
      <w:r w:rsidRPr="00BA5850">
        <w:fldChar w:fldCharType="end"/>
      </w:r>
      <w:r w:rsidRPr="00BA5850">
        <w:t>).</w:t>
      </w:r>
      <w:r w:rsidRPr="00BA5850">
        <w:rPr>
          <w:rStyle w:val="FootnoteReference"/>
        </w:rPr>
        <w:footnoteReference w:id="20"/>
      </w:r>
      <w:r w:rsidRPr="00BA5850">
        <w:t xml:space="preserve"> In a similar vein, we agree with Lally that it is not essential (but 'nor is it precluded') to combine estimates of the distribution rate and utilisation rate from the same dataset (see section </w:t>
      </w:r>
      <w:r w:rsidRPr="00BA5850">
        <w:fldChar w:fldCharType="begin"/>
      </w:r>
      <w:r w:rsidRPr="00BA5850">
        <w:instrText xml:space="preserve"> REF _Ref450299300 \r \h  \* MERGEFORMAT </w:instrText>
      </w:r>
      <w:r w:rsidRPr="00BA5850">
        <w:fldChar w:fldCharType="separate"/>
      </w:r>
      <w:r w:rsidR="00746877">
        <w:t>A.9.2</w:t>
      </w:r>
      <w:r w:rsidRPr="00BA5850">
        <w:fldChar w:fldCharType="end"/>
      </w:r>
      <w:r w:rsidRPr="00BA5850">
        <w:t>).</w:t>
      </w:r>
      <w:r w:rsidRPr="00BA5850">
        <w:rPr>
          <w:rStyle w:val="FootnoteReference"/>
        </w:rPr>
        <w:footnoteReference w:id="21"/>
      </w:r>
      <w:r w:rsidRPr="00BA5850">
        <w:t xml:space="preserve"> Given this, while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BA5850">
        <w:rPr>
          <w:rStyle w:val="FootnoteReference"/>
        </w:rPr>
        <w:footnoteReference w:id="22"/>
      </w:r>
      <w:r w:rsidRPr="00BA5850">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p>
    <w:p w:rsidR="00BA5850" w:rsidRPr="005764F6" w:rsidRDefault="00BA5850" w:rsidP="00BA5850">
      <w:pPr>
        <w:rPr>
          <w:rStyle w:val="AERbody"/>
        </w:rPr>
      </w:pPr>
      <w:r w:rsidRPr="005764F6">
        <w:rPr>
          <w:rStyle w:val="AERbody"/>
        </w:rPr>
        <w:lastRenderedPageBreak/>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3"/>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Pr>
          <w:rStyle w:val="AERbody"/>
        </w:rPr>
        <w:t xml:space="preserve"> and takes into account the importance of regulatory certainty and predictability</w:t>
      </w:r>
      <w:r w:rsidRPr="005764F6">
        <w:rPr>
          <w:rStyle w:val="AERbody"/>
        </w:rPr>
        <w:t xml:space="preserve">. </w:t>
      </w:r>
    </w:p>
    <w:p w:rsidR="00BA5850" w:rsidRDefault="00BA5850" w:rsidP="00BA5850">
      <w:pPr>
        <w:pStyle w:val="HeadingBoldBlue"/>
      </w:pPr>
      <w:r>
        <w:t>The use of taxation statistics</w:t>
      </w:r>
    </w:p>
    <w:p w:rsidR="00BA5850" w:rsidRDefault="00BA5850" w:rsidP="00BA5850">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BA5850" w:rsidRPr="00243100" w:rsidRDefault="00BA5850" w:rsidP="00BA5850">
      <w:r w:rsidRPr="00243100">
        <w:t xml:space="preserve">In this final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4"/>
      </w:r>
      <w:r>
        <w:t xml:space="preserve"> For this reason, in this decision, we have placed limited weight on tax statistics.</w:t>
      </w:r>
    </w:p>
    <w:p w:rsidR="00BA5850" w:rsidRDefault="00BA5850" w:rsidP="00BA5850">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BA5850" w:rsidRDefault="00BA5850" w:rsidP="00BA5850">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746877" w:rsidRPr="00883125">
        <w:t xml:space="preserve">Table </w:t>
      </w:r>
      <w:r w:rsidR="00746877">
        <w:rPr>
          <w:noProof/>
        </w:rPr>
        <w:t>4</w:t>
      </w:r>
      <w:r w:rsidR="00746877">
        <w:noBreakHyphen/>
      </w:r>
      <w:r w:rsidR="00746877">
        <w:rPr>
          <w:noProof/>
        </w:rPr>
        <w:t>2</w:t>
      </w:r>
      <w:r>
        <w:fldChar w:fldCharType="end"/>
      </w:r>
      <w:r>
        <w:t>.</w:t>
      </w:r>
    </w:p>
    <w:p w:rsidR="00BA5850" w:rsidRPr="00883125" w:rsidRDefault="00BA5850" w:rsidP="00593A40">
      <w:pPr>
        <w:pStyle w:val="Caption"/>
      </w:pPr>
      <w:bookmarkStart w:id="81" w:name="_Ref451627331"/>
      <w:r w:rsidRPr="00883125">
        <w:lastRenderedPageBreak/>
        <w:t xml:space="preserve">Table </w:t>
      </w:r>
      <w:r w:rsidRPr="00962162">
        <w:fldChar w:fldCharType="begin"/>
      </w:r>
      <w:r>
        <w:instrText xml:space="preserve"> STYLEREF 1 \s </w:instrText>
      </w:r>
      <w:r w:rsidRPr="00962162">
        <w:fldChar w:fldCharType="separate"/>
      </w:r>
      <w:r w:rsidR="00746877">
        <w:rPr>
          <w:noProof/>
        </w:rPr>
        <w:t>4</w:t>
      </w:r>
      <w:r w:rsidRPr="00962162">
        <w:fldChar w:fldCharType="end"/>
      </w:r>
      <w:r>
        <w:noBreakHyphen/>
      </w:r>
      <w:r w:rsidRPr="00962162">
        <w:fldChar w:fldCharType="begin"/>
      </w:r>
      <w:r>
        <w:instrText xml:space="preserve"> SEQ Table \* ARABIC \s 1 </w:instrText>
      </w:r>
      <w:r w:rsidRPr="00962162">
        <w:fldChar w:fldCharType="separate"/>
      </w:r>
      <w:r w:rsidR="00746877">
        <w:rPr>
          <w:noProof/>
        </w:rPr>
        <w:t>2</w:t>
      </w:r>
      <w:r w:rsidRPr="00962162">
        <w:fldChar w:fldCharType="end"/>
      </w:r>
      <w:bookmarkEnd w:id="8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p>
        </w:tc>
        <w:tc>
          <w:tcPr>
            <w:tcW w:w="2052" w:type="dxa"/>
          </w:tcPr>
          <w:p w:rsidR="00BA5850" w:rsidRPr="00BA5850"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A5850">
              <w:t>rate</w:t>
            </w:r>
          </w:p>
        </w:tc>
        <w:tc>
          <w:tcPr>
            <w:tcW w:w="2052" w:type="dxa"/>
          </w:tcPr>
          <w:p w:rsidR="00BA5850" w:rsidRPr="00883125"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BA5850" w:rsidRPr="00883125"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t>All equity</w:t>
            </w:r>
          </w:p>
        </w:tc>
        <w:tc>
          <w:tcPr>
            <w:tcW w:w="2052" w:type="dxa"/>
          </w:tcPr>
          <w:p w:rsidR="00BA5850" w:rsidRPr="00BA5850"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w:t>
            </w:r>
            <w:r w:rsidRPr="00BA5850">
              <w:t>48</w:t>
            </w:r>
          </w:p>
        </w:tc>
        <w:tc>
          <w:tcPr>
            <w:tcW w:w="205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t>Listed equity</w:t>
            </w:r>
          </w:p>
        </w:tc>
        <w:tc>
          <w:tcPr>
            <w:tcW w:w="2052"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rsidRPr="00883125">
              <w:t>0.</w:t>
            </w:r>
            <w:r w:rsidRPr="00BA5850">
              <w:t>48</w:t>
            </w:r>
          </w:p>
        </w:tc>
        <w:tc>
          <w:tcPr>
            <w:tcW w:w="2052"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rsidRPr="00883125">
              <w:t>0.7</w:t>
            </w:r>
            <w:r w:rsidRPr="00BA5850">
              <w:t>5</w:t>
            </w:r>
            <w:r w:rsidRPr="00BA5850">
              <w:rPr>
                <w:rStyle w:val="FootnoteReference"/>
              </w:rPr>
              <w:footnoteReference w:id="28"/>
            </w:r>
          </w:p>
        </w:tc>
        <w:tc>
          <w:tcPr>
            <w:tcW w:w="2053"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t>0.36</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t>ASX top 20 firms</w:t>
            </w:r>
          </w:p>
        </w:tc>
        <w:tc>
          <w:tcPr>
            <w:tcW w:w="2052" w:type="dxa"/>
          </w:tcPr>
          <w:p w:rsidR="00BA5850" w:rsidRPr="00BA5850"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w:t>
            </w:r>
            <w:r w:rsidRPr="00BA5850">
              <w:t>48 to 0.62</w:t>
            </w:r>
          </w:p>
        </w:tc>
        <w:tc>
          <w:tcPr>
            <w:tcW w:w="2052" w:type="dxa"/>
          </w:tcPr>
          <w:p w:rsidR="00BA5850" w:rsidRPr="00BA5850" w:rsidRDefault="00BA5850" w:rsidP="0086094B">
            <w:pPr>
              <w:keepNext/>
              <w:cnfStyle w:val="000000000000" w:firstRow="0" w:lastRow="0" w:firstColumn="0" w:lastColumn="0" w:oddVBand="0" w:evenVBand="0" w:oddHBand="0" w:evenHBand="0" w:firstRowFirstColumn="0" w:firstRowLastColumn="0" w:lastRowFirstColumn="0" w:lastRowLastColumn="0"/>
            </w:pPr>
            <w:r>
              <w:t>0.83</w:t>
            </w:r>
            <w:r w:rsidRPr="00BA5850">
              <w:rPr>
                <w:rStyle w:val="FootnoteReference"/>
              </w:rPr>
              <w:footnoteReference w:id="29"/>
            </w:r>
          </w:p>
        </w:tc>
        <w:tc>
          <w:tcPr>
            <w:tcW w:w="2053" w:type="dxa"/>
          </w:tcPr>
          <w:p w:rsidR="00BA5850" w:rsidRPr="00BA5850" w:rsidRDefault="00BA5850" w:rsidP="0086094B">
            <w:pPr>
              <w:keepNext/>
              <w:cnfStyle w:val="000000000000" w:firstRow="0" w:lastRow="0" w:firstColumn="0" w:lastColumn="0" w:oddVBand="0" w:evenVBand="0" w:oddHBand="0" w:evenHBand="0" w:firstRowFirstColumn="0" w:firstRowLastColumn="0" w:lastRowFirstColumn="0" w:lastRowLastColumn="0"/>
            </w:pPr>
            <w:r>
              <w:t>0.40</w:t>
            </w:r>
            <w:r w:rsidRPr="00BA5850">
              <w:t xml:space="preserve"> to 0.51</w:t>
            </w:r>
            <w:r w:rsidRPr="00BA5850">
              <w:rPr>
                <w:rStyle w:val="FootnoteReference"/>
              </w:rPr>
              <w:footnoteReference w:id="30"/>
            </w:r>
          </w:p>
        </w:tc>
      </w:tr>
    </w:tbl>
    <w:p w:rsidR="00BA5850" w:rsidRPr="00883125" w:rsidRDefault="00BA5850" w:rsidP="0086094B">
      <w:pPr>
        <w:pStyle w:val="AERtablesource"/>
        <w:keepNext/>
      </w:pPr>
      <w:r w:rsidRPr="00883125">
        <w:t>Source:</w:t>
      </w:r>
      <w:r w:rsidRPr="00883125">
        <w:tab/>
        <w:t>AER analysis</w:t>
      </w:r>
      <w:r>
        <w:t xml:space="preserve">; </w:t>
      </w:r>
      <w:r w:rsidRPr="00137893">
        <w:t xml:space="preserve">Lally, </w:t>
      </w:r>
      <w:r w:rsidRPr="005764F6">
        <w:rPr>
          <w:rStyle w:val="AERtextitalic"/>
        </w:rPr>
        <w:t>Gamma and the ACT Decision</w:t>
      </w:r>
      <w:r>
        <w:t xml:space="preserve">, </w:t>
      </w:r>
      <w:r w:rsidRPr="00137893">
        <w:t>May 2016, p. 6</w:t>
      </w:r>
      <w:r w:rsidRPr="00883125">
        <w:t>.</w:t>
      </w:r>
    </w:p>
    <w:p w:rsidR="00BA5850" w:rsidRDefault="00BA5850" w:rsidP="00BA5850">
      <w:r>
        <w:t>Using different distribution rates, tax statistics can potentially provide a range for gamma of 0.34 to 0.51 for the benchmark efficient entity. When Lally's preferred distribution rate is used, th</w:t>
      </w:r>
      <w:r w:rsidR="00EE6B5A">
        <w:t>is implies a gamma of at least 0.4</w:t>
      </w:r>
      <w:r>
        <w:t>.</w:t>
      </w:r>
    </w:p>
    <w:p w:rsidR="00BA5850" w:rsidRPr="00243100" w:rsidRDefault="00BA5850" w:rsidP="00BA5850">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BA5850" w:rsidRDefault="00BA5850" w:rsidP="00BA5850">
      <w:pPr>
        <w:rPr>
          <w:rStyle w:val="AERtexthighlight"/>
        </w:rPr>
      </w:pPr>
      <w:r>
        <w:lastRenderedPageBreak/>
        <w:t xml:space="preserve">For the reasons explained above (and in section </w:t>
      </w:r>
      <w:r>
        <w:fldChar w:fldCharType="begin"/>
      </w:r>
      <w:r>
        <w:instrText xml:space="preserve"> REF _Ref451774702 \r \h </w:instrText>
      </w:r>
      <w:r>
        <w:fldChar w:fldCharType="separate"/>
      </w:r>
      <w:r w:rsidR="00746877">
        <w:t>4.4</w:t>
      </w:r>
      <w:r>
        <w:fldChar w:fldCharType="end"/>
      </w:r>
      <w:r>
        <w:t xml:space="preserve"> and section </w:t>
      </w:r>
      <w:r>
        <w:fldChar w:fldCharType="begin"/>
      </w:r>
      <w:r>
        <w:instrText xml:space="preserve"> REF _Ref402179420 \r \h </w:instrText>
      </w:r>
      <w:r>
        <w:fldChar w:fldCharType="separate"/>
      </w:r>
      <w:r w:rsidR="00746877">
        <w:t>A.13</w:t>
      </w:r>
      <w:r>
        <w:fldChar w:fldCharType="end"/>
      </w:r>
      <w:r>
        <w:t>), we consider tax statistics do not demonstrate our gamma value of 0.4 is unreasonable.</w:t>
      </w:r>
    </w:p>
    <w:p w:rsidR="00BA5850" w:rsidRPr="00883125" w:rsidRDefault="00B01662" w:rsidP="00BA5850">
      <w:pPr>
        <w:pStyle w:val="Heading2"/>
      </w:pPr>
      <w:bookmarkStart w:id="82" w:name="_Toc419366914"/>
      <w:bookmarkStart w:id="83" w:name="_Ref451709428"/>
      <w:bookmarkStart w:id="84" w:name="_Toc451842234"/>
      <w:bookmarkStart w:id="85" w:name="_Toc451936160"/>
      <w:r>
        <w:t>Jemena</w:t>
      </w:r>
      <w:r w:rsidR="00BA5850" w:rsidRPr="00883125">
        <w:t>'s revised proposal</w:t>
      </w:r>
      <w:bookmarkEnd w:id="82"/>
      <w:bookmarkEnd w:id="83"/>
      <w:bookmarkEnd w:id="84"/>
      <w:bookmarkEnd w:id="85"/>
    </w:p>
    <w:p w:rsidR="00BA5850" w:rsidRPr="00883125" w:rsidRDefault="00BA5850" w:rsidP="00BA5850">
      <w:pPr>
        <w:numPr>
          <w:ilvl w:val="0"/>
          <w:numId w:val="24"/>
        </w:numPr>
      </w:pPr>
      <w:r w:rsidRPr="00883125">
        <w:t xml:space="preserve">In its revised proposal, </w:t>
      </w:r>
      <w:r w:rsidR="00555647">
        <w:t>JEN</w:t>
      </w:r>
      <w:r w:rsidRPr="00883125">
        <w:t xml:space="preserve"> did not adopt our Guideline based approach to estimating gamma as reflected in our decisions released in November 2014</w:t>
      </w:r>
      <w:r>
        <w:t>, and April, June, October and November 2015 (recent decisions)</w:t>
      </w:r>
      <w:r w:rsidRPr="00883125">
        <w:t>.</w:t>
      </w:r>
      <w:r w:rsidRPr="00883125">
        <w:rPr>
          <w:rStyle w:val="FootnoteReference"/>
        </w:rPr>
        <w:footnoteReference w:id="35"/>
      </w:r>
      <w:r w:rsidRPr="00883125">
        <w:t xml:space="preserve"> </w:t>
      </w:r>
    </w:p>
    <w:p w:rsidR="00BA5850" w:rsidRDefault="00BA5850" w:rsidP="00BA5850">
      <w:pPr>
        <w:numPr>
          <w:ilvl w:val="0"/>
          <w:numId w:val="24"/>
        </w:numPr>
      </w:pPr>
      <w:r w:rsidRPr="00883125">
        <w:t xml:space="preserve">In its revised proposal </w:t>
      </w:r>
      <w:r w:rsidR="00555647">
        <w:t>JEN</w:t>
      </w:r>
      <w:r w:rsidRPr="00883125">
        <w:t xml:space="preserve"> 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BA5850" w:rsidRDefault="00555647" w:rsidP="00BA5850">
      <w:pPr>
        <w:numPr>
          <w:ilvl w:val="0"/>
          <w:numId w:val="24"/>
        </w:numPr>
      </w:pPr>
      <w:r>
        <w:t>JEN's</w:t>
      </w:r>
      <w:r w:rsidR="00BA5850" w:rsidRPr="00883125">
        <w:t xml:space="preserve"> proposed distribution rate of 0.7 </w:t>
      </w:r>
      <w:r w:rsidR="00BA5850">
        <w:t>is</w:t>
      </w:r>
      <w:r w:rsidR="00BA5850" w:rsidRPr="00883125">
        <w:t xml:space="preserve"> consistent with the value in the Guideline and </w:t>
      </w:r>
      <w:r w:rsidR="00BA5850">
        <w:t>the</w:t>
      </w:r>
      <w:r w:rsidR="00BA5850" w:rsidRPr="00883125">
        <w:t xml:space="preserve"> value in </w:t>
      </w:r>
      <w:r w:rsidR="00BA5850">
        <w:t>our recent decisions</w:t>
      </w:r>
      <w:r w:rsidR="00BA5850" w:rsidRPr="00883125">
        <w:t xml:space="preserve"> when estimated over all companies</w:t>
      </w:r>
      <w:r w:rsidR="00BA5850">
        <w:t xml:space="preserve"> (all equity)</w:t>
      </w:r>
      <w:r w:rsidR="00BA5850" w:rsidRPr="00883125">
        <w:t xml:space="preserve">. However, in our </w:t>
      </w:r>
      <w:r w:rsidR="00BA5850">
        <w:t>recent decisions</w:t>
      </w:r>
      <w:r w:rsidR="00BA5850" w:rsidRPr="00883125">
        <w:t xml:space="preserve"> we also relied</w:t>
      </w:r>
      <w:r w:rsidR="00BA5850">
        <w:t>,</w:t>
      </w:r>
      <w:r w:rsidR="00BA5850" w:rsidRPr="00883125">
        <w:t xml:space="preserve"> in part</w:t>
      </w:r>
      <w:r w:rsidR="00BA5850">
        <w:t>,</w:t>
      </w:r>
      <w:r w:rsidR="00BA5850" w:rsidRPr="00883125">
        <w:t xml:space="preserve"> on a distribution rate estimated over just public companies</w:t>
      </w:r>
      <w:r w:rsidR="00BA5850">
        <w:t xml:space="preserve"> (listed equity). </w:t>
      </w:r>
    </w:p>
    <w:p w:rsidR="00BA5850" w:rsidRPr="00883125" w:rsidRDefault="00555647" w:rsidP="00BA5850">
      <w:pPr>
        <w:numPr>
          <w:ilvl w:val="0"/>
          <w:numId w:val="24"/>
        </w:numPr>
      </w:pPr>
      <w:r>
        <w:t>JEN's</w:t>
      </w:r>
      <w:r w:rsidR="00BA5850" w:rsidRPr="00883125" w:rsidDel="00BE2FAB">
        <w:t xml:space="preserve"> </w:t>
      </w:r>
      <w:r w:rsidR="00BA5850" w:rsidRPr="00883125">
        <w:t xml:space="preserve">proposed utilisation rate of 0.35 </w:t>
      </w:r>
      <w:r w:rsidR="00BA5850">
        <w:t>is</w:t>
      </w:r>
      <w:r w:rsidR="00BA5850" w:rsidRPr="00883125">
        <w:t xml:space="preserve"> lower than the value in the Guideline and a number of estimates we </w:t>
      </w:r>
      <w:r w:rsidR="00BA5850">
        <w:t>relied on</w:t>
      </w:r>
      <w:r w:rsidR="00BA5850" w:rsidRPr="00883125">
        <w:t xml:space="preserve"> in making our </w:t>
      </w:r>
      <w:r w:rsidR="00BA5850">
        <w:t xml:space="preserve">recent </w:t>
      </w:r>
      <w:r w:rsidR="00BA5850" w:rsidRPr="00883125">
        <w:t xml:space="preserve">decisions. </w:t>
      </w:r>
      <w:r>
        <w:t>JEN's</w:t>
      </w:r>
      <w:r w:rsidR="00BA5850" w:rsidRPr="00883125" w:rsidDel="00BE2FAB">
        <w:t xml:space="preserve"> </w:t>
      </w:r>
      <w:r w:rsidR="00BA5850" w:rsidRPr="00883125">
        <w:t xml:space="preserve">proposed utilisation rate </w:t>
      </w:r>
      <w:r w:rsidR="00BA5850">
        <w:t>is</w:t>
      </w:r>
      <w:r w:rsidR="00BA5850" w:rsidRPr="00883125">
        <w:t xml:space="preserve"> supported by Professor Stephen Gray's</w:t>
      </w:r>
      <w:r w:rsidR="00BA5850">
        <w:t xml:space="preserve"> (Gray's)</w:t>
      </w:r>
      <w:r w:rsidR="00BA5850" w:rsidRPr="00883125">
        <w:t xml:space="preserve"> view that the </w:t>
      </w:r>
      <w:r w:rsidR="00BA5850">
        <w:t>'</w:t>
      </w:r>
      <w:r w:rsidR="00BA5850" w:rsidRPr="00883125">
        <w:t>best available estimate of theta is 0.35'.</w:t>
      </w:r>
      <w:r w:rsidR="00BA5850" w:rsidRPr="00883125">
        <w:rPr>
          <w:rStyle w:val="FootnoteReference"/>
        </w:rPr>
        <w:footnoteReference w:id="37"/>
      </w:r>
      <w:r w:rsidR="00BA5850" w:rsidRPr="00883125">
        <w:t xml:space="preserve"> This estimate is from a 'dividend drop off' study by SFG Consulting and co-authored by Gray.</w:t>
      </w:r>
      <w:r w:rsidR="00BA5850" w:rsidRPr="00883125">
        <w:rPr>
          <w:rStyle w:val="FootnoteReference"/>
        </w:rPr>
        <w:footnoteReference w:id="38"/>
      </w:r>
    </w:p>
    <w:p w:rsidR="00BA5850" w:rsidRPr="00883125" w:rsidRDefault="00555647" w:rsidP="00BA5850">
      <w:r>
        <w:t>JEN's</w:t>
      </w:r>
      <w:r w:rsidR="00BA5850" w:rsidRPr="00883125" w:rsidDel="00BE2FAB">
        <w:t xml:space="preserve"> </w:t>
      </w:r>
      <w:r w:rsidR="00BA5850" w:rsidRPr="00883125">
        <w:t xml:space="preserve">proposed value of imputation credits </w:t>
      </w:r>
      <w:r w:rsidR="00BA5850">
        <w:t>(</w:t>
      </w:r>
      <w:r w:rsidR="00BA5850" w:rsidRPr="00883125">
        <w:t>of 0.25</w:t>
      </w:r>
      <w:r w:rsidR="00BA5850">
        <w:t>)</w:t>
      </w:r>
      <w:r w:rsidR="00BA5850" w:rsidRPr="00883125">
        <w:t xml:space="preserve"> and supporting reasons </w:t>
      </w:r>
      <w:r w:rsidR="00BA5850">
        <w:t>are</w:t>
      </w:r>
      <w:r w:rsidR="00BA5850" w:rsidRPr="00883125">
        <w:t xml:space="preserve"> broadly consistent with the proposals we received from a number of other service providers. </w:t>
      </w:r>
      <w:r w:rsidR="00BA5850">
        <w:t>17</w:t>
      </w:r>
      <w:r w:rsidR="00BA5850" w:rsidRPr="00883125">
        <w:t xml:space="preserve"> service providers over the past 23 </w:t>
      </w:r>
      <w:r w:rsidR="00BA5850">
        <w:t>m</w:t>
      </w:r>
      <w:r w:rsidR="00BA5850" w:rsidRPr="00883125">
        <w:t>onths have now made broadly consistent proposals on the value of imputation credits</w:t>
      </w:r>
      <w:r w:rsidR="00BA5850">
        <w:t>.</w:t>
      </w:r>
      <w:r w:rsidR="00BA5850">
        <w:rPr>
          <w:rStyle w:val="FootnoteReference"/>
        </w:rPr>
        <w:footnoteReference w:id="39"/>
      </w:r>
      <w:r w:rsidR="00BA5850" w:rsidRPr="00883125">
        <w:t xml:space="preserve"> The majority of the</w:t>
      </w:r>
      <w:r w:rsidR="00BA5850">
        <w:t>se</w:t>
      </w:r>
      <w:r w:rsidR="00BA5850"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BA5850">
        <w:rPr>
          <w:rStyle w:val="FootnoteReference"/>
        </w:rPr>
        <w:footnoteReference w:id="40"/>
      </w:r>
    </w:p>
    <w:p w:rsidR="00BA5850" w:rsidRPr="00883125" w:rsidRDefault="00BA5850" w:rsidP="0086094B">
      <w:pPr>
        <w:pStyle w:val="Heading2"/>
        <w:keepNext/>
      </w:pPr>
      <w:bookmarkStart w:id="86" w:name="_Toc450119220"/>
      <w:bookmarkStart w:id="87" w:name="_Toc450119382"/>
      <w:bookmarkStart w:id="88" w:name="_Toc450119221"/>
      <w:bookmarkStart w:id="89" w:name="_Toc450119383"/>
      <w:bookmarkStart w:id="90" w:name="_Toc408404322"/>
      <w:bookmarkStart w:id="91" w:name="_Toc419366915"/>
      <w:bookmarkStart w:id="92" w:name="_Toc451842235"/>
      <w:bookmarkStart w:id="93" w:name="_Toc451936161"/>
      <w:bookmarkEnd w:id="86"/>
      <w:bookmarkEnd w:id="87"/>
      <w:bookmarkEnd w:id="88"/>
      <w:bookmarkEnd w:id="89"/>
      <w:r w:rsidRPr="00883125">
        <w:lastRenderedPageBreak/>
        <w:t>AER’s assessment approach</w:t>
      </w:r>
      <w:bookmarkEnd w:id="90"/>
      <w:bookmarkEnd w:id="91"/>
      <w:bookmarkEnd w:id="92"/>
      <w:bookmarkEnd w:id="93"/>
    </w:p>
    <w:p w:rsidR="00BA5850" w:rsidRPr="00883125" w:rsidRDefault="00BA5850" w:rsidP="0086094B">
      <w:pPr>
        <w:keepNext/>
        <w:numPr>
          <w:ilvl w:val="0"/>
          <w:numId w:val="24"/>
        </w:numPr>
      </w:pPr>
      <w:r w:rsidRPr="00883125">
        <w:t>In this section we set out the approach we have taken to assessing proposals on the value of imputation credits. This approach includes consideration of:</w:t>
      </w:r>
    </w:p>
    <w:p w:rsidR="00BA5850" w:rsidRPr="00883125" w:rsidRDefault="00BA5850" w:rsidP="00BA5850">
      <w:pPr>
        <w:pStyle w:val="AERbulletlistfirststyle"/>
      </w:pPr>
      <w:r w:rsidRPr="00883125">
        <w:t>the requirements of the NEL/NGL and NER/NGR</w:t>
      </w:r>
    </w:p>
    <w:p w:rsidR="00BA5850" w:rsidRPr="00883125" w:rsidRDefault="00BA5850" w:rsidP="00BA5850">
      <w:pPr>
        <w:pStyle w:val="AERbulletlistfirststyle"/>
      </w:pPr>
      <w:r w:rsidRPr="00883125">
        <w:t>the Guideline</w:t>
      </w:r>
    </w:p>
    <w:p w:rsidR="00BA5850" w:rsidRPr="00883125" w:rsidRDefault="00BA5850" w:rsidP="00BA5850">
      <w:pPr>
        <w:pStyle w:val="AERbulletlistfirststyle"/>
      </w:pPr>
      <w:r w:rsidRPr="00883125">
        <w:t>our definition of the benchmark efficient entity</w:t>
      </w:r>
    </w:p>
    <w:p w:rsidR="00BA5850" w:rsidRPr="00883125" w:rsidRDefault="00BA5850" w:rsidP="00BA5850">
      <w:pPr>
        <w:pStyle w:val="AERbulletlistfirststyle"/>
      </w:pPr>
      <w:r w:rsidRPr="00883125">
        <w:t>interrelationships with other aspects of the decision</w:t>
      </w:r>
    </w:p>
    <w:p w:rsidR="00BA5850" w:rsidRPr="00883125" w:rsidRDefault="00BA5850" w:rsidP="00BA5850">
      <w:pPr>
        <w:pStyle w:val="AERbulletlistfirststyle"/>
      </w:pPr>
      <w:r w:rsidRPr="00883125">
        <w:t>expert reports</w:t>
      </w:r>
    </w:p>
    <w:p w:rsidR="00BA5850" w:rsidRPr="00883125" w:rsidRDefault="00BA5850" w:rsidP="00BA5850">
      <w:pPr>
        <w:pStyle w:val="AERbulletlistfirststyle"/>
      </w:pPr>
      <w:r w:rsidRPr="00883125">
        <w:t>our approach to determining the value of imputation credits.</w:t>
      </w:r>
    </w:p>
    <w:p w:rsidR="00BA5850" w:rsidRPr="00883125" w:rsidRDefault="00BA5850" w:rsidP="0086094B">
      <w:pPr>
        <w:pStyle w:val="Heading3"/>
        <w:ind w:left="720"/>
      </w:pPr>
      <w:bookmarkStart w:id="94" w:name="_Ref400272912"/>
      <w:bookmarkStart w:id="95" w:name="_Ref416802130"/>
      <w:bookmarkStart w:id="96" w:name="_Ref416802459"/>
      <w:bookmarkStart w:id="97" w:name="_Toc451842236"/>
      <w:bookmarkStart w:id="98" w:name="_Toc451936162"/>
      <w:r w:rsidRPr="00883125">
        <w:t xml:space="preserve">Requirements of the </w:t>
      </w:r>
      <w:bookmarkEnd w:id="94"/>
      <w:r w:rsidRPr="00883125">
        <w:t>NEL/NGL and NER/NGR</w:t>
      </w:r>
      <w:bookmarkEnd w:id="95"/>
      <w:bookmarkEnd w:id="96"/>
      <w:bookmarkEnd w:id="97"/>
      <w:bookmarkEnd w:id="98"/>
    </w:p>
    <w:p w:rsidR="00BA5850" w:rsidRPr="00883125" w:rsidRDefault="00BA5850" w:rsidP="00BA5850">
      <w:pPr>
        <w:numPr>
          <w:ilvl w:val="0"/>
          <w:numId w:val="24"/>
        </w:numPr>
      </w:pPr>
      <w:r w:rsidRPr="00883125">
        <w:t>The NER/NGR require that the estimated cost of corporate income tax of a service provider for each regulatory year (</w:t>
      </w:r>
      <w:bookmarkStart w:id="99"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9"/>
      <w:r w:rsidRPr="00883125">
        <w:t>) must be estimated in accordance with the following formula:</w:t>
      </w:r>
      <w:r>
        <w:rPr>
          <w:rStyle w:val="FootnoteReference"/>
        </w:rPr>
        <w:footnoteReference w:id="41"/>
      </w:r>
    </w:p>
    <w:p w:rsidR="00BA5850" w:rsidRPr="00883125" w:rsidRDefault="00BA5C67" w:rsidP="00BA5850">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A5850" w:rsidRPr="00883125" w:rsidRDefault="00BA5850" w:rsidP="00BA5850">
      <w:pPr>
        <w:numPr>
          <w:ilvl w:val="0"/>
          <w:numId w:val="24"/>
        </w:numPr>
      </w:pPr>
      <w:r w:rsidRPr="00883125">
        <w:t>where:</w:t>
      </w:r>
    </w:p>
    <w:p w:rsidR="00BA5850" w:rsidRPr="00BA5850" w:rsidRDefault="00BA5C67" w:rsidP="00BA585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BA5850" w:rsidRPr="00BA585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BA5850" w:rsidRPr="00BA5850" w:rsidRDefault="00BA5C67" w:rsidP="00BA585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BA5850" w:rsidRPr="00BA5850">
        <w:t> is the expected statutory income tax rate for that regulatory year as determined by the AER.</w:t>
      </w:r>
    </w:p>
    <w:p w:rsidR="00BA5850" w:rsidRPr="00BA5850" w:rsidRDefault="00BA5850" w:rsidP="00BA5850">
      <w:pPr>
        <w:pStyle w:val="AERbulletlistfirststyle"/>
      </w:pPr>
      <m:oMath>
        <m:r>
          <w:rPr>
            <w:rFonts w:ascii="Cambria Math" w:hAnsi="Cambria Math"/>
          </w:rPr>
          <m:t>γ</m:t>
        </m:r>
      </m:oMath>
      <w:r w:rsidRPr="00BA5850">
        <w:t> is the value of imputation credits.</w:t>
      </w:r>
    </w:p>
    <w:p w:rsidR="00BA5850" w:rsidRPr="00883125" w:rsidRDefault="00BA5850" w:rsidP="00BA5850">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BA5850" w:rsidRPr="00883125" w:rsidRDefault="00BA5850" w:rsidP="00BA5850">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BA5850" w:rsidRPr="00BA5850" w:rsidRDefault="00BA5850" w:rsidP="00BA5850">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BA5850">
        <w:rPr>
          <w:rStyle w:val="FootnoteReference"/>
        </w:rPr>
        <w:footnoteReference w:id="44"/>
      </w:r>
    </w:p>
    <w:p w:rsidR="00BA5850" w:rsidRPr="00BA5850" w:rsidRDefault="00BA5850" w:rsidP="00BA5850">
      <w:pPr>
        <w:pStyle w:val="AERbulletlistfirststyle"/>
      </w:pPr>
      <w:r w:rsidRPr="00883125">
        <w:t>We have received expert advice that Officer's definition of the nominal vanilla rate of return provides the basis for the rate of return framework in the NER/NGR.</w:t>
      </w:r>
      <w:r w:rsidRPr="00BA5850">
        <w:rPr>
          <w:rStyle w:val="FootnoteReference"/>
        </w:rPr>
        <w:footnoteReference w:id="45"/>
      </w:r>
      <w:r w:rsidRPr="00BA5850">
        <w:t xml:space="preserve"> Previous statements by the consultant for the majority of the service providers', Gray, and their industry association appear to support this consideration:</w:t>
      </w:r>
    </w:p>
    <w:p w:rsidR="00BA5850" w:rsidRPr="00883125" w:rsidRDefault="00BA5850" w:rsidP="00BA5850">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BA5850" w:rsidRPr="00883125" w:rsidRDefault="00BA5850" w:rsidP="00BA5850">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BA5850" w:rsidRPr="00883125" w:rsidRDefault="00BA5850" w:rsidP="00BA5850">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BA5850" w:rsidRPr="00883125" w:rsidRDefault="00BA5850" w:rsidP="00BA5850">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BA5850" w:rsidRPr="00883125" w:rsidRDefault="00BA5850" w:rsidP="00BA5850">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746877">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BA5850" w:rsidRPr="00883125" w:rsidRDefault="00BA5850" w:rsidP="00BA5850">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BA5850" w:rsidRPr="00883125" w:rsidRDefault="00BA5850" w:rsidP="00BA5850">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BA5850" w:rsidRPr="00883125" w:rsidRDefault="00BA5850" w:rsidP="00BA5850">
      <w:pPr>
        <w:pStyle w:val="AERbulletlistfirststyle"/>
      </w:pPr>
      <w:r w:rsidRPr="00883125">
        <w:t xml:space="preserve">a service provider should be provided with effective incentives in order to promote economic efficiency with respect to the regulated services it provides, and </w:t>
      </w:r>
    </w:p>
    <w:p w:rsidR="00BA5850" w:rsidRPr="00883125" w:rsidRDefault="00BA5850" w:rsidP="00BA5850">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BA5850" w:rsidRPr="00883125" w:rsidRDefault="00BA5850" w:rsidP="00BA5850">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BA5850" w:rsidRPr="00883125" w:rsidRDefault="00BA5850" w:rsidP="00BA5850">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BA5850" w:rsidRPr="00883125" w:rsidRDefault="00BA5850" w:rsidP="00BA5850">
      <w:pPr>
        <w:pStyle w:val="AERbulletlistfirststyle"/>
      </w:pPr>
      <w:r w:rsidRPr="00883125">
        <w:t>not too low, in that it contributes to providing a reasonable opportunity to recover at least efficient corporate tax costs</w:t>
      </w:r>
    </w:p>
    <w:p w:rsidR="00BA5850" w:rsidRPr="00883125" w:rsidRDefault="00BA5850" w:rsidP="00BA5850">
      <w:pPr>
        <w:pStyle w:val="AERbulletlistfirststyle"/>
      </w:pPr>
      <w:r w:rsidRPr="00883125">
        <w:t>not too high, in that it contributes to a return that is not excessive and is commensurate with the relevant risks.</w:t>
      </w:r>
    </w:p>
    <w:p w:rsidR="00BA5850" w:rsidRPr="00883125" w:rsidRDefault="00BA5850" w:rsidP="00BA5850">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BA5850" w:rsidRPr="00883125" w:rsidRDefault="00BA5850" w:rsidP="0086094B">
      <w:pPr>
        <w:pStyle w:val="Heading3"/>
        <w:ind w:left="720"/>
      </w:pPr>
      <w:bookmarkStart w:id="100" w:name="_Ref401234016"/>
      <w:bookmarkStart w:id="101" w:name="_Toc451842237"/>
      <w:bookmarkStart w:id="102" w:name="_Toc451936163"/>
      <w:r w:rsidRPr="00883125">
        <w:lastRenderedPageBreak/>
        <w:t>Rate of return Guideline</w:t>
      </w:r>
      <w:bookmarkEnd w:id="100"/>
      <w:bookmarkEnd w:id="101"/>
      <w:bookmarkEnd w:id="102"/>
    </w:p>
    <w:p w:rsidR="00BA5850" w:rsidRPr="00883125" w:rsidRDefault="00BA5850" w:rsidP="00BA5850">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BA5850" w:rsidRPr="00BA5850" w:rsidRDefault="00BA5850" w:rsidP="00BA5850">
      <w:pPr>
        <w:pStyle w:val="AERbulletlistfirststyle"/>
      </w:pPr>
      <w:r>
        <w:t>t</w:t>
      </w:r>
      <w:r w:rsidRPr="00BA5850">
        <w:t>he methodologies we propose to use to estimate the allowed rate of return (derived from the expected return on equity and the return on debt) for electricity and gas network service providers</w:t>
      </w:r>
    </w:p>
    <w:p w:rsidR="00BA5850" w:rsidRPr="00BA5850" w:rsidRDefault="00BA5850" w:rsidP="00BA5850">
      <w:pPr>
        <w:pStyle w:val="AERbulletlistfirststyle"/>
      </w:pPr>
      <w:r>
        <w:t>t</w:t>
      </w:r>
      <w:r w:rsidRPr="00BA5850">
        <w:t>he method we propose to use to estimate the value of imputation credits</w:t>
      </w:r>
    </w:p>
    <w:p w:rsidR="00BA5850" w:rsidRPr="00BA5850" w:rsidRDefault="00BA5850" w:rsidP="00BA5850">
      <w:pPr>
        <w:pStyle w:val="AERbulletlistfirststyle"/>
      </w:pPr>
      <w:r>
        <w:t>h</w:t>
      </w:r>
      <w:r w:rsidRPr="00BA5850">
        <w:t>ow these methods will result in an allowed return on equity and return on debt which we are satisfied achieve the allowed rate of return objective.</w:t>
      </w:r>
    </w:p>
    <w:p w:rsidR="00BA5850" w:rsidRPr="00883125" w:rsidRDefault="00BA5850" w:rsidP="00BA5850">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BA5850" w:rsidRPr="00883125" w:rsidRDefault="00BA5850" w:rsidP="00BA5850">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BA5850" w:rsidRPr="00BA5850" w:rsidRDefault="00BA5850" w:rsidP="0086094B">
      <w:pPr>
        <w:pStyle w:val="Heading3"/>
        <w:ind w:left="720"/>
      </w:pPr>
      <w:bookmarkStart w:id="103" w:name="_Ref404065332"/>
      <w:bookmarkStart w:id="104" w:name="_Toc451842238"/>
      <w:bookmarkStart w:id="105" w:name="_Toc451936164"/>
      <w:r w:rsidRPr="00883125">
        <w:t xml:space="preserve">Definition of </w:t>
      </w:r>
      <w:r w:rsidRPr="00BA5850">
        <w:t>a benchmark efficient entity</w:t>
      </w:r>
      <w:bookmarkEnd w:id="103"/>
      <w:bookmarkEnd w:id="104"/>
      <w:bookmarkEnd w:id="105"/>
    </w:p>
    <w:p w:rsidR="00BA5850" w:rsidRPr="00883125" w:rsidRDefault="00BA5850" w:rsidP="00BA5850">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746877">
        <w:t>4.3.1</w:t>
      </w:r>
      <w:r w:rsidRPr="00883125">
        <w:fldChar w:fldCharType="end"/>
      </w:r>
      <w:r w:rsidRPr="00883125">
        <w:t xml:space="preserve">, the NER/NGR refer to a 'benchmark efficient entity'. </w:t>
      </w:r>
      <w:r>
        <w:t>W</w:t>
      </w:r>
      <w:r w:rsidRPr="00883125">
        <w:t>e have adopted:</w:t>
      </w:r>
    </w:p>
    <w:p w:rsidR="00BA5850" w:rsidRPr="00883125" w:rsidRDefault="00BA5850" w:rsidP="00BA5850">
      <w:pPr>
        <w:pStyle w:val="AERbulletlistfirststyle"/>
      </w:pPr>
      <w:r w:rsidRPr="00883125">
        <w:t>a single benchmark across gas, electricity, transmission and distribution</w:t>
      </w:r>
    </w:p>
    <w:p w:rsidR="00BA5850" w:rsidRPr="00BA5850" w:rsidRDefault="00BA5850" w:rsidP="00BA5850">
      <w:pPr>
        <w:pStyle w:val="AERbulletlistfirststyle"/>
      </w:pPr>
      <w:r w:rsidRPr="00883125">
        <w:t>a conceptual definition of the benchmark efficient entity as 'a 'pure play', regulated energy network business operating within Australia'.</w:t>
      </w:r>
      <w:r w:rsidRPr="00BA5850">
        <w:rPr>
          <w:rStyle w:val="FootnoteReference"/>
        </w:rPr>
        <w:footnoteReference w:id="61"/>
      </w:r>
    </w:p>
    <w:p w:rsidR="00BA5850" w:rsidRDefault="00BA5850" w:rsidP="00BA5850">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BA5850" w:rsidRPr="00883125" w:rsidRDefault="00BA5850" w:rsidP="00BA5850">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w:t>
      </w:r>
      <w:r w:rsidRPr="001806B7">
        <w:lastRenderedPageBreak/>
        <w:t>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BA5850" w:rsidRPr="00883125" w:rsidRDefault="00BA5850" w:rsidP="0086094B">
      <w:pPr>
        <w:pStyle w:val="Heading3"/>
        <w:ind w:left="720"/>
      </w:pPr>
      <w:bookmarkStart w:id="106" w:name="_Ref415070818"/>
      <w:bookmarkStart w:id="107" w:name="_Toc451842239"/>
      <w:bookmarkStart w:id="108" w:name="_Toc451936165"/>
      <w:r w:rsidRPr="00883125">
        <w:t>Interrelationships</w:t>
      </w:r>
      <w:bookmarkEnd w:id="106"/>
      <w:bookmarkEnd w:id="107"/>
      <w:bookmarkEnd w:id="108"/>
    </w:p>
    <w:p w:rsidR="00BA5850" w:rsidRPr="00883125" w:rsidRDefault="00BA5850" w:rsidP="00BA5850">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BA5850" w:rsidRPr="00883125" w:rsidRDefault="00BA5850" w:rsidP="00BA5850">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BA5850" w:rsidRPr="00883125" w:rsidRDefault="00BA5850" w:rsidP="00BA5850">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BA5850" w:rsidRPr="00883125" w:rsidRDefault="00BA5850" w:rsidP="00BA5850">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BA5850" w:rsidRPr="00883125" w:rsidRDefault="00BA5850" w:rsidP="00BA5850">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w:t>
      </w:r>
      <w:r w:rsidRPr="00883125">
        <w:lastRenderedPageBreak/>
        <w:t>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BA5850" w:rsidRPr="00883125" w:rsidRDefault="00BA5850" w:rsidP="0086094B">
      <w:pPr>
        <w:pStyle w:val="Heading3"/>
        <w:ind w:left="720"/>
      </w:pPr>
      <w:bookmarkStart w:id="109" w:name="_Toc451842240"/>
      <w:bookmarkStart w:id="110" w:name="_Toc451936166"/>
      <w:r w:rsidRPr="00883125">
        <w:t>Expert reports</w:t>
      </w:r>
      <w:bookmarkEnd w:id="109"/>
      <w:bookmarkEnd w:id="110"/>
    </w:p>
    <w:p w:rsidR="00BA5850" w:rsidRPr="00883125" w:rsidRDefault="00BA5850" w:rsidP="00BA5850">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BA5850" w:rsidRPr="00883125" w:rsidRDefault="00BA5850" w:rsidP="00BA5850">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BA5850" w:rsidRPr="00BA5850" w:rsidRDefault="00BA5850" w:rsidP="00BA5850">
      <w:pPr>
        <w:pStyle w:val="AERbulletlistfirststyle"/>
      </w:pPr>
      <w:r w:rsidRPr="00883125">
        <w:t>the May 2014, February 2015,</w:t>
      </w:r>
      <w:r w:rsidRPr="00BA5850">
        <w:t xml:space="preserve"> June 2015 and January 2016 reports by Professor Stephen Gray that were commissioned by service providers.</w:t>
      </w:r>
      <w:r w:rsidRPr="00BA5850">
        <w:rPr>
          <w:rStyle w:val="FootnoteReference"/>
        </w:rPr>
        <w:footnoteReference w:id="67"/>
      </w:r>
    </w:p>
    <w:p w:rsidR="00BA5850" w:rsidRPr="00BA5850" w:rsidRDefault="00BA5850" w:rsidP="00BA5850">
      <w:pPr>
        <w:pStyle w:val="AERbulletlistfirststyle"/>
      </w:pPr>
      <w:r w:rsidRPr="00883125">
        <w:t>the March 2015, April 2015 and June 2015 reports by NERA Economic Consulting (NERA) that were commissioned by service providers.</w:t>
      </w:r>
      <w:r w:rsidRPr="00BA5850">
        <w:rPr>
          <w:rStyle w:val="FootnoteReference"/>
        </w:rPr>
        <w:footnoteReference w:id="68"/>
      </w:r>
    </w:p>
    <w:p w:rsidR="00BA5850" w:rsidRPr="00BA5850" w:rsidRDefault="00BA5850" w:rsidP="00BA5850">
      <w:pPr>
        <w:pStyle w:val="AERbulletlistfirststyle"/>
      </w:pPr>
      <w:r w:rsidRPr="00883125">
        <w:t>the November 2013 and March 2014 reports by Associate Professor Lally that were commissioned by the Queensland Competition Authority.</w:t>
      </w:r>
      <w:r w:rsidRPr="00BA5850">
        <w:rPr>
          <w:rStyle w:val="FootnoteReference"/>
        </w:rPr>
        <w:footnoteReference w:id="69"/>
      </w:r>
    </w:p>
    <w:p w:rsidR="00BA5850" w:rsidRPr="00BA5850" w:rsidRDefault="00BA5850" w:rsidP="00BA5850">
      <w:pPr>
        <w:pStyle w:val="AERbulletlistfirststyle"/>
      </w:pPr>
      <w:r w:rsidRPr="00883125">
        <w:t>an October 2013 review of a network rail access undertaking by Professor Michael McKenzie of the University of Liverpool and Associate Professor Graham Partington of the University of Sydney.</w:t>
      </w:r>
      <w:r w:rsidRPr="00BA5850">
        <w:rPr>
          <w:rStyle w:val="FootnoteReference"/>
        </w:rPr>
        <w:footnoteReference w:id="70"/>
      </w:r>
      <w:r w:rsidRPr="00BA5850">
        <w:t xml:space="preserve"> This review was commissioned by the Queensland Resources Council and submitted to the Queensland Competition Authority.</w:t>
      </w:r>
    </w:p>
    <w:p w:rsidR="00BA5850" w:rsidRPr="00BA5850" w:rsidRDefault="00BA5850" w:rsidP="00BA5850">
      <w:pPr>
        <w:pStyle w:val="AERbulletlistfirststyle"/>
      </w:pPr>
      <w:r w:rsidRPr="00883125">
        <w:t>a September 2013 report on tax statistics by Dr. Neville Hathaway that was commissioned by the Energy Networks Association.</w:t>
      </w:r>
      <w:r w:rsidRPr="00BA5850">
        <w:rPr>
          <w:rStyle w:val="FootnoteReference"/>
        </w:rPr>
        <w:footnoteReference w:id="71"/>
      </w:r>
    </w:p>
    <w:p w:rsidR="00BA5850" w:rsidRPr="00BA5850" w:rsidRDefault="00BA5850" w:rsidP="00BA5850">
      <w:pPr>
        <w:pStyle w:val="AERbulletlistfirststyle"/>
      </w:pPr>
      <w:r w:rsidRPr="00883125">
        <w:t>a June 2013 report on the distribution rate by NERA that was commissioned by the Energy Networks Association.</w:t>
      </w:r>
      <w:r w:rsidRPr="00BA5850">
        <w:rPr>
          <w:rStyle w:val="FootnoteReference"/>
        </w:rPr>
        <w:footnoteReference w:id="72"/>
      </w:r>
    </w:p>
    <w:p w:rsidR="00BA5850" w:rsidRPr="00883125" w:rsidRDefault="00BA5850" w:rsidP="0086094B">
      <w:pPr>
        <w:pStyle w:val="Heading3"/>
        <w:ind w:left="720"/>
      </w:pPr>
      <w:bookmarkStart w:id="111" w:name="_Ref415048973"/>
      <w:bookmarkStart w:id="112" w:name="_Toc451842241"/>
      <w:bookmarkStart w:id="113" w:name="_Toc451936167"/>
      <w:r w:rsidRPr="00883125">
        <w:lastRenderedPageBreak/>
        <w:t>Approach to determining the value of imputation credits</w:t>
      </w:r>
      <w:bookmarkEnd w:id="111"/>
      <w:bookmarkEnd w:id="112"/>
      <w:bookmarkEnd w:id="113"/>
    </w:p>
    <w:p w:rsidR="00BA5850" w:rsidRPr="00883125" w:rsidRDefault="00BA5850" w:rsidP="00BA5850">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BA5850" w:rsidRPr="00BA5850" w:rsidRDefault="00BA5850" w:rsidP="00BA5850">
      <w:pPr>
        <w:pStyle w:val="AERbulletlistfirststyle"/>
      </w:pPr>
      <w:r>
        <w:t>T</w:t>
      </w:r>
      <w:r w:rsidRPr="00BA5850">
        <w:t xml:space="preserve">he requirements of the NER/NGR—see section </w:t>
      </w:r>
      <w:r w:rsidRPr="00BA5850">
        <w:fldChar w:fldCharType="begin"/>
      </w:r>
      <w:r w:rsidRPr="00BA5850">
        <w:instrText xml:space="preserve"> REF _Ref400272912 \r \h </w:instrText>
      </w:r>
      <w:r w:rsidRPr="00BA5850">
        <w:fldChar w:fldCharType="separate"/>
      </w:r>
      <w:r w:rsidR="00746877">
        <w:t>4.3.1</w:t>
      </w:r>
      <w:r w:rsidRPr="00BA5850">
        <w:fldChar w:fldCharType="end"/>
      </w:r>
      <w:r w:rsidRPr="00BA5850">
        <w:t>.</w:t>
      </w:r>
    </w:p>
    <w:p w:rsidR="00BA5850" w:rsidRPr="00BA5850" w:rsidRDefault="00BA5850" w:rsidP="00BA5850">
      <w:pPr>
        <w:pStyle w:val="AERbulletlistfirststyle"/>
      </w:pPr>
      <w:r>
        <w:t>T</w:t>
      </w:r>
      <w:r w:rsidRPr="00BA5850">
        <w:t>he role of the value of the imputation credits in the revenue building block framework—this suggests that the value of imputation credits is intended to reflect the value of imputation credits to investors in the benchmark efficient entity.</w:t>
      </w:r>
      <w:r w:rsidRPr="00BA5850">
        <w:rPr>
          <w:rStyle w:val="FootnoteReference"/>
        </w:rPr>
        <w:footnoteReference w:id="74"/>
      </w:r>
    </w:p>
    <w:p w:rsidR="00BA5850" w:rsidRPr="00BA5850" w:rsidRDefault="00BA5850" w:rsidP="00BA5850">
      <w:pPr>
        <w:pStyle w:val="AERbulletlistfirststyle"/>
      </w:pPr>
      <w:r>
        <w:t>R</w:t>
      </w:r>
      <w:r w:rsidRPr="00BA5850">
        <w:t>elevant academic literature (Officer)—the framework developed in a 1994 paper by Officer is widely recognised as providing the basis for the value of imputation credits in the building block framework.</w:t>
      </w:r>
      <w:r w:rsidRPr="00BA5850">
        <w:rPr>
          <w:rStyle w:val="FootnoteReference"/>
        </w:rPr>
        <w:footnoteReference w:id="75"/>
      </w:r>
      <w:r w:rsidRPr="00BA5850">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BA5850" w:rsidRPr="00BA5850" w:rsidRDefault="00BA5850" w:rsidP="00BA5850">
      <w:pPr>
        <w:pStyle w:val="AERbulletlistfirststyle"/>
      </w:pPr>
      <w:r>
        <w:t>Relevant academic literature (Monkhouse)—t</w:t>
      </w:r>
      <w:r w:rsidRPr="00BA5850">
        <w:t>he work of Monkhouse (and others) extends the Officer framework, and shows that the value of imputation credits can be estimated as the product of two parameters:</w:t>
      </w:r>
    </w:p>
    <w:p w:rsidR="00BA5850" w:rsidRPr="00883125" w:rsidRDefault="00BA5850" w:rsidP="00BA5850">
      <w:pPr>
        <w:pStyle w:val="AERbulletlistsecondstyle"/>
      </w:pPr>
      <w:r w:rsidRPr="00883125">
        <w:t xml:space="preserve">the proportion of imputation credits generated that is distributed to investors (the distribution rate) </w:t>
      </w:r>
    </w:p>
    <w:p w:rsidR="00BA5850" w:rsidRPr="00883125" w:rsidRDefault="00BA5850" w:rsidP="00BA5850">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BA5850" w:rsidRPr="00883125" w:rsidRDefault="00BA5850" w:rsidP="00BA5850">
      <w:pPr>
        <w:pStyle w:val="ListContinue"/>
      </w:pPr>
      <w:r w:rsidRPr="00883125">
        <w:t>Consistent with this literature, we determine the value of imputation credits as the product of these two parameters.</w:t>
      </w:r>
    </w:p>
    <w:p w:rsidR="00BA5850" w:rsidRPr="00BA5850" w:rsidRDefault="00BA5850" w:rsidP="00BA5850">
      <w:pPr>
        <w:pStyle w:val="AERbulletlistfirststyle"/>
      </w:pPr>
      <w:r>
        <w:t>A</w:t>
      </w:r>
      <w:r w:rsidRPr="00BA5850">
        <w:t xml:space="preserve"> wide range of relevant evidence—we use this range of evidence to estimate the distribution rate and utilisation rate. In particular:</w:t>
      </w:r>
    </w:p>
    <w:p w:rsidR="00BA5850" w:rsidRDefault="00BA5850" w:rsidP="00BA5850">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BA5850" w:rsidRPr="00883125" w:rsidRDefault="00BA5850" w:rsidP="00BA5850">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BA5850" w:rsidRPr="00883125" w:rsidRDefault="00BA5850" w:rsidP="00BA5850">
      <w:pPr>
        <w:pStyle w:val="AERbulletlistthirdstyle"/>
      </w:pPr>
      <w:r w:rsidRPr="00883125">
        <w:lastRenderedPageBreak/>
        <w:t>the proportion of Australian equity held by domestic investors (the 'equity ownership approach')</w:t>
      </w:r>
      <w:r>
        <w:rPr>
          <w:rStyle w:val="FootnoteReference"/>
        </w:rPr>
        <w:footnoteReference w:id="78"/>
      </w:r>
    </w:p>
    <w:p w:rsidR="00BA5850" w:rsidRPr="00883125" w:rsidRDefault="00BA5850" w:rsidP="00BA5850">
      <w:pPr>
        <w:pStyle w:val="AERbulletlistthirdstyle"/>
      </w:pPr>
      <w:r w:rsidRPr="00883125">
        <w:t>the reported value of credits utilised by investors in Australian Taxation Office (ATO) statistics ('tax statistics')</w:t>
      </w:r>
      <w:r>
        <w:rPr>
          <w:rStyle w:val="FootnoteReference"/>
        </w:rPr>
        <w:footnoteReference w:id="79"/>
      </w:r>
    </w:p>
    <w:p w:rsidR="00BA5850" w:rsidRDefault="00BA5850" w:rsidP="00BA5850">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BA5850" w:rsidRDefault="00BA5850" w:rsidP="00BA5850">
      <w:pPr>
        <w:pStyle w:val="ListContinue3"/>
      </w:pPr>
      <w:r>
        <w:t>We place varying levels of reliance on these sources of evidence (which is supported by Lally).</w:t>
      </w:r>
      <w:r w:rsidRPr="00A316AD">
        <w:rPr>
          <w:rStyle w:val="FootnoteReference"/>
        </w:rPr>
        <w:footnoteReference w:id="81"/>
      </w:r>
      <w:r>
        <w:t xml:space="preserve"> That is:</w:t>
      </w:r>
    </w:p>
    <w:p w:rsidR="00BA5850" w:rsidRDefault="00BA5850" w:rsidP="00BA5850">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BA5850" w:rsidRDefault="00BA5850" w:rsidP="00BA5850">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BA5850" w:rsidRDefault="00BA5850" w:rsidP="00BA5850">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BA5850" w:rsidRDefault="00BA5850" w:rsidP="00BA5850">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BA5850" w:rsidRPr="00883125" w:rsidRDefault="00BA5850" w:rsidP="00BA5850">
      <w:pPr>
        <w:pStyle w:val="AERbulletlistfirststyle"/>
      </w:pPr>
      <w:r w:rsidRPr="00883125">
        <w:t>the views of experts—experts differ in their interpretations of the:</w:t>
      </w:r>
    </w:p>
    <w:p w:rsidR="00BA5850" w:rsidRPr="00883125" w:rsidRDefault="00BA5850" w:rsidP="00BA5850">
      <w:pPr>
        <w:pStyle w:val="AERbulletlistsecondstyle"/>
      </w:pPr>
      <w:r w:rsidRPr="00883125">
        <w:t>role of the value of imputation credits in the regulatory framework</w:t>
      </w:r>
    </w:p>
    <w:p w:rsidR="00BA5850" w:rsidRPr="00883125" w:rsidRDefault="00BA5850" w:rsidP="00BA5850">
      <w:pPr>
        <w:pStyle w:val="AERbulletlistsecondstyle"/>
      </w:pPr>
      <w:r w:rsidRPr="00883125">
        <w:t>underlying theory and academic literature</w:t>
      </w:r>
    </w:p>
    <w:p w:rsidR="00BA5850" w:rsidRPr="00883125" w:rsidRDefault="00BA5850" w:rsidP="00BA5850">
      <w:pPr>
        <w:pStyle w:val="AERbulletlistsecondstyle"/>
      </w:pPr>
      <w:r w:rsidRPr="00883125">
        <w:t>relevance of different estimation techniques, particularly for the utilisation rate</w:t>
      </w:r>
      <w:r>
        <w:t>.</w:t>
      </w:r>
    </w:p>
    <w:p w:rsidR="00BA5850" w:rsidRPr="00883125" w:rsidRDefault="00BA5850" w:rsidP="0086094B">
      <w:pPr>
        <w:pStyle w:val="Heading2"/>
        <w:keepNext/>
      </w:pPr>
      <w:bookmarkStart w:id="114" w:name="_Toc408404324"/>
      <w:bookmarkStart w:id="115" w:name="_Toc419366917"/>
      <w:bookmarkStart w:id="116" w:name="_Ref451240509"/>
      <w:bookmarkStart w:id="117" w:name="_Ref451240512"/>
      <w:bookmarkStart w:id="118" w:name="_Ref451240513"/>
      <w:bookmarkStart w:id="119" w:name="_Ref451240526"/>
      <w:bookmarkStart w:id="120" w:name="_Ref451240541"/>
      <w:bookmarkStart w:id="121" w:name="_Ref451240553"/>
      <w:bookmarkStart w:id="122" w:name="_Ref451262944"/>
      <w:bookmarkStart w:id="123" w:name="_Ref451271627"/>
      <w:bookmarkStart w:id="124" w:name="_Ref451286698"/>
      <w:bookmarkStart w:id="125" w:name="_Ref451288073"/>
      <w:bookmarkStart w:id="126" w:name="_Ref451291076"/>
      <w:bookmarkStart w:id="127" w:name="_Ref451342609"/>
      <w:bookmarkStart w:id="128" w:name="_Ref451342743"/>
      <w:bookmarkStart w:id="129" w:name="_Ref451342752"/>
      <w:bookmarkStart w:id="130" w:name="_Ref451347585"/>
      <w:bookmarkStart w:id="131" w:name="_Ref451350649"/>
      <w:bookmarkStart w:id="132" w:name="_Ref451350656"/>
      <w:bookmarkStart w:id="133" w:name="_Ref451353895"/>
      <w:bookmarkStart w:id="134" w:name="_Ref451464892"/>
      <w:bookmarkStart w:id="135" w:name="_Ref451774702"/>
      <w:bookmarkStart w:id="136" w:name="_Ref451790207"/>
      <w:bookmarkStart w:id="137" w:name="_Ref451815218"/>
      <w:bookmarkStart w:id="138" w:name="_Toc451842242"/>
      <w:bookmarkStart w:id="139" w:name="_Toc451936168"/>
      <w:r w:rsidRPr="00883125">
        <w:lastRenderedPageBreak/>
        <w:t>Reasons for final decision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BA5850" w:rsidRPr="005764F6" w:rsidRDefault="00BA5850" w:rsidP="0086094B">
      <w:pPr>
        <w:keepNext/>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746877">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BA5850" w:rsidRPr="00BA5850" w:rsidRDefault="00BA5850" w:rsidP="00BA5850">
      <w:pPr>
        <w:pStyle w:val="AERbulletlistfirststyle"/>
      </w:pPr>
      <w:r w:rsidRPr="005764F6">
        <w:t xml:space="preserve">It </w:t>
      </w:r>
      <w:r w:rsidRPr="00BA5850">
        <w:t>is within the range of values indicated by the evidence, and the relevance of the evidence is supported by the expert opinion of Handley, Lally, and McKenzie and Partington.</w:t>
      </w:r>
    </w:p>
    <w:p w:rsidR="00BA5850" w:rsidRPr="00BA5850" w:rsidRDefault="00BA5850" w:rsidP="00BA5850">
      <w:pPr>
        <w:pStyle w:val="AERbulletlistfirststyle"/>
      </w:pPr>
      <w:r w:rsidRPr="005764F6">
        <w:t xml:space="preserve">It </w:t>
      </w:r>
      <w:r w:rsidRPr="00BA5850">
        <w:t>primarily reflects an estimate of the utilisation rate from the equity ownership approach. Handley considered this the most important approach to estimating the utilisation rate, relative to the alternatives of tax statistics and implied market value studies.</w:t>
      </w:r>
      <w:r w:rsidRPr="00BA5850">
        <w:rPr>
          <w:rStyle w:val="FootnoteReference"/>
        </w:rPr>
        <w:footnoteReference w:id="84"/>
      </w:r>
      <w:r w:rsidRPr="00BA5850">
        <w:t xml:space="preserve"> The equity ownership approach was Lally's second preference after his recommendation for a utilisation rate of 1.</w:t>
      </w:r>
      <w:r w:rsidRPr="00BA5850">
        <w:rPr>
          <w:rStyle w:val="FootnoteReference"/>
        </w:rPr>
        <w:footnoteReference w:id="85"/>
      </w:r>
    </w:p>
    <w:p w:rsidR="00BA5850" w:rsidRPr="00BA5850" w:rsidRDefault="00BA5850" w:rsidP="00BA5850">
      <w:pPr>
        <w:pStyle w:val="AERbulletlistfirststyle"/>
      </w:pPr>
      <w:r w:rsidRPr="005764F6">
        <w:t xml:space="preserve">It </w:t>
      </w:r>
      <w:r w:rsidRPr="00BA5850">
        <w:t>is within the 'preferred' range for the value of imputation credits (0.4 to 0.5) in Handley's September 2014 advice.</w:t>
      </w:r>
      <w:r w:rsidRPr="00BA5850">
        <w:rPr>
          <w:rStyle w:val="FootnoteReference"/>
        </w:rPr>
        <w:footnoteReference w:id="86"/>
      </w:r>
    </w:p>
    <w:p w:rsidR="00BA5850" w:rsidRPr="00BA5850" w:rsidRDefault="00BA5850" w:rsidP="00BA5850">
      <w:pPr>
        <w:pStyle w:val="AERbulletlistfirststyle"/>
      </w:pPr>
      <w:r w:rsidRPr="005764F6">
        <w:t xml:space="preserve">It is </w:t>
      </w:r>
      <w:r w:rsidRPr="00BA5850">
        <w:t>slightly below the Lally's recommended application of the equity ownership approach.</w:t>
      </w:r>
      <w:r w:rsidRPr="00BA5850">
        <w:rPr>
          <w:rStyle w:val="FootnoteReference"/>
        </w:rPr>
        <w:footnoteReference w:id="87"/>
      </w:r>
      <w:r w:rsidRPr="00BA5850">
        <w:t xml:space="preserve"> This suggests a gamma of at least 0.50 based on Lally's preferred estimate of the distribution rate and using the equity ownership data based on all equity (which Lally prefers). </w:t>
      </w:r>
    </w:p>
    <w:p w:rsidR="00BA5850" w:rsidRPr="00BA5850" w:rsidRDefault="00BA5850" w:rsidP="00BA5850">
      <w:pPr>
        <w:pStyle w:val="AERbulletlistfirststyle"/>
      </w:pPr>
      <w:r w:rsidRPr="005764F6">
        <w:t>It is consistent with providing regulatory certainty given it is consistent with the value we used for all regulatory decisions released in 2015</w:t>
      </w:r>
      <w:r w:rsidRPr="00BA5850">
        <w:t xml:space="preserve">, including our draft decision for </w:t>
      </w:r>
      <w:r w:rsidR="00555647">
        <w:t>JEN</w:t>
      </w:r>
      <w:r w:rsidRPr="00BA5850">
        <w:t>.</w:t>
      </w:r>
    </w:p>
    <w:p w:rsidR="00BA5850" w:rsidRPr="00BA5850" w:rsidRDefault="00BA5850" w:rsidP="00BA5850">
      <w:pPr>
        <w:pStyle w:val="AERbulletlistfirststyle"/>
      </w:pPr>
      <w:r w:rsidRPr="005764F6">
        <w:t xml:space="preserve">Based </w:t>
      </w:r>
      <w:r w:rsidRPr="00BA5850">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BA5850">
        <w:rPr>
          <w:rStyle w:val="FootnoteReference"/>
        </w:rPr>
        <w:footnoteReference w:id="88"/>
      </w:r>
      <w:r w:rsidRPr="00BA5850">
        <w:t xml:space="preserve"> The imprecision of determining the value of imputation credits was emphasised by Handley.</w:t>
      </w:r>
      <w:r w:rsidRPr="00BA5850">
        <w:rPr>
          <w:rStyle w:val="FootnoteReference"/>
        </w:rPr>
        <w:footnoteReference w:id="89"/>
      </w:r>
    </w:p>
    <w:p w:rsidR="00BA5850" w:rsidRPr="005764F6" w:rsidRDefault="00BA5850" w:rsidP="00BA5850">
      <w:pPr>
        <w:numPr>
          <w:ilvl w:val="0"/>
          <w:numId w:val="24"/>
        </w:numPr>
        <w:rPr>
          <w:rStyle w:val="AERbody"/>
        </w:rPr>
      </w:pPr>
      <w:r w:rsidRPr="005764F6">
        <w:rPr>
          <w:rStyle w:val="AERbody"/>
        </w:rPr>
        <w:t xml:space="preserve">In considering the evidence on the distribution and utilisation rates, we have broadly maintained the approach set out in the Guideline, but have re-examined the relevant </w:t>
      </w:r>
      <w:r w:rsidRPr="005764F6">
        <w:rPr>
          <w:rStyle w:val="AERbody"/>
        </w:rPr>
        <w:lastRenderedPageBreak/>
        <w:t>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BA5850" w:rsidRPr="005764F6" w:rsidRDefault="00BA5850" w:rsidP="00BA5850">
      <w:pPr>
        <w:numPr>
          <w:ilvl w:val="0"/>
          <w:numId w:val="24"/>
        </w:numPr>
        <w:rPr>
          <w:rStyle w:val="AERbody"/>
        </w:rPr>
      </w:pPr>
      <w:r w:rsidRPr="005764F6">
        <w:rPr>
          <w:rStyle w:val="AERbody"/>
        </w:rPr>
        <w:t xml:space="preserve">Further to the Guideline approach, in this final 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746877">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746877">
        <w:rPr>
          <w:rStyle w:val="AERbody"/>
        </w:rPr>
        <w:t>A.8.4</w:t>
      </w:r>
      <w:r w:rsidRPr="005764F6">
        <w:rPr>
          <w:rStyle w:val="AERbody"/>
        </w:rPr>
        <w:fldChar w:fldCharType="end"/>
      </w:r>
      <w:r w:rsidRPr="005764F6">
        <w:rPr>
          <w:rStyle w:val="AERbody"/>
        </w:rPr>
        <w:t>. We did not consider this issue in the Guideline.</w:t>
      </w:r>
    </w:p>
    <w:p w:rsidR="00BA5850" w:rsidRPr="005764F6" w:rsidRDefault="00BA5850" w:rsidP="00BA5850">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746877">
        <w:rPr>
          <w:rStyle w:val="AERbody"/>
        </w:rPr>
        <w:t>A.9.2</w:t>
      </w:r>
      <w:r w:rsidRPr="005764F6">
        <w:rPr>
          <w:rStyle w:val="AERbody"/>
        </w:rPr>
        <w:fldChar w:fldCharType="end"/>
      </w:r>
      <w:r w:rsidRPr="005764F6">
        <w:rPr>
          <w:rStyle w:val="AERbody"/>
        </w:rPr>
        <w:t>.</w:t>
      </w:r>
    </w:p>
    <w:p w:rsidR="00BA5850" w:rsidRPr="005764F6" w:rsidRDefault="00BA5850" w:rsidP="00BA5850">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r w:rsidRPr="005764F6">
        <w:rPr>
          <w:rStyle w:val="AERbody"/>
        </w:rPr>
        <w:t xml:space="preserve"> </w:t>
      </w:r>
    </w:p>
    <w:p w:rsidR="00BA5850" w:rsidRPr="005764F6" w:rsidRDefault="00BA5850" w:rsidP="00BA5850">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46877" w:rsidRPr="00746877">
        <w:rPr>
          <w:rStyle w:val="AERbody"/>
        </w:rPr>
        <w:t>table 4</w:t>
      </w:r>
      <w:r w:rsidR="00746877" w:rsidRPr="0074687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46877" w:rsidRPr="00746877">
        <w:rPr>
          <w:rStyle w:val="AERbody"/>
        </w:rPr>
        <w:t>table 4</w:t>
      </w:r>
      <w:r w:rsidR="00746877" w:rsidRPr="00746877">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BA5850" w:rsidRPr="00883125" w:rsidRDefault="00BA5850" w:rsidP="00593A40">
      <w:pPr>
        <w:pStyle w:val="Caption"/>
      </w:pPr>
      <w:bookmarkStart w:id="140" w:name="_Ref400900366"/>
      <w:bookmarkStart w:id="141" w:name="_Ref400900335"/>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3</w:t>
      </w:r>
      <w:r w:rsidRPr="00BA5850">
        <w:fldChar w:fldCharType="end"/>
      </w:r>
      <w:bookmarkEnd w:id="140"/>
      <w:r w:rsidRPr="00883125">
        <w:tab/>
        <w:t>Estimates of the value of imputation credits—evidence from all equity</w:t>
      </w:r>
      <w:bookmarkEnd w:id="141"/>
    </w:p>
    <w:tbl>
      <w:tblPr>
        <w:tblStyle w:val="AERtable-numbers"/>
        <w:tblW w:w="0" w:type="auto"/>
        <w:tblLook w:val="04A0" w:firstRow="1" w:lastRow="0" w:firstColumn="1" w:lastColumn="0" w:noHBand="0" w:noVBand="1"/>
      </w:tblPr>
      <w:tblGrid>
        <w:gridCol w:w="3085"/>
        <w:gridCol w:w="2052"/>
        <w:gridCol w:w="2052"/>
        <w:gridCol w:w="2053"/>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rsidRPr="00883125">
              <w:t xml:space="preserve">Evidence on utilisation </w:t>
            </w:r>
            <w:r>
              <w:t>rate</w:t>
            </w:r>
          </w:p>
        </w:tc>
        <w:tc>
          <w:tcPr>
            <w:tcW w:w="2052" w:type="dxa"/>
          </w:tcPr>
          <w:p w:rsidR="00BA5850" w:rsidRPr="00BA5850"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A5850">
              <w:t>rate</w:t>
            </w:r>
          </w:p>
        </w:tc>
        <w:tc>
          <w:tcPr>
            <w:tcW w:w="2052" w:type="dxa"/>
          </w:tcPr>
          <w:p w:rsidR="00BA5850" w:rsidRPr="00883125"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BA5850" w:rsidRPr="00883125" w:rsidRDefault="00BA5850" w:rsidP="0086094B">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rsidRPr="00883125">
              <w:t>Equity ownership approach</w:t>
            </w:r>
          </w:p>
        </w:tc>
        <w:tc>
          <w:tcPr>
            <w:tcW w:w="2052" w:type="dxa"/>
          </w:tcPr>
          <w:p w:rsidR="00BA5850" w:rsidRPr="00883125"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0C3267" w:rsidRDefault="00BA5850" w:rsidP="0086094B">
            <w:pPr>
              <w:keepNext/>
            </w:pPr>
            <w:r w:rsidRPr="000C3267">
              <w:t>Equity ownership approach (Lally recommended distribution rate)</w:t>
            </w:r>
          </w:p>
        </w:tc>
        <w:tc>
          <w:tcPr>
            <w:tcW w:w="2052" w:type="dxa"/>
          </w:tcPr>
          <w:p w:rsidR="00BA5850" w:rsidRPr="000C3267" w:rsidRDefault="00BA5850" w:rsidP="0086094B">
            <w:pPr>
              <w:keepNext/>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rsidRPr="000C3267">
              <w:t>0.8</w:t>
            </w:r>
            <w:r w:rsidRPr="00BA5850">
              <w:t>3</w:t>
            </w:r>
          </w:p>
        </w:tc>
        <w:tc>
          <w:tcPr>
            <w:tcW w:w="2053"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rsidRPr="000C3267">
              <w:t>0.4</w:t>
            </w:r>
            <w:r w:rsidRPr="00BA5850">
              <w:t>6 to 0.56</w:t>
            </w:r>
            <w:r w:rsidRPr="00BA5850">
              <w:rPr>
                <w:rStyle w:val="FootnoteReference"/>
              </w:rPr>
              <w:footnoteReference w:id="93"/>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rsidRPr="00883125">
              <w:t>Tax statistics</w:t>
            </w:r>
          </w:p>
        </w:tc>
        <w:tc>
          <w:tcPr>
            <w:tcW w:w="2052" w:type="dxa"/>
          </w:tcPr>
          <w:p w:rsidR="00BA5850" w:rsidRPr="00883125"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BA5850" w:rsidRPr="00883125"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A5850" w:rsidRPr="00883125" w:rsidRDefault="00BA5850" w:rsidP="0086094B">
            <w:pPr>
              <w:keepNext/>
              <w:cnfStyle w:val="000000000000" w:firstRow="0" w:lastRow="0" w:firstColumn="0" w:lastColumn="0" w:oddVBand="0" w:evenVBand="0" w:oddHBand="0" w:evenHBand="0" w:firstRowFirstColumn="0" w:firstRowLastColumn="0" w:lastRowFirstColumn="0" w:lastRowLastColumn="0"/>
            </w:pPr>
            <w:r w:rsidRPr="00883125">
              <w:t>0.34</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A5850" w:rsidRPr="00883125" w:rsidRDefault="00BA5850" w:rsidP="0086094B">
            <w:pPr>
              <w:keepNext/>
              <w:numPr>
                <w:ilvl w:val="0"/>
                <w:numId w:val="24"/>
              </w:numPr>
            </w:pPr>
            <w:r w:rsidRPr="00883125">
              <w:t>Tax statistics</w:t>
            </w:r>
            <w:r>
              <w:t xml:space="preserve"> (Lally recommended distribution rate)</w:t>
            </w:r>
          </w:p>
        </w:tc>
        <w:tc>
          <w:tcPr>
            <w:tcW w:w="2052" w:type="dxa"/>
          </w:tcPr>
          <w:p w:rsidR="00BA5850" w:rsidRPr="00883125" w:rsidRDefault="00BA5850" w:rsidP="0086094B">
            <w:pPr>
              <w:keepNext/>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BA5850" w:rsidRPr="00BA5850" w:rsidRDefault="00BA5850" w:rsidP="0086094B">
            <w:pPr>
              <w:keepNext/>
              <w:cnfStyle w:val="000000010000" w:firstRow="0" w:lastRow="0" w:firstColumn="0" w:lastColumn="0" w:oddVBand="0" w:evenVBand="0" w:oddHBand="0" w:evenHBand="1" w:firstRowFirstColumn="0" w:firstRowLastColumn="0" w:lastRowFirstColumn="0" w:lastRowLastColumn="0"/>
            </w:pPr>
            <w:r>
              <w:t>0.40</w:t>
            </w:r>
          </w:p>
        </w:tc>
      </w:tr>
    </w:tbl>
    <w:p w:rsidR="00BA5850" w:rsidRPr="00883125" w:rsidRDefault="00BA5850" w:rsidP="0086094B">
      <w:pPr>
        <w:pStyle w:val="AERtablesource"/>
        <w:keepNext/>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42" w:name="_Ref400900373"/>
    </w:p>
    <w:p w:rsidR="00BA5850" w:rsidRPr="00883125" w:rsidRDefault="00BA5850" w:rsidP="00BA5850">
      <w:pPr>
        <w:pStyle w:val="Caption"/>
      </w:pPr>
      <w:bookmarkStart w:id="143" w:name="_Ref404072148"/>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4</w:t>
      </w:r>
      <w:r w:rsidRPr="00BA5850">
        <w:fldChar w:fldCharType="end"/>
      </w:r>
      <w:bookmarkEnd w:id="142"/>
      <w:bookmarkEnd w:id="143"/>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BA5850" w:rsidRPr="00883125" w:rsidRDefault="00BA5850" w:rsidP="00BA5850">
            <w:pPr>
              <w:numPr>
                <w:ilvl w:val="0"/>
                <w:numId w:val="24"/>
              </w:numPr>
            </w:pPr>
            <w:r w:rsidRPr="00883125">
              <w:t xml:space="preserve">Evidence on utilisation </w:t>
            </w:r>
            <w:r>
              <w:t>rate</w:t>
            </w:r>
          </w:p>
        </w:tc>
        <w:tc>
          <w:tcPr>
            <w:tcW w:w="2146"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2802" w:type="dxa"/>
          </w:tcPr>
          <w:p w:rsidR="00BA5850" w:rsidRPr="00883125" w:rsidRDefault="00BA5850" w:rsidP="00BA5850">
            <w:pPr>
              <w:numPr>
                <w:ilvl w:val="0"/>
                <w:numId w:val="24"/>
              </w:numPr>
            </w:pPr>
            <w:r w:rsidRPr="00883125">
              <w:t>Equity ownership approach</w:t>
            </w:r>
          </w:p>
        </w:tc>
        <w:tc>
          <w:tcPr>
            <w:tcW w:w="2146"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BA5850" w:rsidRPr="00883125" w:rsidRDefault="00BA5850" w:rsidP="00BA5850">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BA5850" w:rsidRPr="00883125" w:rsidRDefault="00BA5850" w:rsidP="00BA5850">
            <w:r w:rsidRPr="00883125">
              <w:t>Implied market value studies</w:t>
            </w:r>
          </w:p>
          <w:p w:rsidR="00BA5850" w:rsidRPr="00883125" w:rsidRDefault="00BA5850" w:rsidP="00BA5850">
            <w:pPr>
              <w:rPr>
                <w:rStyle w:val="AERtextitalic"/>
              </w:rPr>
            </w:pPr>
            <w:r w:rsidRPr="00883125">
              <w:rPr>
                <w:rStyle w:val="AERtextitalic"/>
              </w:rPr>
              <w:t>SFG dividend drop off study</w:t>
            </w:r>
          </w:p>
        </w:tc>
        <w:tc>
          <w:tcPr>
            <w:tcW w:w="2146" w:type="dxa"/>
            <w:vAlign w:val="top"/>
          </w:tcPr>
          <w:p w:rsidR="00BA5850" w:rsidRPr="00883125" w:rsidRDefault="00BA5850" w:rsidP="00BA5850">
            <w:pPr>
              <w:cnfStyle w:val="000000010000" w:firstRow="0" w:lastRow="0" w:firstColumn="0" w:lastColumn="0" w:oddVBand="0" w:evenVBand="0" w:oddHBand="0" w:evenHBand="1" w:firstRowFirstColumn="0" w:firstRowLastColumn="0" w:lastRowFirstColumn="0" w:lastRowLastColumn="0"/>
            </w:pPr>
            <w:r w:rsidRPr="00883125">
              <w:t>0 to 1</w:t>
            </w:r>
          </w:p>
          <w:p w:rsidR="00BA5850" w:rsidRPr="00BA5850" w:rsidRDefault="00BA5850" w:rsidP="00BA5850">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BA5850">
              <w:rPr>
                <w:rStyle w:val="AERsuperscript"/>
              </w:rPr>
              <w:t>(a)</w:t>
            </w:r>
          </w:p>
        </w:tc>
        <w:tc>
          <w:tcPr>
            <w:tcW w:w="2147" w:type="dxa"/>
            <w:vAlign w:val="top"/>
          </w:tcPr>
          <w:p w:rsidR="00BA5850" w:rsidRPr="00883125" w:rsidRDefault="00BA5850" w:rsidP="00BA5850">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BA5850" w:rsidRPr="00883125" w:rsidRDefault="00BA5850" w:rsidP="00BA5850">
            <w:pPr>
              <w:cnfStyle w:val="000000010000" w:firstRow="0" w:lastRow="0" w:firstColumn="0" w:lastColumn="0" w:oddVBand="0" w:evenVBand="0" w:oddHBand="0" w:evenHBand="1" w:firstRowFirstColumn="0" w:firstRowLastColumn="0" w:lastRowFirstColumn="0" w:lastRowLastColumn="0"/>
            </w:pPr>
            <w:r w:rsidRPr="00883125">
              <w:t>0 to 0.75</w:t>
            </w:r>
          </w:p>
          <w:p w:rsidR="00BA5850" w:rsidRPr="00BA5850" w:rsidRDefault="00BA5850" w:rsidP="00BA5850">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BA5850">
              <w:rPr>
                <w:rStyle w:val="AERsuperscript"/>
              </w:rPr>
              <w:t>(b)</w:t>
            </w:r>
          </w:p>
        </w:tc>
      </w:tr>
    </w:tbl>
    <w:p w:rsidR="00BA5850" w:rsidRPr="00883125" w:rsidRDefault="00BA5850" w:rsidP="00BA5850">
      <w:pPr>
        <w:pStyle w:val="AERtablesource"/>
      </w:pPr>
      <w:r w:rsidRPr="00883125">
        <w:t>Source:</w:t>
      </w:r>
      <w:r w:rsidRPr="00883125">
        <w:tab/>
        <w:t>AER analysis.</w:t>
      </w:r>
    </w:p>
    <w:p w:rsidR="00BA5850" w:rsidRDefault="00BA5850" w:rsidP="00BA5850">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BA5850" w:rsidRPr="00883125" w:rsidRDefault="00BA5850" w:rsidP="00BA5850">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746877">
        <w:t>A.15.4</w:t>
      </w:r>
      <w:r>
        <w:fldChar w:fldCharType="end"/>
      </w:r>
      <w:r w:rsidRPr="00883125">
        <w:t xml:space="preserve">. </w:t>
      </w:r>
    </w:p>
    <w:p w:rsidR="00BA5850" w:rsidRPr="005764F6" w:rsidRDefault="00BA5850" w:rsidP="00BA5850">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4"/>
      </w:r>
      <w:r w:rsidRPr="005764F6">
        <w:rPr>
          <w:rStyle w:val="AERbody"/>
        </w:rPr>
        <w:t xml:space="preserve"> From within these possible ranges, we choose a value for gamma of 0.4 based on the following considerations: </w:t>
      </w:r>
    </w:p>
    <w:p w:rsidR="00BA5850" w:rsidRPr="00BA5850" w:rsidRDefault="00BA5850" w:rsidP="00BA5850">
      <w:pPr>
        <w:pStyle w:val="AERbulletlistfirststyle"/>
      </w:pPr>
      <w:r w:rsidRPr="005764F6">
        <w:t>T</w:t>
      </w:r>
      <w:r w:rsidRPr="00BA5850">
        <w:t xml:space="preserve">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w:t>
      </w:r>
      <w:r w:rsidRPr="00BA5850">
        <w:lastRenderedPageBreak/>
        <w:t>from the equity ownership approach with a distribution rate for listed equity from financial reports of the top 20 listed firms.</w:t>
      </w:r>
    </w:p>
    <w:p w:rsidR="00BA5850" w:rsidRPr="00BA5850" w:rsidRDefault="00BA5850" w:rsidP="00BA5850">
      <w:pPr>
        <w:pStyle w:val="AERbulletlistfirststyle"/>
      </w:pPr>
      <w:r w:rsidRPr="005764F6">
        <w:t>T</w:t>
      </w:r>
      <w:r w:rsidRPr="00BA5850">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BA5850" w:rsidRPr="00BA5850" w:rsidRDefault="00BA5850" w:rsidP="00BA5850">
      <w:pPr>
        <w:pStyle w:val="AERbulletlistfirststyle"/>
      </w:pPr>
      <w:r w:rsidRPr="005764F6">
        <w:t>The evidence from implied market value studies, on which we place even less reliance, suggests a value between 0 and 0.75. In particular, SFG's dividend drop off study</w:t>
      </w:r>
      <w:r w:rsidRPr="00BA5850" w:rsidDel="000467B0">
        <w:t xml:space="preserve"> </w:t>
      </w:r>
      <w:r w:rsidRPr="00BA5850">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BA5850" w:rsidRPr="005764F6" w:rsidRDefault="00BA5850" w:rsidP="00BA5850">
      <w:pPr>
        <w:rPr>
          <w:rStyle w:val="AERbody"/>
        </w:rPr>
      </w:pPr>
      <w:r w:rsidRPr="005764F6">
        <w:rPr>
          <w:rStyle w:val="AERbody"/>
        </w:rPr>
        <w:t>On balance, we have considered it appropriate to continue to apply a value of imputation credits of 0.4 in this final 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BA5850" w:rsidRPr="005764F6" w:rsidRDefault="00BA5850" w:rsidP="00BA5850">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for the draft decision for </w:t>
      </w:r>
      <w:r w:rsidR="00555647">
        <w:rPr>
          <w:rStyle w:val="AERbody"/>
        </w:rPr>
        <w:t>JEN</w:t>
      </w:r>
      <w:r w:rsidRPr="005764F6">
        <w:rPr>
          <w:rStyle w:val="AERbody"/>
        </w:rPr>
        <w:t>. Given these considerations, we would be reluctant to depart from the value of 0.4 used in our preliminary decision without broad stakeholder consultation, and we note stakeholders have not had an opportunity to comment on Lally's latest report.  We also do not consider Lally's report shows 0.4 is not open to us to choose when exercising our regulatory discretion.</w:t>
      </w:r>
    </w:p>
    <w:p w:rsidR="00BA5850" w:rsidRPr="005764F6" w:rsidRDefault="00BA5850" w:rsidP="00BA5850">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BA5850" w:rsidRPr="005764F6" w:rsidRDefault="00BA5850" w:rsidP="00BA5850">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746877">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746877" w:rsidRPr="00746877">
        <w:rPr>
          <w:rStyle w:val="AERbody"/>
        </w:rPr>
        <w:t>table 4</w:t>
      </w:r>
      <w:r w:rsidR="00746877" w:rsidRPr="0074687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746877" w:rsidRPr="00746877">
        <w:rPr>
          <w:rStyle w:val="AERbody"/>
        </w:rPr>
        <w:t>table 4</w:t>
      </w:r>
      <w:r w:rsidR="00746877" w:rsidRPr="00746877">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BA5850" w:rsidRPr="000C3267" w:rsidRDefault="00BA5850" w:rsidP="00BA5850">
      <w:pPr>
        <w:rPr>
          <w:rStyle w:val="AERbody"/>
        </w:rPr>
      </w:pPr>
      <w:r w:rsidRPr="005764F6">
        <w:rPr>
          <w:rStyle w:val="AERbody"/>
        </w:rPr>
        <w:t xml:space="preserve">We do not accept the service providers'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746877">
        <w:rPr>
          <w:rStyle w:val="AERbody"/>
        </w:rPr>
        <w:t>4.2</w:t>
      </w:r>
      <w:r w:rsidRPr="005764F6">
        <w:rPr>
          <w:rStyle w:val="AERbody"/>
        </w:rPr>
        <w:fldChar w:fldCharType="end"/>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on implied market value studies (or SFG's single dividend drop off study). This position is supported by a number of experts.</w:t>
      </w:r>
      <w:r w:rsidRPr="006D590A">
        <w:rPr>
          <w:rStyle w:val="FootnoteReference"/>
        </w:rPr>
        <w:footnoteReference w:id="95"/>
      </w:r>
      <w:r w:rsidRPr="000C3267">
        <w:rPr>
          <w:rStyle w:val="AERbody"/>
        </w:rPr>
        <w:t xml:space="preserve"> The South Australian Centre for Economic Studies suggested that dividend drop off studies be disregarded entirely.</w:t>
      </w:r>
      <w:r w:rsidRPr="006D590A">
        <w:rPr>
          <w:rStyle w:val="FootnoteReference"/>
        </w:rPr>
        <w:footnoteReference w:id="96"/>
      </w:r>
      <w:r w:rsidRPr="000C3267">
        <w:rPr>
          <w:rStyle w:val="AERbody"/>
        </w:rPr>
        <w:t xml:space="preserve"> </w:t>
      </w:r>
    </w:p>
    <w:p w:rsidR="00BA5850" w:rsidRPr="00883125" w:rsidRDefault="00BA5850" w:rsidP="00BA5850">
      <w:pPr>
        <w:numPr>
          <w:ilvl w:val="0"/>
          <w:numId w:val="24"/>
        </w:numPr>
      </w:pPr>
      <w:r w:rsidRPr="00883125">
        <w:t>Even if we were to rely solely on the estimate of the utilisation rate of 0.35 from SFG's study, we consider that a value of imputation credits of 0.25 is unreasonable. This is because:</w:t>
      </w:r>
    </w:p>
    <w:p w:rsidR="00BA5850" w:rsidRPr="00BA5850" w:rsidRDefault="00BA5850" w:rsidP="00BA5850">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Pr="00BA5850">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 This is clear from Officer's definition of after tax net cash flows consistent with the post-tax vanilla WACC in formula (12) of his 1994 paper.</w:t>
      </w:r>
      <w:r w:rsidRPr="00BA5850">
        <w:rPr>
          <w:rStyle w:val="FootnoteReference"/>
        </w:rPr>
        <w:footnoteReference w:id="97"/>
      </w:r>
      <w:r w:rsidRPr="00BA5850">
        <w:t xml:space="preserve"> The incorrect post tax valuation of dividends (that will also be reflected in the estimated utilisation rate) is most likely due to differential personal taxes on dividends and capital gains which impact dividend drop off studies.</w:t>
      </w:r>
    </w:p>
    <w:p w:rsidR="00BA5850" w:rsidRPr="00BA5850" w:rsidRDefault="00BA5850" w:rsidP="00BA5850">
      <w:pPr>
        <w:pStyle w:val="AERbulletlistfirststyle"/>
      </w:pPr>
      <w:r w:rsidRPr="00883125">
        <w:t xml:space="preserve">This is an estimate of the utilisation rate of investors in only listed equity, and therefore </w:t>
      </w:r>
      <w:r w:rsidRPr="00BA5850">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BA5850" w:rsidRDefault="00BA5850" w:rsidP="00BA5850">
      <w:pPr>
        <w:numPr>
          <w:ilvl w:val="0"/>
          <w:numId w:val="24"/>
        </w:numPr>
      </w:pPr>
      <w:r w:rsidRPr="00883125">
        <w:t xml:space="preserve">Therefore, even if the service providers' proposed utilisation rate </w:t>
      </w:r>
      <w:r>
        <w:t xml:space="preserve">estimate </w:t>
      </w:r>
      <w:r w:rsidRPr="00883125">
        <w:t xml:space="preserve">is used,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746877">
        <w:t>4.4.1</w:t>
      </w:r>
      <w:r>
        <w:fldChar w:fldCharType="end"/>
      </w:r>
      <w:r>
        <w:t>).</w:t>
      </w:r>
    </w:p>
    <w:p w:rsidR="00BA5850" w:rsidRPr="000C3267" w:rsidRDefault="00BA5850" w:rsidP="00BA5850">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w:t>
      </w:r>
      <w:r w:rsidRPr="000C3267">
        <w:rPr>
          <w:rStyle w:val="AERbody"/>
        </w:rPr>
        <w:lastRenderedPageBreak/>
        <w:t>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 pre-personal tax and pre-personal costs basis.</w:t>
      </w:r>
      <w:r w:rsidRPr="005764F6">
        <w:rPr>
          <w:rStyle w:val="FootnoteReference"/>
        </w:rPr>
        <w:footnoteReference w:id="98"/>
      </w:r>
      <w:r w:rsidRPr="000C3267">
        <w:rPr>
          <w:rStyle w:val="AERbody"/>
        </w:rPr>
        <w:t xml:space="preserve"> We remain of the view the 45 day holding rule does not be have a material impact on the utilisation of imputation credits by otherwise eligible (that is, domestic) investors.</w:t>
      </w:r>
    </w:p>
    <w:p w:rsidR="00BA5850" w:rsidRDefault="00BA5850" w:rsidP="00BA5850">
      <w:r>
        <w:t xml:space="preserve">In section </w:t>
      </w:r>
      <w:r>
        <w:fldChar w:fldCharType="begin"/>
      </w:r>
      <w:r>
        <w:instrText xml:space="preserve"> REF _Ref451240961 \r \h </w:instrText>
      </w:r>
      <w:r>
        <w:fldChar w:fldCharType="separate"/>
      </w:r>
      <w:r w:rsidR="00746877">
        <w:t>4.4.2</w:t>
      </w:r>
      <w:r>
        <w:fldChar w:fldCharType="end"/>
      </w:r>
      <w:r>
        <w:t xml:space="preserve"> (and appendix A) we respond to the service providers' revised proposals in more detail. This includes late submissions that address the recent Tribunal decision.</w:t>
      </w:r>
    </w:p>
    <w:p w:rsidR="00BA5850" w:rsidRPr="00BA5850" w:rsidRDefault="00BA5850" w:rsidP="0086094B">
      <w:pPr>
        <w:pStyle w:val="Heading3"/>
        <w:ind w:left="720"/>
      </w:pPr>
      <w:bookmarkStart w:id="144" w:name="_Ref450761230"/>
      <w:bookmarkStart w:id="145" w:name="_Toc451842243"/>
      <w:bookmarkStart w:id="146" w:name="_Toc451936169"/>
      <w:r>
        <w:t>Evidence underlying our estimate of the value of imputation credits</w:t>
      </w:r>
      <w:bookmarkEnd w:id="144"/>
      <w:bookmarkEnd w:id="145"/>
      <w:bookmarkEnd w:id="146"/>
      <w:r>
        <w:t xml:space="preserve"> </w:t>
      </w:r>
    </w:p>
    <w:p w:rsidR="00BA5850" w:rsidRDefault="00BA5850" w:rsidP="00BA5850">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BA5850" w:rsidRDefault="00BA5850" w:rsidP="00BA5850">
      <w:pPr>
        <w:pStyle w:val="HeadingBoldBlue"/>
      </w:pPr>
      <w:r>
        <w:t>The distribution rate</w:t>
      </w:r>
    </w:p>
    <w:p w:rsidR="00BA5850" w:rsidRDefault="00BA5850" w:rsidP="00BA5850">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BA5850" w:rsidRPr="00BA5850" w:rsidRDefault="00BA5850" w:rsidP="00BA5850">
      <w:pPr>
        <w:pStyle w:val="AERbulletlistfirststyle"/>
      </w:pPr>
      <w:r w:rsidRPr="00856171">
        <w:t xml:space="preserve">an estimate of 0.75 for the distribution rate is </w:t>
      </w:r>
      <w:r w:rsidRPr="00BA5850">
        <w:t xml:space="preserve">reasonable when considering estimates of the utilisation rate that relate to only listed equity. </w:t>
      </w:r>
    </w:p>
    <w:p w:rsidR="00BA5850" w:rsidRPr="00BA5850" w:rsidRDefault="00BA5850" w:rsidP="00BA5850">
      <w:pPr>
        <w:pStyle w:val="AERbulletlistfirststyle"/>
      </w:pPr>
      <w:r w:rsidRPr="00856171">
        <w:t xml:space="preserve">an estimate of 0.7 for the distribution rate is </w:t>
      </w:r>
      <w:r w:rsidRPr="00BA5850">
        <w:t xml:space="preserve">reasonable when considering estimates of the utilisation rate that relate to all equity. </w:t>
      </w:r>
    </w:p>
    <w:p w:rsidR="00BA5850" w:rsidRDefault="00BA5850" w:rsidP="00BA5850">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0"/>
      </w:r>
      <w:r>
        <w:t xml:space="preserve"> </w:t>
      </w:r>
    </w:p>
    <w:p w:rsidR="00BA5850" w:rsidRPr="00883125" w:rsidRDefault="00BA5850" w:rsidP="00BA5850">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BA5850" w:rsidRPr="00883125" w:rsidRDefault="00BA5850" w:rsidP="00BA5850">
      <w:pPr>
        <w:pStyle w:val="AERbulletlistfirststyle"/>
      </w:pPr>
      <w:r w:rsidRPr="00883125">
        <w:t>uses long-term, published data</w:t>
      </w:r>
    </w:p>
    <w:p w:rsidR="00BA5850" w:rsidRPr="00BA5850" w:rsidRDefault="00BA5850" w:rsidP="00BA5850">
      <w:pPr>
        <w:pStyle w:val="AERbulletlistfirststyle"/>
      </w:pPr>
      <w:r w:rsidRPr="00883125">
        <w:t>is supported by the service providers, Gray (for SFG), Handley, and McKenzie and Partington</w:t>
      </w:r>
      <w:r w:rsidRPr="00BA5850">
        <w:rPr>
          <w:rStyle w:val="FootnoteReference"/>
        </w:rPr>
        <w:footnoteReference w:id="102"/>
      </w:r>
      <w:r w:rsidRPr="00BA5850">
        <w:t xml:space="preserve"> </w:t>
      </w:r>
    </w:p>
    <w:p w:rsidR="00BA5850" w:rsidRPr="00883125" w:rsidRDefault="00BA5850" w:rsidP="00BA5850">
      <w:pPr>
        <w:pStyle w:val="AERbulletlistfirststyle"/>
      </w:pPr>
      <w:r w:rsidRPr="00883125">
        <w:t>is simple and intuitive.</w:t>
      </w:r>
    </w:p>
    <w:p w:rsidR="00BA5850" w:rsidRPr="00856171" w:rsidRDefault="00BA5850" w:rsidP="00BA5850">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BA5850" w:rsidRPr="00856171" w:rsidRDefault="00BA5850" w:rsidP="00BA5850">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BA5850" w:rsidRPr="00883125" w:rsidRDefault="00BA5850" w:rsidP="00BA5850">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BA5850" w:rsidRDefault="00BA5850" w:rsidP="00BA5850">
      <w:pPr>
        <w:pStyle w:val="AERbulletlistfirststyle"/>
        <w:numPr>
          <w:ilvl w:val="0"/>
          <w:numId w:val="24"/>
        </w:numPr>
      </w:pPr>
      <w:r w:rsidRPr="00883125">
        <w:lastRenderedPageBreak/>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746877">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746877">
        <w:t>A.10</w:t>
      </w:r>
      <w:r>
        <w:fldChar w:fldCharType="end"/>
      </w:r>
      <w:r>
        <w:t>).</w:t>
      </w:r>
      <w:r>
        <w:rPr>
          <w:rStyle w:val="FootnoteReference"/>
        </w:rPr>
        <w:footnoteReference w:id="111"/>
      </w:r>
      <w:r>
        <w:t xml:space="preserve"> </w:t>
      </w:r>
    </w:p>
    <w:p w:rsidR="00BA5850" w:rsidRDefault="00BA5850" w:rsidP="00BA5850">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2"/>
      </w:r>
    </w:p>
    <w:p w:rsidR="00BA5850" w:rsidRPr="00BA5850" w:rsidRDefault="00BA5850" w:rsidP="00BA5850">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BA5850" w:rsidRPr="00663AD0" w:rsidRDefault="00BA5850" w:rsidP="00BA5850">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4"/>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5"/>
      </w:r>
      <w:r w:rsidRPr="00663AD0">
        <w:rPr>
          <w:rStyle w:val="AERtexthighlight"/>
        </w:rPr>
        <w:t xml:space="preserve"> </w:t>
      </w:r>
    </w:p>
    <w:p w:rsidR="00BA5850" w:rsidRDefault="00BA5850" w:rsidP="00BA5850">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746877">
        <w:t>A.8</w:t>
      </w:r>
      <w:r>
        <w:fldChar w:fldCharType="end"/>
      </w:r>
      <w:r>
        <w:t xml:space="preserve"> and </w:t>
      </w:r>
      <w:r>
        <w:fldChar w:fldCharType="begin"/>
      </w:r>
      <w:r>
        <w:instrText xml:space="preserve"> REF _Ref415068711 \r \h </w:instrText>
      </w:r>
      <w:r>
        <w:fldChar w:fldCharType="separate"/>
      </w:r>
      <w:r w:rsidR="00746877">
        <w:t>A.8.4</w:t>
      </w:r>
      <w:r>
        <w:fldChar w:fldCharType="end"/>
      </w:r>
      <w:r w:rsidRPr="00883125">
        <w:t>.</w:t>
      </w:r>
    </w:p>
    <w:p w:rsidR="00BA5850" w:rsidRPr="00856171" w:rsidRDefault="00BA5850" w:rsidP="00BA5850">
      <w:pPr>
        <w:pStyle w:val="HeadingBoldBlue"/>
      </w:pPr>
      <w:r>
        <w:t>The utilisation</w:t>
      </w:r>
      <w:r w:rsidRPr="00856171">
        <w:t xml:space="preserve"> rate </w:t>
      </w:r>
    </w:p>
    <w:p w:rsidR="00BA5850" w:rsidRPr="00883125" w:rsidRDefault="00BA5850" w:rsidP="00BA5850">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BA5850" w:rsidRPr="00883125" w:rsidRDefault="00BA5850" w:rsidP="00BA5850">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BA5850" w:rsidRPr="00883125" w:rsidRDefault="00BA5850" w:rsidP="00BA5850">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18"/>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BA5850" w:rsidRPr="00883125" w:rsidRDefault="00BA5850" w:rsidP="00BA5850">
      <w:pPr>
        <w:numPr>
          <w:ilvl w:val="0"/>
          <w:numId w:val="24"/>
        </w:numPr>
      </w:pPr>
      <w:r w:rsidRPr="00883125">
        <w:t>Consistent with the Guideline, when estimating the utilisation rate we place:</w:t>
      </w:r>
    </w:p>
    <w:p w:rsidR="00BA5850" w:rsidRPr="00883125" w:rsidRDefault="00BA5850" w:rsidP="00BA5850">
      <w:pPr>
        <w:pStyle w:val="AERbulletlistfirststyle"/>
      </w:pPr>
      <w:r w:rsidRPr="00883125">
        <w:t>significant reliance upon the equity ownership approach</w:t>
      </w:r>
    </w:p>
    <w:p w:rsidR="00BA5850" w:rsidRPr="00883125" w:rsidRDefault="00BA5850" w:rsidP="00BA5850">
      <w:pPr>
        <w:pStyle w:val="AERbulletlistfirststyle"/>
      </w:pPr>
      <w:r w:rsidRPr="00883125">
        <w:t>some reliance upon tax statistics</w:t>
      </w:r>
    </w:p>
    <w:p w:rsidR="00BA5850" w:rsidRPr="00BA5850" w:rsidRDefault="00BA5850" w:rsidP="00BA5850">
      <w:pPr>
        <w:pStyle w:val="AERbulletlistfirststyle"/>
      </w:pPr>
      <w:r w:rsidRPr="00883125">
        <w:t>less reliance upon implied market value studies.</w:t>
      </w:r>
    </w:p>
    <w:p w:rsidR="00BA5850" w:rsidRPr="00883125" w:rsidRDefault="00BA5850" w:rsidP="00BA5850">
      <w:r>
        <w:t>This weighting is supported by Lally.</w:t>
      </w:r>
      <w:r>
        <w:rPr>
          <w:rStyle w:val="FootnoteReference"/>
        </w:rPr>
        <w:footnoteReference w:id="120"/>
      </w:r>
    </w:p>
    <w:p w:rsidR="00BA5850" w:rsidRDefault="00BA5850" w:rsidP="00BA5850">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746877" w:rsidRPr="00883125">
        <w:t xml:space="preserve">table </w:t>
      </w:r>
      <w:r w:rsidR="00746877">
        <w:rPr>
          <w:noProof/>
        </w:rPr>
        <w:t>4</w:t>
      </w:r>
      <w:r w:rsidR="00746877">
        <w:noBreakHyphen/>
      </w:r>
      <w:r w:rsidR="00746877">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746877" w:rsidRPr="00883125">
        <w:t xml:space="preserve">table </w:t>
      </w:r>
      <w:r w:rsidR="00746877">
        <w:rPr>
          <w:noProof/>
        </w:rPr>
        <w:t>4</w:t>
      </w:r>
      <w:r w:rsidR="00746877">
        <w:noBreakHyphen/>
      </w:r>
      <w:r w:rsidR="00746877">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BA5850" w:rsidRDefault="00BA5850" w:rsidP="00BA5850">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746877">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746877">
        <w:t>A.8</w:t>
      </w:r>
      <w:r w:rsidRPr="00883125">
        <w:fldChar w:fldCharType="end"/>
      </w:r>
      <w:r w:rsidRPr="00883125">
        <w:t xml:space="preserve">. </w:t>
      </w:r>
    </w:p>
    <w:p w:rsidR="00BA5850" w:rsidRPr="00856171" w:rsidRDefault="00BA5850" w:rsidP="00BA5850">
      <w:pPr>
        <w:pStyle w:val="HeadingBoldItalic"/>
      </w:pPr>
      <w:r>
        <w:t>The equity ownership approach</w:t>
      </w:r>
    </w:p>
    <w:p w:rsidR="00BA5850" w:rsidRPr="00883125" w:rsidRDefault="00BA5850" w:rsidP="00BA5850">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BA5850" w:rsidRPr="00883125" w:rsidRDefault="00BA5850" w:rsidP="00BA5850">
      <w:pPr>
        <w:numPr>
          <w:ilvl w:val="0"/>
          <w:numId w:val="24"/>
        </w:numPr>
      </w:pPr>
      <w:r w:rsidRPr="00883125">
        <w:t>We place significant reliance upon the equity ownership approach when considering estimates of the utilisation rate. This is because:</w:t>
      </w:r>
    </w:p>
    <w:p w:rsidR="00BA5850" w:rsidRPr="00883125" w:rsidRDefault="00BA5850" w:rsidP="00BA5850">
      <w:pPr>
        <w:pStyle w:val="AERbulletlistfirststyle"/>
      </w:pPr>
      <w:r w:rsidRPr="00883125">
        <w:t>it is well aligned with the definition of the utilisation rate in the Monkhouse framework</w:t>
      </w:r>
    </w:p>
    <w:p w:rsidR="00BA5850" w:rsidRPr="00883125" w:rsidRDefault="00BA5850" w:rsidP="00BA5850">
      <w:pPr>
        <w:pStyle w:val="AERbulletlistfirststyle"/>
      </w:pPr>
      <w:r w:rsidRPr="00883125">
        <w:t>it employs a relatively simple and intuitive methodology</w:t>
      </w:r>
    </w:p>
    <w:p w:rsidR="00BA5850" w:rsidRPr="00883125" w:rsidRDefault="00BA5850" w:rsidP="00BA5850">
      <w:pPr>
        <w:pStyle w:val="AERbulletlistfirststyle"/>
      </w:pPr>
      <w:r w:rsidRPr="00883125">
        <w:t>it uses a reliable and transparent source of data</w:t>
      </w:r>
    </w:p>
    <w:p w:rsidR="00BA5850" w:rsidRPr="00BA5850" w:rsidRDefault="00BA5850" w:rsidP="00BA5850">
      <w:pPr>
        <w:pStyle w:val="AERbulletlistfirststyle"/>
      </w:pPr>
      <w:r w:rsidRPr="00883125">
        <w:t>it provides estimates of the utilisation rate for investors in both all equity and only listed equity</w:t>
      </w:r>
    </w:p>
    <w:p w:rsidR="00BA5850" w:rsidRDefault="00BA5850" w:rsidP="00BA5850">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BA5850" w:rsidRDefault="00BA5850" w:rsidP="00BA5850">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25"/>
      </w:r>
      <w:r w:rsidRPr="004F21F7">
        <w:t xml:space="preserve"> </w:t>
      </w:r>
      <w:r>
        <w:t>We also note Lally's statement that:</w:t>
      </w:r>
      <w:r>
        <w:rPr>
          <w:rStyle w:val="FootnoteReference"/>
        </w:rPr>
        <w:footnoteReference w:id="126"/>
      </w:r>
    </w:p>
    <w:p w:rsidR="00BA5850" w:rsidRPr="00883125" w:rsidRDefault="00BA5850" w:rsidP="00BA5850">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BA5850" w:rsidRPr="00883125" w:rsidRDefault="00BA5850" w:rsidP="00BA5850">
      <w:pPr>
        <w:numPr>
          <w:ilvl w:val="0"/>
          <w:numId w:val="24"/>
        </w:numPr>
      </w:pPr>
      <w:r w:rsidRPr="00883125">
        <w:t>We consider that a reasonable estimate for the utilisation rate from the equity ownership approach is between:</w:t>
      </w:r>
    </w:p>
    <w:p w:rsidR="00BA5850" w:rsidRPr="00883125" w:rsidRDefault="00BA5850" w:rsidP="00BA5850">
      <w:pPr>
        <w:pStyle w:val="AERbulletlistfirststyle"/>
      </w:pPr>
      <w:r w:rsidRPr="00883125">
        <w:lastRenderedPageBreak/>
        <w:t>0.56 and 0.68, if all equity is considered</w:t>
      </w:r>
    </w:p>
    <w:p w:rsidR="00BA5850" w:rsidRPr="00883125" w:rsidRDefault="00BA5850" w:rsidP="00BA5850">
      <w:pPr>
        <w:pStyle w:val="AERbulletlistfirststyle"/>
      </w:pPr>
      <w:r w:rsidRPr="00883125">
        <w:t>0.38 and 0.55, if only listed equity is considered.</w:t>
      </w:r>
    </w:p>
    <w:p w:rsidR="00BA5850" w:rsidRDefault="00BA5850" w:rsidP="00BA5850">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BA5850" w:rsidRDefault="00BA5850" w:rsidP="00BA5850">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746877">
        <w:t>A.12</w:t>
      </w:r>
      <w:r w:rsidRPr="00883125">
        <w:fldChar w:fldCharType="end"/>
      </w:r>
      <w:r w:rsidRPr="00883125">
        <w:t>.</w:t>
      </w:r>
    </w:p>
    <w:p w:rsidR="00BA5850" w:rsidRPr="00856171" w:rsidRDefault="00BA5850" w:rsidP="00BA5850">
      <w:pPr>
        <w:pStyle w:val="HeadingBoldItalic"/>
      </w:pPr>
      <w:r>
        <w:t>Tax statistics</w:t>
      </w:r>
    </w:p>
    <w:p w:rsidR="00BA5850" w:rsidRPr="00883125" w:rsidRDefault="00BA5850" w:rsidP="00BA5850">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86094B" w:rsidRPr="00883125">
        <w:t>an</w:t>
      </w:r>
      <w:r w:rsidRPr="00883125">
        <w:t xml:space="preserve"> estimate of the utilisation rate</w:t>
      </w:r>
      <w:r>
        <w:t xml:space="preserve">. </w:t>
      </w:r>
      <w:r w:rsidRPr="00883125">
        <w:t xml:space="preserve"> </w:t>
      </w:r>
    </w:p>
    <w:p w:rsidR="00BA5850" w:rsidRDefault="00BA5850" w:rsidP="00BA5850">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BA5850" w:rsidRPr="00883125" w:rsidRDefault="00BA5850" w:rsidP="00BA5850">
      <w:pPr>
        <w:numPr>
          <w:ilvl w:val="0"/>
          <w:numId w:val="24"/>
        </w:numPr>
      </w:pPr>
      <w:r w:rsidRPr="00883125">
        <w:t>We have placed less reliance upon tax statistics compared with the equity ownership approach because we consider that tax statistics have a number of limitations:</w:t>
      </w:r>
    </w:p>
    <w:p w:rsidR="00BA5850" w:rsidRPr="00BA5850" w:rsidRDefault="00BA5850" w:rsidP="00BA5850">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BA5850">
        <w:t xml:space="preserve">. Hathaway also identified a significant discrepancy associated with the tracking of imputation credits in the data that led him to </w:t>
      </w:r>
      <w:r w:rsidRPr="00BA5850">
        <w:lastRenderedPageBreak/>
        <w:t>'urge all caution in using ATO statistics for any estimates of parameters concerned with [imputation] credits'.</w:t>
      </w:r>
      <w:r w:rsidRPr="00BA5850">
        <w:rPr>
          <w:rStyle w:val="FootnoteReference"/>
        </w:rPr>
        <w:footnoteReference w:id="131"/>
      </w:r>
    </w:p>
    <w:p w:rsidR="00BA5850" w:rsidRPr="00883125" w:rsidRDefault="00BA5850" w:rsidP="00BA5850">
      <w:pPr>
        <w:pStyle w:val="AERbulletlistfirststyle"/>
      </w:pPr>
      <w:r w:rsidRPr="00883125">
        <w:t>They do not reflect the amount of credits refunded to individuals that do not have to fill out a tax return.</w:t>
      </w:r>
    </w:p>
    <w:p w:rsidR="00BA5850" w:rsidRPr="00BA5850" w:rsidRDefault="00BA5850" w:rsidP="00BA5850">
      <w:pPr>
        <w:pStyle w:val="AERbulletlistfirststyle"/>
      </w:pPr>
      <w:r w:rsidRPr="00883125">
        <w:t>They might not reflect the amount of credits refunded to certain types of entities.</w:t>
      </w:r>
      <w:r w:rsidRPr="00BA5850">
        <w:rPr>
          <w:rStyle w:val="FootnoteReference"/>
        </w:rPr>
        <w:footnoteReference w:id="132"/>
      </w:r>
      <w:r w:rsidRPr="00BA5850">
        <w:t xml:space="preserve"> </w:t>
      </w:r>
    </w:p>
    <w:p w:rsidR="00BA5850" w:rsidRPr="00BA5850" w:rsidRDefault="00BA5850" w:rsidP="00BA5850">
      <w:pPr>
        <w:pStyle w:val="AERbulletlistfirststyle"/>
      </w:pPr>
      <w:r w:rsidRPr="00883125">
        <w:t>They do not provide estimates of the utilisation rate for investors in only listed equity. Handley suggested that evidence from listed equity is more relevant to the benchmark efficient entity.</w:t>
      </w:r>
      <w:r w:rsidRPr="00BA5850">
        <w:rPr>
          <w:rStyle w:val="FootnoteReference"/>
        </w:rPr>
        <w:footnoteReference w:id="133"/>
      </w:r>
    </w:p>
    <w:p w:rsidR="00BA5850" w:rsidRPr="00BA5850" w:rsidRDefault="00BA5850" w:rsidP="00BA5850">
      <w:pPr>
        <w:pStyle w:val="AERbulletlistfirststyle"/>
      </w:pPr>
      <w:r w:rsidRPr="005764F6">
        <w:t xml:space="preserve">Lally, in his latest report, considered tax statistics </w:t>
      </w:r>
      <w:r w:rsidRPr="00BA5850">
        <w:t>based estimates of the utilisation rate are unreliable and potentially biased.</w:t>
      </w:r>
      <w:r w:rsidRPr="00BA5850">
        <w:rPr>
          <w:rStyle w:val="FootnoteReference"/>
        </w:rPr>
        <w:footnoteReference w:id="134"/>
      </w:r>
      <w:r w:rsidRPr="00BA5850">
        <w:t xml:space="preserve"> </w:t>
      </w:r>
    </w:p>
    <w:p w:rsidR="00BA5850" w:rsidRPr="00883125" w:rsidRDefault="00BA5850" w:rsidP="00BA5850">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BA5850" w:rsidRPr="00883125" w:rsidRDefault="00BA5850" w:rsidP="00BA5850">
      <w:pPr>
        <w:numPr>
          <w:ilvl w:val="0"/>
          <w:numId w:val="24"/>
        </w:numPr>
      </w:pPr>
      <w:r w:rsidRPr="00883125">
        <w:t>Since the Guideline, we have continued to examine this evidence. We now consider that greater reliance should be placed upon estimates that are:</w:t>
      </w:r>
    </w:p>
    <w:p w:rsidR="00BA5850" w:rsidRPr="00BA5850" w:rsidRDefault="00BA5850" w:rsidP="00BA5850">
      <w:pPr>
        <w:pStyle w:val="AERbulletlistfirststyle"/>
      </w:pPr>
      <w:r w:rsidRPr="00883125">
        <w:t>derived from post-2004 data, consistent with Hathaway's findings that the ATO statistics are subject to a number of issues prior to 2004</w:t>
      </w:r>
      <w:r w:rsidRPr="00BA5850">
        <w:rPr>
          <w:rStyle w:val="FootnoteReference"/>
        </w:rPr>
        <w:footnoteReference w:id="136"/>
      </w:r>
    </w:p>
    <w:p w:rsidR="00BA5850" w:rsidRPr="00BA5850" w:rsidRDefault="00BA5850" w:rsidP="00BA5850">
      <w:pPr>
        <w:pStyle w:val="AERbulletlistfirststyle"/>
      </w:pPr>
      <w:r w:rsidRPr="00883125">
        <w:t>consistent with our estimates of the distribution rate</w:t>
      </w:r>
      <w:r w:rsidRPr="00BA5850">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BA5850">
        <w:rPr>
          <w:rStyle w:val="FootnoteReference"/>
        </w:rPr>
        <w:footnoteReference w:id="137"/>
      </w:r>
      <w:r w:rsidRPr="00BA5850">
        <w:t xml:space="preserve"> </w:t>
      </w:r>
    </w:p>
    <w:p w:rsidR="00BA5850" w:rsidRPr="00856171" w:rsidRDefault="00BA5850" w:rsidP="00BA5850">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w:t>
      </w:r>
      <w:r w:rsidRPr="00856171">
        <w:lastRenderedPageBreak/>
        <w:t>ATO data up to 2013-14 and estimates a slightly higher utilisation rate of 0.48 for the period 2004 to 2014.</w:t>
      </w:r>
    </w:p>
    <w:p w:rsidR="00BA5850" w:rsidRPr="00856171" w:rsidRDefault="00BA5850" w:rsidP="00BA5850">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BA5850" w:rsidRDefault="00BA5850" w:rsidP="00BA5850">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746877">
        <w:t>A.13</w:t>
      </w:r>
      <w:r w:rsidRPr="00883125">
        <w:fldChar w:fldCharType="end"/>
      </w:r>
      <w:r w:rsidRPr="00883125">
        <w:t>.</w:t>
      </w:r>
    </w:p>
    <w:p w:rsidR="00BA5850" w:rsidRPr="00856171" w:rsidRDefault="00BA5850" w:rsidP="00BA5850">
      <w:pPr>
        <w:pStyle w:val="HeadingBoldItalic"/>
      </w:pPr>
      <w:r>
        <w:t>Implied market value studies</w:t>
      </w:r>
    </w:p>
    <w:p w:rsidR="00BA5850" w:rsidRPr="00883125" w:rsidRDefault="00BA5850" w:rsidP="00BA5850">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746877">
        <w:t>A.15.1</w:t>
      </w:r>
      <w:r w:rsidRPr="00883125">
        <w:fldChar w:fldCharType="end"/>
      </w:r>
      <w:r w:rsidRPr="00883125">
        <w:t>.</w:t>
      </w:r>
    </w:p>
    <w:p w:rsidR="00BA5850" w:rsidRPr="00883125" w:rsidRDefault="00BA5850" w:rsidP="00BA5850">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t xml:space="preserve"> In his latest report, Lally preferred both the equity ownership approach and tax statistics to dividend drop off studies.</w:t>
      </w:r>
      <w:r>
        <w:rPr>
          <w:rStyle w:val="FootnoteReference"/>
        </w:rPr>
        <w:footnoteReference w:id="141"/>
      </w:r>
    </w:p>
    <w:p w:rsidR="00BA5850" w:rsidRPr="00883125" w:rsidRDefault="00BA5850" w:rsidP="00BA5850">
      <w:pPr>
        <w:numPr>
          <w:ilvl w:val="0"/>
          <w:numId w:val="24"/>
        </w:numPr>
      </w:pPr>
      <w:r w:rsidRPr="00883125">
        <w:t>We also consider that these studies can be subject to a number of limitations. The limitations of implied market value studies can include:</w:t>
      </w:r>
    </w:p>
    <w:p w:rsidR="00BA5850" w:rsidRPr="00883125" w:rsidRDefault="00BA5850" w:rsidP="00BA5850">
      <w:pPr>
        <w:pStyle w:val="AERbulletlistfirststyle"/>
      </w:pPr>
      <w:r w:rsidRPr="00883125">
        <w:t>These studies can produce nonsensical estimates of the utilisation rate; that is, greater than one or less than zero.</w:t>
      </w:r>
    </w:p>
    <w:p w:rsidR="00BA5850" w:rsidRPr="00883125" w:rsidRDefault="00BA5850" w:rsidP="00BA5850">
      <w:pPr>
        <w:pStyle w:val="AERbulletlistfirststyle"/>
      </w:pPr>
      <w:r w:rsidRPr="00883125">
        <w:t xml:space="preserve">The results of these studies can be influenced by factors, such as differential personal taxes and risk, which are not relevant to the utilisation rate. The utilisation rate should be </w:t>
      </w:r>
      <w:r w:rsidRPr="00883125">
        <w:lastRenderedPageBreak/>
        <w:t>estimated on a pre-personal tax basis consistent with the allowed rate of return parameters and the post (corporate) tax framework in the NER/NGR.</w:t>
      </w:r>
    </w:p>
    <w:p w:rsidR="00BA5850" w:rsidRPr="00BA5850" w:rsidRDefault="00BA5850" w:rsidP="00BA5850">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BA5850">
        <w:rPr>
          <w:rStyle w:val="FootnoteReference"/>
        </w:rPr>
        <w:footnoteReference w:id="142"/>
      </w:r>
      <w:r w:rsidRPr="00BA5850">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BA5850">
        <w:rPr>
          <w:rStyle w:val="FootnoteReference"/>
        </w:rPr>
        <w:footnoteReference w:id="143"/>
      </w:r>
    </w:p>
    <w:p w:rsidR="00BA5850" w:rsidRPr="00883125" w:rsidRDefault="00BA5850" w:rsidP="00BA5850">
      <w:pPr>
        <w:pStyle w:val="AERbulletlistfirststyle"/>
      </w:pPr>
      <w:r w:rsidRPr="00883125">
        <w:t>These studies can be data intensive and employ complex and sometimes problematic estimation methodologies.</w:t>
      </w:r>
    </w:p>
    <w:p w:rsidR="00BA5850" w:rsidRPr="00883125" w:rsidRDefault="00BA5850" w:rsidP="00BA5850">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BA5850" w:rsidRDefault="00BA5850" w:rsidP="00BA5850">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746877">
        <w:t>A.15</w:t>
      </w:r>
      <w:r>
        <w:fldChar w:fldCharType="end"/>
      </w:r>
      <w:r w:rsidRPr="00883125">
        <w:t>.</w:t>
      </w:r>
      <w:r w:rsidRPr="00375E4D">
        <w:t xml:space="preserve"> </w:t>
      </w:r>
      <w:r>
        <w:t>However, we note here the following statement from Lally's latest report:</w:t>
      </w:r>
      <w:r>
        <w:rPr>
          <w:rStyle w:val="FootnoteReference"/>
        </w:rPr>
        <w:footnoteReference w:id="144"/>
      </w:r>
    </w:p>
    <w:p w:rsidR="00BA5850" w:rsidRPr="00883125" w:rsidRDefault="00BA5850" w:rsidP="00BA5850">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86094B" w:rsidRPr="00375E4D">
        <w:t>behaviour</w:t>
      </w:r>
      <w:r w:rsidRPr="00375E4D">
        <w:t xml:space="preserve"> around ex-days, and the need to correct the estimated coefficient on imputation credits for the difference in the tax rate on capital gains and dividends.</w:t>
      </w:r>
    </w:p>
    <w:p w:rsidR="00BA5850" w:rsidRPr="00883125" w:rsidRDefault="00BA5850" w:rsidP="00BA5850">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746877">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BA5850" w:rsidRPr="00BA5850" w:rsidRDefault="00BA5850" w:rsidP="00BA5850">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BA5850">
        <w:rPr>
          <w:rStyle w:val="FootnoteReference"/>
        </w:rPr>
        <w:footnoteReference w:id="145"/>
      </w:r>
    </w:p>
    <w:p w:rsidR="00BA5850" w:rsidRPr="00BA5850" w:rsidRDefault="00BA5850" w:rsidP="00BA5850">
      <w:pPr>
        <w:pStyle w:val="AERbulletlistfirststyle"/>
      </w:pPr>
      <w:r w:rsidRPr="00883125">
        <w:t>The Economic Regulation Authority of Western Australia (ERA) conducted its own dividend drop off study and concluded that a reasonable estimate is between 0.35 and 0.55.</w:t>
      </w:r>
      <w:r w:rsidRPr="00BA5850">
        <w:rPr>
          <w:rStyle w:val="FootnoteReference"/>
        </w:rPr>
        <w:footnoteReference w:id="146"/>
      </w:r>
    </w:p>
    <w:p w:rsidR="00BA5850" w:rsidRPr="00BA5850" w:rsidRDefault="00BA5850" w:rsidP="00BA5850">
      <w:pPr>
        <w:pStyle w:val="AERbulletlistfirststyle"/>
      </w:pPr>
      <w:r w:rsidRPr="00883125">
        <w:t>Lally concurred with the view that implied market value studies 'warrant low weight', but suggested that some studies are more useful than others based on their characteristics.</w:t>
      </w:r>
      <w:r w:rsidRPr="00BA5850">
        <w:rPr>
          <w:rStyle w:val="FootnoteReference"/>
        </w:rPr>
        <w:footnoteReference w:id="147"/>
      </w:r>
      <w:r w:rsidRPr="00BA5850">
        <w:t xml:space="preserve"> Lally also raised a number of issues in relation to SFG's dividend drop off study.</w:t>
      </w:r>
      <w:r w:rsidRPr="00BA5850">
        <w:rPr>
          <w:rStyle w:val="FootnoteReference"/>
        </w:rPr>
        <w:footnoteReference w:id="148"/>
      </w:r>
      <w:r w:rsidRPr="00BA5850">
        <w:t xml:space="preserve"> In his latest report, Lally reaffirmed his view that 'minimal weight' should be placed on dividend drop off studies.</w:t>
      </w:r>
      <w:r w:rsidRPr="00BA5850">
        <w:rPr>
          <w:rStyle w:val="FootnoteReference"/>
        </w:rPr>
        <w:footnoteReference w:id="149"/>
      </w:r>
    </w:p>
    <w:p w:rsidR="00BA5850" w:rsidRPr="00BA5850" w:rsidRDefault="00BA5850" w:rsidP="00BA5850">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BA5850">
        <w:rPr>
          <w:rStyle w:val="FootnoteReference"/>
        </w:rPr>
        <w:footnoteReference w:id="150"/>
      </w:r>
    </w:p>
    <w:p w:rsidR="00BA5850" w:rsidRPr="00BA5850" w:rsidRDefault="00BA5850" w:rsidP="00BA5850">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BA5850">
        <w:rPr>
          <w:rStyle w:val="FootnoteReference"/>
        </w:rPr>
        <w:footnoteReference w:id="151"/>
      </w:r>
      <w:r w:rsidRPr="00BA5850">
        <w:t xml:space="preserve"> </w:t>
      </w:r>
    </w:p>
    <w:p w:rsidR="00BA5850" w:rsidRPr="005764F6" w:rsidRDefault="00BA5850" w:rsidP="00BA5850">
      <w:pPr>
        <w:rPr>
          <w:rStyle w:val="AERbody"/>
        </w:rPr>
      </w:pPr>
      <w:r w:rsidRPr="005764F6">
        <w:rPr>
          <w:rStyle w:val="AERbody"/>
        </w:rPr>
        <w:t>A further issue regarding implied market value studies is the appropriate interpretation of their results. Handley and Lally both advised that in the rate of return framework investors are assumed to value one dollar of dividends at one dollar (on a 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BA5850" w:rsidRDefault="00BA5850" w:rsidP="00BA5850">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746877">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BA5850" w:rsidRPr="00883125" w:rsidRDefault="00BA5850" w:rsidP="00BA5850">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BA5850" w:rsidRPr="00883125" w:rsidRDefault="00BA5850" w:rsidP="00BA5850">
      <w:pPr>
        <w:pStyle w:val="AERbulletlistfirststyle"/>
      </w:pPr>
      <w:r w:rsidRPr="00883125">
        <w:t>used longer data periods</w:t>
      </w:r>
    </w:p>
    <w:p w:rsidR="00BA5850" w:rsidRPr="00883125" w:rsidRDefault="00BA5850" w:rsidP="00BA5850">
      <w:pPr>
        <w:pStyle w:val="AERbulletlistfirststyle"/>
      </w:pPr>
      <w:r w:rsidRPr="00883125">
        <w:t>used data since 2000, when the change in tax law entitled eligible investors to a refund of credits that exceeded their tax liability</w:t>
      </w:r>
    </w:p>
    <w:p w:rsidR="00BA5850" w:rsidRPr="00883125" w:rsidRDefault="00BA5850" w:rsidP="00BA5850">
      <w:pPr>
        <w:pStyle w:val="AERbulletlistfirststyle"/>
      </w:pPr>
      <w:r w:rsidRPr="00883125">
        <w:t>encompassed the breadth of the market instead of just selected firms, and</w:t>
      </w:r>
    </w:p>
    <w:p w:rsidR="00BA5850" w:rsidRPr="00883125" w:rsidRDefault="00BA5850" w:rsidP="00BA5850">
      <w:pPr>
        <w:pStyle w:val="AERbulletlistfirststyle"/>
      </w:pPr>
      <w:r w:rsidRPr="00883125">
        <w:t>appeared to use more reasonable and robust econometric treatments.</w:t>
      </w:r>
    </w:p>
    <w:p w:rsidR="00BA5850" w:rsidRPr="00883125" w:rsidRDefault="00BA5850" w:rsidP="00BA5850">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BA5850" w:rsidRPr="00883125" w:rsidRDefault="00BA5850" w:rsidP="00BA5850">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746877">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BA5850" w:rsidRDefault="00BA5850" w:rsidP="00BA5850">
      <w:r>
        <w:t>We discuss our consideration of implied market value studies in detail in section A.15.</w:t>
      </w:r>
    </w:p>
    <w:p w:rsidR="00BA5850" w:rsidRPr="00BA5850" w:rsidRDefault="00BA5850" w:rsidP="0086094B">
      <w:pPr>
        <w:pStyle w:val="Heading3"/>
        <w:ind w:left="720"/>
      </w:pPr>
      <w:bookmarkStart w:id="147" w:name="_Ref451240961"/>
      <w:bookmarkStart w:id="148" w:name="_Ref451816460"/>
      <w:bookmarkStart w:id="149" w:name="_Toc451842244"/>
      <w:bookmarkStart w:id="150" w:name="_Toc451936170"/>
      <w:r>
        <w:t>Response to submissions by stakeholders</w:t>
      </w:r>
      <w:bookmarkEnd w:id="147"/>
      <w:bookmarkEnd w:id="148"/>
      <w:bookmarkEnd w:id="149"/>
      <w:bookmarkEnd w:id="150"/>
    </w:p>
    <w:p w:rsidR="00BA5850" w:rsidRDefault="00BA5850" w:rsidP="00BA5850">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746877">
        <w:t>A.4</w:t>
      </w:r>
      <w:r>
        <w:fldChar w:fldCharType="end"/>
      </w:r>
      <w:r>
        <w:t xml:space="preserve">, we set out the key issues raised by these service providers, as well as the key issues raised by service providers we have assessed in the past (post-Guideline). The key issues raised are broadly consistent across the service providers. </w:t>
      </w:r>
    </w:p>
    <w:p w:rsidR="00BA5850" w:rsidRDefault="00BA5850" w:rsidP="00BA5850">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BA5850" w:rsidRPr="00883125" w:rsidRDefault="00BA5850" w:rsidP="00BA5850">
      <w:pPr>
        <w:numPr>
          <w:ilvl w:val="0"/>
          <w:numId w:val="24"/>
        </w:numPr>
      </w:pPr>
      <w:r>
        <w:t xml:space="preserve">As discussed in section </w:t>
      </w:r>
      <w:r>
        <w:fldChar w:fldCharType="begin"/>
      </w:r>
      <w:r>
        <w:instrText xml:space="preserve"> REF _Ref451246970 \r \h </w:instrText>
      </w:r>
      <w:r>
        <w:fldChar w:fldCharType="separate"/>
      </w:r>
      <w:r w:rsidR="00746877">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BA5850" w:rsidRDefault="00BA5850" w:rsidP="00BA5850">
      <w:r>
        <w:fldChar w:fldCharType="begin"/>
      </w:r>
      <w:r>
        <w:instrText xml:space="preserve"> REF _Ref450761546 \h </w:instrText>
      </w:r>
      <w:r>
        <w:fldChar w:fldCharType="separate"/>
      </w:r>
      <w:r w:rsidR="00746877">
        <w:t xml:space="preserve">Table </w:t>
      </w:r>
      <w:r w:rsidR="00746877">
        <w:rPr>
          <w:noProof/>
        </w:rPr>
        <w:t>4</w:t>
      </w:r>
      <w:r w:rsidR="00746877" w:rsidRPr="00856171">
        <w:noBreakHyphen/>
      </w:r>
      <w:r w:rsidR="00746877">
        <w:rPr>
          <w:noProof/>
        </w:rPr>
        <w:t>5</w:t>
      </w:r>
      <w:r>
        <w:fldChar w:fldCharType="end"/>
      </w:r>
      <w:r>
        <w:t xml:space="preserve"> sets out the key issues raised by the service providers in their revised proposals and late submissions. We also provide a summary of our response and a reference to our more detailed response. </w:t>
      </w:r>
    </w:p>
    <w:p w:rsidR="00593A40" w:rsidRPr="00883125" w:rsidRDefault="00593A40" w:rsidP="00BA5850"/>
    <w:p w:rsidR="00BA5850" w:rsidRPr="00856171" w:rsidRDefault="00BA5850" w:rsidP="00BA5850">
      <w:pPr>
        <w:pStyle w:val="Caption"/>
      </w:pPr>
      <w:bookmarkStart w:id="151" w:name="_Ref450761546"/>
      <w:r>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rsidRPr="00856171">
        <w:noBreakHyphen/>
      </w:r>
      <w:r w:rsidRPr="00BA5850">
        <w:fldChar w:fldCharType="begin"/>
      </w:r>
      <w:r>
        <w:instrText xml:space="preserve"> SEQ Table \* ARABIC \s 1 </w:instrText>
      </w:r>
      <w:r w:rsidRPr="00BA5850">
        <w:fldChar w:fldCharType="separate"/>
      </w:r>
      <w:r w:rsidR="00746877">
        <w:rPr>
          <w:noProof/>
        </w:rPr>
        <w:t>5</w:t>
      </w:r>
      <w:r w:rsidRPr="00BA5850">
        <w:fldChar w:fldCharType="end"/>
      </w:r>
      <w:bookmarkEnd w:id="151"/>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BA5850" w:rsidTr="0086094B">
        <w:trPr>
          <w:cnfStyle w:val="100000000000" w:firstRow="1" w:lastRow="0" w:firstColumn="0" w:lastColumn="0" w:oddVBand="0" w:evenVBand="0" w:oddHBand="0" w:evenHBand="0" w:firstRowFirstColumn="0" w:firstRowLastColumn="0" w:lastRowFirstColumn="0" w:lastRowLastColumn="0"/>
          <w:tblHeader/>
        </w:trPr>
        <w:tc>
          <w:tcPr>
            <w:tcW w:w="3652" w:type="dxa"/>
          </w:tcPr>
          <w:p w:rsidR="00BA5850" w:rsidRPr="00BA5850" w:rsidRDefault="00BA5850" w:rsidP="00BA5850">
            <w:r>
              <w:t>Issue</w:t>
            </w:r>
          </w:p>
        </w:tc>
        <w:tc>
          <w:tcPr>
            <w:tcW w:w="4394" w:type="dxa"/>
          </w:tcPr>
          <w:p w:rsidR="00BA5850" w:rsidRPr="00BA5850" w:rsidRDefault="00BA5850" w:rsidP="00BA5850">
            <w:r>
              <w:t>Summary of response</w:t>
            </w:r>
          </w:p>
        </w:tc>
        <w:tc>
          <w:tcPr>
            <w:tcW w:w="851" w:type="dxa"/>
          </w:tcPr>
          <w:p w:rsidR="00BA5850" w:rsidRPr="00BA5850" w:rsidRDefault="00BA5850" w:rsidP="00BA5850">
            <w:r>
              <w:t>S</w:t>
            </w:r>
            <w:r w:rsidRPr="00BA5850">
              <w:t>ection</w:t>
            </w:r>
          </w:p>
        </w:tc>
      </w:tr>
      <w:tr w:rsidR="00BA5850" w:rsidTr="00343639">
        <w:tc>
          <w:tcPr>
            <w:tcW w:w="3652" w:type="dxa"/>
          </w:tcPr>
          <w:p w:rsidR="00BA5850" w:rsidRPr="00E82D06" w:rsidRDefault="00BA5850" w:rsidP="00BA5850">
            <w:pPr>
              <w:rPr>
                <w:rStyle w:val="Strong"/>
              </w:rPr>
            </w:pPr>
            <w:r w:rsidRPr="00E82D06">
              <w:rPr>
                <w:rStyle w:val="Strong"/>
              </w:rPr>
              <w:t>Conceptual framework</w:t>
            </w:r>
          </w:p>
        </w:tc>
        <w:tc>
          <w:tcPr>
            <w:tcW w:w="4394" w:type="dxa"/>
          </w:tcPr>
          <w:p w:rsidR="00BA5850" w:rsidRDefault="00BA5850" w:rsidP="00BA5850"/>
        </w:tc>
        <w:tc>
          <w:tcPr>
            <w:tcW w:w="851" w:type="dxa"/>
          </w:tcPr>
          <w:p w:rsidR="00BA5850" w:rsidRDefault="00BA5850" w:rsidP="00BA5850"/>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 xml:space="preserve">Our </w:t>
            </w:r>
            <w:r w:rsidRPr="00BA5850">
              <w:t>conceptual approach to gamma, redefining it as the value of imputation credits that are available for redemption, is inconsistent with the concept of gamma in the Officer framework for the WACC and inconsistent with the requirements of the NGR. It is also inconsistent with the objective of ensuring a market rate of return on equity.</w:t>
            </w:r>
            <w:r w:rsidRPr="00BA5850">
              <w:rPr>
                <w:rStyle w:val="FootnoteReference"/>
              </w:rPr>
              <w:footnoteReference w:id="162"/>
            </w:r>
          </w:p>
          <w:p w:rsidR="00BA5850" w:rsidRPr="00BA5850" w:rsidRDefault="00BA5850" w:rsidP="00BA5850">
            <w:r>
              <w:t>The Tribunal considered</w:t>
            </w:r>
            <w:r w:rsidRPr="00BA5850">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BA5850">
              <w:rPr>
                <w:rStyle w:val="FootnoteReference"/>
              </w:rPr>
              <w:footnoteReference w:id="163"/>
            </w:r>
          </w:p>
        </w:tc>
        <w:tc>
          <w:tcPr>
            <w:tcW w:w="4394" w:type="dxa"/>
          </w:tcPr>
          <w:p w:rsidR="00BA5850" w:rsidRPr="00BA5850" w:rsidRDefault="00BA5850" w:rsidP="00BA5850">
            <w:r w:rsidRPr="00365D40">
              <w:t xml:space="preserve">We have not redefined gamma as the value of imputation credits available for redemption. Rather, our conceptual approach considers </w:t>
            </w:r>
            <w:r w:rsidRPr="00BA5850">
              <w:t xml:space="preserve">imputation credits should be valued at face value on a post-company tax basis, before the impact of personal taxes and transaction costs. This is consistent with the Officer framework. Based on this, we consider gamma to be equal to the product of the distribution rate and the utilisation rate to investors in the market per dollar of credits distributed (the 'utilisation rate'). </w:t>
            </w:r>
          </w:p>
          <w:p w:rsidR="00BA5850" w:rsidRPr="00BA5850" w:rsidRDefault="00BA5850" w:rsidP="00BA5850">
            <w:r>
              <w:t xml:space="preserve">The equity ownership approach and tax statistics are consistent with our conceptual approach. They value </w:t>
            </w:r>
            <w:r w:rsidRPr="00BA5850">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BA5850" w:rsidRPr="00BA5850" w:rsidRDefault="00BA5850" w:rsidP="00BA5850">
            <w:r>
              <w:t>Also, v</w:t>
            </w:r>
            <w:r w:rsidRPr="00BA5850">
              <w:t>aluing imputation credits at face value is consistent with how all inputs into the allowed rate of return are estimated.</w:t>
            </w:r>
          </w:p>
          <w:p w:rsidR="00BA5850" w:rsidRPr="00BA5850" w:rsidRDefault="00BA5850" w:rsidP="00BA5850">
            <w:r>
              <w:t>In regards to the 'factors', w</w:t>
            </w:r>
            <w:r w:rsidRPr="00BA5850">
              <w:t>e have received advice from Handley on these factors. We consider such factors are either immaterial or should not be accounted for when estimating the properly defined utilisation rate.</w:t>
            </w:r>
          </w:p>
        </w:tc>
        <w:tc>
          <w:tcPr>
            <w:tcW w:w="851" w:type="dxa"/>
          </w:tcPr>
          <w:p w:rsidR="00BA5850" w:rsidRPr="00BA5850" w:rsidRDefault="00BA5850" w:rsidP="00BA5850">
            <w:r w:rsidRPr="00BA5850">
              <w:fldChar w:fldCharType="begin"/>
            </w:r>
            <w:r w:rsidRPr="00BA5850">
              <w:instrText xml:space="preserve"> REF _Ref451789904 \r \h </w:instrText>
            </w:r>
            <w:r w:rsidRPr="00BA5850">
              <w:fldChar w:fldCharType="separate"/>
            </w:r>
            <w:r w:rsidR="00746877">
              <w:t>4.1</w:t>
            </w:r>
            <w:r w:rsidRPr="00BA5850">
              <w:fldChar w:fldCharType="end"/>
            </w:r>
          </w:p>
          <w:p w:rsidR="00BA5850" w:rsidRPr="00BA5850" w:rsidRDefault="00BA5850" w:rsidP="00BA5850">
            <w:r w:rsidRPr="00BA5850">
              <w:fldChar w:fldCharType="begin"/>
            </w:r>
            <w:r w:rsidRPr="00BA5850">
              <w:instrText xml:space="preserve"> REF _Ref416802130 \r \h </w:instrText>
            </w:r>
            <w:r w:rsidRPr="00BA5850">
              <w:fldChar w:fldCharType="separate"/>
            </w:r>
            <w:r w:rsidR="00746877">
              <w:t>4.3.1</w:t>
            </w:r>
            <w:r w:rsidRPr="00BA5850">
              <w:fldChar w:fldCharType="end"/>
            </w:r>
          </w:p>
          <w:p w:rsidR="00BA5850" w:rsidRPr="00BA5850" w:rsidRDefault="00BA5850" w:rsidP="00BA5850">
            <w:r w:rsidRPr="00BA5850">
              <w:fldChar w:fldCharType="begin"/>
            </w:r>
            <w:r w:rsidRPr="00BA5850">
              <w:instrText xml:space="preserve"> REF _Ref415144114 \r \h </w:instrText>
            </w:r>
            <w:r w:rsidRPr="00BA5850">
              <w:fldChar w:fldCharType="separate"/>
            </w:r>
            <w:r w:rsidR="00746877">
              <w:t>A.5</w:t>
            </w:r>
            <w:r w:rsidRPr="00BA5850">
              <w:fldChar w:fldCharType="end"/>
            </w:r>
          </w:p>
          <w:p w:rsidR="00BA5850" w:rsidRPr="00BA5850" w:rsidRDefault="00BA5850" w:rsidP="00BA5850">
            <w:r w:rsidRPr="00BA5850">
              <w:fldChar w:fldCharType="begin"/>
            </w:r>
            <w:r w:rsidRPr="00BA5850">
              <w:instrText xml:space="preserve"> REF _Ref400965182 \r \h </w:instrText>
            </w:r>
            <w:r w:rsidRPr="00BA5850">
              <w:fldChar w:fldCharType="separate"/>
            </w:r>
            <w:r w:rsidR="00746877">
              <w:t>A.6</w:t>
            </w:r>
            <w:r w:rsidRPr="00BA5850">
              <w:fldChar w:fldCharType="end"/>
            </w:r>
          </w:p>
          <w:p w:rsidR="00BA5850" w:rsidRPr="00BA5850" w:rsidRDefault="00BA5850" w:rsidP="00BA5850">
            <w:r w:rsidRPr="00BA5850">
              <w:fldChar w:fldCharType="begin"/>
            </w:r>
            <w:r w:rsidRPr="00BA5850">
              <w:instrText xml:space="preserve"> REF _Ref451789926 \r \h </w:instrText>
            </w:r>
            <w:r w:rsidRPr="00BA5850">
              <w:fldChar w:fldCharType="separate"/>
            </w:r>
            <w:r w:rsidR="00746877">
              <w:t>A.7</w:t>
            </w:r>
            <w:r w:rsidRPr="00BA5850">
              <w:fldChar w:fldCharType="end"/>
            </w:r>
          </w:p>
          <w:p w:rsidR="00BA5850" w:rsidRPr="00BA5850" w:rsidRDefault="00BA5850" w:rsidP="00BA5850">
            <w:r w:rsidRPr="00BA5850">
              <w:fldChar w:fldCharType="begin"/>
            </w:r>
            <w:r w:rsidRPr="00BA5850">
              <w:instrText xml:space="preserve"> REF _Ref414623120 \r \h </w:instrText>
            </w:r>
            <w:r w:rsidRPr="00BA5850">
              <w:fldChar w:fldCharType="separate"/>
            </w:r>
            <w:r w:rsidR="00746877">
              <w:t>A.8</w:t>
            </w:r>
            <w:r w:rsidRPr="00BA5850">
              <w:fldChar w:fldCharType="end"/>
            </w:r>
          </w:p>
        </w:tc>
      </w:tr>
      <w:tr w:rsidR="00BA5850" w:rsidTr="00343639">
        <w:tc>
          <w:tcPr>
            <w:tcW w:w="3652" w:type="dxa"/>
          </w:tcPr>
          <w:p w:rsidR="00BA5850" w:rsidRPr="00E82D06" w:rsidRDefault="00BA5850" w:rsidP="00BA5850">
            <w:pPr>
              <w:rPr>
                <w:rStyle w:val="Strong"/>
              </w:rPr>
            </w:pPr>
            <w:r w:rsidRPr="00E82D06">
              <w:rPr>
                <w:rStyle w:val="Strong"/>
              </w:rPr>
              <w:t>Distribution rate</w:t>
            </w:r>
          </w:p>
        </w:tc>
        <w:tc>
          <w:tcPr>
            <w:tcW w:w="4394" w:type="dxa"/>
          </w:tcPr>
          <w:p w:rsidR="00BA5850" w:rsidRDefault="00BA5850" w:rsidP="00BA5850"/>
        </w:tc>
        <w:tc>
          <w:tcPr>
            <w:tcW w:w="851" w:type="dxa"/>
          </w:tcPr>
          <w:p w:rsidR="00BA5850" w:rsidRDefault="00BA5850" w:rsidP="00BA5850"/>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It is appropriate to use an all equity based estimate of the distribution rate.</w:t>
            </w:r>
            <w:r w:rsidRPr="00BA5850">
              <w:rPr>
                <w:rStyle w:val="FootnoteReference"/>
              </w:rPr>
              <w:footnoteReference w:id="164"/>
            </w:r>
            <w:r w:rsidRPr="00BA5850">
              <w:t xml:space="preserve"> The distribution rate for listed equity is likely to be a poor proxy for a benchmark efficient entity.</w:t>
            </w:r>
            <w:r w:rsidRPr="00BA5850">
              <w:rPr>
                <w:rStyle w:val="FootnoteReference"/>
              </w:rPr>
              <w:footnoteReference w:id="165"/>
            </w:r>
          </w:p>
          <w:p w:rsidR="00BA5850" w:rsidRPr="00BA5850" w:rsidRDefault="00BA5850" w:rsidP="00BA5850">
            <w:r w:rsidRPr="00692B72">
              <w:lastRenderedPageBreak/>
              <w:t>The Tribunal considered we provided insufficient</w:t>
            </w:r>
            <w:r w:rsidRPr="00BA5850">
              <w:t xml:space="preserve"> reasoning for introducing listed equity distribution rate.</w:t>
            </w:r>
            <w:r w:rsidRPr="00BA5850">
              <w:rPr>
                <w:rStyle w:val="FootnoteReference"/>
              </w:rPr>
              <w:footnoteReference w:id="166"/>
            </w:r>
          </w:p>
        </w:tc>
        <w:tc>
          <w:tcPr>
            <w:tcW w:w="4394" w:type="dxa"/>
          </w:tcPr>
          <w:p w:rsidR="00BA5850" w:rsidRPr="00BA5850" w:rsidRDefault="00BA5850" w:rsidP="00BA5850">
            <w:r>
              <w:lastRenderedPageBreak/>
              <w:t>We consider the use of a distribution rate for listed equity is open to us</w:t>
            </w:r>
            <w:r w:rsidRPr="00BA5850">
              <w:t xml:space="preserve"> and reasonably reflective of a benchmark efficient entity given the difficulties associated with choosing a representative dataset. Lally also recommends </w:t>
            </w:r>
            <w:r w:rsidRPr="00BA5850">
              <w:lastRenderedPageBreak/>
              <w:t>distribution rate based on listed equity for a benchmark efficient entity, although he estimates this using financial statements of the top 20 listed firms.</w:t>
            </w:r>
          </w:p>
          <w:p w:rsidR="00BA5850" w:rsidRPr="00BA5850" w:rsidRDefault="00BA5850" w:rsidP="00BA5850">
            <w:r>
              <w:t>Further, w</w:t>
            </w:r>
            <w:r w:rsidRPr="00BA5850">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BA5850" w:rsidRPr="00BA5850" w:rsidRDefault="00BA5850" w:rsidP="00BA5850">
            <w:r w:rsidRPr="000076F2">
              <w:t>Finally, it is not clear that foreign income results in a higher imputation payout ratio. In fact, Lally's analysis suggests the opposite.</w:t>
            </w:r>
          </w:p>
        </w:tc>
        <w:tc>
          <w:tcPr>
            <w:tcW w:w="851" w:type="dxa"/>
          </w:tcPr>
          <w:p w:rsidR="00BA5850" w:rsidRPr="00BA5850" w:rsidRDefault="00BA5850" w:rsidP="00BA5850">
            <w:r w:rsidRPr="00BA5850">
              <w:lastRenderedPageBreak/>
              <w:fldChar w:fldCharType="begin"/>
            </w:r>
            <w:r w:rsidRPr="00BA5850">
              <w:instrText xml:space="preserve"> REF _Ref450761230 \r \h </w:instrText>
            </w:r>
            <w:r w:rsidRPr="00BA5850">
              <w:fldChar w:fldCharType="separate"/>
            </w:r>
            <w:r w:rsidR="00746877">
              <w:t>4.4.1</w:t>
            </w:r>
            <w:r w:rsidRPr="00BA5850">
              <w:fldChar w:fldCharType="end"/>
            </w:r>
          </w:p>
          <w:p w:rsidR="00BA5850" w:rsidRPr="00BA5850" w:rsidRDefault="00BA5850" w:rsidP="00BA5850">
            <w:r w:rsidRPr="00BA5850">
              <w:fldChar w:fldCharType="begin"/>
            </w:r>
            <w:r w:rsidRPr="00BA5850">
              <w:instrText xml:space="preserve"> REF _Ref401133206 \r \h </w:instrText>
            </w:r>
            <w:r w:rsidRPr="00BA5850">
              <w:fldChar w:fldCharType="separate"/>
            </w:r>
            <w:r w:rsidR="00746877">
              <w:t>A.10</w:t>
            </w:r>
            <w:r w:rsidRPr="00BA5850">
              <w:fldChar w:fldCharType="end"/>
            </w:r>
          </w:p>
        </w:tc>
      </w:tr>
      <w:tr w:rsidR="00BA5850" w:rsidTr="00343639">
        <w:tc>
          <w:tcPr>
            <w:tcW w:w="3652" w:type="dxa"/>
          </w:tcPr>
          <w:p w:rsidR="00BA5850" w:rsidRPr="00BA5850" w:rsidRDefault="00BA5850" w:rsidP="00BA5850">
            <w:r>
              <w:lastRenderedPageBreak/>
              <w:t>Estimates of the utilisation rate from listed equity (all equity) do not have to be paired with estimates of the distribution rate from listed equity (all equity).</w:t>
            </w:r>
            <w:r w:rsidRPr="00BA5850">
              <w:rPr>
                <w:rStyle w:val="FootnoteReference"/>
              </w:rPr>
              <w:footnoteReference w:id="167"/>
            </w:r>
            <w:r w:rsidRPr="00BA5850">
              <w:t xml:space="preserve"> </w:t>
            </w:r>
          </w:p>
        </w:tc>
        <w:tc>
          <w:tcPr>
            <w:tcW w:w="4394" w:type="dxa"/>
          </w:tcPr>
          <w:p w:rsidR="00BA5850" w:rsidRPr="00BA5850" w:rsidRDefault="00BA5850" w:rsidP="00BA5850">
            <w:r>
              <w:t>F</w:t>
            </w:r>
            <w:r w:rsidRPr="00BA5850">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BA5850" w:rsidRPr="00BA5850" w:rsidRDefault="00BA5850" w:rsidP="00BA5850">
            <w:r w:rsidRPr="00BA5850">
              <w:fldChar w:fldCharType="begin"/>
            </w:r>
            <w:r w:rsidRPr="00BA5850">
              <w:instrText xml:space="preserve"> REF _Ref450761230 \r \h </w:instrText>
            </w:r>
            <w:r w:rsidRPr="00BA5850">
              <w:fldChar w:fldCharType="separate"/>
            </w:r>
            <w:r w:rsidR="00746877">
              <w:t>4.4.1</w:t>
            </w:r>
            <w:r w:rsidRPr="00BA5850">
              <w:fldChar w:fldCharType="end"/>
            </w:r>
          </w:p>
          <w:p w:rsidR="00BA5850" w:rsidRPr="00BA5850" w:rsidRDefault="00BA5850" w:rsidP="00BA5850">
            <w:r w:rsidRPr="00BA5850">
              <w:fldChar w:fldCharType="begin"/>
            </w:r>
            <w:r w:rsidRPr="00BA5850">
              <w:instrText xml:space="preserve"> REF _Ref451790065 \r \h </w:instrText>
            </w:r>
            <w:r w:rsidRPr="00BA5850">
              <w:fldChar w:fldCharType="separate"/>
            </w:r>
            <w:r w:rsidR="00746877">
              <w:t>A.9</w:t>
            </w:r>
            <w:r w:rsidRPr="00BA5850">
              <w:fldChar w:fldCharType="end"/>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E82D06" w:rsidRDefault="00BA5850" w:rsidP="00BA5850">
            <w:pPr>
              <w:rPr>
                <w:rStyle w:val="Strong"/>
              </w:rPr>
            </w:pPr>
            <w:r w:rsidRPr="00E82D06">
              <w:rPr>
                <w:rStyle w:val="Strong"/>
              </w:rPr>
              <w:t>Utilisation rate</w:t>
            </w:r>
          </w:p>
        </w:tc>
        <w:tc>
          <w:tcPr>
            <w:tcW w:w="4394" w:type="dxa"/>
          </w:tcPr>
          <w:p w:rsidR="00BA5850" w:rsidRDefault="00BA5850" w:rsidP="00BA5850"/>
        </w:tc>
        <w:tc>
          <w:tcPr>
            <w:tcW w:w="851" w:type="dxa"/>
          </w:tcPr>
          <w:p w:rsidR="00BA5850" w:rsidRDefault="00BA5850" w:rsidP="00BA5850"/>
        </w:tc>
      </w:tr>
      <w:tr w:rsidR="00BA5850" w:rsidTr="00343639">
        <w:tc>
          <w:tcPr>
            <w:tcW w:w="3652" w:type="dxa"/>
          </w:tcPr>
          <w:p w:rsidR="00BA5850" w:rsidRPr="00BA5850" w:rsidRDefault="00BA5850" w:rsidP="00BA5850">
            <w:r w:rsidRPr="006B5C23">
              <w:rPr>
                <w:rStyle w:val="AERtextitalic"/>
              </w:rPr>
              <w:t>Equity ownership approach</w:t>
            </w:r>
          </w:p>
        </w:tc>
        <w:tc>
          <w:tcPr>
            <w:tcW w:w="4394" w:type="dxa"/>
          </w:tcPr>
          <w:p w:rsidR="00BA5850" w:rsidRDefault="00BA5850" w:rsidP="00BA5850"/>
        </w:tc>
        <w:tc>
          <w:tcPr>
            <w:tcW w:w="851" w:type="dxa"/>
          </w:tcPr>
          <w:p w:rsidR="00BA5850" w:rsidRDefault="00BA5850" w:rsidP="00BA5850"/>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The equity ownership approach overstates the utilisation rate (</w:t>
            </w:r>
            <w:r w:rsidRPr="00BA5850">
              <w:t>relative to an upper bound based on tax statistics)</w:t>
            </w:r>
            <w:r w:rsidRPr="00BA5850">
              <w:rPr>
                <w:rStyle w:val="FootnoteReference"/>
              </w:rPr>
              <w:footnoteReference w:id="168"/>
            </w:r>
            <w:r w:rsidRPr="00BA5850">
              <w:t xml:space="preserve"> </w:t>
            </w:r>
          </w:p>
          <w:p w:rsidR="00BA5850" w:rsidRPr="00BA5850" w:rsidRDefault="00BA5850" w:rsidP="00BA5850">
            <w:pPr>
              <w:rPr>
                <w:rStyle w:val="AERtextitalic"/>
              </w:rPr>
            </w:pPr>
            <w:r>
              <w:lastRenderedPageBreak/>
              <w:t>The Tribunal consider</w:t>
            </w:r>
            <w:r w:rsidRPr="00BA5850">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BA5850">
              <w:rPr>
                <w:rStyle w:val="FootnoteReference"/>
              </w:rPr>
              <w:footnoteReference w:id="169"/>
            </w:r>
          </w:p>
        </w:tc>
        <w:tc>
          <w:tcPr>
            <w:tcW w:w="4394" w:type="dxa"/>
          </w:tcPr>
          <w:p w:rsidR="00BA5850" w:rsidRPr="00BA5850" w:rsidRDefault="00BA5850" w:rsidP="00BA5850">
            <w:r>
              <w:lastRenderedPageBreak/>
              <w:t xml:space="preserve">We do not consider the estimate of the utilisation rate from tax statistics is an upper bound (see </w:t>
            </w:r>
            <w:r w:rsidRPr="00BA5850">
              <w:t xml:space="preserve">response under 'Tax statistics'). </w:t>
            </w:r>
          </w:p>
          <w:p w:rsidR="00BA5850" w:rsidRPr="00BA5850" w:rsidRDefault="00BA5850" w:rsidP="00BA5850">
            <w:r>
              <w:lastRenderedPageBreak/>
              <w:t>We consider the 45 day rule</w:t>
            </w:r>
            <w:r w:rsidRPr="00BA5850">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BA5850">
              <w:rPr>
                <w:rStyle w:val="FootnoteReference"/>
              </w:rPr>
              <w:footnoteReference w:id="170"/>
            </w:r>
          </w:p>
          <w:p w:rsidR="00BA5850" w:rsidRDefault="00BA5850" w:rsidP="00BA5850">
            <w:r>
              <w:t>We use an estimate of the utilisation rate below the top of the range from the equity ownership approach.</w:t>
            </w:r>
          </w:p>
        </w:tc>
        <w:tc>
          <w:tcPr>
            <w:tcW w:w="851" w:type="dxa"/>
          </w:tcPr>
          <w:p w:rsidR="00BA5850" w:rsidRPr="00BA5850" w:rsidRDefault="00BA5850" w:rsidP="00BA5850">
            <w:r w:rsidRPr="00BA5850">
              <w:lastRenderedPageBreak/>
              <w:fldChar w:fldCharType="begin"/>
            </w:r>
            <w:r w:rsidRPr="00BA5850">
              <w:instrText xml:space="preserve"> REF _Ref450761230 \r \h </w:instrText>
            </w:r>
            <w:r w:rsidRPr="00BA5850">
              <w:fldChar w:fldCharType="separate"/>
            </w:r>
            <w:r w:rsidR="00746877">
              <w:t>4.4.1</w:t>
            </w:r>
            <w:r w:rsidRPr="00BA5850">
              <w:fldChar w:fldCharType="end"/>
            </w:r>
          </w:p>
          <w:p w:rsidR="00BA5850" w:rsidRPr="00BA5850" w:rsidRDefault="00BA5850" w:rsidP="00BA5850">
            <w:r w:rsidRPr="00BA5850">
              <w:fldChar w:fldCharType="begin"/>
            </w:r>
            <w:r w:rsidRPr="00BA5850">
              <w:instrText xml:space="preserve"> REF _Ref415049811 \r \h </w:instrText>
            </w:r>
            <w:r w:rsidRPr="00BA5850">
              <w:fldChar w:fldCharType="separate"/>
            </w:r>
            <w:r w:rsidR="00746877">
              <w:t>A.12</w:t>
            </w:r>
            <w:r w:rsidRPr="00BA5850">
              <w:fldChar w:fldCharType="end"/>
            </w:r>
          </w:p>
          <w:p w:rsidR="00BA5850" w:rsidRPr="00BA5850" w:rsidRDefault="00BA5850" w:rsidP="00BA5850">
            <w:r w:rsidRPr="00BA5850">
              <w:lastRenderedPageBreak/>
              <w:fldChar w:fldCharType="begin"/>
            </w:r>
            <w:r w:rsidRPr="00BA5850">
              <w:instrText xml:space="preserve"> REF _Ref450298682 \r \h </w:instrText>
            </w:r>
            <w:r w:rsidRPr="00BA5850">
              <w:fldChar w:fldCharType="separate"/>
            </w:r>
            <w:r w:rsidR="00746877">
              <w:t>A.14</w:t>
            </w:r>
            <w:r w:rsidRPr="00BA5850">
              <w:fldChar w:fldCharType="end"/>
            </w:r>
          </w:p>
          <w:p w:rsidR="00BA5850" w:rsidRPr="00BA5850" w:rsidRDefault="00BA5850" w:rsidP="00BA5850">
            <w:r w:rsidRPr="00BA5850">
              <w:fldChar w:fldCharType="begin"/>
            </w:r>
            <w:r w:rsidRPr="00BA5850">
              <w:instrText xml:space="preserve"> REF _Ref414099389 \r \h </w:instrText>
            </w:r>
            <w:r w:rsidRPr="00BA5850">
              <w:fldChar w:fldCharType="separate"/>
            </w:r>
            <w:r w:rsidR="00746877">
              <w:t>A.8.3</w:t>
            </w:r>
            <w:r w:rsidRPr="00BA5850">
              <w:fldChar w:fldCharType="end"/>
            </w:r>
          </w:p>
        </w:tc>
      </w:tr>
      <w:tr w:rsidR="00BA5850" w:rsidTr="00343639">
        <w:tc>
          <w:tcPr>
            <w:tcW w:w="3652" w:type="dxa"/>
          </w:tcPr>
          <w:p w:rsidR="00BA5850" w:rsidRPr="00BA5850" w:rsidRDefault="00BA5850" w:rsidP="00BA5850">
            <w:r>
              <w:lastRenderedPageBreak/>
              <w:t>T</w:t>
            </w:r>
            <w:r w:rsidRPr="00BA5850">
              <w:t>he equity ownership approach is inconsistent with the proper interpretation of the Officer framework.</w:t>
            </w:r>
            <w:r w:rsidRPr="00BA5850">
              <w:rPr>
                <w:rStyle w:val="FootnoteReference"/>
              </w:rPr>
              <w:footnoteReference w:id="171"/>
            </w:r>
          </w:p>
          <w:p w:rsidR="00BA5850" w:rsidRPr="00BA5850" w:rsidRDefault="00BA5850" w:rsidP="00BA5850">
            <w:r>
              <w:t xml:space="preserve">The equity ownership approach does not </w:t>
            </w:r>
            <w:r w:rsidRPr="00BA5850">
              <w:t>reflect factors which affect investors' valuation of imputation credits (below their full face value).</w:t>
            </w:r>
            <w:r w:rsidRPr="00BA5850">
              <w:rPr>
                <w:rStyle w:val="FootnoteReference"/>
              </w:rPr>
              <w:footnoteReference w:id="172"/>
            </w:r>
          </w:p>
        </w:tc>
        <w:tc>
          <w:tcPr>
            <w:tcW w:w="4394" w:type="dxa"/>
          </w:tcPr>
          <w:p w:rsidR="00BA5850" w:rsidRPr="00BA5850" w:rsidRDefault="00BA5850" w:rsidP="00BA5850">
            <w:r>
              <w:t>See response under 'Conceptual framework'</w:t>
            </w:r>
            <w:r w:rsidRPr="00BA5850">
              <w:t xml:space="preserve">. </w:t>
            </w:r>
          </w:p>
        </w:tc>
        <w:tc>
          <w:tcPr>
            <w:tcW w:w="851" w:type="dxa"/>
          </w:tcPr>
          <w:p w:rsidR="00BA5850" w:rsidRPr="00BA5850" w:rsidRDefault="00BA5850" w:rsidP="00BA5850">
            <w:r w:rsidRPr="00BA5850">
              <w:fldChar w:fldCharType="begin"/>
            </w:r>
            <w:r w:rsidRPr="00BA5850">
              <w:instrText xml:space="preserve"> REF _Ref414099389 \r \h </w:instrText>
            </w:r>
            <w:r w:rsidRPr="00BA5850">
              <w:fldChar w:fldCharType="separate"/>
            </w:r>
            <w:r w:rsidR="00746877">
              <w:t>A.8.3</w:t>
            </w:r>
            <w:r w:rsidRPr="00BA5850">
              <w:fldChar w:fldCharType="end"/>
            </w:r>
          </w:p>
          <w:p w:rsidR="00BA5850" w:rsidRPr="00BA5850" w:rsidRDefault="00BA5850" w:rsidP="00BA5850">
            <w:r w:rsidRPr="00BA5850">
              <w:fldChar w:fldCharType="begin"/>
            </w:r>
            <w:r w:rsidRPr="00BA5850">
              <w:instrText xml:space="preserve"> REF _Ref415049811 \r \h </w:instrText>
            </w:r>
            <w:r w:rsidRPr="00BA5850">
              <w:fldChar w:fldCharType="separate"/>
            </w:r>
            <w:r w:rsidR="00746877">
              <w:t>A.12</w:t>
            </w:r>
            <w:r w:rsidRPr="00BA5850">
              <w:fldChar w:fldCharType="end"/>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The equity ownership approach can only be used informatively</w:t>
            </w:r>
            <w:r w:rsidRPr="00BA5850">
              <w:t xml:space="preserve"> as an upper bound or as a check on other estimates (like tax statistics)</w:t>
            </w:r>
            <w:r w:rsidRPr="00BA5850">
              <w:rPr>
                <w:rStyle w:val="FootnoteReference"/>
              </w:rPr>
              <w:footnoteReference w:id="173"/>
            </w:r>
          </w:p>
        </w:tc>
        <w:tc>
          <w:tcPr>
            <w:tcW w:w="4394" w:type="dxa"/>
          </w:tcPr>
          <w:p w:rsidR="00BA5850" w:rsidRPr="00BA5850" w:rsidRDefault="00BA5850" w:rsidP="00BA5850">
            <w:r>
              <w:t>The equity ownership approach (and tax statistics) can</w:t>
            </w:r>
            <w:r w:rsidRPr="00BA5850">
              <w:t xml:space="preserve"> used to generate a point estimate of the utilisation rate.</w:t>
            </w:r>
            <w:r w:rsidRPr="00BA5850">
              <w:tab/>
            </w:r>
          </w:p>
        </w:tc>
        <w:tc>
          <w:tcPr>
            <w:tcW w:w="851" w:type="dxa"/>
          </w:tcPr>
          <w:p w:rsidR="00BA5850" w:rsidRPr="00BA5850" w:rsidRDefault="00BA5850" w:rsidP="00BA5850">
            <w:r w:rsidRPr="00BA5850">
              <w:fldChar w:fldCharType="begin"/>
            </w:r>
            <w:r w:rsidRPr="00BA5850">
              <w:instrText xml:space="preserve"> REF _Ref451790207 \r \h </w:instrText>
            </w:r>
            <w:r w:rsidRPr="00BA5850">
              <w:fldChar w:fldCharType="separate"/>
            </w:r>
            <w:r w:rsidR="00746877">
              <w:t>4.4</w:t>
            </w:r>
            <w:r w:rsidRPr="00BA5850">
              <w:fldChar w:fldCharType="end"/>
            </w:r>
          </w:p>
          <w:p w:rsidR="00BA5850" w:rsidRPr="00BA5850" w:rsidRDefault="00BA5850" w:rsidP="00BA5850">
            <w:r w:rsidRPr="00BA5850">
              <w:fldChar w:fldCharType="begin"/>
            </w:r>
            <w:r w:rsidRPr="00BA5850">
              <w:instrText xml:space="preserve"> REF _Ref415049811 \r \h </w:instrText>
            </w:r>
            <w:r w:rsidRPr="00BA5850">
              <w:fldChar w:fldCharType="separate"/>
            </w:r>
            <w:r w:rsidR="00746877">
              <w:t>A.12</w:t>
            </w:r>
            <w:r w:rsidRPr="00BA5850">
              <w:fldChar w:fldCharType="end"/>
            </w:r>
          </w:p>
        </w:tc>
      </w:tr>
      <w:tr w:rsidR="00BA5850" w:rsidTr="00343639">
        <w:tc>
          <w:tcPr>
            <w:tcW w:w="3652" w:type="dxa"/>
          </w:tcPr>
          <w:p w:rsidR="00BA5850" w:rsidRPr="00BA5850" w:rsidRDefault="00BA5850" w:rsidP="00BA5850">
            <w:r>
              <w:t>The equity ownership approach estimate of the utilisation rate should be based on listed equity</w:t>
            </w:r>
            <w:r w:rsidRPr="00BA5850">
              <w:rPr>
                <w:rStyle w:val="FootnoteReference"/>
              </w:rPr>
              <w:footnoteReference w:id="174"/>
            </w:r>
          </w:p>
        </w:tc>
        <w:tc>
          <w:tcPr>
            <w:tcW w:w="4394" w:type="dxa"/>
          </w:tcPr>
          <w:p w:rsidR="00BA5850" w:rsidRDefault="00BA5850" w:rsidP="00BA5850">
            <w:r>
              <w:t>We consider utilisation rates from the equity ownership approach based on listed equity and all equity.</w:t>
            </w:r>
          </w:p>
        </w:tc>
        <w:tc>
          <w:tcPr>
            <w:tcW w:w="851" w:type="dxa"/>
          </w:tcPr>
          <w:p w:rsidR="00BA5850" w:rsidRPr="00BA5850" w:rsidRDefault="00BA5850" w:rsidP="00BA5850">
            <w:r w:rsidRPr="00BA5850">
              <w:fldChar w:fldCharType="begin"/>
            </w:r>
            <w:r w:rsidRPr="00BA5850">
              <w:instrText xml:space="preserve"> REF _Ref401048631 \r \h </w:instrText>
            </w:r>
            <w:r w:rsidRPr="00BA5850">
              <w:fldChar w:fldCharType="separate"/>
            </w:r>
            <w:r w:rsidR="00746877">
              <w:t>A.9.1</w:t>
            </w:r>
            <w:r w:rsidRPr="00BA5850">
              <w:fldChar w:fldCharType="end"/>
            </w:r>
          </w:p>
          <w:p w:rsidR="00BA5850" w:rsidRPr="00BA5850" w:rsidRDefault="00BA5850" w:rsidP="00BA5850">
            <w:r w:rsidRPr="00BA5850">
              <w:fldChar w:fldCharType="begin"/>
            </w:r>
            <w:r w:rsidRPr="00BA5850">
              <w:instrText xml:space="preserve"> REF _Ref415049811 \r \h </w:instrText>
            </w:r>
            <w:r w:rsidRPr="00BA5850">
              <w:fldChar w:fldCharType="separate"/>
            </w:r>
            <w:r w:rsidR="00746877">
              <w:t>A.12</w:t>
            </w:r>
            <w:r w:rsidRPr="00BA5850">
              <w:fldChar w:fldCharType="end"/>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lastRenderedPageBreak/>
              <w:t>O</w:t>
            </w:r>
            <w:r w:rsidRPr="00BA5850">
              <w:t>nly the most recent point estimates of the equity ownership share are relevant.</w:t>
            </w:r>
            <w:r w:rsidRPr="00BA5850">
              <w:rPr>
                <w:rStyle w:val="FootnoteReference"/>
              </w:rPr>
              <w:footnoteReference w:id="175"/>
            </w:r>
          </w:p>
        </w:tc>
        <w:tc>
          <w:tcPr>
            <w:tcW w:w="4394" w:type="dxa"/>
          </w:tcPr>
          <w:p w:rsidR="00BA5850" w:rsidRPr="00BA5850" w:rsidRDefault="00BA5850" w:rsidP="00BA5850">
            <w:r w:rsidRPr="005B650B">
              <w:t xml:space="preserve">We disagree. Given that the series exhibits considerable volatility, we </w:t>
            </w:r>
            <w:r w:rsidRPr="00BA5850">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BA5850" w:rsidRPr="00BA5850" w:rsidRDefault="00BA5850" w:rsidP="00BA5850">
            <w:r w:rsidRPr="00BA5850">
              <w:fldChar w:fldCharType="begin"/>
            </w:r>
            <w:r w:rsidRPr="00BA5850">
              <w:instrText xml:space="preserve"> REF _Ref415049811 \r \h </w:instrText>
            </w:r>
            <w:r w:rsidRPr="00BA5850">
              <w:fldChar w:fldCharType="separate"/>
            </w:r>
            <w:r w:rsidR="00746877">
              <w:t>A.12</w:t>
            </w:r>
            <w:r w:rsidRPr="00BA5850">
              <w:fldChar w:fldCharType="end"/>
            </w:r>
          </w:p>
        </w:tc>
      </w:tr>
      <w:tr w:rsidR="00BA5850" w:rsidTr="00343639">
        <w:tc>
          <w:tcPr>
            <w:tcW w:w="3652" w:type="dxa"/>
          </w:tcPr>
          <w:p w:rsidR="00BA5850" w:rsidRPr="00BA5850" w:rsidRDefault="00BA5850" w:rsidP="00BA5850">
            <w:r w:rsidRPr="006B5C23">
              <w:rPr>
                <w:rStyle w:val="AERtextitalic"/>
              </w:rPr>
              <w:t>Tax statistics</w:t>
            </w:r>
          </w:p>
        </w:tc>
        <w:tc>
          <w:tcPr>
            <w:tcW w:w="4394" w:type="dxa"/>
          </w:tcPr>
          <w:p w:rsidR="00BA5850" w:rsidRDefault="00BA5850" w:rsidP="00BA5850"/>
        </w:tc>
        <w:tc>
          <w:tcPr>
            <w:tcW w:w="851" w:type="dxa"/>
          </w:tcPr>
          <w:p w:rsidR="00BA5850" w:rsidRDefault="00BA5850" w:rsidP="00BA5850"/>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 xml:space="preserve">Tax statistics are inconsistent with the </w:t>
            </w:r>
            <w:r w:rsidRPr="00BA5850">
              <w:t>proper interpretation of the Officer framework</w:t>
            </w:r>
            <w:r w:rsidRPr="00BA5850">
              <w:rPr>
                <w:rStyle w:val="FootnoteReference"/>
              </w:rPr>
              <w:footnoteReference w:id="176"/>
            </w:r>
          </w:p>
          <w:p w:rsidR="00BA5850" w:rsidRPr="00BA5850" w:rsidRDefault="00BA5850" w:rsidP="00BA5850">
            <w:r>
              <w:t>Tax statistics do</w:t>
            </w:r>
            <w:r w:rsidRPr="00BA5850">
              <w:t xml:space="preserve"> not reflect factors which affect investors' valuation of imputation credits (below their full face value).</w:t>
            </w:r>
            <w:r w:rsidRPr="00BA5850">
              <w:rPr>
                <w:rStyle w:val="FootnoteReference"/>
              </w:rPr>
              <w:footnoteReference w:id="177"/>
            </w:r>
          </w:p>
        </w:tc>
        <w:tc>
          <w:tcPr>
            <w:tcW w:w="4394" w:type="dxa"/>
          </w:tcPr>
          <w:p w:rsidR="00BA5850" w:rsidRPr="00BA5850" w:rsidRDefault="00BA5850" w:rsidP="00BA5850">
            <w:r>
              <w:t xml:space="preserve">See </w:t>
            </w:r>
            <w:r w:rsidRPr="00BA5850">
              <w:t>response under 'Conceptual framework'.</w:t>
            </w:r>
          </w:p>
        </w:tc>
        <w:tc>
          <w:tcPr>
            <w:tcW w:w="851" w:type="dxa"/>
          </w:tcPr>
          <w:p w:rsidR="00BA5850" w:rsidRPr="00BA5850" w:rsidRDefault="00BA5850" w:rsidP="00BA5850">
            <w:r w:rsidRPr="00BA5850">
              <w:fldChar w:fldCharType="begin"/>
            </w:r>
            <w:r w:rsidRPr="00BA5850">
              <w:instrText xml:space="preserve"> REF _Ref451793040 \r \h </w:instrText>
            </w:r>
            <w:r w:rsidRPr="00BA5850">
              <w:fldChar w:fldCharType="separate"/>
            </w:r>
            <w:r w:rsidR="00746877">
              <w:t>4.1</w:t>
            </w:r>
            <w:r w:rsidRPr="00BA5850">
              <w:fldChar w:fldCharType="end"/>
            </w:r>
          </w:p>
          <w:p w:rsidR="00BA5850" w:rsidRPr="00BA5850" w:rsidRDefault="00BA5850" w:rsidP="00BA5850">
            <w:r w:rsidRPr="00BA5850">
              <w:fldChar w:fldCharType="begin"/>
            </w:r>
            <w:r w:rsidRPr="00BA5850">
              <w:instrText xml:space="preserve"> REF _Ref414099389 \r \h </w:instrText>
            </w:r>
            <w:r w:rsidRPr="00BA5850">
              <w:fldChar w:fldCharType="separate"/>
            </w:r>
            <w:r w:rsidR="00746877">
              <w:t>A.8.3</w:t>
            </w:r>
            <w:r w:rsidRPr="00BA5850">
              <w:fldChar w:fldCharType="end"/>
            </w:r>
          </w:p>
          <w:p w:rsidR="00BA5850" w:rsidRPr="00BA5850" w:rsidRDefault="00BA5850" w:rsidP="00BA5850">
            <w:r w:rsidRPr="00BA5850">
              <w:fldChar w:fldCharType="begin"/>
            </w:r>
            <w:r w:rsidRPr="00BA5850">
              <w:instrText xml:space="preserve"> REF _Ref402179420 \r \h </w:instrText>
            </w:r>
            <w:r w:rsidRPr="00BA5850">
              <w:fldChar w:fldCharType="separate"/>
            </w:r>
            <w:r w:rsidR="00746877">
              <w:t>A.13</w:t>
            </w:r>
            <w:r w:rsidRPr="00BA5850">
              <w:fldChar w:fldCharType="end"/>
            </w:r>
          </w:p>
        </w:tc>
      </w:tr>
      <w:tr w:rsidR="00BA5850" w:rsidTr="00343639">
        <w:tc>
          <w:tcPr>
            <w:tcW w:w="3652" w:type="dxa"/>
          </w:tcPr>
          <w:p w:rsidR="00BA5850" w:rsidRPr="00BA5850" w:rsidRDefault="00BA5850" w:rsidP="00BA5850">
            <w:pPr>
              <w:rPr>
                <w:rStyle w:val="AERtextitalic"/>
              </w:rPr>
            </w:pPr>
            <w:r>
              <w:t>Tax statistics can only provide an upper bound for the estimate of the utilisation rate</w:t>
            </w:r>
            <w:r w:rsidRPr="00BA5850">
              <w:rPr>
                <w:rStyle w:val="FootnoteReference"/>
              </w:rPr>
              <w:footnoteReference w:id="178"/>
            </w:r>
          </w:p>
        </w:tc>
        <w:tc>
          <w:tcPr>
            <w:tcW w:w="4394" w:type="dxa"/>
          </w:tcPr>
          <w:p w:rsidR="00BA5850" w:rsidRPr="00BA5850" w:rsidRDefault="00BA5850" w:rsidP="00BA5850">
            <w:r>
              <w:t>We do not consider t</w:t>
            </w:r>
            <w:r w:rsidRPr="00BA5850">
              <w:t>ax statistics provide an upper bound estimate. An upper bound is a value above which the true value cannot exceed.</w:t>
            </w:r>
            <w:r w:rsidRPr="00BA5850">
              <w:rPr>
                <w:rStyle w:val="FootnoteReference"/>
              </w:rPr>
              <w:footnoteReference w:id="179"/>
            </w:r>
          </w:p>
          <w:p w:rsidR="00BA5850" w:rsidRPr="00BA5850" w:rsidRDefault="00BA5850" w:rsidP="00BA5850">
            <w:r w:rsidRPr="00C70506">
              <w:t xml:space="preserve">Rather, tax statistics provide one point estimate for the </w:t>
            </w:r>
            <w:r w:rsidRPr="00BA5850">
              <w:t xml:space="preserve">utilisation rate. This estimate is, by definition, uncertain and dependant on the quality of the underlying data. As such, the true (unknown) value could be higher or lower. Importantly, the quality of the underlying taxation data is poor and experts consider it to be unreliable. Lally </w:t>
            </w:r>
            <w:r w:rsidRPr="00BA5850">
              <w:lastRenderedPageBreak/>
              <w:t>considers the tax statistic used by us is not an upper bound.</w:t>
            </w:r>
            <w:r w:rsidRPr="00BA5850">
              <w:rPr>
                <w:rStyle w:val="FootnoteReference"/>
              </w:rPr>
              <w:footnoteReference w:id="180"/>
            </w:r>
          </w:p>
        </w:tc>
        <w:tc>
          <w:tcPr>
            <w:tcW w:w="851" w:type="dxa"/>
          </w:tcPr>
          <w:p w:rsidR="00BA5850" w:rsidRPr="00BA5850" w:rsidRDefault="00BA5850" w:rsidP="00BA5850">
            <w:r w:rsidRPr="00BA5850">
              <w:lastRenderedPageBreak/>
              <w:fldChar w:fldCharType="begin"/>
            </w:r>
            <w:r w:rsidRPr="00BA5850">
              <w:instrText xml:space="preserve"> REF _Ref450761230 \r \h </w:instrText>
            </w:r>
            <w:r w:rsidRPr="00BA5850">
              <w:fldChar w:fldCharType="separate"/>
            </w:r>
            <w:r w:rsidR="00746877">
              <w:t>4.4.1</w:t>
            </w:r>
            <w:r w:rsidRPr="00BA5850">
              <w:fldChar w:fldCharType="end"/>
            </w:r>
          </w:p>
          <w:p w:rsidR="00BA5850" w:rsidRPr="00BA5850" w:rsidRDefault="00BA5850" w:rsidP="00BA5850">
            <w:r w:rsidRPr="00BA5850">
              <w:fldChar w:fldCharType="begin"/>
            </w:r>
            <w:r w:rsidRPr="00BA5850">
              <w:instrText xml:space="preserve"> REF _Ref402179420 \r \h </w:instrText>
            </w:r>
            <w:r w:rsidRPr="00BA5850">
              <w:fldChar w:fldCharType="separate"/>
            </w:r>
            <w:r w:rsidR="00746877">
              <w:t>A.13</w:t>
            </w:r>
            <w:r w:rsidRPr="00BA5850">
              <w:fldChar w:fldCharType="end"/>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rsidRPr="006B5C23">
              <w:rPr>
                <w:rStyle w:val="AERtextitalic"/>
              </w:rPr>
              <w:lastRenderedPageBreak/>
              <w:t>Implied market value studies</w:t>
            </w:r>
          </w:p>
        </w:tc>
        <w:tc>
          <w:tcPr>
            <w:tcW w:w="4394" w:type="dxa"/>
          </w:tcPr>
          <w:p w:rsidR="00BA5850" w:rsidRDefault="00BA5850" w:rsidP="00BA5850"/>
        </w:tc>
        <w:tc>
          <w:tcPr>
            <w:tcW w:w="851" w:type="dxa"/>
          </w:tcPr>
          <w:p w:rsidR="00BA5850" w:rsidRDefault="00BA5850" w:rsidP="00BA5850"/>
        </w:tc>
      </w:tr>
      <w:tr w:rsidR="00BA5850" w:rsidTr="00343639">
        <w:tc>
          <w:tcPr>
            <w:tcW w:w="3652" w:type="dxa"/>
          </w:tcPr>
          <w:p w:rsidR="00BA5850" w:rsidRPr="00BA5850" w:rsidRDefault="00BA5850" w:rsidP="00BA5850">
            <w:r>
              <w:t>W</w:t>
            </w:r>
            <w:r w:rsidRPr="00BA5850">
              <w:t>e should rely more on estimates of the utilisation rate from implied market value studies as they are direct evidence on the value of imputation credits to investors.</w:t>
            </w:r>
            <w:r w:rsidRPr="00BA5850">
              <w:rPr>
                <w:rStyle w:val="FootnoteReference"/>
              </w:rPr>
              <w:footnoteReference w:id="181"/>
            </w:r>
            <w:r w:rsidRPr="00BA5850">
              <w:t xml:space="preserve"> </w:t>
            </w:r>
          </w:p>
          <w:p w:rsidR="00BA5850" w:rsidRPr="00BA5850" w:rsidRDefault="00BA5850" w:rsidP="00BA5850">
            <w:pPr>
              <w:rPr>
                <w:rStyle w:val="AERtextitalic"/>
              </w:rPr>
            </w:pPr>
            <w:r>
              <w:t>T</w:t>
            </w:r>
            <w:r w:rsidRPr="00BA5850">
              <w:t>he Tribunal considered implied market value studies are best placed to capture the considerations investors make in determining the utilisation rate (or the worth of imputation credits to them).</w:t>
            </w:r>
            <w:r w:rsidRPr="00BA5850">
              <w:rPr>
                <w:rStyle w:val="FootnoteReference"/>
              </w:rPr>
              <w:footnoteReference w:id="182"/>
            </w:r>
          </w:p>
        </w:tc>
        <w:tc>
          <w:tcPr>
            <w:tcW w:w="4394" w:type="dxa"/>
          </w:tcPr>
          <w:p w:rsidR="00BA5850" w:rsidRPr="00BA5850" w:rsidRDefault="00BA5850" w:rsidP="00BA5850">
            <w:r>
              <w:t xml:space="preserve">See </w:t>
            </w:r>
            <w:r w:rsidRPr="00BA5850">
              <w:t>response under 'Conceptual framework'.</w:t>
            </w:r>
          </w:p>
          <w:p w:rsidR="00BA5850" w:rsidRPr="00BA5850" w:rsidRDefault="00BA5850" w:rsidP="00BA5850">
            <w:r>
              <w:t>E</w:t>
            </w:r>
            <w:r w:rsidRPr="00BA5850">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BA5850" w:rsidRPr="00BA5850" w:rsidRDefault="00BA5850" w:rsidP="00BA5850">
            <w:r>
              <w:t>We consider m</w:t>
            </w:r>
            <w:r w:rsidRPr="00BA5850">
              <w:t>arket value studies do not provide a post-tax estimate of the utilisation rate unless they are corrected for the impact of differential personal taxation on capital gains and dividend income. Without this adjustment they are inconsistent with the Officer framework.</w:t>
            </w:r>
          </w:p>
          <w:p w:rsidR="00BA5850" w:rsidRDefault="00BA5850" w:rsidP="00BA5850"/>
        </w:tc>
        <w:tc>
          <w:tcPr>
            <w:tcW w:w="851" w:type="dxa"/>
          </w:tcPr>
          <w:p w:rsidR="00BA5850" w:rsidRPr="00BA5850" w:rsidRDefault="00BA5850" w:rsidP="00BA5850">
            <w:r w:rsidRPr="00BA5850">
              <w:fldChar w:fldCharType="begin"/>
            </w:r>
            <w:r w:rsidRPr="00BA5850">
              <w:instrText xml:space="preserve"> REF _Ref450761230 \r \h </w:instrText>
            </w:r>
            <w:r w:rsidRPr="00BA5850">
              <w:fldChar w:fldCharType="separate"/>
            </w:r>
            <w:r w:rsidR="00746877">
              <w:t>4.4.1</w:t>
            </w:r>
            <w:r w:rsidRPr="00BA5850">
              <w:fldChar w:fldCharType="end"/>
            </w:r>
          </w:p>
          <w:p w:rsidR="00BA5850" w:rsidRDefault="00BA5850" w:rsidP="00BA5850">
            <w:r>
              <w:t>A.15</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We should rely exclusively on SFG's study</w:t>
            </w:r>
            <w:r w:rsidRPr="00BA5850">
              <w:t>, which suggests a best estimate of 0.35 for the utilisation rate</w:t>
            </w:r>
            <w:r w:rsidRPr="00BA5850">
              <w:rPr>
                <w:rStyle w:val="FootnoteReference"/>
              </w:rPr>
              <w:footnoteReference w:id="183"/>
            </w:r>
          </w:p>
        </w:tc>
        <w:tc>
          <w:tcPr>
            <w:tcW w:w="4394" w:type="dxa"/>
          </w:tcPr>
          <w:p w:rsidR="00BA5850" w:rsidRPr="00BA5850" w:rsidRDefault="00BA5850" w:rsidP="00BA5850">
            <w:r>
              <w:t>See response to '</w:t>
            </w:r>
            <w:r w:rsidRPr="00BA5850">
              <w:t>We should rely more on estimates of the utilisation rate from implied market value studies'.</w:t>
            </w:r>
          </w:p>
          <w:p w:rsidR="00BA5850" w:rsidRPr="00BA5850" w:rsidRDefault="00BA5850" w:rsidP="00BA5850">
            <w:r>
              <w:t>W</w:t>
            </w:r>
            <w:r w:rsidRPr="00BA5850">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BA5850" w:rsidRDefault="00BA5850" w:rsidP="00BA5850">
            <w:r>
              <w:t>4.4</w:t>
            </w:r>
          </w:p>
          <w:p w:rsidR="00BA5850" w:rsidRDefault="00BA5850" w:rsidP="00BA5850">
            <w:r>
              <w:t>4.4.1</w:t>
            </w:r>
          </w:p>
        </w:tc>
      </w:tr>
      <w:tr w:rsidR="00BA5850" w:rsidTr="00343639">
        <w:tc>
          <w:tcPr>
            <w:tcW w:w="3652" w:type="dxa"/>
          </w:tcPr>
          <w:p w:rsidR="00BA5850" w:rsidRPr="00BA5850" w:rsidRDefault="00BA5850" w:rsidP="00BA5850">
            <w:r>
              <w:t>T</w:t>
            </w:r>
            <w:r w:rsidRPr="00BA5850">
              <w:t>he use of implied market value studies to estimate the utilisation rate (and thus gamma) is consistent with the approach to estimating other rate of return parameters.</w:t>
            </w:r>
            <w:r w:rsidRPr="00BA5850">
              <w:rPr>
                <w:rStyle w:val="FootnoteReference"/>
              </w:rPr>
              <w:footnoteReference w:id="184"/>
            </w:r>
          </w:p>
        </w:tc>
        <w:tc>
          <w:tcPr>
            <w:tcW w:w="4394" w:type="dxa"/>
          </w:tcPr>
          <w:p w:rsidR="00BA5850" w:rsidRPr="00BA5850" w:rsidRDefault="00BA5850" w:rsidP="00BA5850">
            <w:r>
              <w:t xml:space="preserve">We disagree. See </w:t>
            </w:r>
            <w:r w:rsidRPr="00BA5850">
              <w:t>response under 'Conceptual framework'.</w:t>
            </w:r>
          </w:p>
        </w:tc>
        <w:tc>
          <w:tcPr>
            <w:tcW w:w="851" w:type="dxa"/>
          </w:tcPr>
          <w:p w:rsidR="00BA5850" w:rsidRPr="00BA5850" w:rsidRDefault="00BA5850" w:rsidP="00BA5850">
            <w:r w:rsidRPr="00BA5850">
              <w:fldChar w:fldCharType="begin"/>
            </w:r>
            <w:r w:rsidRPr="00BA5850">
              <w:instrText xml:space="preserve"> REF _Ref450298425 \r \h </w:instrText>
            </w:r>
            <w:r w:rsidRPr="00BA5850">
              <w:fldChar w:fldCharType="separate"/>
            </w:r>
            <w:r w:rsidR="00746877">
              <w:t>A.8.2</w:t>
            </w:r>
            <w:r w:rsidRPr="00BA5850">
              <w:fldChar w:fldCharType="end"/>
            </w:r>
          </w:p>
          <w:p w:rsidR="00BA5850" w:rsidRDefault="00BA5850" w:rsidP="00BA5850">
            <w:r>
              <w:t>A.15</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 xml:space="preserve">Under our conceptual approach to gamma, the </w:t>
            </w:r>
            <w:r>
              <w:lastRenderedPageBreak/>
              <w:t xml:space="preserve">appropriate adjustment to </w:t>
            </w:r>
            <w:r w:rsidRPr="00BA5850">
              <w:t>the results of SFG's study results in a gamma of 0.3. However, this adjustment is not necessary because our conceptual approach is incorrect.</w:t>
            </w:r>
            <w:r w:rsidRPr="00BA5850">
              <w:rPr>
                <w:rStyle w:val="FootnoteReference"/>
              </w:rPr>
              <w:footnoteReference w:id="185"/>
            </w:r>
          </w:p>
        </w:tc>
        <w:tc>
          <w:tcPr>
            <w:tcW w:w="4394" w:type="dxa"/>
          </w:tcPr>
          <w:p w:rsidR="00BA5850" w:rsidRPr="00BA5850" w:rsidRDefault="00BA5850" w:rsidP="00BA5850">
            <w:r>
              <w:lastRenderedPageBreak/>
              <w:t xml:space="preserve">See </w:t>
            </w:r>
            <w:r w:rsidRPr="00BA5850">
              <w:t>response under 'Conceptual framework'.</w:t>
            </w:r>
          </w:p>
          <w:p w:rsidR="00BA5850" w:rsidRDefault="00BA5850" w:rsidP="00BA5850">
            <w:r>
              <w:lastRenderedPageBreak/>
              <w:t>We disagree and consider the Handley/Lally adjustment is necessary.</w:t>
            </w:r>
          </w:p>
        </w:tc>
        <w:tc>
          <w:tcPr>
            <w:tcW w:w="851" w:type="dxa"/>
          </w:tcPr>
          <w:p w:rsidR="00BA5850" w:rsidRPr="00BA5850" w:rsidRDefault="00BA5850" w:rsidP="00BA5850">
            <w:r w:rsidRPr="00BA5850">
              <w:lastRenderedPageBreak/>
              <w:fldChar w:fldCharType="begin"/>
            </w:r>
            <w:r w:rsidRPr="00BA5850">
              <w:instrText xml:space="preserve"> REF _Ref450761230 \r \h </w:instrText>
            </w:r>
            <w:r w:rsidRPr="00BA5850">
              <w:fldChar w:fldCharType="separate"/>
            </w:r>
            <w:r w:rsidR="00746877">
              <w:t>4.4.1</w:t>
            </w:r>
            <w:r w:rsidRPr="00BA5850">
              <w:fldChar w:fldCharType="end"/>
            </w:r>
          </w:p>
          <w:p w:rsidR="00BA5850" w:rsidRDefault="00BA5850" w:rsidP="00BA5850">
            <w:r>
              <w:lastRenderedPageBreak/>
              <w:t>A.15</w:t>
            </w:r>
          </w:p>
        </w:tc>
      </w:tr>
      <w:tr w:rsidR="00BA5850" w:rsidTr="00343639">
        <w:tc>
          <w:tcPr>
            <w:tcW w:w="3652" w:type="dxa"/>
          </w:tcPr>
          <w:p w:rsidR="00BA5850" w:rsidRPr="00BA5850" w:rsidRDefault="00BA5850" w:rsidP="00BA5850">
            <w:r>
              <w:lastRenderedPageBreak/>
              <w:t>S</w:t>
            </w:r>
            <w:r w:rsidRPr="00BA5850">
              <w:t>everal of the limitations that we have identified as applying to implied market value studies do not apply to SFG's study, which has not been assessed individually on its merits</w:t>
            </w:r>
            <w:r w:rsidRPr="00BA5850">
              <w:rPr>
                <w:rStyle w:val="FootnoteReference"/>
              </w:rPr>
              <w:footnoteReference w:id="186"/>
            </w:r>
          </w:p>
        </w:tc>
        <w:tc>
          <w:tcPr>
            <w:tcW w:w="4394" w:type="dxa"/>
          </w:tcPr>
          <w:p w:rsidR="00BA5850" w:rsidRDefault="00BA5850" w:rsidP="00BA5850">
            <w:r>
              <w:t>We consider the key limitations that apply to implied market value studies also apply to SFG's study.</w:t>
            </w:r>
          </w:p>
        </w:tc>
        <w:tc>
          <w:tcPr>
            <w:tcW w:w="851" w:type="dxa"/>
          </w:tcPr>
          <w:p w:rsidR="00BA5850" w:rsidRDefault="00BA5850" w:rsidP="00BA5850">
            <w:r>
              <w:t>A.15</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t xml:space="preserve">Instead of adjusting the estimate of the utilisation rate (theta) to correct for </w:t>
            </w:r>
            <w:r w:rsidRPr="00BA5850">
              <w:t>the apparent incorrect valuation of cash dividends, the appropriate response is not to adjust the theta estimate. Rather it is to adjust the allowed return on equity.</w:t>
            </w:r>
            <w:r w:rsidRPr="00BA5850">
              <w:rPr>
                <w:rStyle w:val="FootnoteReference"/>
              </w:rPr>
              <w:footnoteReference w:id="187"/>
            </w:r>
          </w:p>
        </w:tc>
        <w:tc>
          <w:tcPr>
            <w:tcW w:w="4394" w:type="dxa"/>
          </w:tcPr>
          <w:p w:rsidR="00BA5850" w:rsidRPr="00BA5850" w:rsidRDefault="00BA5850" w:rsidP="00BA5850">
            <w:r w:rsidRPr="00C80AFF">
              <w:t>We consider that such an adjustment to the allowed return on equity would not be appropriate. The post-co</w:t>
            </w:r>
            <w:r w:rsidRPr="00BA5850">
              <w:t xml:space="preserve">mpany tax and pre-personal tax required return on the equities market is reflective of the face value of dividends paid in the market, not a higher amount. We also note the equities market sets equilibrium prices based on the expected post-tax returns to shareholders (post-tax dividends, post-tax capital gains and post-tax imputation credits). </w:t>
            </w:r>
          </w:p>
        </w:tc>
        <w:tc>
          <w:tcPr>
            <w:tcW w:w="851" w:type="dxa"/>
          </w:tcPr>
          <w:p w:rsidR="00BA5850" w:rsidRDefault="00BA5850" w:rsidP="00BA5850"/>
        </w:tc>
      </w:tr>
      <w:tr w:rsidR="00BA5850" w:rsidTr="00343639">
        <w:tc>
          <w:tcPr>
            <w:tcW w:w="3652" w:type="dxa"/>
          </w:tcPr>
          <w:p w:rsidR="00BA5850" w:rsidRPr="00BA5850" w:rsidRDefault="00BA5850" w:rsidP="00BA5850">
            <w:r w:rsidRPr="006B5C23">
              <w:rPr>
                <w:rStyle w:val="Strong"/>
              </w:rPr>
              <w:t>Other</w:t>
            </w:r>
          </w:p>
        </w:tc>
        <w:tc>
          <w:tcPr>
            <w:tcW w:w="4394" w:type="dxa"/>
          </w:tcPr>
          <w:p w:rsidR="00BA5850" w:rsidRDefault="00BA5850" w:rsidP="00BA5850"/>
        </w:tc>
        <w:tc>
          <w:tcPr>
            <w:tcW w:w="851" w:type="dxa"/>
          </w:tcPr>
          <w:p w:rsidR="00BA5850" w:rsidRDefault="00BA5850" w:rsidP="00BA5850"/>
        </w:tc>
      </w:tr>
      <w:tr w:rsidR="00BA5850" w:rsidTr="00343639">
        <w:trPr>
          <w:cnfStyle w:val="000000010000" w:firstRow="0" w:lastRow="0" w:firstColumn="0" w:lastColumn="0" w:oddVBand="0" w:evenVBand="0" w:oddHBand="0" w:evenHBand="1" w:firstRowFirstColumn="0" w:firstRowLastColumn="0" w:lastRowFirstColumn="0" w:lastRowLastColumn="0"/>
        </w:trPr>
        <w:tc>
          <w:tcPr>
            <w:tcW w:w="3652" w:type="dxa"/>
          </w:tcPr>
          <w:p w:rsidR="00BA5850" w:rsidRPr="00BA5850" w:rsidRDefault="00BA5850" w:rsidP="00BA5850">
            <w:r w:rsidRPr="00E82D06">
              <w:t>There is an inconsistency between the corporate income tax and the allowed rate of return.</w:t>
            </w:r>
            <w:r w:rsidRPr="00BA5850">
              <w:rPr>
                <w:rStyle w:val="FootnoteReference"/>
              </w:rPr>
              <w:footnoteReference w:id="188"/>
            </w:r>
          </w:p>
        </w:tc>
        <w:tc>
          <w:tcPr>
            <w:tcW w:w="4394" w:type="dxa"/>
          </w:tcPr>
          <w:p w:rsidR="00BA5850" w:rsidRPr="00BA5850" w:rsidRDefault="00BA5850" w:rsidP="00BA5850">
            <w:r>
              <w:t>We disagree. We discuss this</w:t>
            </w:r>
            <w:r w:rsidRPr="00BA5850">
              <w:t xml:space="preserve"> in detail in section C.6 of Attachment 3.</w:t>
            </w:r>
          </w:p>
        </w:tc>
        <w:tc>
          <w:tcPr>
            <w:tcW w:w="851" w:type="dxa"/>
          </w:tcPr>
          <w:p w:rsidR="00BA5850" w:rsidRDefault="00BA5850" w:rsidP="00BA5850"/>
        </w:tc>
      </w:tr>
    </w:tbl>
    <w:p w:rsidR="00BA5850" w:rsidRDefault="00BA5850" w:rsidP="00BA5850">
      <w:pPr>
        <w:pStyle w:val="AERtablesource"/>
      </w:pPr>
      <w:r>
        <w:t>Source:</w:t>
      </w:r>
      <w:r>
        <w:tab/>
        <w:t>AER analysis; service providers' revised proposals; Tribunal decisions.</w:t>
      </w:r>
    </w:p>
    <w:p w:rsidR="00BA5850" w:rsidRPr="00883125" w:rsidRDefault="00BA5850" w:rsidP="00BA5850">
      <w:r>
        <w:t>We have also received a number of submissions on gamma from consumer representatives. These are</w:t>
      </w:r>
      <w:r w:rsidRPr="00031E20">
        <w:t xml:space="preserve"> </w:t>
      </w:r>
      <w:r w:rsidRPr="00883125">
        <w:t>summarised below:</w:t>
      </w:r>
    </w:p>
    <w:p w:rsidR="00BA5850" w:rsidRPr="00BA5850" w:rsidRDefault="00BA5850" w:rsidP="00BA5850">
      <w:pPr>
        <w:pStyle w:val="AERbulletlistfirststyle"/>
      </w:pPr>
      <w:r w:rsidRPr="00883125">
        <w:t>The CCP expressed a view that suggests we should take into account the interrelationship with the corporate tax allowance when determining the value of imputation credits.</w:t>
      </w:r>
      <w:r w:rsidRPr="00BA5850">
        <w:rPr>
          <w:rStyle w:val="FootnoteReference"/>
        </w:rPr>
        <w:footnoteReference w:id="189"/>
      </w:r>
      <w:r w:rsidRPr="00BA5850">
        <w:t xml:space="preserve"> We address this in section </w:t>
      </w:r>
      <w:r w:rsidRPr="00BA5850">
        <w:fldChar w:fldCharType="begin"/>
      </w:r>
      <w:r w:rsidRPr="00BA5850">
        <w:instrText xml:space="preserve"> REF _Ref415070818 \r \h </w:instrText>
      </w:r>
      <w:r w:rsidRPr="00BA5850">
        <w:fldChar w:fldCharType="separate"/>
      </w:r>
      <w:r w:rsidR="00746877">
        <w:t>4.3.4</w:t>
      </w:r>
      <w:r w:rsidRPr="00BA5850">
        <w:fldChar w:fldCharType="end"/>
      </w:r>
      <w:r w:rsidRPr="00BA5850">
        <w:t>.</w:t>
      </w:r>
    </w:p>
    <w:p w:rsidR="00BA5850" w:rsidRPr="00BA5850" w:rsidRDefault="00BA5850" w:rsidP="00BA5850">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BA5850">
        <w:rPr>
          <w:rStyle w:val="FootnoteReference"/>
        </w:rPr>
        <w:footnoteReference w:id="190"/>
      </w:r>
      <w:r w:rsidRPr="00BA5850">
        <w:t xml:space="preserve"> We agree with these comments in light of the Tribunal's finding that:</w:t>
      </w:r>
      <w:r w:rsidRPr="00BA5850">
        <w:rPr>
          <w:rStyle w:val="FootnoteReference"/>
        </w:rPr>
        <w:footnoteReference w:id="191"/>
      </w:r>
    </w:p>
    <w:p w:rsidR="00BA5850" w:rsidRPr="00883125" w:rsidRDefault="00BA5850" w:rsidP="00BA5850">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BA5850" w:rsidRPr="00BA5850" w:rsidRDefault="00BA5850" w:rsidP="00BA5850">
      <w:pPr>
        <w:pStyle w:val="AERbulletlistfirststyle"/>
      </w:pPr>
      <w:r w:rsidRPr="00883125">
        <w:t>PIAC also submitted that our draft decisions adequately set out the reasons for departing from the value of imputation credits in the Guideline.</w:t>
      </w:r>
      <w:r w:rsidRPr="00BA5850">
        <w:rPr>
          <w:rStyle w:val="FootnoteReference"/>
        </w:rPr>
        <w:footnoteReference w:id="192"/>
      </w:r>
    </w:p>
    <w:p w:rsidR="00BA5850" w:rsidRPr="00BA5850" w:rsidRDefault="00BA5850" w:rsidP="00BA5850">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BA5850">
        <w:rPr>
          <w:rStyle w:val="FootnoteReference"/>
        </w:rPr>
        <w:footnoteReference w:id="193"/>
      </w:r>
      <w:r w:rsidRPr="00BA5850">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BA5850">
        <w:rPr>
          <w:rStyle w:val="FootnoteReference"/>
        </w:rPr>
        <w:footnoteReference w:id="194"/>
      </w:r>
      <w:r w:rsidRPr="00BA5850">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BA5850">
        <w:rPr>
          <w:rStyle w:val="FootnoteReference"/>
        </w:rPr>
        <w:footnoteReference w:id="195"/>
      </w:r>
    </w:p>
    <w:p w:rsidR="00BA5850" w:rsidRPr="00BA5850" w:rsidRDefault="00BA5850" w:rsidP="00BA5850">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BA5850">
        <w:rPr>
          <w:rStyle w:val="FootnoteReference"/>
        </w:rPr>
        <w:footnoteReference w:id="196"/>
      </w:r>
      <w:r w:rsidRPr="00BA5850">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However, given the AER is reporting gamma to one decimal place SACOSS </w:t>
      </w:r>
      <w:r w:rsidRPr="00BA5850">
        <w:lastRenderedPageBreak/>
        <w:t>acknowledged that its preferred estimate of 0.36 concurs with the AER's estimate of 0.4 to one decimal place.</w:t>
      </w:r>
      <w:r w:rsidRPr="00BA5850">
        <w:rPr>
          <w:rStyle w:val="FootnoteReference"/>
        </w:rPr>
        <w:footnoteReference w:id="197"/>
      </w:r>
    </w:p>
    <w:p w:rsidR="00BA5850" w:rsidRPr="00BA5850" w:rsidRDefault="00BA5850" w:rsidP="00BA5850">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BA5850">
        <w:rPr>
          <w:rStyle w:val="FootnoteReference"/>
        </w:rPr>
        <w:footnoteReference w:id="198"/>
      </w:r>
      <w:r w:rsidRPr="00BA5850">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BA5850">
        <w:rPr>
          <w:rStyle w:val="FootnoteReference"/>
        </w:rPr>
        <w:footnoteReference w:id="199"/>
      </w:r>
    </w:p>
    <w:p w:rsidR="00BA5850" w:rsidRPr="00BA5850" w:rsidRDefault="00BA5850" w:rsidP="00BA5850">
      <w:pPr>
        <w:pStyle w:val="AERbulletlistfirststyle"/>
      </w:pPr>
      <w:r w:rsidRPr="00883125">
        <w:t xml:space="preserve">In a submission on </w:t>
      </w:r>
      <w:r w:rsidRPr="00BA5850">
        <w:t>our draft decision for Australian Gas Networks, the ECCSA consider that imposing an assumption that the benchmark entity would frank its dividend to the market average is a conservative assumption.</w:t>
      </w:r>
      <w:r w:rsidRPr="00BA5850">
        <w:rPr>
          <w:rStyle w:val="FootnoteReference"/>
        </w:rPr>
        <w:footnoteReference w:id="200"/>
      </w:r>
      <w:r w:rsidRPr="00BA5850">
        <w:t xml:space="preserve"> The AER considers that the benchmark selected to estimate gamma is appropriate. In section </w:t>
      </w:r>
      <w:r w:rsidRPr="00BA5850">
        <w:fldChar w:fldCharType="begin"/>
      </w:r>
      <w:r w:rsidRPr="00BA5850">
        <w:instrText xml:space="preserve"> REF _Ref403481194 \r \h </w:instrText>
      </w:r>
      <w:r w:rsidRPr="00BA5850">
        <w:fldChar w:fldCharType="separate"/>
      </w:r>
      <w:r w:rsidR="00746877">
        <w:t>A.9.2</w:t>
      </w:r>
      <w:r w:rsidRPr="00BA5850">
        <w:fldChar w:fldCharType="end"/>
      </w:r>
      <w:r w:rsidRPr="00BA5850">
        <w:t xml:space="preserve"> and section </w:t>
      </w:r>
      <w:r w:rsidRPr="00BA5850">
        <w:fldChar w:fldCharType="begin"/>
      </w:r>
      <w:r w:rsidRPr="00BA5850">
        <w:instrText xml:space="preserve"> REF _Ref414289334 \r \h </w:instrText>
      </w:r>
      <w:r w:rsidRPr="00BA5850">
        <w:fldChar w:fldCharType="separate"/>
      </w:r>
      <w:r w:rsidR="00746877">
        <w:t>A.10.1</w:t>
      </w:r>
      <w:r w:rsidRPr="00BA5850">
        <w:fldChar w:fldCharType="end"/>
      </w:r>
      <w:r w:rsidRPr="00BA5850">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BA5850">
        <w:rPr>
          <w:rStyle w:val="FootnoteReference"/>
        </w:rPr>
        <w:footnoteReference w:id="201"/>
      </w:r>
      <w:r w:rsidRPr="00BA5850">
        <w:t xml:space="preserve"> In response, the AER considers that gamma and the return on equity are estimated on a consistent basis.</w:t>
      </w:r>
    </w:p>
    <w:p w:rsidR="00BA5850" w:rsidRPr="00BA5850" w:rsidRDefault="00BA5850" w:rsidP="00BA5850">
      <w:pPr>
        <w:pStyle w:val="AERbulletlistfirststyle"/>
      </w:pPr>
      <w:r w:rsidRPr="00883125">
        <w:t>The Queensland Council of Social Service (QCOSS) submitted a 'more even-handed and consistent approach' would be a value of imputation credits of 0.5 as per the Guideline.</w:t>
      </w:r>
      <w:r w:rsidRPr="00BA5850">
        <w:rPr>
          <w:rStyle w:val="FootnoteReference"/>
        </w:rPr>
        <w:footnoteReference w:id="202"/>
      </w:r>
      <w:r w:rsidRPr="00BA5850">
        <w:t xml:space="preserve"> QCOSS had regard to a recent decision by the Queensland Competition Authority for a value of 0.47. We set out in this decision why we consider 0.4 to be the best estimate from within the range 0.3 to 0.5.</w:t>
      </w:r>
    </w:p>
    <w:p w:rsidR="00BA5850" w:rsidRPr="00BA5850" w:rsidRDefault="00BA5850" w:rsidP="00BA5850">
      <w:pPr>
        <w:pStyle w:val="AERbulletlistfirststyle"/>
      </w:pPr>
      <w:r w:rsidRPr="00883125">
        <w:t>The Alliance of Electricity Consumers (the Alliance) employed a value of imputation credits of 0.25 in its estimation of an efficient rate of return.</w:t>
      </w:r>
      <w:r w:rsidRPr="00BA5850">
        <w:rPr>
          <w:rStyle w:val="FootnoteReference"/>
        </w:rPr>
        <w:footnoteReference w:id="203"/>
      </w:r>
      <w:r w:rsidRPr="00BA5850">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BA5850" w:rsidRPr="00BA5850" w:rsidRDefault="00BA5850" w:rsidP="00BA5850">
      <w:pPr>
        <w:pStyle w:val="AERbulletlistfirststyle"/>
      </w:pPr>
      <w:r w:rsidRPr="00883125">
        <w:lastRenderedPageBreak/>
        <w:t>UnitingCare Australia supported our value for gamma, if a value for gamma is necessary.</w:t>
      </w:r>
      <w:r w:rsidRPr="00BA5850">
        <w:rPr>
          <w:rStyle w:val="FootnoteReference"/>
        </w:rPr>
        <w:footnoteReference w:id="204"/>
      </w:r>
      <w:bookmarkStart w:id="152" w:name="_Toc450119234"/>
      <w:bookmarkStart w:id="153" w:name="_Toc450119396"/>
      <w:bookmarkStart w:id="154" w:name="_Toc450119236"/>
      <w:bookmarkStart w:id="155" w:name="_Toc450119398"/>
      <w:bookmarkStart w:id="156" w:name="_Toc450119239"/>
      <w:bookmarkStart w:id="157" w:name="_Toc450119401"/>
      <w:bookmarkEnd w:id="152"/>
      <w:bookmarkEnd w:id="153"/>
      <w:bookmarkEnd w:id="154"/>
      <w:bookmarkEnd w:id="155"/>
      <w:bookmarkEnd w:id="156"/>
      <w:bookmarkEnd w:id="157"/>
    </w:p>
    <w:p w:rsidR="00BA5850" w:rsidRPr="00883125" w:rsidRDefault="00BA5850" w:rsidP="00BA5850"/>
    <w:p w:rsidR="00BA5850" w:rsidRPr="00883125" w:rsidRDefault="00BA5850" w:rsidP="00BA5850">
      <w:pPr>
        <w:pStyle w:val="Heading7"/>
      </w:pPr>
      <w:bookmarkStart w:id="158" w:name="_Toc436049441"/>
      <w:bookmarkStart w:id="159" w:name="_Toc451842245"/>
      <w:bookmarkStart w:id="160" w:name="_Toc451936171"/>
      <w:r w:rsidRPr="00883125">
        <w:lastRenderedPageBreak/>
        <w:t>Value of imputation credits: Detailed analysis</w:t>
      </w:r>
      <w:bookmarkEnd w:id="158"/>
      <w:bookmarkEnd w:id="159"/>
      <w:bookmarkEnd w:id="160"/>
    </w:p>
    <w:p w:rsidR="00BA5850" w:rsidRPr="00883125" w:rsidRDefault="00BA5850" w:rsidP="00BA5850">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BA5850" w:rsidRDefault="00BA5850" w:rsidP="00BA5850">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t>However, the Frontier Economics report has updated values for the distribution rate and the tax statistics which are considered in this final decision.</w:t>
      </w:r>
    </w:p>
    <w:p w:rsidR="00BA5850" w:rsidRPr="00883125" w:rsidRDefault="00BA5850" w:rsidP="00BA5850">
      <w:r>
        <w:t>In addition, as set out in section 4.1, the Australian Competition Tribunal (Tribunal) 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 and a report we commissioned from Dr Martin Lally (Lally) following the late submissions. However, given the timing of the late submissions, we have had limited time to review the material.</w:t>
      </w:r>
      <w:r w:rsidRPr="00BE07EB">
        <w:t xml:space="preserve"> </w:t>
      </w:r>
    </w:p>
    <w:p w:rsidR="00BA5850" w:rsidRDefault="00BA5850" w:rsidP="00BA5850">
      <w:r>
        <w:t>This appendix is structured under the following headings:</w:t>
      </w:r>
    </w:p>
    <w:p w:rsidR="00BA5850" w:rsidRPr="00BA5850" w:rsidRDefault="00BA5850" w:rsidP="00BA5850">
      <w:pPr>
        <w:pStyle w:val="AERbulletlistfirststyle"/>
      </w:pPr>
      <w:r>
        <w:t>expert views</w:t>
      </w:r>
      <w:r w:rsidRPr="00BA5850">
        <w:t xml:space="preserve"> on the value of imputation credits</w:t>
      </w:r>
      <w:r w:rsidRPr="00BA5850" w:rsidDel="00BD4879">
        <w:t xml:space="preserve"> </w:t>
      </w:r>
    </w:p>
    <w:p w:rsidR="00BA5850" w:rsidRPr="00BA5850" w:rsidRDefault="00BA5850" w:rsidP="00BA5850">
      <w:pPr>
        <w:pStyle w:val="AERbulletlistfirststyle"/>
      </w:pPr>
      <w:r>
        <w:t xml:space="preserve">the </w:t>
      </w:r>
      <w:r w:rsidRPr="00BA5850">
        <w:t>value of imputation credits used by other regulators</w:t>
      </w:r>
      <w:r w:rsidRPr="00BA5850" w:rsidDel="00BD4879">
        <w:t xml:space="preserve"> </w:t>
      </w:r>
    </w:p>
    <w:p w:rsidR="00BA5850" w:rsidRPr="00BA5850" w:rsidRDefault="00BA5850" w:rsidP="00BA5850">
      <w:pPr>
        <w:pStyle w:val="AERbulletlistfirststyle"/>
      </w:pPr>
      <w:r>
        <w:t xml:space="preserve">previous </w:t>
      </w:r>
      <w:r w:rsidRPr="00BA5850">
        <w:t>Australian Competition Tribunal (Tribunal) considerations</w:t>
      </w:r>
    </w:p>
    <w:p w:rsidR="00BA5850" w:rsidRPr="00BA5850" w:rsidRDefault="00BA5850" w:rsidP="00BA5850">
      <w:pPr>
        <w:pStyle w:val="AERbulletlistfirststyle"/>
      </w:pPr>
      <w:r>
        <w:t>key</w:t>
      </w:r>
      <w:r w:rsidRPr="00BA5850" w:rsidDel="00BD4879">
        <w:t xml:space="preserve"> </w:t>
      </w:r>
      <w:r w:rsidRPr="00BA5850">
        <w:t>concerns of the service providers</w:t>
      </w:r>
      <w:r w:rsidRPr="00BA5850" w:rsidDel="00BD4879">
        <w:t xml:space="preserve"> </w:t>
      </w:r>
    </w:p>
    <w:p w:rsidR="00BA5850" w:rsidRPr="00BA5850" w:rsidRDefault="00BA5850" w:rsidP="00BA5850">
      <w:pPr>
        <w:pStyle w:val="AERbulletlistfirststyle"/>
      </w:pPr>
      <w:r>
        <w:t xml:space="preserve">the </w:t>
      </w:r>
      <w:r w:rsidRPr="00BA5850">
        <w:t>role of the value of imputation credits in the regulatory framework</w:t>
      </w:r>
      <w:r w:rsidRPr="00BA5850" w:rsidDel="00BD4879">
        <w:t xml:space="preserve"> </w:t>
      </w:r>
    </w:p>
    <w:p w:rsidR="00BA5850" w:rsidRPr="00BA5850" w:rsidRDefault="00BA5850" w:rsidP="00BA5850">
      <w:pPr>
        <w:pStyle w:val="AERbulletlistfirststyle"/>
      </w:pPr>
      <w:r>
        <w:t xml:space="preserve">the </w:t>
      </w:r>
      <w:r w:rsidRPr="00BA5850">
        <w:t>conceptual framework for the value of imputation credits</w:t>
      </w:r>
      <w:r w:rsidRPr="00BA5850" w:rsidDel="00BD4879">
        <w:t xml:space="preserve"> </w:t>
      </w:r>
    </w:p>
    <w:p w:rsidR="00BA5850" w:rsidRPr="00BA5850" w:rsidRDefault="00BA5850" w:rsidP="00BA5850">
      <w:pPr>
        <w:pStyle w:val="AERbulletlistfirststyle"/>
      </w:pPr>
      <w:r>
        <w:t xml:space="preserve">Professor Stephen Gray's (Gray's) </w:t>
      </w:r>
      <w:r w:rsidRPr="00BA5850">
        <w:t>comments on the conceptual framework</w:t>
      </w:r>
    </w:p>
    <w:p w:rsidR="00BA5850" w:rsidRPr="00BA5850" w:rsidRDefault="00BA5850" w:rsidP="00BA5850">
      <w:pPr>
        <w:pStyle w:val="AERbulletlistfirststyle"/>
      </w:pPr>
      <w:r>
        <w:t>further</w:t>
      </w:r>
      <w:r w:rsidRPr="00BA5850" w:rsidDel="00BD4879">
        <w:t xml:space="preserve"> </w:t>
      </w:r>
      <w:r w:rsidRPr="00BA5850">
        <w:t>issues relating to the utilisation rate</w:t>
      </w:r>
      <w:r w:rsidRPr="00BA5850" w:rsidDel="00BD4879">
        <w:t xml:space="preserve"> </w:t>
      </w:r>
    </w:p>
    <w:p w:rsidR="00BA5850" w:rsidRPr="00BA5850" w:rsidRDefault="00BA5850" w:rsidP="00BA5850">
      <w:pPr>
        <w:pStyle w:val="AERbulletlistfirststyle"/>
      </w:pPr>
      <w:r>
        <w:lastRenderedPageBreak/>
        <w:t xml:space="preserve">estimation </w:t>
      </w:r>
      <w:r w:rsidRPr="00BA5850">
        <w:t>approach considerations</w:t>
      </w:r>
      <w:r w:rsidRPr="00BA5850" w:rsidDel="00BD4879">
        <w:t xml:space="preserve"> </w:t>
      </w:r>
    </w:p>
    <w:p w:rsidR="00BA5850" w:rsidRPr="00BA5850" w:rsidRDefault="00BA5850" w:rsidP="00BA5850">
      <w:pPr>
        <w:pStyle w:val="AERbulletlistfirststyle"/>
      </w:pPr>
      <w:r>
        <w:t xml:space="preserve">estimating </w:t>
      </w:r>
      <w:r w:rsidRPr="00BA5850">
        <w:t>the distribution rate</w:t>
      </w:r>
    </w:p>
    <w:p w:rsidR="00BA5850" w:rsidRPr="00BA5850" w:rsidRDefault="00BA5850" w:rsidP="00BA5850">
      <w:pPr>
        <w:pStyle w:val="AERbulletlistfirststyle"/>
      </w:pPr>
      <w:r>
        <w:t xml:space="preserve">application </w:t>
      </w:r>
      <w:r w:rsidRPr="00BA5850">
        <w:t>of rate of return criteria to evidence on the utilisation rate</w:t>
      </w:r>
    </w:p>
    <w:p w:rsidR="00BA5850" w:rsidRPr="00BA5850" w:rsidRDefault="00BA5850" w:rsidP="00BA5850">
      <w:pPr>
        <w:pStyle w:val="AERbulletlistfirststyle"/>
      </w:pPr>
      <w:r>
        <w:t xml:space="preserve">the </w:t>
      </w:r>
      <w:r w:rsidRPr="00BA5850">
        <w:t>equity ownership approach</w:t>
      </w:r>
    </w:p>
    <w:p w:rsidR="00BA5850" w:rsidRPr="00BA5850" w:rsidRDefault="00BA5850" w:rsidP="00BA5850">
      <w:pPr>
        <w:pStyle w:val="AERbulletlistfirststyle"/>
      </w:pPr>
      <w:r>
        <w:t>tax statistics</w:t>
      </w:r>
    </w:p>
    <w:p w:rsidR="00BA5850" w:rsidRPr="00BA5850" w:rsidRDefault="00BA5850" w:rsidP="00BA5850">
      <w:pPr>
        <w:pStyle w:val="AERbulletlistfirststyle"/>
      </w:pPr>
      <w:r>
        <w:t xml:space="preserve">the </w:t>
      </w:r>
      <w:r w:rsidRPr="00BA5850">
        <w:t>difference between equity ownership approach and tax statistics</w:t>
      </w:r>
    </w:p>
    <w:p w:rsidR="00BA5850" w:rsidRPr="00B27BE5" w:rsidRDefault="00BA5850" w:rsidP="00BA5850">
      <w:pPr>
        <w:pStyle w:val="AERbulletlistfirststyle"/>
      </w:pPr>
      <w:r w:rsidRPr="00B27BE5">
        <w:t>implied market value studies.</w:t>
      </w:r>
    </w:p>
    <w:p w:rsidR="00BA5850" w:rsidRPr="00883125" w:rsidRDefault="00BA5850" w:rsidP="00BA5850">
      <w:pPr>
        <w:pStyle w:val="Heading8"/>
      </w:pPr>
      <w:bookmarkStart w:id="161" w:name="_Ref414621676"/>
      <w:bookmarkStart w:id="162" w:name="_Toc436049442"/>
      <w:bookmarkStart w:id="163" w:name="_Toc451842246"/>
      <w:bookmarkStart w:id="164" w:name="_Toc451936172"/>
      <w:r w:rsidRPr="00883125">
        <w:t>Expert views on the value of imputation credits</w:t>
      </w:r>
      <w:bookmarkEnd w:id="161"/>
      <w:bookmarkEnd w:id="162"/>
      <w:bookmarkEnd w:id="163"/>
      <w:bookmarkEnd w:id="164"/>
    </w:p>
    <w:p w:rsidR="00BA5850" w:rsidRPr="00883125" w:rsidRDefault="00BA5850" w:rsidP="00BA5850">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746877" w:rsidRPr="00883125">
        <w:t xml:space="preserve">Table </w:t>
      </w:r>
      <w:r w:rsidR="00746877">
        <w:rPr>
          <w:noProof/>
        </w:rPr>
        <w:t>4</w:t>
      </w:r>
      <w:r w:rsidR="00746877">
        <w:noBreakHyphen/>
      </w:r>
      <w:r w:rsidR="00746877">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t>final</w:t>
      </w:r>
      <w:r w:rsidRPr="00883125">
        <w:t xml:space="preserve"> decision </w:t>
      </w:r>
      <w:r>
        <w:t>we have</w:t>
      </w:r>
      <w:r w:rsidRPr="00883125">
        <w:t xml:space="preserve"> considered the new expert report from the </w:t>
      </w:r>
      <w:r>
        <w:t>service provider</w:t>
      </w:r>
      <w:r w:rsidRPr="00883125">
        <w:t>s</w:t>
      </w:r>
      <w:r>
        <w:t>.</w:t>
      </w:r>
      <w:r>
        <w:rPr>
          <w:rStyle w:val="FootnoteReference"/>
        </w:rPr>
        <w:footnoteReference w:id="207"/>
      </w:r>
      <w:r>
        <w:t xml:space="preserve"> 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BA5850" w:rsidRPr="00883125" w:rsidRDefault="00BA5850" w:rsidP="00BA5850">
      <w:pPr>
        <w:pStyle w:val="Caption"/>
      </w:pPr>
      <w:bookmarkStart w:id="165" w:name="_Ref400609043"/>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6</w:t>
      </w:r>
      <w:r w:rsidRPr="00BA5850">
        <w:fldChar w:fldCharType="end"/>
      </w:r>
      <w:bookmarkEnd w:id="165"/>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BA5850" w:rsidTr="00343639">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BA5850" w:rsidRPr="00883125" w:rsidRDefault="00BA5850" w:rsidP="00BA5850">
            <w:pPr>
              <w:numPr>
                <w:ilvl w:val="0"/>
                <w:numId w:val="24"/>
              </w:numPr>
            </w:pPr>
            <w:r w:rsidRPr="00883125">
              <w:t>Expert</w:t>
            </w:r>
          </w:p>
        </w:tc>
        <w:tc>
          <w:tcPr>
            <w:tcW w:w="2560" w:type="dxa"/>
          </w:tcPr>
          <w:p w:rsidR="00BA5850" w:rsidRPr="00883125" w:rsidRDefault="00BA5850" w:rsidP="00BA5850">
            <w:pPr>
              <w:numPr>
                <w:ilvl w:val="0"/>
                <w:numId w:val="24"/>
              </w:numPr>
            </w:pPr>
            <w:r w:rsidRPr="00883125">
              <w:t>Distribution rate</w:t>
            </w:r>
          </w:p>
        </w:tc>
        <w:tc>
          <w:tcPr>
            <w:tcW w:w="2560" w:type="dxa"/>
          </w:tcPr>
          <w:p w:rsidR="00BA5850" w:rsidRPr="00883125" w:rsidRDefault="00BA5850" w:rsidP="00BA5850">
            <w:pPr>
              <w:numPr>
                <w:ilvl w:val="0"/>
                <w:numId w:val="24"/>
              </w:numPr>
            </w:pPr>
            <w:r w:rsidRPr="00883125">
              <w:t>Utilisation rate</w:t>
            </w:r>
          </w:p>
        </w:tc>
        <w:tc>
          <w:tcPr>
            <w:tcW w:w="2560" w:type="dxa"/>
          </w:tcPr>
          <w:p w:rsidR="00BA5850" w:rsidRPr="00883125" w:rsidRDefault="00BA5850" w:rsidP="00BA5850">
            <w:pPr>
              <w:numPr>
                <w:ilvl w:val="0"/>
                <w:numId w:val="24"/>
              </w:numPr>
            </w:pPr>
            <w:r w:rsidRPr="00883125">
              <w:t>Value of imputation credits</w:t>
            </w:r>
          </w:p>
        </w:tc>
      </w:tr>
      <w:tr w:rsidR="00BA5850" w:rsidTr="00343639">
        <w:trPr>
          <w:cantSplit/>
        </w:trPr>
        <w:tc>
          <w:tcPr>
            <w:tcW w:w="1562" w:type="dxa"/>
          </w:tcPr>
          <w:p w:rsidR="00BA5850" w:rsidRPr="00883125" w:rsidRDefault="00BA5850" w:rsidP="00BA5850">
            <w:pPr>
              <w:numPr>
                <w:ilvl w:val="0"/>
                <w:numId w:val="24"/>
              </w:numPr>
            </w:pPr>
            <w:r>
              <w:t>Lally (2016)</w:t>
            </w:r>
            <w:r>
              <w:rPr>
                <w:rStyle w:val="FootnoteReference"/>
              </w:rPr>
              <w:footnoteReference w:id="209"/>
            </w:r>
          </w:p>
        </w:tc>
        <w:tc>
          <w:tcPr>
            <w:tcW w:w="2560" w:type="dxa"/>
          </w:tcPr>
          <w:p w:rsidR="00BA5850" w:rsidRPr="00883125" w:rsidRDefault="00BA5850" w:rsidP="00BA5850">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BA5850" w:rsidRPr="00883125" w:rsidRDefault="00BA5850" w:rsidP="00BA5850">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BA5850" w:rsidRPr="00BA5850" w:rsidRDefault="00BA5850" w:rsidP="00BA5850">
            <w:pPr>
              <w:rPr>
                <w:rStyle w:val="Strong"/>
              </w:rPr>
            </w:pPr>
            <w:r>
              <w:rPr>
                <w:rStyle w:val="Strong"/>
              </w:rPr>
              <w:t>At least 0.5</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A5850" w:rsidRPr="00883125" w:rsidRDefault="00BA5850" w:rsidP="00BA5850">
            <w:pPr>
              <w:numPr>
                <w:ilvl w:val="0"/>
                <w:numId w:val="24"/>
              </w:numPr>
            </w:pPr>
            <w:r w:rsidRPr="00883125">
              <w:t>Lally (2013a, 2013b, 2014)</w:t>
            </w:r>
            <w:r w:rsidRPr="00883125">
              <w:rPr>
                <w:rStyle w:val="FootnoteReference"/>
              </w:rPr>
              <w:footnoteReference w:id="210"/>
            </w:r>
          </w:p>
        </w:tc>
        <w:tc>
          <w:tcPr>
            <w:tcW w:w="2560" w:type="dxa"/>
          </w:tcPr>
          <w:p w:rsidR="00BA5850" w:rsidRPr="00883125" w:rsidRDefault="00BA5850" w:rsidP="00BA5850">
            <w:pPr>
              <w:numPr>
                <w:ilvl w:val="0"/>
                <w:numId w:val="24"/>
              </w:numPr>
            </w:pPr>
            <w:r w:rsidRPr="00883125">
              <w:rPr>
                <w:rStyle w:val="Strong"/>
              </w:rPr>
              <w:t>0.84</w:t>
            </w:r>
            <w:r w:rsidRPr="00883125">
              <w:t xml:space="preserve"> using the financial statements of 20 largest ASX-listed companies</w:t>
            </w:r>
          </w:p>
        </w:tc>
        <w:tc>
          <w:tcPr>
            <w:tcW w:w="2560" w:type="dxa"/>
          </w:tcPr>
          <w:p w:rsidR="00BA5850" w:rsidRPr="00883125" w:rsidRDefault="00BA5850" w:rsidP="00BA5850">
            <w:pPr>
              <w:numPr>
                <w:ilvl w:val="0"/>
                <w:numId w:val="24"/>
              </w:numPr>
            </w:pPr>
            <w:r w:rsidRPr="00883125">
              <w:rPr>
                <w:rStyle w:val="Strong"/>
              </w:rPr>
              <w:t>1.0</w:t>
            </w:r>
            <w:r w:rsidRPr="00883125">
              <w:t>, based on assumption that all investors in the Officer CAPM are domestic investors</w:t>
            </w:r>
          </w:p>
          <w:p w:rsidR="00BA5850" w:rsidRPr="00883125" w:rsidRDefault="00BA5850" w:rsidP="00BA5850">
            <w:pPr>
              <w:numPr>
                <w:ilvl w:val="0"/>
                <w:numId w:val="24"/>
              </w:numPr>
            </w:pPr>
            <w:r w:rsidRPr="00883125">
              <w:t>0.54 to 0.7, using equity ownership as second preference</w:t>
            </w:r>
          </w:p>
        </w:tc>
        <w:tc>
          <w:tcPr>
            <w:tcW w:w="2560" w:type="dxa"/>
          </w:tcPr>
          <w:p w:rsidR="00BA5850" w:rsidRPr="00BA5850" w:rsidRDefault="00BA5850" w:rsidP="00BA5850">
            <w:pPr>
              <w:rPr>
                <w:rStyle w:val="Strong"/>
              </w:rPr>
            </w:pPr>
            <w:r w:rsidRPr="00883125">
              <w:rPr>
                <w:rStyle w:val="Strong"/>
              </w:rPr>
              <w:t>0.84</w:t>
            </w:r>
          </w:p>
          <w:p w:rsidR="00BA5850" w:rsidRPr="00BA5850" w:rsidRDefault="00BA5850" w:rsidP="00BA5850">
            <w:pPr>
              <w:rPr>
                <w:rStyle w:val="Strong"/>
              </w:rPr>
            </w:pPr>
            <w:r w:rsidRPr="00883125">
              <w:t xml:space="preserve">0.45 to 0.59 using second preference utilisation </w:t>
            </w:r>
            <w:r w:rsidRPr="00BA5850">
              <w:t>rate</w:t>
            </w:r>
          </w:p>
        </w:tc>
      </w:tr>
      <w:tr w:rsidR="00BA5850" w:rsidTr="00343639">
        <w:trPr>
          <w:cantSplit/>
        </w:trPr>
        <w:tc>
          <w:tcPr>
            <w:tcW w:w="1562" w:type="dxa"/>
          </w:tcPr>
          <w:p w:rsidR="00BA5850" w:rsidRPr="00883125" w:rsidRDefault="00BA5850" w:rsidP="00BA5850">
            <w:pPr>
              <w:numPr>
                <w:ilvl w:val="0"/>
                <w:numId w:val="24"/>
              </w:numPr>
            </w:pPr>
            <w:r w:rsidRPr="00883125">
              <w:lastRenderedPageBreak/>
              <w:t>McKenzie and Partington (2013)</w:t>
            </w:r>
            <w:r w:rsidRPr="00883125">
              <w:rPr>
                <w:rStyle w:val="FootnoteReference"/>
              </w:rPr>
              <w:footnoteReference w:id="211"/>
            </w:r>
          </w:p>
        </w:tc>
        <w:tc>
          <w:tcPr>
            <w:tcW w:w="2560" w:type="dxa"/>
          </w:tcPr>
          <w:p w:rsidR="00BA5850" w:rsidRPr="00883125" w:rsidRDefault="00BA5850" w:rsidP="00BA5850">
            <w:pPr>
              <w:numPr>
                <w:ilvl w:val="0"/>
                <w:numId w:val="24"/>
              </w:numPr>
            </w:pPr>
            <w:r w:rsidRPr="00883125">
              <w:rPr>
                <w:rStyle w:val="Strong"/>
              </w:rPr>
              <w:t>0.7</w:t>
            </w:r>
            <w:r w:rsidRPr="00883125">
              <w:t>, using cumulative payout ratio approach over all equity</w:t>
            </w:r>
          </w:p>
        </w:tc>
        <w:tc>
          <w:tcPr>
            <w:tcW w:w="2560" w:type="dxa"/>
          </w:tcPr>
          <w:p w:rsidR="00BA5850" w:rsidRPr="00883125" w:rsidRDefault="00BA5850" w:rsidP="00BA5850">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BA5850" w:rsidRPr="00BA5850" w:rsidRDefault="00BA5850" w:rsidP="00BA5850">
            <w:pPr>
              <w:rPr>
                <w:rStyle w:val="Strong"/>
              </w:rPr>
            </w:pPr>
            <w:r w:rsidRPr="001A60DE">
              <w:t>Evidence not compelling enough to depart from</w:t>
            </w:r>
            <w:r w:rsidRPr="00BA5850">
              <w:rPr>
                <w:rStyle w:val="Strong"/>
              </w:rPr>
              <w:t xml:space="preserve"> 0.5</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A5850" w:rsidRPr="00883125" w:rsidRDefault="00BA5850" w:rsidP="00BA5850">
            <w:pPr>
              <w:numPr>
                <w:ilvl w:val="0"/>
                <w:numId w:val="24"/>
              </w:numPr>
            </w:pPr>
            <w:r w:rsidRPr="00883125">
              <w:t>Handley (2014)</w:t>
            </w:r>
            <w:r w:rsidRPr="00883125">
              <w:rPr>
                <w:rStyle w:val="FootnoteReference"/>
              </w:rPr>
              <w:footnoteReference w:id="212"/>
            </w:r>
          </w:p>
        </w:tc>
        <w:tc>
          <w:tcPr>
            <w:tcW w:w="2560" w:type="dxa"/>
          </w:tcPr>
          <w:p w:rsidR="00BA5850" w:rsidRPr="00883125" w:rsidRDefault="00BA5850" w:rsidP="00BA5850">
            <w:pPr>
              <w:numPr>
                <w:ilvl w:val="0"/>
                <w:numId w:val="24"/>
              </w:numPr>
            </w:pPr>
            <w:r w:rsidRPr="00883125">
              <w:rPr>
                <w:rStyle w:val="Strong"/>
              </w:rPr>
              <w:t>0.8</w:t>
            </w:r>
            <w:r w:rsidRPr="00883125">
              <w:t xml:space="preserve">, using cumulative payout ratio approach over only listed equity </w:t>
            </w:r>
          </w:p>
        </w:tc>
        <w:tc>
          <w:tcPr>
            <w:tcW w:w="2560" w:type="dxa"/>
          </w:tcPr>
          <w:p w:rsidR="00BA5850" w:rsidRPr="00883125" w:rsidRDefault="00BA5850" w:rsidP="00BA5850">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BA5850" w:rsidRPr="00883125" w:rsidRDefault="00BA5850" w:rsidP="00BA5850">
            <w:pPr>
              <w:numPr>
                <w:ilvl w:val="0"/>
                <w:numId w:val="24"/>
              </w:numPr>
              <w:rPr>
                <w:rStyle w:val="Strong"/>
              </w:rPr>
            </w:pPr>
            <w:r w:rsidRPr="00883125">
              <w:rPr>
                <w:rStyle w:val="Strong"/>
              </w:rPr>
              <w:t>0.4 to 0.5</w:t>
            </w:r>
          </w:p>
        </w:tc>
      </w:tr>
      <w:tr w:rsidR="00BA5850" w:rsidTr="00343639">
        <w:trPr>
          <w:cantSplit/>
        </w:trPr>
        <w:tc>
          <w:tcPr>
            <w:tcW w:w="1562" w:type="dxa"/>
          </w:tcPr>
          <w:p w:rsidR="00BA5850" w:rsidRPr="00883125" w:rsidRDefault="00BA5850" w:rsidP="00BA5850">
            <w:pPr>
              <w:numPr>
                <w:ilvl w:val="0"/>
                <w:numId w:val="24"/>
              </w:numPr>
            </w:pPr>
            <w:r w:rsidRPr="00883125">
              <w:t>SACES (2015)</w:t>
            </w:r>
            <w:r w:rsidRPr="00883125">
              <w:rPr>
                <w:rStyle w:val="FootnoteReference"/>
              </w:rPr>
              <w:footnoteReference w:id="213"/>
            </w:r>
          </w:p>
        </w:tc>
        <w:tc>
          <w:tcPr>
            <w:tcW w:w="2560" w:type="dxa"/>
          </w:tcPr>
          <w:p w:rsidR="00BA5850" w:rsidRPr="00BA5850" w:rsidRDefault="00BA5850" w:rsidP="00BA5850">
            <w:pPr>
              <w:rPr>
                <w:rStyle w:val="Strong"/>
              </w:rPr>
            </w:pPr>
            <w:r w:rsidRPr="00883125">
              <w:rPr>
                <w:rStyle w:val="Strong"/>
              </w:rPr>
              <w:t>0.8</w:t>
            </w:r>
            <w:r w:rsidRPr="00BA5850">
              <w:t>, using cumulative payout ratio approach over only listed equity</w:t>
            </w:r>
          </w:p>
        </w:tc>
        <w:tc>
          <w:tcPr>
            <w:tcW w:w="2560" w:type="dxa"/>
          </w:tcPr>
          <w:p w:rsidR="00BA5850" w:rsidRPr="00883125" w:rsidRDefault="00BA5850" w:rsidP="00BA5850">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BA5850" w:rsidRPr="00883125" w:rsidRDefault="00BA5850" w:rsidP="00BA5850">
            <w:pPr>
              <w:numPr>
                <w:ilvl w:val="0"/>
                <w:numId w:val="24"/>
              </w:numPr>
              <w:rPr>
                <w:rStyle w:val="Strong"/>
              </w:rPr>
            </w:pPr>
            <w:r w:rsidRPr="00883125">
              <w:rPr>
                <w:rStyle w:val="Strong"/>
              </w:rPr>
              <w:t>0.36</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A5850" w:rsidRPr="00883125" w:rsidRDefault="00BA5850" w:rsidP="00BA5850">
            <w:pPr>
              <w:numPr>
                <w:ilvl w:val="0"/>
                <w:numId w:val="24"/>
              </w:numPr>
            </w:pPr>
            <w:r w:rsidRPr="00883125">
              <w:t>CEG (2014)</w:t>
            </w:r>
            <w:r w:rsidRPr="00883125">
              <w:rPr>
                <w:rStyle w:val="FootnoteReference"/>
              </w:rPr>
              <w:footnoteReference w:id="214"/>
            </w:r>
          </w:p>
        </w:tc>
        <w:tc>
          <w:tcPr>
            <w:tcW w:w="2560" w:type="dxa"/>
          </w:tcPr>
          <w:p w:rsidR="00BA5850" w:rsidRPr="00883125" w:rsidRDefault="00BA5850" w:rsidP="00BA5850">
            <w:pPr>
              <w:numPr>
                <w:ilvl w:val="0"/>
                <w:numId w:val="24"/>
              </w:numPr>
            </w:pPr>
            <w:r w:rsidRPr="00883125">
              <w:rPr>
                <w:rStyle w:val="Strong"/>
              </w:rPr>
              <w:t>0.7</w:t>
            </w:r>
            <w:r w:rsidRPr="00883125">
              <w:t>, using cumulative payout ratio approach over all equity</w:t>
            </w:r>
          </w:p>
        </w:tc>
        <w:tc>
          <w:tcPr>
            <w:tcW w:w="2560" w:type="dxa"/>
          </w:tcPr>
          <w:p w:rsidR="00BA5850" w:rsidRPr="00883125" w:rsidRDefault="00BA5850" w:rsidP="00BA5850">
            <w:pPr>
              <w:numPr>
                <w:ilvl w:val="0"/>
                <w:numId w:val="24"/>
              </w:numPr>
            </w:pPr>
            <w:r w:rsidRPr="00883125">
              <w:rPr>
                <w:rStyle w:val="Strong"/>
              </w:rPr>
              <w:t>0.35</w:t>
            </w:r>
            <w:r w:rsidRPr="00883125">
              <w:t>, based on SFG's dividend drop off study</w:t>
            </w:r>
          </w:p>
        </w:tc>
        <w:tc>
          <w:tcPr>
            <w:tcW w:w="2560" w:type="dxa"/>
          </w:tcPr>
          <w:p w:rsidR="00BA5850" w:rsidRPr="00883125" w:rsidRDefault="00BA5850" w:rsidP="00BA5850">
            <w:pPr>
              <w:numPr>
                <w:ilvl w:val="0"/>
                <w:numId w:val="24"/>
              </w:numPr>
              <w:rPr>
                <w:rStyle w:val="Strong"/>
              </w:rPr>
            </w:pPr>
            <w:r w:rsidRPr="00883125">
              <w:rPr>
                <w:rStyle w:val="Strong"/>
              </w:rPr>
              <w:t>0.25</w:t>
            </w:r>
          </w:p>
        </w:tc>
      </w:tr>
      <w:tr w:rsidR="00BA5850" w:rsidTr="00343639">
        <w:trPr>
          <w:cantSplit/>
        </w:trPr>
        <w:tc>
          <w:tcPr>
            <w:tcW w:w="1562" w:type="dxa"/>
          </w:tcPr>
          <w:p w:rsidR="00BA5850" w:rsidRPr="00883125" w:rsidRDefault="00BA5850" w:rsidP="00BA5850">
            <w:pPr>
              <w:numPr>
                <w:ilvl w:val="0"/>
                <w:numId w:val="24"/>
              </w:numPr>
            </w:pPr>
            <w:r w:rsidRPr="00883125">
              <w:t>Gray (for SFG) (2015)</w:t>
            </w:r>
            <w:r w:rsidRPr="00883125">
              <w:rPr>
                <w:rStyle w:val="FootnoteReference"/>
              </w:rPr>
              <w:footnoteReference w:id="215"/>
            </w:r>
          </w:p>
        </w:tc>
        <w:tc>
          <w:tcPr>
            <w:tcW w:w="2560" w:type="dxa"/>
          </w:tcPr>
          <w:p w:rsidR="00BA5850" w:rsidRPr="00883125" w:rsidRDefault="00BA5850" w:rsidP="00BA5850">
            <w:pPr>
              <w:numPr>
                <w:ilvl w:val="0"/>
                <w:numId w:val="24"/>
              </w:numPr>
            </w:pPr>
            <w:r w:rsidRPr="00883125">
              <w:rPr>
                <w:rStyle w:val="Strong"/>
              </w:rPr>
              <w:t>0.7</w:t>
            </w:r>
            <w:r w:rsidRPr="00883125">
              <w:t>, using cumulative payout ratio approach over all equity</w:t>
            </w:r>
          </w:p>
        </w:tc>
        <w:tc>
          <w:tcPr>
            <w:tcW w:w="2560" w:type="dxa"/>
          </w:tcPr>
          <w:p w:rsidR="00BA5850" w:rsidRPr="00883125" w:rsidRDefault="00BA5850" w:rsidP="00BA5850">
            <w:pPr>
              <w:numPr>
                <w:ilvl w:val="0"/>
                <w:numId w:val="24"/>
              </w:numPr>
            </w:pPr>
            <w:r w:rsidRPr="00883125">
              <w:rPr>
                <w:rStyle w:val="Strong"/>
              </w:rPr>
              <w:t>0.35</w:t>
            </w:r>
            <w:r w:rsidRPr="00883125">
              <w:t>, based on SFG's dividend drop off study</w:t>
            </w:r>
          </w:p>
        </w:tc>
        <w:tc>
          <w:tcPr>
            <w:tcW w:w="2560" w:type="dxa"/>
          </w:tcPr>
          <w:p w:rsidR="00BA5850" w:rsidRPr="00883125" w:rsidRDefault="00BA5850" w:rsidP="00BA5850">
            <w:pPr>
              <w:numPr>
                <w:ilvl w:val="0"/>
                <w:numId w:val="24"/>
              </w:numPr>
              <w:rPr>
                <w:rStyle w:val="Strong"/>
              </w:rPr>
            </w:pPr>
            <w:r w:rsidRPr="00883125">
              <w:rPr>
                <w:rStyle w:val="Strong"/>
              </w:rPr>
              <w:t>0.25</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1562" w:type="dxa"/>
          </w:tcPr>
          <w:p w:rsidR="00BA5850" w:rsidRPr="00883125" w:rsidRDefault="00BA5850" w:rsidP="00BA5850">
            <w:pPr>
              <w:numPr>
                <w:ilvl w:val="0"/>
                <w:numId w:val="24"/>
              </w:numPr>
            </w:pPr>
            <w:r w:rsidRPr="00883125">
              <w:t>Gray (for Frontier) (2015)</w:t>
            </w:r>
            <w:r w:rsidRPr="00883125">
              <w:rPr>
                <w:rStyle w:val="FootnoteReference"/>
              </w:rPr>
              <w:footnoteReference w:id="216"/>
            </w:r>
          </w:p>
        </w:tc>
        <w:tc>
          <w:tcPr>
            <w:tcW w:w="2560" w:type="dxa"/>
          </w:tcPr>
          <w:p w:rsidR="00BA5850" w:rsidRPr="00BA5850" w:rsidRDefault="00BA5850" w:rsidP="00BA5850">
            <w:pPr>
              <w:rPr>
                <w:rStyle w:val="Strong"/>
              </w:rPr>
            </w:pPr>
            <w:r w:rsidRPr="00883125">
              <w:rPr>
                <w:rStyle w:val="Strong"/>
              </w:rPr>
              <w:t>0.7</w:t>
            </w:r>
            <w:r w:rsidRPr="00BA5850">
              <w:t>, using cumulative payout ratio approach over all equity, or alternatively using an estimate of the payout ratio for listed equity excluding the 20 largest firms.</w:t>
            </w:r>
          </w:p>
        </w:tc>
        <w:tc>
          <w:tcPr>
            <w:tcW w:w="2560" w:type="dxa"/>
          </w:tcPr>
          <w:p w:rsidR="00BA5850" w:rsidRPr="00BA5850" w:rsidRDefault="00BA5850" w:rsidP="00BA5850">
            <w:pPr>
              <w:rPr>
                <w:rStyle w:val="Strong"/>
              </w:rPr>
            </w:pPr>
            <w:r w:rsidRPr="00883125">
              <w:rPr>
                <w:rStyle w:val="Strong"/>
              </w:rPr>
              <w:t>0.35</w:t>
            </w:r>
            <w:r w:rsidRPr="00BA5850">
              <w:t>, based on SFG's dividend drop off study</w:t>
            </w:r>
          </w:p>
        </w:tc>
        <w:tc>
          <w:tcPr>
            <w:tcW w:w="2560" w:type="dxa"/>
          </w:tcPr>
          <w:p w:rsidR="00BA5850" w:rsidRPr="00883125" w:rsidRDefault="00BA5850" w:rsidP="00BA5850">
            <w:pPr>
              <w:numPr>
                <w:ilvl w:val="0"/>
                <w:numId w:val="24"/>
              </w:numPr>
              <w:rPr>
                <w:rStyle w:val="Strong"/>
              </w:rPr>
            </w:pPr>
            <w:r w:rsidRPr="00883125">
              <w:rPr>
                <w:rStyle w:val="Strong"/>
              </w:rPr>
              <w:t>0.25</w:t>
            </w:r>
          </w:p>
        </w:tc>
      </w:tr>
    </w:tbl>
    <w:p w:rsidR="00BA5850" w:rsidRPr="00883125" w:rsidRDefault="00BA5850" w:rsidP="00BA5850">
      <w:pPr>
        <w:pStyle w:val="AERtablesource"/>
      </w:pPr>
      <w:r w:rsidRPr="00883125">
        <w:t>Source:</w:t>
      </w:r>
      <w:r w:rsidRPr="00883125">
        <w:tab/>
        <w:t>As specified in table.</w:t>
      </w:r>
    </w:p>
    <w:p w:rsidR="00BA5850" w:rsidRPr="00883125" w:rsidRDefault="00BA5850" w:rsidP="00BA5850">
      <w:pPr>
        <w:numPr>
          <w:ilvl w:val="0"/>
          <w:numId w:val="24"/>
        </w:numPr>
      </w:pPr>
      <w:r w:rsidRPr="00883125">
        <w:t xml:space="preserve">In summary: </w:t>
      </w:r>
    </w:p>
    <w:p w:rsidR="00BA5850" w:rsidRPr="00BA5850" w:rsidRDefault="00BA5850" w:rsidP="00BA5850">
      <w:pPr>
        <w:pStyle w:val="AERbulletlistfirststyle"/>
      </w:pPr>
      <w:r w:rsidRPr="00883125">
        <w:t xml:space="preserve">A distribution rate of 0.7 estimated using the cumulative payout ratio approach is most commonly accepted. We describe this approach in section </w:t>
      </w:r>
      <w:r w:rsidRPr="00BA5850">
        <w:fldChar w:fldCharType="begin"/>
      </w:r>
      <w:r w:rsidRPr="00BA5850">
        <w:instrText xml:space="preserve"> REF _Ref415126827 \r \h </w:instrText>
      </w:r>
      <w:r w:rsidRPr="00BA5850">
        <w:fldChar w:fldCharType="separate"/>
      </w:r>
      <w:r w:rsidR="00746877">
        <w:t>A.10.2</w:t>
      </w:r>
      <w:r w:rsidRPr="00BA5850">
        <w:fldChar w:fldCharType="end"/>
      </w:r>
      <w:r w:rsidRPr="00BA5850">
        <w:t xml:space="preserve">. However, Handley considers that this approach should be applied to only listed equity, and this produces a higher estimate of the distribution rate. The South Australian Centre for Economic Studies (SACES) accepts Handley's approach. Lally considers consistency between the distribution rate and utilisation rate is not essential (but nor is it precluded). Lally </w:t>
      </w:r>
      <w:r w:rsidRPr="00BA5850">
        <w:lastRenderedPageBreak/>
        <w:t>considers the best estimate of the distribution rate for a benchmark efficient entity is 0.83, calculated using the financial statements of the 20 largest ASX-listed companies.</w:t>
      </w:r>
    </w:p>
    <w:p w:rsidR="00BA5850" w:rsidRPr="00BA5850" w:rsidRDefault="00BA5850" w:rsidP="00BA5850">
      <w:pPr>
        <w:pStyle w:val="AERbulletlistfirststyle"/>
      </w:pPr>
      <w:r w:rsidRPr="00883125">
        <w:t>There is no widely accepted utilisation rate or method for estimating it. The recommended values for the utilisation rate range from 0.35 to 1</w:t>
      </w:r>
      <w:r w:rsidRPr="00BA5850">
        <w:t xml:space="preserve">.0. </w:t>
      </w:r>
    </w:p>
    <w:p w:rsidR="00BA5850" w:rsidRPr="00883125" w:rsidRDefault="00BA5850" w:rsidP="00BA5850">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BA5850" w:rsidRPr="00BA5850" w:rsidRDefault="00BA5850" w:rsidP="00BA5850">
      <w:pPr>
        <w:pStyle w:val="AERbulletlistfirststyle"/>
      </w:pPr>
      <w:r w:rsidRPr="00883125">
        <w:t>As a result of the differing approaches, particularly to the utilisation rate, the range of estimates of the value of imputation credits is 0.25 to 0.8</w:t>
      </w:r>
      <w:r w:rsidRPr="00BA5850">
        <w:t>3.</w:t>
      </w:r>
    </w:p>
    <w:p w:rsidR="00BA5850" w:rsidRPr="00883125" w:rsidRDefault="00BA5850" w:rsidP="00BA5850">
      <w:r w:rsidRPr="00883125">
        <w:t>Conceptually, the value of imputation credits must be between 0 and 1. Accordingly</w:t>
      </w:r>
      <w:r>
        <w:t>,</w:t>
      </w:r>
      <w:r w:rsidRPr="00883125">
        <w:t xml:space="preserve"> the range of recommended estimates from 0.25 to 0.8</w:t>
      </w:r>
      <w:r>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BA5850" w:rsidRPr="00883125" w:rsidRDefault="00BA5850" w:rsidP="00BA5850">
      <w:pPr>
        <w:pStyle w:val="Heading8"/>
      </w:pPr>
      <w:bookmarkStart w:id="166" w:name="_Toc450119245"/>
      <w:bookmarkStart w:id="167" w:name="_Toc450119407"/>
      <w:bookmarkStart w:id="168" w:name="_Ref414621875"/>
      <w:bookmarkStart w:id="169" w:name="_Toc436049443"/>
      <w:bookmarkStart w:id="170" w:name="_Toc451842247"/>
      <w:bookmarkStart w:id="171" w:name="_Toc451936173"/>
      <w:bookmarkEnd w:id="166"/>
      <w:bookmarkEnd w:id="167"/>
      <w:r w:rsidRPr="00883125">
        <w:t>The value of imputation credits used by other regulators</w:t>
      </w:r>
      <w:bookmarkEnd w:id="168"/>
      <w:bookmarkEnd w:id="169"/>
      <w:bookmarkEnd w:id="170"/>
      <w:bookmarkEnd w:id="171"/>
    </w:p>
    <w:p w:rsidR="00BA5850" w:rsidRPr="00883125" w:rsidRDefault="00BA5850" w:rsidP="00BA5850">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746877" w:rsidRPr="00883125">
        <w:t xml:space="preserve">Table </w:t>
      </w:r>
      <w:r w:rsidR="00746877">
        <w:rPr>
          <w:noProof/>
        </w:rPr>
        <w:t>4</w:t>
      </w:r>
      <w:r w:rsidR="00746877">
        <w:noBreakHyphen/>
      </w:r>
      <w:r w:rsidR="00746877">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BA5850" w:rsidRPr="00883125" w:rsidRDefault="00BA5850" w:rsidP="00BA5850">
      <w:pPr>
        <w:pStyle w:val="Caption"/>
      </w:pPr>
      <w:bookmarkStart w:id="172" w:name="_Ref401082422"/>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7</w:t>
      </w:r>
      <w:r w:rsidRPr="00BA5850">
        <w:fldChar w:fldCharType="end"/>
      </w:r>
      <w:bookmarkEnd w:id="17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BA5850" w:rsidTr="0034363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BA5850" w:rsidRPr="00883125" w:rsidRDefault="00BA5850" w:rsidP="00BA5850">
            <w:pPr>
              <w:numPr>
                <w:ilvl w:val="0"/>
                <w:numId w:val="24"/>
              </w:numPr>
            </w:pPr>
            <w:r w:rsidRPr="00883125">
              <w:t>Regulator</w:t>
            </w:r>
          </w:p>
        </w:tc>
        <w:tc>
          <w:tcPr>
            <w:tcW w:w="1842"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A5850" w:rsidRPr="00BA5850" w:rsidRDefault="00BA5850" w:rsidP="00BA5850">
            <w:r w:rsidRPr="00883125">
              <w:t>IPART</w:t>
            </w:r>
            <w:r w:rsidRPr="00BA5850">
              <w:rPr>
                <w:rStyle w:val="FootnoteReference"/>
              </w:rPr>
              <w:footnoteReference w:id="217"/>
            </w:r>
          </w:p>
        </w:tc>
        <w:tc>
          <w:tcPr>
            <w:tcW w:w="1842"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A5850" w:rsidRPr="00BA5850" w:rsidRDefault="00BA5850" w:rsidP="00BA5850">
            <w:r w:rsidRPr="00883125">
              <w:lastRenderedPageBreak/>
              <w:t>ESC</w:t>
            </w:r>
            <w:r w:rsidRPr="00BA5850">
              <w:rPr>
                <w:rStyle w:val="AERsuperscript"/>
              </w:rPr>
              <w:footnoteReference w:id="218"/>
            </w:r>
          </w:p>
        </w:tc>
        <w:tc>
          <w:tcPr>
            <w:tcW w:w="1842"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A5850" w:rsidRPr="00BA5850" w:rsidRDefault="00BA5850" w:rsidP="00BA5850">
            <w:r w:rsidRPr="00883125">
              <w:t>QCA</w:t>
            </w:r>
            <w:r w:rsidRPr="00BA5850">
              <w:rPr>
                <w:rStyle w:val="FootnoteReference"/>
              </w:rPr>
              <w:footnoteReference w:id="220"/>
            </w:r>
            <w:r w:rsidRPr="00BA5850">
              <w:t xml:space="preserve">  </w:t>
            </w:r>
          </w:p>
        </w:tc>
        <w:tc>
          <w:tcPr>
            <w:tcW w:w="1842"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A5850" w:rsidRPr="00883125" w:rsidRDefault="00BA5850" w:rsidP="00BA5850">
            <w:pPr>
              <w:numPr>
                <w:ilvl w:val="0"/>
                <w:numId w:val="24"/>
              </w:numPr>
            </w:pPr>
            <w:r w:rsidRPr="00883125">
              <w:t>ERA</w:t>
            </w:r>
            <w:r w:rsidRPr="00883125">
              <w:rPr>
                <w:rStyle w:val="FootnoteReference"/>
              </w:rPr>
              <w:footnoteReference w:id="221"/>
            </w:r>
            <w:r w:rsidRPr="00883125">
              <w:t xml:space="preserve">  </w:t>
            </w:r>
          </w:p>
        </w:tc>
        <w:tc>
          <w:tcPr>
            <w:tcW w:w="1842"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1101" w:type="dxa"/>
          </w:tcPr>
          <w:p w:rsidR="00BA5850" w:rsidRPr="00883125" w:rsidRDefault="00BA5850" w:rsidP="00BA5850">
            <w:pPr>
              <w:numPr>
                <w:ilvl w:val="0"/>
                <w:numId w:val="24"/>
              </w:numPr>
            </w:pPr>
            <w:r w:rsidRPr="00883125">
              <w:t>ACCC</w:t>
            </w:r>
            <w:r w:rsidRPr="00883125">
              <w:rPr>
                <w:rStyle w:val="FootnoteReference"/>
              </w:rPr>
              <w:footnoteReference w:id="222"/>
            </w:r>
            <w:r w:rsidRPr="00883125">
              <w:t xml:space="preserve"> </w:t>
            </w:r>
          </w:p>
        </w:tc>
        <w:tc>
          <w:tcPr>
            <w:tcW w:w="1842"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BA5850" w:rsidRPr="00883125" w:rsidRDefault="00BA5850" w:rsidP="00BA5850">
      <w:pPr>
        <w:pStyle w:val="AERtablesource"/>
      </w:pPr>
      <w:r w:rsidRPr="00883125">
        <w:t>Source:</w:t>
      </w:r>
      <w:r w:rsidRPr="00883125">
        <w:tab/>
        <w:t>As specified in table.</w:t>
      </w:r>
    </w:p>
    <w:p w:rsidR="00BA5850" w:rsidRPr="00883125" w:rsidRDefault="00BA5850" w:rsidP="00BA5850">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BA5850" w:rsidRPr="00883125" w:rsidRDefault="00BA5850" w:rsidP="00BA5850">
      <w:pPr>
        <w:pStyle w:val="Heading8"/>
      </w:pPr>
      <w:bookmarkStart w:id="173" w:name="_Toc436049444"/>
      <w:bookmarkStart w:id="174" w:name="_Toc451842248"/>
      <w:bookmarkStart w:id="175" w:name="_Toc451936174"/>
      <w:r w:rsidRPr="00883125">
        <w:t>Previous Australian Competition Tribunal considerations</w:t>
      </w:r>
      <w:bookmarkEnd w:id="173"/>
      <w:bookmarkEnd w:id="174"/>
      <w:bookmarkEnd w:id="175"/>
    </w:p>
    <w:p w:rsidR="00BA5850" w:rsidRPr="00883125" w:rsidRDefault="00BA5850" w:rsidP="00BA5850">
      <w:pPr>
        <w:numPr>
          <w:ilvl w:val="0"/>
          <w:numId w:val="24"/>
        </w:numPr>
      </w:pPr>
      <w:r w:rsidRPr="00883125">
        <w:t>The Australian Competition Tribunal has considered in detail the value of imputation credits (gamma) in four proceedings since 2010, relating to applications by:</w:t>
      </w:r>
    </w:p>
    <w:p w:rsidR="00BA5850" w:rsidRPr="00BA5850" w:rsidRDefault="00BA5850" w:rsidP="00BA5850">
      <w:pPr>
        <w:pStyle w:val="AERbulletlistfirststyle"/>
        <w:rPr>
          <w:rStyle w:val="CommentReference"/>
        </w:rPr>
      </w:pPr>
      <w:r w:rsidRPr="00883125">
        <w:t>ActewAGL Distribution, Ausgrid, Endeavour Energy, Essential Energy and Jemena Gas Networks</w:t>
      </w:r>
      <w:r w:rsidRPr="00BA5850" w:rsidDel="00C2259D">
        <w:rPr>
          <w:rStyle w:val="CommentReference"/>
        </w:rPr>
        <w:t xml:space="preserve"> </w:t>
      </w:r>
    </w:p>
    <w:p w:rsidR="00BA5850" w:rsidRPr="00883125" w:rsidRDefault="00BA5850" w:rsidP="00BA5850">
      <w:pPr>
        <w:pStyle w:val="AERbulletlistfirststyle"/>
      </w:pPr>
      <w:r w:rsidRPr="00883125">
        <w:t>Energex Limited</w:t>
      </w:r>
    </w:p>
    <w:p w:rsidR="00BA5850" w:rsidRPr="00883125" w:rsidRDefault="00BA5850" w:rsidP="00BA5850">
      <w:pPr>
        <w:pStyle w:val="AERbulletlistfirststyle"/>
      </w:pPr>
      <w:r w:rsidRPr="00883125">
        <w:t>DBNGP (WA) Transmission Pty Ltd, and</w:t>
      </w:r>
    </w:p>
    <w:p w:rsidR="00BA5850" w:rsidRPr="00883125" w:rsidRDefault="00BA5850" w:rsidP="00BA5850">
      <w:pPr>
        <w:pStyle w:val="AERbulletlistfirststyle"/>
      </w:pPr>
      <w:r w:rsidRPr="00883125">
        <w:t>WA Gas Networks Pty Ltd.</w:t>
      </w:r>
    </w:p>
    <w:p w:rsidR="00BA5850" w:rsidRPr="00883125" w:rsidRDefault="00BA5850" w:rsidP="00BA5850">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BA5850" w:rsidRPr="00883125" w:rsidRDefault="00BA5850" w:rsidP="00BA5850">
      <w:pPr>
        <w:pStyle w:val="Heading9"/>
      </w:pPr>
      <w:bookmarkStart w:id="176" w:name="_Ref451813952"/>
      <w:r w:rsidRPr="00883125">
        <w:t>ActewAGL Distribution, Ausgrid, Endeavour Energy, Essential Energy and Jemena Gas Networks</w:t>
      </w:r>
      <w:bookmarkEnd w:id="176"/>
      <w:r w:rsidRPr="00883125">
        <w:t xml:space="preserve"> </w:t>
      </w:r>
    </w:p>
    <w:p w:rsidR="00BA5850" w:rsidRPr="00883125" w:rsidRDefault="00BA5850" w:rsidP="00BA5850">
      <w:r w:rsidRPr="00883125">
        <w:t>In April and June 2015 we released our final decisions for ActewAGL Distribution, Ausgrid, Endeavour Energy, Essential Energy and Jemena Gas Networks. In these decisions, we adopted a gamma estimate of 0.4.</w:t>
      </w:r>
    </w:p>
    <w:p w:rsidR="00BA5850" w:rsidRPr="00B27BE5" w:rsidRDefault="00BA5850" w:rsidP="00BA5850">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3"/>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BA5850" w:rsidRPr="008F5D24" w:rsidRDefault="00BA5850" w:rsidP="00BA5850">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746877" w:rsidRPr="005764F6">
        <w:t xml:space="preserve">table </w:t>
      </w:r>
      <w:r w:rsidR="00746877">
        <w:t>4</w:t>
      </w:r>
      <w:r w:rsidR="00746877" w:rsidRPr="005764F6">
        <w:noBreakHyphen/>
      </w:r>
      <w:r w:rsidR="00746877">
        <w:t>8</w:t>
      </w:r>
      <w:r w:rsidRPr="00C43CF0">
        <w:fldChar w:fldCharType="end"/>
      </w:r>
      <w:r w:rsidRPr="008F5D24">
        <w:t xml:space="preserve"> below. However, we note that at this time, we have not completed the remittal of our final decisions for the above-mentioned service providers.</w:t>
      </w:r>
    </w:p>
    <w:p w:rsidR="00BA5850" w:rsidRPr="00883125" w:rsidRDefault="00BA5850" w:rsidP="00BA5850"/>
    <w:p w:rsidR="00BA5850" w:rsidRPr="00883125" w:rsidRDefault="00BA5850" w:rsidP="00BA5850">
      <w:pPr>
        <w:sectPr w:rsidR="00BA5850" w:rsidRPr="00883125" w:rsidSect="00ED4FB6">
          <w:footerReference w:type="even" r:id="rId19"/>
          <w:footerReference w:type="default" r:id="rId20"/>
          <w:pgSz w:w="11906" w:h="16838"/>
          <w:pgMar w:top="1440" w:right="1440" w:bottom="1440" w:left="1440" w:header="708" w:footer="708" w:gutter="0"/>
          <w:pgNumType w:chapStyle="1"/>
          <w:cols w:space="708"/>
          <w:docGrid w:linePitch="360"/>
        </w:sectPr>
      </w:pPr>
    </w:p>
    <w:p w:rsidR="00BA5850" w:rsidRPr="005764F6" w:rsidRDefault="00BA5850" w:rsidP="00BA5850">
      <w:pPr>
        <w:pStyle w:val="Tabletitle"/>
      </w:pPr>
      <w:bookmarkStart w:id="177" w:name="_Ref450040370"/>
      <w:r w:rsidRPr="005764F6">
        <w:lastRenderedPageBreak/>
        <w:t xml:space="preserve">Table </w:t>
      </w:r>
      <w:fldSimple w:instr=" STYLEREF 1 \s ">
        <w:r w:rsidR="00746877">
          <w:rPr>
            <w:noProof/>
          </w:rPr>
          <w:t>4</w:t>
        </w:r>
      </w:fldSimple>
      <w:r w:rsidRPr="005764F6">
        <w:noBreakHyphen/>
      </w:r>
      <w:fldSimple w:instr=" SEQ Table \* ARABIC \s 1 ">
        <w:r w:rsidR="00746877">
          <w:rPr>
            <w:noProof/>
          </w:rPr>
          <w:t>8</w:t>
        </w:r>
      </w:fldSimple>
      <w:bookmarkEnd w:id="177"/>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BA5850" w:rsidTr="0086094B">
        <w:trPr>
          <w:cnfStyle w:val="100000000000" w:firstRow="1" w:lastRow="0" w:firstColumn="0" w:lastColumn="0" w:oddVBand="0" w:evenVBand="0" w:oddHBand="0" w:evenHBand="0" w:firstRowFirstColumn="0" w:firstRowLastColumn="0" w:lastRowFirstColumn="0" w:lastRowLastColumn="0"/>
          <w:tblHeader/>
        </w:trPr>
        <w:tc>
          <w:tcPr>
            <w:tcW w:w="784" w:type="pct"/>
          </w:tcPr>
          <w:p w:rsidR="00BA5850" w:rsidRPr="00BA5850" w:rsidRDefault="00BA5850" w:rsidP="00BA5850">
            <w:r w:rsidRPr="00883125">
              <w:t>Issue</w:t>
            </w:r>
          </w:p>
        </w:tc>
        <w:tc>
          <w:tcPr>
            <w:tcW w:w="2271" w:type="pct"/>
          </w:tcPr>
          <w:p w:rsidR="00BA5850" w:rsidRPr="00BA5850" w:rsidRDefault="00BA5850" w:rsidP="00BA5850">
            <w:r w:rsidRPr="00883125">
              <w:t>Tribunal comments</w:t>
            </w:r>
          </w:p>
        </w:tc>
        <w:tc>
          <w:tcPr>
            <w:tcW w:w="1945" w:type="pct"/>
          </w:tcPr>
          <w:p w:rsidR="00BA5850" w:rsidRPr="00BA5850" w:rsidRDefault="00BA5850" w:rsidP="00BA5850">
            <w:r w:rsidRPr="00883125">
              <w:t xml:space="preserve">AER </w:t>
            </w:r>
            <w:r w:rsidRPr="00BA5850">
              <w:t>initial comments</w:t>
            </w:r>
          </w:p>
        </w:tc>
      </w:tr>
      <w:tr w:rsidR="00BA5850" w:rsidTr="00343639">
        <w:tc>
          <w:tcPr>
            <w:tcW w:w="784" w:type="pct"/>
          </w:tcPr>
          <w:p w:rsidR="00BA5850" w:rsidRPr="00BA5850" w:rsidRDefault="00BA5850" w:rsidP="00BA5850">
            <w:r w:rsidRPr="00883125">
              <w:t>The conceptual framework for gamma</w:t>
            </w:r>
          </w:p>
        </w:tc>
        <w:tc>
          <w:tcPr>
            <w:tcW w:w="2271" w:type="pct"/>
          </w:tcPr>
          <w:p w:rsidR="00BA5850" w:rsidRPr="00BA5850" w:rsidRDefault="00BA5850" w:rsidP="00BA5850">
            <w:r w:rsidRPr="00883125">
              <w:t xml:space="preserve">By placing </w:t>
            </w:r>
            <w:r w:rsidRPr="00BA5850">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BA5850">
              <w:rPr>
                <w:rStyle w:val="FootnoteReference"/>
              </w:rPr>
              <w:footnoteReference w:id="224"/>
            </w:r>
            <w:r w:rsidRPr="00BA5850">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BA5850">
              <w:rPr>
                <w:rStyle w:val="FootnoteReference"/>
              </w:rPr>
              <w:footnoteReference w:id="225"/>
            </w:r>
          </w:p>
          <w:p w:rsidR="00BA5850" w:rsidRPr="00BA5850" w:rsidRDefault="00BA5850" w:rsidP="00BA5850">
            <w:r w:rsidRPr="00883125">
              <w:t xml:space="preserve">It </w:t>
            </w:r>
            <w:r w:rsidRPr="00BA5850">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BA5850">
              <w:rPr>
                <w:rStyle w:val="FootnoteReference"/>
              </w:rPr>
              <w:footnoteReference w:id="226"/>
            </w:r>
          </w:p>
          <w:p w:rsidR="00BA5850" w:rsidRPr="00BA5850" w:rsidRDefault="00BA5850" w:rsidP="00BA5850">
            <w:r w:rsidRPr="00883125">
              <w:t xml:space="preserve">Handley's extension of the Officer Framework does not appear to present an empirically robust and internally consistent explanation for the link </w:t>
            </w:r>
            <w:r w:rsidRPr="00BA5850">
              <w:t>between the existence of imputation credits and the applicability of the vanilla WACC.</w:t>
            </w:r>
            <w:r w:rsidRPr="00BA5850">
              <w:rPr>
                <w:rStyle w:val="FootnoteReference"/>
              </w:rPr>
              <w:footnoteReference w:id="227"/>
            </w:r>
          </w:p>
        </w:tc>
        <w:tc>
          <w:tcPr>
            <w:tcW w:w="1945" w:type="pct"/>
          </w:tcPr>
          <w:p w:rsidR="00BA5850" w:rsidRPr="00BA5850" w:rsidRDefault="00BA5850" w:rsidP="00BA5850">
            <w:r w:rsidRPr="00883125">
              <w:t>In developing the Guideline, we re-evaluated the conceptual framework for the value of imputation credits</w:t>
            </w:r>
            <w:r w:rsidRPr="00BA5850">
              <w:t xml:space="preserve"> in consultation with stakeholders. In making this final decision, we have built on this re-evaluation. We discuss the role of the value of imputation credits and the underlying conceptual framework in sections </w:t>
            </w:r>
            <w:r w:rsidRPr="00BA5850">
              <w:fldChar w:fldCharType="begin"/>
            </w:r>
            <w:r w:rsidRPr="00BA5850">
              <w:instrText xml:space="preserve"> REF _Ref415144114 \r \h  \* MERGEFORMAT </w:instrText>
            </w:r>
            <w:r w:rsidRPr="00BA5850">
              <w:fldChar w:fldCharType="separate"/>
            </w:r>
            <w:r w:rsidR="00746877">
              <w:t>A.5</w:t>
            </w:r>
            <w:r w:rsidRPr="00BA5850">
              <w:fldChar w:fldCharType="end"/>
            </w:r>
            <w:r w:rsidRPr="00BA5850">
              <w:t xml:space="preserve"> and </w:t>
            </w:r>
            <w:r w:rsidRPr="00BA5850">
              <w:fldChar w:fldCharType="begin"/>
            </w:r>
            <w:r w:rsidRPr="00BA5850">
              <w:instrText xml:space="preserve"> REF _Ref400965182 \r \h  \* MERGEFORMAT </w:instrText>
            </w:r>
            <w:r w:rsidRPr="00BA5850">
              <w:fldChar w:fldCharType="separate"/>
            </w:r>
            <w:r w:rsidR="00746877">
              <w:t>A.6</w:t>
            </w:r>
            <w:r w:rsidRPr="00BA5850">
              <w:fldChar w:fldCharType="end"/>
            </w:r>
            <w:r w:rsidRPr="00BA5850">
              <w:t>.</w:t>
            </w:r>
          </w:p>
          <w:p w:rsidR="00BA5850" w:rsidRPr="00BA5850" w:rsidRDefault="00BA5850" w:rsidP="00BA5850">
            <w:r>
              <w:t>We</w:t>
            </w:r>
            <w:r w:rsidRPr="00BA5850">
              <w:t xml:space="preserve"> consider the face value of imputation credits is the most appropriate measure and is consistent with the Officer framework. We consider it uses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BA5850" w:rsidRPr="00BA5850" w:rsidRDefault="00BA5850" w:rsidP="00BA5850">
            <w:r w:rsidRPr="00883125">
              <w:t xml:space="preserve">The </w:t>
            </w:r>
            <w:r w:rsidRPr="00BA5850">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BA5850" w:rsidRPr="00BA5850" w:rsidRDefault="00BA5850" w:rsidP="00BA5850">
            <w:r w:rsidRPr="00883125">
              <w:t>However, t</w:t>
            </w:r>
            <w:r w:rsidRPr="00BA5850">
              <w:t xml:space="preserve">he dividend drop off imputation credit estimate is neither a pre-personal tax nor a post-personal tax estimate. As a result, this estimate (absent adjustment) cannot be used at all in our regulatory context as it is </w:t>
            </w:r>
            <w:r w:rsidRPr="00BA5850">
              <w:lastRenderedPageBreak/>
              <w:t xml:space="preserve">inconsistent with the post-tax Officer framework. This is further discussed in section </w:t>
            </w:r>
            <w:r w:rsidRPr="00BA5850">
              <w:fldChar w:fldCharType="begin"/>
            </w:r>
            <w:r w:rsidRPr="00BA5850">
              <w:instrText xml:space="preserve"> REF _Ref435171205 \r \h  \* MERGEFORMAT </w:instrText>
            </w:r>
            <w:r w:rsidRPr="00BA5850">
              <w:fldChar w:fldCharType="separate"/>
            </w:r>
            <w:r w:rsidR="00746877">
              <w:t>A.15.3</w:t>
            </w:r>
            <w:r w:rsidRPr="00BA5850">
              <w:fldChar w:fldCharType="end"/>
            </w:r>
            <w:r w:rsidRPr="00BA5850">
              <w:t>.</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A5850" w:rsidRPr="00BA5850" w:rsidRDefault="00BA5850" w:rsidP="00BA5850">
            <w:r w:rsidRPr="00883125">
              <w:lastRenderedPageBreak/>
              <w:t>The distribution rate (payout ratio)</w:t>
            </w:r>
          </w:p>
        </w:tc>
        <w:tc>
          <w:tcPr>
            <w:tcW w:w="2271" w:type="pct"/>
          </w:tcPr>
          <w:p w:rsidR="00BA5850" w:rsidRPr="00BA5850" w:rsidRDefault="00BA5850" w:rsidP="00BA5850">
            <w:r w:rsidRPr="00883125">
              <w:t>There is insufficient explanation for introducing the distribution rate for only listed equity.</w:t>
            </w:r>
            <w:r w:rsidRPr="00BA5850">
              <w:rPr>
                <w:rStyle w:val="FootnoteReference"/>
              </w:rPr>
              <w:footnoteReference w:id="228"/>
            </w:r>
          </w:p>
        </w:tc>
        <w:tc>
          <w:tcPr>
            <w:tcW w:w="1945" w:type="pct"/>
          </w:tcPr>
          <w:p w:rsidR="00BA5850" w:rsidRPr="00BA5850" w:rsidRDefault="00BA5850" w:rsidP="00BA5850">
            <w:r w:rsidRPr="00B31DF2">
              <w:t>As discussed in section</w:t>
            </w:r>
            <w:r w:rsidRPr="00BA5850">
              <w:t xml:space="preserve"> </w:t>
            </w:r>
            <w:r w:rsidRPr="00BA5850">
              <w:fldChar w:fldCharType="begin"/>
            </w:r>
            <w:r w:rsidRPr="00BA5850">
              <w:instrText xml:space="preserve"> REF _Ref451262944 \r \h  \* MERGEFORMAT </w:instrText>
            </w:r>
            <w:r w:rsidRPr="00BA5850">
              <w:fldChar w:fldCharType="separate"/>
            </w:r>
            <w:r w:rsidR="00746877">
              <w:t>4.4</w:t>
            </w:r>
            <w:r w:rsidRPr="00BA5850">
              <w:fldChar w:fldCharType="end"/>
            </w:r>
            <w:r w:rsidRPr="00BA5850">
              <w:t xml:space="preserve"> of attachment 4 and section </w:t>
            </w:r>
            <w:r w:rsidRPr="00BA5850">
              <w:fldChar w:fldCharType="begin"/>
            </w:r>
            <w:r w:rsidRPr="00BA5850">
              <w:instrText xml:space="preserve"> REF _Ref401133206 \r \h </w:instrText>
            </w:r>
            <w:r w:rsidRPr="00BA5850">
              <w:fldChar w:fldCharType="separate"/>
            </w:r>
            <w:r w:rsidR="00746877">
              <w:t>A.10</w:t>
            </w:r>
            <w:r w:rsidRPr="00BA5850">
              <w:fldChar w:fldCharType="end"/>
            </w:r>
            <w:r w:rsidRPr="00BA5850">
              <w:t xml:space="preserve"> of this appendix, we consider the use of a distribution rate for listed equity is open to us and reasonably reflective of a benchmark efficient entity given the difficulties associated with choosing a representative dataset.</w:t>
            </w:r>
            <w:r w:rsidRPr="00BA5850">
              <w:rPr>
                <w:rStyle w:val="FootnoteReference"/>
              </w:rPr>
              <w:footnoteReference w:id="229"/>
            </w:r>
            <w:r w:rsidRPr="00BA5850">
              <w:t xml:space="preserve"> Lally also recommends distribution rate based on listed equity for a benchmark efficient entity, although he estimates this using financial statements of the top 20 listed firms.</w:t>
            </w:r>
            <w:r w:rsidRPr="00BA5850">
              <w:rPr>
                <w:rStyle w:val="FootnoteReference"/>
              </w:rPr>
              <w:footnoteReference w:id="230"/>
            </w:r>
          </w:p>
          <w:p w:rsidR="00BA5850" w:rsidRPr="00BA5850" w:rsidRDefault="00BA5850" w:rsidP="00BA5850">
            <w:r w:rsidRPr="00B31DF2">
              <w:t>As discussed in section</w:t>
            </w:r>
            <w:r w:rsidRPr="00BA5850">
              <w:t xml:space="preserve"> </w:t>
            </w:r>
            <w:r w:rsidRPr="00BA5850">
              <w:fldChar w:fldCharType="begin"/>
            </w:r>
            <w:r w:rsidRPr="00BA5850">
              <w:instrText xml:space="preserve"> REF _Ref451262944 \r \h  \* MERGEFORMAT </w:instrText>
            </w:r>
            <w:r w:rsidRPr="00BA5850">
              <w:fldChar w:fldCharType="separate"/>
            </w:r>
            <w:r w:rsidR="00746877">
              <w:t>4.4</w:t>
            </w:r>
            <w:r w:rsidRPr="00BA5850">
              <w:fldChar w:fldCharType="end"/>
            </w:r>
            <w:r w:rsidRPr="00BA5850">
              <w:t xml:space="preserve"> of attachment 4 and section </w:t>
            </w:r>
            <w:r w:rsidRPr="00BA5850">
              <w:fldChar w:fldCharType="begin"/>
            </w:r>
            <w:r w:rsidRPr="00BA5850">
              <w:instrText xml:space="preserve"> REF _Ref450299300 \r \h </w:instrText>
            </w:r>
            <w:r w:rsidRPr="00BA5850">
              <w:fldChar w:fldCharType="separate"/>
            </w:r>
            <w:r w:rsidR="00746877">
              <w:t>A.9.2</w:t>
            </w:r>
            <w:r w:rsidRPr="00BA5850">
              <w:fldChar w:fldCharType="end"/>
            </w:r>
            <w:r w:rsidRPr="00BA5850">
              <w:t xml:space="preserve"> of this appendix, following Lally's latest report, we consider it is not essential to 'match' estimates of distribution rates and utilisation rates based on the dataset used; although we note the choice is open to us.</w:t>
            </w:r>
            <w:r w:rsidRPr="00BA5850">
              <w:rPr>
                <w:rStyle w:val="FootnoteReference"/>
              </w:rPr>
              <w:footnoteReference w:id="231"/>
            </w:r>
            <w:r w:rsidRPr="00BA5850">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BA5850">
              <w:rPr>
                <w:rStyle w:val="FootnoteReference"/>
              </w:rPr>
              <w:footnoteReference w:id="232"/>
            </w:r>
          </w:p>
        </w:tc>
      </w:tr>
      <w:tr w:rsidR="00BA5850" w:rsidTr="00343639">
        <w:tc>
          <w:tcPr>
            <w:tcW w:w="784" w:type="pct"/>
          </w:tcPr>
          <w:p w:rsidR="00BA5850" w:rsidRPr="00BA5850" w:rsidRDefault="00BA5850" w:rsidP="00BA5850">
            <w:r w:rsidRPr="00883125">
              <w:t>Equity ownership approach</w:t>
            </w:r>
          </w:p>
        </w:tc>
        <w:tc>
          <w:tcPr>
            <w:tcW w:w="2271" w:type="pct"/>
          </w:tcPr>
          <w:p w:rsidR="00BA5850" w:rsidRPr="00BA5850" w:rsidRDefault="00BA5850" w:rsidP="00BA5850">
            <w:r w:rsidRPr="00883125">
              <w:t xml:space="preserve">To the extent that the equity ownership approach indicates that theta is above the </w:t>
            </w:r>
            <w:r w:rsidRPr="00BA5850">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BA5850">
              <w:rPr>
                <w:rStyle w:val="FootnoteReference"/>
              </w:rPr>
              <w:footnoteReference w:id="233"/>
            </w:r>
          </w:p>
          <w:p w:rsidR="00BA5850" w:rsidRPr="00BA5850" w:rsidRDefault="00BA5850" w:rsidP="00BA5850">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BA5850">
              <w:rPr>
                <w:rStyle w:val="FootnoteReference"/>
              </w:rPr>
              <w:footnoteReference w:id="234"/>
            </w:r>
          </w:p>
          <w:p w:rsidR="00BA5850" w:rsidRPr="00BA5850" w:rsidRDefault="00BA5850" w:rsidP="00BA5850">
            <w:r w:rsidRPr="00883125">
              <w:t>The equity ownership approach overstates the redemption rates and would only be useful a further check on other estimates.</w:t>
            </w:r>
            <w:r w:rsidRPr="00BA5850">
              <w:rPr>
                <w:rStyle w:val="FootnoteReference"/>
              </w:rPr>
              <w:footnoteReference w:id="235"/>
            </w:r>
          </w:p>
          <w:p w:rsidR="00BA5850" w:rsidRPr="00BA5850" w:rsidRDefault="00BA5850" w:rsidP="00BA5850">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BA5850">
              <w:rPr>
                <w:rStyle w:val="FootnoteReference"/>
              </w:rPr>
              <w:footnoteReference w:id="236"/>
            </w:r>
          </w:p>
        </w:tc>
        <w:tc>
          <w:tcPr>
            <w:tcW w:w="1945" w:type="pct"/>
          </w:tcPr>
          <w:p w:rsidR="00BA5850" w:rsidRPr="00BA5850" w:rsidRDefault="00BA5850" w:rsidP="00BA5850">
            <w:r>
              <w:lastRenderedPageBreak/>
              <w:t>We</w:t>
            </w:r>
            <w:r w:rsidRPr="00BA5850">
              <w:t xml:space="preserve"> consider the equity ownership approach remains the best method to estimate the utilisation rate. We do not consider the difference between the equity ownership approach and tax statistics is due to the 45 day holding rule and Lally, in his recent report, agrees with this.</w:t>
            </w:r>
            <w:r w:rsidRPr="00BA5850">
              <w:rPr>
                <w:rStyle w:val="FootnoteReference"/>
              </w:rPr>
              <w:footnoteReference w:id="237"/>
            </w:r>
            <w:r w:rsidRPr="00BA5850">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w:t>
            </w:r>
            <w:r w:rsidRPr="00BA5850">
              <w:lastRenderedPageBreak/>
              <w:t>the AER is too low.</w:t>
            </w:r>
            <w:r w:rsidR="00593A40">
              <w:rPr>
                <w:rStyle w:val="FootnoteReference"/>
              </w:rPr>
              <w:footnoteReference w:id="238"/>
            </w:r>
            <w:r w:rsidRPr="00BA5850">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BA5850">
              <w:rPr>
                <w:rStyle w:val="FootnoteReference"/>
              </w:rPr>
              <w:footnoteReference w:id="239"/>
            </w:r>
          </w:p>
          <w:p w:rsidR="00BA5850" w:rsidRPr="00BA5850" w:rsidRDefault="00BA5850" w:rsidP="00BA5850">
            <w:r>
              <w:t>We</w:t>
            </w:r>
            <w:r w:rsidRPr="00BA5850">
              <w:t xml:space="preserve"> remain of the view that the 45 day rule does not have a material impact on the utilisation rate. This is supported by Lally.</w:t>
            </w:r>
            <w:r w:rsidRPr="00BA5850">
              <w:rPr>
                <w:rStyle w:val="FootnoteReference"/>
              </w:rPr>
              <w:footnoteReference w:id="240"/>
            </w:r>
            <w:r w:rsidRPr="00BA5850">
              <w:t xml:space="preserve"> We have not been presented with any data that would suggest the 45 day rule is having any impact on the utilisation of imputation credits. </w:t>
            </w:r>
          </w:p>
          <w:p w:rsidR="00BA5850" w:rsidRPr="00BA5850" w:rsidRDefault="00BA5850" w:rsidP="00BA5850">
            <w:r>
              <w:t>We</w:t>
            </w:r>
            <w:r w:rsidRPr="00BA5850">
              <w:t xml:space="preserve"> consider that on a pre-personal tax basis, investors that are eligible to receive imputation credits value them at their full face value. A dollar face value of imputation credits reduces eligible investor's tax liabilities by one dollar. The face value of the imputation credit is the pre-personal tax value of the imputation credit.</w:t>
            </w:r>
          </w:p>
        </w:tc>
      </w:tr>
      <w:tr w:rsidR="00BA5850"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A5850" w:rsidRPr="00BA5850" w:rsidRDefault="00BA5850" w:rsidP="00BA5850">
            <w:r w:rsidRPr="00883125">
              <w:lastRenderedPageBreak/>
              <w:t>Tax statistic estimates</w:t>
            </w:r>
          </w:p>
        </w:tc>
        <w:tc>
          <w:tcPr>
            <w:tcW w:w="2271" w:type="pct"/>
          </w:tcPr>
          <w:p w:rsidR="00BA5850" w:rsidRPr="00BA5850" w:rsidRDefault="00BA5850" w:rsidP="00BA5850">
            <w:r w:rsidRPr="00883125">
              <w:t>Tax statistics can only provide an upper bound on the estimate of theta.</w:t>
            </w:r>
            <w:r w:rsidRPr="00BA5850">
              <w:rPr>
                <w:rStyle w:val="FootnoteReference"/>
              </w:rPr>
              <w:footnoteReference w:id="241"/>
            </w:r>
          </w:p>
          <w:p w:rsidR="00BA5850" w:rsidRPr="00BA5850" w:rsidRDefault="00BA5850" w:rsidP="00BA5850">
            <w:r w:rsidRPr="00883125">
              <w:t xml:space="preserve">The value of theta produced by taxation statistics is evidence that Australian investors do not value </w:t>
            </w:r>
            <w:r w:rsidRPr="00BA5850">
              <w:t>imputation credits at their face value, because they may be unable to use them.</w:t>
            </w:r>
            <w:r w:rsidRPr="00BA5850">
              <w:rPr>
                <w:rStyle w:val="FootnoteReference"/>
              </w:rPr>
              <w:footnoteReference w:id="242"/>
            </w:r>
          </w:p>
          <w:p w:rsidR="00BA5850" w:rsidRPr="00BA5850" w:rsidRDefault="00BA5850" w:rsidP="00BA5850">
            <w:r w:rsidRPr="00883125">
              <w:t>The ATO data relied by Hathaway has since been acknowledged by Hathaway to be of some concern.</w:t>
            </w:r>
            <w:r w:rsidRPr="00BA5850">
              <w:rPr>
                <w:rStyle w:val="FootnoteReference"/>
              </w:rPr>
              <w:footnoteReference w:id="243"/>
            </w:r>
          </w:p>
        </w:tc>
        <w:tc>
          <w:tcPr>
            <w:tcW w:w="1945" w:type="pct"/>
          </w:tcPr>
          <w:p w:rsidR="00BA5850" w:rsidRPr="00BA5850" w:rsidRDefault="00BA5850" w:rsidP="00BA5850">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BA5850">
              <w:t xml:space="preserve">rate. We discussed Handley's views in section A.6.1 of the draft/preliminary decisions. We discuss the use of tax statistics more broadly in section </w:t>
            </w:r>
            <w:r w:rsidRPr="00BA5850">
              <w:fldChar w:fldCharType="begin"/>
            </w:r>
            <w:r w:rsidRPr="00BA5850">
              <w:instrText xml:space="preserve"> REF _Ref402179420 \r \h  \* MERGEFORMAT </w:instrText>
            </w:r>
            <w:r w:rsidRPr="00BA5850">
              <w:fldChar w:fldCharType="separate"/>
            </w:r>
            <w:r w:rsidR="00746877">
              <w:t>A.13</w:t>
            </w:r>
            <w:r w:rsidRPr="00BA5850">
              <w:fldChar w:fldCharType="end"/>
            </w:r>
            <w:r w:rsidRPr="00BA5850">
              <w:t xml:space="preserve"> of this appendix.</w:t>
            </w:r>
          </w:p>
          <w:p w:rsidR="00BA5850" w:rsidRPr="00BA5850" w:rsidRDefault="00BA5850" w:rsidP="00BA5850">
            <w:r>
              <w:t>Lally advised that the correct tax statistic is upward biased as it</w:t>
            </w:r>
            <w:r w:rsidRPr="00BA5850">
              <w:t xml:space="preserve"> is expected local investors would tilt their shareholding towards stock with </w:t>
            </w:r>
            <w:r w:rsidRPr="00BA5850">
              <w:lastRenderedPageBreak/>
              <w:t>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BA5850">
              <w:rPr>
                <w:rStyle w:val="FootnoteReference"/>
              </w:rPr>
              <w:footnoteReference w:id="244"/>
            </w:r>
            <w:r w:rsidRPr="00BA5850">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BA5850" w:rsidRPr="00BA5850" w:rsidRDefault="00BA5850" w:rsidP="00BA5850">
            <w:r w:rsidRPr="00FF12F1">
              <w:t>Having regard to the potential data limitations and alternate estimates, the evidence from tax statistics is not inconsistent with the evidence from the equity ownership approach, but we place less reliance upon it.</w:t>
            </w:r>
            <w:r w:rsidRPr="00BA5850">
              <w:t xml:space="preserve"> </w:t>
            </w:r>
          </w:p>
          <w:p w:rsidR="00BA5850" w:rsidRPr="00BA5850" w:rsidRDefault="00BA5850" w:rsidP="00BA5850">
            <w:r>
              <w:t>We do</w:t>
            </w:r>
            <w:r w:rsidRPr="00BA5850">
              <w:t xml:space="preserve"> not consider the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BA5850">
              <w:rPr>
                <w:rStyle w:val="FootnoteReference"/>
              </w:rPr>
              <w:footnoteReference w:id="245"/>
            </w:r>
          </w:p>
        </w:tc>
      </w:tr>
      <w:tr w:rsidR="00BA5850" w:rsidRPr="00B45BDD" w:rsidTr="00343639">
        <w:tc>
          <w:tcPr>
            <w:tcW w:w="784" w:type="pct"/>
          </w:tcPr>
          <w:p w:rsidR="00BA5850" w:rsidRPr="00BA5850" w:rsidRDefault="00BA5850" w:rsidP="00BA5850">
            <w:r w:rsidRPr="00883125">
              <w:lastRenderedPageBreak/>
              <w:t>The conceptual basis for dividend drop off studies</w:t>
            </w:r>
          </w:p>
        </w:tc>
        <w:tc>
          <w:tcPr>
            <w:tcW w:w="2271" w:type="pct"/>
          </w:tcPr>
          <w:p w:rsidR="00BA5850" w:rsidRPr="00BA5850" w:rsidRDefault="00BA5850" w:rsidP="00BA5850">
            <w:r>
              <w:t>O</w:t>
            </w:r>
            <w:r w:rsidRPr="00BA5850">
              <w:t>f the various methodologies for estimating gamma employed by the AER, market value studies are best placed to capture the considerations that investors make in determining the worth of imputation credits to them.</w:t>
            </w:r>
            <w:r w:rsidRPr="00BA5850">
              <w:rPr>
                <w:rStyle w:val="FootnoteReference"/>
              </w:rPr>
              <w:footnoteReference w:id="246"/>
            </w:r>
          </w:p>
          <w:p w:rsidR="00BA5850" w:rsidRPr="00BA5850" w:rsidRDefault="00BA5850" w:rsidP="00BA5850">
            <w:r w:rsidRPr="00883125">
              <w:t>The AER could have excluded earlier market based studies that were not relevant, such as the studies that were conducted on pre 2000 data.</w:t>
            </w:r>
            <w:r w:rsidRPr="00BA5850">
              <w:rPr>
                <w:rStyle w:val="FootnoteReference"/>
              </w:rPr>
              <w:footnoteReference w:id="247"/>
            </w:r>
          </w:p>
          <w:p w:rsidR="00BA5850" w:rsidRPr="00BA5850" w:rsidRDefault="00BA5850" w:rsidP="00BA5850">
            <w:r w:rsidRPr="00883125">
              <w:t xml:space="preserve">That the econometric issues identified in market based studies is at odds with the AER's </w:t>
            </w:r>
            <w:r w:rsidRPr="00BA5850">
              <w:t>reliance on economic modelling in other aspects of its determinations.</w:t>
            </w:r>
            <w:r w:rsidRPr="00BA5850">
              <w:rPr>
                <w:rStyle w:val="FootnoteReference"/>
              </w:rPr>
              <w:footnoteReference w:id="248"/>
            </w:r>
          </w:p>
          <w:p w:rsidR="00BA5850" w:rsidRPr="00BA5850" w:rsidRDefault="00BA5850" w:rsidP="00BA5850">
            <w:r w:rsidRPr="00883125">
              <w:t xml:space="preserve">The best estimate derived by the updated SFG study is 0.35 and it </w:t>
            </w:r>
            <w:r w:rsidRPr="00BA5850">
              <w:t xml:space="preserve">is incorrect for the AER to adjusted the SFG study for factors, such as differential personal taxes and </w:t>
            </w:r>
            <w:r w:rsidRPr="00BA5850">
              <w:lastRenderedPageBreak/>
              <w:t>risk.</w:t>
            </w:r>
            <w:r w:rsidRPr="00BA5850">
              <w:rPr>
                <w:rStyle w:val="FootnoteReference"/>
              </w:rPr>
              <w:footnoteReference w:id="249"/>
            </w:r>
          </w:p>
          <w:p w:rsidR="00BA5850" w:rsidRPr="00BA5850" w:rsidRDefault="00BA5850" w:rsidP="00BA5850">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BA5850">
              <w:rPr>
                <w:rStyle w:val="FootnoteReference"/>
              </w:rPr>
              <w:footnoteReference w:id="250"/>
            </w:r>
          </w:p>
        </w:tc>
        <w:tc>
          <w:tcPr>
            <w:tcW w:w="1945" w:type="pct"/>
          </w:tcPr>
          <w:p w:rsidR="00BA5850" w:rsidRPr="00BA5850" w:rsidRDefault="00BA5850" w:rsidP="00BA5850">
            <w:r w:rsidRPr="00883125">
              <w:lastRenderedPageBreak/>
              <w:t xml:space="preserve">The limitations of dividend drop off studies have been widely identified—we provide a selection of comments from academics and regulators in section </w:t>
            </w:r>
            <w:r w:rsidRPr="00BA5850">
              <w:fldChar w:fldCharType="begin"/>
            </w:r>
            <w:r w:rsidRPr="00BA5850">
              <w:instrText xml:space="preserve"> REF _Ref451266265 \r \h  \* MERGEFORMAT </w:instrText>
            </w:r>
            <w:r w:rsidRPr="00BA5850">
              <w:fldChar w:fldCharType="separate"/>
            </w:r>
            <w:r w:rsidR="00746877">
              <w:t>A.15</w:t>
            </w:r>
            <w:r w:rsidRPr="00BA5850">
              <w:fldChar w:fldCharType="end"/>
            </w:r>
            <w:r w:rsidRPr="00BA5850">
              <w:t xml:space="preserve"> and </w:t>
            </w:r>
            <w:r w:rsidRPr="00BA5850">
              <w:fldChar w:fldCharType="begin"/>
            </w:r>
            <w:r w:rsidRPr="00BA5850">
              <w:instrText xml:space="preserve"> REF _Ref450761230 \r \h </w:instrText>
            </w:r>
            <w:r w:rsidRPr="00BA5850">
              <w:fldChar w:fldCharType="separate"/>
            </w:r>
            <w:r w:rsidR="00746877">
              <w:t>4.4.1</w:t>
            </w:r>
            <w:r w:rsidRPr="00BA5850">
              <w:fldChar w:fldCharType="end"/>
            </w:r>
            <w:r w:rsidRPr="00BA5850">
              <w:t>. Moreover, both Handley and Lally advised that other approaches to estimating the utilisation rate should be preferred. Handley and Lally also advised that, without adjustment, dividend drop off studies produce downwards-biased estimates of the utilisation rate.</w:t>
            </w:r>
          </w:p>
          <w:p w:rsidR="00BA5850" w:rsidRPr="00BA5850" w:rsidRDefault="00BA5850" w:rsidP="00BA5850">
            <w:r w:rsidRPr="00883125">
              <w:t xml:space="preserve">The issue with dividend </w:t>
            </w:r>
            <w:r w:rsidRPr="00BA5850">
              <w:t xml:space="preserve">drop off estimates of the utilisation rate (or value) is that they do not produce a post-tax (pre-personal tax) estimate and therefore do not produce estimates consistent with the Officer post-tax framework. The dividend drop off estimate is influenced by differential </w:t>
            </w:r>
            <w:r w:rsidRPr="00BA5850">
              <w:lastRenderedPageBreak/>
              <w:t xml:space="preserve">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BA5850">
              <w:fldChar w:fldCharType="begin"/>
            </w:r>
            <w:r w:rsidRPr="00BA5850">
              <w:instrText xml:space="preserve"> REF _Ref435171205 \r \h  \* MERGEFORMAT </w:instrText>
            </w:r>
            <w:r w:rsidRPr="00BA5850">
              <w:fldChar w:fldCharType="separate"/>
            </w:r>
            <w:r w:rsidR="00746877">
              <w:t>A.15.3</w:t>
            </w:r>
            <w:r w:rsidRPr="00BA5850">
              <w:fldChar w:fldCharType="end"/>
            </w:r>
            <w:r w:rsidRPr="00BA5850">
              <w:t>.</w:t>
            </w:r>
          </w:p>
          <w:p w:rsidR="00BA5850" w:rsidRPr="00BA5850" w:rsidRDefault="00BA5850" w:rsidP="00BA5850">
            <w:r w:rsidRPr="00883125">
              <w:t xml:space="preserve">The </w:t>
            </w:r>
            <w:r w:rsidRPr="00BA5850">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BA5850"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A5850" w:rsidRPr="00BA5850" w:rsidRDefault="00BA5850" w:rsidP="00BA5850">
            <w:r w:rsidRPr="00883125">
              <w:lastRenderedPageBreak/>
              <w:t>Consistency of allowed rate of return parameters</w:t>
            </w:r>
          </w:p>
        </w:tc>
        <w:tc>
          <w:tcPr>
            <w:tcW w:w="2271" w:type="pct"/>
          </w:tcPr>
          <w:p w:rsidR="00BA5850" w:rsidRPr="00BA5850" w:rsidRDefault="00BA5850" w:rsidP="00BA5850">
            <w:r w:rsidRPr="00883125">
              <w:t>The AER's reasoning ignores the fact that other parameters in the WACC calculation are market values that already incorporate the effects of the difference in investors' tax position and transaction costs'.</w:t>
            </w:r>
            <w:r w:rsidRPr="00BA5850">
              <w:rPr>
                <w:rStyle w:val="FootnoteReference"/>
              </w:rPr>
              <w:footnoteReference w:id="251"/>
            </w:r>
            <w:r w:rsidRPr="00BA5850">
              <w:t xml:space="preserve"> There is no inconsistency between the use of market studies to estimate the value of imputation credits and the method used to calculate other parameters of the cost of debt and equity from market data.</w:t>
            </w:r>
            <w:r w:rsidRPr="00BA5850">
              <w:rPr>
                <w:rStyle w:val="FootnoteReference"/>
              </w:rPr>
              <w:footnoteReference w:id="252"/>
            </w:r>
            <w:r w:rsidRPr="00BA5850">
              <w:t xml:space="preserve"> The Tribunal consider that return on equity is derived from market prices of government bonds (the risk free rate) and from the market prices of shares (beta and MRP).</w:t>
            </w:r>
            <w:r w:rsidRPr="00BA5850">
              <w:rPr>
                <w:rStyle w:val="FootnoteReference"/>
              </w:rPr>
              <w:footnoteReference w:id="253"/>
            </w:r>
            <w:r w:rsidRPr="00BA5850">
              <w:t xml:space="preserve"> The cost of debt is calculated by reference to bond yields which are derived directly from traded market prices.</w:t>
            </w:r>
            <w:r w:rsidRPr="00BA5850">
              <w:rPr>
                <w:rStyle w:val="FootnoteReference"/>
              </w:rPr>
              <w:footnoteReference w:id="254"/>
            </w:r>
            <w:r w:rsidRPr="00BA5850">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BA5850">
              <w:rPr>
                <w:rStyle w:val="FootnoteReference"/>
              </w:rPr>
              <w:footnoteReference w:id="255"/>
            </w:r>
          </w:p>
        </w:tc>
        <w:tc>
          <w:tcPr>
            <w:tcW w:w="1945" w:type="pct"/>
          </w:tcPr>
          <w:p w:rsidR="00BA5850" w:rsidRPr="00BA5850" w:rsidRDefault="00BA5850" w:rsidP="00BA5850">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Pr="00BA5850">
              <w:t>framework in the NER/NGR based on Officer's work.</w:t>
            </w:r>
          </w:p>
          <w:p w:rsidR="00BA5850" w:rsidRPr="00BA5850" w:rsidRDefault="00BA5850" w:rsidP="00BA5850">
            <w:r>
              <w:t>We</w:t>
            </w:r>
            <w:r w:rsidRPr="00BA5850">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pre-personal tax value and is internally consistent with all other allowed rate of return parameters. We note personal tax is levied on the face value of imputation credits (levied on gross dividends). </w:t>
            </w:r>
          </w:p>
        </w:tc>
      </w:tr>
      <w:tr w:rsidR="00BA5850" w:rsidTr="00343639">
        <w:tc>
          <w:tcPr>
            <w:tcW w:w="784" w:type="pct"/>
          </w:tcPr>
          <w:p w:rsidR="00BA5850" w:rsidRPr="00BA5850" w:rsidRDefault="00BA5850" w:rsidP="00BA5850">
            <w:r w:rsidRPr="00883125">
              <w:t xml:space="preserve">The need to re-evaluate </w:t>
            </w:r>
            <w:r w:rsidRPr="00883125">
              <w:lastRenderedPageBreak/>
              <w:t>gamma</w:t>
            </w:r>
          </w:p>
        </w:tc>
        <w:tc>
          <w:tcPr>
            <w:tcW w:w="2271" w:type="pct"/>
          </w:tcPr>
          <w:p w:rsidR="00BA5850" w:rsidRPr="00BA5850" w:rsidRDefault="00BA5850" w:rsidP="00BA5850">
            <w:r w:rsidRPr="00883125">
              <w:lastRenderedPageBreak/>
              <w:t xml:space="preserve">Changes to the NER and the NEL allow </w:t>
            </w:r>
            <w:r w:rsidRPr="00BA5850">
              <w:t xml:space="preserve">the AER greater flexibility to adopt a more </w:t>
            </w:r>
            <w:r w:rsidRPr="00BA5850">
              <w:lastRenderedPageBreak/>
              <w:t>sophisticated approach to the cost of capital than previously envisaged by the NER and the NEL.</w:t>
            </w:r>
            <w:r w:rsidRPr="00BA5850">
              <w:rPr>
                <w:rStyle w:val="FootnoteReference"/>
              </w:rPr>
              <w:footnoteReference w:id="256"/>
            </w:r>
            <w:r w:rsidRPr="00BA5850">
              <w:t xml:space="preserve"> It is appropriate that the AER should use that additional flexibility to seek advice on alternatives to the Officer Framework that better define the impact of imputation credits on the cost of capital.</w:t>
            </w:r>
            <w:r w:rsidRPr="00BA5850">
              <w:rPr>
                <w:rStyle w:val="FootnoteReference"/>
              </w:rPr>
              <w:footnoteReference w:id="257"/>
            </w:r>
          </w:p>
          <w:p w:rsidR="00BA5850" w:rsidRPr="00BA5850" w:rsidRDefault="00BA5850" w:rsidP="00BA5850">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BA5850">
              <w:rPr>
                <w:rStyle w:val="FootnoteReference"/>
              </w:rPr>
              <w:footnoteReference w:id="258"/>
            </w:r>
          </w:p>
          <w:p w:rsidR="00BA5850" w:rsidRPr="00BA5850" w:rsidRDefault="00BA5850" w:rsidP="00BA5850">
            <w:r w:rsidRPr="00883125">
              <w:t>Experts present no consistently coherent CAPM framework for the assessment of the components of the cost of capital. There are models with disputed applicability which may or may not be consistent with the application of a vanilla WACC.</w:t>
            </w:r>
            <w:r w:rsidRPr="00BA5850">
              <w:rPr>
                <w:rStyle w:val="FootnoteReference"/>
              </w:rPr>
              <w:footnoteReference w:id="259"/>
            </w:r>
          </w:p>
        </w:tc>
        <w:tc>
          <w:tcPr>
            <w:tcW w:w="1945" w:type="pct"/>
          </w:tcPr>
          <w:p w:rsidR="00BA5850" w:rsidRPr="00BA5850" w:rsidRDefault="00BA5850" w:rsidP="00BA5850">
            <w:r>
              <w:lastRenderedPageBreak/>
              <w:t>We</w:t>
            </w:r>
            <w:r w:rsidRPr="00BA5850">
              <w:t xml:space="preserve"> remain of the view that Officer Framework remains appropriate for the </w:t>
            </w:r>
            <w:r w:rsidRPr="00BA5850">
              <w:lastRenderedPageBreak/>
              <w:t>current final decisions.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BA5850" w:rsidRPr="00883125" w:rsidRDefault="00BA5850" w:rsidP="00BA5850">
      <w:pPr>
        <w:pStyle w:val="AERtablesource"/>
      </w:pPr>
      <w:r w:rsidRPr="00883125">
        <w:lastRenderedPageBreak/>
        <w:t xml:space="preserve">Source: </w:t>
      </w:r>
      <w:r w:rsidRPr="00883125">
        <w:tab/>
        <w:t>As specified in table.</w:t>
      </w:r>
    </w:p>
    <w:p w:rsidR="00BA5850" w:rsidRPr="00883125" w:rsidRDefault="00BA5850" w:rsidP="00BA5850"/>
    <w:p w:rsidR="00BA5850" w:rsidRPr="00883125" w:rsidRDefault="00BA5850" w:rsidP="00BA5850">
      <w:pPr>
        <w:sectPr w:rsidR="00BA5850" w:rsidRPr="00883125" w:rsidSect="00B27BE5">
          <w:pgSz w:w="16838" w:h="11906" w:orient="landscape"/>
          <w:pgMar w:top="1440" w:right="1440" w:bottom="1440" w:left="1440" w:header="709" w:footer="709" w:gutter="0"/>
          <w:pgNumType w:chapStyle="1"/>
          <w:cols w:space="708"/>
          <w:docGrid w:linePitch="360"/>
        </w:sectPr>
      </w:pPr>
    </w:p>
    <w:p w:rsidR="00BA5850" w:rsidRPr="00883125" w:rsidRDefault="00BA5850" w:rsidP="00BA5850">
      <w:pPr>
        <w:pStyle w:val="Heading9"/>
      </w:pPr>
      <w:r>
        <w:lastRenderedPageBreak/>
        <w:t xml:space="preserve"> </w:t>
      </w:r>
      <w:r w:rsidRPr="00883125">
        <w:t>Energex</w:t>
      </w:r>
    </w:p>
    <w:p w:rsidR="00BA5850" w:rsidRPr="00883125" w:rsidRDefault="00BA5850" w:rsidP="00BA5850">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BA5850" w:rsidRPr="00883125" w:rsidRDefault="00BA5850" w:rsidP="00BA5850">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746877" w:rsidRPr="00883125">
        <w:t xml:space="preserve">table </w:t>
      </w:r>
      <w:r w:rsidR="00746877">
        <w:t>4</w:t>
      </w:r>
      <w:r w:rsidR="00746877">
        <w:noBreakHyphen/>
        <w:t>9</w:t>
      </w:r>
      <w:r w:rsidRPr="00883125">
        <w:fldChar w:fldCharType="end"/>
      </w:r>
      <w:r w:rsidRPr="00883125">
        <w:t xml:space="preserve"> below. We have carefully considered these views.</w:t>
      </w:r>
    </w:p>
    <w:p w:rsidR="00BA5850" w:rsidRPr="00883125" w:rsidRDefault="00BA5850" w:rsidP="00BA5850"/>
    <w:p w:rsidR="00BA5850" w:rsidRPr="00883125" w:rsidRDefault="00BA5850" w:rsidP="00BA5850">
      <w:pPr>
        <w:sectPr w:rsidR="00BA5850" w:rsidRPr="00883125" w:rsidSect="00ED4FB6">
          <w:pgSz w:w="11906" w:h="16838"/>
          <w:pgMar w:top="1440" w:right="1440" w:bottom="1440" w:left="1440" w:header="708" w:footer="708" w:gutter="0"/>
          <w:pgNumType w:chapStyle="1"/>
          <w:cols w:space="708"/>
          <w:docGrid w:linePitch="360"/>
        </w:sectPr>
      </w:pPr>
    </w:p>
    <w:p w:rsidR="00BA5850" w:rsidRPr="00883125" w:rsidRDefault="00BA5850" w:rsidP="00BA5850"/>
    <w:p w:rsidR="00BA5850" w:rsidRPr="00883125" w:rsidRDefault="00BA5850" w:rsidP="00BA5850">
      <w:pPr>
        <w:pStyle w:val="Caption"/>
      </w:pPr>
      <w:bookmarkStart w:id="178" w:name="_Ref400609646"/>
      <w:bookmarkStart w:id="179" w:name="_Ref401260171"/>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9</w:t>
      </w:r>
      <w:r w:rsidRPr="00BA5850">
        <w:fldChar w:fldCharType="end"/>
      </w:r>
      <w:bookmarkEnd w:id="178"/>
      <w:r w:rsidRPr="00883125">
        <w:tab/>
        <w:t>Australian Competition Tribunal's observations on imputation credits</w:t>
      </w:r>
      <w:bookmarkEnd w:id="179"/>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BA5850" w:rsidTr="00343639">
        <w:trPr>
          <w:cnfStyle w:val="100000000000" w:firstRow="1" w:lastRow="0" w:firstColumn="0" w:lastColumn="0" w:oddVBand="0" w:evenVBand="0" w:oddHBand="0" w:evenHBand="0" w:firstRowFirstColumn="0" w:firstRowLastColumn="0" w:lastRowFirstColumn="0" w:lastRowLastColumn="0"/>
        </w:trPr>
        <w:tc>
          <w:tcPr>
            <w:tcW w:w="784" w:type="pct"/>
          </w:tcPr>
          <w:p w:rsidR="00BA5850" w:rsidRPr="00BA5850" w:rsidRDefault="00BA5850" w:rsidP="00BA5850">
            <w:r w:rsidRPr="00883125">
              <w:t>Issue</w:t>
            </w:r>
          </w:p>
        </w:tc>
        <w:tc>
          <w:tcPr>
            <w:tcW w:w="2271" w:type="pct"/>
          </w:tcPr>
          <w:p w:rsidR="00BA5850" w:rsidRPr="00BA5850" w:rsidRDefault="00BA5850" w:rsidP="00BA5850">
            <w:r w:rsidRPr="00883125">
              <w:t>Tribunal comments</w:t>
            </w:r>
          </w:p>
        </w:tc>
        <w:tc>
          <w:tcPr>
            <w:tcW w:w="1945" w:type="pct"/>
          </w:tcPr>
          <w:p w:rsidR="00BA5850" w:rsidRPr="00BA5850" w:rsidRDefault="00BA5850" w:rsidP="00BA5850">
            <w:r w:rsidRPr="00883125">
              <w:t>AER comments</w:t>
            </w:r>
          </w:p>
        </w:tc>
      </w:tr>
      <w:tr w:rsidR="00BA5850" w:rsidTr="00343639">
        <w:tc>
          <w:tcPr>
            <w:tcW w:w="784" w:type="pct"/>
          </w:tcPr>
          <w:p w:rsidR="00BA5850" w:rsidRPr="00BA5850" w:rsidRDefault="00BA5850" w:rsidP="00BA5850">
            <w:r w:rsidRPr="00883125">
              <w:t>The conceptual framework for gamma</w:t>
            </w:r>
          </w:p>
        </w:tc>
        <w:tc>
          <w:tcPr>
            <w:tcW w:w="2271" w:type="pct"/>
          </w:tcPr>
          <w:p w:rsidR="00BA5850" w:rsidRPr="00BA5850" w:rsidRDefault="00BA5850" w:rsidP="00BA5850">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BA5850" w:rsidRPr="00BA5850" w:rsidRDefault="00BA5850" w:rsidP="00BA5850">
            <w:r w:rsidRPr="00883125">
              <w:t>The Tribunal would be assisted in its consideration of the issues before it if the AER were to provide relevant extrinsic material explaining:</w:t>
            </w:r>
          </w:p>
          <w:p w:rsidR="00BA5850" w:rsidRPr="00BA5850" w:rsidRDefault="00BA5850" w:rsidP="00BA5850">
            <w:r w:rsidRPr="00883125">
              <w:t>(a) the rationale for including the gamma component in the formula for calculating the estimated cost of corporate income tax; and</w:t>
            </w:r>
          </w:p>
          <w:p w:rsidR="00BA5850" w:rsidRPr="00BA5850" w:rsidRDefault="00BA5850" w:rsidP="00BA5850">
            <w:r w:rsidRPr="00883125">
              <w:t>(b) how it relates to the rest of the building blocks, especially the rate of return (cl 6.4.3(a) and cl 6.5.2(b) of the Rules)."</w:t>
            </w:r>
            <w:r w:rsidRPr="00BA5850">
              <w:rPr>
                <w:rStyle w:val="FootnoteReference"/>
              </w:rPr>
              <w:footnoteReference w:id="261"/>
            </w:r>
          </w:p>
        </w:tc>
        <w:tc>
          <w:tcPr>
            <w:tcW w:w="1945" w:type="pct"/>
          </w:tcPr>
          <w:p w:rsidR="00BA5850" w:rsidRPr="00BA5850" w:rsidRDefault="00BA5850" w:rsidP="00BA5850">
            <w:r w:rsidRPr="00883125">
              <w:t>In developing the Guideline, we re-evaluated the conceptual framework for the value of imputation credits. In making this final decision, we have built on this re-evaluation</w:t>
            </w:r>
            <w:r w:rsidRPr="00BA5850">
              <w:t xml:space="preserve">. We discuss the role of the value of imputation credits and the underlying conceptual framework in sections </w:t>
            </w:r>
            <w:r w:rsidRPr="00BA5850">
              <w:fldChar w:fldCharType="begin"/>
            </w:r>
            <w:r w:rsidRPr="00BA5850">
              <w:instrText xml:space="preserve"> REF _Ref415144114 \r \h  \* MERGEFORMAT </w:instrText>
            </w:r>
            <w:r w:rsidRPr="00BA5850">
              <w:fldChar w:fldCharType="separate"/>
            </w:r>
            <w:r w:rsidR="00746877">
              <w:t>A.5</w:t>
            </w:r>
            <w:r w:rsidRPr="00BA5850">
              <w:fldChar w:fldCharType="end"/>
            </w:r>
            <w:r w:rsidRPr="00BA5850">
              <w:t xml:space="preserve"> and </w:t>
            </w:r>
            <w:r w:rsidRPr="00BA5850">
              <w:fldChar w:fldCharType="begin"/>
            </w:r>
            <w:r w:rsidRPr="00BA5850">
              <w:instrText xml:space="preserve"> REF _Ref400965182 \r \h  \* MERGEFORMAT </w:instrText>
            </w:r>
            <w:r w:rsidRPr="00BA5850">
              <w:fldChar w:fldCharType="separate"/>
            </w:r>
            <w:r w:rsidR="00746877">
              <w:t>A.6</w:t>
            </w:r>
            <w:r w:rsidRPr="00BA5850">
              <w:fldChar w:fldCharType="end"/>
            </w:r>
            <w:r w:rsidRPr="00BA5850">
              <w:t>.</w:t>
            </w:r>
          </w:p>
          <w:p w:rsidR="00BA5850" w:rsidRPr="00BA5850" w:rsidRDefault="00BA5850" w:rsidP="00BA5850">
            <w:r>
              <w:t xml:space="preserve">Also see our response above in section </w:t>
            </w:r>
            <w:r w:rsidRPr="00BA5850">
              <w:fldChar w:fldCharType="begin"/>
            </w:r>
            <w:r w:rsidRPr="00BA5850">
              <w:instrText xml:space="preserve"> REF _Ref451813952 \r \h </w:instrText>
            </w:r>
            <w:r w:rsidRPr="00BA5850">
              <w:fldChar w:fldCharType="separate"/>
            </w:r>
            <w:r w:rsidR="00746877">
              <w:t>A.3.1</w:t>
            </w:r>
            <w:r w:rsidRPr="00BA5850">
              <w:fldChar w:fldCharType="end"/>
            </w:r>
            <w:r w:rsidRPr="00BA5850">
              <w:t xml:space="preserve"> under ' The conceptual framework for gamma'.</w:t>
            </w:r>
          </w:p>
        </w:tc>
      </w:tr>
      <w:tr w:rsidR="00BA5850"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A5850" w:rsidRPr="00BA5850" w:rsidRDefault="00BA5850" w:rsidP="00BA5850">
            <w:r w:rsidRPr="00883125">
              <w:t>The distribution rate (payout ratio)</w:t>
            </w:r>
          </w:p>
        </w:tc>
        <w:tc>
          <w:tcPr>
            <w:tcW w:w="2271" w:type="pct"/>
          </w:tcPr>
          <w:p w:rsidR="00BA5850" w:rsidRPr="00BA5850" w:rsidRDefault="00BA5850" w:rsidP="00BA5850">
            <w:r w:rsidRPr="00883125">
              <w:t>"…there is [was] no empirical evidence currently available supporting a distribution ratio higher than 0.70."</w:t>
            </w:r>
            <w:r w:rsidRPr="00BA5850">
              <w:rPr>
                <w:rStyle w:val="FootnoteReference"/>
              </w:rPr>
              <w:footnoteReference w:id="262"/>
            </w:r>
          </w:p>
        </w:tc>
        <w:tc>
          <w:tcPr>
            <w:tcW w:w="1945" w:type="pct"/>
          </w:tcPr>
          <w:p w:rsidR="00BA5850" w:rsidRPr="00BA5850" w:rsidRDefault="00BA5850" w:rsidP="00BA5850">
            <w:r w:rsidRPr="00883125">
              <w:t xml:space="preserve">As discussed in </w:t>
            </w:r>
            <w:r w:rsidRPr="00BA5850">
              <w:t xml:space="preserve">section </w:t>
            </w:r>
            <w:r w:rsidRPr="00BA5850">
              <w:fldChar w:fldCharType="begin"/>
            </w:r>
            <w:r w:rsidRPr="00BA5850">
              <w:instrText xml:space="preserve"> REF _Ref401133206 \r \h  \* MERGEFORMAT </w:instrText>
            </w:r>
            <w:r w:rsidRPr="00BA5850">
              <w:fldChar w:fldCharType="separate"/>
            </w:r>
            <w:r w:rsidR="00746877">
              <w:t>A.10</w:t>
            </w:r>
            <w:r w:rsidRPr="00BA5850">
              <w:fldChar w:fldCharType="end"/>
            </w:r>
            <w:r w:rsidRPr="00BA5850">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BA5850" w:rsidRPr="00BA5850" w:rsidRDefault="00BA5850" w:rsidP="00BA5850">
            <w:r>
              <w:t xml:space="preserve">Also see </w:t>
            </w:r>
            <w:r w:rsidRPr="00BA5850">
              <w:t xml:space="preserve">our response above in section </w:t>
            </w:r>
            <w:r w:rsidRPr="00BA5850">
              <w:fldChar w:fldCharType="begin"/>
            </w:r>
            <w:r w:rsidRPr="00BA5850">
              <w:instrText xml:space="preserve"> REF _Ref451813952 \r \h </w:instrText>
            </w:r>
            <w:r w:rsidRPr="00BA5850">
              <w:fldChar w:fldCharType="separate"/>
            </w:r>
            <w:r w:rsidR="00746877">
              <w:t>A.3.1</w:t>
            </w:r>
            <w:r w:rsidRPr="00BA5850">
              <w:fldChar w:fldCharType="end"/>
            </w:r>
            <w:r w:rsidRPr="00BA5850">
              <w:t xml:space="preserve"> under 'The distribution rate (payout ratio)'. </w:t>
            </w:r>
          </w:p>
        </w:tc>
      </w:tr>
      <w:tr w:rsidR="00BA5850" w:rsidRPr="00B45BDD" w:rsidTr="00343639">
        <w:tc>
          <w:tcPr>
            <w:tcW w:w="784" w:type="pct"/>
          </w:tcPr>
          <w:p w:rsidR="00BA5850" w:rsidRPr="00BA5850" w:rsidRDefault="00BA5850" w:rsidP="00BA5850">
            <w:r w:rsidRPr="00883125">
              <w:t>Tax statistic estimates</w:t>
            </w:r>
          </w:p>
        </w:tc>
        <w:tc>
          <w:tcPr>
            <w:tcW w:w="2271" w:type="pct"/>
          </w:tcPr>
          <w:p w:rsidR="00BA5850" w:rsidRPr="00BA5850" w:rsidRDefault="00BA5850" w:rsidP="00BA5850">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BA5850">
              <w:rPr>
                <w:rStyle w:val="FootnoteReference"/>
              </w:rPr>
              <w:footnoteReference w:id="263"/>
            </w:r>
          </w:p>
          <w:p w:rsidR="00BA5850" w:rsidRPr="00BA5850" w:rsidRDefault="00BA5850" w:rsidP="00BA5850">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BA5850" w:rsidRPr="00BA5850" w:rsidRDefault="00BA5850" w:rsidP="00BA5850">
            <w:r w:rsidRPr="00883125">
              <w:t xml:space="preserve">- estimates from dividend drop-off studies are very imprecise and of questionable reliability; </w:t>
            </w:r>
          </w:p>
          <w:p w:rsidR="00BA5850" w:rsidRPr="00BA5850" w:rsidRDefault="00BA5850" w:rsidP="00BA5850">
            <w:r w:rsidRPr="00883125">
              <w:t xml:space="preserve">- such studies are likely to produce downwardly-biased estimates of theta; and </w:t>
            </w:r>
          </w:p>
          <w:p w:rsidR="00BA5850" w:rsidRPr="00BA5850" w:rsidRDefault="00BA5850" w:rsidP="00BA5850">
            <w:r w:rsidRPr="00883125">
              <w:t>- taxation studies do not give an upper bound to theta.</w:t>
            </w:r>
          </w:p>
          <w:p w:rsidR="00BA5850" w:rsidRPr="00BA5850" w:rsidRDefault="00BA5850" w:rsidP="00BA5850">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BA5850" w:rsidRPr="00BA5850" w:rsidRDefault="00BA5850" w:rsidP="00BA5850">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BA5850">
              <w:rPr>
                <w:rStyle w:val="FootnoteReference"/>
              </w:rPr>
              <w:footnoteReference w:id="264"/>
            </w:r>
          </w:p>
        </w:tc>
        <w:tc>
          <w:tcPr>
            <w:tcW w:w="1945" w:type="pct"/>
          </w:tcPr>
          <w:p w:rsidR="00BA5850" w:rsidRPr="00BA5850" w:rsidRDefault="00BA5850" w:rsidP="00BA5850">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Pr="00BA5850">
              <w:t xml:space="preserve">our draft/preliminary decisions. We discuss the use of tax statistics more broadly in section </w:t>
            </w:r>
            <w:r w:rsidRPr="00BA5850">
              <w:fldChar w:fldCharType="begin"/>
            </w:r>
            <w:r w:rsidRPr="00BA5850">
              <w:instrText xml:space="preserve"> REF _Ref402179420 \r \h  \* MERGEFORMAT </w:instrText>
            </w:r>
            <w:r w:rsidRPr="00BA5850">
              <w:fldChar w:fldCharType="separate"/>
            </w:r>
            <w:r w:rsidR="00746877">
              <w:t>A.13</w:t>
            </w:r>
            <w:r w:rsidRPr="00BA5850">
              <w:fldChar w:fldCharType="end"/>
            </w:r>
            <w:r w:rsidRPr="00BA5850">
              <w:t xml:space="preserve"> of this appendix.</w:t>
            </w:r>
          </w:p>
          <w:p w:rsidR="00BA5850" w:rsidRPr="00BA5850" w:rsidRDefault="00BA5850" w:rsidP="00BA5850">
            <w:r>
              <w:t>Also</w:t>
            </w:r>
            <w:r w:rsidRPr="00BA5850">
              <w:t xml:space="preserve"> see our response above in section </w:t>
            </w:r>
            <w:r w:rsidRPr="00BA5850">
              <w:fldChar w:fldCharType="begin"/>
            </w:r>
            <w:r w:rsidRPr="00BA5850">
              <w:instrText xml:space="preserve"> REF _Ref451813952 \r \h </w:instrText>
            </w:r>
            <w:r w:rsidRPr="00BA5850">
              <w:fldChar w:fldCharType="separate"/>
            </w:r>
            <w:r w:rsidR="00746877">
              <w:t>A.3.1</w:t>
            </w:r>
            <w:r w:rsidRPr="00BA5850">
              <w:fldChar w:fldCharType="end"/>
            </w:r>
            <w:r w:rsidRPr="00BA5850">
              <w:t xml:space="preserve"> under 'Tax statistic estimates'.</w:t>
            </w:r>
          </w:p>
          <w:p w:rsidR="00BA5850" w:rsidRPr="00B27BE5" w:rsidRDefault="00BA5850" w:rsidP="00BA5850"/>
        </w:tc>
      </w:tr>
      <w:tr w:rsidR="00BA5850" w:rsidRPr="00B45BDD" w:rsidTr="00343639">
        <w:trPr>
          <w:cnfStyle w:val="000000010000" w:firstRow="0" w:lastRow="0" w:firstColumn="0" w:lastColumn="0" w:oddVBand="0" w:evenVBand="0" w:oddHBand="0" w:evenHBand="1" w:firstRowFirstColumn="0" w:firstRowLastColumn="0" w:lastRowFirstColumn="0" w:lastRowLastColumn="0"/>
        </w:trPr>
        <w:tc>
          <w:tcPr>
            <w:tcW w:w="784" w:type="pct"/>
          </w:tcPr>
          <w:p w:rsidR="00BA5850" w:rsidRPr="00BA5850" w:rsidRDefault="00BA5850" w:rsidP="00BA5850">
            <w:r w:rsidRPr="00883125">
              <w:lastRenderedPageBreak/>
              <w:t>The conceptual basis for dividend drop off studies</w:t>
            </w:r>
          </w:p>
        </w:tc>
        <w:tc>
          <w:tcPr>
            <w:tcW w:w="2271" w:type="pct"/>
          </w:tcPr>
          <w:p w:rsidR="00BA5850" w:rsidRPr="00BA5850" w:rsidRDefault="00BA5850" w:rsidP="00BA5850">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w:t>
            </w:r>
            <w:r w:rsidRPr="00883125">
              <w:lastRenderedPageBreak/>
              <w:t>dividend drop-off studies.</w:t>
            </w:r>
          </w:p>
          <w:p w:rsidR="00BA5850" w:rsidRPr="00BA5850" w:rsidRDefault="00BA5850" w:rsidP="00BA5850">
            <w:r w:rsidRPr="00883125">
              <w:t>However, SIRCA's March 2011 report does not resolve these issues and the AER has provided no conclusions of its own."</w:t>
            </w:r>
            <w:r w:rsidRPr="00BA5850">
              <w:rPr>
                <w:rStyle w:val="FootnoteReference"/>
              </w:rPr>
              <w:footnoteReference w:id="265"/>
            </w:r>
          </w:p>
        </w:tc>
        <w:tc>
          <w:tcPr>
            <w:tcW w:w="1945" w:type="pct"/>
          </w:tcPr>
          <w:p w:rsidR="00BA5850" w:rsidRPr="00BA5850" w:rsidRDefault="00BA5850" w:rsidP="00BA5850">
            <w:r w:rsidRPr="00883125">
              <w:lastRenderedPageBreak/>
              <w:t xml:space="preserve">The limitations of dividend drop off studies have been widely identified since these proceedings—we provide a selection of comments from academics and regulators in section </w:t>
            </w:r>
            <w:r w:rsidRPr="00BA5850">
              <w:fldChar w:fldCharType="begin"/>
            </w:r>
            <w:r w:rsidRPr="00BA5850">
              <w:instrText xml:space="preserve"> REF _Ref451267181 \r \h  \* MERGEFORMAT </w:instrText>
            </w:r>
            <w:r w:rsidRPr="00BA5850">
              <w:fldChar w:fldCharType="separate"/>
            </w:r>
            <w:r w:rsidR="00746877">
              <w:t>A.15</w:t>
            </w:r>
            <w:r w:rsidRPr="00BA5850">
              <w:fldChar w:fldCharType="end"/>
            </w:r>
            <w:r w:rsidRPr="00BA5850">
              <w:t xml:space="preserve">. Moreover, both Handley and Lally advised that other approaches to estimating the utilisation rate should be preferred. Handley and Lally also advised that, without adjustment, dividend drop off studies produce downwards-biased estimates of the </w:t>
            </w:r>
            <w:r w:rsidRPr="00BA5850">
              <w:lastRenderedPageBreak/>
              <w:t>utilisation rate.</w:t>
            </w:r>
          </w:p>
          <w:p w:rsidR="00BA5850" w:rsidRPr="00BA5850" w:rsidRDefault="00BA5850" w:rsidP="00BA5850">
            <w:r>
              <w:t>Also</w:t>
            </w:r>
            <w:r w:rsidRPr="00BA5850">
              <w:t xml:space="preserve"> see our response above in section </w:t>
            </w:r>
            <w:r w:rsidRPr="00BA5850">
              <w:fldChar w:fldCharType="begin"/>
            </w:r>
            <w:r w:rsidRPr="00BA5850">
              <w:instrText xml:space="preserve"> REF _Ref451813952 \r \h </w:instrText>
            </w:r>
            <w:r w:rsidRPr="00BA5850">
              <w:fldChar w:fldCharType="separate"/>
            </w:r>
            <w:r w:rsidR="00746877">
              <w:t>A.3.1</w:t>
            </w:r>
            <w:r w:rsidRPr="00BA5850">
              <w:fldChar w:fldCharType="end"/>
            </w:r>
            <w:r w:rsidRPr="00BA5850">
              <w:t xml:space="preserve"> under 'The conceptual basis for dividend drop off studies '.</w:t>
            </w:r>
          </w:p>
        </w:tc>
      </w:tr>
      <w:tr w:rsidR="00BA5850" w:rsidTr="00343639">
        <w:tc>
          <w:tcPr>
            <w:tcW w:w="784" w:type="pct"/>
          </w:tcPr>
          <w:p w:rsidR="00BA5850" w:rsidRPr="00BA5850" w:rsidRDefault="00BA5850" w:rsidP="00BA5850">
            <w:r w:rsidRPr="00883125">
              <w:lastRenderedPageBreak/>
              <w:t>The need to re-evaluate gamma</w:t>
            </w:r>
          </w:p>
        </w:tc>
        <w:tc>
          <w:tcPr>
            <w:tcW w:w="2271" w:type="pct"/>
          </w:tcPr>
          <w:p w:rsidR="00BA5850" w:rsidRPr="00BA5850" w:rsidRDefault="00BA5850" w:rsidP="00BA5850">
            <w:r w:rsidRPr="00883125">
              <w:t>"Further, the Tribunal notes that estimation of a parameter such as gamma is necessarily, and desirably, an ongoing intellectual and empirical endeavour. Its decision in these proceedings is based on the material before it.”</w:t>
            </w:r>
            <w:r w:rsidRPr="00BA5850">
              <w:rPr>
                <w:rStyle w:val="FootnoteReference"/>
              </w:rPr>
              <w:footnoteReference w:id="266"/>
            </w:r>
          </w:p>
        </w:tc>
        <w:tc>
          <w:tcPr>
            <w:tcW w:w="1945" w:type="pct"/>
          </w:tcPr>
          <w:p w:rsidR="00BA5850" w:rsidRPr="00BA5850" w:rsidRDefault="00BA5850" w:rsidP="00BA5850">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BA5850" w:rsidRPr="00BA5850" w:rsidRDefault="00BA5850" w:rsidP="00BA5850">
            <w:r>
              <w:t>Also</w:t>
            </w:r>
            <w:r w:rsidRPr="00BA5850">
              <w:t xml:space="preserve"> see our response above in section </w:t>
            </w:r>
            <w:r w:rsidRPr="00BA5850">
              <w:fldChar w:fldCharType="begin"/>
            </w:r>
            <w:r w:rsidRPr="00BA5850">
              <w:instrText xml:space="preserve"> REF _Ref451813952 \r \h </w:instrText>
            </w:r>
            <w:r w:rsidRPr="00BA5850">
              <w:fldChar w:fldCharType="separate"/>
            </w:r>
            <w:r w:rsidR="00746877">
              <w:t>A.3.1</w:t>
            </w:r>
            <w:r w:rsidRPr="00BA5850">
              <w:fldChar w:fldCharType="end"/>
            </w:r>
            <w:r w:rsidRPr="00BA5850">
              <w:t xml:space="preserve"> under 'The need to re-evaluate gamma '.</w:t>
            </w:r>
          </w:p>
        </w:tc>
      </w:tr>
    </w:tbl>
    <w:p w:rsidR="00BA5850" w:rsidRPr="00883125" w:rsidRDefault="00BA5850" w:rsidP="00BA5850">
      <w:pPr>
        <w:pStyle w:val="AERtablesource"/>
      </w:pPr>
      <w:r w:rsidRPr="00883125">
        <w:t xml:space="preserve">Source: </w:t>
      </w:r>
      <w:r w:rsidRPr="00883125">
        <w:tab/>
        <w:t>As specified in table.</w:t>
      </w:r>
    </w:p>
    <w:p w:rsidR="00BA5850" w:rsidRPr="00883125" w:rsidRDefault="00BA5850" w:rsidP="00BA5850">
      <w:pPr>
        <w:numPr>
          <w:ilvl w:val="0"/>
          <w:numId w:val="24"/>
        </w:numPr>
        <w:sectPr w:rsidR="00BA5850" w:rsidRPr="00883125" w:rsidSect="00ED4FB6">
          <w:pgSz w:w="16838" w:h="11906" w:orient="landscape"/>
          <w:pgMar w:top="1440" w:right="1440" w:bottom="1440" w:left="1440" w:header="708" w:footer="708" w:gutter="0"/>
          <w:pgNumType w:chapStyle="1"/>
          <w:cols w:space="708"/>
          <w:docGrid w:linePitch="360"/>
        </w:sectPr>
      </w:pPr>
    </w:p>
    <w:p w:rsidR="00BA5850" w:rsidRPr="00883125" w:rsidRDefault="00BA5850" w:rsidP="00BA5850">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746877">
        <w:t>A.15</w:t>
      </w:r>
      <w:r>
        <w:fldChar w:fldCharType="end"/>
      </w:r>
      <w:r w:rsidRPr="00883125">
        <w:t>.</w:t>
      </w:r>
    </w:p>
    <w:p w:rsidR="00BA5850" w:rsidRPr="00883125" w:rsidRDefault="00BA5850" w:rsidP="00BA5850">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BA5850" w:rsidRPr="00883125" w:rsidRDefault="00BA5850" w:rsidP="00BA5850">
      <w:pPr>
        <w:pStyle w:val="Heading9"/>
      </w:pPr>
      <w:r w:rsidRPr="00883125">
        <w:t>DBNGP and WA Gas Networks</w:t>
      </w:r>
    </w:p>
    <w:p w:rsidR="00BA5850" w:rsidRPr="00883125" w:rsidRDefault="00BA5850" w:rsidP="00BA5850">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BA5850" w:rsidRPr="00883125" w:rsidRDefault="00BA5850" w:rsidP="00BA5850">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BA5850" w:rsidRPr="00883125" w:rsidRDefault="00BA5850" w:rsidP="00BA5850">
      <w:pPr>
        <w:pStyle w:val="AERquote"/>
      </w:pPr>
      <w:r w:rsidRPr="00883125">
        <w:t>…</w:t>
      </w:r>
    </w:p>
    <w:p w:rsidR="00BA5850" w:rsidRPr="00883125" w:rsidRDefault="00BA5850" w:rsidP="00BA5850">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BA5850" w:rsidRPr="00883125" w:rsidRDefault="00BA5850" w:rsidP="00BA5850">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BA5850" w:rsidRPr="00883125" w:rsidRDefault="00BA5850" w:rsidP="00BA5850">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BA5850" w:rsidRPr="00883125" w:rsidRDefault="00BA5850" w:rsidP="00BA5850">
      <w:r w:rsidRPr="00883125">
        <w:t>The Tribunal made similar comments in the earlier WA Gas Networks matter.</w:t>
      </w:r>
      <w:r w:rsidRPr="00883125">
        <w:rPr>
          <w:rStyle w:val="FootnoteReference"/>
        </w:rPr>
        <w:footnoteReference w:id="270"/>
      </w:r>
    </w:p>
    <w:p w:rsidR="00BA5850" w:rsidRPr="00883125" w:rsidRDefault="00BA5850" w:rsidP="00BA5850">
      <w:pPr>
        <w:pStyle w:val="Heading8"/>
      </w:pPr>
      <w:bookmarkStart w:id="180" w:name="_Ref415070393"/>
      <w:bookmarkStart w:id="181" w:name="_Toc436049445"/>
      <w:bookmarkStart w:id="182" w:name="_Toc451842249"/>
      <w:bookmarkStart w:id="183" w:name="_Toc451936175"/>
      <w:r w:rsidRPr="00883125">
        <w:t>Key concerns of the service providers</w:t>
      </w:r>
      <w:bookmarkEnd w:id="180"/>
      <w:bookmarkEnd w:id="181"/>
      <w:bookmarkEnd w:id="182"/>
      <w:bookmarkEnd w:id="183"/>
    </w:p>
    <w:p w:rsidR="00BA5850" w:rsidRPr="00883125" w:rsidRDefault="00BA5850" w:rsidP="00BA5850">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t>final</w:t>
      </w:r>
      <w:r w:rsidRPr="00883125">
        <w:t xml:space="preserve"> decision.</w:t>
      </w:r>
    </w:p>
    <w:p w:rsidR="00BA5850" w:rsidRPr="00BA5850" w:rsidRDefault="00BA5850" w:rsidP="00BA5850">
      <w:pPr>
        <w:pStyle w:val="AERbulletlistfirststyle"/>
      </w:pPr>
      <w:r w:rsidRPr="00883125">
        <w:rPr>
          <w:rStyle w:val="AERtextitalic"/>
        </w:rPr>
        <w:t>Our definition of the utilisation rate is conceptually incorrect and inconsistent with the requirements of the NER/NGR</w:t>
      </w:r>
      <w:r w:rsidRPr="00BA5850">
        <w:t xml:space="preserve">—our understanding of the utilisation rate (and the value of imputation credits more broadly) is discussed in sections </w:t>
      </w:r>
      <w:r w:rsidRPr="00BA5850">
        <w:fldChar w:fldCharType="begin"/>
      </w:r>
      <w:r w:rsidRPr="00BA5850">
        <w:instrText xml:space="preserve"> REF _Ref416802459 \r \h </w:instrText>
      </w:r>
      <w:r w:rsidRPr="00BA5850">
        <w:fldChar w:fldCharType="separate"/>
      </w:r>
      <w:r w:rsidR="00746877">
        <w:t>4.3.1</w:t>
      </w:r>
      <w:r w:rsidRPr="00BA5850">
        <w:fldChar w:fldCharType="end"/>
      </w:r>
      <w:r w:rsidRPr="00BA5850">
        <w:t xml:space="preserve">, </w:t>
      </w:r>
      <w:r w:rsidRPr="00BA5850">
        <w:fldChar w:fldCharType="begin"/>
      </w:r>
      <w:r w:rsidRPr="00BA5850">
        <w:instrText xml:space="preserve"> REF _Ref415048973 \r \h </w:instrText>
      </w:r>
      <w:r w:rsidRPr="00BA5850">
        <w:fldChar w:fldCharType="separate"/>
      </w:r>
      <w:r w:rsidR="00746877">
        <w:t>4.3.6</w:t>
      </w:r>
      <w:r w:rsidRPr="00BA5850">
        <w:fldChar w:fldCharType="end"/>
      </w:r>
      <w:r w:rsidRPr="00BA5850">
        <w:t>,</w:t>
      </w:r>
      <w:r w:rsidRPr="00BA5850">
        <w:fldChar w:fldCharType="begin"/>
      </w:r>
      <w:r w:rsidRPr="00BA5850">
        <w:instrText xml:space="preserve"> REF _Ref415144114 \r \h </w:instrText>
      </w:r>
      <w:r w:rsidRPr="00BA5850">
        <w:fldChar w:fldCharType="separate"/>
      </w:r>
      <w:r w:rsidR="00746877">
        <w:t>A.5</w:t>
      </w:r>
      <w:r w:rsidRPr="00BA5850">
        <w:fldChar w:fldCharType="end"/>
      </w:r>
      <w:r w:rsidRPr="00BA5850">
        <w:t xml:space="preserve">, </w:t>
      </w:r>
      <w:r w:rsidRPr="00BA5850">
        <w:fldChar w:fldCharType="begin"/>
      </w:r>
      <w:r w:rsidRPr="00BA5850">
        <w:instrText xml:space="preserve"> REF _Ref400965182 \r \h </w:instrText>
      </w:r>
      <w:r w:rsidRPr="00BA5850">
        <w:fldChar w:fldCharType="separate"/>
      </w:r>
      <w:r w:rsidR="00746877">
        <w:t>A.6</w:t>
      </w:r>
      <w:r w:rsidRPr="00BA5850">
        <w:fldChar w:fldCharType="end"/>
      </w:r>
      <w:r w:rsidRPr="00BA5850">
        <w:t xml:space="preserve">, and </w:t>
      </w:r>
      <w:r w:rsidRPr="00BA5850">
        <w:lastRenderedPageBreak/>
        <w:fldChar w:fldCharType="begin"/>
      </w:r>
      <w:r w:rsidRPr="00BA5850">
        <w:instrText xml:space="preserve"> REF _Ref414282622 \r \h </w:instrText>
      </w:r>
      <w:r w:rsidRPr="00BA5850">
        <w:fldChar w:fldCharType="separate"/>
      </w:r>
      <w:r w:rsidR="00746877">
        <w:t>A.7</w:t>
      </w:r>
      <w:r w:rsidRPr="00BA5850">
        <w:fldChar w:fldCharType="end"/>
      </w:r>
      <w:r w:rsidRPr="00BA5850">
        <w:t>. As shown there, our understanding is consistent with the theoretical framework that underpins the NER/NGR and is supported by expert advice from Handley and Lally.</w:t>
      </w:r>
    </w:p>
    <w:p w:rsidR="00BA5850" w:rsidRPr="00BA5850" w:rsidRDefault="00BA5850" w:rsidP="00BA5850">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BA5850">
        <w:fldChar w:fldCharType="begin"/>
      </w:r>
      <w:r w:rsidRPr="00BA5850">
        <w:instrText xml:space="preserve"> REF _Ref415049811 \r \h </w:instrText>
      </w:r>
      <w:r w:rsidRPr="00BA5850">
        <w:fldChar w:fldCharType="separate"/>
      </w:r>
      <w:r w:rsidR="00746877">
        <w:t>A.12</w:t>
      </w:r>
      <w:r w:rsidRPr="00BA5850">
        <w:fldChar w:fldCharType="end"/>
      </w:r>
      <w:r w:rsidRPr="00BA5850">
        <w:t xml:space="preserve"> why the equity ownership approach provides a reasonable estimate.</w:t>
      </w:r>
    </w:p>
    <w:p w:rsidR="00BA5850" w:rsidRPr="00BA5850" w:rsidRDefault="00BA5850" w:rsidP="00BA5850">
      <w:pPr>
        <w:pStyle w:val="AERbulletlistfirststyle"/>
      </w:pPr>
      <w:r w:rsidRPr="00883125">
        <w:t xml:space="preserve">The ranges we used for the equity ownership rate were not supported by the evidence in the draft decisions—as discussed in section </w:t>
      </w:r>
      <w:r w:rsidRPr="00BA5850">
        <w:fldChar w:fldCharType="begin"/>
      </w:r>
      <w:r w:rsidRPr="00BA5850">
        <w:instrText xml:space="preserve"> REF _Ref415049811 \r \h </w:instrText>
      </w:r>
      <w:r w:rsidRPr="00BA5850">
        <w:fldChar w:fldCharType="separate"/>
      </w:r>
      <w:r w:rsidR="00746877">
        <w:t>A.12</w:t>
      </w:r>
      <w:r w:rsidRPr="00BA5850">
        <w:fldChar w:fldCharType="end"/>
      </w:r>
      <w:r w:rsidRPr="00BA5850">
        <w:t>, the service providers who raised this did not recognise that our ranges were based on the evidence from two alternative applications of the equity ownership approach. In this final 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BA5850" w:rsidRPr="00BA5850" w:rsidRDefault="00BA5850" w:rsidP="00BA5850">
      <w:pPr>
        <w:pStyle w:val="AERbulletlistfirststyle"/>
      </w:pPr>
      <w:r w:rsidRPr="00883125">
        <w:t xml:space="preserve">We incorrectly use tax statistics as direct evidence of the value of distributed imputation credits—given our understanding of the utilisation rate, we set out in section </w:t>
      </w:r>
      <w:r w:rsidRPr="00BA5850">
        <w:fldChar w:fldCharType="begin"/>
      </w:r>
      <w:r w:rsidRPr="00BA5850">
        <w:instrText xml:space="preserve"> REF _Ref402179420 \r \h </w:instrText>
      </w:r>
      <w:r w:rsidRPr="00BA5850">
        <w:fldChar w:fldCharType="separate"/>
      </w:r>
      <w:r w:rsidR="00746877">
        <w:t>A.13</w:t>
      </w:r>
      <w:r w:rsidRPr="00BA5850">
        <w:fldChar w:fldCharType="end"/>
      </w:r>
      <w:r w:rsidRPr="00BA5850">
        <w:t xml:space="preserve"> why tax statistics provide a valid, albeit uncertain, estimate.</w:t>
      </w:r>
    </w:p>
    <w:p w:rsidR="00BA5850" w:rsidRPr="00BA5850" w:rsidRDefault="00BA5850" w:rsidP="00BA5850">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BA5850">
        <w:fldChar w:fldCharType="begin"/>
      </w:r>
      <w:r w:rsidRPr="00BA5850">
        <w:instrText xml:space="preserve"> REF _Ref415065117 \r \h </w:instrText>
      </w:r>
      <w:r w:rsidRPr="00BA5850">
        <w:fldChar w:fldCharType="separate"/>
      </w:r>
      <w:r w:rsidR="00746877">
        <w:t>A.15.4</w:t>
      </w:r>
      <w:r w:rsidRPr="00BA5850">
        <w:fldChar w:fldCharType="end"/>
      </w:r>
      <w:r w:rsidRPr="00BA5850">
        <w:t xml:space="preserve"> and </w:t>
      </w:r>
      <w:r w:rsidRPr="00BA5850">
        <w:fldChar w:fldCharType="begin"/>
      </w:r>
      <w:r w:rsidRPr="00BA5850">
        <w:instrText xml:space="preserve"> REF _Ref414624721 \r \h </w:instrText>
      </w:r>
      <w:r w:rsidRPr="00BA5850">
        <w:fldChar w:fldCharType="separate"/>
      </w:r>
      <w:r w:rsidR="00746877">
        <w:t>A.15.5</w:t>
      </w:r>
      <w:r w:rsidRPr="00BA5850">
        <w:fldChar w:fldCharType="end"/>
      </w:r>
      <w:r w:rsidRPr="00BA5850">
        <w:t xml:space="preserve"> why the results of implied market value studies can reflect factors that are not relevant to the utilisation rate.</w:t>
      </w:r>
    </w:p>
    <w:p w:rsidR="00BA5850" w:rsidRPr="00BA5850" w:rsidRDefault="00BA5850" w:rsidP="00BA5850">
      <w:pPr>
        <w:pStyle w:val="AERbulletlistfirststyle"/>
      </w:pPr>
      <w:r w:rsidRPr="00883125">
        <w:t>We erred by considering implied market value studies in a general manner rather than considering the merits of SFG's dividend drop off study—in section</w:t>
      </w:r>
      <w:r w:rsidRPr="00BA5850">
        <w:t xml:space="preserve">s </w:t>
      </w:r>
      <w:r w:rsidRPr="00BA5850">
        <w:fldChar w:fldCharType="begin"/>
      </w:r>
      <w:r w:rsidRPr="00BA5850">
        <w:instrText xml:space="preserve"> REF _Ref450761230 \r \h </w:instrText>
      </w:r>
      <w:r w:rsidRPr="00BA5850">
        <w:fldChar w:fldCharType="separate"/>
      </w:r>
      <w:r w:rsidR="00746877">
        <w:t>4.4.1</w:t>
      </w:r>
      <w:r w:rsidRPr="00BA5850">
        <w:fldChar w:fldCharType="end"/>
      </w:r>
      <w:r w:rsidRPr="00BA5850">
        <w:t xml:space="preserve"> and </w:t>
      </w:r>
      <w:r w:rsidRPr="00BA5850">
        <w:fldChar w:fldCharType="begin"/>
      </w:r>
      <w:r w:rsidRPr="00BA5850">
        <w:instrText xml:space="preserve"> REF _Ref451267696 \r \h </w:instrText>
      </w:r>
      <w:r w:rsidRPr="00BA5850">
        <w:fldChar w:fldCharType="separate"/>
      </w:r>
      <w:r w:rsidR="00746877">
        <w:t>A.15</w:t>
      </w:r>
      <w:r w:rsidRPr="00BA5850">
        <w:fldChar w:fldCharType="end"/>
      </w:r>
      <w:r w:rsidRPr="00BA5850">
        <w:t xml:space="preserve"> we set out a list of limitations that can apply to implied market value studies, and in section </w:t>
      </w:r>
      <w:r w:rsidRPr="00BA5850">
        <w:fldChar w:fldCharType="begin"/>
      </w:r>
      <w:r w:rsidRPr="00BA5850">
        <w:instrText xml:space="preserve"> REF _Ref414624721 \r \h </w:instrText>
      </w:r>
      <w:r w:rsidRPr="00BA5850">
        <w:fldChar w:fldCharType="separate"/>
      </w:r>
      <w:r w:rsidR="00746877">
        <w:t>A.15.5</w:t>
      </w:r>
      <w:r w:rsidRPr="00BA5850">
        <w:fldChar w:fldCharType="end"/>
      </w:r>
      <w:r w:rsidRPr="00BA5850">
        <w:t xml:space="preserve"> we conclude that that there is reasonable evidence to suggest that several of these limitations apply to SFG's dividend drop off study. In sections </w:t>
      </w:r>
      <w:r w:rsidRPr="00BA5850">
        <w:fldChar w:fldCharType="begin"/>
      </w:r>
      <w:r w:rsidRPr="00BA5850">
        <w:instrText xml:space="preserve"> REF _Ref450761230 \r \h </w:instrText>
      </w:r>
      <w:r w:rsidRPr="00BA5850">
        <w:fldChar w:fldCharType="separate"/>
      </w:r>
      <w:r w:rsidR="00746877">
        <w:t>4.4.1</w:t>
      </w:r>
      <w:r w:rsidRPr="00BA5850">
        <w:fldChar w:fldCharType="end"/>
      </w:r>
      <w:r w:rsidRPr="00BA5850">
        <w:t xml:space="preserve">and </w:t>
      </w:r>
      <w:r w:rsidRPr="00BA5850">
        <w:fldChar w:fldCharType="begin"/>
      </w:r>
      <w:r w:rsidRPr="00BA5850">
        <w:instrText xml:space="preserve"> REF _Ref451267729 \r \h </w:instrText>
      </w:r>
      <w:r w:rsidRPr="00BA5850">
        <w:fldChar w:fldCharType="separate"/>
      </w:r>
      <w:r w:rsidR="00746877">
        <w:t>A.15</w:t>
      </w:r>
      <w:r w:rsidRPr="00BA5850">
        <w:fldChar w:fldCharType="end"/>
      </w:r>
      <w:r w:rsidRPr="00BA5850">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BA5850">
        <w:fldChar w:fldCharType="begin"/>
      </w:r>
      <w:r w:rsidRPr="00BA5850">
        <w:instrText xml:space="preserve"> REF _Ref451267750 \r \h </w:instrText>
      </w:r>
      <w:r w:rsidRPr="00BA5850">
        <w:fldChar w:fldCharType="separate"/>
      </w:r>
      <w:r w:rsidR="00746877">
        <w:t>A.15</w:t>
      </w:r>
      <w:r w:rsidRPr="00BA5850">
        <w:fldChar w:fldCharType="end"/>
      </w:r>
      <w:r w:rsidRPr="00BA5850">
        <w:t xml:space="preserve"> we set out statements from experts and other regulators on the limitations of dividend drop off studies. All but one of these statements occurred after the development of SFG's dividend drop off study.</w:t>
      </w:r>
    </w:p>
    <w:p w:rsidR="00BA5850" w:rsidRPr="00BA5850" w:rsidRDefault="00BA5850" w:rsidP="00BA5850">
      <w:pPr>
        <w:pStyle w:val="AERbulletlistfirststyle"/>
      </w:pPr>
      <w:r w:rsidRPr="00883125">
        <w:t xml:space="preserve">It was neither necessary nor appropriate for us to identify a distribution rate for only listed equity—in sections </w:t>
      </w:r>
      <w:r w:rsidRPr="00BA5850">
        <w:fldChar w:fldCharType="begin"/>
      </w:r>
      <w:r w:rsidRPr="00BA5850">
        <w:instrText xml:space="preserve"> REF _Ref451790065 \r \h </w:instrText>
      </w:r>
      <w:r w:rsidRPr="00BA5850">
        <w:fldChar w:fldCharType="separate"/>
      </w:r>
      <w:r w:rsidR="00746877">
        <w:t>A.9</w:t>
      </w:r>
      <w:r w:rsidRPr="00BA5850">
        <w:fldChar w:fldCharType="end"/>
      </w:r>
      <w:r w:rsidRPr="00BA5850">
        <w:t xml:space="preserve"> and </w:t>
      </w:r>
      <w:r w:rsidRPr="00BA5850">
        <w:fldChar w:fldCharType="begin"/>
      </w:r>
      <w:r w:rsidRPr="00BA5850">
        <w:instrText xml:space="preserve"> REF _Ref414289334 \r \h </w:instrText>
      </w:r>
      <w:r w:rsidRPr="00BA5850">
        <w:fldChar w:fldCharType="separate"/>
      </w:r>
      <w:r w:rsidR="00746877">
        <w:t>A.10.1</w:t>
      </w:r>
      <w:r w:rsidRPr="00BA5850">
        <w:fldChar w:fldCharType="end"/>
      </w:r>
      <w:r w:rsidRPr="00BA5850">
        <w:t xml:space="preserve"> this is further discussed. </w:t>
      </w:r>
    </w:p>
    <w:p w:rsidR="00BA5850" w:rsidRPr="00BA5850" w:rsidRDefault="00BA5850" w:rsidP="00BA5850">
      <w:pPr>
        <w:pStyle w:val="AERbulletlistfirststyle"/>
      </w:pPr>
      <w:r w:rsidRPr="00883125">
        <w:t xml:space="preserve">Our ultimate conclusion as to the value of imputation credits was inconsistent with the evidence presented in </w:t>
      </w:r>
      <w:r w:rsidRPr="00BA5850">
        <w:t xml:space="preserve">our recent decisions—as set out in section </w:t>
      </w:r>
      <w:r w:rsidRPr="00BA5850">
        <w:fldChar w:fldCharType="begin"/>
      </w:r>
      <w:r w:rsidRPr="00BA5850">
        <w:instrText xml:space="preserve"> REF _Ref451815218 \r \h </w:instrText>
      </w:r>
      <w:r w:rsidRPr="00BA5850">
        <w:fldChar w:fldCharType="separate"/>
      </w:r>
      <w:r w:rsidR="00746877">
        <w:t>4.4</w:t>
      </w:r>
      <w:r w:rsidRPr="00BA5850">
        <w:fldChar w:fldCharType="end"/>
      </w:r>
      <w:r w:rsidRPr="00BA5850">
        <w:t>, the evidence presented in this final decision suggests that a reasonable estimate for the value of imputation credits is within the range 0.3 to 0.5. Our estimate of 0.4 is within this range.</w:t>
      </w:r>
    </w:p>
    <w:p w:rsidR="00BA5850" w:rsidRPr="00883125" w:rsidRDefault="00BA5850" w:rsidP="00BA5850">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BA5850" w:rsidRPr="00BA5850" w:rsidRDefault="00BA5850" w:rsidP="00BA5850">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EE6B5A">
        <w:rPr>
          <w:rStyle w:val="FootnoteReference"/>
        </w:rPr>
        <w:footnoteReference w:id="273"/>
      </w:r>
      <w:r w:rsidRPr="00BA5850">
        <w:t xml:space="preserve"> In sections </w:t>
      </w:r>
      <w:r w:rsidRPr="00BA5850">
        <w:fldChar w:fldCharType="begin"/>
      </w:r>
      <w:r w:rsidRPr="00BA5850">
        <w:instrText xml:space="preserve"> REF _Ref415144114 \r \h  \* MERGEFORMAT </w:instrText>
      </w:r>
      <w:r w:rsidRPr="00BA5850">
        <w:fldChar w:fldCharType="separate"/>
      </w:r>
      <w:r w:rsidR="00746877">
        <w:t>A.5</w:t>
      </w:r>
      <w:r w:rsidRPr="00BA5850">
        <w:fldChar w:fldCharType="end"/>
      </w:r>
      <w:r w:rsidRPr="00BA5850">
        <w:t xml:space="preserve"> and </w:t>
      </w:r>
      <w:r w:rsidRPr="00BA5850">
        <w:fldChar w:fldCharType="begin"/>
      </w:r>
      <w:r w:rsidRPr="00BA5850">
        <w:instrText xml:space="preserve"> REF _Ref401748758 \r \h  \* MERGEFORMAT </w:instrText>
      </w:r>
      <w:r w:rsidRPr="00BA5850">
        <w:fldChar w:fldCharType="separate"/>
      </w:r>
      <w:r w:rsidR="00746877">
        <w:t>A.8.1</w:t>
      </w:r>
      <w:r w:rsidRPr="00BA5850">
        <w:fldChar w:fldCharType="end"/>
      </w:r>
      <w:r w:rsidRPr="00BA5850">
        <w:t xml:space="preserve"> we explain why we consider the proportion of imputation credits distributed to shareholders eligible to utilise them is an appropriate measure of the value of imputation credits before personal taxes and transaction costs.</w:t>
      </w:r>
      <w:r w:rsidRPr="00BA5850" w:rsidDel="00E07815">
        <w:t xml:space="preserve"> </w:t>
      </w:r>
    </w:p>
    <w:p w:rsidR="00BA5850" w:rsidRPr="00BA5850" w:rsidRDefault="00BA5850" w:rsidP="00BA5850">
      <w:pPr>
        <w:pStyle w:val="AERbulletlistfirststyle"/>
      </w:pPr>
      <w:r w:rsidRPr="005764F6">
        <w:t>The second key point of difference concerns the set of comparator businesses that should be used when estimating a benchmark distribution rate.</w:t>
      </w:r>
      <w:r w:rsidRPr="00BA5850">
        <w:rPr>
          <w:rStyle w:val="FootnoteReference"/>
        </w:rPr>
        <w:footnoteReference w:id="274"/>
      </w:r>
      <w:r w:rsidRPr="00BA5850">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BA5850">
        <w:rPr>
          <w:rStyle w:val="FootnoteReference"/>
        </w:rPr>
        <w:footnoteReference w:id="275"/>
      </w:r>
      <w:r w:rsidRPr="00BA5850">
        <w:t xml:space="preserve"> given our benchmark efficient network operator is a pure play wholly domestic business that is not necessarily stock market listed. We respond to these views in sections </w:t>
      </w:r>
      <w:r w:rsidRPr="00BA5850">
        <w:fldChar w:fldCharType="begin"/>
      </w:r>
      <w:r w:rsidRPr="00BA5850">
        <w:instrText xml:space="preserve"> REF _Ref451790065 \r \h  \* MERGEFORMAT </w:instrText>
      </w:r>
      <w:r w:rsidRPr="00BA5850">
        <w:fldChar w:fldCharType="separate"/>
      </w:r>
      <w:r w:rsidR="00746877">
        <w:t>A.9</w:t>
      </w:r>
      <w:r w:rsidRPr="00BA5850">
        <w:fldChar w:fldCharType="end"/>
      </w:r>
      <w:r w:rsidRPr="00BA5850">
        <w:t xml:space="preserve"> and </w:t>
      </w:r>
      <w:r w:rsidRPr="00BA5850">
        <w:fldChar w:fldCharType="begin"/>
      </w:r>
      <w:r w:rsidRPr="00BA5850">
        <w:instrText xml:space="preserve"> REF _Ref401133206 \r \h  \* MERGEFORMAT </w:instrText>
      </w:r>
      <w:r w:rsidRPr="00BA5850">
        <w:fldChar w:fldCharType="separate"/>
      </w:r>
      <w:r w:rsidR="00746877">
        <w:t>A.10</w:t>
      </w:r>
      <w:r w:rsidRPr="00BA5850">
        <w:fldChar w:fldCharType="end"/>
      </w:r>
      <w:r w:rsidRPr="00BA5850">
        <w:t>.</w:t>
      </w:r>
    </w:p>
    <w:p w:rsidR="00BA5850" w:rsidRPr="00883125" w:rsidRDefault="00BA5850" w:rsidP="00BA5850">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76"/>
      </w:r>
      <w:r>
        <w:rPr>
          <w:rStyle w:val="AERbody"/>
        </w:rPr>
        <w:t xml:space="preserve"> </w:t>
      </w:r>
    </w:p>
    <w:p w:rsidR="00BA5850" w:rsidRPr="00883125" w:rsidRDefault="00BA5850" w:rsidP="00BA5850">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Pr="00883125">
        <w:rPr>
          <w:rStyle w:val="AERbody"/>
        </w:rPr>
        <w:t>, a number of key 'second order' differences of view have been identified:</w:t>
      </w:r>
    </w:p>
    <w:p w:rsidR="00BA5850" w:rsidRPr="00BA5850" w:rsidRDefault="00BA5850" w:rsidP="00BA5850">
      <w:pPr>
        <w:pStyle w:val="AERbulletlistfirststyle"/>
      </w:pPr>
      <w:r w:rsidRPr="005764F6">
        <w:lastRenderedPageBreak/>
        <w:t>A redemption rate study can only provide an upper bound for estimating theta.</w:t>
      </w:r>
      <w:r w:rsidRPr="00BA5850">
        <w:rPr>
          <w:rStyle w:val="FootnoteReference"/>
        </w:rPr>
        <w:footnoteReference w:id="277"/>
      </w:r>
      <w:r w:rsidRPr="00BA5850">
        <w:t xml:space="preserve"> In section </w:t>
      </w:r>
      <w:r w:rsidRPr="00BA5850">
        <w:fldChar w:fldCharType="begin"/>
      </w:r>
      <w:r w:rsidRPr="00BA5850">
        <w:instrText xml:space="preserve"> REF _Ref414099389 \r \h  \* MERGEFORMAT </w:instrText>
      </w:r>
      <w:r w:rsidRPr="00BA5850">
        <w:fldChar w:fldCharType="separate"/>
      </w:r>
      <w:r w:rsidR="00746877">
        <w:t>A.8.3</w:t>
      </w:r>
      <w:r w:rsidRPr="00BA5850">
        <w:fldChar w:fldCharType="end"/>
      </w:r>
      <w:r w:rsidRPr="00BA5850">
        <w:t xml:space="preserve"> we consider this further. </w:t>
      </w:r>
    </w:p>
    <w:p w:rsidR="00BA5850" w:rsidRPr="00BA5850" w:rsidRDefault="00BA5850" w:rsidP="00BA5850">
      <w:pPr>
        <w:pStyle w:val="AERbulletlistfirststyle"/>
      </w:pPr>
      <w:r w:rsidRPr="005764F6">
        <w:t>The criticisms of Gray and Hall's dividend drop-off work is not reasonable.</w:t>
      </w:r>
      <w:r w:rsidRPr="00BA5850">
        <w:rPr>
          <w:rStyle w:val="FootnoteReference"/>
        </w:rPr>
        <w:footnoteReference w:id="278"/>
      </w:r>
      <w:r w:rsidRPr="00BA5850">
        <w:t xml:space="preserve"> We discuss the limitations of dividend drop off studies and which of these apply to the SFG dividend drop off study in section </w:t>
      </w:r>
      <w:r w:rsidRPr="00BA5850">
        <w:fldChar w:fldCharType="begin"/>
      </w:r>
      <w:r w:rsidRPr="00BA5850">
        <w:instrText xml:space="preserve"> REF _Ref414624721 \r \h  \* MERGEFORMAT </w:instrText>
      </w:r>
      <w:r w:rsidRPr="00BA5850">
        <w:fldChar w:fldCharType="separate"/>
      </w:r>
      <w:r w:rsidR="00746877">
        <w:t>A.15.5</w:t>
      </w:r>
      <w:r w:rsidRPr="00BA5850">
        <w:fldChar w:fldCharType="end"/>
      </w:r>
      <w:r w:rsidRPr="00BA5850">
        <w:t>.</w:t>
      </w:r>
    </w:p>
    <w:p w:rsidR="00BA5850" w:rsidRPr="00883125" w:rsidRDefault="00BA5850" w:rsidP="00BA5850">
      <w:pPr>
        <w:rPr>
          <w:rStyle w:val="AERbody"/>
        </w:rPr>
      </w:pPr>
      <w:r w:rsidRPr="00883125">
        <w:rPr>
          <w:rStyle w:val="AERbody"/>
        </w:rPr>
        <w:t xml:space="preserve">We note the primary and second order differences of view identified above do not appear to be new issues and largely overlap with the </w:t>
      </w:r>
      <w:r>
        <w:rPr>
          <w:rStyle w:val="AERbody"/>
        </w:rPr>
        <w:t>eight</w:t>
      </w:r>
      <w:r w:rsidRPr="00883125">
        <w:rPr>
          <w:rStyle w:val="AERbody"/>
        </w:rPr>
        <w:t xml:space="preserve"> key concerns </w:t>
      </w:r>
      <w:r>
        <w:rPr>
          <w:rStyle w:val="AERbody"/>
        </w:rPr>
        <w:t>that</w:t>
      </w:r>
      <w:r w:rsidRPr="00883125">
        <w:rPr>
          <w:rStyle w:val="AERbody"/>
        </w:rPr>
        <w:t xml:space="preserve"> service providers </w:t>
      </w:r>
      <w:r>
        <w:rPr>
          <w:rStyle w:val="AERbody"/>
        </w:rPr>
        <w:t xml:space="preserve">have </w:t>
      </w:r>
      <w:r w:rsidRPr="00883125">
        <w:rPr>
          <w:rStyle w:val="AERbody"/>
        </w:rPr>
        <w:t>raised previously. Having considered the revised proposals, the new experts' reports</w:t>
      </w:r>
      <w:r>
        <w:rPr>
          <w:rStyle w:val="AERbody"/>
        </w:rPr>
        <w:t xml:space="preserve"> since our 2015 JGN decision and late submissions (discussed in section </w:t>
      </w:r>
      <w:r>
        <w:rPr>
          <w:rStyle w:val="AERbody"/>
        </w:rPr>
        <w:fldChar w:fldCharType="begin"/>
      </w:r>
      <w:r>
        <w:rPr>
          <w:rStyle w:val="AERbody"/>
        </w:rPr>
        <w:instrText xml:space="preserve"> REF _Ref451816453 \r \h </w:instrText>
      </w:r>
      <w:r>
        <w:rPr>
          <w:rStyle w:val="AERbody"/>
        </w:rPr>
      </w:r>
      <w:r>
        <w:rPr>
          <w:rStyle w:val="AERbody"/>
        </w:rPr>
        <w:fldChar w:fldCharType="separate"/>
      </w:r>
      <w:r w:rsidR="00746877">
        <w:rPr>
          <w:rStyle w:val="AERbody"/>
        </w:rPr>
        <w:t>4.1</w:t>
      </w:r>
      <w:r>
        <w:rPr>
          <w:rStyle w:val="AERbody"/>
        </w:rPr>
        <w:fldChar w:fldCharType="end"/>
      </w:r>
      <w:r>
        <w:rPr>
          <w:rStyle w:val="AERbody"/>
        </w:rPr>
        <w:t xml:space="preserve"> and </w:t>
      </w:r>
      <w:r>
        <w:rPr>
          <w:rStyle w:val="AERbody"/>
        </w:rPr>
        <w:fldChar w:fldCharType="begin"/>
      </w:r>
      <w:r>
        <w:rPr>
          <w:rStyle w:val="AERbody"/>
        </w:rPr>
        <w:instrText xml:space="preserve"> REF _Ref451816460 \r \h </w:instrText>
      </w:r>
      <w:r>
        <w:rPr>
          <w:rStyle w:val="AERbody"/>
        </w:rPr>
      </w:r>
      <w:r>
        <w:rPr>
          <w:rStyle w:val="AERbody"/>
        </w:rPr>
        <w:fldChar w:fldCharType="separate"/>
      </w:r>
      <w:r w:rsidR="00746877">
        <w:rPr>
          <w:rStyle w:val="AERbody"/>
        </w:rPr>
        <w:t>4.4.2</w:t>
      </w:r>
      <w:r>
        <w:rPr>
          <w:rStyle w:val="AERbody"/>
        </w:rPr>
        <w:fldChar w:fldCharType="end"/>
      </w:r>
      <w:r>
        <w:rPr>
          <w:rStyle w:val="AERbody"/>
        </w:rPr>
        <w:t>)</w:t>
      </w:r>
      <w:r w:rsidRPr="00883125">
        <w:rPr>
          <w:rStyle w:val="AERbody"/>
        </w:rPr>
        <w:t>, we remain of the view that a gamma value of 0.4 is appropriate.</w:t>
      </w:r>
    </w:p>
    <w:p w:rsidR="00BA5850" w:rsidRPr="00883125" w:rsidRDefault="00BA5850" w:rsidP="00BA5850">
      <w:r w:rsidRPr="00883125">
        <w:t xml:space="preserve">In </w:t>
      </w:r>
      <w:r>
        <w:t>their</w:t>
      </w:r>
      <w:r w:rsidRPr="00883125">
        <w:t xml:space="preserve"> revised proposals, </w:t>
      </w:r>
      <w:r>
        <w:t>these service providers have</w:t>
      </w:r>
      <w:r w:rsidRPr="00883125">
        <w:t xml:space="preserve"> broadly not submitted anything new. Besides a new report by Frontier Economics, which presented no substantive new arguments, the service providers have submitted </w:t>
      </w:r>
      <w:r>
        <w:t xml:space="preserve">essentially </w:t>
      </w:r>
      <w:r w:rsidRPr="00883125">
        <w:t xml:space="preserve">the same arguments that were considered in </w:t>
      </w:r>
      <w:r>
        <w:t>our</w:t>
      </w:r>
      <w:r w:rsidRPr="00883125">
        <w:t xml:space="preserve"> decisions released in October and November 2015. Overall the service providers propose a </w:t>
      </w:r>
      <w:r>
        <w:t>gamma</w:t>
      </w:r>
      <w:r w:rsidRPr="00883125">
        <w:t xml:space="preserve"> 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79"/>
      </w:r>
      <w:r w:rsidRPr="00883125">
        <w:t xml:space="preserve"> </w:t>
      </w:r>
    </w:p>
    <w:p w:rsidR="00BA5850" w:rsidRPr="00883125" w:rsidRDefault="00BA5850" w:rsidP="00BA5850">
      <w:r w:rsidRPr="00883125">
        <w:t>As a high level summary of the revised proposal</w:t>
      </w:r>
      <w:r>
        <w:t>s</w:t>
      </w:r>
      <w:r w:rsidRPr="00883125">
        <w:t xml:space="preserve">, </w:t>
      </w:r>
      <w:r>
        <w:t>service providers</w:t>
      </w:r>
      <w:r w:rsidRPr="00883125">
        <w:t xml:space="preserve"> submitted:</w:t>
      </w:r>
    </w:p>
    <w:p w:rsidR="00BA5850" w:rsidRPr="00BA5850" w:rsidRDefault="00BA5850" w:rsidP="00BA5850">
      <w:pPr>
        <w:pStyle w:val="AERbulletlistfirststyle"/>
        <w:rPr>
          <w:rStyle w:val="AERtexthighlight"/>
        </w:rPr>
      </w:pPr>
      <w:r w:rsidRPr="0096666B">
        <w:t>our</w:t>
      </w:r>
      <w:r w:rsidRPr="00BA5850">
        <w:t xml:space="preserve"> approach to estimating gamma is premised on an incorrect interpretation of the NGR</w:t>
      </w:r>
      <w:r w:rsidRPr="00BA5850">
        <w:rPr>
          <w:rStyle w:val="FootnoteReference"/>
        </w:rPr>
        <w:footnoteReference w:id="280"/>
      </w:r>
    </w:p>
    <w:p w:rsidR="00BA5850" w:rsidRPr="00BA5850" w:rsidRDefault="00BA5850" w:rsidP="00BA5850">
      <w:pPr>
        <w:pStyle w:val="AERbulletlistfirststyle"/>
        <w:rPr>
          <w:rStyle w:val="AERtexthighlight"/>
        </w:rPr>
      </w:pPr>
      <w:r w:rsidRPr="0096666B">
        <w:lastRenderedPageBreak/>
        <w:t>b</w:t>
      </w:r>
      <w:r w:rsidRPr="00BA5850">
        <w:t>oth the equity ownership value and taxation statistics can be no more than an upper bound for the utilisation rate</w:t>
      </w:r>
      <w:r w:rsidRPr="00BA5850">
        <w:rPr>
          <w:rStyle w:val="FootnoteReference"/>
        </w:rPr>
        <w:footnoteReference w:id="281"/>
      </w:r>
    </w:p>
    <w:p w:rsidR="00BA5850" w:rsidRPr="00BA5850" w:rsidRDefault="00BA5850" w:rsidP="00BA5850">
      <w:pPr>
        <w:pStyle w:val="AERbulletlistfirststyle"/>
        <w:rPr>
          <w:rStyle w:val="AERtexthighlight"/>
        </w:rPr>
      </w:pPr>
      <w:r w:rsidRPr="0096666B">
        <w:t>market value studies are direct evidence of the value of imputation credits to investors</w:t>
      </w:r>
      <w:r w:rsidRPr="00BA5850">
        <w:t>—we have erred in concluding that market value studies reflect factors such as differential personal taxes and risk which are not relevant to the task of measuring the utilisation rate</w:t>
      </w:r>
      <w:r w:rsidRPr="00BA5850">
        <w:rPr>
          <w:rStyle w:val="FootnoteReference"/>
        </w:rPr>
        <w:footnoteReference w:id="282"/>
      </w:r>
    </w:p>
    <w:p w:rsidR="00BA5850" w:rsidRPr="00BA5850" w:rsidRDefault="00BA5850" w:rsidP="00BA5850">
      <w:pPr>
        <w:pStyle w:val="AERbulletlistfirststyle"/>
        <w:rPr>
          <w:rStyle w:val="AERtexthighlight"/>
        </w:rPr>
      </w:pPr>
      <w:r>
        <w:t>we</w:t>
      </w:r>
      <w:r w:rsidRPr="00BA5850">
        <w:t xml:space="preserve"> incorrectly assume that estimates of the utilisation rate from listed equity (all equity) can only be combined with estimates distribution rate from listed equity (all equity)</w:t>
      </w:r>
      <w:r w:rsidRPr="00BA5850">
        <w:rPr>
          <w:rStyle w:val="FootnoteReference"/>
        </w:rPr>
        <w:footnoteReference w:id="283"/>
      </w:r>
      <w:r w:rsidRPr="00BA5850">
        <w:rPr>
          <w:rStyle w:val="AERtexthighlight"/>
        </w:rPr>
        <w:t xml:space="preserve"> </w:t>
      </w:r>
    </w:p>
    <w:p w:rsidR="00BA5850" w:rsidRPr="00BA5850" w:rsidRDefault="00BA5850" w:rsidP="00BA5850">
      <w:pPr>
        <w:pStyle w:val="AERbulletlistfirststyle"/>
        <w:rPr>
          <w:rStyle w:val="AERbody"/>
        </w:rPr>
      </w:pPr>
      <w:r w:rsidRPr="0096666B">
        <w:t>u</w:t>
      </w:r>
      <w:r w:rsidRPr="00BA5850">
        <w:t>nder our interpretation of the NGR, our gamma estimate cannot be supported as the pre-personal cost estimate of the utilisation rate is approximately 0.3.</w:t>
      </w:r>
      <w:r w:rsidRPr="00BA5850">
        <w:rPr>
          <w:rStyle w:val="FootnoteReference"/>
        </w:rPr>
        <w:footnoteReference w:id="284"/>
      </w:r>
    </w:p>
    <w:p w:rsidR="00BA5850" w:rsidRPr="00883125" w:rsidRDefault="00BA5850" w:rsidP="00BA5850">
      <w:pPr>
        <w:pStyle w:val="Heading8"/>
      </w:pPr>
      <w:bookmarkStart w:id="184" w:name="_Ref415144114"/>
      <w:bookmarkStart w:id="185" w:name="_Toc436049446"/>
      <w:bookmarkStart w:id="186" w:name="_Toc451842251"/>
      <w:bookmarkStart w:id="187" w:name="_Toc451936176"/>
      <w:r w:rsidRPr="00883125">
        <w:t>The role of the value of imputation credits in the regulatory framework</w:t>
      </w:r>
      <w:bookmarkEnd w:id="184"/>
      <w:bookmarkEnd w:id="185"/>
      <w:bookmarkEnd w:id="186"/>
      <w:bookmarkEnd w:id="187"/>
    </w:p>
    <w:p w:rsidR="00BA5850" w:rsidRPr="00883125" w:rsidRDefault="00BA5850" w:rsidP="00BA5850">
      <w:pPr>
        <w:numPr>
          <w:ilvl w:val="0"/>
          <w:numId w:val="24"/>
        </w:numPr>
      </w:pPr>
      <w:r w:rsidRPr="00883125">
        <w:t>To explain the role of the value of imputation credits in the NER/NGR, we must consider:</w:t>
      </w:r>
    </w:p>
    <w:p w:rsidR="00BA5850" w:rsidRPr="00883125" w:rsidRDefault="00BA5850" w:rsidP="00BA5850">
      <w:pPr>
        <w:pStyle w:val="AERbulletlistfirststyle"/>
      </w:pPr>
      <w:r w:rsidRPr="00883125">
        <w:t>the 'building block' revenue framework in the NER/NGR, and</w:t>
      </w:r>
    </w:p>
    <w:p w:rsidR="00BA5850" w:rsidRPr="00883125" w:rsidRDefault="00BA5850" w:rsidP="00BA5850">
      <w:pPr>
        <w:pStyle w:val="AERbulletlistfirststyle"/>
      </w:pPr>
      <w:r w:rsidRPr="00883125">
        <w:t>the construction of the tax building block.</w:t>
      </w:r>
    </w:p>
    <w:p w:rsidR="00BA5850" w:rsidRPr="00883125" w:rsidRDefault="00BA5850" w:rsidP="00BA5850">
      <w:pPr>
        <w:pStyle w:val="Heading9"/>
      </w:pPr>
      <w:r w:rsidRPr="00883125">
        <w:t>The building block framework</w:t>
      </w:r>
    </w:p>
    <w:p w:rsidR="00BA5850" w:rsidRPr="00883125" w:rsidRDefault="00BA5850" w:rsidP="00BA5850">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BA5850" w:rsidRPr="00883125" w:rsidRDefault="00BA5850" w:rsidP="00BA5850">
      <w:pPr>
        <w:pStyle w:val="AERbulletlistfirststyle"/>
      </w:pPr>
      <w:r w:rsidRPr="00883125">
        <w:t>fund its operating expenses.</w:t>
      </w:r>
    </w:p>
    <w:p w:rsidR="00BA5850" w:rsidRPr="00883125" w:rsidRDefault="00BA5850" w:rsidP="00BA5850">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BA5850" w:rsidRPr="00883125" w:rsidRDefault="00BA5850" w:rsidP="00BA5850">
      <w:pPr>
        <w:pStyle w:val="AERbulletlistfirststyle"/>
      </w:pPr>
      <w:r w:rsidRPr="00883125">
        <w:t>pay its tax liability.</w:t>
      </w:r>
    </w:p>
    <w:p w:rsidR="00BA5850" w:rsidRPr="00883125" w:rsidRDefault="00BA5850" w:rsidP="00BA5850">
      <w:pPr>
        <w:pStyle w:val="AERbulletlistfirststyle"/>
      </w:pPr>
      <w:r w:rsidRPr="00883125">
        <w:t>reflect any revenue increments or decrements from incentive mechanisms in the design of the regulatory regime.</w:t>
      </w:r>
    </w:p>
    <w:p w:rsidR="00BA5850" w:rsidRPr="00883125" w:rsidRDefault="00BA5850" w:rsidP="00BA5850">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BA5850" w:rsidRPr="00883125" w:rsidRDefault="00BA5850" w:rsidP="00BA5850">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A5850" w:rsidRPr="00883125" w:rsidRDefault="00BA5850" w:rsidP="00BA5850">
      <w:pPr>
        <w:pStyle w:val="AERquote"/>
      </w:pPr>
      <w:r w:rsidRPr="00883125">
        <w:t>…</w:t>
      </w:r>
    </w:p>
    <w:p w:rsidR="00BA5850" w:rsidRPr="00883125" w:rsidRDefault="00BA5850" w:rsidP="00BA5850">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BA5850" w:rsidRPr="00883125" w:rsidRDefault="00BA5850" w:rsidP="00BA5850">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746877">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746877">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46877">
        <w:t>A.8.1</w:t>
      </w:r>
      <w:r w:rsidRPr="00883125">
        <w:fldChar w:fldCharType="end"/>
      </w:r>
      <w:r w:rsidRPr="00883125">
        <w:t>.</w:t>
      </w:r>
    </w:p>
    <w:p w:rsidR="00BA5850" w:rsidRPr="00883125" w:rsidRDefault="00BA5850" w:rsidP="00BA5850">
      <w:pPr>
        <w:rPr>
          <w:rStyle w:val="AERbody"/>
        </w:rPr>
      </w:pPr>
      <w:r w:rsidRPr="00883125">
        <w:rPr>
          <w:rStyle w:val="AERbody"/>
        </w:rPr>
        <w:lastRenderedPageBreak/>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BA5850" w:rsidRPr="00BA5850" w:rsidRDefault="00BA5850" w:rsidP="00BA5850">
      <w:pPr>
        <w:pStyle w:val="AERbulletlistfirststyle"/>
      </w:pPr>
      <w:r w:rsidRPr="005764F6">
        <w:t>There is no market for imputation credits and therefore there is no directly observable market price</w:t>
      </w:r>
      <w:r w:rsidRPr="00BA5850">
        <w:t>.</w:t>
      </w:r>
      <w:r w:rsidRPr="00BA5850">
        <w:rPr>
          <w:rStyle w:val="FootnoteReference"/>
        </w:rPr>
        <w:footnoteReference w:id="287"/>
      </w:r>
      <w:r w:rsidRPr="00BA5850">
        <w:t xml:space="preserve"> This is also discussed below in section </w:t>
      </w:r>
      <w:r w:rsidRPr="00BA5850">
        <w:fldChar w:fldCharType="begin"/>
      </w:r>
      <w:r w:rsidRPr="00BA5850">
        <w:instrText xml:space="preserve"> REF _Ref435171205 \r \h  \* MERGEFORMAT </w:instrText>
      </w:r>
      <w:r w:rsidRPr="00BA5850">
        <w:fldChar w:fldCharType="separate"/>
      </w:r>
      <w:r w:rsidR="00746877">
        <w:t>A.15.3</w:t>
      </w:r>
      <w:r w:rsidRPr="00BA5850">
        <w:fldChar w:fldCharType="end"/>
      </w:r>
      <w:r w:rsidRPr="00BA5850">
        <w:t>.</w:t>
      </w:r>
    </w:p>
    <w:p w:rsidR="00BA5850" w:rsidRPr="005764F6" w:rsidRDefault="00BA5850" w:rsidP="00BA5850">
      <w:pPr>
        <w:pStyle w:val="AERbulletlistfirststyle"/>
      </w:pPr>
      <w:r w:rsidRPr="005764F6">
        <w:t>The value of imputation credits as estimated through a dividend drop off study:</w:t>
      </w:r>
    </w:p>
    <w:p w:rsidR="00BA5850" w:rsidRPr="005764F6" w:rsidRDefault="00BA5850" w:rsidP="00BA5850">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BA5850" w:rsidRPr="005764F6" w:rsidRDefault="00BA5850" w:rsidP="00BA5850">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BA5850" w:rsidRPr="005764F6" w:rsidRDefault="00BA5850" w:rsidP="00BA5850">
      <w:pPr>
        <w:pStyle w:val="AERbulletlistsecondstyle"/>
      </w:pPr>
      <w:r w:rsidRPr="005764F6">
        <w:t>is not clearly measuring a value to long term investors supplying capital to the benchmark efficient entity (even where adjusted for adjusted for differential tax impacts)</w:t>
      </w:r>
    </w:p>
    <w:p w:rsidR="00BA5850" w:rsidRPr="005764F6" w:rsidRDefault="00BA5850" w:rsidP="00BA5850">
      <w:pPr>
        <w:pStyle w:val="AERbulletlistsecondstyle"/>
      </w:pPr>
      <w:r w:rsidRPr="005764F6">
        <w:t xml:space="preserve">is subject to significant uncertainty. </w:t>
      </w:r>
    </w:p>
    <w:p w:rsidR="00BA5850" w:rsidRPr="00BA5850" w:rsidRDefault="00BA5850" w:rsidP="00BA5850">
      <w:pPr>
        <w:pStyle w:val="AERbulletlistfirststyle"/>
        <w:rPr>
          <w:rStyle w:val="AERbody"/>
        </w:rPr>
      </w:pPr>
      <w:r w:rsidRPr="00883125">
        <w:rPr>
          <w:rStyle w:val="AERbody"/>
        </w:rPr>
        <w:t xml:space="preserve">A number of limitations of these studies are discussed further in sections </w:t>
      </w:r>
      <w:r w:rsidRPr="00BA5850">
        <w:rPr>
          <w:rStyle w:val="AERbody"/>
        </w:rPr>
        <w:fldChar w:fldCharType="begin"/>
      </w:r>
      <w:r w:rsidRPr="00BA5850">
        <w:rPr>
          <w:rStyle w:val="AERbody"/>
        </w:rPr>
        <w:instrText xml:space="preserve"> REF _Ref415065117 \r \h </w:instrText>
      </w:r>
      <w:r w:rsidRPr="00BA5850">
        <w:rPr>
          <w:rStyle w:val="AERbody"/>
        </w:rPr>
      </w:r>
      <w:r w:rsidRPr="00BA5850">
        <w:rPr>
          <w:rStyle w:val="AERbody"/>
        </w:rPr>
        <w:fldChar w:fldCharType="separate"/>
      </w:r>
      <w:r w:rsidR="00746877">
        <w:rPr>
          <w:rStyle w:val="AERbody"/>
        </w:rPr>
        <w:t>A.15.4</w:t>
      </w:r>
      <w:r w:rsidRPr="00BA5850">
        <w:rPr>
          <w:rStyle w:val="AERbody"/>
        </w:rPr>
        <w:fldChar w:fldCharType="end"/>
      </w:r>
      <w:r w:rsidRPr="00BA5850">
        <w:rPr>
          <w:rStyle w:val="AERbody"/>
        </w:rPr>
        <w:t xml:space="preserve"> and </w:t>
      </w:r>
      <w:r w:rsidRPr="00BA5850">
        <w:rPr>
          <w:rStyle w:val="AERbody"/>
        </w:rPr>
        <w:fldChar w:fldCharType="begin"/>
      </w:r>
      <w:r w:rsidRPr="00BA5850">
        <w:rPr>
          <w:rStyle w:val="AERbody"/>
        </w:rPr>
        <w:instrText xml:space="preserve"> REF _Ref414624721 \r \h </w:instrText>
      </w:r>
      <w:r w:rsidRPr="00BA5850">
        <w:rPr>
          <w:rStyle w:val="AERbody"/>
        </w:rPr>
      </w:r>
      <w:r w:rsidRPr="00BA5850">
        <w:rPr>
          <w:rStyle w:val="AERbody"/>
        </w:rPr>
        <w:fldChar w:fldCharType="separate"/>
      </w:r>
      <w:r w:rsidR="00746877">
        <w:rPr>
          <w:rStyle w:val="AERbody"/>
        </w:rPr>
        <w:t>A.15.5</w:t>
      </w:r>
      <w:r w:rsidRPr="00BA5850">
        <w:rPr>
          <w:rStyle w:val="AERbody"/>
        </w:rPr>
        <w:fldChar w:fldCharType="end"/>
      </w:r>
      <w:r w:rsidRPr="00BA5850">
        <w:rPr>
          <w:rStyle w:val="AERbody"/>
        </w:rPr>
        <w:t>.</w:t>
      </w:r>
    </w:p>
    <w:p w:rsidR="00BA5850" w:rsidRPr="00BA5850" w:rsidRDefault="00BA5850" w:rsidP="00BA5850">
      <w:pPr>
        <w:pStyle w:val="AERbulletlistfirststyle"/>
        <w:rPr>
          <w:rStyle w:val="AERtexthighlight"/>
        </w:rPr>
      </w:pPr>
      <w:r>
        <w:t>Our</w:t>
      </w:r>
      <w:r w:rsidRPr="00BA5850">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BA5850">
        <w:rPr>
          <w:rStyle w:val="FootnoteReference"/>
        </w:rPr>
        <w:footnoteReference w:id="288"/>
      </w:r>
      <w:r w:rsidRPr="00BA5850">
        <w:rPr>
          <w:rStyle w:val="AERtexthighlight"/>
        </w:rPr>
        <w:t xml:space="preserve"> </w:t>
      </w:r>
    </w:p>
    <w:p w:rsidR="00BA5850" w:rsidRPr="00BA5850" w:rsidRDefault="00BA5850" w:rsidP="00BA5850">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BA5850">
        <w:rPr>
          <w:rStyle w:val="FootnoteReference"/>
        </w:rPr>
        <w:footnoteReference w:id="289"/>
      </w:r>
    </w:p>
    <w:p w:rsidR="00BA5850" w:rsidRPr="00BA5850" w:rsidRDefault="00BA5850" w:rsidP="00BA5850">
      <w:pPr>
        <w:pStyle w:val="AERbulletlistfirststyle"/>
        <w:rPr>
          <w:rStyle w:val="AERtexthighlight"/>
        </w:rPr>
      </w:pPr>
      <w:r w:rsidRPr="00857C5F">
        <w:t>Our</w:t>
      </w:r>
      <w:r w:rsidRPr="00BA5850">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BA5850">
        <w:rPr>
          <w:rStyle w:val="FootnoteReference"/>
        </w:rPr>
        <w:footnoteReference w:id="290"/>
      </w:r>
      <w:r w:rsidRPr="00BA5850">
        <w:t xml:space="preserve"> As these after-tax net </w:t>
      </w:r>
      <w:r w:rsidRPr="00BA5850">
        <w:lastRenderedPageBreak/>
        <w:t>cash flows are at the company level they are before personal taxes and personal transaction costs. This is supported by the advice of Handley and Lally.</w:t>
      </w:r>
      <w:r w:rsidRPr="00BA5850">
        <w:rPr>
          <w:rStyle w:val="FootnoteReference"/>
        </w:rPr>
        <w:footnoteReference w:id="291"/>
      </w:r>
    </w:p>
    <w:p w:rsidR="00BA5850" w:rsidRPr="00883125" w:rsidRDefault="00BA5850" w:rsidP="00BA5850">
      <w:pPr>
        <w:pStyle w:val="Heading9"/>
      </w:pPr>
      <w:bookmarkStart w:id="188" w:name="_Ref400962032"/>
      <w:r w:rsidRPr="00883125">
        <w:t>The tax building block</w:t>
      </w:r>
      <w:bookmarkEnd w:id="188"/>
    </w:p>
    <w:p w:rsidR="00BA5850" w:rsidRPr="00883125" w:rsidRDefault="00BA5850" w:rsidP="00BA5850">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BA5850" w:rsidRPr="00883125" w:rsidRDefault="00BA5850" w:rsidP="00BA5850">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BA5850" w:rsidRPr="00883125" w:rsidRDefault="00BA5850" w:rsidP="00BA5850">
      <w:pPr>
        <w:numPr>
          <w:ilvl w:val="0"/>
          <w:numId w:val="24"/>
        </w:numPr>
      </w:pPr>
      <w:r w:rsidRPr="00883125">
        <w:t>The cost of corporate income tax building block takes the following form:</w:t>
      </w:r>
    </w:p>
    <w:p w:rsidR="00BA5850" w:rsidRPr="00883125" w:rsidRDefault="00BA5C67" w:rsidP="00BA5850">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A5850" w:rsidRPr="00883125" w:rsidRDefault="00BA5850" w:rsidP="00BA5850">
      <w:pPr>
        <w:numPr>
          <w:ilvl w:val="0"/>
          <w:numId w:val="24"/>
        </w:numPr>
      </w:pPr>
      <w:r w:rsidRPr="00883125">
        <w:t>where:</w:t>
      </w:r>
    </w:p>
    <w:p w:rsidR="00BA5850" w:rsidRPr="00BA5850" w:rsidRDefault="00BA5C67" w:rsidP="00BA5850">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BA5850" w:rsidRPr="00BA5850" w:rsidDel="00CE0EED">
        <w:t xml:space="preserve"> </w:t>
      </w:r>
      <w:r w:rsidR="00BA5850" w:rsidRPr="00BA5850">
        <w:t>is an estimate of the benchmark efficient entity's tax liability.</w:t>
      </w:r>
    </w:p>
    <w:p w:rsidR="00BA5850" w:rsidRPr="00BA5850" w:rsidRDefault="00BA5850" w:rsidP="00BA5850">
      <w:pPr>
        <w:pStyle w:val="AERbulletlistfirststyle"/>
      </w:pPr>
      <m:oMath>
        <m:r>
          <w:rPr>
            <w:rFonts w:ascii="Cambria Math" w:hAnsi="Cambria Math"/>
          </w:rPr>
          <m:t>γ</m:t>
        </m:r>
      </m:oMath>
      <w:r w:rsidRPr="00BA5850">
        <w:t xml:space="preserve"> is the value of imputation credits.</w:t>
      </w:r>
    </w:p>
    <w:p w:rsidR="00BA5850" w:rsidRPr="00883125" w:rsidRDefault="00BA5850" w:rsidP="00BA5850">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BA5850" w:rsidRPr="00883125" w:rsidRDefault="00BA5850" w:rsidP="00BA5850">
      <w:pPr>
        <w:pStyle w:val="Heading8"/>
      </w:pPr>
      <w:bookmarkStart w:id="189" w:name="_Ref400965182"/>
      <w:bookmarkStart w:id="190" w:name="_Toc436049447"/>
      <w:bookmarkStart w:id="191" w:name="_Ref451826492"/>
      <w:bookmarkStart w:id="192" w:name="_Toc451842252"/>
      <w:bookmarkStart w:id="193" w:name="_Toc451936177"/>
      <w:r w:rsidRPr="00883125">
        <w:t>The conceptual framework for the value of imputation credits</w:t>
      </w:r>
      <w:bookmarkEnd w:id="189"/>
      <w:bookmarkEnd w:id="190"/>
      <w:bookmarkEnd w:id="191"/>
      <w:bookmarkEnd w:id="192"/>
      <w:bookmarkEnd w:id="193"/>
    </w:p>
    <w:p w:rsidR="00BA5850" w:rsidRPr="00883125" w:rsidRDefault="00BA5850" w:rsidP="00BA5850">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746877">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BA5850" w:rsidRPr="00BA5850" w:rsidRDefault="00BA5850" w:rsidP="00BA5850">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BA5850">
        <w:rPr>
          <w:rStyle w:val="FootnoteReference"/>
        </w:rPr>
        <w:footnoteReference w:id="295"/>
      </w:r>
    </w:p>
    <w:p w:rsidR="00BA5850" w:rsidRPr="00BA5850" w:rsidRDefault="00BA5850" w:rsidP="00BA5850">
      <w:pPr>
        <w:pStyle w:val="AERbulletlistfirststyle"/>
      </w:pPr>
      <w:r w:rsidRPr="00883125">
        <w:t>Handley advised that Officer's definition of the nominal vanilla rate of return provides the basis for the rate of return framework in the NER/NGR.</w:t>
      </w:r>
      <w:r w:rsidRPr="00BA5850">
        <w:rPr>
          <w:rStyle w:val="FootnoteReference"/>
        </w:rPr>
        <w:footnoteReference w:id="296"/>
      </w:r>
    </w:p>
    <w:p w:rsidR="00BA5850" w:rsidRPr="00BA5850" w:rsidRDefault="00BA5850" w:rsidP="00BA5850">
      <w:pPr>
        <w:pStyle w:val="AERbulletlistfirststyle"/>
      </w:pPr>
      <w:r w:rsidRPr="00883125">
        <w:t>The NER/NGR require that we determine the rate of return on a nominal vanilla basis that is consistent with our estimate of the value of imputation credits.</w:t>
      </w:r>
      <w:r w:rsidRPr="00BA5850">
        <w:rPr>
          <w:rStyle w:val="FootnoteReference"/>
        </w:rPr>
        <w:footnoteReference w:id="297"/>
      </w:r>
    </w:p>
    <w:p w:rsidR="00BA5850" w:rsidRPr="00ED480E" w:rsidRDefault="00BA5850" w:rsidP="00BA5850">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BA5850" w:rsidRPr="00ED480E" w:rsidRDefault="00BA5850" w:rsidP="00BA5850">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298"/>
      </w:r>
    </w:p>
    <w:p w:rsidR="00BA5850" w:rsidRPr="00BA5850" w:rsidRDefault="00BA5850" w:rsidP="00BA5850">
      <w:pPr>
        <w:pStyle w:val="AERquote"/>
        <w:rPr>
          <w:rFonts w:eastAsia="Arial"/>
        </w:rPr>
      </w:pPr>
      <w:r w:rsidRPr="00BA5850">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BA5850" w:rsidRDefault="00BA5850" w:rsidP="00BA5850">
      <w:r w:rsidRPr="00ED480E">
        <w:t>The Officer Paper makes clear that gamma is:</w:t>
      </w:r>
    </w:p>
    <w:p w:rsidR="00BA5850" w:rsidRDefault="00BA5850" w:rsidP="00BA5850">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BA5850" w:rsidRDefault="00BA5850" w:rsidP="00BA5850">
      <w:pPr>
        <w:pStyle w:val="AERnumberedlistsecondstyle"/>
      </w:pPr>
      <w:r w:rsidRPr="00705187">
        <w:t xml:space="preserve">the value of a dollar of tax credit to the shareholder; </w:t>
      </w:r>
      <w:r w:rsidRPr="005764F6">
        <w:rPr>
          <w:rStyle w:val="AERtextitalic"/>
        </w:rPr>
        <w:t>with the result that</w:t>
      </w:r>
    </w:p>
    <w:p w:rsidR="00BA5850" w:rsidRDefault="00BA5850" w:rsidP="00BA5850">
      <w:pPr>
        <w:pStyle w:val="AERnumberedlistsecondstyle"/>
      </w:pPr>
      <w:r w:rsidRPr="00705187">
        <w:lastRenderedPageBreak/>
        <w:t>if the shareholder can fully utilise the imputation tax credits then the value of gamma =1.</w:t>
      </w:r>
      <w:r>
        <w:rPr>
          <w:rStyle w:val="FootnoteReference"/>
        </w:rPr>
        <w:footnoteReference w:id="299"/>
      </w:r>
    </w:p>
    <w:p w:rsidR="00BA5850" w:rsidRPr="00BA5850" w:rsidRDefault="00BA5850" w:rsidP="00BA5850">
      <w:pPr>
        <w:pStyle w:val="AERbulletlistfirststyle"/>
      </w:pPr>
      <w:r>
        <w:t>Our</w:t>
      </w:r>
      <w:r w:rsidRPr="00BA5850">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BA5850" w:rsidRPr="00FD036B" w:rsidRDefault="00BA5850" w:rsidP="00BA5850">
      <w:r w:rsidRPr="00FD036B">
        <w:t>The Officer Paper included the following explanation of gamma at pp 2-4 (emphasis added):</w:t>
      </w:r>
    </w:p>
    <w:p w:rsidR="00BA5850" w:rsidRPr="00FD036B" w:rsidRDefault="00BA5850" w:rsidP="00BA5850">
      <w:pPr>
        <w:pStyle w:val="AERquote"/>
      </w:pPr>
      <w:r w:rsidRPr="00BA5850">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BA5850" w:rsidRPr="00BA5850" w:rsidRDefault="00BA5850" w:rsidP="00BA5850">
      <w:pPr>
        <w:pStyle w:val="AERquote"/>
        <w:rPr>
          <w:rFonts w:eastAsia="Arial"/>
        </w:rPr>
      </w:pPr>
      <w:r w:rsidRPr="00BA5850">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BA5850" w:rsidRPr="00BA5850" w:rsidRDefault="00BA5850" w:rsidP="00BA5850">
      <w:pPr>
        <w:pStyle w:val="AERquote"/>
        <w:rPr>
          <w:rFonts w:eastAsia="Arial"/>
        </w:rPr>
      </w:pPr>
      <w:r w:rsidRPr="00BA5850">
        <w:rPr>
          <w:rFonts w:eastAsia="Arial"/>
        </w:rPr>
        <w:t xml:space="preserve">The amount of tax collected from the company by the government is found by applying the effective tax rate (T) to the operating income less interest, </w:t>
      </w:r>
      <w:r w:rsidR="0086094B" w:rsidRPr="00BA5850">
        <w:rPr>
          <w:rFonts w:eastAsia="Arial"/>
        </w:rPr>
        <w:t>i.e.</w:t>
      </w:r>
      <w:r w:rsidRPr="00BA5850">
        <w:rPr>
          <w:rFonts w:eastAsia="Arial"/>
        </w:rPr>
        <w:t xml:space="preserve"> X</w:t>
      </w:r>
      <w:r w:rsidRPr="00BA5850">
        <w:rPr>
          <w:rStyle w:val="AERsubscript"/>
          <w:rFonts w:eastAsia="Arial"/>
        </w:rPr>
        <w:t>O</w:t>
      </w:r>
      <w:r w:rsidRPr="00BA5850">
        <w:rPr>
          <w:rFonts w:eastAsia="Arial"/>
        </w:rPr>
        <w:t xml:space="preserve"> – X</w:t>
      </w:r>
      <w:r w:rsidRPr="00BA5850">
        <w:rPr>
          <w:rStyle w:val="AERsubscript"/>
          <w:rFonts w:eastAsia="Arial"/>
        </w:rPr>
        <w:t>D</w:t>
      </w:r>
      <w:r w:rsidRPr="00BA5850">
        <w:rPr>
          <w:rFonts w:eastAsia="Arial"/>
        </w:rPr>
        <w:t>.</w:t>
      </w:r>
    </w:p>
    <w:p w:rsidR="00BA5850" w:rsidRPr="00FD036B" w:rsidRDefault="00BA5850" w:rsidP="00BA5850">
      <w:pPr>
        <w:pStyle w:val="AERquote"/>
      </w:pPr>
      <w:r w:rsidRPr="00BA5850">
        <w:rPr>
          <w:rFonts w:eastAsia="Arial"/>
        </w:rPr>
        <w:t xml:space="preserve">This amount, </w:t>
      </w:r>
      <w:r w:rsidR="0086094B" w:rsidRPr="00BA5850">
        <w:rPr>
          <w:rFonts w:eastAsia="Arial"/>
        </w:rPr>
        <w:t>i.e.</w:t>
      </w:r>
      <w:r w:rsidRPr="00BA5850">
        <w:rPr>
          <w:rFonts w:eastAsia="Arial"/>
        </w:rPr>
        <w:t xml:space="preserve"> T(X</w:t>
      </w:r>
      <w:r w:rsidRPr="00BA5850">
        <w:rPr>
          <w:rStyle w:val="AERsubscript"/>
          <w:rFonts w:eastAsia="Arial"/>
        </w:rPr>
        <w:t>O</w:t>
      </w:r>
      <w:r w:rsidRPr="00BA5850">
        <w:rPr>
          <w:rFonts w:eastAsia="Arial"/>
        </w:rPr>
        <w:t xml:space="preserve"> – X</w:t>
      </w:r>
      <w:r w:rsidRPr="00BA5850">
        <w:rPr>
          <w:rStyle w:val="AERsubscript"/>
          <w:rFonts w:eastAsia="Arial"/>
        </w:rPr>
        <w:t>D</w:t>
      </w:r>
      <w:r w:rsidRPr="00BA5850">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BA5850" w:rsidRPr="00BA5850" w:rsidRDefault="00BA5850" w:rsidP="00BA5850">
      <w:pPr>
        <w:pStyle w:val="AERquote"/>
        <w:rPr>
          <w:rFonts w:eastAsia="Arial"/>
        </w:rPr>
      </w:pPr>
      <w:r w:rsidRPr="00BA5850">
        <w:rPr>
          <w:rFonts w:eastAsia="Arial"/>
        </w:rPr>
        <w:t>In these circumstances, the effective level of company tax paid is defined by:</w:t>
      </w:r>
    </w:p>
    <w:p w:rsidR="00BA5850" w:rsidRPr="00BA5850" w:rsidRDefault="00BA5850" w:rsidP="00BA5850">
      <w:pPr>
        <w:pStyle w:val="AERquote"/>
        <w:rPr>
          <w:rFonts w:eastAsia="Arial"/>
        </w:rPr>
      </w:pPr>
      <w:r w:rsidRPr="00BA5850">
        <w:rPr>
          <w:rFonts w:eastAsia="Arial"/>
        </w:rPr>
        <w:t>XG = T(X</w:t>
      </w:r>
      <w:r w:rsidRPr="00BA5850">
        <w:rPr>
          <w:rStyle w:val="AERsubscript"/>
          <w:rFonts w:eastAsia="Arial"/>
        </w:rPr>
        <w:t>O</w:t>
      </w:r>
      <w:r w:rsidRPr="00BA5850">
        <w:rPr>
          <w:rFonts w:eastAsia="Arial"/>
        </w:rPr>
        <w:t xml:space="preserve"> – X</w:t>
      </w:r>
      <w:r w:rsidRPr="00BA5850">
        <w:rPr>
          <w:rStyle w:val="AERsubscript"/>
          <w:rFonts w:eastAsia="Arial"/>
        </w:rPr>
        <w:t>D</w:t>
      </w:r>
      <w:r w:rsidRPr="00BA5850">
        <w:rPr>
          <w:rFonts w:eastAsia="Arial"/>
        </w:rPr>
        <w:t>) - γ . T(X</w:t>
      </w:r>
      <w:r w:rsidRPr="00BA5850">
        <w:rPr>
          <w:rStyle w:val="AERsubscript"/>
          <w:rFonts w:eastAsia="Arial"/>
        </w:rPr>
        <w:t>O</w:t>
      </w:r>
      <w:r w:rsidRPr="00BA5850">
        <w:rPr>
          <w:rFonts w:eastAsia="Arial"/>
        </w:rPr>
        <w:t xml:space="preserve"> – X</w:t>
      </w:r>
      <w:r w:rsidRPr="00BA5850">
        <w:rPr>
          <w:rStyle w:val="AERsubscript"/>
          <w:rFonts w:eastAsia="Arial"/>
        </w:rPr>
        <w:t>D</w:t>
      </w:r>
      <w:r w:rsidRPr="00BA5850">
        <w:rPr>
          <w:rFonts w:eastAsia="Arial"/>
        </w:rPr>
        <w:t>)</w:t>
      </w:r>
    </w:p>
    <w:p w:rsidR="00BA5850" w:rsidRPr="00BA5850" w:rsidRDefault="00BA5850" w:rsidP="00BA5850">
      <w:pPr>
        <w:pStyle w:val="AERquote"/>
        <w:rPr>
          <w:rFonts w:eastAsia="Arial"/>
        </w:rPr>
      </w:pPr>
      <w:r w:rsidRPr="00BA5850">
        <w:rPr>
          <w:rFonts w:eastAsia="Arial"/>
        </w:rPr>
        <w:t>= T (X</w:t>
      </w:r>
      <w:r w:rsidRPr="00BA5850">
        <w:rPr>
          <w:rStyle w:val="AERsubscript"/>
          <w:rFonts w:eastAsia="Arial"/>
        </w:rPr>
        <w:t>O</w:t>
      </w:r>
      <w:r w:rsidRPr="00BA5850">
        <w:rPr>
          <w:rFonts w:eastAsia="Arial"/>
        </w:rPr>
        <w:t xml:space="preserve"> – X</w:t>
      </w:r>
      <w:r w:rsidRPr="00BA5850">
        <w:rPr>
          <w:rStyle w:val="AERsubscript"/>
          <w:rFonts w:eastAsia="Arial"/>
        </w:rPr>
        <w:t>D</w:t>
      </w:r>
      <w:r w:rsidRPr="00BA5850">
        <w:rPr>
          <w:rFonts w:eastAsia="Arial"/>
        </w:rPr>
        <w:t>) (1-γ)</w:t>
      </w:r>
      <w:r w:rsidRPr="00BA5850">
        <w:rPr>
          <w:rFonts w:eastAsia="Arial"/>
        </w:rPr>
        <w:tab/>
        <w:t>(2)</w:t>
      </w:r>
    </w:p>
    <w:p w:rsidR="00BA5850" w:rsidRPr="00BA5850" w:rsidRDefault="00BA5850" w:rsidP="00BA5850">
      <w:pPr>
        <w:pStyle w:val="AERquote"/>
        <w:rPr>
          <w:rFonts w:eastAsia="Arial"/>
        </w:rPr>
      </w:pPr>
      <w:r w:rsidRPr="00BA5850">
        <w:rPr>
          <w:rFonts w:eastAsia="Arial"/>
        </w:rPr>
        <w:t>where</w:t>
      </w:r>
    </w:p>
    <w:p w:rsidR="00BA5850" w:rsidRPr="00BA5850" w:rsidRDefault="00BA5850" w:rsidP="00BA5850">
      <w:pPr>
        <w:pStyle w:val="AERquote"/>
        <w:rPr>
          <w:rFonts w:eastAsia="Arial"/>
        </w:rPr>
      </w:pPr>
      <w:r w:rsidRPr="00BA5850">
        <w:rPr>
          <w:rFonts w:eastAsia="Arial"/>
        </w:rPr>
        <w:t xml:space="preserve">T is the tax rate effective for the definition of assessable income as defined in (2), it is the effective rate which is levied at the company level and it is a mixture of company </w:t>
      </w:r>
      <w:r w:rsidRPr="00BA5850">
        <w:rPr>
          <w:rFonts w:eastAsia="Arial"/>
        </w:rPr>
        <w:lastRenderedPageBreak/>
        <w:t>tax T(1-γ) and personal tax, T. γ, i.e. T= T( 1-γ) + Tγ. Thus γ is the proportion of tax collected from the company which gives rise to the tax credit associated with a franked dividend. This franking</w:t>
      </w:r>
      <w:r>
        <w:t xml:space="preserve"> </w:t>
      </w:r>
      <w:r w:rsidRPr="00BA5850">
        <w:rPr>
          <w:rFonts w:eastAsia="Arial"/>
        </w:rPr>
        <w:t>credit can be utilized as tax credit against the personal tax liabilities of the shareholder. γ can be interpreted as the value of a dollar of tax credit to the shareholder.</w:t>
      </w:r>
    </w:p>
    <w:p w:rsidR="00BA5850" w:rsidRPr="00FD036B" w:rsidRDefault="00BA5850" w:rsidP="00BA5850">
      <w:pPr>
        <w:pStyle w:val="ListParagraph"/>
        <w:numPr>
          <w:ilvl w:val="0"/>
          <w:numId w:val="24"/>
        </w:numPr>
      </w:pPr>
      <w:r w:rsidRPr="00FD036B">
        <w:t>The Officer Paper set out the following example of its interpretation of gamma:</w:t>
      </w:r>
      <w:r>
        <w:rPr>
          <w:rStyle w:val="FootnoteReference"/>
        </w:rPr>
        <w:footnoteReference w:id="300"/>
      </w:r>
    </w:p>
    <w:p w:rsidR="00BA5850" w:rsidRPr="00BA5850" w:rsidRDefault="00BA5850" w:rsidP="00BA5850">
      <w:pPr>
        <w:pStyle w:val="AERquote"/>
        <w:rPr>
          <w:rFonts w:eastAsia="Arial"/>
        </w:rPr>
      </w:pPr>
      <w:r w:rsidRPr="00BA5850">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BA5850" w:rsidRDefault="00BA5850" w:rsidP="00BA5850">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BA5850" w:rsidRPr="00883125" w:rsidRDefault="00BA5850" w:rsidP="00BA5850">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BA5850" w:rsidRPr="00883125" w:rsidRDefault="00BA5850" w:rsidP="00BA5850">
      <w:pPr>
        <w:pStyle w:val="AERquote"/>
      </w:pPr>
      <w:r w:rsidRPr="00883125">
        <w:t>Similarly, Officer has described gamma in seemingly different ways. For example he refers to:</w:t>
      </w:r>
    </w:p>
    <w:p w:rsidR="00BA5850" w:rsidRPr="00883125" w:rsidRDefault="00BA5850" w:rsidP="00BA5850">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BA5850" w:rsidRPr="00883125" w:rsidRDefault="00BA5850" w:rsidP="00BA5850">
      <w:pPr>
        <w:pStyle w:val="AERquote"/>
      </w:pPr>
      <w:r w:rsidRPr="00883125">
        <w:t>and shortly thereafter:</w:t>
      </w:r>
    </w:p>
    <w:p w:rsidR="00BA5850" w:rsidRPr="00883125" w:rsidRDefault="00BA5850" w:rsidP="00BA5850">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BA5850" w:rsidRPr="00883125" w:rsidRDefault="00BA5850" w:rsidP="00BA5850">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BA5850" w:rsidRPr="00883125" w:rsidRDefault="00BA5850" w:rsidP="00BA5850">
      <w:pPr>
        <w:numPr>
          <w:ilvl w:val="0"/>
          <w:numId w:val="24"/>
        </w:numPr>
      </w:pPr>
      <w:r w:rsidRPr="00883125">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t>
      </w:r>
      <w:r w:rsidRPr="00883125">
        <w:lastRenderedPageBreak/>
        <w:t>we adopted in the Guideline and continue to adopt in this decision. This interpretation is consistent with the Officer framework and is supported by advice from Handley.</w:t>
      </w:r>
    </w:p>
    <w:p w:rsidR="00BA5850" w:rsidRPr="005764F6" w:rsidRDefault="00BA5850" w:rsidP="00BA5850">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BA5850" w:rsidRPr="005764F6" w:rsidRDefault="00BA5850" w:rsidP="00BA5850">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BA5850" w:rsidRPr="005764F6" w:rsidRDefault="00BA5850" w:rsidP="00BA5850">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5"/>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746877">
        <w:t>A.15.3</w:t>
      </w:r>
      <w:r w:rsidRPr="005764F6">
        <w:fldChar w:fldCharType="end"/>
      </w:r>
      <w:r w:rsidRPr="005764F6">
        <w:t>.</w:t>
      </w:r>
    </w:p>
    <w:p w:rsidR="00BA5850" w:rsidRPr="00883125" w:rsidRDefault="00BA5850" w:rsidP="00BA5850">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BA5850" w:rsidRPr="00883125" w:rsidRDefault="00BA5850" w:rsidP="00BA5850">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BA5850" w:rsidRPr="00883125" w:rsidRDefault="00BA5850" w:rsidP="00BA5850">
      <w:pPr>
        <w:numPr>
          <w:ilvl w:val="0"/>
          <w:numId w:val="24"/>
        </w:numPr>
      </w:pPr>
      <w:r w:rsidRPr="00883125">
        <w:t>where:</w:t>
      </w:r>
    </w:p>
    <w:p w:rsidR="00BA5850" w:rsidRPr="00BA5850" w:rsidRDefault="00BA5850" w:rsidP="00BA5850">
      <w:pPr>
        <w:pStyle w:val="AERbulletlistfirststyle"/>
      </w:pPr>
      <m:oMath>
        <m:r>
          <w:rPr>
            <w:rFonts w:ascii="Cambria Math" w:hAnsi="Cambria Math"/>
          </w:rPr>
          <m:t>F</m:t>
        </m:r>
      </m:oMath>
      <w:r w:rsidRPr="00BA5850">
        <w:t xml:space="preserve"> is the proportion of imputation credits generated that are distributed in a period (the 'distribution rate').</w:t>
      </w:r>
    </w:p>
    <w:p w:rsidR="00BA5850" w:rsidRPr="00BA5850" w:rsidRDefault="00BA5850" w:rsidP="00BA5850">
      <w:pPr>
        <w:pStyle w:val="AERbulletlistfirststyle"/>
      </w:pPr>
      <m:oMath>
        <m:r>
          <w:rPr>
            <w:rFonts w:ascii="Cambria Math" w:hAnsi="Cambria Math"/>
          </w:rPr>
          <m:t>θ</m:t>
        </m:r>
      </m:oMath>
      <w:r w:rsidRPr="00BA5850">
        <w:t xml:space="preserve"> (theta) is the utilisation value to investors in the market per dollar of imputation credits distributed (the 'utilisation rate').</w:t>
      </w:r>
    </w:p>
    <w:p w:rsidR="00BA5850" w:rsidRPr="00BA5850" w:rsidRDefault="00BA5850" w:rsidP="00BA5850">
      <w:pPr>
        <w:pStyle w:val="AERbulletlistfirststyle"/>
      </w:pPr>
      <m:oMath>
        <m:r>
          <w:rPr>
            <w:rFonts w:ascii="Cambria Math" w:hAnsi="Cambria Math"/>
          </w:rPr>
          <m:t>ψ</m:t>
        </m:r>
      </m:oMath>
      <w:r w:rsidRPr="00BA5850" w:rsidDel="008647A1">
        <w:t xml:space="preserve"> </w:t>
      </w:r>
      <w:r w:rsidRPr="00BA5850">
        <w:t>(psi) is the utilisation value of a retained credit to investors in the market.</w:t>
      </w:r>
    </w:p>
    <w:p w:rsidR="00BA5850" w:rsidRPr="00883125" w:rsidRDefault="00BA5850" w:rsidP="00BA5850">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BA5850" w:rsidRPr="00883125" w:rsidRDefault="00BA5850" w:rsidP="00BA5850">
      <w:pPr>
        <w:pStyle w:val="AERquote"/>
      </w:pPr>
      <w:r w:rsidRPr="00883125">
        <w:t>This interpretation of theta as a complex weighted average of investor utilisation rates is consistent with that appearing in Monkhouse (1993) and Lally and van Zijl (2003)…</w:t>
      </w:r>
    </w:p>
    <w:p w:rsidR="00BA5850" w:rsidRPr="00883125" w:rsidRDefault="00BA5850" w:rsidP="00BA5850">
      <w:pPr>
        <w:numPr>
          <w:ilvl w:val="0"/>
          <w:numId w:val="24"/>
        </w:numPr>
      </w:pPr>
      <w:r w:rsidRPr="00883125">
        <w:t>This is also supported by Lally's remarks on the work of Lally and van Zijl:</w:t>
      </w:r>
      <w:r w:rsidRPr="00883125">
        <w:rPr>
          <w:rStyle w:val="FootnoteReference"/>
        </w:rPr>
        <w:footnoteReference w:id="309"/>
      </w:r>
    </w:p>
    <w:p w:rsidR="00BA5850" w:rsidRPr="00883125" w:rsidRDefault="00BA5850" w:rsidP="00BA5850">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BA5850" w:rsidRPr="00883125" w:rsidRDefault="00BA5850" w:rsidP="00BA5850">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final</w:t>
      </w:r>
      <w:r w:rsidRPr="00883125">
        <w:t xml:space="preserve"> 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746877">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746877">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746877">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746877">
        <w:t>A.8.1</w:t>
      </w:r>
      <w:r w:rsidRPr="00883125">
        <w:fldChar w:fldCharType="end"/>
      </w:r>
      <w:r w:rsidRPr="00883125">
        <w:t>.</w:t>
      </w:r>
    </w:p>
    <w:p w:rsidR="00BA5850" w:rsidRPr="00883125" w:rsidRDefault="00BA5850" w:rsidP="00BA5850">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BA5850" w:rsidRPr="00883125" w:rsidRDefault="00BA5850" w:rsidP="00BA5850">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BA5850" w:rsidRPr="00B27BE5" w:rsidRDefault="00BA5850" w:rsidP="00BA5850">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2"/>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3"/>
      </w:r>
      <w:r w:rsidRPr="00B27BE5">
        <w:t xml:space="preserve"> </w:t>
      </w:r>
    </w:p>
    <w:p w:rsidR="00BA5850" w:rsidRPr="00B27BE5" w:rsidRDefault="00BA5850" w:rsidP="00BA5850">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t>.</w:t>
      </w:r>
    </w:p>
    <w:p w:rsidR="00BA5850" w:rsidRPr="00883125" w:rsidRDefault="00BA5850" w:rsidP="00BA5850">
      <w:pPr>
        <w:pStyle w:val="Heading8"/>
      </w:pPr>
      <w:bookmarkStart w:id="194" w:name="_Ref414282622"/>
      <w:bookmarkStart w:id="195" w:name="_Toc436049448"/>
      <w:bookmarkStart w:id="196" w:name="_Ref451789926"/>
      <w:bookmarkStart w:id="197" w:name="_Toc451842253"/>
      <w:bookmarkStart w:id="198" w:name="_Ref451849752"/>
      <w:bookmarkStart w:id="199" w:name="_Toc451936178"/>
      <w:r w:rsidRPr="00883125">
        <w:t>Gray's comments on the conceptual framework</w:t>
      </w:r>
      <w:bookmarkEnd w:id="194"/>
      <w:r w:rsidRPr="00883125">
        <w:t>.</w:t>
      </w:r>
      <w:r w:rsidRPr="00883125">
        <w:rPr>
          <w:rStyle w:val="FootnoteReference"/>
        </w:rPr>
        <w:footnoteReference w:id="314"/>
      </w:r>
      <w:bookmarkEnd w:id="195"/>
      <w:bookmarkEnd w:id="196"/>
      <w:bookmarkEnd w:id="197"/>
      <w:bookmarkEnd w:id="198"/>
      <w:bookmarkEnd w:id="199"/>
    </w:p>
    <w:p w:rsidR="00BA5850" w:rsidRPr="00883125" w:rsidRDefault="00BA5850" w:rsidP="00BA5850">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BA5850" w:rsidRPr="00883125" w:rsidRDefault="00BA5850" w:rsidP="00BA5850">
      <w:pPr>
        <w:numPr>
          <w:ilvl w:val="0"/>
          <w:numId w:val="24"/>
        </w:numPr>
      </w:pPr>
      <w:r w:rsidRPr="00883125">
        <w:t>Gray's May 2014 report (for SFG) for the service providers submitted that:</w:t>
      </w:r>
    </w:p>
    <w:p w:rsidR="00BA5850" w:rsidRPr="00883125" w:rsidRDefault="00BA5850" w:rsidP="00BA5850">
      <w:pPr>
        <w:pStyle w:val="AERbulletlistfirststyle"/>
      </w:pPr>
      <w:r w:rsidRPr="00883125">
        <w:t xml:space="preserve">The advice and evidence cited in the Guideline does not support the interpretation of the utilisation rate in the Guideline. </w:t>
      </w:r>
    </w:p>
    <w:p w:rsidR="00BA5850" w:rsidRPr="00883125" w:rsidRDefault="00BA5850" w:rsidP="00BA5850">
      <w:pPr>
        <w:pStyle w:val="AERbulletlistfirststyle"/>
      </w:pPr>
      <w:r w:rsidRPr="00883125">
        <w:t>Officer shows that the value of imputation credits (gamma) represents the extent to which imputation credits are capitalised into the stock price.</w:t>
      </w:r>
    </w:p>
    <w:p w:rsidR="00BA5850" w:rsidRPr="00883125" w:rsidRDefault="00BA5850" w:rsidP="00BA5850">
      <w:pPr>
        <w:pStyle w:val="AERbulletlistfirststyle"/>
      </w:pPr>
      <w:r w:rsidRPr="00883125">
        <w:t>The utilisation rate in the framework provided by Monkhouse (and Lally and van Zijl) should not be used to estimate the value of imputation credits.</w:t>
      </w:r>
    </w:p>
    <w:p w:rsidR="00BA5850" w:rsidRPr="00883125" w:rsidRDefault="00BA5850" w:rsidP="00BA5850">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BA5850" w:rsidRPr="00883125" w:rsidRDefault="00BA5850" w:rsidP="00BA5850">
      <w:pPr>
        <w:pStyle w:val="Heading9"/>
      </w:pPr>
      <w:bookmarkStart w:id="200" w:name="_Ref402179374"/>
      <w:r w:rsidRPr="00883125">
        <w:t>Gray's comments on the AER's position</w:t>
      </w:r>
    </w:p>
    <w:p w:rsidR="00BA5850" w:rsidRPr="00883125" w:rsidRDefault="00BA5850" w:rsidP="00BA5850">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746877">
        <w:t>A.7.3</w:t>
      </w:r>
      <w:r w:rsidRPr="00883125">
        <w:fldChar w:fldCharType="end"/>
      </w:r>
      <w:r w:rsidRPr="00883125">
        <w:t>.</w:t>
      </w:r>
    </w:p>
    <w:p w:rsidR="00BA5850" w:rsidRPr="00883125" w:rsidRDefault="00BA5850" w:rsidP="00BA5850">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BA5850" w:rsidRPr="00883125" w:rsidRDefault="00BA5850" w:rsidP="00BA5850">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fldChar w:fldCharType="begin"/>
      </w:r>
      <w:r>
        <w:instrText xml:space="preserve"> REF _Ref450298425 \r \h </w:instrText>
      </w:r>
      <w:r>
        <w:fldChar w:fldCharType="separate"/>
      </w:r>
      <w:r w:rsidR="00746877">
        <w:t>A.8.2</w:t>
      </w:r>
      <w:r>
        <w:fldChar w:fldCharType="end"/>
      </w:r>
      <w:r>
        <w:t>.</w:t>
      </w:r>
    </w:p>
    <w:p w:rsidR="00BA5850" w:rsidRPr="00883125" w:rsidRDefault="00BA5850" w:rsidP="00BA5850">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BA5850" w:rsidRPr="00883125" w:rsidRDefault="00BA5850" w:rsidP="00BA5850">
      <w:r w:rsidRPr="00883125">
        <w:t>We also disagree with Gray's view that:</w:t>
      </w:r>
      <w:r w:rsidRPr="00883125">
        <w:rPr>
          <w:rStyle w:val="FootnoteReference"/>
        </w:rPr>
        <w:footnoteReference w:id="319"/>
      </w:r>
    </w:p>
    <w:p w:rsidR="00BA5850" w:rsidRPr="00883125" w:rsidRDefault="00BA5850" w:rsidP="00BA5850">
      <w:pPr>
        <w:pStyle w:val="AERquote"/>
      </w:pPr>
      <w:r w:rsidRPr="00883125">
        <w:t>The AER is not saying that it has identified a number of approaches for estimating the value (as in "worth to investors in the market") of imputation credits. Rather, the AER considers:</w:t>
      </w:r>
    </w:p>
    <w:p w:rsidR="00BA5850" w:rsidRPr="00883125" w:rsidRDefault="00BA5850" w:rsidP="00BA5850">
      <w:pPr>
        <w:pStyle w:val="AERquote"/>
      </w:pPr>
      <w:r w:rsidRPr="00883125">
        <w:t>a) Some approaches for estimating the value (as in "worth to investors in the market") of imputation credits – the market value studies; and</w:t>
      </w:r>
    </w:p>
    <w:p w:rsidR="00BA5850" w:rsidRPr="00883125" w:rsidRDefault="00BA5850" w:rsidP="00BA5850">
      <w:pPr>
        <w:pStyle w:val="AERquote"/>
      </w:pPr>
      <w:r w:rsidRPr="00883125">
        <w:t>b) Some approaches for estimating the redemption rate – the equity ownership and ATO tax statistic approaches.</w:t>
      </w:r>
    </w:p>
    <w:p w:rsidR="00BA5850" w:rsidRPr="00883125" w:rsidRDefault="00BA5850" w:rsidP="00BA5850">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746877">
        <w:t>4.4</w:t>
      </w:r>
      <w:r>
        <w:fldChar w:fldCharType="end"/>
      </w:r>
      <w:r w:rsidRPr="00883125">
        <w:t xml:space="preserve"> of attachment 4.</w:t>
      </w:r>
    </w:p>
    <w:p w:rsidR="00BA5850" w:rsidRPr="00883125" w:rsidRDefault="00BA5850" w:rsidP="00BA5850">
      <w:pPr>
        <w:pStyle w:val="Heading9"/>
      </w:pPr>
      <w:r w:rsidRPr="00883125">
        <w:t>Gray's comments on certain evidence and advice cited in the Guideline</w:t>
      </w:r>
      <w:bookmarkEnd w:id="200"/>
    </w:p>
    <w:p w:rsidR="00BA5850" w:rsidRPr="00883125" w:rsidRDefault="00BA5850" w:rsidP="00BA5850">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BA5850" w:rsidRPr="00883125" w:rsidRDefault="00BA5850" w:rsidP="00BA5850">
      <w:pPr>
        <w:pStyle w:val="AERbulletlistfirststyle"/>
      </w:pPr>
      <w:r w:rsidRPr="00883125">
        <w:lastRenderedPageBreak/>
        <w:t>The AEMC's 2012 rule change</w:t>
      </w:r>
    </w:p>
    <w:p w:rsidR="00BA5850" w:rsidRPr="00883125" w:rsidRDefault="00BA5850" w:rsidP="00BA5850">
      <w:pPr>
        <w:pStyle w:val="AERbulletlistfirststyle"/>
      </w:pPr>
      <w:r w:rsidRPr="00883125">
        <w:t>McKenzie and Partington (2013)</w:t>
      </w:r>
    </w:p>
    <w:p w:rsidR="00BA5850" w:rsidRPr="00883125" w:rsidRDefault="00BA5850" w:rsidP="00BA5850">
      <w:pPr>
        <w:pStyle w:val="AERbulletlistfirststyle"/>
      </w:pPr>
      <w:r w:rsidRPr="00883125">
        <w:t>Handley (2008), and</w:t>
      </w:r>
    </w:p>
    <w:p w:rsidR="00BA5850" w:rsidRPr="00883125" w:rsidRDefault="00BA5850" w:rsidP="00BA5850">
      <w:pPr>
        <w:pStyle w:val="AERbulletlistfirststyle"/>
      </w:pPr>
      <w:r w:rsidRPr="00883125">
        <w:t>Hathaway and Officer (2004).</w:t>
      </w:r>
    </w:p>
    <w:p w:rsidR="00BA5850" w:rsidRPr="00883125" w:rsidRDefault="00BA5850" w:rsidP="00BA5850">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BA5850" w:rsidRPr="00883125" w:rsidRDefault="00BA5850" w:rsidP="00BA5850">
      <w:pPr>
        <w:pStyle w:val="Heading9"/>
      </w:pPr>
      <w:bookmarkStart w:id="201" w:name="_Ref414028398"/>
      <w:r w:rsidRPr="00883125">
        <w:t>Gray's comments on Officer (1994)</w:t>
      </w:r>
      <w:bookmarkEnd w:id="201"/>
      <w:r w:rsidRPr="00883125">
        <w:t xml:space="preserve"> </w:t>
      </w:r>
    </w:p>
    <w:p w:rsidR="00BA5850" w:rsidRPr="00883125" w:rsidRDefault="00BA5850" w:rsidP="00BA5850">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BA5850" w:rsidRPr="00883125" w:rsidRDefault="00BA5850" w:rsidP="00BA5850">
      <w:pPr>
        <w:pStyle w:val="HeadingBoldBlue"/>
      </w:pPr>
      <w:r w:rsidRPr="00883125">
        <w:t>The text in Officer (1994)</w:t>
      </w:r>
    </w:p>
    <w:p w:rsidR="00BA5850" w:rsidRPr="00883125" w:rsidRDefault="00BA5850" w:rsidP="00BA5850">
      <w:r w:rsidRPr="00883125">
        <w:t>Gray (for SFG) submitted that Officer's paper suggests that there are two possible interpretations of gamma:</w:t>
      </w:r>
      <w:r w:rsidRPr="00883125">
        <w:rPr>
          <w:rStyle w:val="FootnoteReference"/>
        </w:rPr>
        <w:footnoteReference w:id="323"/>
      </w:r>
    </w:p>
    <w:p w:rsidR="00BA5850" w:rsidRPr="00883125" w:rsidRDefault="00BA5850" w:rsidP="00BA5850">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BA5850" w:rsidRPr="00883125" w:rsidRDefault="00BA5850" w:rsidP="00BA5850">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BA5850" w:rsidRPr="00883125" w:rsidRDefault="00BA5850" w:rsidP="00BA5850">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BA5850" w:rsidRPr="00883125" w:rsidRDefault="00BA5850" w:rsidP="00BA5850">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BA5850" w:rsidRPr="00883125" w:rsidRDefault="00BA5850" w:rsidP="00BA5850">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BA5850" w:rsidRPr="00883125" w:rsidRDefault="00BA5850" w:rsidP="00BA5850">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BA5850" w:rsidRPr="00883125" w:rsidRDefault="00BA5850" w:rsidP="00BA5850">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BA5850" w:rsidRPr="00883125" w:rsidRDefault="00BA5850" w:rsidP="00BA5850">
      <w:r w:rsidRPr="00883125">
        <w:t>Handley also noted:</w:t>
      </w:r>
      <w:r w:rsidRPr="00883125">
        <w:rPr>
          <w:rStyle w:val="FootnoteReference"/>
        </w:rPr>
        <w:footnoteReference w:id="327"/>
      </w:r>
    </w:p>
    <w:p w:rsidR="00BA5850" w:rsidRPr="00883125" w:rsidRDefault="00BA5850" w:rsidP="00BA5850">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BA5850" w:rsidRPr="00883125" w:rsidRDefault="00BA5850" w:rsidP="00BA5850">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BA5850" w:rsidRPr="00883125" w:rsidRDefault="00BA5850" w:rsidP="00BA5850">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BA5850" w:rsidRPr="00883125" w:rsidRDefault="00BA5850" w:rsidP="00BA5850">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BA5850" w:rsidRPr="00883125" w:rsidRDefault="00BA5850" w:rsidP="00BA5850">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BA5850" w:rsidRPr="00883125" w:rsidRDefault="00BA5850" w:rsidP="00BA5850">
      <w:pPr>
        <w:pStyle w:val="HeadingBoldBlue"/>
      </w:pPr>
      <w:r w:rsidRPr="00883125">
        <w:t>The formulas in Officer (1994)</w:t>
      </w:r>
    </w:p>
    <w:p w:rsidR="00BA5850" w:rsidRPr="00883125" w:rsidRDefault="00BA5850" w:rsidP="00BA5850">
      <w:r w:rsidRPr="00883125">
        <w:t>Gray (for SFG) submitted that the formulas in Officer (1994) support his interpretation of the value of imputation credits:</w:t>
      </w:r>
      <w:r w:rsidRPr="00883125">
        <w:rPr>
          <w:rStyle w:val="FootnoteReference"/>
        </w:rPr>
        <w:footnoteReference w:id="331"/>
      </w:r>
    </w:p>
    <w:p w:rsidR="00BA5850" w:rsidRPr="00883125" w:rsidRDefault="00BA5850" w:rsidP="00BA5850">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BA5850" w:rsidRPr="00883125" w:rsidRDefault="00BA5850" w:rsidP="00BA5850">
      <w:pPr>
        <w:pStyle w:val="AERquote"/>
      </w:pPr>
      <w:r w:rsidRPr="00883125">
        <w:t>Another way to see this is to rearrange the formula to isolate gamma as follows:</w:t>
      </w:r>
    </w:p>
    <w:p w:rsidR="00BA5850" w:rsidRPr="00883125" w:rsidRDefault="00BA5C67" w:rsidP="00BA5850">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BA5850" w:rsidRPr="00883125" w:rsidRDefault="00BA5850" w:rsidP="00BA5850">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BA5850" w:rsidRPr="00883125" w:rsidRDefault="00BA5850" w:rsidP="00BA5850">
      <w:r w:rsidRPr="00883125">
        <w:t>Handley reviewed Gray's submission and considered:</w:t>
      </w:r>
      <w:r w:rsidRPr="00883125">
        <w:rPr>
          <w:rStyle w:val="FootnoteReference"/>
        </w:rPr>
        <w:footnoteReference w:id="332"/>
      </w:r>
    </w:p>
    <w:p w:rsidR="00BA5850" w:rsidRPr="00883125" w:rsidRDefault="00BA5850" w:rsidP="00BA5850">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BA5850" w:rsidRPr="00883125" w:rsidRDefault="00BA5850" w:rsidP="00BA5850">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BA5850" w:rsidRPr="00883125" w:rsidRDefault="00BA5850" w:rsidP="00BA5850">
      <w:pPr>
        <w:pStyle w:val="HeadingBoldBlue"/>
      </w:pPr>
      <w:r w:rsidRPr="00883125">
        <w:t>Interpretation of gamma in textbooks</w:t>
      </w:r>
    </w:p>
    <w:p w:rsidR="00BA5850" w:rsidRPr="00883125" w:rsidRDefault="00BA5850" w:rsidP="00BA5850">
      <w:r w:rsidRPr="00883125">
        <w:t>In his June 2015 report (for Frontier), Gray stated:</w:t>
      </w:r>
      <w:r w:rsidRPr="00883125">
        <w:rPr>
          <w:rStyle w:val="FootnoteReference"/>
        </w:rPr>
        <w:footnoteReference w:id="333"/>
      </w:r>
    </w:p>
    <w:p w:rsidR="00BA5850" w:rsidRPr="00883125" w:rsidRDefault="00BA5850" w:rsidP="00BA5850">
      <w:pPr>
        <w:pStyle w:val="AERquote"/>
      </w:pPr>
      <w:r w:rsidRPr="00883125">
        <w:t>I am unaware of any published work that interprets gamma in terms of the redemption rate.</w:t>
      </w:r>
    </w:p>
    <w:p w:rsidR="00BA5850" w:rsidRPr="00883125" w:rsidRDefault="00BA5850" w:rsidP="00BA5850">
      <w:r w:rsidRPr="00883125">
        <w:t>However, there are several textbooks that describe gamma in a manner consistent with our understanding. For example, Peirson et al (2009):</w:t>
      </w:r>
      <w:r w:rsidRPr="00883125">
        <w:rPr>
          <w:rStyle w:val="FootnoteReference"/>
        </w:rPr>
        <w:footnoteReference w:id="334"/>
      </w:r>
    </w:p>
    <w:p w:rsidR="00BA5850" w:rsidRPr="00883125" w:rsidRDefault="00BA5850" w:rsidP="00BA5850">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BA5850" w:rsidRPr="00883125" w:rsidRDefault="00BA5850" w:rsidP="00BA5850">
      <w:pPr>
        <w:pStyle w:val="AERquote"/>
      </w:pPr>
      <w:r w:rsidRPr="00883125">
        <w:t>…</w:t>
      </w:r>
    </w:p>
    <w:p w:rsidR="00BA5850" w:rsidRPr="00883125" w:rsidRDefault="00BA5850" w:rsidP="00BA5850">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BA5850" w:rsidRPr="00883125" w:rsidRDefault="00BA5850" w:rsidP="00BA5850">
      <w:r w:rsidRPr="00883125">
        <w:t>Berk et al (2014):</w:t>
      </w:r>
      <w:r w:rsidRPr="00883125">
        <w:rPr>
          <w:rStyle w:val="FootnoteReference"/>
        </w:rPr>
        <w:footnoteReference w:id="335"/>
      </w:r>
    </w:p>
    <w:p w:rsidR="00BA5850" w:rsidRPr="00883125" w:rsidRDefault="00BA5850" w:rsidP="00BA5850">
      <w:pPr>
        <w:pStyle w:val="AERquote"/>
      </w:pPr>
      <w:r w:rsidRPr="00883125">
        <w:t>In a 1994 study, Officer shows that for valuation purposes the cost of equity under an imputation system should be adjusted by a factor equal to:</w:t>
      </w:r>
    </w:p>
    <w:p w:rsidR="00BA5850" w:rsidRPr="00883125" w:rsidRDefault="00BA5C67" w:rsidP="00BA5850">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BA5850" w:rsidRPr="00883125" w:rsidRDefault="00BA5850" w:rsidP="00BA5850">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BA5850" w:rsidRPr="00883125" w:rsidRDefault="00BA5850" w:rsidP="00BA5850">
      <w:r w:rsidRPr="00883125">
        <w:t>Gitman et al (2011):</w:t>
      </w:r>
      <w:r w:rsidRPr="00883125">
        <w:rPr>
          <w:rStyle w:val="FootnoteReference"/>
        </w:rPr>
        <w:footnoteReference w:id="336"/>
      </w:r>
    </w:p>
    <w:p w:rsidR="00BA5850" w:rsidRPr="00883125" w:rsidRDefault="00BA5850" w:rsidP="00BA5850">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BA5850" w:rsidRPr="00883125" w:rsidRDefault="00BA5850" w:rsidP="00BA5850">
      <w:pPr>
        <w:pStyle w:val="AERquote"/>
      </w:pPr>
      <w:r w:rsidRPr="00883125">
        <w:t>…</w:t>
      </w:r>
    </w:p>
    <w:p w:rsidR="00BA5850" w:rsidRPr="00883125" w:rsidRDefault="00BA5850" w:rsidP="00BA5850">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BA5850" w:rsidRPr="00883125" w:rsidRDefault="00BA5850" w:rsidP="00BA5850">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BA5850" w:rsidRPr="00883125" w:rsidRDefault="00BA5850" w:rsidP="00BA5850">
      <w:pPr>
        <w:pStyle w:val="AERquote"/>
      </w:pPr>
      <m:oMath>
        <m:r>
          <w:rPr>
            <w:rFonts w:ascii="Cambria Math" w:hAnsi="Cambria Math"/>
          </w:rPr>
          <m:t>γ</m:t>
        </m:r>
      </m:oMath>
      <w:r w:rsidRPr="00883125">
        <w:t xml:space="preserve"> = the market value of franking credits as a percentage of face value.</w:t>
      </w:r>
    </w:p>
    <w:p w:rsidR="00BA5850" w:rsidRPr="00883125" w:rsidRDefault="00BA5850" w:rsidP="00BA5850">
      <w:r w:rsidRPr="00883125">
        <w:t>However, there is no dispute here. As Handley explained:</w:t>
      </w:r>
      <w:r w:rsidRPr="00883125">
        <w:rPr>
          <w:rStyle w:val="FootnoteReference"/>
        </w:rPr>
        <w:footnoteReference w:id="338"/>
      </w:r>
    </w:p>
    <w:p w:rsidR="00BA5850" w:rsidRPr="00883125" w:rsidRDefault="00BA5850" w:rsidP="00BA5850">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BA5850" w:rsidRPr="00883125" w:rsidRDefault="00BA5850" w:rsidP="00BA5850">
      <w:r w:rsidRPr="00883125">
        <w:t>Moreover, there are other references to gamma in Partington's textbook that accord more closely with the characterisation in Officer's paper:</w:t>
      </w:r>
    </w:p>
    <w:p w:rsidR="00BA5850" w:rsidRPr="00883125" w:rsidRDefault="00BA5850" w:rsidP="00BA5850">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BA5850" w:rsidRPr="00883125" w:rsidRDefault="00BA5850" w:rsidP="00BA5850">
      <w:pPr>
        <w:pStyle w:val="AERquote"/>
      </w:pPr>
    </w:p>
    <w:p w:rsidR="00BA5850" w:rsidRPr="00883125" w:rsidRDefault="00BA5850" w:rsidP="00BA5850">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BA5850" w:rsidRPr="00883125" w:rsidRDefault="00BA5850" w:rsidP="00BA5850">
      <w:r w:rsidRPr="00883125">
        <w:t>Gray also quoted:</w:t>
      </w:r>
      <w:r w:rsidRPr="00883125">
        <w:rPr>
          <w:rStyle w:val="FootnoteReference"/>
        </w:rPr>
        <w:footnoteReference w:id="341"/>
      </w:r>
    </w:p>
    <w:p w:rsidR="00BA5850" w:rsidRPr="00883125" w:rsidRDefault="00BA5850" w:rsidP="00BA5850">
      <w:pPr>
        <w:pStyle w:val="AERquote"/>
      </w:pPr>
      <w:r w:rsidRPr="00883125">
        <w:t>The results have been mixed, but they suggest that the market value of franking credits is positive, but significantly less than the credit’s face value.</w:t>
      </w:r>
    </w:p>
    <w:p w:rsidR="00BA5850" w:rsidRPr="00883125" w:rsidRDefault="00BA5850" w:rsidP="00BA5850">
      <w:pPr>
        <w:pStyle w:val="AERquote"/>
      </w:pPr>
      <w:r w:rsidRPr="00883125">
        <w:t>…</w:t>
      </w:r>
    </w:p>
    <w:p w:rsidR="00BA5850" w:rsidRPr="00883125" w:rsidRDefault="00BA5850" w:rsidP="00BA5850">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BA5850" w:rsidRPr="00883125" w:rsidRDefault="00BA5850" w:rsidP="00BA5850">
      <w:r w:rsidRPr="00883125">
        <w:t>Again, there is no dispute. The estimates of the utilisation rate on which we rely are all significantly less than one, and our estimate of gamma is significantly less than one.</w:t>
      </w:r>
    </w:p>
    <w:p w:rsidR="00BA5850" w:rsidRPr="00883125" w:rsidRDefault="00BA5850" w:rsidP="00BA5850">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BA5850" w:rsidRPr="00883125" w:rsidRDefault="00BA5850" w:rsidP="00BA5850">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BA5850" w:rsidRPr="00883125" w:rsidRDefault="00BA5850" w:rsidP="00BA5850">
      <w:r w:rsidRPr="00883125">
        <w:t>The implications of this quote for understanding or determining gamma are unclear to us. For instance:</w:t>
      </w:r>
    </w:p>
    <w:p w:rsidR="00BA5850" w:rsidRPr="00BA5850" w:rsidRDefault="00BA5850" w:rsidP="00BA5850">
      <w:pPr>
        <w:pStyle w:val="AERbulletlistfirststyle"/>
      </w:pPr>
      <w:r w:rsidRPr="00883125">
        <w:t xml:space="preserve">Gray appeared elsewhere to be of the view that imputation </w:t>
      </w:r>
      <w:r w:rsidRPr="00BA5850">
        <w:rPr>
          <w:rStyle w:val="AERtextitalic"/>
        </w:rPr>
        <w:t>is</w:t>
      </w:r>
      <w:r w:rsidRPr="00BA5850">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BA5850">
        <w:rPr>
          <w:rStyle w:val="FootnoteReference"/>
        </w:rPr>
        <w:footnoteReference w:id="343"/>
      </w:r>
    </w:p>
    <w:p w:rsidR="00BA5850" w:rsidRPr="00BA5850" w:rsidRDefault="00BA5850" w:rsidP="00BA5850">
      <w:pPr>
        <w:pStyle w:val="AERbulletlistfirststyle"/>
      </w:pPr>
      <w:r w:rsidRPr="00883125">
        <w:t>The view in a recent paper co-authored by Partington did not appear to align with that in the quote:</w:t>
      </w:r>
      <w:r w:rsidRPr="00BA5850">
        <w:rPr>
          <w:rStyle w:val="FootnoteReference"/>
        </w:rPr>
        <w:footnoteReference w:id="344"/>
      </w:r>
    </w:p>
    <w:p w:rsidR="00BA5850" w:rsidRPr="00883125" w:rsidRDefault="00BA5850" w:rsidP="00BA5850">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BA5850" w:rsidRPr="00883125" w:rsidRDefault="00BA5850" w:rsidP="0086094B">
      <w:pPr>
        <w:pStyle w:val="HeadingBoldBlue"/>
        <w:keepNext/>
      </w:pPr>
      <w:r w:rsidRPr="00883125">
        <w:lastRenderedPageBreak/>
        <w:t>Recent academic work</w:t>
      </w:r>
    </w:p>
    <w:p w:rsidR="00BA5850" w:rsidRPr="00883125" w:rsidRDefault="00BA5850" w:rsidP="0086094B">
      <w:pPr>
        <w:keepNext/>
      </w:pPr>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BA5850" w:rsidRPr="00883125" w:rsidRDefault="00BA5850" w:rsidP="00BA5850">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BA5850" w:rsidRPr="00883125" w:rsidRDefault="00BA5850" w:rsidP="00BA5850">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BA5850" w:rsidRPr="00883125" w:rsidRDefault="00BA5850" w:rsidP="00BA5850">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BA5850" w:rsidRPr="00883125" w:rsidRDefault="00BA5850" w:rsidP="00BA5850">
      <w:r w:rsidRPr="00883125">
        <w:t>On the same page the paper also states in relation to some empirical evidence more generally:</w:t>
      </w:r>
      <w:r w:rsidRPr="00883125">
        <w:rPr>
          <w:rStyle w:val="FootnoteReference"/>
        </w:rPr>
        <w:footnoteReference w:id="350"/>
      </w:r>
    </w:p>
    <w:p w:rsidR="00BA5850" w:rsidRPr="00883125" w:rsidRDefault="00BA5850" w:rsidP="00BA5850">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BA5850" w:rsidRPr="00883125" w:rsidRDefault="00BA5850" w:rsidP="00BA5850">
      <w:pPr>
        <w:pStyle w:val="Heading9"/>
      </w:pPr>
      <w:r w:rsidRPr="00883125">
        <w:t>Gray's comments on the Monkhouse framework</w:t>
      </w:r>
    </w:p>
    <w:p w:rsidR="00BA5850" w:rsidRPr="00883125" w:rsidRDefault="00BA5850" w:rsidP="00BA5850">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46877">
        <w:t>A.6</w:t>
      </w:r>
      <w:r w:rsidRPr="00883125">
        <w:fldChar w:fldCharType="end"/>
      </w:r>
      <w:r w:rsidRPr="00883125">
        <w:t>, we consider that:</w:t>
      </w:r>
    </w:p>
    <w:p w:rsidR="00BA5850" w:rsidRPr="00883125" w:rsidRDefault="00BA5850" w:rsidP="00BA5850">
      <w:pPr>
        <w:pStyle w:val="AERbulletlistfirststyle"/>
      </w:pPr>
      <w:r w:rsidRPr="00883125">
        <w:t>The Officer framework provides the basis for the value of imputation credits adjustment in the NER/NGR.</w:t>
      </w:r>
    </w:p>
    <w:p w:rsidR="00BA5850" w:rsidRPr="00883125" w:rsidRDefault="00BA5850" w:rsidP="00BA5850">
      <w:pPr>
        <w:pStyle w:val="AERbulletlistfirststyle"/>
      </w:pPr>
      <w:r w:rsidRPr="00883125">
        <w:t>Monkhouse extends the Officer framework to a non-perpetuity setting, and shows that—assuming retained credits have no value—gamma from the Officer framework effectively equals the product of:</w:t>
      </w:r>
    </w:p>
    <w:p w:rsidR="00BA5850" w:rsidRPr="00883125" w:rsidRDefault="00BA5850" w:rsidP="00BA5850">
      <w:pPr>
        <w:pStyle w:val="AERbulletlistsecondstyle"/>
      </w:pPr>
      <w:r w:rsidRPr="00883125">
        <w:t>the distribution rate, and</w:t>
      </w:r>
    </w:p>
    <w:p w:rsidR="00BA5850" w:rsidRPr="00883125" w:rsidRDefault="00BA5850" w:rsidP="00BA5850">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A5850" w:rsidRPr="00883125" w:rsidRDefault="00BA5850" w:rsidP="00BA5850">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BA5850" w:rsidRPr="00883125" w:rsidRDefault="00BA5850" w:rsidP="00BA5850">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BA5850" w:rsidRPr="00883125" w:rsidRDefault="00BA5850" w:rsidP="00BA5850">
      <w:pPr>
        <w:pStyle w:val="AERbulletlistfirststyle"/>
      </w:pPr>
      <w:r w:rsidRPr="00883125">
        <w:t>the definition of theta from the Monkhouse framework, and</w:t>
      </w:r>
    </w:p>
    <w:p w:rsidR="00BA5850" w:rsidRPr="00883125" w:rsidRDefault="00BA5850" w:rsidP="00BA5850">
      <w:pPr>
        <w:pStyle w:val="AERbulletlistfirststyle"/>
      </w:pPr>
      <w:r w:rsidRPr="00883125">
        <w:t>the equity ownership approach to estimate theta.</w:t>
      </w:r>
    </w:p>
    <w:p w:rsidR="00BA5850" w:rsidRPr="00883125" w:rsidRDefault="00BA5850" w:rsidP="00BA5850">
      <w:r w:rsidRPr="00883125">
        <w:t>In the remainder of this section we identify what we consider to be the key points of this debate, and their implications for our estimation of the value of imputation credits.</w:t>
      </w:r>
    </w:p>
    <w:p w:rsidR="00BA5850" w:rsidRPr="00883125" w:rsidRDefault="00BA5850" w:rsidP="00BA5850">
      <w:r w:rsidRPr="00883125">
        <w:t>Gray's key point appears to be that:</w:t>
      </w:r>
      <w:r w:rsidRPr="00883125">
        <w:rPr>
          <w:rStyle w:val="FootnoteReference"/>
        </w:rPr>
        <w:footnoteReference w:id="354"/>
      </w:r>
    </w:p>
    <w:p w:rsidR="00BA5850" w:rsidRPr="00883125" w:rsidRDefault="00BA5850" w:rsidP="00BA5850">
      <w:pPr>
        <w:pStyle w:val="AERquote"/>
      </w:pPr>
      <w:r w:rsidRPr="00883125">
        <w:t>[The relevant class of CAPM models] derive an equilibrium by solving a market clearing condition. This involves noting that:</w:t>
      </w:r>
    </w:p>
    <w:p w:rsidR="00BA5850" w:rsidRPr="00883125" w:rsidRDefault="00BA5850" w:rsidP="00BA5850">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BA5850" w:rsidRPr="00883125" w:rsidRDefault="00BA5850" w:rsidP="00BA5850">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BA5850" w:rsidRPr="00883125" w:rsidRDefault="00BA5850" w:rsidP="00BA5850">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BA5850" w:rsidRPr="00883125" w:rsidRDefault="00BA5850" w:rsidP="00BA5850">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BA5850" w:rsidRPr="00883125" w:rsidRDefault="00BA5850" w:rsidP="00BA5850">
      <w:pPr>
        <w:pStyle w:val="AERquote"/>
      </w:pPr>
      <w:r w:rsidRPr="00883125">
        <w:t>But the CAPM makes no such assumption – it is SFG who does.</w:t>
      </w:r>
    </w:p>
    <w:p w:rsidR="00BA5850" w:rsidRPr="00883125" w:rsidRDefault="00BA5850" w:rsidP="00BA5850">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BA5850" w:rsidRPr="00883125" w:rsidRDefault="00BA5850" w:rsidP="00BA5850">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BA5850" w:rsidRPr="00883125" w:rsidRDefault="00BA5850" w:rsidP="00BA5850">
      <w:r w:rsidRPr="00883125">
        <w:t>Therefore, it would seem that the criticisms of our use of the definition of theta from the Monkhouse framework, and our responses to those criticisms, might be summarised as follows:</w:t>
      </w:r>
    </w:p>
    <w:p w:rsidR="00BA5850" w:rsidRPr="00883125" w:rsidRDefault="00BA5850" w:rsidP="00BA5850">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BA5850" w:rsidRPr="00BA5850" w:rsidRDefault="00BA5850" w:rsidP="00BA5850">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BA5850">
        <w:rPr>
          <w:rStyle w:val="FootnoteReference"/>
        </w:rPr>
        <w:footnoteReference w:id="356"/>
      </w:r>
      <w:r w:rsidRPr="00BA5850">
        <w:t xml:space="preserve"> Handley's view is, if the assumption is considered unreasonable, 'then one should bring the outside assets and outside investors into the model, for example, by using an international CAPM'.</w:t>
      </w:r>
      <w:r w:rsidRPr="00BA5850">
        <w:rPr>
          <w:rStyle w:val="FootnoteReference"/>
        </w:rPr>
        <w:footnoteReference w:id="357"/>
      </w:r>
      <w:r w:rsidRPr="00BA5850">
        <w:t xml:space="preserve"> However, neither Gray nor Handley suggested that we employ an international CAPM. Moreover, Handley clearly set out his view that our use of the definition of theta from the Monkhouse framework is reasonable.</w:t>
      </w:r>
      <w:r w:rsidRPr="00BA5850">
        <w:rPr>
          <w:rStyle w:val="FootnoteReference"/>
        </w:rPr>
        <w:footnoteReference w:id="358"/>
      </w:r>
      <w:r w:rsidRPr="00BA5850">
        <w:t xml:space="preserve"> </w:t>
      </w:r>
    </w:p>
    <w:p w:rsidR="00BA5850" w:rsidRPr="00883125" w:rsidRDefault="00BA5850" w:rsidP="00BA5850">
      <w:r w:rsidRPr="00883125">
        <w:t xml:space="preserve">In conclusion, we are not convinced that we should disregard the definition of theta from the Monkhouse framework when estimating the value of imputation credits. </w:t>
      </w:r>
    </w:p>
    <w:p w:rsidR="00BA5850" w:rsidRPr="00883125" w:rsidRDefault="00BA5850" w:rsidP="00BA5850">
      <w:pPr>
        <w:pStyle w:val="Heading8"/>
      </w:pPr>
      <w:bookmarkStart w:id="202" w:name="_Ref414623120"/>
      <w:bookmarkStart w:id="203" w:name="_Toc436049449"/>
      <w:bookmarkStart w:id="204" w:name="_Toc451842254"/>
      <w:bookmarkStart w:id="205" w:name="_Toc451936179"/>
      <w:r w:rsidRPr="00883125">
        <w:t>Further issues relating to the utilisation rate</w:t>
      </w:r>
      <w:bookmarkEnd w:id="202"/>
      <w:bookmarkEnd w:id="203"/>
      <w:bookmarkEnd w:id="204"/>
      <w:bookmarkEnd w:id="205"/>
    </w:p>
    <w:p w:rsidR="00BA5850" w:rsidRPr="00883125" w:rsidRDefault="00BA5850" w:rsidP="00BA5850">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746877">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746877">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BA5850" w:rsidRDefault="00BA5850" w:rsidP="00BA5850">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BA5850" w:rsidRPr="00883125" w:rsidRDefault="00BA5850" w:rsidP="00BA5850">
      <w:pPr>
        <w:numPr>
          <w:ilvl w:val="0"/>
          <w:numId w:val="24"/>
        </w:numPr>
      </w:pPr>
      <w:r w:rsidRPr="00883125">
        <w:t>In this section we provide further support for our position on the utilisation rate. In particular, we:</w:t>
      </w:r>
    </w:p>
    <w:p w:rsidR="00BA5850" w:rsidRPr="00883125" w:rsidRDefault="00BA5850" w:rsidP="00BA5850">
      <w:pPr>
        <w:pStyle w:val="AERbulletlistfirststyle"/>
      </w:pPr>
      <w:r w:rsidRPr="00883125">
        <w:t xml:space="preserve">explain how our position is consistent with the basis of the building block framework </w:t>
      </w:r>
    </w:p>
    <w:p w:rsidR="00BA5850" w:rsidRPr="00883125" w:rsidRDefault="00BA5850" w:rsidP="00BA5850">
      <w:pPr>
        <w:pStyle w:val="AERbulletlistfirststyle"/>
      </w:pPr>
      <w:r w:rsidRPr="00883125">
        <w:t>contrast our position with that of the service providers, including with reference to factors they considered should be reflected in the utilisation rate, and</w:t>
      </w:r>
    </w:p>
    <w:p w:rsidR="00BA5850" w:rsidRPr="00883125" w:rsidRDefault="00BA5850" w:rsidP="00BA5850">
      <w:pPr>
        <w:pStyle w:val="AERbulletlistfirststyle"/>
      </w:pPr>
      <w:r w:rsidRPr="00883125">
        <w:t>respond to NERA's view.</w:t>
      </w:r>
    </w:p>
    <w:p w:rsidR="00BA5850" w:rsidRPr="00883125" w:rsidRDefault="00BA5850" w:rsidP="00BA5850">
      <w:pPr>
        <w:pStyle w:val="Heading9"/>
      </w:pPr>
      <w:bookmarkStart w:id="206" w:name="_Ref401748758"/>
      <w:r w:rsidRPr="00883125">
        <w:t>Consistency with the building block framework</w:t>
      </w:r>
      <w:bookmarkEnd w:id="206"/>
    </w:p>
    <w:p w:rsidR="00BA5850" w:rsidRPr="00883125" w:rsidRDefault="00BA5850" w:rsidP="00BA5850">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BA5850" w:rsidRPr="00883125" w:rsidRDefault="00BA5850" w:rsidP="00BA5850">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BA5850" w:rsidRPr="00883125" w:rsidRDefault="00BA5850" w:rsidP="00BA5850">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A5850" w:rsidRPr="00883125" w:rsidRDefault="00BA5850" w:rsidP="00BA5850">
      <w:pPr>
        <w:numPr>
          <w:ilvl w:val="0"/>
          <w:numId w:val="24"/>
        </w:numPr>
      </w:pPr>
      <w:r w:rsidRPr="00883125">
        <w:t>Handley also referred specifically to the basis on which the utilisation rate should be estimated:</w:t>
      </w:r>
      <w:r w:rsidRPr="00883125">
        <w:rPr>
          <w:rStyle w:val="FootnoteReference"/>
        </w:rPr>
        <w:footnoteReference w:id="361"/>
      </w:r>
    </w:p>
    <w:p w:rsidR="00BA5850" w:rsidRPr="00883125" w:rsidRDefault="00BA5850" w:rsidP="00BA5850">
      <w:pPr>
        <w:pStyle w:val="AERquote"/>
      </w:pPr>
      <w:r w:rsidRPr="00883125">
        <w:lastRenderedPageBreak/>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A5850" w:rsidRPr="00883125" w:rsidRDefault="00BA5850" w:rsidP="00BA5850">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BA5850" w:rsidRPr="00883125" w:rsidRDefault="00BA5850" w:rsidP="00BA5850">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BA5850" w:rsidRPr="00883125" w:rsidRDefault="00BA5850" w:rsidP="00BA5850">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 xml:space="preserve">supports our </w:t>
      </w:r>
      <w:r>
        <w:lastRenderedPageBreak/>
        <w:t>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746877">
        <w:t>A.7.3</w:t>
      </w:r>
      <w:r w:rsidRPr="00883125">
        <w:fldChar w:fldCharType="end"/>
      </w:r>
      <w:r w:rsidRPr="00883125">
        <w:t>, Gray's interpretation is unconvincing to us.</w:t>
      </w:r>
    </w:p>
    <w:p w:rsidR="00BA5850" w:rsidRPr="00883125" w:rsidRDefault="00BA5850" w:rsidP="00BA5850">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BA5850" w:rsidRPr="00883125" w:rsidRDefault="00BA5850" w:rsidP="00BA5850">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BA5850" w:rsidRPr="00BA5850" w:rsidRDefault="00BA5850" w:rsidP="00BA5850">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BA5850" w:rsidRPr="005764F6" w:rsidRDefault="00BA5850" w:rsidP="00BA5850">
      <w:pPr>
        <w:pStyle w:val="AERquote"/>
      </w:pPr>
      <w:r w:rsidRPr="005764F6">
        <w:t>This is why it is very important to be absolutely precise about how the key inputs of a WACC analysis – cash flow and discount rate – are defined and to ensure that they are defined on the same basis.</w:t>
      </w:r>
    </w:p>
    <w:p w:rsidR="00BA5850" w:rsidRPr="005764F6" w:rsidRDefault="00BA5850" w:rsidP="00BA5850">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BA5850" w:rsidRPr="00883125" w:rsidRDefault="00BA5850" w:rsidP="00BA5850">
      <w:pPr>
        <w:rPr>
          <w:rStyle w:val="AERbody"/>
        </w:rPr>
      </w:pPr>
      <w:r w:rsidRPr="00883125">
        <w:rPr>
          <w:rStyle w:val="AERbody"/>
        </w:rPr>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367"/>
      </w:r>
    </w:p>
    <w:p w:rsidR="00BA5850" w:rsidRPr="00BA5850" w:rsidRDefault="00BA5850" w:rsidP="00BA5850">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w:t>
      </w:r>
      <w:r w:rsidRPr="005764F6">
        <w:lastRenderedPageBreak/>
        <w:t xml:space="preserve">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BA5850" w:rsidRPr="00883125" w:rsidRDefault="00BA5850" w:rsidP="00BA5850">
      <w:pPr>
        <w:rPr>
          <w:rStyle w:val="AERbody"/>
        </w:rPr>
      </w:pPr>
      <w:r w:rsidRPr="00883125">
        <w:rPr>
          <w:rStyle w:val="AERbody"/>
        </w:rPr>
        <w:t>Handley also states:</w:t>
      </w:r>
      <w:r w:rsidRPr="00883125">
        <w:rPr>
          <w:rStyle w:val="FootnoteReference"/>
        </w:rPr>
        <w:footnoteReference w:id="368"/>
      </w:r>
    </w:p>
    <w:p w:rsidR="00BA5850" w:rsidRPr="005764F6" w:rsidRDefault="00BA5850" w:rsidP="00BA5850">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BA5850" w:rsidRPr="00883125" w:rsidRDefault="00BA5850" w:rsidP="00BA5850">
      <w:pPr>
        <w:pStyle w:val="Heading9"/>
      </w:pPr>
      <w:bookmarkStart w:id="207" w:name="_Ref450298425"/>
      <w:bookmarkStart w:id="208" w:name="_Ref450300692"/>
      <w:bookmarkStart w:id="209" w:name="_Ref450840388"/>
      <w:r w:rsidRPr="00883125">
        <w:t>Consistency with other allowed rate of return parameters</w:t>
      </w:r>
      <w:bookmarkEnd w:id="207"/>
      <w:bookmarkEnd w:id="208"/>
      <w:bookmarkEnd w:id="209"/>
    </w:p>
    <w:p w:rsidR="00BA5850" w:rsidRPr="00883125" w:rsidRDefault="00BA5850" w:rsidP="00BA5850">
      <w:r w:rsidRPr="00883125">
        <w:t xml:space="preserve">We consider we are estimating the value of imputation credits consistently with the other allowed rate of return parameters on a post company tax basis before personal taxes and personal costs. </w:t>
      </w:r>
    </w:p>
    <w:p w:rsidR="00BA5850" w:rsidRPr="005764F6" w:rsidRDefault="00BA5850" w:rsidP="00BA5850">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BA5850" w:rsidRPr="005764F6" w:rsidRDefault="00BA5850" w:rsidP="00BA5850">
      <w:r w:rsidRPr="005764F6">
        <w:t xml:space="preserve">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w:t>
      </w:r>
      <w:r w:rsidRPr="005764F6">
        <w:lastRenderedPageBreak/>
        <w:t>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746877">
        <w:t>A.15.3</w:t>
      </w:r>
      <w:r w:rsidRPr="005764F6">
        <w:fldChar w:fldCharType="end"/>
      </w:r>
      <w:r w:rsidRPr="005764F6">
        <w:t xml:space="preserve">, where it is shown that the pre-personal tax value of an imputation credit is equal to the face value of the imputation credit. </w:t>
      </w:r>
    </w:p>
    <w:p w:rsidR="00BA5850" w:rsidRPr="00883125" w:rsidRDefault="00BA5850" w:rsidP="00BA5850">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746877">
        <w:t>A.15.3</w:t>
      </w:r>
      <w:r w:rsidRPr="00883125">
        <w:fldChar w:fldCharType="end"/>
      </w:r>
      <w:r w:rsidRPr="00883125">
        <w:t>.</w:t>
      </w:r>
    </w:p>
    <w:p w:rsidR="00BA5850" w:rsidRPr="005764F6" w:rsidRDefault="00BA5850" w:rsidP="00BA5850">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BA5850" w:rsidRPr="005764F6" w:rsidRDefault="00BA5850" w:rsidP="00BA5850">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BA5850" w:rsidRPr="005764F6" w:rsidRDefault="00BA5850" w:rsidP="00BA5850">
      <w:pPr>
        <w:pStyle w:val="AERbulletlistfirststyle"/>
      </w:pPr>
      <w:r w:rsidRPr="005764F6">
        <w:lastRenderedPageBreak/>
        <w:t xml:space="preserve">Historical capital gains used in estimating the market risk premium are directly observable post (company) tax returns to investors in the market before personal taxes and personal transaction costs are incurred. </w:t>
      </w:r>
    </w:p>
    <w:p w:rsidR="00BA5850" w:rsidRPr="005764F6" w:rsidRDefault="00BA5850" w:rsidP="00BA5850">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746877" w:rsidRPr="00883125">
        <w:t xml:space="preserve">table </w:t>
      </w:r>
      <w:r w:rsidR="00746877">
        <w:t>4</w:t>
      </w:r>
      <w:r w:rsidR="00746877" w:rsidRPr="00B27BE5">
        <w:noBreakHyphen/>
      </w:r>
      <w:r w:rsidR="00746877">
        <w:t>10</w:t>
      </w:r>
      <w:r>
        <w:fldChar w:fldCharType="end"/>
      </w:r>
      <w:r w:rsidRPr="005764F6">
        <w:t xml:space="preserve"> below, we highlight all the parameters that are used in order to calculate the return on equity using the CAPM.</w:t>
      </w:r>
    </w:p>
    <w:p w:rsidR="00BA5850" w:rsidRPr="00B27BE5" w:rsidRDefault="00BA5850" w:rsidP="00BA5850">
      <w:pPr>
        <w:pStyle w:val="Caption"/>
      </w:pPr>
      <w:bookmarkStart w:id="210" w:name="_Ref450297354"/>
      <w:bookmarkStart w:id="211" w:name="_Ref450322149"/>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rsidRPr="00B27BE5">
        <w:noBreakHyphen/>
      </w:r>
      <w:r w:rsidRPr="00BA5850">
        <w:fldChar w:fldCharType="begin"/>
      </w:r>
      <w:r>
        <w:instrText xml:space="preserve"> SEQ Table \* ARABIC \s 1 </w:instrText>
      </w:r>
      <w:r w:rsidRPr="00BA5850">
        <w:fldChar w:fldCharType="separate"/>
      </w:r>
      <w:r w:rsidR="00746877">
        <w:rPr>
          <w:noProof/>
        </w:rPr>
        <w:t>10</w:t>
      </w:r>
      <w:r w:rsidRPr="00BA5850">
        <w:fldChar w:fldCharType="end"/>
      </w:r>
      <w:bookmarkEnd w:id="210"/>
      <w:r w:rsidRPr="00B27BE5">
        <w:tab/>
        <w:t>Parameters used to determine the return on equity</w:t>
      </w:r>
      <w:bookmarkEnd w:id="211"/>
    </w:p>
    <w:tbl>
      <w:tblPr>
        <w:tblStyle w:val="AERtable-numbers"/>
        <w:tblW w:w="0" w:type="auto"/>
        <w:tblLook w:val="04A0" w:firstRow="1" w:lastRow="0" w:firstColumn="1" w:lastColumn="0" w:noHBand="0" w:noVBand="1"/>
      </w:tblPr>
      <w:tblGrid>
        <w:gridCol w:w="3817"/>
        <w:gridCol w:w="2712"/>
        <w:gridCol w:w="2713"/>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BA5850">
            <w:pPr>
              <w:numPr>
                <w:ilvl w:val="0"/>
                <w:numId w:val="24"/>
              </w:numPr>
            </w:pPr>
          </w:p>
        </w:tc>
        <w:tc>
          <w:tcPr>
            <w:tcW w:w="2712"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BA5850" w:rsidRPr="00883125" w:rsidRDefault="00BA5850" w:rsidP="00BA5850">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BA5850">
            <w:pPr>
              <w:numPr>
                <w:ilvl w:val="0"/>
                <w:numId w:val="24"/>
              </w:numPr>
            </w:pPr>
            <w:r w:rsidRPr="00883125">
              <w:t>Risk Free Rate</w:t>
            </w:r>
          </w:p>
        </w:tc>
        <w:tc>
          <w:tcPr>
            <w:tcW w:w="2712"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BA5850">
            <w:pPr>
              <w:numPr>
                <w:ilvl w:val="0"/>
                <w:numId w:val="24"/>
              </w:numPr>
            </w:pPr>
            <w:r w:rsidRPr="00883125">
              <w:t>Market Risk Premium</w:t>
            </w:r>
          </w:p>
        </w:tc>
        <w:tc>
          <w:tcPr>
            <w:tcW w:w="2712"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BA5850" w:rsidRPr="00883125" w:rsidRDefault="00BA5850" w:rsidP="00BA5850">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BA5850">
            <w:pPr>
              <w:numPr>
                <w:ilvl w:val="0"/>
                <w:numId w:val="24"/>
              </w:numPr>
            </w:pPr>
            <w:r w:rsidRPr="00883125">
              <w:t>Beta</w:t>
            </w:r>
          </w:p>
        </w:tc>
        <w:tc>
          <w:tcPr>
            <w:tcW w:w="2712"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BA5850" w:rsidRPr="00883125" w:rsidRDefault="00BA5850" w:rsidP="00BA5850">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BA5850" w:rsidRPr="005764F6" w:rsidRDefault="00BA5850" w:rsidP="00BA5850">
      <w:r w:rsidRPr="005764F6">
        <w:t xml:space="preserve">As is evident in </w:t>
      </w:r>
      <w:r>
        <w:fldChar w:fldCharType="begin"/>
      </w:r>
      <w:r>
        <w:instrText xml:space="preserve"> REF  _Ref450297354 \* Lower \h  \* MERGEFORMAT </w:instrText>
      </w:r>
      <w:r>
        <w:fldChar w:fldCharType="separate"/>
      </w:r>
      <w:r w:rsidR="00746877" w:rsidRPr="00883125">
        <w:t xml:space="preserve">table </w:t>
      </w:r>
      <w:r w:rsidR="00746877">
        <w:t>4</w:t>
      </w:r>
      <w:r w:rsidR="00746877" w:rsidRPr="00B27BE5">
        <w:noBreakHyphen/>
      </w:r>
      <w:r w:rsidR="00746877">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746877" w:rsidRPr="00883125">
        <w:t xml:space="preserve">table </w:t>
      </w:r>
      <w:r w:rsidR="00746877">
        <w:t>4</w:t>
      </w:r>
      <w:r w:rsidR="00746877" w:rsidRPr="00B27BE5">
        <w:noBreakHyphen/>
      </w:r>
      <w:r w:rsidR="00746877">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BA5850" w:rsidRPr="005764F6" w:rsidRDefault="00BA5850" w:rsidP="00BA5850">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746877" w:rsidRPr="005764F6">
        <w:t xml:space="preserve">table </w:t>
      </w:r>
      <w:r w:rsidR="00746877">
        <w:t>4</w:t>
      </w:r>
      <w:r w:rsidR="00746877" w:rsidRPr="005764F6">
        <w:noBreakHyphen/>
      </w:r>
      <w:r w:rsidR="00746877">
        <w:t>11</w:t>
      </w:r>
      <w:r>
        <w:fldChar w:fldCharType="end"/>
      </w:r>
      <w:r w:rsidRPr="005764F6">
        <w:t>.</w:t>
      </w:r>
    </w:p>
    <w:p w:rsidR="00BA5850" w:rsidRPr="005764F6" w:rsidRDefault="00BA5850" w:rsidP="00BA5850">
      <w:pPr>
        <w:pStyle w:val="Tabletitle"/>
      </w:pPr>
      <w:bookmarkStart w:id="212" w:name="_Ref450297391"/>
      <w:r w:rsidRPr="005764F6">
        <w:t xml:space="preserve">Table </w:t>
      </w:r>
      <w:fldSimple w:instr=" STYLEREF 1 \s ">
        <w:r w:rsidR="00746877">
          <w:rPr>
            <w:noProof/>
          </w:rPr>
          <w:t>4</w:t>
        </w:r>
      </w:fldSimple>
      <w:r w:rsidRPr="005764F6">
        <w:noBreakHyphen/>
      </w:r>
      <w:fldSimple w:instr=" SEQ Table \* ARABIC \s 1 ">
        <w:r w:rsidR="00746877">
          <w:rPr>
            <w:noProof/>
          </w:rPr>
          <w:t>11</w:t>
        </w:r>
      </w:fldSimple>
      <w:bookmarkEnd w:id="212"/>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BA5850" w:rsidRPr="00663AD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5764F6" w:rsidRDefault="00BA5850" w:rsidP="00BA5850"/>
        </w:tc>
        <w:tc>
          <w:tcPr>
            <w:tcW w:w="2712" w:type="dxa"/>
          </w:tcPr>
          <w:p w:rsidR="00BA5850" w:rsidRPr="005764F6" w:rsidRDefault="00BA5850" w:rsidP="00BA5850">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BA5850" w:rsidRPr="00BA5850" w:rsidRDefault="00BA5850" w:rsidP="00BA5850">
            <w:pPr>
              <w:cnfStyle w:val="100000000000" w:firstRow="1" w:lastRow="0" w:firstColumn="0" w:lastColumn="0" w:oddVBand="0" w:evenVBand="0" w:oddHBand="0" w:evenHBand="0" w:firstRowFirstColumn="0" w:firstRowLastColumn="0" w:lastRowFirstColumn="0" w:lastRowLastColumn="0"/>
            </w:pPr>
            <w:r w:rsidRPr="005764F6">
              <w:t>Face Value</w:t>
            </w:r>
          </w:p>
        </w:tc>
      </w:tr>
      <w:tr w:rsidR="00BA5850" w:rsidRPr="00663AD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5764F6" w:rsidRDefault="00BA5850" w:rsidP="00BA5850">
            <w:r w:rsidRPr="005764F6">
              <w:t>Return on debt</w:t>
            </w:r>
          </w:p>
        </w:tc>
        <w:tc>
          <w:tcPr>
            <w:tcW w:w="2712" w:type="dxa"/>
          </w:tcPr>
          <w:p w:rsidR="00BA5850" w:rsidRPr="005764F6" w:rsidRDefault="00BA5850" w:rsidP="00BA5850">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BA5850" w:rsidRPr="005764F6" w:rsidRDefault="00BA5850" w:rsidP="00BA5850">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BA5850" w:rsidRPr="00663AD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5764F6" w:rsidRDefault="00BA5850" w:rsidP="00BA5850">
            <w:r w:rsidRPr="005764F6">
              <w:t>Risk Free Rate</w:t>
            </w:r>
          </w:p>
        </w:tc>
        <w:tc>
          <w:tcPr>
            <w:tcW w:w="2712" w:type="dxa"/>
          </w:tcPr>
          <w:p w:rsidR="00BA5850" w:rsidRPr="005764F6" w:rsidRDefault="00BA5850" w:rsidP="00BA5850">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BA5850" w:rsidRPr="005764F6" w:rsidRDefault="00BA5850" w:rsidP="00BA5850">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BA5850" w:rsidRPr="005764F6" w:rsidRDefault="00BA5850" w:rsidP="00BA5850">
      <w:r w:rsidRPr="005764F6">
        <w:t xml:space="preserve">As is evident in </w:t>
      </w:r>
      <w:r>
        <w:fldChar w:fldCharType="begin"/>
      </w:r>
      <w:r>
        <w:instrText xml:space="preserve"> REF  _Ref450297391 \* Lower \h  \* MERGEFORMAT </w:instrText>
      </w:r>
      <w:r>
        <w:fldChar w:fldCharType="separate"/>
      </w:r>
      <w:r w:rsidR="00746877" w:rsidRPr="005764F6">
        <w:t xml:space="preserve">table </w:t>
      </w:r>
      <w:r w:rsidR="00746877">
        <w:t>4</w:t>
      </w:r>
      <w:r w:rsidR="00746877" w:rsidRPr="005764F6">
        <w:noBreakHyphen/>
      </w:r>
      <w:r w:rsidR="00746877">
        <w:t>11</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BA5850" w:rsidRPr="005053A1" w:rsidRDefault="00BA5850" w:rsidP="00BA5850">
      <w:r w:rsidRPr="005053A1">
        <w:lastRenderedPageBreak/>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BA5850" w:rsidRPr="00663AD0" w:rsidRDefault="00BA5850" w:rsidP="00BA5850">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BA5850" w:rsidRPr="005764F6" w:rsidRDefault="00BA5850" w:rsidP="00BA5850">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BA5850" w:rsidRPr="005764F6" w:rsidRDefault="00BA5850" w:rsidP="00BA5850">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BA5850" w:rsidRPr="00883125" w:rsidRDefault="00BA5850" w:rsidP="00BA5850">
      <w:pPr>
        <w:pStyle w:val="Heading9"/>
      </w:pPr>
      <w:bookmarkStart w:id="213" w:name="_Toc450119269"/>
      <w:bookmarkStart w:id="214" w:name="_Toc450119429"/>
      <w:bookmarkStart w:id="215" w:name="_Ref414099389"/>
      <w:bookmarkEnd w:id="213"/>
      <w:bookmarkEnd w:id="214"/>
      <w:r w:rsidRPr="00883125">
        <w:t>Factors affecting investors' valuation of imputation credits</w:t>
      </w:r>
      <w:bookmarkEnd w:id="215"/>
    </w:p>
    <w:p w:rsidR="00BA5850" w:rsidRPr="00883125" w:rsidRDefault="00BA5850" w:rsidP="00BA5850">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t>They</w:t>
      </w:r>
      <w:r w:rsidRPr="00883125">
        <w:t xml:space="preserve"> 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75"/>
      </w:r>
      <w:r w:rsidRPr="00883125">
        <w:t xml:space="preserve"> </w:t>
      </w:r>
      <w:r w:rsidRPr="00883125">
        <w:lastRenderedPageBreak/>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BA5850" w:rsidRPr="00883125" w:rsidRDefault="00BA5850" w:rsidP="00BA5850">
      <w:r>
        <w:t>We</w:t>
      </w:r>
      <w:r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Pr="00883125">
        <w:t xml:space="preserve">, </w:t>
      </w:r>
      <w:r>
        <w:t>n</w:t>
      </w:r>
      <w:r w:rsidRPr="00883125">
        <w:t xml:space="preserve">or in the </w:t>
      </w:r>
      <w:r>
        <w:t xml:space="preserve">recent </w:t>
      </w:r>
      <w:r w:rsidRPr="00883125">
        <w:t>Tribunal decision</w:t>
      </w:r>
      <w:r>
        <w:t>s referenced in service providers' late submissions,</w:t>
      </w:r>
      <w:r w:rsidRPr="00883125">
        <w:t xml:space="preserve"> give us cause to change this conclusion. To the extent time has permitted we have expanded on the following points in other sections of this decision:</w:t>
      </w:r>
    </w:p>
    <w:p w:rsidR="00BA5850" w:rsidRPr="00BA5850" w:rsidRDefault="00BA5850" w:rsidP="00BA5850">
      <w:pPr>
        <w:pStyle w:val="AERbulletlistfirststyle"/>
      </w:pPr>
      <w:r w:rsidRPr="00883125">
        <w:t xml:space="preserve">Why estimates from tax </w:t>
      </w:r>
      <w:r w:rsidRPr="00BA5850">
        <w:t xml:space="preserve">statistics and the equity ownership approach are not upper bounds and can be used as valid point estimates for the utilisation rate (or theta). See sections </w:t>
      </w:r>
      <w:r w:rsidRPr="00BA5850">
        <w:fldChar w:fldCharType="begin"/>
      </w:r>
      <w:r w:rsidRPr="00BA5850">
        <w:instrText xml:space="preserve"> REF _Ref415049811 \r \h </w:instrText>
      </w:r>
      <w:r w:rsidRPr="00BA5850">
        <w:fldChar w:fldCharType="separate"/>
      </w:r>
      <w:r w:rsidR="00746877">
        <w:t>A.12</w:t>
      </w:r>
      <w:r w:rsidRPr="00BA5850">
        <w:fldChar w:fldCharType="end"/>
      </w:r>
      <w:r w:rsidRPr="00BA5850">
        <w:t xml:space="preserve">, </w:t>
      </w:r>
      <w:r w:rsidRPr="00BA5850">
        <w:fldChar w:fldCharType="begin"/>
      </w:r>
      <w:r w:rsidRPr="00BA5850">
        <w:instrText xml:space="preserve"> REF _Ref402179420 \r \h </w:instrText>
      </w:r>
      <w:r w:rsidRPr="00BA5850">
        <w:fldChar w:fldCharType="separate"/>
      </w:r>
      <w:r w:rsidR="00746877">
        <w:t>A.13</w:t>
      </w:r>
      <w:r w:rsidRPr="00BA5850">
        <w:fldChar w:fldCharType="end"/>
      </w:r>
    </w:p>
    <w:p w:rsidR="00BA5850" w:rsidRPr="00BA5850" w:rsidRDefault="00BA5850" w:rsidP="00BA5850">
      <w:pPr>
        <w:pStyle w:val="AERbulletlistfirststyle"/>
      </w:pPr>
      <w:r w:rsidRPr="00883125">
        <w:t xml:space="preserve">Why the 45 day rule </w:t>
      </w:r>
      <w:r w:rsidRPr="00BA5850">
        <w:t>and other factors preventing utilisation by eligible investors are not expected to be responsible for the difference between the estimated utilisation rate from tax statistics and the equity ownership approach. See the following sub section.</w:t>
      </w:r>
    </w:p>
    <w:p w:rsidR="00BA5850" w:rsidRPr="00883125" w:rsidRDefault="00BA5850" w:rsidP="00BA5850">
      <w:pPr>
        <w:pStyle w:val="HeadingBoldBlue"/>
        <w:numPr>
          <w:ilvl w:val="0"/>
          <w:numId w:val="24"/>
        </w:numPr>
      </w:pPr>
      <w:r w:rsidRPr="00883125">
        <w:t>The 45-day holding rule</w:t>
      </w:r>
    </w:p>
    <w:p w:rsidR="00BA5850" w:rsidRPr="00883125" w:rsidRDefault="00BA5850" w:rsidP="00BA5850">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BA5850" w:rsidRPr="00883125" w:rsidRDefault="00BA5850" w:rsidP="00BA5850">
      <w:pPr>
        <w:numPr>
          <w:ilvl w:val="0"/>
          <w:numId w:val="24"/>
        </w:numPr>
      </w:pPr>
      <w:r w:rsidRPr="00883125">
        <w:t>A number of service providers stated:</w:t>
      </w:r>
      <w:r w:rsidRPr="00883125">
        <w:rPr>
          <w:rStyle w:val="FootnoteReference"/>
        </w:rPr>
        <w:footnoteReference w:id="380"/>
      </w:r>
    </w:p>
    <w:p w:rsidR="00BA5850" w:rsidRPr="00883125" w:rsidRDefault="00BA5850" w:rsidP="00BA5850">
      <w:pPr>
        <w:pStyle w:val="AERquote"/>
      </w:pPr>
      <w:r w:rsidRPr="00883125">
        <w:lastRenderedPageBreak/>
        <w:t>It has been estimated that the 45-day rule has about a 5-10% impact on the redemption rate.</w:t>
      </w:r>
    </w:p>
    <w:p w:rsidR="00BA5850" w:rsidRPr="00883125" w:rsidRDefault="00BA5850" w:rsidP="00BA5850">
      <w:pPr>
        <w:numPr>
          <w:ilvl w:val="0"/>
          <w:numId w:val="24"/>
        </w:numPr>
      </w:pPr>
      <w:r w:rsidRPr="00883125">
        <w:t>The source of this estimate is a 2010 paper by Handley. The relevant passage from this paper is:</w:t>
      </w:r>
      <w:r w:rsidRPr="00883125">
        <w:rPr>
          <w:rStyle w:val="FootnoteReference"/>
        </w:rPr>
        <w:footnoteReference w:id="381"/>
      </w:r>
    </w:p>
    <w:p w:rsidR="00BA5850" w:rsidRPr="00883125" w:rsidRDefault="00BA5850" w:rsidP="00BA5850">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BA5850" w:rsidRPr="00883125" w:rsidRDefault="00BA5850" w:rsidP="00BA5850">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BA5850" w:rsidRPr="00883125" w:rsidRDefault="00BA5850" w:rsidP="00BA5850">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BA5850" w:rsidRPr="00883125" w:rsidRDefault="00BA5850" w:rsidP="00BA5850">
      <w:pPr>
        <w:numPr>
          <w:ilvl w:val="0"/>
          <w:numId w:val="24"/>
        </w:numPr>
      </w:pPr>
      <w:r>
        <w:lastRenderedPageBreak/>
        <w:t xml:space="preserve">In their late submissions, </w:t>
      </w:r>
      <w:r w:rsidRPr="00883125">
        <w:t xml:space="preserve">United Energy, </w:t>
      </w:r>
      <w:r>
        <w:t xml:space="preserve">ActewAGL, </w:t>
      </w:r>
      <w:r w:rsidRPr="00883125">
        <w:t>Citipower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84"/>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85"/>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BA5850" w:rsidRPr="00883125" w:rsidRDefault="00BA5850" w:rsidP="00BA5850">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746877" w:rsidRPr="00883125">
        <w:t xml:space="preserve">Table </w:t>
      </w:r>
      <w:r w:rsidR="00746877">
        <w:rPr>
          <w:noProof/>
        </w:rPr>
        <w:t>4</w:t>
      </w:r>
      <w:r w:rsidR="00746877">
        <w:noBreakHyphen/>
      </w:r>
      <w:r w:rsidR="00746877">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BA5850" w:rsidRPr="00883125" w:rsidRDefault="00BA5850" w:rsidP="00593A40">
      <w:pPr>
        <w:pStyle w:val="Caption"/>
      </w:pPr>
      <w:bookmarkStart w:id="216" w:name="_Ref401848641"/>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12</w:t>
      </w:r>
      <w:r w:rsidRPr="00BA5850">
        <w:fldChar w:fldCharType="end"/>
      </w:r>
      <w:bookmarkEnd w:id="216"/>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p>
        </w:tc>
        <w:tc>
          <w:tcPr>
            <w:tcW w:w="2712" w:type="dxa"/>
          </w:tcPr>
          <w:p w:rsidR="00BA5850" w:rsidRPr="00883125" w:rsidRDefault="00BA5850" w:rsidP="0086094B">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BA5850" w:rsidRPr="00883125" w:rsidRDefault="00BA5850" w:rsidP="0086094B">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Fully franked dividends received</w:t>
            </w:r>
          </w:p>
        </w:tc>
        <w:tc>
          <w:tcPr>
            <w:tcW w:w="271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rPr>
                <w:rStyle w:val="AERtextitalic"/>
              </w:rPr>
            </w:pPr>
            <w:r w:rsidRPr="00883125">
              <w:rPr>
                <w:rStyle w:val="AERtextitalic"/>
              </w:rPr>
              <w:t>Implied imputation credits received</w:t>
            </w:r>
          </w:p>
        </w:tc>
        <w:tc>
          <w:tcPr>
            <w:tcW w:w="2712"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Imputation credits utilised</w:t>
            </w:r>
          </w:p>
        </w:tc>
        <w:tc>
          <w:tcPr>
            <w:tcW w:w="271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BA5850" w:rsidRPr="00883125" w:rsidRDefault="00BA5850" w:rsidP="0086094B">
      <w:pPr>
        <w:pStyle w:val="AERtablesource"/>
        <w:keepNext/>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BA5850" w:rsidRPr="00883125" w:rsidRDefault="00BA5850" w:rsidP="00BA5850">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8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746877">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BA5850" w:rsidRPr="00883125" w:rsidRDefault="00BA5850" w:rsidP="00BA5850">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BA5850" w:rsidRPr="00883125" w:rsidRDefault="00BA5850" w:rsidP="00BA5850">
      <w:pPr>
        <w:pStyle w:val="AERquote"/>
      </w:pPr>
      <w:r w:rsidRPr="00883125">
        <w:t>The AER seeks to dismiss the impact of tax rules affecting eligibility of domestic investors to redeem imputation credits by saying that:</w:t>
      </w:r>
    </w:p>
    <w:p w:rsidR="00BA5850" w:rsidRPr="00883125" w:rsidRDefault="00BA5850" w:rsidP="00BA5850">
      <w:pPr>
        <w:pStyle w:val="AERquoteindent2"/>
      </w:pPr>
      <w:r w:rsidRPr="00883125">
        <w:t>“…we do not consider that there is clear evidence as to effect that these rules have or should be expected to have.”</w:t>
      </w:r>
    </w:p>
    <w:p w:rsidR="00BA5850" w:rsidRPr="00883125" w:rsidRDefault="00BA5850" w:rsidP="00BA5850">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BA5850" w:rsidRPr="00883125" w:rsidRDefault="00BA5850" w:rsidP="00BA5850">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BA5850" w:rsidRPr="00883125" w:rsidRDefault="00BA5850" w:rsidP="00BA5850">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746877">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BA5850" w:rsidRPr="00883125" w:rsidRDefault="00BA5850" w:rsidP="00BA5850">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BA5850" w:rsidRPr="00883125" w:rsidRDefault="00BA5850" w:rsidP="00BA5850">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BA5850" w:rsidRDefault="00BA5850" w:rsidP="00BA5850">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BA5850" w:rsidRPr="00B27BE5" w:rsidRDefault="00BA5850" w:rsidP="00BA5850">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39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397"/>
      </w:r>
    </w:p>
    <w:p w:rsidR="00BA5850" w:rsidRPr="00883125" w:rsidRDefault="00BA5850" w:rsidP="00BA5850">
      <w:pPr>
        <w:pStyle w:val="HeadingBoldBlue"/>
        <w:numPr>
          <w:ilvl w:val="0"/>
          <w:numId w:val="24"/>
        </w:numPr>
      </w:pPr>
      <w:bookmarkStart w:id="217" w:name="_Ref400540858"/>
      <w:r w:rsidRPr="00883125">
        <w:t>Transactions costs</w:t>
      </w:r>
      <w:bookmarkEnd w:id="217"/>
    </w:p>
    <w:p w:rsidR="00BA5850" w:rsidRPr="00883125" w:rsidRDefault="00BA5850" w:rsidP="00BA5850">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BA5850" w:rsidRPr="00883125" w:rsidRDefault="00BA5850" w:rsidP="00BA5850">
      <w:pPr>
        <w:numPr>
          <w:ilvl w:val="0"/>
          <w:numId w:val="24"/>
        </w:numPr>
      </w:pPr>
      <w:r w:rsidRPr="00883125">
        <w:t>Firstly, we note that Handley advised that we specifically not take account of these costs:</w:t>
      </w:r>
      <w:r w:rsidRPr="00883125">
        <w:rPr>
          <w:rStyle w:val="FootnoteReference"/>
        </w:rPr>
        <w:footnoteReference w:id="400"/>
      </w:r>
    </w:p>
    <w:p w:rsidR="00BA5850" w:rsidRPr="00883125" w:rsidRDefault="00BA5850" w:rsidP="00BA5850">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A5850" w:rsidRPr="00883125" w:rsidRDefault="00BA5850" w:rsidP="00BA5850">
      <w:pPr>
        <w:numPr>
          <w:ilvl w:val="0"/>
          <w:numId w:val="24"/>
        </w:numPr>
      </w:pPr>
      <w:r w:rsidRPr="00883125">
        <w:t>Secondly, we are not convinced that transactions costs are likely to dissuade a material number of investors from redeeming imputation credits. Our considerations on this are as follows:</w:t>
      </w:r>
    </w:p>
    <w:p w:rsidR="00BA5850" w:rsidRPr="00BA5850" w:rsidRDefault="00BA5850" w:rsidP="00BA5850">
      <w:pPr>
        <w:pStyle w:val="AERbulletlistfirststyle"/>
      </w:pPr>
      <w:r w:rsidRPr="00883125">
        <w:t xml:space="preserve">When filling out a tax return, one is </w:t>
      </w:r>
      <w:r w:rsidRPr="00BA5850">
        <w:rPr>
          <w:rStyle w:val="AERtextitalic"/>
        </w:rPr>
        <w:t>required</w:t>
      </w:r>
      <w:r w:rsidRPr="00BA5850">
        <w:t xml:space="preserve"> to report the franked dividends received and the imputation credits that are eligible to be utilised.</w:t>
      </w:r>
      <w:r w:rsidRPr="00BA5850">
        <w:rPr>
          <w:rStyle w:val="FootnoteReference"/>
        </w:rPr>
        <w:footnoteReference w:id="401"/>
      </w:r>
    </w:p>
    <w:p w:rsidR="00BA5850" w:rsidRPr="00BA5850" w:rsidRDefault="00BA5850" w:rsidP="00BA5850">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BA5850">
        <w:rPr>
          <w:rStyle w:val="FootnoteReference"/>
        </w:rPr>
        <w:footnoteReference w:id="402"/>
      </w:r>
    </w:p>
    <w:p w:rsidR="00BA5850" w:rsidRPr="00883125" w:rsidRDefault="00BA5850" w:rsidP="00BA5850">
      <w:r w:rsidRPr="00883125">
        <w:t xml:space="preserve">As outlined in </w:t>
      </w:r>
      <w:r w:rsidRPr="00883125">
        <w:fldChar w:fldCharType="begin"/>
      </w:r>
      <w:r w:rsidRPr="00883125">
        <w:instrText xml:space="preserve"> REF _Ref450298425 \r \h </w:instrText>
      </w:r>
      <w:r w:rsidRPr="00883125">
        <w:fldChar w:fldCharType="separate"/>
      </w:r>
      <w:r w:rsidR="00746877">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BA5850" w:rsidRDefault="00BA5850" w:rsidP="00BA5850">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BA5850" w:rsidRPr="00883125" w:rsidRDefault="00BA5850" w:rsidP="00BA5850">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0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04"/>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BA5850" w:rsidRPr="00BA5850" w:rsidRDefault="00BA5850" w:rsidP="00BA5850">
      <w:pPr>
        <w:pStyle w:val="HeadingBoldBlue"/>
        <w:rPr>
          <w:rStyle w:val="AERbody"/>
        </w:rPr>
      </w:pPr>
      <w:r w:rsidRPr="00BA5850">
        <w:rPr>
          <w:rStyle w:val="AERbody"/>
        </w:rPr>
        <w:lastRenderedPageBreak/>
        <w:t>Time value of money</w:t>
      </w:r>
    </w:p>
    <w:p w:rsidR="00BA5850" w:rsidRPr="00883125" w:rsidRDefault="00BA5850" w:rsidP="00BA5850">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BA5850" w:rsidRPr="00883125" w:rsidRDefault="00BA5850" w:rsidP="00BA5850">
      <w:pPr>
        <w:pStyle w:val="AERbulletlistfirststyle"/>
      </w:pPr>
      <w:r w:rsidRPr="00883125">
        <w:t>We are unaware of any evidence that indicates the average size of this time delay across all investors.</w:t>
      </w:r>
    </w:p>
    <w:p w:rsidR="00BA5850" w:rsidRPr="00BA5850" w:rsidRDefault="00BA5850" w:rsidP="00BA5850">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BA5850">
        <w:rPr>
          <w:rStyle w:val="FootnoteReference"/>
        </w:rPr>
        <w:footnoteReference w:id="406"/>
      </w:r>
    </w:p>
    <w:p w:rsidR="00BA5850" w:rsidRPr="00883125" w:rsidRDefault="00BA5850" w:rsidP="00BA5850">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BA5850" w:rsidRPr="00883125" w:rsidRDefault="00BA5850" w:rsidP="00BA5850">
      <w:pPr>
        <w:pStyle w:val="HeadingBoldBlue"/>
        <w:numPr>
          <w:ilvl w:val="0"/>
          <w:numId w:val="24"/>
        </w:numPr>
      </w:pPr>
      <w:r w:rsidRPr="00883125">
        <w:t>Portfolio effects</w:t>
      </w:r>
    </w:p>
    <w:p w:rsidR="00BA5850" w:rsidRPr="00883125" w:rsidRDefault="00BA5850" w:rsidP="00BA5850">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746877">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We made this point in our </w:t>
      </w:r>
      <w:r w:rsidRPr="00883125">
        <w:lastRenderedPageBreak/>
        <w:t>prior decisions and the service providers and their consultants have not commented on it. We consider that it is reasonable to not adjust any of our estimates of the utilisation rate for portfolio effects.</w:t>
      </w:r>
    </w:p>
    <w:p w:rsidR="00BA5850" w:rsidRPr="00883125" w:rsidRDefault="00BA5850" w:rsidP="00BA5850">
      <w:pPr>
        <w:pStyle w:val="HeadingBoldBlue"/>
      </w:pPr>
      <w:r w:rsidRPr="00883125">
        <w:t>The 'illustrative impact' of these factors</w:t>
      </w:r>
    </w:p>
    <w:p w:rsidR="00BA5850" w:rsidRPr="00883125" w:rsidRDefault="00BA5850" w:rsidP="00BA5850">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xml:space="preserve">. </w:t>
      </w:r>
    </w:p>
    <w:p w:rsidR="00BA5850" w:rsidRPr="00883125" w:rsidRDefault="00BA5850" w:rsidP="00BA5850">
      <w:pPr>
        <w:pStyle w:val="Caption"/>
      </w:pPr>
      <w:bookmarkStart w:id="218" w:name="_Ref415078600"/>
      <w:r w:rsidRPr="00883125">
        <w:t xml:space="preserve">Figure </w:t>
      </w:r>
      <w:r w:rsidRPr="00B27BE5">
        <w:fldChar w:fldCharType="begin"/>
      </w:r>
      <w:r>
        <w:instrText xml:space="preserve"> STYLEREF 1 \s </w:instrText>
      </w:r>
      <w:r w:rsidRPr="00B27BE5">
        <w:fldChar w:fldCharType="separate"/>
      </w:r>
      <w:r w:rsidR="0074687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46877">
        <w:rPr>
          <w:noProof/>
        </w:rPr>
        <w:t>1</w:t>
      </w:r>
      <w:r w:rsidRPr="00B27BE5">
        <w:fldChar w:fldCharType="end"/>
      </w:r>
      <w:bookmarkEnd w:id="218"/>
      <w:r w:rsidRPr="00883125">
        <w:tab/>
        <w:t>Illustrative impact on value of imputation credits – listed equity</w:t>
      </w:r>
    </w:p>
    <w:p w:rsidR="00BA5850" w:rsidRPr="00883125" w:rsidRDefault="00BA5850" w:rsidP="00BA5850">
      <w:r w:rsidRPr="00BA5850">
        <w:rPr>
          <w:noProof/>
          <w:lang w:eastAsia="en-AU"/>
        </w:rPr>
        <w:drawing>
          <wp:inline distT="0" distB="0" distL="0" distR="0" wp14:anchorId="1F49686F" wp14:editId="5E383686">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BA5850" w:rsidRPr="00883125" w:rsidRDefault="00BA5850" w:rsidP="00BA5850">
      <w:pPr>
        <w:pStyle w:val="AERtablesource"/>
      </w:pPr>
      <w:r w:rsidRPr="00883125">
        <w:t>Source:</w:t>
      </w:r>
      <w:r w:rsidRPr="00883125">
        <w:tab/>
      </w:r>
      <w:r w:rsidRPr="00B9466C">
        <w:t>Ausgrid, Attachment 7.07 Ausgrid's revised proposal on gamma, January 2015, p. 16</w:t>
      </w:r>
      <w:r>
        <w:t>.</w:t>
      </w:r>
    </w:p>
    <w:p w:rsidR="00BA5850" w:rsidRPr="00883125" w:rsidRDefault="00BA5850" w:rsidP="00BA5850">
      <w:pPr>
        <w:pStyle w:val="Caption"/>
      </w:pPr>
      <w:bookmarkStart w:id="219" w:name="_Ref415078618"/>
      <w:r w:rsidRPr="00883125">
        <w:lastRenderedPageBreak/>
        <w:t xml:space="preserve">Figure </w:t>
      </w:r>
      <w:r w:rsidRPr="00B27BE5">
        <w:fldChar w:fldCharType="begin"/>
      </w:r>
      <w:r>
        <w:instrText xml:space="preserve"> STYLEREF 1 \s </w:instrText>
      </w:r>
      <w:r w:rsidRPr="00B27BE5">
        <w:fldChar w:fldCharType="separate"/>
      </w:r>
      <w:r w:rsidR="0074687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46877">
        <w:rPr>
          <w:noProof/>
        </w:rPr>
        <w:t>2</w:t>
      </w:r>
      <w:r w:rsidRPr="00B27BE5">
        <w:fldChar w:fldCharType="end"/>
      </w:r>
      <w:bookmarkEnd w:id="219"/>
      <w:r w:rsidRPr="00883125">
        <w:tab/>
        <w:t>Illustrative impact on value of imputation credits – all equity</w:t>
      </w:r>
    </w:p>
    <w:p w:rsidR="00BA5850" w:rsidRPr="00883125" w:rsidRDefault="00BA5850" w:rsidP="00BA5850">
      <w:r w:rsidRPr="00BA5850">
        <w:rPr>
          <w:noProof/>
          <w:lang w:eastAsia="en-AU"/>
        </w:rPr>
        <w:drawing>
          <wp:inline distT="0" distB="0" distL="0" distR="0" wp14:anchorId="2D90A878" wp14:editId="219BCBC0">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BA5850" w:rsidRPr="00883125" w:rsidRDefault="00BA5850" w:rsidP="00BA5850">
      <w:pPr>
        <w:pStyle w:val="AERtablesource"/>
      </w:pPr>
      <w:r w:rsidRPr="00883125">
        <w:t>Source:</w:t>
      </w:r>
      <w:r w:rsidRPr="00883125">
        <w:tab/>
      </w:r>
      <w:r w:rsidRPr="00B9466C">
        <w:t>Ausgrid, Attachment 7.07 Ausgrid's revised proposal on gamma, January 2015, p. 1</w:t>
      </w:r>
      <w:r>
        <w:t>7</w:t>
      </w:r>
      <w:r w:rsidRPr="00B9466C">
        <w:t>.</w:t>
      </w:r>
    </w:p>
    <w:p w:rsidR="00BA5850" w:rsidRPr="00883125" w:rsidRDefault="00BA5850" w:rsidP="00BA5850">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BA5850" w:rsidRPr="00883125" w:rsidRDefault="00BA5850" w:rsidP="00BA5850">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BA5850" w:rsidRPr="00883125" w:rsidRDefault="00BA5850" w:rsidP="00BA5850">
      <w:pPr>
        <w:pStyle w:val="HeadingBoldItalic"/>
      </w:pPr>
      <w:r w:rsidRPr="00883125">
        <w:t>The relevant equity ownership share</w:t>
      </w:r>
    </w:p>
    <w:p w:rsidR="00BA5850" w:rsidRPr="00883125" w:rsidRDefault="00BA5850" w:rsidP="00BA5850">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410"/>
      </w:r>
      <w:r w:rsidRPr="00883125">
        <w:t xml:space="preserve"> Accordingly, the relevant </w:t>
      </w:r>
      <w:r w:rsidRPr="00883125">
        <w:lastRenderedPageBreak/>
        <w:t xml:space="preserve">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w:t>
      </w:r>
    </w:p>
    <w:p w:rsidR="00BA5850" w:rsidRPr="00883125" w:rsidRDefault="00BA5850" w:rsidP="00BA5850">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BA5850" w:rsidRPr="00883125" w:rsidRDefault="00BA5850" w:rsidP="00BA5850">
      <w:pPr>
        <w:pStyle w:val="HeadingBoldItalic"/>
      </w:pPr>
      <w:r w:rsidRPr="00883125">
        <w:t>Implications for the value of distributed credits across investors in all equity</w:t>
      </w:r>
    </w:p>
    <w:p w:rsidR="00BA5850" w:rsidRPr="00883125" w:rsidRDefault="00BA5850" w:rsidP="00BA5850">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BA5850" w:rsidRPr="00883125" w:rsidRDefault="00BA5850" w:rsidP="00BA5850">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BA5850" w:rsidRPr="00883125" w:rsidRDefault="00BA5850" w:rsidP="00BA5850">
      <w:pPr>
        <w:pStyle w:val="HeadingBoldItalic"/>
      </w:pPr>
      <w:r w:rsidRPr="00883125">
        <w:t>Comparison to the redemption rate from tax statistics</w:t>
      </w:r>
    </w:p>
    <w:p w:rsidR="00BA5850" w:rsidRPr="00883125" w:rsidRDefault="00BA5850" w:rsidP="00BA5850">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BA5850" w:rsidRPr="00883125" w:rsidRDefault="00BA5850" w:rsidP="00BA5850">
      <w:r w:rsidRPr="00883125">
        <w:t>Firstly, the redemption rate from tax statistics reflects all equity, and therefore it is inconsistent to compare it to the foreign ownership share of listed equity.</w:t>
      </w:r>
    </w:p>
    <w:p w:rsidR="00BA5850" w:rsidRPr="00883125" w:rsidRDefault="00BA5850" w:rsidP="00BA5850">
      <w:pPr>
        <w:rPr>
          <w:rStyle w:val="AERbody"/>
        </w:rPr>
      </w:pPr>
      <w:r w:rsidRPr="00883125">
        <w:t xml:space="preserve">Secondly, this estimate does not contemplate error or inaccuracy in the tax statistics. In section </w:t>
      </w:r>
      <w:r>
        <w:fldChar w:fldCharType="begin"/>
      </w:r>
      <w:r>
        <w:instrText xml:space="preserve"> REF _Ref451291076 \r \h </w:instrText>
      </w:r>
      <w:r>
        <w:fldChar w:fldCharType="separate"/>
      </w:r>
      <w:r w:rsidR="00746877">
        <w:t>4.4</w:t>
      </w:r>
      <w:r>
        <w:fldChar w:fldCharType="end"/>
      </w:r>
      <w:r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Pr="00883125">
        <w:rPr>
          <w:rStyle w:val="FootnoteReference"/>
        </w:rPr>
        <w:footnoteReference w:id="412"/>
      </w:r>
      <w:r w:rsidRPr="00883125">
        <w:t xml:space="preserve"> </w:t>
      </w:r>
      <w:r w:rsidRPr="00883125">
        <w:rPr>
          <w:rStyle w:val="AERbody"/>
        </w:rPr>
        <w:t xml:space="preserve">NERA has subsequently submitted that tax </w:t>
      </w:r>
      <w:r w:rsidRPr="00883125">
        <w:rPr>
          <w:rStyle w:val="AERbody"/>
        </w:rPr>
        <w:lastRenderedPageBreak/>
        <w:t>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17"/>
      </w:r>
    </w:p>
    <w:p w:rsidR="00BA5850" w:rsidRPr="00883125" w:rsidRDefault="00BA5850" w:rsidP="00BA5850">
      <w:r w:rsidRPr="00883125">
        <w:t>Thirdly, we are not convinced that the 45-day holding rule and transaction costs are contributing to a material amount of credits not being redeemed. As discussed above, this is because:</w:t>
      </w:r>
    </w:p>
    <w:p w:rsidR="00BA5850" w:rsidRPr="00883125" w:rsidRDefault="00BA5850" w:rsidP="00BA5850">
      <w:pPr>
        <w:pStyle w:val="AERbulletlistfirststyle"/>
      </w:pPr>
      <w:r w:rsidRPr="00883125">
        <w:t>Our analysis of the 45-day rule suggests that it is not having a material effect. Although we acknowledge this analysis is subject to any data quality issues with the tax statistics.</w:t>
      </w:r>
    </w:p>
    <w:p w:rsidR="00BA5850" w:rsidRPr="00883125" w:rsidRDefault="00BA5850" w:rsidP="00BA5850">
      <w:pPr>
        <w:pStyle w:val="AERbulletlistfirststyle"/>
      </w:pPr>
      <w:r w:rsidRPr="00883125">
        <w:t xml:space="preserve">We do not consider that transactions costs are likely to dissuade a material number of investors from redeeming imputation credits. </w:t>
      </w:r>
    </w:p>
    <w:p w:rsidR="00BA5850" w:rsidRPr="00883125" w:rsidRDefault="00BA5850" w:rsidP="00BA5850">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BA5850" w:rsidRPr="00883125" w:rsidRDefault="00BA5850" w:rsidP="00BA5850">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746877">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p>
    <w:p w:rsidR="00BA5850" w:rsidRPr="00883125" w:rsidRDefault="00BA5850" w:rsidP="0086094B">
      <w:pPr>
        <w:pStyle w:val="Heading9"/>
        <w:keepNext/>
      </w:pPr>
      <w:bookmarkStart w:id="220" w:name="_Ref415068711"/>
      <w:bookmarkStart w:id="221" w:name="_Toc436049450"/>
      <w:r w:rsidRPr="00883125">
        <w:lastRenderedPageBreak/>
        <w:t>NERA's comments on the utilisation rate</w:t>
      </w:r>
    </w:p>
    <w:p w:rsidR="00BA5850" w:rsidRPr="00883125" w:rsidRDefault="00BA5850" w:rsidP="0086094B">
      <w:pPr>
        <w:keepNext/>
      </w:pPr>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BA5850" w:rsidRPr="00883125" w:rsidRDefault="00BA5850" w:rsidP="00BA5850">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BA5850" w:rsidRPr="00883125" w:rsidRDefault="00BA5850" w:rsidP="00BA5850">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BA5850" w:rsidRPr="00883125" w:rsidRDefault="00BA5850" w:rsidP="00BA5850">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BA5850" w:rsidRPr="00883125" w:rsidRDefault="00BA5850" w:rsidP="00BA5850">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BA5850" w:rsidRPr="00883125" w:rsidRDefault="00BA5850" w:rsidP="00BA5850">
      <w:r w:rsidRPr="00883125">
        <w:t>Our view is supported by Handley's review of NERA's submission. Handley concluded:</w:t>
      </w:r>
      <w:r w:rsidRPr="00883125">
        <w:rPr>
          <w:rStyle w:val="FootnoteReference"/>
        </w:rPr>
        <w:footnoteReference w:id="423"/>
      </w:r>
    </w:p>
    <w:p w:rsidR="00BA5850" w:rsidRPr="00883125" w:rsidRDefault="00BA5850" w:rsidP="00BA5850">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BA5850" w:rsidRPr="00883125" w:rsidRDefault="00BA5850" w:rsidP="00BA5850">
      <w:pPr>
        <w:pStyle w:val="AERquote"/>
      </w:pPr>
      <w:r w:rsidRPr="00883125">
        <w:t>…</w:t>
      </w:r>
    </w:p>
    <w:p w:rsidR="00BA5850" w:rsidRPr="00883125" w:rsidRDefault="00BA5850" w:rsidP="00BA5850">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BA5850" w:rsidRPr="00883125" w:rsidRDefault="00BA5850" w:rsidP="00BA5850">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BA5850" w:rsidRPr="005764F6" w:rsidRDefault="00BA5850" w:rsidP="00BA5850">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BA5850" w:rsidRPr="005764F6" w:rsidRDefault="00BA5850" w:rsidP="00BA5850">
      <w:pPr>
        <w:pStyle w:val="AERbulletlistfirststyle"/>
      </w:pPr>
      <w:r w:rsidRPr="005764F6">
        <w:t>The AER's use of a domestic Australian CAPM does not justify any presumption that theta take a non-negligible value.</w:t>
      </w:r>
    </w:p>
    <w:p w:rsidR="00BA5850" w:rsidRPr="005764F6" w:rsidRDefault="00BA5850" w:rsidP="00BA5850">
      <w:pPr>
        <w:pStyle w:val="AERbulletlistfirststyle"/>
      </w:pPr>
      <w:r w:rsidRPr="005764F6">
        <w:t xml:space="preserve">The estimated cost of capital from a domestic CAPM will equal the cost of capital from an international CAPM under certain assumptions. </w:t>
      </w:r>
    </w:p>
    <w:p w:rsidR="00BA5850" w:rsidRPr="00883125" w:rsidRDefault="00BA5850" w:rsidP="00BA5850">
      <w:pPr>
        <w:rPr>
          <w:rStyle w:val="AERbody"/>
        </w:rPr>
      </w:pPr>
      <w:r w:rsidRPr="00883125">
        <w:rPr>
          <w:rStyle w:val="AERbody"/>
        </w:rPr>
        <w:t>In response, we note that we consider our approach is consistent with our definition of the Australian domestic market in the presence of foreign investors.</w:t>
      </w:r>
    </w:p>
    <w:p w:rsidR="00BA5850" w:rsidRPr="00883125" w:rsidRDefault="00BA5850" w:rsidP="00BA5850">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BA5850" w:rsidRPr="00DA0E8B" w:rsidRDefault="00BA5850" w:rsidP="00BA5850">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BA5850" w:rsidRPr="00883125" w:rsidRDefault="00BA5850" w:rsidP="00BA5850">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BA5850" w:rsidRPr="00883125" w:rsidRDefault="00BA5850" w:rsidP="00BA5850">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BA5850" w:rsidRPr="00883125" w:rsidRDefault="00BA5850" w:rsidP="00BA5850">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BA5850" w:rsidRPr="00BA5850" w:rsidRDefault="00BA5850" w:rsidP="00BA5850">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BA5850" w:rsidRPr="00883125" w:rsidRDefault="00BA5850" w:rsidP="00BA5850">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BA5850" w:rsidRPr="00883125" w:rsidRDefault="00BA5850" w:rsidP="00BA5850">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BA5850" w:rsidRPr="00883125" w:rsidRDefault="00BA5850" w:rsidP="00BA5850">
      <w:pPr>
        <w:pStyle w:val="Heading8"/>
      </w:pPr>
      <w:bookmarkStart w:id="222" w:name="_Ref451790065"/>
      <w:bookmarkStart w:id="223" w:name="_Toc451842255"/>
      <w:bookmarkStart w:id="224" w:name="_Toc451936180"/>
      <w:r w:rsidRPr="00883125">
        <w:t>Estimation approach considerations</w:t>
      </w:r>
      <w:bookmarkEnd w:id="220"/>
      <w:bookmarkEnd w:id="221"/>
      <w:bookmarkEnd w:id="222"/>
      <w:bookmarkEnd w:id="223"/>
      <w:bookmarkEnd w:id="224"/>
    </w:p>
    <w:p w:rsidR="00BA5850" w:rsidRPr="00883125" w:rsidRDefault="00BA5850" w:rsidP="00BA5850">
      <w:pPr>
        <w:numPr>
          <w:ilvl w:val="0"/>
          <w:numId w:val="24"/>
        </w:numPr>
      </w:pPr>
      <w:r w:rsidRPr="00883125">
        <w:t>Two considerations that were not proposed in the Guideline in determining the value of imputation credits are discussed below.</w:t>
      </w:r>
    </w:p>
    <w:p w:rsidR="00BA5850" w:rsidRPr="00883125" w:rsidRDefault="00BA5850" w:rsidP="00BA5850">
      <w:pPr>
        <w:pStyle w:val="Heading9"/>
      </w:pPr>
      <w:bookmarkStart w:id="225" w:name="_Ref401048631"/>
      <w:r w:rsidRPr="00883125">
        <w:t>Evidence from all equity or only listed equity</w:t>
      </w:r>
      <w:bookmarkEnd w:id="225"/>
    </w:p>
    <w:p w:rsidR="00BA5850" w:rsidRPr="00883125" w:rsidRDefault="00BA5850" w:rsidP="00BA5850">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BA5850" w:rsidRPr="005764F6" w:rsidRDefault="00BA5850" w:rsidP="00BA5850">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BA5850" w:rsidRPr="00883125" w:rsidRDefault="00BA5850" w:rsidP="00BA5850">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BA5850" w:rsidRPr="00883125" w:rsidRDefault="00BA5850" w:rsidP="00BA5850">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BA5850" w:rsidRDefault="00BA5850" w:rsidP="00BA5850">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BA5850" w:rsidRPr="00883125" w:rsidRDefault="00BA5850" w:rsidP="00BA5850">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BA5850" w:rsidRPr="00883125" w:rsidRDefault="00BA5850" w:rsidP="00BA5850">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BA5850" w:rsidRPr="00883125" w:rsidRDefault="00BA5850" w:rsidP="00BA5850">
      <w:r w:rsidRPr="00883125">
        <w:t>Gray's view (for SFG) is not clear to us. In his May 2014 report, Gray stated:</w:t>
      </w:r>
      <w:r w:rsidRPr="00883125">
        <w:rPr>
          <w:rStyle w:val="FootnoteReference"/>
        </w:rPr>
        <w:footnoteReference w:id="441"/>
      </w:r>
    </w:p>
    <w:p w:rsidR="00BA5850" w:rsidRPr="00883125" w:rsidRDefault="00BA5850" w:rsidP="00BA5850">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BA5850" w:rsidRPr="00883125" w:rsidRDefault="00BA5850" w:rsidP="00BA5850">
      <w:r w:rsidRPr="00883125">
        <w:t>And in his February 2015 report (for SFG) Gray stated:</w:t>
      </w:r>
      <w:r w:rsidRPr="00883125">
        <w:rPr>
          <w:rStyle w:val="FootnoteReference"/>
        </w:rPr>
        <w:footnoteReference w:id="442"/>
      </w:r>
    </w:p>
    <w:p w:rsidR="00BA5850" w:rsidRPr="00883125" w:rsidRDefault="00BA5850" w:rsidP="00BA5850">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BA5850" w:rsidRPr="00883125" w:rsidRDefault="00BA5850" w:rsidP="00BA5850">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BA5850" w:rsidRPr="00883125" w:rsidRDefault="00BA5850" w:rsidP="00BA5850">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A5850" w:rsidRPr="00883125" w:rsidRDefault="00BA5850" w:rsidP="00BA5850">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746877">
        <w:t>A.8.3</w:t>
      </w:r>
      <w:r w:rsidRPr="00883125">
        <w:fldChar w:fldCharType="end"/>
      </w:r>
      <w:r w:rsidRPr="00883125">
        <w:t>).</w:t>
      </w:r>
    </w:p>
    <w:p w:rsidR="00BA5850" w:rsidRDefault="00BA5850" w:rsidP="00BA5850">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BA5850" w:rsidRDefault="00BA5850" w:rsidP="00BA5850">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446"/>
      </w:r>
      <w:r>
        <w:rPr>
          <w:rStyle w:val="AERbody"/>
        </w:rPr>
        <w:t xml:space="preserve"> Lally considers this estimate is reflective of the distribution rate for a benchmark efficient entity. </w:t>
      </w:r>
    </w:p>
    <w:p w:rsidR="00BA5850" w:rsidRPr="005764F6" w:rsidRDefault="00BA5850" w:rsidP="00BA5850">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746877">
        <w:t>A.10</w:t>
      </w:r>
      <w:r>
        <w:fldChar w:fldCharType="end"/>
      </w:r>
      <w:r>
        <w:t>)</w:t>
      </w:r>
      <w:r w:rsidRPr="00E64E9B">
        <w:t xml:space="preserve">. </w:t>
      </w:r>
    </w:p>
    <w:p w:rsidR="00BA5850" w:rsidRPr="00883125" w:rsidRDefault="00BA5850" w:rsidP="00BA5850">
      <w:pPr>
        <w:pStyle w:val="Heading9"/>
      </w:pPr>
      <w:bookmarkStart w:id="226" w:name="_Ref403481194"/>
      <w:bookmarkStart w:id="227" w:name="_Ref450299300"/>
      <w:bookmarkStart w:id="228" w:name="_Ref450765039"/>
      <w:r w:rsidRPr="00883125">
        <w:t xml:space="preserve">Relationship between the distribution rate and the utilisation </w:t>
      </w:r>
      <w:bookmarkEnd w:id="226"/>
      <w:r w:rsidRPr="00883125">
        <w:t>value</w:t>
      </w:r>
      <w:bookmarkEnd w:id="227"/>
      <w:bookmarkEnd w:id="228"/>
    </w:p>
    <w:p w:rsidR="00BA5850" w:rsidRPr="00883125" w:rsidRDefault="00BA5850" w:rsidP="00BA5850">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BA5850" w:rsidRPr="00883125" w:rsidRDefault="00BA5850" w:rsidP="00BA5850">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BA5850" w:rsidRPr="00883125" w:rsidRDefault="00BA5850" w:rsidP="00BA5850">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BA5850" w:rsidRDefault="00BA5850" w:rsidP="00BA5850">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746877">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455"/>
      </w:r>
      <w:r>
        <w:rPr>
          <w:rStyle w:val="AERbody"/>
        </w:rPr>
        <w:t xml:space="preserve"> This demonstrates that foreign income actually decreases the distribution rate and not increases it as suggested by Frontier.</w:t>
      </w:r>
    </w:p>
    <w:p w:rsidR="00BA5850" w:rsidRDefault="00BA5850" w:rsidP="00BA5850">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BA5850" w:rsidRPr="005764F6" w:rsidRDefault="00BA5850" w:rsidP="00BA5850">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5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60"/>
      </w:r>
    </w:p>
    <w:p w:rsidR="00BA5850" w:rsidRPr="00883125" w:rsidRDefault="00BA5850" w:rsidP="00BA5850">
      <w:pPr>
        <w:pStyle w:val="Heading8"/>
      </w:pPr>
      <w:bookmarkStart w:id="229" w:name="_Toc451842256"/>
      <w:bookmarkStart w:id="230" w:name="_Ref401133206"/>
      <w:bookmarkStart w:id="231" w:name="_Toc436049451"/>
      <w:bookmarkStart w:id="232" w:name="_Toc451842257"/>
      <w:bookmarkStart w:id="233" w:name="_Toc451936181"/>
      <w:bookmarkEnd w:id="229"/>
      <w:r w:rsidRPr="00883125">
        <w:t>Estimating the distribution rate</w:t>
      </w:r>
      <w:bookmarkEnd w:id="230"/>
      <w:bookmarkEnd w:id="231"/>
      <w:bookmarkEnd w:id="232"/>
      <w:bookmarkEnd w:id="233"/>
    </w:p>
    <w:p w:rsidR="00BA5850" w:rsidRPr="00883125" w:rsidRDefault="00BA5850" w:rsidP="00EE6B5A">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fldChar w:fldCharType="begin"/>
      </w:r>
      <w:r>
        <w:instrText xml:space="preserve"> REF _Ref450761230 \r \h </w:instrText>
      </w:r>
      <w:r>
        <w:fldChar w:fldCharType="separate"/>
      </w:r>
      <w:r w:rsidR="00746877">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BA5850" w:rsidRPr="00883125" w:rsidRDefault="00BA5850" w:rsidP="00BA5850">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BA5850" w:rsidRPr="00883125" w:rsidRDefault="00BA5850" w:rsidP="00BA5850">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746877" w:rsidRPr="00883125">
        <w:t xml:space="preserve">Table </w:t>
      </w:r>
      <w:r w:rsidR="00746877">
        <w:rPr>
          <w:noProof/>
        </w:rPr>
        <w:t>4</w:t>
      </w:r>
      <w:r w:rsidR="00746877">
        <w:noBreakHyphen/>
      </w:r>
      <w:r w:rsidR="00746877">
        <w:rPr>
          <w:noProof/>
        </w:rPr>
        <w:t>13</w:t>
      </w:r>
      <w:r w:rsidRPr="00883125">
        <w:fldChar w:fldCharType="end"/>
      </w:r>
      <w:r w:rsidRPr="00883125">
        <w:t>.</w:t>
      </w:r>
    </w:p>
    <w:p w:rsidR="00BA5850" w:rsidRPr="00883125" w:rsidRDefault="00BA5850" w:rsidP="00593A40">
      <w:pPr>
        <w:pStyle w:val="Caption"/>
      </w:pPr>
      <w:bookmarkStart w:id="234" w:name="_Ref450332920"/>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13</w:t>
      </w:r>
      <w:r w:rsidRPr="00BA5850">
        <w:fldChar w:fldCharType="end"/>
      </w:r>
      <w:bookmarkEnd w:id="234"/>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BA5850" w:rsidTr="0034363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p>
        </w:tc>
        <w:tc>
          <w:tcPr>
            <w:tcW w:w="2712" w:type="dxa"/>
          </w:tcPr>
          <w:p w:rsidR="00BA5850" w:rsidRPr="00883125" w:rsidRDefault="00BA5850" w:rsidP="0086094B">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BA5850" w:rsidRPr="00883125" w:rsidRDefault="00BA5850" w:rsidP="0086094B">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Handley (public companies)</w:t>
            </w:r>
          </w:p>
        </w:tc>
        <w:tc>
          <w:tcPr>
            <w:tcW w:w="271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Handley (Private companies)</w:t>
            </w:r>
          </w:p>
        </w:tc>
        <w:tc>
          <w:tcPr>
            <w:tcW w:w="2712"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BA5850" w:rsidTr="00343639">
        <w:trPr>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NERA (public companies)</w:t>
            </w:r>
          </w:p>
        </w:tc>
        <w:tc>
          <w:tcPr>
            <w:tcW w:w="2712"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BA5850" w:rsidRPr="00883125" w:rsidRDefault="00BA5850" w:rsidP="0086094B">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A5850" w:rsidRPr="00883125" w:rsidRDefault="00BA5850" w:rsidP="0086094B">
            <w:pPr>
              <w:keepNext/>
              <w:numPr>
                <w:ilvl w:val="0"/>
                <w:numId w:val="24"/>
              </w:numPr>
            </w:pPr>
            <w:r w:rsidRPr="00883125">
              <w:t>NERA (Private companies)</w:t>
            </w:r>
          </w:p>
        </w:tc>
        <w:tc>
          <w:tcPr>
            <w:tcW w:w="2712"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BA5850" w:rsidRPr="00883125" w:rsidRDefault="00BA5850" w:rsidP="0086094B">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BA5850" w:rsidRPr="00883125" w:rsidRDefault="00BA5850" w:rsidP="0086094B">
      <w:pPr>
        <w:pStyle w:val="AERtablesource"/>
        <w:keepNext/>
      </w:pPr>
      <w:r w:rsidRPr="00883125">
        <w:t xml:space="preserve">Source: </w:t>
      </w:r>
      <w:r w:rsidRPr="00883125">
        <w:tab/>
        <w:t>Frontier, The appropriate use of tax statistics when estimating gamma, January 2016, p. 22.</w:t>
      </w:r>
    </w:p>
    <w:p w:rsidR="00BA5850" w:rsidRDefault="00BA5850" w:rsidP="00BA5850">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BA5850" w:rsidRDefault="00BA5850" w:rsidP="00BA5850">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70"/>
      </w:r>
      <w:r w:rsidRPr="005764F6">
        <w:t xml:space="preserve"> </w:t>
      </w:r>
    </w:p>
    <w:p w:rsidR="00BA5850" w:rsidRDefault="00BA5850" w:rsidP="00BA5850">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BA5850" w:rsidRPr="005764F6" w:rsidRDefault="00BA5850" w:rsidP="00BA5850">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7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BA5850" w:rsidRPr="00883125" w:rsidRDefault="00BA5850" w:rsidP="00BA5850">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BA5850" w:rsidRPr="00883125" w:rsidRDefault="00BA5850" w:rsidP="00BA5850">
      <w:pPr>
        <w:pStyle w:val="Heading9"/>
      </w:pPr>
      <w:bookmarkStart w:id="235" w:name="_Ref414289334"/>
      <w:r w:rsidRPr="00883125">
        <w:t>Service providers', Gray's and NERA's comments on the distribution rate</w:t>
      </w:r>
      <w:bookmarkEnd w:id="235"/>
    </w:p>
    <w:p w:rsidR="00BA5850" w:rsidRPr="00883125" w:rsidRDefault="00BA5850" w:rsidP="00BA5850">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BA5850" w:rsidRPr="00883125" w:rsidRDefault="00BA5850" w:rsidP="00BA5850">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74"/>
      </w:r>
    </w:p>
    <w:p w:rsidR="00BA5850" w:rsidRPr="00883125" w:rsidRDefault="00BA5850" w:rsidP="00BA5850">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A5850" w:rsidRPr="00883125" w:rsidRDefault="00BA5850" w:rsidP="00BA5850">
      <w:r>
        <w:t>I</w:t>
      </w:r>
      <w:r w:rsidRPr="00883125">
        <w:t xml:space="preserve">n the decisions previously released in 2014 and 2015, and in section </w:t>
      </w:r>
      <w:r>
        <w:fldChar w:fldCharType="begin"/>
      </w:r>
      <w:r>
        <w:instrText xml:space="preserve"> REF _Ref451790065 \r \h </w:instrText>
      </w:r>
      <w:r>
        <w:fldChar w:fldCharType="separate"/>
      </w:r>
      <w:r w:rsidR="00746877">
        <w:t>A.9</w:t>
      </w:r>
      <w:r>
        <w:fldChar w:fldCharType="end"/>
      </w:r>
      <w:r>
        <w:t xml:space="preserve"> and </w:t>
      </w:r>
      <w:r>
        <w:fldChar w:fldCharType="begin"/>
      </w:r>
      <w:r>
        <w:instrText xml:space="preserve"> REF _Ref401133206 \r \h </w:instrText>
      </w:r>
      <w:r>
        <w:fldChar w:fldCharType="separate"/>
      </w:r>
      <w:r w:rsidR="00746877">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BA5850" w:rsidRPr="00883125" w:rsidRDefault="00BA5850" w:rsidP="00BA5850">
      <w:r w:rsidRPr="00883125">
        <w:t>Gray's report (for SFG) appears to support an estimate of the distribution rate that is not affected by the distribution behaviour of very large public firms or very small private firms. That is, Gray (for SFG) stated:</w:t>
      </w:r>
    </w:p>
    <w:p w:rsidR="00BA5850" w:rsidRPr="00883125" w:rsidRDefault="00BA5850" w:rsidP="00BA5850">
      <w:pPr>
        <w:pStyle w:val="AERquote"/>
      </w:pPr>
      <w:r w:rsidRPr="00883125">
        <w:t>Conceptually, the task is…to estimate the distribution rate for the benchmark efficient firm.</w:t>
      </w:r>
      <w:r w:rsidRPr="00883125">
        <w:rPr>
          <w:rStyle w:val="FootnoteReference"/>
        </w:rPr>
        <w:footnoteReference w:id="475"/>
      </w:r>
    </w:p>
    <w:p w:rsidR="00BA5850" w:rsidRPr="00883125" w:rsidRDefault="00BA5850" w:rsidP="00BA5850">
      <w:pPr>
        <w:pStyle w:val="AERquote"/>
      </w:pPr>
      <w:r w:rsidRPr="00883125">
        <w:t>…</w:t>
      </w:r>
    </w:p>
    <w:p w:rsidR="00BA5850" w:rsidRPr="00883125" w:rsidRDefault="00BA5850" w:rsidP="00BA5850">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BA5850" w:rsidRPr="00883125" w:rsidRDefault="00BA5850" w:rsidP="00BA5850">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BA5850" w:rsidRDefault="00BA5850" w:rsidP="00BA5850">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8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BA5850" w:rsidRPr="005764F6" w:rsidRDefault="00BA5850" w:rsidP="00BA5850">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8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8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84"/>
      </w:r>
      <w:r w:rsidRPr="005764F6">
        <w:t xml:space="preserve"> </w:t>
      </w:r>
    </w:p>
    <w:p w:rsidR="00BA5850" w:rsidRPr="00883125" w:rsidRDefault="00BA5850" w:rsidP="00BA5850">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xml:space="preserve">, the listed regulated businesses (APA, Envestra (pre-sale) and JGN's parent company) have a franking account balance of </w:t>
      </w:r>
      <w:r w:rsidRPr="00883125">
        <w:lastRenderedPageBreak/>
        <w:t>zero.</w:t>
      </w:r>
      <w:r w:rsidRPr="00883125">
        <w:rPr>
          <w:rStyle w:val="FootnoteReference"/>
        </w:rPr>
        <w:footnoteReference w:id="48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BA5850" w:rsidRPr="00883125" w:rsidRDefault="00BA5850" w:rsidP="00BA5850">
      <w:r w:rsidRPr="00883125">
        <w:t>Regarding internal consistency when combining estimates of the distribution and utilisation rates, Gray (for SFG) submitted:</w:t>
      </w:r>
      <w:r w:rsidRPr="00883125">
        <w:rPr>
          <w:rStyle w:val="FootnoteReference"/>
        </w:rPr>
        <w:footnoteReference w:id="486"/>
      </w:r>
    </w:p>
    <w:p w:rsidR="00BA5850" w:rsidRPr="00883125" w:rsidRDefault="00BA5850" w:rsidP="00BA5850">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BA5850" w:rsidRPr="00883125" w:rsidRDefault="00BA5850" w:rsidP="00BA5850">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BA5850" w:rsidRPr="00883125" w:rsidRDefault="00BA5850" w:rsidP="00BA5850">
      <w:pPr>
        <w:pStyle w:val="AERquote"/>
      </w:pPr>
      <w:r w:rsidRPr="00883125">
        <w:t>As theta should not vary from firm to firm, however, there should be no link between how one estimates theta and how one estimates the distribution rate.</w:t>
      </w:r>
    </w:p>
    <w:p w:rsidR="00BA5850" w:rsidRPr="00883125" w:rsidRDefault="00BA5850" w:rsidP="00BA5850">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BA5850" w:rsidRPr="00BA5850" w:rsidRDefault="00BA5850" w:rsidP="00BA5850">
      <w:pPr>
        <w:pStyle w:val="AERquote"/>
        <w:rPr>
          <w:rFonts w:eastAsiaTheme="minorHAnsi"/>
        </w:rPr>
      </w:pPr>
      <w:r w:rsidRPr="005764F6">
        <w:t>In my view, when estimating the distribution rate there are two reasons to be concerned about the weight that is afforded to the top 20 listed firms:</w:t>
      </w:r>
    </w:p>
    <w:p w:rsidR="00BA5850" w:rsidRPr="00BA5850" w:rsidRDefault="00BA5850" w:rsidP="00BA5850">
      <w:pPr>
        <w:pStyle w:val="AERquoteindent1"/>
        <w:rPr>
          <w:rFonts w:eastAsiaTheme="minorHAnsi"/>
        </w:rPr>
      </w:pPr>
      <w:r w:rsidRPr="005764F6">
        <w:t>a. The AER has specifically stated that the benchmark efficient entity should not be assumed to be a large listed company, as set out above; and</w:t>
      </w:r>
    </w:p>
    <w:p w:rsidR="00BA5850" w:rsidRPr="005764F6" w:rsidRDefault="00BA5850" w:rsidP="00BA5850">
      <w:pPr>
        <w:pStyle w:val="AERquote"/>
      </w:pPr>
      <w:r w:rsidRPr="005764F6">
        <w:t>b. The top 20 listed firms differ from the benchmark entity in that their foreign sourced profits enable a higher distribution rate.</w:t>
      </w:r>
    </w:p>
    <w:p w:rsidR="00BA5850" w:rsidRPr="00883125" w:rsidRDefault="00BA5850" w:rsidP="00BA5850">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BA5850" w:rsidRPr="00883125" w:rsidRDefault="00BA5850" w:rsidP="00BA5850">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49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BA5850" w:rsidRPr="00883125" w:rsidRDefault="00BA5850" w:rsidP="00BA5850">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BA5850" w:rsidRDefault="00BA5850" w:rsidP="00BA5850">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49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BA5850" w:rsidRPr="00883125" w:rsidRDefault="00BA5850" w:rsidP="00BA5850">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BA5850" w:rsidRPr="00883125" w:rsidRDefault="00BA5850" w:rsidP="00BA5850">
      <w:pPr>
        <w:pStyle w:val="AERquote"/>
      </w:pPr>
      <w:r w:rsidRPr="00883125">
        <w:t>If theta is estimated using a market value approach, the estimate will represent an average across all listed firms.</w:t>
      </w:r>
    </w:p>
    <w:p w:rsidR="00BA5850" w:rsidRPr="00883125" w:rsidRDefault="00BA5850" w:rsidP="00BA5850">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746877" w:rsidRPr="00883125">
        <w:t xml:space="preserve">figure </w:t>
      </w:r>
      <w:r w:rsidR="00746877">
        <w:rPr>
          <w:noProof/>
        </w:rPr>
        <w:t>4</w:t>
      </w:r>
      <w:r w:rsidR="00746877" w:rsidRPr="00883125">
        <w:t>.</w:t>
      </w:r>
      <w:r w:rsidR="0074687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746877" w:rsidRPr="00883125">
        <w:t xml:space="preserve">figure </w:t>
      </w:r>
      <w:r w:rsidR="00746877">
        <w:rPr>
          <w:noProof/>
        </w:rPr>
        <w:t>4</w:t>
      </w:r>
      <w:r w:rsidR="00746877" w:rsidRPr="00883125">
        <w:t>.</w:t>
      </w:r>
      <w:r w:rsidR="00746877">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BA5850" w:rsidRPr="00883125" w:rsidRDefault="00BA5850" w:rsidP="00BA5850">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BA5850" w:rsidRPr="00883125" w:rsidRDefault="00BA5850" w:rsidP="00BA5850">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BA5850" w:rsidRPr="00883125" w:rsidRDefault="00BA5850" w:rsidP="00BA5850">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BA5850" w:rsidRDefault="00BA5850" w:rsidP="00BA5850">
      <w:pPr>
        <w:rPr>
          <w:rStyle w:val="AERbody"/>
        </w:rPr>
      </w:pPr>
      <w:r>
        <w:rPr>
          <w:rStyle w:val="AERbody"/>
        </w:rPr>
        <w:t>We note that Lally considers that consistency between the distribution rate and utilisation value is not essential nor is it precluded.</w:t>
      </w:r>
      <w:r w:rsidRPr="0016735E">
        <w:rPr>
          <w:rStyle w:val="FootnoteReference"/>
        </w:rPr>
        <w:footnoteReference w:id="49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497"/>
      </w:r>
      <w:r>
        <w:rPr>
          <w:rStyle w:val="AERbody"/>
        </w:rPr>
        <w:t xml:space="preserve"> This implies that gamma is at least 0.5, which indicates our value of gamma may be too low. </w:t>
      </w:r>
    </w:p>
    <w:p w:rsidR="00BA5850" w:rsidRPr="00883125" w:rsidRDefault="00BA5850" w:rsidP="00BA5850">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 xml:space="preserve">Further, advice that we have received for Lally suggest that the filtering is unnecessary and if </w:t>
      </w:r>
      <w:r>
        <w:rPr>
          <w:rStyle w:val="AERbody"/>
        </w:rPr>
        <w:lastRenderedPageBreak/>
        <w:t>anything the best estimate of the distribution rate is based on the financial data of the top 20 firms.</w:t>
      </w:r>
      <w:r>
        <w:rPr>
          <w:rStyle w:val="FootnoteReference"/>
        </w:rPr>
        <w:footnoteReference w:id="49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BA5850" w:rsidRPr="00883125" w:rsidRDefault="00BA5850" w:rsidP="00BA5850">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BA5850" w:rsidRPr="00883125" w:rsidRDefault="00BA5850" w:rsidP="00BA5850">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BA5850" w:rsidRPr="00883125" w:rsidRDefault="00BA5850" w:rsidP="00BA5850">
      <w:pPr>
        <w:pStyle w:val="Heading9"/>
      </w:pPr>
      <w:bookmarkStart w:id="236" w:name="_Toc450119282"/>
      <w:bookmarkStart w:id="237" w:name="_Toc450119442"/>
      <w:bookmarkStart w:id="238" w:name="_Ref415126827"/>
      <w:bookmarkEnd w:id="236"/>
      <w:bookmarkEnd w:id="237"/>
      <w:r w:rsidRPr="00883125">
        <w:t>The cumulative payout ratio approach</w:t>
      </w:r>
      <w:bookmarkEnd w:id="238"/>
    </w:p>
    <w:p w:rsidR="00BA5850" w:rsidRPr="00883125" w:rsidRDefault="00BA5850" w:rsidP="00BA5850">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BA5850" w:rsidRPr="00883125" w:rsidRDefault="00BA5850" w:rsidP="00BA5850">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BA5850" w:rsidRPr="00883125" w:rsidRDefault="00BA5850" w:rsidP="00BA5850">
      <w:pPr>
        <w:pStyle w:val="AERbulletlistfirststyle"/>
      </w:pPr>
      <w:r w:rsidRPr="00883125">
        <w:t>Hathaway and NERA each preferred this approach to an approach involving data on franked dividends, and</w:t>
      </w:r>
    </w:p>
    <w:p w:rsidR="00BA5850" w:rsidRPr="00883125" w:rsidRDefault="00BA5850" w:rsidP="00BA5850">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BA5850" w:rsidRPr="00883125" w:rsidRDefault="00BA5850" w:rsidP="00BA5850">
      <w:pPr>
        <w:pStyle w:val="Heading9"/>
      </w:pPr>
      <w:r w:rsidRPr="00883125">
        <w:t>Alternative approaches</w:t>
      </w:r>
    </w:p>
    <w:p w:rsidR="00BA5850" w:rsidRPr="00883125" w:rsidRDefault="00BA5850" w:rsidP="00BA5850">
      <w:pPr>
        <w:numPr>
          <w:ilvl w:val="0"/>
          <w:numId w:val="24"/>
        </w:numPr>
      </w:pPr>
      <w:r w:rsidRPr="00883125">
        <w:t>There are at least two alternative approaches to estimating the distribution rate:</w:t>
      </w:r>
    </w:p>
    <w:p w:rsidR="00BA5850" w:rsidRPr="00BA5850" w:rsidRDefault="00BA5850" w:rsidP="00BA5850">
      <w:pPr>
        <w:pStyle w:val="AERbulletlistfirststyle"/>
      </w:pPr>
      <w:r w:rsidRPr="00883125">
        <w:t>Hathaway and NERA each estimated a distribution rate of around 0.5 using ATO statistics on the franked dividends distributed by companies as reported in their tax returns.</w:t>
      </w:r>
      <w:r w:rsidRPr="00BA5850">
        <w:rPr>
          <w:rStyle w:val="FootnoteReference"/>
        </w:rPr>
        <w:footnoteReference w:id="502"/>
      </w:r>
      <w:r w:rsidRPr="00BA5850">
        <w:t xml:space="preserve"> However, neither advocated the use of this estimate. NERA considered:</w:t>
      </w:r>
      <w:r w:rsidRPr="00BA5850">
        <w:rPr>
          <w:rStyle w:val="FootnoteReference"/>
        </w:rPr>
        <w:footnoteReference w:id="503"/>
      </w:r>
    </w:p>
    <w:p w:rsidR="00BA5850" w:rsidRPr="00883125" w:rsidRDefault="00BA5850" w:rsidP="00BA5850">
      <w:pPr>
        <w:pStyle w:val="AERquote"/>
      </w:pPr>
      <w:r w:rsidRPr="00883125">
        <w:t xml:space="preserve">In our opinion, the cumulative payout ratio is the most reliable estimate that is least likely to be affected by potential distortions in the underlying data set. </w:t>
      </w:r>
    </w:p>
    <w:p w:rsidR="00BA5850" w:rsidRPr="00BA5850" w:rsidRDefault="00BA5850" w:rsidP="00BA5850">
      <w:pPr>
        <w:pStyle w:val="AERbulletlistfirststyle"/>
      </w:pPr>
      <w:r w:rsidRPr="00883125">
        <w:t>And Hathaway considered:</w:t>
      </w:r>
      <w:r w:rsidRPr="00BA5850">
        <w:rPr>
          <w:rStyle w:val="FootnoteReference"/>
        </w:rPr>
        <w:footnoteReference w:id="504"/>
      </w:r>
    </w:p>
    <w:p w:rsidR="00BA5850" w:rsidRPr="00883125" w:rsidRDefault="00BA5850" w:rsidP="00BA5850">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BA5850" w:rsidRPr="00883125" w:rsidRDefault="00BA5850" w:rsidP="00BA5850">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BA5850" w:rsidRPr="00883125" w:rsidRDefault="00BA5850" w:rsidP="00BA5850">
      <w:pPr>
        <w:pStyle w:val="Heading9"/>
      </w:pPr>
      <w:bookmarkStart w:id="239" w:name="_Ref450297745"/>
      <w:r w:rsidRPr="00883125">
        <w:t>Hathaway (2014)</w:t>
      </w:r>
      <w:bookmarkEnd w:id="239"/>
    </w:p>
    <w:p w:rsidR="00BA5850" w:rsidRPr="00883125" w:rsidRDefault="00BA5850" w:rsidP="00BA5850">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BA5850" w:rsidRPr="00883125" w:rsidRDefault="00BA5850" w:rsidP="00BA5850">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BA5850" w:rsidRPr="00883125" w:rsidRDefault="00BA5850" w:rsidP="00BA5850">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BA5850" w:rsidRPr="00883125" w:rsidRDefault="00BA5850" w:rsidP="00BA5850">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BA5850" w:rsidRPr="00883125" w:rsidRDefault="00BA5850" w:rsidP="00BA5850">
      <w:r w:rsidRPr="00883125">
        <w:t xml:space="preserve">While we are aware of it, we do not place reliance on the conclusion in Hathaway (2014) regarding the FAB data in this </w:t>
      </w:r>
      <w:r>
        <w:t>final</w:t>
      </w:r>
      <w:r w:rsidRPr="00883125">
        <w:t xml:space="preserve"> decision. This is because:</w:t>
      </w:r>
    </w:p>
    <w:p w:rsidR="00BA5850" w:rsidRPr="00BA5850" w:rsidRDefault="00BA5850" w:rsidP="00BA5850">
      <w:pPr>
        <w:pStyle w:val="AERbulletlistfirststyle"/>
      </w:pPr>
      <w:r w:rsidRPr="00883125">
        <w:t>We do not find Hathaway's reasoning for his conclusion</w:t>
      </w:r>
      <w:r w:rsidRPr="00BA5850">
        <w:t xml:space="preserve"> convincing.</w:t>
      </w:r>
    </w:p>
    <w:p w:rsidR="00BA5850" w:rsidRPr="00883125" w:rsidRDefault="00BA5850" w:rsidP="00BA5850">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BA5850" w:rsidRPr="00883125" w:rsidRDefault="00BA5850" w:rsidP="00BA5850">
      <w:r w:rsidRPr="00883125">
        <w:t>We also note the report is still marked draft nearly one year after initially being completed.</w:t>
      </w:r>
    </w:p>
    <w:p w:rsidR="00BA5850" w:rsidRPr="00883125" w:rsidRDefault="00BA5850" w:rsidP="00BA5850">
      <w:pPr>
        <w:pStyle w:val="Heading8"/>
      </w:pPr>
      <w:bookmarkStart w:id="240" w:name="_Ref403481535"/>
      <w:bookmarkStart w:id="241" w:name="_Toc436049452"/>
      <w:bookmarkStart w:id="242" w:name="_Toc451842258"/>
      <w:bookmarkStart w:id="243" w:name="_Toc451936182"/>
      <w:r w:rsidRPr="00883125">
        <w:t>Application of rate of return criteria to evidence on the utilisation rate</w:t>
      </w:r>
      <w:bookmarkEnd w:id="240"/>
      <w:bookmarkEnd w:id="241"/>
      <w:bookmarkEnd w:id="242"/>
      <w:bookmarkEnd w:id="243"/>
    </w:p>
    <w:p w:rsidR="00BA5850" w:rsidRPr="00883125" w:rsidRDefault="00BA5850" w:rsidP="00BA5850">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746877">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746877" w:rsidRPr="00883125">
        <w:t xml:space="preserve">table </w:t>
      </w:r>
      <w:r w:rsidR="00746877">
        <w:rPr>
          <w:noProof/>
        </w:rPr>
        <w:t>4</w:t>
      </w:r>
      <w:r w:rsidR="00746877">
        <w:noBreakHyphen/>
      </w:r>
      <w:r w:rsidR="00746877">
        <w:rPr>
          <w:noProof/>
        </w:rPr>
        <w:t>14</w:t>
      </w:r>
      <w:r w:rsidRPr="00883125">
        <w:fldChar w:fldCharType="end"/>
      </w:r>
      <w:r w:rsidRPr="00883125">
        <w:t>). Assessment against these criteria broadly supports our main assessment of the approaches.</w:t>
      </w:r>
    </w:p>
    <w:p w:rsidR="00BA5850" w:rsidRPr="00883125" w:rsidRDefault="00BA5850" w:rsidP="00BA5850">
      <w:pPr>
        <w:numPr>
          <w:ilvl w:val="0"/>
          <w:numId w:val="24"/>
        </w:numPr>
      </w:pPr>
    </w:p>
    <w:p w:rsidR="00BA5850" w:rsidRPr="00883125" w:rsidRDefault="00BA5850" w:rsidP="00BA5850">
      <w:pPr>
        <w:sectPr w:rsidR="00BA5850" w:rsidRPr="00883125" w:rsidSect="009A2DA5">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BA5850" w:rsidRPr="00FE391A" w:rsidTr="00343639">
        <w:trPr>
          <w:cnfStyle w:val="100000000000" w:firstRow="1" w:lastRow="0" w:firstColumn="0" w:lastColumn="0" w:oddVBand="0" w:evenVBand="0" w:oddHBand="0" w:evenHBand="0" w:firstRowFirstColumn="0" w:firstRowLastColumn="0" w:lastRowFirstColumn="0" w:lastRowLastColumn="0"/>
          <w:cantSplit/>
        </w:trPr>
        <w:tc>
          <w:tcPr>
            <w:tcW w:w="3936" w:type="dxa"/>
          </w:tcPr>
          <w:p w:rsidR="00BA5850" w:rsidRPr="00883125" w:rsidRDefault="00BA5850" w:rsidP="00BA5850">
            <w:pPr>
              <w:pStyle w:val="ListParagraph"/>
              <w:numPr>
                <w:ilvl w:val="0"/>
                <w:numId w:val="24"/>
              </w:numPr>
            </w:pPr>
            <w:r>
              <w:lastRenderedPageBreak/>
              <w:t>Criteria</w:t>
            </w:r>
            <w:r w:rsidRPr="00E30AF3">
              <w:rPr>
                <w:rStyle w:val="AERsuperscript"/>
              </w:rPr>
              <w:t>(a)</w:t>
            </w:r>
          </w:p>
        </w:tc>
        <w:tc>
          <w:tcPr>
            <w:tcW w:w="3140" w:type="dxa"/>
          </w:tcPr>
          <w:p w:rsidR="00BA5850" w:rsidRPr="00BA5850" w:rsidRDefault="00BA5850" w:rsidP="00BA5850">
            <w:r>
              <w:t>Equity ownership approach</w:t>
            </w:r>
          </w:p>
        </w:tc>
        <w:tc>
          <w:tcPr>
            <w:tcW w:w="3238" w:type="dxa"/>
          </w:tcPr>
          <w:p w:rsidR="00BA5850" w:rsidRPr="00BA5850" w:rsidRDefault="00BA5850" w:rsidP="00BA5850">
            <w:r>
              <w:t>Tax statistics</w:t>
            </w:r>
          </w:p>
        </w:tc>
        <w:tc>
          <w:tcPr>
            <w:tcW w:w="3838" w:type="dxa"/>
          </w:tcPr>
          <w:p w:rsidR="00BA5850" w:rsidRPr="00BA5850" w:rsidRDefault="00BA5850" w:rsidP="00BA5850">
            <w:r>
              <w:t>Implied market value studies</w:t>
            </w:r>
          </w:p>
        </w:tc>
      </w:tr>
      <w:tr w:rsidR="00BA5850" w:rsidRPr="00FE391A" w:rsidTr="00343639">
        <w:trPr>
          <w:cantSplit/>
        </w:trPr>
        <w:tc>
          <w:tcPr>
            <w:tcW w:w="3936" w:type="dxa"/>
          </w:tcPr>
          <w:p w:rsidR="00BA5850" w:rsidRPr="00883125" w:rsidRDefault="00BA5850" w:rsidP="00BA5850">
            <w:pPr>
              <w:pStyle w:val="ListParagraph"/>
              <w:numPr>
                <w:ilvl w:val="0"/>
                <w:numId w:val="24"/>
              </w:numPr>
            </w:pPr>
            <w:r w:rsidRPr="00883125">
              <w:t xml:space="preserve">Where applicable, reflective of economic and finance principles and market information. </w:t>
            </w:r>
          </w:p>
          <w:p w:rsidR="00BA5850" w:rsidRPr="00883125" w:rsidRDefault="00BA5850" w:rsidP="00BA5850">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BA5850" w:rsidRPr="00BA5850" w:rsidRDefault="00BA5850" w:rsidP="00BA5850">
            <w:r w:rsidRPr="00883125">
              <w:t>Accords with Monkhouse framework and principle of investor rationality (e.g. eligible investors expected to utilise credits to which they are entitled).</w:t>
            </w:r>
          </w:p>
          <w:p w:rsidR="00BA5850" w:rsidRPr="00BA5850" w:rsidRDefault="00BA5850" w:rsidP="00BA5850">
            <w:r w:rsidRPr="00883125">
              <w:t>Analysis is straightforward and sound. Data is from credible source (ABS).</w:t>
            </w:r>
          </w:p>
        </w:tc>
        <w:tc>
          <w:tcPr>
            <w:tcW w:w="3238" w:type="dxa"/>
          </w:tcPr>
          <w:p w:rsidR="00BA5850" w:rsidRPr="00BA5850" w:rsidRDefault="00BA5850" w:rsidP="00BA5850">
            <w:r w:rsidRPr="00883125">
              <w:t>Market information on the amount of imputation credits utilised.</w:t>
            </w:r>
          </w:p>
          <w:p w:rsidR="00BA5850" w:rsidRPr="00BA5850" w:rsidRDefault="00BA5850" w:rsidP="00BA5850">
            <w:r w:rsidRPr="00883125">
              <w:t>Analysis is straightforward and sound. Data is from credible source (ATO), but some data concerns have been identified.</w:t>
            </w:r>
          </w:p>
        </w:tc>
        <w:tc>
          <w:tcPr>
            <w:tcW w:w="3838" w:type="dxa"/>
          </w:tcPr>
          <w:p w:rsidR="00BA5850" w:rsidRPr="00BA5850" w:rsidRDefault="00BA5850" w:rsidP="00BA5850">
            <w:r w:rsidRPr="00883125">
              <w:t>Mainly based on the principle that share prices reflect the present value of future dividends (and imputation credits) and 'no arbitrage'.</w:t>
            </w:r>
          </w:p>
          <w:p w:rsidR="00BA5850" w:rsidRPr="00BA5850" w:rsidRDefault="00BA5850" w:rsidP="00BA5850">
            <w:r w:rsidRPr="00883125">
              <w:t>Varying opinions on the soundness of analysis across studies. Underlying data is typically from credible sources (e.g. Bloomberg, ASX).</w:t>
            </w:r>
          </w:p>
        </w:tc>
      </w:tr>
      <w:tr w:rsidR="00BA5850" w:rsidRPr="00FE391A" w:rsidTr="00343639">
        <w:trPr>
          <w:cnfStyle w:val="000000010000" w:firstRow="0" w:lastRow="0" w:firstColumn="0" w:lastColumn="0" w:oddVBand="0" w:evenVBand="0" w:oddHBand="0" w:evenHBand="1" w:firstRowFirstColumn="0" w:firstRowLastColumn="0" w:lastRowFirstColumn="0" w:lastRowLastColumn="0"/>
          <w:cantSplit/>
        </w:trPr>
        <w:tc>
          <w:tcPr>
            <w:tcW w:w="3936" w:type="dxa"/>
          </w:tcPr>
          <w:p w:rsidR="00BA5850" w:rsidRPr="00BA5850" w:rsidRDefault="00BA5850" w:rsidP="00BA5850">
            <w:r w:rsidRPr="00883125">
              <w:t xml:space="preserve">Fit for purpose. </w:t>
            </w:r>
          </w:p>
          <w:p w:rsidR="00BA5850" w:rsidRPr="00BA5850" w:rsidRDefault="00BA5850" w:rsidP="00BA5850">
            <w:r w:rsidRPr="00883125">
              <w:t xml:space="preserve">- The use of estimation methods, financial models, market data and other evidence should be consistent with the original purpose for which it was compiled and have regard to the limitations of that purpose. </w:t>
            </w:r>
          </w:p>
          <w:p w:rsidR="00BA5850" w:rsidRPr="00BA5850" w:rsidRDefault="00BA5850" w:rsidP="00BA5850">
            <w:r w:rsidRPr="00883125">
              <w:t>- Promote simple over complex approaches where appropriate.</w:t>
            </w:r>
          </w:p>
        </w:tc>
        <w:tc>
          <w:tcPr>
            <w:tcW w:w="3140" w:type="dxa"/>
          </w:tcPr>
          <w:p w:rsidR="00BA5850" w:rsidRPr="00BA5850" w:rsidRDefault="00BA5850" w:rsidP="00BA5850">
            <w:r w:rsidRPr="00883125">
              <w:t>ABS data used to estimate the domestic ownership share of Australian equity, which is consistent with its purpose. Approach is simple.</w:t>
            </w:r>
          </w:p>
        </w:tc>
        <w:tc>
          <w:tcPr>
            <w:tcW w:w="3238" w:type="dxa"/>
          </w:tcPr>
          <w:p w:rsidR="00BA5850" w:rsidRPr="00BA5850" w:rsidRDefault="00BA5850" w:rsidP="00BA5850">
            <w:r w:rsidRPr="00883125">
              <w:t>ATO statistics used to observe the reported amount of imputation credits utilised by investors, which is consistent with their purpose. Approach is simple.</w:t>
            </w:r>
          </w:p>
        </w:tc>
        <w:tc>
          <w:tcPr>
            <w:tcW w:w="3838" w:type="dxa"/>
          </w:tcPr>
          <w:p w:rsidR="00BA5850" w:rsidRPr="00BA5850" w:rsidRDefault="00BA5850" w:rsidP="00BA5850">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BA5850" w:rsidRPr="00FE391A" w:rsidTr="00343639">
        <w:trPr>
          <w:cantSplit/>
        </w:trPr>
        <w:tc>
          <w:tcPr>
            <w:tcW w:w="3936" w:type="dxa"/>
          </w:tcPr>
          <w:p w:rsidR="00BA5850" w:rsidRPr="00BA5850" w:rsidRDefault="00BA5850" w:rsidP="00BA5850">
            <w:r w:rsidRPr="00883125">
              <w:t xml:space="preserve">Implemented in accordance with good practice. </w:t>
            </w:r>
          </w:p>
          <w:p w:rsidR="00BA5850" w:rsidRPr="00BA5850" w:rsidRDefault="00BA5850" w:rsidP="00BA5850">
            <w:r w:rsidRPr="00883125">
              <w:t>- Supported by robust, transparent and replicable analysis that is derived from available credible datasets.</w:t>
            </w:r>
          </w:p>
        </w:tc>
        <w:tc>
          <w:tcPr>
            <w:tcW w:w="3140" w:type="dxa"/>
          </w:tcPr>
          <w:p w:rsidR="00BA5850" w:rsidRPr="00BA5850" w:rsidRDefault="00BA5850" w:rsidP="00BA5850">
            <w:r w:rsidRPr="00883125">
              <w:t>Transparent and replicable using published data. Some knowledge of ABS classifications required.</w:t>
            </w:r>
          </w:p>
        </w:tc>
        <w:tc>
          <w:tcPr>
            <w:tcW w:w="3238" w:type="dxa"/>
          </w:tcPr>
          <w:p w:rsidR="00BA5850" w:rsidRPr="00BA5850" w:rsidRDefault="00BA5850" w:rsidP="00BA5850">
            <w:r w:rsidRPr="00883125">
              <w:t>Transparent and replicable using published data, although detailed knowledge of tax return labels required. Some data concerns have been identified.</w:t>
            </w:r>
          </w:p>
        </w:tc>
        <w:tc>
          <w:tcPr>
            <w:tcW w:w="3838" w:type="dxa"/>
          </w:tcPr>
          <w:p w:rsidR="00BA5850" w:rsidRPr="00BA5850" w:rsidRDefault="00BA5850" w:rsidP="00BA5850">
            <w:r w:rsidRPr="00883125">
              <w:t>Less transparent and replicable, as econometrics knowledge required and data not always publicly or freely available.</w:t>
            </w:r>
          </w:p>
        </w:tc>
      </w:tr>
      <w:tr w:rsidR="00BA5850" w:rsidRPr="00FE391A" w:rsidTr="00343639">
        <w:trPr>
          <w:cnfStyle w:val="000000010000" w:firstRow="0" w:lastRow="0" w:firstColumn="0" w:lastColumn="0" w:oddVBand="0" w:evenVBand="0" w:oddHBand="0" w:evenHBand="1" w:firstRowFirstColumn="0" w:firstRowLastColumn="0" w:lastRowFirstColumn="0" w:lastRowLastColumn="0"/>
          <w:cantSplit/>
        </w:trPr>
        <w:tc>
          <w:tcPr>
            <w:tcW w:w="3936" w:type="dxa"/>
          </w:tcPr>
          <w:p w:rsidR="00BA5850" w:rsidRPr="00BA5850" w:rsidRDefault="00BA5850" w:rsidP="00BA5850">
            <w:r w:rsidRPr="00883125">
              <w:t>Where market data and other information is used, this information is: credible and verifiable; comparable and timely; and clearly sourced.</w:t>
            </w:r>
          </w:p>
        </w:tc>
        <w:tc>
          <w:tcPr>
            <w:tcW w:w="3140" w:type="dxa"/>
          </w:tcPr>
          <w:p w:rsidR="00BA5850" w:rsidRPr="00BA5850" w:rsidRDefault="00BA5850" w:rsidP="00BA5850">
            <w:r w:rsidRPr="00883125">
              <w:t xml:space="preserve">ABS is a credible source. Relevant statistics are published online on a quarterly basis. </w:t>
            </w:r>
          </w:p>
        </w:tc>
        <w:tc>
          <w:tcPr>
            <w:tcW w:w="3238" w:type="dxa"/>
          </w:tcPr>
          <w:p w:rsidR="00BA5850" w:rsidRPr="00BA5850" w:rsidRDefault="00BA5850" w:rsidP="00BA5850">
            <w:r w:rsidRPr="00883125">
              <w:t>ATO is a credible source. Relevant statistics are published online on an annual basis, with a two-year lag (e.g. 2011–12 statistics published in 2014). Some data concerns have been identified.</w:t>
            </w:r>
          </w:p>
        </w:tc>
        <w:tc>
          <w:tcPr>
            <w:tcW w:w="3838" w:type="dxa"/>
          </w:tcPr>
          <w:p w:rsidR="00BA5850" w:rsidRPr="00BA5850" w:rsidRDefault="00BA5850" w:rsidP="00BA5850">
            <w:r w:rsidRPr="00883125">
              <w:t>Underlying data typically from credible sources (e.g. Bloomberg, ASX) and is produced on a timely basis. Data not always publicly or freely available.</w:t>
            </w:r>
          </w:p>
          <w:p w:rsidR="00BA5850" w:rsidRPr="00BA5850" w:rsidRDefault="00BA5850" w:rsidP="00BA5850">
            <w:r w:rsidRPr="00883125">
              <w:t>Use of econometrics makes the results difficult and complex to verify.</w:t>
            </w:r>
          </w:p>
        </w:tc>
      </w:tr>
      <w:tr w:rsidR="00BA5850" w:rsidRPr="00FE391A" w:rsidTr="00343639">
        <w:trPr>
          <w:cantSplit/>
        </w:trPr>
        <w:tc>
          <w:tcPr>
            <w:tcW w:w="3936" w:type="dxa"/>
          </w:tcPr>
          <w:p w:rsidR="00BA5850" w:rsidRPr="00BA5850" w:rsidRDefault="00BA5850" w:rsidP="00BA5850">
            <w:r w:rsidRPr="00883125">
              <w:t xml:space="preserve">Sufficiently flexible as to </w:t>
            </w:r>
            <w:r w:rsidRPr="00BA5850">
              <w:t>allow changing market conditions and new information to be reflected in regulatory outcomes, as appropriate.</w:t>
            </w:r>
          </w:p>
        </w:tc>
        <w:tc>
          <w:tcPr>
            <w:tcW w:w="3140" w:type="dxa"/>
          </w:tcPr>
          <w:p w:rsidR="00BA5850" w:rsidRPr="00BA5850" w:rsidRDefault="00BA5850" w:rsidP="00BA5850">
            <w:r w:rsidRPr="00883125">
              <w:t xml:space="preserve">Reflects current ownership of Australian equities. However, might not reflect any tax law changes that reduce eligible investors’ utilisation rates below 1.  </w:t>
            </w:r>
          </w:p>
        </w:tc>
        <w:tc>
          <w:tcPr>
            <w:tcW w:w="3238" w:type="dxa"/>
          </w:tcPr>
          <w:p w:rsidR="00BA5850" w:rsidRPr="00BA5850" w:rsidRDefault="00BA5850" w:rsidP="00BA5850">
            <w:r w:rsidRPr="00883125">
              <w:t>Reflects conditions up to two years ago.</w:t>
            </w:r>
          </w:p>
        </w:tc>
        <w:tc>
          <w:tcPr>
            <w:tcW w:w="3838" w:type="dxa"/>
          </w:tcPr>
          <w:p w:rsidR="00BA5850" w:rsidRPr="00BA5850" w:rsidRDefault="00BA5850" w:rsidP="00BA5850">
            <w:r w:rsidRPr="00883125">
              <w:t>Reflects current conditions to the extent that recent data is used. Different studies span various time periods.</w:t>
            </w:r>
          </w:p>
        </w:tc>
      </w:tr>
    </w:tbl>
    <w:p w:rsidR="00BA5850" w:rsidRPr="00883125" w:rsidRDefault="00BA5850" w:rsidP="00BA5850">
      <w:pPr>
        <w:pStyle w:val="Caption"/>
      </w:pPr>
      <w:bookmarkStart w:id="244" w:name="_Ref415046112"/>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14</w:t>
      </w:r>
      <w:r w:rsidRPr="00BA5850">
        <w:fldChar w:fldCharType="end"/>
      </w:r>
      <w:bookmarkEnd w:id="244"/>
      <w:r w:rsidRPr="00883125">
        <w:tab/>
        <w:t>Application of rate of return criteria to evidence on the utilisation rate</w:t>
      </w:r>
    </w:p>
    <w:p w:rsidR="00BA5850" w:rsidRPr="00883125" w:rsidRDefault="00BA5850" w:rsidP="00BA5850">
      <w:pPr>
        <w:pStyle w:val="AERtablesource"/>
      </w:pPr>
      <w:r w:rsidRPr="00883125">
        <w:t xml:space="preserve">Source: </w:t>
      </w:r>
      <w:r w:rsidRPr="00883125">
        <w:tab/>
        <w:t>AER analysis.</w:t>
      </w:r>
    </w:p>
    <w:p w:rsidR="00BA5850" w:rsidRPr="00883125" w:rsidRDefault="00BA5850" w:rsidP="00BA5850">
      <w:pPr>
        <w:pStyle w:val="AERtablesource"/>
      </w:pPr>
      <w:r w:rsidRPr="00883125">
        <w:t>(a):</w:t>
      </w:r>
      <w:r w:rsidRPr="00883125">
        <w:tab/>
        <w:t>The criteria relating specifically to return on equity and return on debt quantitative models are excluded because they are not applicable.</w:t>
      </w:r>
    </w:p>
    <w:p w:rsidR="00BA5850" w:rsidRPr="00883125" w:rsidRDefault="00BA5850" w:rsidP="00BA5850">
      <w:pPr>
        <w:sectPr w:rsidR="00BA5850" w:rsidRPr="00883125" w:rsidSect="009A2DA5">
          <w:pgSz w:w="16838" w:h="11906" w:orient="landscape"/>
          <w:pgMar w:top="1440" w:right="1440" w:bottom="1440" w:left="1440" w:header="709" w:footer="709" w:gutter="0"/>
          <w:pgNumType w:chapStyle="1"/>
          <w:cols w:space="720"/>
          <w:docGrid w:linePitch="326"/>
        </w:sectPr>
      </w:pPr>
    </w:p>
    <w:p w:rsidR="00BA5850" w:rsidRPr="00883125" w:rsidRDefault="00BA5850" w:rsidP="00BA5850">
      <w:pPr>
        <w:pStyle w:val="Heading8"/>
      </w:pPr>
      <w:bookmarkStart w:id="245" w:name="_Ref415049811"/>
      <w:bookmarkStart w:id="246" w:name="_Toc436049453"/>
      <w:bookmarkStart w:id="247" w:name="_Toc451842259"/>
      <w:bookmarkStart w:id="248" w:name="_Toc451936183"/>
      <w:r w:rsidRPr="00883125">
        <w:lastRenderedPageBreak/>
        <w:t>The equity ownership approach</w:t>
      </w:r>
      <w:bookmarkEnd w:id="245"/>
      <w:bookmarkEnd w:id="246"/>
      <w:bookmarkEnd w:id="247"/>
      <w:bookmarkEnd w:id="248"/>
    </w:p>
    <w:p w:rsidR="00BA5850" w:rsidRPr="00883125" w:rsidRDefault="00BA5850" w:rsidP="00BA5850">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BA5850" w:rsidRPr="00883125" w:rsidRDefault="00BA5850" w:rsidP="00BA5850">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746877">
        <w:t>4.4</w:t>
      </w:r>
      <w:r>
        <w:fldChar w:fldCharType="end"/>
      </w:r>
      <w:r w:rsidRPr="00883125">
        <w:t xml:space="preserve"> of attachment 4. In this section, we provide further detail on our application of the approach. We also compare our assessment of the approach in this </w:t>
      </w:r>
      <w:r>
        <w:t>final</w:t>
      </w:r>
      <w:r w:rsidRPr="00883125">
        <w:t xml:space="preserve"> decision with our assessment in the Guideline.</w:t>
      </w:r>
    </w:p>
    <w:p w:rsidR="00BA5850" w:rsidRPr="00883125" w:rsidRDefault="00BA5850" w:rsidP="00BA5850">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746877">
        <w:t>4.4</w:t>
      </w:r>
      <w:r>
        <w:fldChar w:fldCharType="end"/>
      </w:r>
      <w:r w:rsidRPr="00883125">
        <w:t xml:space="preserve"> of attachment 4. We have regard also to the limitations of this approach, but we do not consider them significant:</w:t>
      </w:r>
    </w:p>
    <w:p w:rsidR="00BA5850" w:rsidRPr="00BA5850" w:rsidRDefault="00BA5850" w:rsidP="00BA5850">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BA5850">
        <w:fldChar w:fldCharType="begin"/>
      </w:r>
      <w:r w:rsidRPr="00BA5850">
        <w:instrText xml:space="preserve"> REF _Ref414099389 \r \h </w:instrText>
      </w:r>
      <w:r w:rsidRPr="00BA5850">
        <w:fldChar w:fldCharType="separate"/>
      </w:r>
      <w:r w:rsidR="00746877">
        <w:t>A.8.3</w:t>
      </w:r>
      <w:r w:rsidRPr="00BA5850">
        <w:fldChar w:fldCharType="end"/>
      </w:r>
      <w:r w:rsidRPr="00BA5850">
        <w:t>, we do not consider that there is clear evidence as to effect that these rules have or should be expected to have. Moreover, we consider that the most relevant evidence on the effect of these rules suggest that they have a negligible effect.</w:t>
      </w:r>
    </w:p>
    <w:p w:rsidR="00BA5850" w:rsidRPr="00BA5850" w:rsidRDefault="00BA5850" w:rsidP="00BA5850">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BA5850">
        <w:rPr>
          <w:rStyle w:val="FootnoteReference"/>
        </w:rPr>
        <w:footnoteReference w:id="509"/>
      </w:r>
    </w:p>
    <w:p w:rsidR="00BA5850" w:rsidRDefault="00BA5850" w:rsidP="00BA5850">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10"/>
      </w:r>
      <w:r>
        <w:t xml:space="preserve"> This is consistent with our equity ownership approach.</w:t>
      </w:r>
      <w:r>
        <w:rPr>
          <w:rStyle w:val="FootnoteReference"/>
        </w:rPr>
        <w:footnoteReference w:id="511"/>
      </w:r>
    </w:p>
    <w:p w:rsidR="00BA5850" w:rsidRPr="00883125" w:rsidRDefault="00BA5850" w:rsidP="00BA5850">
      <w:pPr>
        <w:numPr>
          <w:ilvl w:val="0"/>
          <w:numId w:val="24"/>
        </w:numPr>
      </w:pPr>
      <w:r w:rsidRPr="00883125">
        <w:t>We consider that a reasonable estimate for the utilisation rate from the equity ownership approach is between:</w:t>
      </w:r>
    </w:p>
    <w:p w:rsidR="00BA5850" w:rsidRPr="00883125" w:rsidRDefault="00BA5850" w:rsidP="00BA5850">
      <w:pPr>
        <w:pStyle w:val="AERbulletlistfirststyle"/>
      </w:pPr>
      <w:r w:rsidRPr="00883125">
        <w:t>0.56 and 0.68, if all equity is considered, and</w:t>
      </w:r>
    </w:p>
    <w:p w:rsidR="00BA5850" w:rsidRPr="00883125" w:rsidRDefault="00BA5850" w:rsidP="00BA5850">
      <w:pPr>
        <w:pStyle w:val="AERbulletlistfirststyle"/>
      </w:pPr>
      <w:r w:rsidRPr="00883125">
        <w:lastRenderedPageBreak/>
        <w:t>0.38 and 0.55, if only listed equity is considered.</w:t>
      </w:r>
    </w:p>
    <w:p w:rsidR="00BA5850" w:rsidRPr="00883125" w:rsidRDefault="00BA5850" w:rsidP="00BA5850">
      <w:pPr>
        <w:numPr>
          <w:ilvl w:val="0"/>
          <w:numId w:val="24"/>
        </w:numPr>
      </w:pPr>
      <w:r w:rsidRPr="00883125">
        <w:t>In the Guideline, we considered that the equity ownership approach supported a utilisation rate between 0.7 and 0.8. This range was based on:</w:t>
      </w:r>
    </w:p>
    <w:p w:rsidR="00BA5850" w:rsidRPr="00BA5850" w:rsidRDefault="00BA5850" w:rsidP="00BA5850">
      <w:pPr>
        <w:pStyle w:val="AERbulletlistfirststyle"/>
      </w:pPr>
      <w:r w:rsidRPr="00883125">
        <w:t>A 2007 feature article by the ABS, in which it was estimated using data from the National Accounts that domestic investors held 71 per cent of Australian equity.</w:t>
      </w:r>
      <w:r w:rsidRPr="00BA5850">
        <w:rPr>
          <w:rStyle w:val="FootnoteReference"/>
        </w:rPr>
        <w:footnoteReference w:id="512"/>
      </w:r>
    </w:p>
    <w:p w:rsidR="00BA5850" w:rsidRPr="00BA5850" w:rsidRDefault="00BA5850" w:rsidP="00BA5850">
      <w:pPr>
        <w:pStyle w:val="AERbulletlistfirststyle"/>
      </w:pPr>
      <w:r w:rsidRPr="00883125">
        <w:t>A graph in a September 2013 report by Hathaway, which suggested that the domestic ownership share of Australian equity had fluctuated between 75 and 81 per cent over the period 1988 to 2012.</w:t>
      </w:r>
      <w:r w:rsidRPr="00BA5850">
        <w:rPr>
          <w:rStyle w:val="FootnoteReference"/>
        </w:rPr>
        <w:footnoteReference w:id="513"/>
      </w:r>
      <w:r w:rsidRPr="00BA5850">
        <w:t xml:space="preserve"> The data underlying this graph also came from the National Accounts.</w:t>
      </w:r>
    </w:p>
    <w:p w:rsidR="00BA5850" w:rsidRPr="00883125" w:rsidRDefault="00BA5850" w:rsidP="00BA5850">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746877">
        <w:t>A.9</w:t>
      </w:r>
      <w:r>
        <w:fldChar w:fldCharType="end"/>
      </w:r>
      <w:r>
        <w:t xml:space="preserve"> and </w:t>
      </w:r>
      <w:r>
        <w:fldChar w:fldCharType="begin"/>
      </w:r>
      <w:r>
        <w:instrText xml:space="preserve"> REF _Ref401133206 \r \h </w:instrText>
      </w:r>
      <w:r>
        <w:fldChar w:fldCharType="separate"/>
      </w:r>
      <w:r w:rsidR="00746877">
        <w:t>A.10</w:t>
      </w:r>
      <w:r>
        <w:fldChar w:fldCharType="end"/>
      </w:r>
      <w:r w:rsidRPr="00883125">
        <w:t>.</w:t>
      </w:r>
    </w:p>
    <w:p w:rsidR="00BA5850" w:rsidRPr="00883125" w:rsidRDefault="00BA5850" w:rsidP="00BA5850">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BA5850" w:rsidRPr="00883125" w:rsidRDefault="00BA5850" w:rsidP="00BA5850">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BA5850" w:rsidRPr="00BA5850" w:rsidRDefault="00BA5850" w:rsidP="00BA5850">
      <w:pPr>
        <w:pStyle w:val="AERbulletlistfirststyle"/>
      </w:pPr>
      <w:r w:rsidRPr="00AC2168">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government-held equity from the calculation of the refined domestic ownership share. This is because the value of imputation credits forms part of our determination of the rate of return required by private investors in the benchmark efficient entity.</w:t>
      </w:r>
      <w:r w:rsidRPr="00BA5850">
        <w:rPr>
          <w:rStyle w:val="FootnoteReference"/>
        </w:rPr>
        <w:footnoteReference w:id="514"/>
      </w:r>
      <w:r w:rsidRPr="00BA5850">
        <w:t xml:space="preserve"> In doing this we are </w:t>
      </w:r>
      <w:r w:rsidRPr="00BA5850">
        <w:lastRenderedPageBreak/>
        <w:t xml:space="preserve">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BA5850" w:rsidRPr="00883125" w:rsidRDefault="00BA5850" w:rsidP="00BA5850">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BA5850" w:rsidRPr="00883125" w:rsidRDefault="00BA5850" w:rsidP="00BA5850">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746877">
        <w:t>A.14</w:t>
      </w:r>
      <w:r w:rsidRPr="00883125">
        <w:fldChar w:fldCharType="end"/>
      </w:r>
      <w:r w:rsidRPr="00883125">
        <w:t>.</w:t>
      </w:r>
    </w:p>
    <w:p w:rsidR="00BA5850" w:rsidRPr="00883125" w:rsidRDefault="00BA5850" w:rsidP="00BA5850">
      <w:pPr>
        <w:numPr>
          <w:ilvl w:val="0"/>
          <w:numId w:val="24"/>
        </w:numPr>
      </w:pPr>
      <w:r w:rsidRPr="00883125">
        <w:t xml:space="preserve">Our estimate ranges in this </w:t>
      </w:r>
      <w:r>
        <w:t>final</w:t>
      </w:r>
      <w:r w:rsidRPr="00883125">
        <w:t xml:space="preserve"> decision differ from the corresponding ranges in the draft decisions released in 2014. These changes in part reflect the views of service providers, Gray (for SFG) and Handley. We discuss our consideration of these views below.</w:t>
      </w:r>
    </w:p>
    <w:p w:rsidR="00BA5850" w:rsidRPr="00883125" w:rsidRDefault="00BA5850" w:rsidP="00BA5850">
      <w:r w:rsidRPr="00883125">
        <w:t>A number of service providers have submitted that we erred in our earlier decisions because:</w:t>
      </w:r>
      <w:r w:rsidRPr="00883125">
        <w:rPr>
          <w:rStyle w:val="FootnoteReference"/>
        </w:rPr>
        <w:footnoteReference w:id="516"/>
      </w:r>
    </w:p>
    <w:p w:rsidR="00BA5850" w:rsidRPr="00883125" w:rsidRDefault="00BA5850" w:rsidP="00BA5850">
      <w:pPr>
        <w:pStyle w:val="AERquote"/>
      </w:pPr>
      <w:r w:rsidRPr="00883125">
        <w:t>…the ranges used by the AER for the equity ownership rate are inconsistent with the evidence in the Draft Decision.</w:t>
      </w:r>
    </w:p>
    <w:p w:rsidR="00BA5850" w:rsidRPr="00883125" w:rsidRDefault="00BA5850" w:rsidP="00BA5850">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BA5850" w:rsidRPr="00883125" w:rsidRDefault="00BA5850" w:rsidP="00BA5850">
      <w:r w:rsidRPr="00883125">
        <w:lastRenderedPageBreak/>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BA5850" w:rsidRPr="00883125" w:rsidRDefault="00BA5850" w:rsidP="00BA5850">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BA5850" w:rsidRPr="00883125" w:rsidRDefault="00BA5850" w:rsidP="00BA5850">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BA5850" w:rsidRDefault="00BA5850" w:rsidP="00BA5850">
      <w:r>
        <w:t>In determining whether to use the current value of equity ownership or a historical average, Lally considers that it depends on whether the series is following a random walk or mean reversion.</w:t>
      </w:r>
      <w:r>
        <w:rPr>
          <w:rStyle w:val="FootnoteReference"/>
        </w:rPr>
        <w:footnoteReference w:id="520"/>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21"/>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BA5850" w:rsidRPr="00883125" w:rsidRDefault="00BA5850" w:rsidP="00BA5850">
      <w:r w:rsidRPr="00883125">
        <w:t>On Handley's point regarding the length of period to considered, we agree with Gray's view (for SFG) that:</w:t>
      </w:r>
      <w:r w:rsidRPr="00883125">
        <w:rPr>
          <w:rStyle w:val="FootnoteReference"/>
        </w:rPr>
        <w:footnoteReference w:id="522"/>
      </w:r>
    </w:p>
    <w:p w:rsidR="00BA5850" w:rsidRPr="00883125" w:rsidRDefault="00BA5850" w:rsidP="00BA5850">
      <w:pPr>
        <w:pStyle w:val="AERquote"/>
      </w:pPr>
      <w:r w:rsidRPr="00883125">
        <w:lastRenderedPageBreak/>
        <w:t>It is not clear why estimates of what the domestic equity ownership proportion was in the 1980s are relevant to the current determination for the forthcoming regulatory period.</w:t>
      </w:r>
    </w:p>
    <w:p w:rsidR="00BA5850" w:rsidRPr="00883125" w:rsidRDefault="00BA5850" w:rsidP="00BA5850">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BA5850" w:rsidRPr="00883125" w:rsidRDefault="00BA5850" w:rsidP="00BA5850">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BA5850" w:rsidRPr="00883125" w:rsidRDefault="00BA5850" w:rsidP="00BA5850">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BA5850" w:rsidRDefault="00BA5850" w:rsidP="00BA5850">
      <w:r w:rsidRPr="00883125">
        <w:rPr>
          <w:rStyle w:val="AERbody"/>
        </w:rPr>
        <w:t xml:space="preserve">United Energy has submitted that the Tribunal found that the </w:t>
      </w:r>
      <w:r w:rsidRPr="00883125">
        <w:t>equity ownership approach overstates the redemption rates and would only be useful as a further check on other 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w:t>
      </w:r>
      <w:r w:rsidRPr="00883125">
        <w:lastRenderedPageBreak/>
        <w:t>credits that they do not utilise them.</w:t>
      </w:r>
      <w:r w:rsidRPr="00883125">
        <w:rPr>
          <w:rStyle w:val="FootnoteReference"/>
        </w:rPr>
        <w:footnoteReference w:id="527"/>
      </w:r>
      <w:r w:rsidRPr="00883125">
        <w:t xml:space="preserve"> </w:t>
      </w:r>
      <w:r>
        <w:t>We have</w:t>
      </w:r>
      <w:r w:rsidRPr="00883125">
        <w:t xml:space="preserve"> carefully considered the Tribunal reasoning and remain of the view that the equity ownership approach 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28"/>
      </w:r>
    </w:p>
    <w:p w:rsidR="00BA5850" w:rsidRPr="00883125" w:rsidRDefault="00BA5850" w:rsidP="00BA5850">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t xml:space="preserve">As set out in sections </w:t>
      </w:r>
      <w:r>
        <w:fldChar w:fldCharType="begin"/>
      </w:r>
      <w:r>
        <w:instrText xml:space="preserve"> REF _Ref415144114 \r \h </w:instrText>
      </w:r>
      <w:r>
        <w:fldChar w:fldCharType="separate"/>
      </w:r>
      <w:r w:rsidR="00746877">
        <w:t>A.5</w:t>
      </w:r>
      <w:r>
        <w:fldChar w:fldCharType="end"/>
      </w:r>
      <w:r>
        <w:t xml:space="preserve">, </w:t>
      </w:r>
      <w:r>
        <w:fldChar w:fldCharType="begin"/>
      </w:r>
      <w:r>
        <w:instrText xml:space="preserve"> REF _Ref451826492 \r \h </w:instrText>
      </w:r>
      <w:r>
        <w:fldChar w:fldCharType="separate"/>
      </w:r>
      <w:r w:rsidR="00746877">
        <w:t>A.6</w:t>
      </w:r>
      <w:r>
        <w:fldChar w:fldCharType="end"/>
      </w:r>
      <w:r>
        <w:t xml:space="preserve"> and </w:t>
      </w:r>
      <w:r>
        <w:fldChar w:fldCharType="begin"/>
      </w:r>
      <w:r>
        <w:instrText xml:space="preserve"> REF _Ref451849752 \r \h </w:instrText>
      </w:r>
      <w:r>
        <w:fldChar w:fldCharType="separate"/>
      </w:r>
      <w:r w:rsidR="00746877">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BA5850" w:rsidRDefault="00BA5850" w:rsidP="00BA5850">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746877" w:rsidRPr="00883125">
        <w:t xml:space="preserve">figure </w:t>
      </w:r>
      <w:r w:rsidR="00746877">
        <w:rPr>
          <w:noProof/>
        </w:rPr>
        <w:t>4</w:t>
      </w:r>
      <w:r w:rsidR="00746877" w:rsidRPr="00883125">
        <w:t>.</w:t>
      </w:r>
      <w:r w:rsidR="00746877">
        <w:rPr>
          <w:noProof/>
        </w:rPr>
        <w:t>3</w:t>
      </w:r>
      <w:r w:rsidRPr="00883125">
        <w:fldChar w:fldCharType="end"/>
      </w:r>
      <w:r w:rsidRPr="00883125">
        <w:t>.</w:t>
      </w:r>
    </w:p>
    <w:p w:rsidR="00593A40" w:rsidRPr="00883125" w:rsidRDefault="00593A40" w:rsidP="00BA5850"/>
    <w:p w:rsidR="00BA5850" w:rsidRPr="00883125" w:rsidRDefault="00BA5850" w:rsidP="00BA5850">
      <w:pPr>
        <w:pStyle w:val="Caption"/>
      </w:pPr>
      <w:bookmarkStart w:id="249" w:name="_Ref414273399"/>
      <w:r w:rsidRPr="00883125">
        <w:lastRenderedPageBreak/>
        <w:t xml:space="preserve">Figure </w:t>
      </w:r>
      <w:r w:rsidRPr="00B27BE5">
        <w:fldChar w:fldCharType="begin"/>
      </w:r>
      <w:r>
        <w:instrText xml:space="preserve"> STYLEREF 1 \s </w:instrText>
      </w:r>
      <w:r w:rsidRPr="00B27BE5">
        <w:fldChar w:fldCharType="separate"/>
      </w:r>
      <w:r w:rsidR="0074687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746877">
        <w:rPr>
          <w:noProof/>
        </w:rPr>
        <w:t>3</w:t>
      </w:r>
      <w:r w:rsidRPr="00B27BE5">
        <w:fldChar w:fldCharType="end"/>
      </w:r>
      <w:bookmarkEnd w:id="249"/>
      <w:r w:rsidRPr="00883125">
        <w:tab/>
        <w:t>Refined domestic ownership share of Australian equity</w:t>
      </w:r>
    </w:p>
    <w:p w:rsidR="00BA5850" w:rsidRPr="00883125" w:rsidRDefault="00BA5850" w:rsidP="00BA5850">
      <w:r w:rsidRPr="00BA5850">
        <w:rPr>
          <w:noProof/>
          <w:lang w:eastAsia="en-AU"/>
        </w:rPr>
        <w:drawing>
          <wp:inline distT="0" distB="0" distL="0" distR="0" wp14:anchorId="79FB8415" wp14:editId="41070201">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5850" w:rsidRPr="00883125" w:rsidRDefault="00BA5850" w:rsidP="00BA5850">
      <w:pPr>
        <w:pStyle w:val="AERtablesource"/>
      </w:pPr>
      <w:r w:rsidRPr="00883125">
        <w:t xml:space="preserve">Source: </w:t>
      </w:r>
      <w:r w:rsidRPr="00883125">
        <w:tab/>
        <w:t>Australian National Accounts: Finance and Wealth (ABS cat. 5232.0), tables 47 and 48.</w:t>
      </w:r>
    </w:p>
    <w:p w:rsidR="00BA5850" w:rsidRPr="00883125" w:rsidRDefault="00BA5850" w:rsidP="00BA5850">
      <w:r w:rsidRPr="00883125">
        <w:fldChar w:fldCharType="begin"/>
      </w:r>
      <w:r w:rsidRPr="00883125">
        <w:instrText xml:space="preserve"> REF _Ref414273399 \h </w:instrText>
      </w:r>
      <w:r w:rsidRPr="00883125">
        <w:fldChar w:fldCharType="separate"/>
      </w:r>
      <w:r w:rsidR="00746877" w:rsidRPr="00883125">
        <w:t xml:space="preserve">Figure </w:t>
      </w:r>
      <w:r w:rsidR="00746877">
        <w:rPr>
          <w:noProof/>
        </w:rPr>
        <w:t>4</w:t>
      </w:r>
      <w:r w:rsidR="00746877" w:rsidRPr="00883125">
        <w:t>.</w:t>
      </w:r>
      <w:r w:rsidR="00746877">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BA5850" w:rsidRPr="00883125" w:rsidRDefault="00BA5850" w:rsidP="00BA5850">
      <w:pPr>
        <w:pStyle w:val="Heading8"/>
      </w:pPr>
      <w:bookmarkStart w:id="250" w:name="_Ref402179420"/>
      <w:bookmarkStart w:id="251" w:name="_Toc436049454"/>
      <w:bookmarkStart w:id="252" w:name="_Toc451842260"/>
      <w:bookmarkStart w:id="253" w:name="_Toc451936184"/>
      <w:r w:rsidRPr="00883125">
        <w:t>Tax statistics</w:t>
      </w:r>
      <w:bookmarkEnd w:id="250"/>
      <w:bookmarkEnd w:id="251"/>
      <w:bookmarkEnd w:id="252"/>
      <w:bookmarkEnd w:id="253"/>
    </w:p>
    <w:p w:rsidR="00BA5850" w:rsidRPr="00883125" w:rsidRDefault="00BA5850" w:rsidP="00BA5850">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BA5850" w:rsidRPr="00883125" w:rsidRDefault="00BA5850" w:rsidP="00BA5850">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746877">
        <w:t>4.4</w:t>
      </w:r>
      <w:r>
        <w:fldChar w:fldCharType="end"/>
      </w:r>
      <w:r w:rsidRPr="00883125">
        <w:t xml:space="preserve"> of attachment 4. In this section, we explain how our position has changed compared to that in the Guideline.</w:t>
      </w:r>
    </w:p>
    <w:p w:rsidR="00BA5850" w:rsidRPr="00883125" w:rsidRDefault="00BA5850" w:rsidP="00BA5850">
      <w:pPr>
        <w:numPr>
          <w:ilvl w:val="0"/>
          <w:numId w:val="24"/>
        </w:numPr>
      </w:pPr>
      <w:r w:rsidRPr="00883125">
        <w:lastRenderedPageBreak/>
        <w:t>In the Guideline, we considered that tax statistics supported a utilisation rate between 0.4 and 0.8. This was based on:</w:t>
      </w:r>
    </w:p>
    <w:p w:rsidR="00BA5850" w:rsidRPr="00BA5850" w:rsidRDefault="00BA5850" w:rsidP="00BA5850">
      <w:pPr>
        <w:pStyle w:val="AERbulletlistfirststyle"/>
      </w:pPr>
      <w:r w:rsidRPr="00883125">
        <w:t>A 2013 report by Hathaway, which sought to estimate the proportion of distributed credits that have been utilised. This report produced two estimates for the period 2004 to 2011: 0.43 and 0.61.</w:t>
      </w:r>
      <w:r w:rsidRPr="00BA5850" w:rsidDel="005F06A5">
        <w:t xml:space="preserve"> </w:t>
      </w:r>
      <w:r w:rsidRPr="00BA5850">
        <w:t xml:space="preserve"> The two estimates reflect two alternative measures of the value of credits distributed, which in turn imply two alternative estimates of the distribution rate (as discussed in section </w:t>
      </w:r>
      <w:r w:rsidRPr="00BA5850">
        <w:fldChar w:fldCharType="begin"/>
      </w:r>
      <w:r w:rsidRPr="00BA5850">
        <w:instrText xml:space="preserve"> REF _Ref401133206 \r \h </w:instrText>
      </w:r>
      <w:r w:rsidRPr="00BA5850">
        <w:fldChar w:fldCharType="separate"/>
      </w:r>
      <w:r w:rsidR="00746877">
        <w:t>A.10</w:t>
      </w:r>
      <w:r w:rsidRPr="00BA5850">
        <w:fldChar w:fldCharType="end"/>
      </w:r>
      <w:r w:rsidRPr="00BA5850">
        <w:t>). The 0.43 and 0.61 estimates of the utilisation rate correspond to estimates of the distribution rate of around 0.7 and 0.5 respectively.</w:t>
      </w:r>
      <w:r w:rsidRPr="00BA5850">
        <w:rPr>
          <w:rStyle w:val="FootnoteReference"/>
        </w:rPr>
        <w:footnoteReference w:id="531"/>
      </w:r>
      <w:r w:rsidRPr="00BA5850">
        <w:t xml:space="preserve"> </w:t>
      </w:r>
    </w:p>
    <w:p w:rsidR="00BA5850" w:rsidRPr="00883125" w:rsidRDefault="00BA5850" w:rsidP="00BA5850">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BA5850" w:rsidRPr="00883125" w:rsidRDefault="00BA5850" w:rsidP="00BA5850">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BA5850" w:rsidRPr="00BA5850" w:rsidRDefault="00BA5850" w:rsidP="00BA5850">
      <w:pPr>
        <w:pStyle w:val="AERbulletlistfirststyle"/>
      </w:pPr>
      <w:r w:rsidRPr="00883125">
        <w:t>derived from post-2004 data, consistent with Hathaway's findings that the ATO statistics are subject to a number of issues prior to 2004,</w:t>
      </w:r>
      <w:r w:rsidRPr="00BA5850">
        <w:rPr>
          <w:rStyle w:val="FootnoteReference"/>
        </w:rPr>
        <w:footnoteReference w:id="532"/>
      </w:r>
      <w:r w:rsidRPr="00BA5850">
        <w:t xml:space="preserve"> and</w:t>
      </w:r>
    </w:p>
    <w:p w:rsidR="00BA5850" w:rsidRPr="00BA5850" w:rsidRDefault="00BA5850" w:rsidP="00BA5850">
      <w:pPr>
        <w:pStyle w:val="AERbulletlistfirststyle"/>
      </w:pPr>
      <w:r w:rsidRPr="00883125">
        <w:t>consistent with our preferred estimates of the distribution rate</w:t>
      </w:r>
      <w:r w:rsidRPr="00BA5850">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BA5850" w:rsidRPr="00883125" w:rsidRDefault="00BA5850" w:rsidP="00BA5850">
      <w:pPr>
        <w:numPr>
          <w:ilvl w:val="0"/>
          <w:numId w:val="24"/>
        </w:numPr>
      </w:pPr>
      <w:r w:rsidRPr="00883125">
        <w:t>Applying these considerations, in our prior decisions</w:t>
      </w:r>
      <w:r>
        <w:t>,</w:t>
      </w:r>
      <w:r w:rsidRPr="00883125">
        <w:t xml:space="preserve"> we did not rely on:</w:t>
      </w:r>
    </w:p>
    <w:p w:rsidR="00BA5850" w:rsidRPr="00883125" w:rsidRDefault="00BA5850" w:rsidP="00BA5850">
      <w:pPr>
        <w:pStyle w:val="AERbulletlistfirststyle"/>
      </w:pPr>
      <w:r w:rsidRPr="00883125">
        <w:t>Handley and Maheswaran's estimate of 0.81, because this is (predominantly) derived from pre-2004 data.</w:t>
      </w:r>
    </w:p>
    <w:p w:rsidR="00BA5850" w:rsidRPr="00BA5850" w:rsidRDefault="00BA5850" w:rsidP="00BA5850">
      <w:pPr>
        <w:pStyle w:val="AERbulletlistfirststyle"/>
      </w:pPr>
      <w:r w:rsidRPr="00883125">
        <w:t>Hathaway's estimate of 0.61, because this corresponds to an estimate of the distribution rate of around 0.5 whereas we adopt an estimate of the distribution rate over all equity of 0.7.</w:t>
      </w:r>
      <w:r w:rsidRPr="00BA5850">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BA5850">
        <w:rPr>
          <w:rStyle w:val="FootnoteReference"/>
        </w:rPr>
        <w:footnoteReference w:id="533"/>
      </w:r>
      <w:r w:rsidRPr="00BA5850">
        <w:t xml:space="preserve"> </w:t>
      </w:r>
    </w:p>
    <w:p w:rsidR="00BA5850" w:rsidRDefault="00BA5850" w:rsidP="00BA5850">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BA5850" w:rsidRPr="00883125" w:rsidRDefault="00BA5850" w:rsidP="00BA5850">
      <w:r w:rsidRPr="00883125">
        <w:t xml:space="preserve">As discussed in section </w:t>
      </w:r>
      <w:r w:rsidRPr="00883125">
        <w:fldChar w:fldCharType="begin"/>
      </w:r>
      <w:r w:rsidRPr="00883125">
        <w:instrText xml:space="preserve"> REF _Ref401133206 \r \h </w:instrText>
      </w:r>
      <w:r w:rsidRPr="00883125">
        <w:fldChar w:fldCharType="separate"/>
      </w:r>
      <w:r w:rsidR="00746877">
        <w:t>A.10</w:t>
      </w:r>
      <w:r w:rsidRPr="00883125">
        <w:fldChar w:fldCharType="end"/>
      </w:r>
      <w:r w:rsidRPr="00883125">
        <w:t>, for this decision we place no reliance on Hathaway's new report and therefore it does not change our conclusions regarding the utilisation rate indicated by tax statistics.</w:t>
      </w:r>
    </w:p>
    <w:p w:rsidR="00BA5850" w:rsidRDefault="00BA5850" w:rsidP="00BA5850">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t>We</w:t>
      </w:r>
      <w:r w:rsidRPr="00883125">
        <w:t xml:space="preserve"> remain of the view that tax statistics can be used as point estimate for the utilisation value</w:t>
      </w:r>
      <w:r>
        <w:t xml:space="preserve"> (see section </w:t>
      </w:r>
      <w:r>
        <w:fldChar w:fldCharType="begin"/>
      </w:r>
      <w:r>
        <w:instrText xml:space="preserve"> REF _Ref450761230 \r \h </w:instrText>
      </w:r>
      <w:r>
        <w:fldChar w:fldCharType="separate"/>
      </w:r>
      <w:r w:rsidR="00746877">
        <w:t>4.4.1</w:t>
      </w:r>
      <w:r>
        <w:fldChar w:fldCharType="end"/>
      </w:r>
      <w:r>
        <w:t xml:space="preserve"> and our reasoning below)</w:t>
      </w:r>
      <w:r w:rsidRPr="00883125">
        <w:t xml:space="preserve">. </w:t>
      </w:r>
    </w:p>
    <w:p w:rsidR="00BA5850" w:rsidRDefault="00BA5850" w:rsidP="00BA5850">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746877">
        <w:t>4.4.1</w:t>
      </w:r>
      <w:r>
        <w:fldChar w:fldCharType="end"/>
      </w:r>
      <w:r>
        <w:t xml:space="preserve">). As such, </w:t>
      </w:r>
      <w:r w:rsidRPr="00883125">
        <w:t>the true (unknown) value could be higher or lower.</w:t>
      </w:r>
      <w:r>
        <w:t xml:space="preserve"> We consider this cannot constitute an upper bound for the true utilisation rate.</w:t>
      </w:r>
    </w:p>
    <w:p w:rsidR="00BA5850" w:rsidRPr="00883125" w:rsidRDefault="00BA5850" w:rsidP="00BA5850">
      <w:r>
        <w:t>Also, Lally considers that the correctly measured tax statistics provides an upward biased estimate for the utilisation value.</w:t>
      </w:r>
      <w:r>
        <w:rPr>
          <w:rStyle w:val="FootnoteReference"/>
        </w:rPr>
        <w:footnoteReference w:id="537"/>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38"/>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39"/>
      </w:r>
    </w:p>
    <w:p w:rsidR="00BA5850" w:rsidRPr="00883125" w:rsidRDefault="00BA5850" w:rsidP="00BA5850">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w:t>
      </w:r>
      <w:r w:rsidRPr="00883125">
        <w:lastRenderedPageBreak/>
        <w:t xml:space="preserve">impact on the utilisation of imputation credits (see section </w:t>
      </w:r>
      <w:r>
        <w:fldChar w:fldCharType="begin"/>
      </w:r>
      <w:r>
        <w:instrText xml:space="preserve"> REF _Ref414099389 \r \h </w:instrText>
      </w:r>
      <w:r>
        <w:fldChar w:fldCharType="separate"/>
      </w:r>
      <w:r w:rsidR="00746877">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BA5850" w:rsidRPr="00883125" w:rsidRDefault="00BA5850" w:rsidP="00BA5850">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746877">
        <w:t>A.15.3</w:t>
      </w:r>
      <w:r w:rsidRPr="00883125">
        <w:fldChar w:fldCharType="end"/>
      </w:r>
      <w:r w:rsidRPr="00883125">
        <w:t>). For these reasons we provide them relatively less weight.</w:t>
      </w:r>
    </w:p>
    <w:p w:rsidR="00BA5850" w:rsidRPr="00883125" w:rsidRDefault="00BA5850" w:rsidP="00BA5850">
      <w:pPr>
        <w:pStyle w:val="Heading8"/>
      </w:pPr>
      <w:bookmarkStart w:id="254" w:name="_Ref450298682"/>
      <w:bookmarkStart w:id="255" w:name="_Ref450299464"/>
      <w:bookmarkStart w:id="256" w:name="_Toc451842261"/>
      <w:bookmarkStart w:id="257" w:name="_Toc451936185"/>
      <w:bookmarkStart w:id="258" w:name="_Ref401080753"/>
      <w:bookmarkStart w:id="259" w:name="_Toc436049455"/>
      <w:r w:rsidRPr="00883125">
        <w:t>Difference between equity ownership approach and tax statistics</w:t>
      </w:r>
      <w:bookmarkEnd w:id="254"/>
      <w:bookmarkEnd w:id="255"/>
      <w:bookmarkEnd w:id="256"/>
      <w:bookmarkEnd w:id="257"/>
    </w:p>
    <w:p w:rsidR="00BA5850" w:rsidRPr="00883125" w:rsidRDefault="00BA5850" w:rsidP="00BA5850">
      <w:r w:rsidRPr="00883125">
        <w:t xml:space="preserve">In </w:t>
      </w:r>
      <w:r>
        <w:t>its</w:t>
      </w:r>
      <w:r w:rsidRPr="00883125">
        <w:t xml:space="preserve"> decision</w:t>
      </w:r>
      <w:r>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BA5850" w:rsidRDefault="00BA5850" w:rsidP="00BA5850">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with the tax statistics. The data issues with tax statistics was recognised by the Tribunal.</w:t>
      </w:r>
      <w:r w:rsidRPr="00883125">
        <w:rPr>
          <w:rStyle w:val="FootnoteReference"/>
        </w:rPr>
        <w:footnoteReference w:id="542"/>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43"/>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44"/>
      </w:r>
    </w:p>
    <w:p w:rsidR="00BA5850" w:rsidRPr="00883125" w:rsidRDefault="00BA5850" w:rsidP="00BA5850">
      <w:r>
        <w:lastRenderedPageBreak/>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45"/>
      </w:r>
    </w:p>
    <w:p w:rsidR="00BA5850" w:rsidRPr="00883125" w:rsidRDefault="00BA5850" w:rsidP="00BA5850">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746877">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746877">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BA5850" w:rsidRPr="00883125" w:rsidRDefault="00BA5850" w:rsidP="00BA5850">
      <w:pPr>
        <w:pStyle w:val="Heading8"/>
      </w:pPr>
      <w:bookmarkStart w:id="260" w:name="_Ref451184082"/>
      <w:bookmarkStart w:id="261" w:name="_Ref451186079"/>
      <w:bookmarkStart w:id="262" w:name="_Ref451242641"/>
      <w:bookmarkStart w:id="263" w:name="_Ref451266265"/>
      <w:bookmarkStart w:id="264" w:name="_Ref451267181"/>
      <w:bookmarkStart w:id="265" w:name="_Ref451267267"/>
      <w:bookmarkStart w:id="266" w:name="_Ref451267696"/>
      <w:bookmarkStart w:id="267" w:name="_Ref451267729"/>
      <w:bookmarkStart w:id="268" w:name="_Ref451267750"/>
      <w:bookmarkStart w:id="269" w:name="_Toc451842262"/>
      <w:bookmarkStart w:id="270" w:name="_Toc451936186"/>
      <w:r w:rsidRPr="00883125">
        <w:t>Implied market value studies</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BA5850" w:rsidRPr="00883125" w:rsidRDefault="00BA5850" w:rsidP="00BA5850">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746877">
        <w:t>4.4</w:t>
      </w:r>
      <w:r>
        <w:fldChar w:fldCharType="end"/>
      </w:r>
      <w:r w:rsidRPr="00883125">
        <w:t xml:space="preserve"> of attachment 4. </w:t>
      </w:r>
    </w:p>
    <w:p w:rsidR="00BA5850" w:rsidRPr="00883125" w:rsidRDefault="00BA5850" w:rsidP="00BA5850">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746877">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746877">
        <w:t>A.15.5</w:t>
      </w:r>
      <w:r w:rsidRPr="00883125">
        <w:fldChar w:fldCharType="end"/>
      </w:r>
      <w:r w:rsidRPr="00883125">
        <w:t>.</w:t>
      </w:r>
    </w:p>
    <w:p w:rsidR="00BA5850" w:rsidRPr="00883125" w:rsidRDefault="00BA5850" w:rsidP="00BA5850">
      <w:pPr>
        <w:pStyle w:val="Heading9"/>
      </w:pPr>
      <w:bookmarkStart w:id="271" w:name="_Ref402791521"/>
      <w:r w:rsidRPr="00883125">
        <w:t>Types of implied market value studies</w:t>
      </w:r>
      <w:bookmarkEnd w:id="271"/>
    </w:p>
    <w:p w:rsidR="00BA5850" w:rsidRPr="00883125" w:rsidRDefault="00BA5850" w:rsidP="00BA5850">
      <w:pPr>
        <w:numPr>
          <w:ilvl w:val="0"/>
          <w:numId w:val="24"/>
        </w:numPr>
      </w:pPr>
      <w:r w:rsidRPr="00883125">
        <w:t>In this section, we describe the key characteristics of dividend drop off studies and other implied market value studies.</w:t>
      </w:r>
    </w:p>
    <w:p w:rsidR="00BA5850" w:rsidRPr="00883125" w:rsidRDefault="00BA5850" w:rsidP="00BA5850">
      <w:pPr>
        <w:pStyle w:val="HeadingBoldBlue"/>
        <w:numPr>
          <w:ilvl w:val="0"/>
          <w:numId w:val="24"/>
        </w:numPr>
      </w:pPr>
      <w:r w:rsidRPr="00883125">
        <w:t>Dividend drop off studies</w:t>
      </w:r>
    </w:p>
    <w:p w:rsidR="00BA5850" w:rsidRPr="00883125" w:rsidRDefault="00BA5850" w:rsidP="00BA5850">
      <w:pPr>
        <w:numPr>
          <w:ilvl w:val="0"/>
          <w:numId w:val="24"/>
        </w:numPr>
      </w:pPr>
      <w:r w:rsidRPr="00883125">
        <w:t>Dividend drop off studies are the most common type of implied market value study. These studies involve comparing share prices between:</w:t>
      </w:r>
    </w:p>
    <w:p w:rsidR="00BA5850" w:rsidRPr="00883125" w:rsidRDefault="00BA5850" w:rsidP="00BA5850">
      <w:pPr>
        <w:pStyle w:val="AERbulletlistfirststyle"/>
      </w:pPr>
      <w:r w:rsidRPr="00883125">
        <w:lastRenderedPageBreak/>
        <w:t>the cum-dividend date—the last day on which investors owning shares will be eligible to receive dividends and the attached imputation credits, and</w:t>
      </w:r>
    </w:p>
    <w:p w:rsidR="00BA5850" w:rsidRPr="00883125" w:rsidRDefault="00BA5850" w:rsidP="00BA5850">
      <w:pPr>
        <w:pStyle w:val="AERbulletlistfirststyle"/>
      </w:pPr>
      <w:r w:rsidRPr="00883125">
        <w:t>the ex-dividend date—the first day on which investors owning shares will not be eligible to receive dividends and attached imputation credits.</w:t>
      </w:r>
    </w:p>
    <w:p w:rsidR="00BA5850" w:rsidRPr="00883125" w:rsidRDefault="00BA5850" w:rsidP="00BA5850">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BA5850" w:rsidRPr="00883125" w:rsidRDefault="00BA5850" w:rsidP="00BA5850">
      <w:pPr>
        <w:numPr>
          <w:ilvl w:val="0"/>
          <w:numId w:val="24"/>
        </w:numPr>
      </w:pPr>
      <w:r w:rsidRPr="00883125">
        <w:fldChar w:fldCharType="begin"/>
      </w:r>
      <w:r w:rsidRPr="00883125">
        <w:instrText xml:space="preserve"> REF _Ref401075742 \h </w:instrText>
      </w:r>
      <w:r w:rsidRPr="00883125">
        <w:fldChar w:fldCharType="separate"/>
      </w:r>
      <w:r w:rsidR="00746877" w:rsidRPr="00883125">
        <w:t xml:space="preserve">Table </w:t>
      </w:r>
      <w:r w:rsidR="00746877">
        <w:rPr>
          <w:noProof/>
        </w:rPr>
        <w:t>4</w:t>
      </w:r>
      <w:r w:rsidR="00746877">
        <w:noBreakHyphen/>
      </w:r>
      <w:r w:rsidR="00746877">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746877" w:rsidRPr="00883125">
        <w:t xml:space="preserve">table </w:t>
      </w:r>
      <w:r w:rsidR="00746877">
        <w:rPr>
          <w:noProof/>
        </w:rPr>
        <w:t>4</w:t>
      </w:r>
      <w:r w:rsidR="00746877">
        <w:noBreakHyphen/>
      </w:r>
      <w:r w:rsidR="00746877">
        <w:rPr>
          <w:noProof/>
        </w:rPr>
        <w:t>17</w:t>
      </w:r>
      <w:r w:rsidRPr="00883125">
        <w:fldChar w:fldCharType="end"/>
      </w:r>
      <w:r w:rsidRPr="00883125">
        <w:t>.</w:t>
      </w:r>
    </w:p>
    <w:p w:rsidR="00BA5850" w:rsidRPr="00883125" w:rsidRDefault="00BA5850" w:rsidP="00BA5850">
      <w:pPr>
        <w:pStyle w:val="Caption"/>
      </w:pPr>
      <w:bookmarkStart w:id="272" w:name="_Ref401075742"/>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15</w:t>
      </w:r>
      <w:r w:rsidRPr="00BA5850">
        <w:fldChar w:fldCharType="end"/>
      </w:r>
      <w:bookmarkEnd w:id="272"/>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BA5850" w:rsidTr="0034363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BA5850" w:rsidRPr="00BA5850" w:rsidRDefault="00BA5850" w:rsidP="00BA5850">
            <w:r w:rsidRPr="00883125">
              <w:t>Authors</w:t>
            </w:r>
          </w:p>
        </w:tc>
        <w:tc>
          <w:tcPr>
            <w:tcW w:w="1276" w:type="dxa"/>
          </w:tcPr>
          <w:p w:rsidR="00BA5850" w:rsidRPr="00BA5850" w:rsidRDefault="00BA5850" w:rsidP="00BA5850">
            <w:r w:rsidRPr="00883125">
              <w:t>Data range</w:t>
            </w:r>
          </w:p>
        </w:tc>
        <w:tc>
          <w:tcPr>
            <w:tcW w:w="5448" w:type="dxa"/>
          </w:tcPr>
          <w:p w:rsidR="00BA5850" w:rsidRPr="00BA5850" w:rsidRDefault="00BA5850" w:rsidP="00BA5850">
            <w:r w:rsidRPr="00883125">
              <w:t>Assessment relative to other studies in that class</w:t>
            </w:r>
          </w:p>
        </w:tc>
      </w:tr>
      <w:tr w:rsidR="00BA5850" w:rsidTr="00343639">
        <w:trPr>
          <w:cantSplit/>
        </w:trPr>
        <w:tc>
          <w:tcPr>
            <w:tcW w:w="9242" w:type="dxa"/>
            <w:gridSpan w:val="3"/>
          </w:tcPr>
          <w:p w:rsidR="00BA5850" w:rsidRPr="00883125" w:rsidRDefault="00BA5850" w:rsidP="00BA5850">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A5850" w:rsidRPr="00BA5850" w:rsidRDefault="00BA5850" w:rsidP="00BA5850">
            <w:r w:rsidRPr="00883125">
              <w:t>Vo et al (2013)</w:t>
            </w:r>
            <w:r w:rsidRPr="00BA5850">
              <w:rPr>
                <w:rStyle w:val="FootnoteReference"/>
              </w:rPr>
              <w:footnoteReference w:id="547"/>
            </w:r>
          </w:p>
        </w:tc>
        <w:tc>
          <w:tcPr>
            <w:tcW w:w="1276" w:type="dxa"/>
          </w:tcPr>
          <w:p w:rsidR="00BA5850" w:rsidRPr="00BA5850" w:rsidRDefault="00BA5850" w:rsidP="00BA5850">
            <w:r w:rsidRPr="00883125">
              <w:t>2001-2012</w:t>
            </w:r>
          </w:p>
        </w:tc>
        <w:tc>
          <w:tcPr>
            <w:tcW w:w="5448" w:type="dxa"/>
          </w:tcPr>
          <w:p w:rsidR="00BA5850" w:rsidRPr="00BA5850" w:rsidRDefault="00BA5850" w:rsidP="00BA5850">
            <w:r w:rsidRPr="00883125">
              <w:t>Builds on SFG (2011), includes additional econometric permutations and sensitivity analysis.</w:t>
            </w:r>
          </w:p>
        </w:tc>
      </w:tr>
      <w:tr w:rsidR="00BA5850" w:rsidTr="00343639">
        <w:trPr>
          <w:cantSplit/>
        </w:trPr>
        <w:tc>
          <w:tcPr>
            <w:tcW w:w="2518" w:type="dxa"/>
          </w:tcPr>
          <w:p w:rsidR="00BA5850" w:rsidRPr="00BA5850" w:rsidRDefault="00BA5850" w:rsidP="00BA5850">
            <w:r w:rsidRPr="00883125">
              <w:t>SFG (2013a)</w:t>
            </w:r>
            <w:r w:rsidRPr="00BA5850">
              <w:rPr>
                <w:rStyle w:val="FootnoteReference"/>
              </w:rPr>
              <w:footnoteReference w:id="548"/>
            </w:r>
          </w:p>
        </w:tc>
        <w:tc>
          <w:tcPr>
            <w:tcW w:w="1276" w:type="dxa"/>
          </w:tcPr>
          <w:p w:rsidR="00BA5850" w:rsidRPr="00BA5850" w:rsidRDefault="00BA5850" w:rsidP="00BA5850">
            <w:r w:rsidRPr="00883125">
              <w:t>2001-2012</w:t>
            </w:r>
          </w:p>
        </w:tc>
        <w:tc>
          <w:tcPr>
            <w:tcW w:w="5448" w:type="dxa"/>
          </w:tcPr>
          <w:p w:rsidR="00BA5850" w:rsidRPr="00BA5850" w:rsidRDefault="00BA5850" w:rsidP="00BA5850">
            <w:r w:rsidRPr="00883125">
              <w:t>Updates SFG (2011) – same author, longer data series.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A5850" w:rsidRPr="00BA5850" w:rsidRDefault="00BA5850" w:rsidP="00BA5850">
            <w:r w:rsidRPr="00883125">
              <w:t>SFG (2011)</w:t>
            </w:r>
            <w:r w:rsidRPr="00BA5850">
              <w:rPr>
                <w:rStyle w:val="FootnoteReference"/>
              </w:rPr>
              <w:footnoteReference w:id="549"/>
            </w:r>
          </w:p>
        </w:tc>
        <w:tc>
          <w:tcPr>
            <w:tcW w:w="1276" w:type="dxa"/>
          </w:tcPr>
          <w:p w:rsidR="00BA5850" w:rsidRPr="00BA5850" w:rsidRDefault="00BA5850" w:rsidP="00BA5850">
            <w:r w:rsidRPr="00883125">
              <w:t>2001-2010</w:t>
            </w:r>
          </w:p>
        </w:tc>
        <w:tc>
          <w:tcPr>
            <w:tcW w:w="5448" w:type="dxa"/>
          </w:tcPr>
          <w:p w:rsidR="00BA5850" w:rsidRPr="00BA5850" w:rsidRDefault="00BA5850" w:rsidP="00BA5850">
            <w:r w:rsidRPr="00883125">
              <w:t>Study commissioned by the Australian Competition Tribunal.</w:t>
            </w:r>
          </w:p>
        </w:tc>
      </w:tr>
      <w:tr w:rsidR="00BA5850" w:rsidTr="00343639">
        <w:trPr>
          <w:cantSplit/>
        </w:trPr>
        <w:tc>
          <w:tcPr>
            <w:tcW w:w="2518" w:type="dxa"/>
          </w:tcPr>
          <w:p w:rsidR="00BA5850" w:rsidRPr="00BA5850" w:rsidRDefault="00BA5850" w:rsidP="00BA5850">
            <w:r w:rsidRPr="00883125">
              <w:t>Minney (2010)</w:t>
            </w:r>
            <w:r w:rsidRPr="00BA5850">
              <w:rPr>
                <w:rStyle w:val="FootnoteReference"/>
              </w:rPr>
              <w:footnoteReference w:id="550"/>
            </w:r>
          </w:p>
        </w:tc>
        <w:tc>
          <w:tcPr>
            <w:tcW w:w="1276" w:type="dxa"/>
          </w:tcPr>
          <w:p w:rsidR="00BA5850" w:rsidRPr="00BA5850" w:rsidRDefault="00BA5850" w:rsidP="00BA5850">
            <w:r w:rsidRPr="00883125">
              <w:t>2001–2009</w:t>
            </w:r>
          </w:p>
        </w:tc>
        <w:tc>
          <w:tcPr>
            <w:tcW w:w="5448" w:type="dxa"/>
          </w:tcPr>
          <w:p w:rsidR="00BA5850" w:rsidRPr="00BA5850" w:rsidRDefault="00BA5850" w:rsidP="00BA5850">
            <w:r w:rsidRPr="00883125">
              <w:t xml:space="preserve">Partitions by firm size; </w:t>
            </w:r>
            <w:r w:rsidRPr="00BA5850">
              <w:t>sub-periods 2001–2005 and 2006–2009.</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A5850" w:rsidRPr="00BA5850" w:rsidRDefault="00BA5850" w:rsidP="00BA5850">
            <w:r w:rsidRPr="00883125">
              <w:t>Beggs and Skeels (2006)</w:t>
            </w:r>
            <w:r w:rsidRPr="00BA5850">
              <w:rPr>
                <w:rStyle w:val="FootnoteReference"/>
              </w:rPr>
              <w:footnoteReference w:id="551"/>
            </w:r>
          </w:p>
        </w:tc>
        <w:tc>
          <w:tcPr>
            <w:tcW w:w="1276" w:type="dxa"/>
          </w:tcPr>
          <w:p w:rsidR="00BA5850" w:rsidRPr="00BA5850" w:rsidRDefault="00BA5850" w:rsidP="00BA5850">
            <w:r w:rsidRPr="00883125">
              <w:t>1986-2004</w:t>
            </w:r>
          </w:p>
        </w:tc>
        <w:tc>
          <w:tcPr>
            <w:tcW w:w="5448" w:type="dxa"/>
          </w:tcPr>
          <w:p w:rsidR="00BA5850" w:rsidRPr="00BA5850" w:rsidRDefault="00BA5850" w:rsidP="00BA5850">
            <w:r w:rsidRPr="00883125">
              <w:t>Key study in the AER's 2009 review of rate of return parameters. Data calculated yearly.</w:t>
            </w:r>
          </w:p>
        </w:tc>
      </w:tr>
      <w:tr w:rsidR="00BA5850" w:rsidTr="00343639">
        <w:trPr>
          <w:cantSplit/>
        </w:trPr>
        <w:tc>
          <w:tcPr>
            <w:tcW w:w="2518" w:type="dxa"/>
          </w:tcPr>
          <w:p w:rsidR="00BA5850" w:rsidRPr="00BA5850" w:rsidRDefault="00BA5850" w:rsidP="00BA5850">
            <w:r w:rsidRPr="00883125">
              <w:t>Hathaway and Officer (2004)</w:t>
            </w:r>
            <w:r w:rsidRPr="00BA5850">
              <w:rPr>
                <w:rStyle w:val="FootnoteReference"/>
              </w:rPr>
              <w:footnoteReference w:id="552"/>
            </w:r>
          </w:p>
        </w:tc>
        <w:tc>
          <w:tcPr>
            <w:tcW w:w="1276" w:type="dxa"/>
          </w:tcPr>
          <w:p w:rsidR="00BA5850" w:rsidRPr="00BA5850" w:rsidRDefault="00BA5850" w:rsidP="00BA5850">
            <w:r w:rsidRPr="00883125">
              <w:t>1986-2004</w:t>
            </w:r>
          </w:p>
        </w:tc>
        <w:tc>
          <w:tcPr>
            <w:tcW w:w="5448" w:type="dxa"/>
          </w:tcPr>
          <w:p w:rsidR="00BA5850" w:rsidRPr="00BA5850" w:rsidRDefault="00BA5850" w:rsidP="00BA5850">
            <w:r w:rsidRPr="00883125">
              <w:t>Study partitions by firm size, dividend yield level.</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A5850" w:rsidRPr="00BA5850" w:rsidRDefault="00BA5850" w:rsidP="00BA5850">
            <w:r w:rsidRPr="00883125">
              <w:lastRenderedPageBreak/>
              <w:t>Bellamy and Gray (2004)</w:t>
            </w:r>
            <w:r w:rsidRPr="00BA5850">
              <w:rPr>
                <w:rStyle w:val="FootnoteReference"/>
              </w:rPr>
              <w:footnoteReference w:id="553"/>
            </w:r>
          </w:p>
        </w:tc>
        <w:tc>
          <w:tcPr>
            <w:tcW w:w="1276" w:type="dxa"/>
          </w:tcPr>
          <w:p w:rsidR="00BA5850" w:rsidRPr="00BA5850" w:rsidRDefault="00BA5850" w:rsidP="00BA5850">
            <w:r w:rsidRPr="00883125">
              <w:t>1995-2002</w:t>
            </w:r>
          </w:p>
        </w:tc>
        <w:tc>
          <w:tcPr>
            <w:tcW w:w="5448" w:type="dxa"/>
          </w:tcPr>
          <w:p w:rsidR="00BA5850" w:rsidRPr="00BA5850" w:rsidRDefault="00BA5850" w:rsidP="00BA5850">
            <w:r w:rsidRPr="00883125">
              <w:t>Several regression forms and sample selections. Partitions by size and time period (pre and post 45-day holding rule). Use of simulation to inform regression equation.</w:t>
            </w:r>
          </w:p>
        </w:tc>
      </w:tr>
      <w:tr w:rsidR="00BA5850" w:rsidTr="00343639">
        <w:trPr>
          <w:cantSplit/>
        </w:trPr>
        <w:tc>
          <w:tcPr>
            <w:tcW w:w="2518" w:type="dxa"/>
          </w:tcPr>
          <w:p w:rsidR="00BA5850" w:rsidRPr="00BA5850" w:rsidRDefault="00BA5850" w:rsidP="00BA5850">
            <w:r w:rsidRPr="00883125">
              <w:t>Bruckner et al (1994)</w:t>
            </w:r>
            <w:r w:rsidRPr="00BA5850">
              <w:rPr>
                <w:rStyle w:val="FootnoteReference"/>
              </w:rPr>
              <w:footnoteReference w:id="554"/>
            </w:r>
          </w:p>
        </w:tc>
        <w:tc>
          <w:tcPr>
            <w:tcW w:w="1276" w:type="dxa"/>
          </w:tcPr>
          <w:p w:rsidR="00BA5850" w:rsidRPr="00BA5850" w:rsidRDefault="00BA5850" w:rsidP="00BA5850">
            <w:r w:rsidRPr="00883125">
              <w:t>1987-1993</w:t>
            </w:r>
          </w:p>
        </w:tc>
        <w:tc>
          <w:tcPr>
            <w:tcW w:w="5448" w:type="dxa"/>
          </w:tcPr>
          <w:p w:rsidR="00BA5850" w:rsidRPr="00BA5850" w:rsidRDefault="00BA5850" w:rsidP="00BA5850">
            <w:r w:rsidRPr="00883125">
              <w:t>Early study with limited data; sub-periods 1987–1990 and 1991–1993.</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518" w:type="dxa"/>
          </w:tcPr>
          <w:p w:rsidR="00BA5850" w:rsidRPr="00BA5850" w:rsidRDefault="00BA5850" w:rsidP="00BA5850">
            <w:r w:rsidRPr="00883125">
              <w:t>Brown and Clarke (1993)</w:t>
            </w:r>
            <w:r w:rsidRPr="00BA5850">
              <w:rPr>
                <w:rStyle w:val="FootnoteReference"/>
              </w:rPr>
              <w:footnoteReference w:id="555"/>
            </w:r>
          </w:p>
        </w:tc>
        <w:tc>
          <w:tcPr>
            <w:tcW w:w="1276" w:type="dxa"/>
          </w:tcPr>
          <w:p w:rsidR="00BA5850" w:rsidRPr="00BA5850" w:rsidRDefault="00BA5850" w:rsidP="00BA5850">
            <w:r w:rsidRPr="00883125">
              <w:t>1973–1991</w:t>
            </w:r>
          </w:p>
        </w:tc>
        <w:tc>
          <w:tcPr>
            <w:tcW w:w="5448" w:type="dxa"/>
          </w:tcPr>
          <w:p w:rsidR="00BA5850" w:rsidRPr="00BA5850" w:rsidRDefault="00BA5850" w:rsidP="00BA5850">
            <w:r w:rsidRPr="00883125">
              <w:t>Compares dividend drop off before and after imputation; presents yearly figures and sub-periods.</w:t>
            </w:r>
          </w:p>
        </w:tc>
      </w:tr>
    </w:tbl>
    <w:p w:rsidR="00BA5850" w:rsidRPr="00883125" w:rsidRDefault="00BA5850" w:rsidP="00BA5850">
      <w:pPr>
        <w:pStyle w:val="AERtablesource"/>
      </w:pPr>
      <w:r w:rsidRPr="00883125">
        <w:t xml:space="preserve">Source: </w:t>
      </w:r>
      <w:r w:rsidRPr="00883125">
        <w:tab/>
        <w:t>As specified in table.</w:t>
      </w:r>
    </w:p>
    <w:p w:rsidR="00BA5850" w:rsidRPr="00883125" w:rsidRDefault="00BA5850" w:rsidP="00BA5850">
      <w:pPr>
        <w:pStyle w:val="HeadingBoldBlue"/>
        <w:numPr>
          <w:ilvl w:val="0"/>
          <w:numId w:val="24"/>
        </w:numPr>
      </w:pPr>
      <w:r w:rsidRPr="00883125">
        <w:t>Alternative implied market value studies</w:t>
      </w:r>
    </w:p>
    <w:p w:rsidR="00BA5850" w:rsidRPr="00883125" w:rsidRDefault="00BA5850" w:rsidP="00BA5850">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BA5850" w:rsidRPr="00883125" w:rsidRDefault="00BA5850" w:rsidP="00BA5850">
      <w:pPr>
        <w:pStyle w:val="AERbulletlistfirststyle"/>
      </w:pPr>
      <w:r w:rsidRPr="00883125">
        <w:t>Simultaneous trading of shares with and without entitlements.</w:t>
      </w:r>
    </w:p>
    <w:p w:rsidR="00BA5850" w:rsidRPr="00883125" w:rsidRDefault="00BA5850" w:rsidP="00BA5850">
      <w:pPr>
        <w:pStyle w:val="AERbulletlistfirststyle"/>
      </w:pPr>
      <w:r w:rsidRPr="00883125">
        <w:t>Simultaneous trading of derivatives and futures and of their underlying shares.</w:t>
      </w:r>
    </w:p>
    <w:p w:rsidR="00BA5850" w:rsidRPr="00883125" w:rsidRDefault="00BA5850" w:rsidP="00BA5850">
      <w:pPr>
        <w:pStyle w:val="AERbulletlistfirststyle"/>
      </w:pPr>
      <w:r w:rsidRPr="00883125">
        <w:t>Hybrid securities which trade with imputation credits.</w:t>
      </w:r>
    </w:p>
    <w:p w:rsidR="00BA5850" w:rsidRPr="00883125" w:rsidRDefault="00BA5850" w:rsidP="00BA5850">
      <w:pPr>
        <w:pStyle w:val="AERbulletlistfirststyle"/>
      </w:pPr>
      <w:r w:rsidRPr="00883125">
        <w:t>Comparison of the capital gains and (cash) dividend returns across time.</w:t>
      </w:r>
    </w:p>
    <w:p w:rsidR="00BA5850" w:rsidRPr="00B27BE5" w:rsidRDefault="00BA5850" w:rsidP="00BA5850">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746877" w:rsidRPr="00746877">
        <w:rPr>
          <w:rStyle w:val="AERbody"/>
        </w:rPr>
        <w:t>Table 4</w:t>
      </w:r>
      <w:r w:rsidR="00746877" w:rsidRPr="00746877">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746877" w:rsidRPr="00883125">
        <w:t xml:space="preserve">Table </w:t>
      </w:r>
      <w:r w:rsidR="00746877">
        <w:rPr>
          <w:noProof/>
        </w:rPr>
        <w:t>4</w:t>
      </w:r>
      <w:r w:rsidR="00746877">
        <w:noBreakHyphen/>
      </w:r>
      <w:r w:rsidR="00746877">
        <w:rPr>
          <w:noProof/>
        </w:rPr>
        <w:t>18</w:t>
      </w:r>
      <w:r w:rsidRPr="00883125">
        <w:rPr>
          <w:rStyle w:val="AERbody"/>
        </w:rPr>
        <w:fldChar w:fldCharType="end"/>
      </w:r>
      <w:r w:rsidRPr="00883125">
        <w:rPr>
          <w:rStyle w:val="AERbody"/>
        </w:rPr>
        <w:t>.</w:t>
      </w:r>
    </w:p>
    <w:p w:rsidR="00BA5850" w:rsidRPr="00883125" w:rsidRDefault="00BA5850" w:rsidP="00593A40">
      <w:pPr>
        <w:pStyle w:val="Caption"/>
      </w:pPr>
      <w:bookmarkStart w:id="273" w:name="_Ref401075839"/>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16</w:t>
      </w:r>
      <w:r w:rsidRPr="00BA5850">
        <w:fldChar w:fldCharType="end"/>
      </w:r>
      <w:bookmarkEnd w:id="273"/>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BA5850" w:rsidTr="00343639">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BA5850" w:rsidRPr="00883125" w:rsidRDefault="00BA5850" w:rsidP="0086094B">
            <w:pPr>
              <w:keepNext/>
              <w:numPr>
                <w:ilvl w:val="0"/>
                <w:numId w:val="24"/>
              </w:numPr>
            </w:pPr>
            <w:r w:rsidRPr="00883125">
              <w:t>Authors</w:t>
            </w:r>
          </w:p>
        </w:tc>
        <w:tc>
          <w:tcPr>
            <w:tcW w:w="1111" w:type="dxa"/>
          </w:tcPr>
          <w:p w:rsidR="00BA5850" w:rsidRPr="00883125" w:rsidRDefault="00BA5850" w:rsidP="0086094B">
            <w:pPr>
              <w:keepNext/>
              <w:numPr>
                <w:ilvl w:val="0"/>
                <w:numId w:val="24"/>
              </w:numPr>
            </w:pPr>
            <w:r w:rsidRPr="00883125">
              <w:t>Data range</w:t>
            </w:r>
          </w:p>
        </w:tc>
        <w:tc>
          <w:tcPr>
            <w:tcW w:w="5448" w:type="dxa"/>
          </w:tcPr>
          <w:p w:rsidR="00BA5850" w:rsidRPr="00883125" w:rsidRDefault="00BA5850" w:rsidP="0086094B">
            <w:pPr>
              <w:keepNext/>
              <w:numPr>
                <w:ilvl w:val="0"/>
                <w:numId w:val="24"/>
              </w:numPr>
            </w:pPr>
            <w:r w:rsidRPr="00883125">
              <w:t>Assessment relative to other studies in that class</w:t>
            </w:r>
          </w:p>
        </w:tc>
      </w:tr>
      <w:tr w:rsidR="00BA5850" w:rsidTr="00343639">
        <w:trPr>
          <w:cantSplit/>
        </w:trPr>
        <w:tc>
          <w:tcPr>
            <w:tcW w:w="9242" w:type="dxa"/>
            <w:gridSpan w:val="3"/>
          </w:tcPr>
          <w:p w:rsidR="00BA5850" w:rsidRPr="00883125" w:rsidRDefault="00BA5850" w:rsidP="0086094B">
            <w:pPr>
              <w:keepNext/>
              <w:numPr>
                <w:ilvl w:val="0"/>
                <w:numId w:val="24"/>
              </w:numPr>
            </w:pPr>
            <w:r w:rsidRPr="00883125">
              <w:rPr>
                <w:rStyle w:val="Strong"/>
              </w:rPr>
              <w:t>Dividend drop off using hybrids</w:t>
            </w:r>
            <w:r w:rsidRPr="00883125">
              <w:t xml:space="preserve"> – Similar to standard DDO but using debt/equity hybrid securities.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86094B">
            <w:pPr>
              <w:keepNext/>
            </w:pPr>
            <w:r w:rsidRPr="00883125">
              <w:t>Feuerherdt et al (2010)</w:t>
            </w:r>
            <w:r w:rsidRPr="00BA5850">
              <w:rPr>
                <w:rStyle w:val="FootnoteReference"/>
              </w:rPr>
              <w:footnoteReference w:id="556"/>
            </w:r>
          </w:p>
        </w:tc>
        <w:tc>
          <w:tcPr>
            <w:tcW w:w="1111" w:type="dxa"/>
          </w:tcPr>
          <w:p w:rsidR="00BA5850" w:rsidRPr="00BA5850" w:rsidRDefault="00BA5850" w:rsidP="0086094B">
            <w:pPr>
              <w:keepNext/>
            </w:pPr>
            <w:r w:rsidRPr="00883125">
              <w:t>1995–2002</w:t>
            </w:r>
          </w:p>
        </w:tc>
        <w:tc>
          <w:tcPr>
            <w:tcW w:w="5448" w:type="dxa"/>
          </w:tcPr>
          <w:p w:rsidR="00BA5850" w:rsidRPr="00BA5850" w:rsidRDefault="00BA5850" w:rsidP="0086094B">
            <w:pPr>
              <w:keepNext/>
            </w:pPr>
            <w:r w:rsidRPr="00883125">
              <w:t>Uses hybrid securities (such as convertible preference shares), 165 ex-dividend events for 46 securities which are primarily fully franked.</w:t>
            </w:r>
          </w:p>
        </w:tc>
      </w:tr>
      <w:tr w:rsidR="00BA5850" w:rsidTr="00343639">
        <w:trPr>
          <w:cantSplit/>
        </w:trPr>
        <w:tc>
          <w:tcPr>
            <w:tcW w:w="9242" w:type="dxa"/>
            <w:gridSpan w:val="3"/>
          </w:tcPr>
          <w:p w:rsidR="00BA5850" w:rsidRPr="00883125" w:rsidRDefault="00BA5850" w:rsidP="00BA5850">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SFG (2013b)</w:t>
            </w:r>
            <w:r w:rsidRPr="00BA5850">
              <w:rPr>
                <w:rStyle w:val="FootnoteReference"/>
              </w:rPr>
              <w:footnoteReference w:id="557"/>
            </w:r>
          </w:p>
        </w:tc>
        <w:tc>
          <w:tcPr>
            <w:tcW w:w="1111" w:type="dxa"/>
          </w:tcPr>
          <w:p w:rsidR="00BA5850" w:rsidRPr="00BA5850" w:rsidRDefault="00BA5850" w:rsidP="00BA5850">
            <w:r w:rsidRPr="00883125">
              <w:t>2000–2013</w:t>
            </w:r>
          </w:p>
        </w:tc>
        <w:tc>
          <w:tcPr>
            <w:tcW w:w="5448" w:type="dxa"/>
          </w:tcPr>
          <w:p w:rsidR="00BA5850" w:rsidRPr="00BA5850" w:rsidRDefault="00BA5850" w:rsidP="00BA5850">
            <w:r w:rsidRPr="00883125">
              <w:t>Updates Cannavan et al (2004). Compares matched trades in individual shares to futures contracts and low exercise price options for 98 firms (over 52,000 trades).</w:t>
            </w:r>
          </w:p>
        </w:tc>
      </w:tr>
      <w:tr w:rsidR="00BA5850" w:rsidTr="00343639">
        <w:trPr>
          <w:cantSplit/>
        </w:trPr>
        <w:tc>
          <w:tcPr>
            <w:tcW w:w="2683" w:type="dxa"/>
          </w:tcPr>
          <w:p w:rsidR="00BA5850" w:rsidRPr="00BA5850" w:rsidRDefault="00BA5850" w:rsidP="00BA5850">
            <w:r w:rsidRPr="00883125">
              <w:t>Cannavan et al (2004)</w:t>
            </w:r>
            <w:r w:rsidRPr="00BA5850">
              <w:rPr>
                <w:rStyle w:val="FootnoteReference"/>
              </w:rPr>
              <w:footnoteReference w:id="558"/>
            </w:r>
          </w:p>
        </w:tc>
        <w:tc>
          <w:tcPr>
            <w:tcW w:w="1111" w:type="dxa"/>
          </w:tcPr>
          <w:p w:rsidR="00BA5850" w:rsidRPr="00BA5850" w:rsidRDefault="00BA5850" w:rsidP="00BA5850">
            <w:r w:rsidRPr="00883125">
              <w:t>1994–1999</w:t>
            </w:r>
          </w:p>
        </w:tc>
        <w:tc>
          <w:tcPr>
            <w:tcW w:w="5448" w:type="dxa"/>
          </w:tcPr>
          <w:p w:rsidR="00BA5850" w:rsidRPr="00BA5850" w:rsidRDefault="00BA5850" w:rsidP="00BA5850">
            <w:r w:rsidRPr="00883125">
              <w:t>Uses matched trades (four minute window) in individual shares and futures contracts for 19 firms (over 14,000 trades). Sub-periods 1994–1997 and 1997–1999.</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Cummings and Frino (2008)</w:t>
            </w:r>
            <w:r w:rsidRPr="00BA5850">
              <w:rPr>
                <w:rStyle w:val="FootnoteReference"/>
              </w:rPr>
              <w:footnoteReference w:id="559"/>
            </w:r>
          </w:p>
        </w:tc>
        <w:tc>
          <w:tcPr>
            <w:tcW w:w="1111" w:type="dxa"/>
          </w:tcPr>
          <w:p w:rsidR="00BA5850" w:rsidRPr="00BA5850" w:rsidRDefault="00BA5850" w:rsidP="00BA5850">
            <w:r w:rsidRPr="00883125">
              <w:t>2002-2005</w:t>
            </w:r>
          </w:p>
        </w:tc>
        <w:tc>
          <w:tcPr>
            <w:tcW w:w="5448" w:type="dxa"/>
          </w:tcPr>
          <w:p w:rsidR="00BA5850" w:rsidRPr="00BA5850" w:rsidRDefault="00BA5850" w:rsidP="00BA5850">
            <w:r w:rsidRPr="00883125">
              <w:t xml:space="preserve">Uses entire ASX200 index (rather than specific firms) and futures over the index, distinct from other studies in this class (which use individual shares). </w:t>
            </w:r>
          </w:p>
        </w:tc>
      </w:tr>
      <w:tr w:rsidR="00BA5850" w:rsidTr="00343639">
        <w:trPr>
          <w:cantSplit/>
        </w:trPr>
        <w:tc>
          <w:tcPr>
            <w:tcW w:w="9242" w:type="dxa"/>
            <w:gridSpan w:val="3"/>
          </w:tcPr>
          <w:p w:rsidR="00BA5850" w:rsidRPr="00883125" w:rsidRDefault="00BA5850" w:rsidP="00BA5850">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NERA (2013b)</w:t>
            </w:r>
            <w:r w:rsidRPr="00BA5850">
              <w:rPr>
                <w:rStyle w:val="FootnoteReference"/>
              </w:rPr>
              <w:footnoteReference w:id="560"/>
            </w:r>
          </w:p>
        </w:tc>
        <w:tc>
          <w:tcPr>
            <w:tcW w:w="1111" w:type="dxa"/>
          </w:tcPr>
          <w:p w:rsidR="00BA5850" w:rsidRPr="00BA5850" w:rsidRDefault="00BA5850" w:rsidP="00BA5850">
            <w:r w:rsidRPr="00883125">
              <w:t>1987–2012</w:t>
            </w:r>
          </w:p>
        </w:tc>
        <w:tc>
          <w:tcPr>
            <w:tcW w:w="5448" w:type="dxa"/>
          </w:tcPr>
          <w:p w:rsidR="00BA5850" w:rsidRPr="00BA5850" w:rsidRDefault="00BA5850" w:rsidP="00BA5850">
            <w:r w:rsidRPr="00883125">
              <w:t>Updates the Lajbcygier and Wheatley paper; same author and more relevant data set. Sub-period splits 1987–2000 and 2000–2012.</w:t>
            </w:r>
          </w:p>
        </w:tc>
      </w:tr>
      <w:tr w:rsidR="00BA5850" w:rsidTr="00343639">
        <w:trPr>
          <w:cantSplit/>
        </w:trPr>
        <w:tc>
          <w:tcPr>
            <w:tcW w:w="2683" w:type="dxa"/>
          </w:tcPr>
          <w:p w:rsidR="00BA5850" w:rsidRPr="00BA5850" w:rsidRDefault="00BA5850" w:rsidP="00BA5850">
            <w:r w:rsidRPr="00883125">
              <w:t>Lajbcygier and Wheatley (2012)</w:t>
            </w:r>
            <w:r w:rsidRPr="00BA5850">
              <w:rPr>
                <w:rStyle w:val="FootnoteReference"/>
              </w:rPr>
              <w:footnoteReference w:id="561"/>
            </w:r>
          </w:p>
        </w:tc>
        <w:tc>
          <w:tcPr>
            <w:tcW w:w="1111" w:type="dxa"/>
          </w:tcPr>
          <w:p w:rsidR="00BA5850" w:rsidRPr="00BA5850" w:rsidRDefault="00BA5850" w:rsidP="00BA5850">
            <w:r w:rsidRPr="00883125">
              <w:t>1987–2009</w:t>
            </w:r>
          </w:p>
        </w:tc>
        <w:tc>
          <w:tcPr>
            <w:tcW w:w="5448" w:type="dxa"/>
          </w:tcPr>
          <w:p w:rsidR="00BA5850" w:rsidRPr="00BA5850" w:rsidRDefault="00BA5850" w:rsidP="00BA5850">
            <w:r w:rsidRPr="00883125">
              <w:t>Compares current prices to past returns from capital gains and dividends. Includes sub-periods from 1987–2000 and 2000-2009.</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Siau et al (2013)</w:t>
            </w:r>
            <w:r w:rsidRPr="00BA5850">
              <w:rPr>
                <w:rStyle w:val="FootnoteReference"/>
              </w:rPr>
              <w:footnoteReference w:id="562"/>
            </w:r>
          </w:p>
        </w:tc>
        <w:tc>
          <w:tcPr>
            <w:tcW w:w="1111" w:type="dxa"/>
          </w:tcPr>
          <w:p w:rsidR="00BA5850" w:rsidRPr="00BA5850" w:rsidRDefault="00BA5850" w:rsidP="00BA5850">
            <w:r w:rsidRPr="00883125">
              <w:t>1996–2011</w:t>
            </w:r>
          </w:p>
        </w:tc>
        <w:tc>
          <w:tcPr>
            <w:tcW w:w="5448" w:type="dxa"/>
          </w:tcPr>
          <w:p w:rsidR="00BA5850" w:rsidRPr="00BA5850" w:rsidRDefault="00BA5850" w:rsidP="00BA5850">
            <w:r w:rsidRPr="00883125">
              <w:t xml:space="preserve">Compares current prices to expected future returns. Uses ASX300 index firms and consensus analyst dividend forecasts. </w:t>
            </w:r>
          </w:p>
        </w:tc>
      </w:tr>
      <w:tr w:rsidR="00BA5850" w:rsidTr="00343639">
        <w:trPr>
          <w:cantSplit/>
        </w:trPr>
        <w:tc>
          <w:tcPr>
            <w:tcW w:w="2683" w:type="dxa"/>
          </w:tcPr>
          <w:p w:rsidR="00BA5850" w:rsidRPr="00BA5850" w:rsidRDefault="00BA5850" w:rsidP="00BA5850">
            <w:r w:rsidRPr="00883125">
              <w:t>Siau et al (2015)</w:t>
            </w:r>
            <w:r w:rsidRPr="00BA5850">
              <w:rPr>
                <w:rStyle w:val="FootnoteReference"/>
              </w:rPr>
              <w:footnoteReference w:id="563"/>
            </w:r>
          </w:p>
        </w:tc>
        <w:tc>
          <w:tcPr>
            <w:tcW w:w="1111" w:type="dxa"/>
          </w:tcPr>
          <w:p w:rsidR="00BA5850" w:rsidRPr="00BA5850" w:rsidRDefault="00BA5850" w:rsidP="00BA5850">
            <w:r w:rsidRPr="00883125">
              <w:t>1996-2011</w:t>
            </w:r>
          </w:p>
        </w:tc>
        <w:tc>
          <w:tcPr>
            <w:tcW w:w="5448" w:type="dxa"/>
          </w:tcPr>
          <w:p w:rsidR="00BA5850" w:rsidRPr="00BA5850" w:rsidRDefault="00BA5850" w:rsidP="00BA5850">
            <w:r w:rsidRPr="00883125">
              <w:t xml:space="preserve">Journal published version of the 2013 paper by Siau et al with relatively minor editorial changes </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NERA (2015)</w:t>
            </w:r>
            <w:r w:rsidRPr="00BA5850">
              <w:rPr>
                <w:rStyle w:val="FootnoteReference"/>
              </w:rPr>
              <w:footnoteReference w:id="564"/>
            </w:r>
          </w:p>
        </w:tc>
        <w:tc>
          <w:tcPr>
            <w:tcW w:w="1111" w:type="dxa"/>
          </w:tcPr>
          <w:p w:rsidR="00BA5850" w:rsidRPr="00BA5850" w:rsidRDefault="00BA5850" w:rsidP="00BA5850">
            <w:r w:rsidRPr="00883125">
              <w:t>1987-2013</w:t>
            </w:r>
          </w:p>
        </w:tc>
        <w:tc>
          <w:tcPr>
            <w:tcW w:w="5448" w:type="dxa"/>
          </w:tcPr>
          <w:p w:rsidR="00BA5850" w:rsidRPr="00BA5850" w:rsidRDefault="00BA5850" w:rsidP="00BA5850">
            <w:r w:rsidRPr="00883125">
              <w:t>Updates the results of the Lajbcygier and Wheatley and NERA (2013) studies.</w:t>
            </w:r>
          </w:p>
        </w:tc>
      </w:tr>
      <w:tr w:rsidR="00BA5850" w:rsidTr="00343639">
        <w:trPr>
          <w:cantSplit/>
        </w:trPr>
        <w:tc>
          <w:tcPr>
            <w:tcW w:w="9242" w:type="dxa"/>
            <w:gridSpan w:val="3"/>
          </w:tcPr>
          <w:p w:rsidR="00BA5850" w:rsidRPr="00883125" w:rsidRDefault="00BA5850" w:rsidP="00BA5850">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Chu and Partington (2008)</w:t>
            </w:r>
            <w:r w:rsidRPr="00BA5850">
              <w:rPr>
                <w:rStyle w:val="FootnoteReference"/>
              </w:rPr>
              <w:footnoteReference w:id="565"/>
            </w:r>
          </w:p>
        </w:tc>
        <w:tc>
          <w:tcPr>
            <w:tcW w:w="1111" w:type="dxa"/>
          </w:tcPr>
          <w:p w:rsidR="00BA5850" w:rsidRPr="00BA5850" w:rsidRDefault="00BA5850" w:rsidP="00BA5850">
            <w:r w:rsidRPr="00883125">
              <w:t>1996</w:t>
            </w:r>
          </w:p>
        </w:tc>
        <w:tc>
          <w:tcPr>
            <w:tcW w:w="5448" w:type="dxa"/>
          </w:tcPr>
          <w:p w:rsidR="00BA5850" w:rsidRPr="00BA5850" w:rsidRDefault="00BA5850" w:rsidP="00BA5850">
            <w:r w:rsidRPr="00883125">
              <w:t xml:space="preserve">Uses shares trading in two forms (one with dividend, one without) as a result of the CRA bonus issue. 154 matched trades (one minute window) across 3 </w:t>
            </w:r>
            <w:r w:rsidRPr="00BA5850">
              <w:t>months.</w:t>
            </w:r>
          </w:p>
        </w:tc>
      </w:tr>
      <w:tr w:rsidR="00BA5850" w:rsidTr="00343639">
        <w:trPr>
          <w:cantSplit/>
        </w:trPr>
        <w:tc>
          <w:tcPr>
            <w:tcW w:w="2683" w:type="dxa"/>
          </w:tcPr>
          <w:p w:rsidR="00BA5850" w:rsidRPr="00BA5850" w:rsidRDefault="00BA5850" w:rsidP="00BA5850">
            <w:r w:rsidRPr="00883125">
              <w:t>Chu and Partington (2001)</w:t>
            </w:r>
            <w:r w:rsidRPr="00BA5850">
              <w:rPr>
                <w:rStyle w:val="FootnoteReference"/>
              </w:rPr>
              <w:footnoteReference w:id="566"/>
            </w:r>
          </w:p>
        </w:tc>
        <w:tc>
          <w:tcPr>
            <w:tcW w:w="1111" w:type="dxa"/>
          </w:tcPr>
          <w:p w:rsidR="00BA5850" w:rsidRPr="00BA5850" w:rsidRDefault="00BA5850" w:rsidP="00BA5850">
            <w:r w:rsidRPr="00883125">
              <w:t>1991–1999</w:t>
            </w:r>
          </w:p>
        </w:tc>
        <w:tc>
          <w:tcPr>
            <w:tcW w:w="5448" w:type="dxa"/>
          </w:tcPr>
          <w:p w:rsidR="00BA5850" w:rsidRPr="00BA5850" w:rsidDel="003D6627" w:rsidRDefault="00BA5850" w:rsidP="00BA5850">
            <w:r w:rsidRPr="00883125">
              <w:t>Uses shares trading simultaneously with and without dividend after certain rights issues - 3,356 trades (matched within a minute) from 26 rights issues for 23 firms.</w:t>
            </w:r>
          </w:p>
        </w:tc>
      </w:tr>
      <w:tr w:rsidR="00BA5850" w:rsidTr="00343639">
        <w:trPr>
          <w:cnfStyle w:val="000000010000" w:firstRow="0" w:lastRow="0" w:firstColumn="0" w:lastColumn="0" w:oddVBand="0" w:evenVBand="0" w:oddHBand="0" w:evenHBand="1" w:firstRowFirstColumn="0" w:firstRowLastColumn="0" w:lastRowFirstColumn="0" w:lastRowLastColumn="0"/>
          <w:cantSplit/>
        </w:trPr>
        <w:tc>
          <w:tcPr>
            <w:tcW w:w="2683" w:type="dxa"/>
          </w:tcPr>
          <w:p w:rsidR="00BA5850" w:rsidRPr="00BA5850" w:rsidRDefault="00BA5850" w:rsidP="00BA5850">
            <w:r w:rsidRPr="00883125">
              <w:t>Walker and Partington (1999)</w:t>
            </w:r>
            <w:r w:rsidRPr="00BA5850">
              <w:rPr>
                <w:rStyle w:val="FootnoteReference"/>
              </w:rPr>
              <w:footnoteReference w:id="567"/>
            </w:r>
          </w:p>
        </w:tc>
        <w:tc>
          <w:tcPr>
            <w:tcW w:w="1111" w:type="dxa"/>
          </w:tcPr>
          <w:p w:rsidR="00BA5850" w:rsidRPr="00BA5850" w:rsidRDefault="00BA5850" w:rsidP="00BA5850">
            <w:r w:rsidRPr="00883125">
              <w:t>1995–1997</w:t>
            </w:r>
          </w:p>
        </w:tc>
        <w:tc>
          <w:tcPr>
            <w:tcW w:w="5448" w:type="dxa"/>
          </w:tcPr>
          <w:p w:rsidR="00BA5850" w:rsidRPr="00BA5850" w:rsidRDefault="00BA5850" w:rsidP="00BA5850">
            <w:r w:rsidRPr="00883125">
              <w:t>Looks at shares trading cum-dividend in the ex-dividend period. 1,015 data points (trades matched within a minute) for 93 ex-dividend events from 50 securities.</w:t>
            </w:r>
          </w:p>
        </w:tc>
      </w:tr>
    </w:tbl>
    <w:p w:rsidR="00BA5850" w:rsidRPr="00883125" w:rsidRDefault="00BA5850" w:rsidP="00BA5850">
      <w:pPr>
        <w:pStyle w:val="AERtablesource"/>
      </w:pPr>
      <w:r w:rsidRPr="00883125">
        <w:t xml:space="preserve">Source: </w:t>
      </w:r>
      <w:r w:rsidRPr="00883125">
        <w:tab/>
        <w:t>As specified in table.</w:t>
      </w:r>
    </w:p>
    <w:p w:rsidR="00BA5850" w:rsidRPr="00883125" w:rsidRDefault="00BA5850" w:rsidP="00BA5850">
      <w:pPr>
        <w:pStyle w:val="Heading9"/>
      </w:pPr>
      <w:bookmarkStart w:id="274" w:name="_Ref403482459"/>
      <w:r w:rsidRPr="00883125">
        <w:t>Estimates from implied market value studies</w:t>
      </w:r>
      <w:bookmarkEnd w:id="274"/>
    </w:p>
    <w:p w:rsidR="00BA5850" w:rsidRPr="00883125" w:rsidRDefault="00BA5850" w:rsidP="00BA5850">
      <w:pPr>
        <w:numPr>
          <w:ilvl w:val="0"/>
          <w:numId w:val="24"/>
        </w:numPr>
      </w:pPr>
      <w:r w:rsidRPr="00883125">
        <w:t>This section presents the results from the available implied market value studies.</w:t>
      </w:r>
    </w:p>
    <w:p w:rsidR="00BA5850" w:rsidRPr="00883125" w:rsidRDefault="00BA5850" w:rsidP="00BA5850">
      <w:pPr>
        <w:numPr>
          <w:ilvl w:val="0"/>
          <w:numId w:val="24"/>
        </w:numPr>
      </w:pPr>
      <w:r w:rsidRPr="00883125">
        <w:fldChar w:fldCharType="begin"/>
      </w:r>
      <w:r w:rsidRPr="00883125">
        <w:instrText xml:space="preserve"> REF _Ref401075676 \h </w:instrText>
      </w:r>
      <w:r w:rsidRPr="00883125">
        <w:fldChar w:fldCharType="separate"/>
      </w:r>
      <w:r w:rsidR="00746877" w:rsidRPr="00883125">
        <w:t xml:space="preserve">Table </w:t>
      </w:r>
      <w:r w:rsidR="00746877">
        <w:rPr>
          <w:noProof/>
        </w:rPr>
        <w:t>4</w:t>
      </w:r>
      <w:r w:rsidR="00746877">
        <w:noBreakHyphen/>
      </w:r>
      <w:r w:rsidR="00746877">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BA5850" w:rsidRPr="00883125" w:rsidRDefault="00BA5850" w:rsidP="00BA5850">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w:t>
      </w:r>
      <w:r>
        <w:t xml:space="preserve"> </w:t>
      </w:r>
      <w:r w:rsidRPr="00883125">
        <w:t xml:space="preserve">pre 2000 studies. However, even if the AER was to completely disregard the pre 2000 studies this would not change the outcome of selecting the lowest point estimate in the range from the equity ownership approach. </w:t>
      </w:r>
    </w:p>
    <w:p w:rsidR="00BA5850" w:rsidRPr="00B27BE5" w:rsidRDefault="00BA5850" w:rsidP="00BA5850">
      <w:r w:rsidRPr="00B27BE5">
        <w:fldChar w:fldCharType="begin"/>
      </w:r>
      <w:r w:rsidRPr="00B27BE5">
        <w:instrText xml:space="preserve"> REF _Ref449538408 \h </w:instrText>
      </w:r>
      <w:r w:rsidRPr="00B27BE5">
        <w:fldChar w:fldCharType="separate"/>
      </w:r>
      <w:r w:rsidR="00746877" w:rsidRPr="00883125">
        <w:t xml:space="preserve">Table </w:t>
      </w:r>
      <w:r w:rsidR="00746877">
        <w:rPr>
          <w:noProof/>
        </w:rPr>
        <w:t>4</w:t>
      </w:r>
      <w:r w:rsidR="00746877">
        <w:noBreakHyphen/>
      </w:r>
      <w:r w:rsidR="00746877">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BA5850" w:rsidRPr="00883125" w:rsidRDefault="00BA5850" w:rsidP="00BA5850">
      <w:pPr>
        <w:pStyle w:val="Caption"/>
      </w:pPr>
      <w:bookmarkStart w:id="275" w:name="_Ref401075676"/>
      <w:r w:rsidRPr="00883125">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17</w:t>
      </w:r>
      <w:r w:rsidRPr="00BA5850">
        <w:fldChar w:fldCharType="end"/>
      </w:r>
      <w:bookmarkEnd w:id="275"/>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BA5850" w:rsidRPr="00222643" w:rsidTr="00343639">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BA5850" w:rsidRPr="00883125" w:rsidRDefault="00BA5850" w:rsidP="00BA5850"/>
        </w:tc>
        <w:tc>
          <w:tcPr>
            <w:tcW w:w="2835" w:type="dxa"/>
          </w:tcPr>
          <w:p w:rsidR="00BA5850" w:rsidRPr="00BA5850" w:rsidRDefault="00BA5850" w:rsidP="00BA5850">
            <w:r w:rsidRPr="00883125">
              <w:t>Authors</w:t>
            </w:r>
          </w:p>
        </w:tc>
        <w:tc>
          <w:tcPr>
            <w:tcW w:w="1346" w:type="dxa"/>
          </w:tcPr>
          <w:p w:rsidR="00BA5850" w:rsidRPr="00BA5850" w:rsidRDefault="00BA5850" w:rsidP="00BA5850">
            <w:r w:rsidRPr="00883125">
              <w:t>Pre-2000 results</w:t>
            </w:r>
          </w:p>
        </w:tc>
        <w:tc>
          <w:tcPr>
            <w:tcW w:w="1347" w:type="dxa"/>
          </w:tcPr>
          <w:p w:rsidR="00BA5850" w:rsidRPr="00BA5850" w:rsidRDefault="00BA5850" w:rsidP="00BA5850">
            <w:r w:rsidRPr="00883125">
              <w:t>Post-2000 results</w:t>
            </w:r>
          </w:p>
        </w:tc>
        <w:tc>
          <w:tcPr>
            <w:tcW w:w="3260" w:type="dxa"/>
          </w:tcPr>
          <w:p w:rsidR="00BA5850" w:rsidRPr="00BA5850" w:rsidRDefault="00BA5850" w:rsidP="00BA5850">
            <w:r w:rsidRPr="00883125">
              <w:t>Notes</w:t>
            </w:r>
          </w:p>
        </w:tc>
      </w:tr>
      <w:tr w:rsidR="00BA5850" w:rsidRPr="00222643" w:rsidTr="00343639">
        <w:trPr>
          <w:cantSplit/>
          <w:trHeight w:val="426"/>
        </w:trPr>
        <w:tc>
          <w:tcPr>
            <w:tcW w:w="3227" w:type="dxa"/>
            <w:gridSpan w:val="3"/>
          </w:tcPr>
          <w:p w:rsidR="00BA5850" w:rsidRPr="00BA5850" w:rsidRDefault="00BA5850" w:rsidP="00BA5850">
            <w:pPr>
              <w:rPr>
                <w:rStyle w:val="Strong"/>
              </w:rPr>
            </w:pPr>
            <w:r w:rsidRPr="00883125">
              <w:rPr>
                <w:rStyle w:val="Strong"/>
              </w:rPr>
              <w:t>Dividend drop off study</w:t>
            </w:r>
          </w:p>
        </w:tc>
        <w:tc>
          <w:tcPr>
            <w:tcW w:w="1346" w:type="dxa"/>
          </w:tcPr>
          <w:p w:rsidR="00BA5850" w:rsidRPr="00883125" w:rsidRDefault="00BA5850" w:rsidP="00BA5850"/>
        </w:tc>
        <w:tc>
          <w:tcPr>
            <w:tcW w:w="1347" w:type="dxa"/>
          </w:tcPr>
          <w:p w:rsidR="00BA5850" w:rsidRPr="00883125" w:rsidRDefault="00BA5850" w:rsidP="00BA5850"/>
        </w:tc>
        <w:tc>
          <w:tcPr>
            <w:tcW w:w="3260" w:type="dxa"/>
          </w:tcPr>
          <w:p w:rsidR="00BA5850" w:rsidRPr="00883125"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BA5850" w:rsidRPr="00883125" w:rsidRDefault="00BA5850" w:rsidP="00BA5850"/>
        </w:tc>
        <w:tc>
          <w:tcPr>
            <w:tcW w:w="2977" w:type="dxa"/>
            <w:gridSpan w:val="2"/>
          </w:tcPr>
          <w:p w:rsidR="00BA5850" w:rsidRPr="00BA5850" w:rsidRDefault="00BA5850" w:rsidP="00BA5850">
            <w:r w:rsidRPr="00883125">
              <w:t>Vo et al (2013)</w:t>
            </w:r>
            <w:r w:rsidRPr="00BA5850">
              <w:rPr>
                <w:rStyle w:val="FootnoteReference"/>
              </w:rPr>
              <w:footnoteReference w:id="570"/>
            </w:r>
          </w:p>
        </w:tc>
        <w:tc>
          <w:tcPr>
            <w:tcW w:w="1346" w:type="dxa"/>
          </w:tcPr>
          <w:p w:rsidR="00BA5850" w:rsidRPr="00883125" w:rsidRDefault="00BA5850" w:rsidP="00BA5850"/>
        </w:tc>
        <w:tc>
          <w:tcPr>
            <w:tcW w:w="1347" w:type="dxa"/>
          </w:tcPr>
          <w:p w:rsidR="00BA5850" w:rsidRPr="00BA5850" w:rsidRDefault="00BA5850" w:rsidP="00BA5850">
            <w:r w:rsidRPr="00883125">
              <w:t>0.35–0.55</w:t>
            </w:r>
            <w:r w:rsidRPr="00883125">
              <w:br/>
              <w:t>(2001–2012)</w:t>
            </w:r>
          </w:p>
        </w:tc>
        <w:tc>
          <w:tcPr>
            <w:tcW w:w="3260" w:type="dxa"/>
          </w:tcPr>
          <w:p w:rsidR="00BA5850" w:rsidRPr="00BA5850" w:rsidRDefault="00BA5850" w:rsidP="00BA5850">
            <w:r w:rsidRPr="00883125">
              <w:t>Range derived from large number of permutations and sensitivity tests.</w:t>
            </w:r>
          </w:p>
        </w:tc>
      </w:tr>
      <w:tr w:rsidR="00BA5850" w:rsidRPr="00222643" w:rsidTr="00343639">
        <w:trPr>
          <w:cantSplit/>
        </w:trPr>
        <w:tc>
          <w:tcPr>
            <w:tcW w:w="250" w:type="dxa"/>
          </w:tcPr>
          <w:p w:rsidR="00BA5850" w:rsidRPr="00883125" w:rsidRDefault="00BA5850" w:rsidP="00BA5850"/>
        </w:tc>
        <w:tc>
          <w:tcPr>
            <w:tcW w:w="2977" w:type="dxa"/>
            <w:gridSpan w:val="2"/>
          </w:tcPr>
          <w:p w:rsidR="00BA5850" w:rsidRPr="00BA5850" w:rsidRDefault="00BA5850" w:rsidP="00BA5850">
            <w:r w:rsidRPr="00883125">
              <w:t>SFG (2013a)</w:t>
            </w:r>
            <w:r w:rsidRPr="00BA5850">
              <w:rPr>
                <w:rStyle w:val="FootnoteReference"/>
              </w:rPr>
              <w:footnoteReference w:id="571"/>
            </w:r>
          </w:p>
        </w:tc>
        <w:tc>
          <w:tcPr>
            <w:tcW w:w="1346" w:type="dxa"/>
          </w:tcPr>
          <w:p w:rsidR="00BA5850" w:rsidRPr="00883125" w:rsidRDefault="00BA5850" w:rsidP="00BA5850"/>
        </w:tc>
        <w:tc>
          <w:tcPr>
            <w:tcW w:w="1347" w:type="dxa"/>
          </w:tcPr>
          <w:p w:rsidR="00BA5850" w:rsidRPr="00BA5850" w:rsidRDefault="00BA5850" w:rsidP="00BA5850">
            <w:r w:rsidRPr="00883125">
              <w:t>0.35</w:t>
            </w:r>
            <w:r w:rsidRPr="00883125">
              <w:br/>
              <w:t>(2001–2012)</w:t>
            </w:r>
          </w:p>
        </w:tc>
        <w:tc>
          <w:tcPr>
            <w:tcW w:w="3260" w:type="dxa"/>
          </w:tcPr>
          <w:p w:rsidR="00BA5850" w:rsidRPr="00BA5850" w:rsidRDefault="00BA5850" w:rsidP="00BA5850">
            <w:r w:rsidRPr="00883125">
              <w:t xml:space="preserve">Author's point estimate </w:t>
            </w:r>
            <w:r w:rsidRPr="00BA5850">
              <w:t>across a number of different regression forms.</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A5850" w:rsidRPr="00883125" w:rsidRDefault="00BA5850" w:rsidP="00BA5850"/>
        </w:tc>
        <w:tc>
          <w:tcPr>
            <w:tcW w:w="2977" w:type="dxa"/>
            <w:gridSpan w:val="2"/>
          </w:tcPr>
          <w:p w:rsidR="00BA5850" w:rsidRPr="00BA5850" w:rsidRDefault="00BA5850" w:rsidP="00BA5850">
            <w:r w:rsidRPr="00883125">
              <w:t>SFG (2011)</w:t>
            </w:r>
            <w:r w:rsidRPr="00BA5850">
              <w:rPr>
                <w:rStyle w:val="FootnoteReference"/>
              </w:rPr>
              <w:footnoteReference w:id="572"/>
            </w:r>
          </w:p>
        </w:tc>
        <w:tc>
          <w:tcPr>
            <w:tcW w:w="1346" w:type="dxa"/>
          </w:tcPr>
          <w:p w:rsidR="00BA5850" w:rsidRPr="00883125" w:rsidRDefault="00BA5850" w:rsidP="00BA5850"/>
        </w:tc>
        <w:tc>
          <w:tcPr>
            <w:tcW w:w="1347" w:type="dxa"/>
          </w:tcPr>
          <w:p w:rsidR="00BA5850" w:rsidRPr="00BA5850" w:rsidRDefault="00BA5850" w:rsidP="00BA5850">
            <w:r w:rsidRPr="00883125">
              <w:t>0.35</w:t>
            </w:r>
            <w:r w:rsidRPr="00883125">
              <w:br/>
              <w:t>(2001–2010)</w:t>
            </w:r>
          </w:p>
        </w:tc>
        <w:tc>
          <w:tcPr>
            <w:tcW w:w="3260" w:type="dxa"/>
          </w:tcPr>
          <w:p w:rsidR="00BA5850" w:rsidRPr="00883125" w:rsidRDefault="00BA5850" w:rsidP="00BA5850"/>
        </w:tc>
      </w:tr>
      <w:tr w:rsidR="00BA5850" w:rsidRPr="00222643" w:rsidTr="00343639">
        <w:trPr>
          <w:cantSplit/>
          <w:trHeight w:val="301"/>
        </w:trPr>
        <w:tc>
          <w:tcPr>
            <w:tcW w:w="250" w:type="dxa"/>
          </w:tcPr>
          <w:p w:rsidR="00BA5850" w:rsidRPr="00883125" w:rsidRDefault="00BA5850" w:rsidP="00BA5850"/>
        </w:tc>
        <w:tc>
          <w:tcPr>
            <w:tcW w:w="2977" w:type="dxa"/>
            <w:gridSpan w:val="2"/>
          </w:tcPr>
          <w:p w:rsidR="00BA5850" w:rsidRPr="00BA5850" w:rsidRDefault="00BA5850" w:rsidP="00BA5850">
            <w:r w:rsidRPr="00883125">
              <w:t>Minney (2010)</w:t>
            </w:r>
            <w:r w:rsidRPr="00BA5850">
              <w:rPr>
                <w:rStyle w:val="FootnoteReference"/>
              </w:rPr>
              <w:footnoteReference w:id="573"/>
            </w:r>
          </w:p>
        </w:tc>
        <w:tc>
          <w:tcPr>
            <w:tcW w:w="1346" w:type="dxa"/>
          </w:tcPr>
          <w:p w:rsidR="00BA5850" w:rsidRPr="00883125" w:rsidRDefault="00BA5850" w:rsidP="00BA5850"/>
        </w:tc>
        <w:tc>
          <w:tcPr>
            <w:tcW w:w="1347" w:type="dxa"/>
          </w:tcPr>
          <w:p w:rsidR="00BA5850" w:rsidRPr="00BA5850" w:rsidRDefault="00BA5850" w:rsidP="00BA5850">
            <w:r w:rsidRPr="00883125">
              <w:t>0.39</w:t>
            </w:r>
            <w:r w:rsidRPr="00883125">
              <w:br/>
              <w:t>(2001–2009)</w:t>
            </w:r>
          </w:p>
        </w:tc>
        <w:tc>
          <w:tcPr>
            <w:tcW w:w="3260" w:type="dxa"/>
          </w:tcPr>
          <w:p w:rsidR="00BA5850" w:rsidRPr="00BA5850" w:rsidRDefault="00BA5850" w:rsidP="00BA5850">
            <w:r w:rsidRPr="00883125">
              <w:t>Average of results from 2001–2005 and 2006–2009 sub-periods. For the most recent sub-period (2006–2009), utilisation rate is 0.53.</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BA5850" w:rsidRPr="00883125" w:rsidRDefault="00BA5850" w:rsidP="00BA5850"/>
        </w:tc>
        <w:tc>
          <w:tcPr>
            <w:tcW w:w="2977" w:type="dxa"/>
            <w:gridSpan w:val="2"/>
          </w:tcPr>
          <w:p w:rsidR="00BA5850" w:rsidRPr="00BA5850" w:rsidRDefault="00BA5850" w:rsidP="00BA5850">
            <w:r w:rsidRPr="00883125">
              <w:t xml:space="preserve">Beggs </w:t>
            </w:r>
            <w:r w:rsidRPr="00BA5850">
              <w:t>and Skeels (2006)</w:t>
            </w:r>
            <w:r w:rsidRPr="00BA5850">
              <w:rPr>
                <w:rStyle w:val="FootnoteReference"/>
              </w:rPr>
              <w:footnoteReference w:id="574"/>
            </w:r>
          </w:p>
        </w:tc>
        <w:tc>
          <w:tcPr>
            <w:tcW w:w="1346" w:type="dxa"/>
          </w:tcPr>
          <w:p w:rsidR="00BA5850" w:rsidRPr="00BA5850" w:rsidRDefault="00BA5850" w:rsidP="00BA5850">
            <w:r w:rsidRPr="00883125">
              <w:t>0.20</w:t>
            </w:r>
            <w:r w:rsidRPr="00883125">
              <w:br/>
              <w:t>(1992–1997)</w:t>
            </w:r>
          </w:p>
        </w:tc>
        <w:tc>
          <w:tcPr>
            <w:tcW w:w="1347" w:type="dxa"/>
          </w:tcPr>
          <w:p w:rsidR="00BA5850" w:rsidRPr="00BA5850" w:rsidRDefault="00BA5850" w:rsidP="00BA5850">
            <w:r w:rsidRPr="00883125">
              <w:t>0.57</w:t>
            </w:r>
            <w:r w:rsidRPr="00883125">
              <w:br/>
              <w:t>(2001–2004)</w:t>
            </w:r>
          </w:p>
        </w:tc>
        <w:tc>
          <w:tcPr>
            <w:tcW w:w="3260" w:type="dxa"/>
          </w:tcPr>
          <w:p w:rsidR="00BA5850" w:rsidRPr="00BA5850" w:rsidRDefault="00BA5850" w:rsidP="00BA5850">
            <w:r w:rsidRPr="00883125">
              <w:t>Several other pre-2000 periods are presented.</w:t>
            </w:r>
          </w:p>
        </w:tc>
      </w:tr>
      <w:tr w:rsidR="00BA5850" w:rsidRPr="00222643" w:rsidTr="00343639">
        <w:trPr>
          <w:cantSplit/>
          <w:trHeight w:val="789"/>
        </w:trPr>
        <w:tc>
          <w:tcPr>
            <w:tcW w:w="250" w:type="dxa"/>
          </w:tcPr>
          <w:p w:rsidR="00BA5850" w:rsidRPr="00883125" w:rsidRDefault="00BA5850" w:rsidP="00BA5850"/>
        </w:tc>
        <w:tc>
          <w:tcPr>
            <w:tcW w:w="2977" w:type="dxa"/>
            <w:gridSpan w:val="2"/>
          </w:tcPr>
          <w:p w:rsidR="00BA5850" w:rsidRPr="00BA5850" w:rsidRDefault="00BA5850" w:rsidP="00BA5850">
            <w:r w:rsidRPr="00883125">
              <w:t>Hathaway and Officer (2004)</w:t>
            </w:r>
            <w:r w:rsidRPr="00BA5850">
              <w:rPr>
                <w:rStyle w:val="FootnoteReference"/>
              </w:rPr>
              <w:footnoteReference w:id="575"/>
            </w:r>
          </w:p>
        </w:tc>
        <w:tc>
          <w:tcPr>
            <w:tcW w:w="1346" w:type="dxa"/>
          </w:tcPr>
          <w:p w:rsidR="00BA5850" w:rsidRPr="00BA5850" w:rsidRDefault="00BA5850" w:rsidP="00BA5850">
            <w:r w:rsidRPr="00883125">
              <w:t>0.49</w:t>
            </w:r>
            <w:r w:rsidRPr="00883125">
              <w:br/>
              <w:t>(1986–2004)</w:t>
            </w:r>
          </w:p>
        </w:tc>
        <w:tc>
          <w:tcPr>
            <w:tcW w:w="1347" w:type="dxa"/>
          </w:tcPr>
          <w:p w:rsidR="00BA5850" w:rsidRPr="00883125" w:rsidRDefault="00BA5850" w:rsidP="00BA5850"/>
        </w:tc>
        <w:tc>
          <w:tcPr>
            <w:tcW w:w="3260" w:type="dxa"/>
          </w:tcPr>
          <w:p w:rsidR="00BA5850" w:rsidRPr="00BA5850" w:rsidRDefault="00BA5850" w:rsidP="00BA5850">
            <w:r w:rsidRPr="00883125">
              <w:t>Authors suggest that estimate has increased post-2000.</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A5850" w:rsidRPr="00883125" w:rsidRDefault="00BA5850" w:rsidP="00BA5850"/>
        </w:tc>
        <w:tc>
          <w:tcPr>
            <w:tcW w:w="2977" w:type="dxa"/>
            <w:gridSpan w:val="2"/>
          </w:tcPr>
          <w:p w:rsidR="00BA5850" w:rsidRPr="00BA5850" w:rsidRDefault="00BA5850" w:rsidP="00BA5850">
            <w:r w:rsidRPr="00883125">
              <w:t>Bellamy and Gray (2004)</w:t>
            </w:r>
            <w:r w:rsidRPr="00BA5850">
              <w:rPr>
                <w:rStyle w:val="FootnoteReference"/>
              </w:rPr>
              <w:footnoteReference w:id="576"/>
            </w:r>
          </w:p>
        </w:tc>
        <w:tc>
          <w:tcPr>
            <w:tcW w:w="1346" w:type="dxa"/>
          </w:tcPr>
          <w:p w:rsidR="00BA5850" w:rsidRPr="00BA5850" w:rsidRDefault="00BA5850" w:rsidP="00BA5850">
            <w:r w:rsidRPr="00883125">
              <w:t>0.36</w:t>
            </w:r>
            <w:r w:rsidRPr="00883125">
              <w:br/>
              <w:t>(1995–2002)</w:t>
            </w:r>
          </w:p>
        </w:tc>
        <w:tc>
          <w:tcPr>
            <w:tcW w:w="1347" w:type="dxa"/>
          </w:tcPr>
          <w:p w:rsidR="00BA5850" w:rsidRPr="00883125" w:rsidRDefault="00BA5850" w:rsidP="00BA5850"/>
        </w:tc>
        <w:tc>
          <w:tcPr>
            <w:tcW w:w="3260" w:type="dxa"/>
          </w:tcPr>
          <w:p w:rsidR="00BA5850" w:rsidRPr="00BA5850" w:rsidRDefault="00BA5850" w:rsidP="00BA5850">
            <w:r w:rsidRPr="00883125">
              <w:t>Range of</w:t>
            </w:r>
            <w:r w:rsidRPr="00BA5850">
              <w:t xml:space="preserve"> 0.0–0.60 is also presented.</w:t>
            </w:r>
          </w:p>
        </w:tc>
      </w:tr>
      <w:tr w:rsidR="00BA5850" w:rsidRPr="00222643" w:rsidTr="00343639">
        <w:trPr>
          <w:cantSplit/>
        </w:trPr>
        <w:tc>
          <w:tcPr>
            <w:tcW w:w="250" w:type="dxa"/>
          </w:tcPr>
          <w:p w:rsidR="00BA5850" w:rsidRPr="00883125" w:rsidRDefault="00BA5850" w:rsidP="00BA5850"/>
        </w:tc>
        <w:tc>
          <w:tcPr>
            <w:tcW w:w="2977" w:type="dxa"/>
            <w:gridSpan w:val="2"/>
          </w:tcPr>
          <w:p w:rsidR="00BA5850" w:rsidRPr="00BA5850" w:rsidRDefault="00BA5850" w:rsidP="00BA5850">
            <w:r w:rsidRPr="00883125">
              <w:t>Bruckner et al (1994)</w:t>
            </w:r>
            <w:r w:rsidRPr="00BA5850">
              <w:rPr>
                <w:rStyle w:val="FootnoteReference"/>
              </w:rPr>
              <w:footnoteReference w:id="577"/>
            </w:r>
          </w:p>
        </w:tc>
        <w:tc>
          <w:tcPr>
            <w:tcW w:w="1346" w:type="dxa"/>
          </w:tcPr>
          <w:p w:rsidR="00BA5850" w:rsidRPr="00BA5850" w:rsidRDefault="00BA5850" w:rsidP="00BA5850">
            <w:r w:rsidRPr="00883125">
              <w:t>0.69</w:t>
            </w:r>
            <w:r w:rsidRPr="00883125">
              <w:br/>
              <w:t>(1991–1993)</w:t>
            </w:r>
          </w:p>
        </w:tc>
        <w:tc>
          <w:tcPr>
            <w:tcW w:w="1347" w:type="dxa"/>
          </w:tcPr>
          <w:p w:rsidR="00BA5850" w:rsidRPr="00883125" w:rsidRDefault="00BA5850" w:rsidP="00BA5850"/>
        </w:tc>
        <w:tc>
          <w:tcPr>
            <w:tcW w:w="3260" w:type="dxa"/>
          </w:tcPr>
          <w:p w:rsidR="00BA5850" w:rsidRPr="00BA5850" w:rsidRDefault="00BA5850" w:rsidP="00BA5850">
            <w:r w:rsidRPr="00883125">
              <w:t>Also present an earlier period (1987–1990).</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250" w:type="dxa"/>
          </w:tcPr>
          <w:p w:rsidR="00BA5850" w:rsidRPr="00883125" w:rsidRDefault="00BA5850" w:rsidP="00BA5850"/>
        </w:tc>
        <w:tc>
          <w:tcPr>
            <w:tcW w:w="2977" w:type="dxa"/>
            <w:gridSpan w:val="2"/>
          </w:tcPr>
          <w:p w:rsidR="00BA5850" w:rsidRPr="00BA5850" w:rsidRDefault="00BA5850" w:rsidP="00BA5850">
            <w:r w:rsidRPr="00883125">
              <w:t>Brown and Clarke (1993)</w:t>
            </w:r>
            <w:r w:rsidRPr="00BA5850">
              <w:rPr>
                <w:rStyle w:val="FootnoteReference"/>
              </w:rPr>
              <w:footnoteReference w:id="578"/>
            </w:r>
          </w:p>
        </w:tc>
        <w:tc>
          <w:tcPr>
            <w:tcW w:w="1346" w:type="dxa"/>
          </w:tcPr>
          <w:p w:rsidR="00BA5850" w:rsidRPr="00BA5850" w:rsidRDefault="00BA5850" w:rsidP="00BA5850">
            <w:r w:rsidRPr="00883125">
              <w:t>0.80</w:t>
            </w:r>
            <w:r w:rsidRPr="00883125">
              <w:br/>
              <w:t>(1988–1991)</w:t>
            </w:r>
          </w:p>
        </w:tc>
        <w:tc>
          <w:tcPr>
            <w:tcW w:w="1347" w:type="dxa"/>
          </w:tcPr>
          <w:p w:rsidR="00BA5850" w:rsidRPr="00883125" w:rsidRDefault="00BA5850" w:rsidP="00BA5850"/>
        </w:tc>
        <w:tc>
          <w:tcPr>
            <w:tcW w:w="3260" w:type="dxa"/>
          </w:tcPr>
          <w:p w:rsidR="00BA5850" w:rsidRPr="00883125" w:rsidRDefault="00BA5850" w:rsidP="00BA5850"/>
        </w:tc>
      </w:tr>
    </w:tbl>
    <w:p w:rsidR="00BA5850" w:rsidRPr="00883125" w:rsidRDefault="00BA5850" w:rsidP="00BA5850">
      <w:pPr>
        <w:pStyle w:val="AERtablesource"/>
      </w:pPr>
      <w:r w:rsidRPr="00883125">
        <w:t xml:space="preserve">Source: </w:t>
      </w:r>
      <w:r w:rsidRPr="00883125">
        <w:tab/>
        <w:t>As specified in table.</w:t>
      </w:r>
    </w:p>
    <w:p w:rsidR="00BA5850" w:rsidRDefault="00BA5850" w:rsidP="00BA5850">
      <w:pPr>
        <w:rPr>
          <w:rStyle w:val="AERbody"/>
        </w:rPr>
      </w:pPr>
      <w:bookmarkStart w:id="27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593A40" w:rsidRDefault="00593A40">
      <w:pPr>
        <w:spacing w:line="240" w:lineRule="auto"/>
        <w:rPr>
          <w:rStyle w:val="AERbody"/>
        </w:rPr>
      </w:pPr>
      <w:r>
        <w:rPr>
          <w:rStyle w:val="AERbody"/>
        </w:rPr>
        <w:br w:type="page"/>
      </w:r>
    </w:p>
    <w:p w:rsidR="00BA5850" w:rsidRPr="00883125" w:rsidRDefault="00BA5850" w:rsidP="00BA5850">
      <w:pPr>
        <w:pStyle w:val="Caption"/>
      </w:pPr>
      <w:bookmarkStart w:id="277" w:name="_Ref449538408"/>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noBreakHyphen/>
      </w:r>
      <w:r w:rsidRPr="00BA5850">
        <w:fldChar w:fldCharType="begin"/>
      </w:r>
      <w:r>
        <w:instrText xml:space="preserve"> SEQ Table \* ARABIC \s 1 </w:instrText>
      </w:r>
      <w:r w:rsidRPr="00BA5850">
        <w:fldChar w:fldCharType="separate"/>
      </w:r>
      <w:r w:rsidR="00746877">
        <w:rPr>
          <w:noProof/>
        </w:rPr>
        <w:t>18</w:t>
      </w:r>
      <w:r w:rsidRPr="00BA5850">
        <w:fldChar w:fldCharType="end"/>
      </w:r>
      <w:bookmarkEnd w:id="276"/>
      <w:bookmarkEnd w:id="277"/>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BA5850" w:rsidRPr="00222643" w:rsidTr="00343639">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BA5850" w:rsidRPr="00883125" w:rsidRDefault="00BA5850" w:rsidP="00BA5850"/>
        </w:tc>
        <w:tc>
          <w:tcPr>
            <w:tcW w:w="2835" w:type="dxa"/>
          </w:tcPr>
          <w:p w:rsidR="00BA5850" w:rsidRPr="00BA5850" w:rsidRDefault="00BA5850" w:rsidP="00BA5850">
            <w:r w:rsidRPr="00883125">
              <w:t>Authors</w:t>
            </w:r>
          </w:p>
        </w:tc>
        <w:tc>
          <w:tcPr>
            <w:tcW w:w="1346" w:type="dxa"/>
          </w:tcPr>
          <w:p w:rsidR="00BA5850" w:rsidRPr="00BA5850" w:rsidRDefault="00BA5850" w:rsidP="00BA5850">
            <w:r w:rsidRPr="00883125">
              <w:t>Pre-2000 results</w:t>
            </w:r>
          </w:p>
        </w:tc>
        <w:tc>
          <w:tcPr>
            <w:tcW w:w="1347" w:type="dxa"/>
          </w:tcPr>
          <w:p w:rsidR="00BA5850" w:rsidRPr="00BA5850" w:rsidRDefault="00BA5850" w:rsidP="00BA5850">
            <w:r w:rsidRPr="00883125">
              <w:t>Post-2000 results</w:t>
            </w:r>
          </w:p>
        </w:tc>
        <w:tc>
          <w:tcPr>
            <w:tcW w:w="3260" w:type="dxa"/>
          </w:tcPr>
          <w:p w:rsidR="00BA5850" w:rsidRPr="00BA5850" w:rsidRDefault="00BA5850" w:rsidP="00BA5850">
            <w:r w:rsidRPr="00883125">
              <w:t>Notes</w:t>
            </w:r>
          </w:p>
        </w:tc>
      </w:tr>
      <w:tr w:rsidR="00BA5850" w:rsidRPr="00222643" w:rsidTr="00343639">
        <w:trPr>
          <w:cantSplit/>
          <w:trHeight w:val="479"/>
        </w:trPr>
        <w:tc>
          <w:tcPr>
            <w:tcW w:w="3227" w:type="dxa"/>
            <w:gridSpan w:val="2"/>
          </w:tcPr>
          <w:p w:rsidR="00BA5850" w:rsidRPr="00BA5850" w:rsidRDefault="00BA5850" w:rsidP="00BA5850">
            <w:pPr>
              <w:rPr>
                <w:rStyle w:val="Strong"/>
              </w:rPr>
            </w:pPr>
            <w:r w:rsidRPr="00883125">
              <w:rPr>
                <w:rStyle w:val="Strong"/>
              </w:rPr>
              <w:t>Dividend drop off study using hybrids</w:t>
            </w:r>
          </w:p>
        </w:tc>
        <w:tc>
          <w:tcPr>
            <w:tcW w:w="1346" w:type="dxa"/>
          </w:tcPr>
          <w:p w:rsidR="00BA5850" w:rsidRPr="00883125" w:rsidRDefault="00BA5850" w:rsidP="00BA5850"/>
        </w:tc>
        <w:tc>
          <w:tcPr>
            <w:tcW w:w="1347" w:type="dxa"/>
          </w:tcPr>
          <w:p w:rsidR="00BA5850" w:rsidRPr="00883125" w:rsidRDefault="00BA5850" w:rsidP="00BA5850"/>
        </w:tc>
        <w:tc>
          <w:tcPr>
            <w:tcW w:w="3322" w:type="dxa"/>
            <w:gridSpan w:val="2"/>
          </w:tcPr>
          <w:p w:rsidR="00BA5850" w:rsidRPr="00883125"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A5850" w:rsidRPr="00883125" w:rsidRDefault="00BA5850" w:rsidP="00BA5850"/>
        </w:tc>
        <w:tc>
          <w:tcPr>
            <w:tcW w:w="2835" w:type="dxa"/>
          </w:tcPr>
          <w:p w:rsidR="00BA5850" w:rsidRPr="00BA5850" w:rsidRDefault="00BA5850" w:rsidP="00BA5850">
            <w:r w:rsidRPr="00883125">
              <w:t>Feuerherdt, Gray and Hall (2010)</w:t>
            </w:r>
            <w:r w:rsidRPr="00BA5850">
              <w:rPr>
                <w:rStyle w:val="FootnoteReference"/>
              </w:rPr>
              <w:footnoteReference w:id="580"/>
            </w:r>
          </w:p>
        </w:tc>
        <w:tc>
          <w:tcPr>
            <w:tcW w:w="1346" w:type="dxa"/>
          </w:tcPr>
          <w:p w:rsidR="00BA5850" w:rsidRPr="00BA5850" w:rsidRDefault="00BA5850" w:rsidP="00BA5850">
            <w:r w:rsidRPr="00883125">
              <w:t>N/A</w:t>
            </w:r>
            <w:r w:rsidRPr="00883125">
              <w:br/>
              <w:t>(1995–2002)</w:t>
            </w:r>
          </w:p>
        </w:tc>
        <w:tc>
          <w:tcPr>
            <w:tcW w:w="1347" w:type="dxa"/>
          </w:tcPr>
          <w:p w:rsidR="00BA5850" w:rsidRPr="00883125" w:rsidRDefault="00BA5850" w:rsidP="00BA5850"/>
        </w:tc>
        <w:tc>
          <w:tcPr>
            <w:tcW w:w="3322" w:type="dxa"/>
            <w:gridSpan w:val="2"/>
          </w:tcPr>
          <w:p w:rsidR="00BA5850" w:rsidRPr="00BA5850" w:rsidRDefault="00BA5850" w:rsidP="00BA5850">
            <w:r w:rsidRPr="00883125">
              <w:t>Combined drop off of 1.0. With dividends at full value, this is a utilisation rate of 0.</w:t>
            </w:r>
          </w:p>
        </w:tc>
      </w:tr>
      <w:tr w:rsidR="00BA5850" w:rsidRPr="00222643" w:rsidTr="00343639">
        <w:trPr>
          <w:cantSplit/>
        </w:trPr>
        <w:tc>
          <w:tcPr>
            <w:tcW w:w="3227" w:type="dxa"/>
            <w:gridSpan w:val="2"/>
          </w:tcPr>
          <w:p w:rsidR="00BA5850" w:rsidRPr="00BA5850" w:rsidRDefault="00BA5850" w:rsidP="00BA5850">
            <w:pPr>
              <w:rPr>
                <w:rStyle w:val="Strong"/>
              </w:rPr>
            </w:pPr>
            <w:r w:rsidRPr="00883125">
              <w:rPr>
                <w:rStyle w:val="Strong"/>
              </w:rPr>
              <w:t xml:space="preserve">Futures study (individual or </w:t>
            </w:r>
            <w:r w:rsidRPr="00BA5850">
              <w:rPr>
                <w:rStyle w:val="Strong"/>
              </w:rPr>
              <w:t>index)</w:t>
            </w:r>
          </w:p>
        </w:tc>
        <w:tc>
          <w:tcPr>
            <w:tcW w:w="1346" w:type="dxa"/>
          </w:tcPr>
          <w:p w:rsidR="00BA5850" w:rsidRPr="00883125" w:rsidRDefault="00BA5850" w:rsidP="00BA5850">
            <w:pPr>
              <w:rPr>
                <w:rStyle w:val="Strong"/>
              </w:rPr>
            </w:pPr>
          </w:p>
        </w:tc>
        <w:tc>
          <w:tcPr>
            <w:tcW w:w="1347" w:type="dxa"/>
          </w:tcPr>
          <w:p w:rsidR="00BA5850" w:rsidRPr="00883125" w:rsidRDefault="00BA5850" w:rsidP="00BA5850"/>
        </w:tc>
        <w:tc>
          <w:tcPr>
            <w:tcW w:w="3322" w:type="dxa"/>
            <w:gridSpan w:val="2"/>
          </w:tcPr>
          <w:p w:rsidR="00BA5850" w:rsidRPr="00883125"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BA5850" w:rsidRPr="00883125" w:rsidRDefault="00BA5850" w:rsidP="00BA5850"/>
        </w:tc>
        <w:tc>
          <w:tcPr>
            <w:tcW w:w="2835" w:type="dxa"/>
          </w:tcPr>
          <w:p w:rsidR="00BA5850" w:rsidRPr="00BA5850" w:rsidRDefault="00BA5850" w:rsidP="00BA5850">
            <w:r w:rsidRPr="00883125">
              <w:t>SFG (2013b)</w:t>
            </w:r>
            <w:r w:rsidRPr="00BA5850">
              <w:rPr>
                <w:rStyle w:val="FootnoteReference"/>
              </w:rPr>
              <w:footnoteReference w:id="581"/>
            </w:r>
          </w:p>
        </w:tc>
        <w:tc>
          <w:tcPr>
            <w:tcW w:w="1346" w:type="dxa"/>
          </w:tcPr>
          <w:p w:rsidR="00BA5850" w:rsidRPr="00883125" w:rsidRDefault="00BA5850" w:rsidP="00BA5850"/>
        </w:tc>
        <w:tc>
          <w:tcPr>
            <w:tcW w:w="1347" w:type="dxa"/>
          </w:tcPr>
          <w:p w:rsidR="00BA5850" w:rsidRPr="00BA5850" w:rsidRDefault="00BA5850" w:rsidP="00BA5850">
            <w:r w:rsidRPr="00883125">
              <w:t>0.12</w:t>
            </w:r>
            <w:r w:rsidRPr="00883125">
              <w:br/>
              <w:t>(2000–2013)</w:t>
            </w:r>
          </w:p>
        </w:tc>
        <w:tc>
          <w:tcPr>
            <w:tcW w:w="3322" w:type="dxa"/>
            <w:gridSpan w:val="2"/>
          </w:tcPr>
          <w:p w:rsidR="00BA5850" w:rsidRPr="00BA5850" w:rsidRDefault="00BA5850" w:rsidP="00BA5850">
            <w:r w:rsidRPr="00883125">
              <w:t>Uses individual firms.</w:t>
            </w:r>
          </w:p>
        </w:tc>
      </w:tr>
      <w:tr w:rsidR="00BA5850" w:rsidRPr="00222643" w:rsidTr="00343639">
        <w:trPr>
          <w:cantSplit/>
          <w:trHeight w:val="465"/>
        </w:trPr>
        <w:tc>
          <w:tcPr>
            <w:tcW w:w="392" w:type="dxa"/>
          </w:tcPr>
          <w:p w:rsidR="00BA5850" w:rsidRPr="00883125" w:rsidRDefault="00BA5850" w:rsidP="00BA5850"/>
        </w:tc>
        <w:tc>
          <w:tcPr>
            <w:tcW w:w="2835" w:type="dxa"/>
          </w:tcPr>
          <w:p w:rsidR="00BA5850" w:rsidRPr="00BA5850" w:rsidRDefault="00BA5850" w:rsidP="00BA5850">
            <w:r w:rsidRPr="00883125">
              <w:t>Cannavan et al (2004)</w:t>
            </w:r>
            <w:r w:rsidRPr="00BA5850">
              <w:rPr>
                <w:rStyle w:val="FootnoteReference"/>
              </w:rPr>
              <w:footnoteReference w:id="582"/>
            </w:r>
          </w:p>
        </w:tc>
        <w:tc>
          <w:tcPr>
            <w:tcW w:w="1346" w:type="dxa"/>
          </w:tcPr>
          <w:p w:rsidR="00BA5850" w:rsidRPr="00BA5850" w:rsidRDefault="00BA5850" w:rsidP="00BA5850">
            <w:r w:rsidRPr="00883125">
              <w:t>0–0.15</w:t>
            </w:r>
            <w:r w:rsidRPr="00883125">
              <w:br/>
              <w:t>(1994–1999)</w:t>
            </w:r>
          </w:p>
        </w:tc>
        <w:tc>
          <w:tcPr>
            <w:tcW w:w="1347" w:type="dxa"/>
          </w:tcPr>
          <w:p w:rsidR="00BA5850" w:rsidRPr="00883125" w:rsidRDefault="00BA5850" w:rsidP="00BA5850"/>
        </w:tc>
        <w:tc>
          <w:tcPr>
            <w:tcW w:w="3322" w:type="dxa"/>
            <w:gridSpan w:val="2"/>
          </w:tcPr>
          <w:p w:rsidR="00BA5850" w:rsidRPr="00BA5850" w:rsidRDefault="00BA5850" w:rsidP="00BA5850">
            <w:r w:rsidRPr="00883125">
              <w:t>Uses individual firms.</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A5850" w:rsidRPr="00883125" w:rsidRDefault="00BA5850" w:rsidP="00BA5850"/>
        </w:tc>
        <w:tc>
          <w:tcPr>
            <w:tcW w:w="2835" w:type="dxa"/>
          </w:tcPr>
          <w:p w:rsidR="00BA5850" w:rsidRPr="00BA5850" w:rsidRDefault="00BA5850" w:rsidP="00BA5850">
            <w:r w:rsidRPr="00883125">
              <w:t>Cummings and Frino (2008)</w:t>
            </w:r>
            <w:r w:rsidRPr="00BA5850">
              <w:rPr>
                <w:rStyle w:val="FootnoteReference"/>
              </w:rPr>
              <w:footnoteReference w:id="583"/>
            </w:r>
          </w:p>
        </w:tc>
        <w:tc>
          <w:tcPr>
            <w:tcW w:w="1346" w:type="dxa"/>
          </w:tcPr>
          <w:p w:rsidR="00BA5850" w:rsidRPr="00883125" w:rsidRDefault="00BA5850" w:rsidP="00BA5850"/>
        </w:tc>
        <w:tc>
          <w:tcPr>
            <w:tcW w:w="1347" w:type="dxa"/>
          </w:tcPr>
          <w:p w:rsidR="00BA5850" w:rsidRPr="00BA5850" w:rsidRDefault="00BA5850" w:rsidP="00BA5850">
            <w:r w:rsidRPr="00883125">
              <w:t>0.52</w:t>
            </w:r>
            <w:r w:rsidRPr="00883125">
              <w:br/>
              <w:t>(2002–2005)</w:t>
            </w:r>
          </w:p>
        </w:tc>
        <w:tc>
          <w:tcPr>
            <w:tcW w:w="3322" w:type="dxa"/>
            <w:gridSpan w:val="2"/>
          </w:tcPr>
          <w:p w:rsidR="00BA5850" w:rsidRPr="00BA5850" w:rsidRDefault="00BA5850" w:rsidP="00BA5850">
            <w:r w:rsidRPr="00883125">
              <w:t>Uses index.</w:t>
            </w:r>
          </w:p>
        </w:tc>
      </w:tr>
      <w:tr w:rsidR="00BA5850" w:rsidRPr="00222643" w:rsidTr="00343639">
        <w:trPr>
          <w:cantSplit/>
        </w:trPr>
        <w:tc>
          <w:tcPr>
            <w:tcW w:w="3227" w:type="dxa"/>
            <w:gridSpan w:val="2"/>
          </w:tcPr>
          <w:p w:rsidR="00BA5850" w:rsidRPr="00BA5850" w:rsidRDefault="00BA5850" w:rsidP="00BA5850">
            <w:pPr>
              <w:rPr>
                <w:rStyle w:val="Strong"/>
              </w:rPr>
            </w:pPr>
            <w:r w:rsidRPr="00883125">
              <w:rPr>
                <w:rStyle w:val="Strong"/>
              </w:rPr>
              <w:t>Rate of return study</w:t>
            </w:r>
          </w:p>
        </w:tc>
        <w:tc>
          <w:tcPr>
            <w:tcW w:w="1346" w:type="dxa"/>
          </w:tcPr>
          <w:p w:rsidR="00BA5850" w:rsidRPr="00883125" w:rsidRDefault="00BA5850" w:rsidP="00BA5850"/>
        </w:tc>
        <w:tc>
          <w:tcPr>
            <w:tcW w:w="1347" w:type="dxa"/>
          </w:tcPr>
          <w:p w:rsidR="00BA5850" w:rsidRPr="00883125" w:rsidRDefault="00BA5850" w:rsidP="00BA5850"/>
        </w:tc>
        <w:tc>
          <w:tcPr>
            <w:tcW w:w="3322" w:type="dxa"/>
            <w:gridSpan w:val="2"/>
          </w:tcPr>
          <w:p w:rsidR="00BA5850" w:rsidRPr="00883125"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Pr>
        <w:tc>
          <w:tcPr>
            <w:tcW w:w="392" w:type="dxa"/>
          </w:tcPr>
          <w:p w:rsidR="00BA5850" w:rsidRPr="00883125" w:rsidRDefault="00BA5850" w:rsidP="00BA5850"/>
        </w:tc>
        <w:tc>
          <w:tcPr>
            <w:tcW w:w="2835" w:type="dxa"/>
          </w:tcPr>
          <w:p w:rsidR="00BA5850" w:rsidRPr="00BA5850" w:rsidRDefault="00BA5850" w:rsidP="00BA5850">
            <w:r w:rsidRPr="00883125">
              <w:t>NERA (2013b)</w:t>
            </w:r>
            <w:r w:rsidRPr="00BA5850">
              <w:rPr>
                <w:rStyle w:val="FootnoteReference"/>
              </w:rPr>
              <w:footnoteReference w:id="584"/>
            </w:r>
          </w:p>
        </w:tc>
        <w:tc>
          <w:tcPr>
            <w:tcW w:w="1346" w:type="dxa"/>
          </w:tcPr>
          <w:p w:rsidR="00BA5850" w:rsidRPr="00BA5850" w:rsidRDefault="00BA5850" w:rsidP="00BA5850">
            <w:r w:rsidRPr="00883125">
              <w:t>-1.57</w:t>
            </w:r>
            <w:r w:rsidRPr="00883125">
              <w:br/>
              <w:t>(1987–2000)</w:t>
            </w:r>
          </w:p>
        </w:tc>
        <w:tc>
          <w:tcPr>
            <w:tcW w:w="1347" w:type="dxa"/>
          </w:tcPr>
          <w:p w:rsidR="00BA5850" w:rsidRPr="00BA5850" w:rsidRDefault="00BA5850" w:rsidP="00BA5850">
            <w:r w:rsidRPr="00883125">
              <w:t>-1.90</w:t>
            </w:r>
            <w:r w:rsidRPr="00883125">
              <w:br/>
              <w:t>(2000–2012)</w:t>
            </w:r>
          </w:p>
        </w:tc>
        <w:tc>
          <w:tcPr>
            <w:tcW w:w="3322" w:type="dxa"/>
            <w:gridSpan w:val="2"/>
          </w:tcPr>
          <w:p w:rsidR="00BA5850" w:rsidRPr="00BA5850" w:rsidRDefault="00BA5850" w:rsidP="00BA5850">
            <w:r w:rsidRPr="00883125">
              <w:t>Uses past returns. For the entire period, estimate is -1.50.</w:t>
            </w:r>
          </w:p>
        </w:tc>
      </w:tr>
      <w:tr w:rsidR="00BA5850" w:rsidRPr="00222643" w:rsidTr="00343639">
        <w:trPr>
          <w:cantSplit/>
          <w:trHeight w:val="535"/>
        </w:trPr>
        <w:tc>
          <w:tcPr>
            <w:tcW w:w="392" w:type="dxa"/>
          </w:tcPr>
          <w:p w:rsidR="00BA5850" w:rsidRPr="00883125" w:rsidRDefault="00BA5850" w:rsidP="00BA5850"/>
        </w:tc>
        <w:tc>
          <w:tcPr>
            <w:tcW w:w="2835" w:type="dxa"/>
          </w:tcPr>
          <w:p w:rsidR="00BA5850" w:rsidRPr="00BA5850" w:rsidRDefault="00BA5850" w:rsidP="00BA5850">
            <w:r w:rsidRPr="00883125">
              <w:t>Lajbcygier and Wheatley (2012)</w:t>
            </w:r>
            <w:r w:rsidRPr="00BA5850">
              <w:rPr>
                <w:rStyle w:val="FootnoteReference"/>
              </w:rPr>
              <w:footnoteReference w:id="585"/>
            </w:r>
          </w:p>
        </w:tc>
        <w:tc>
          <w:tcPr>
            <w:tcW w:w="1346" w:type="dxa"/>
          </w:tcPr>
          <w:p w:rsidR="00BA5850" w:rsidRPr="00BA5850" w:rsidRDefault="00BA5850" w:rsidP="00BA5850">
            <w:r w:rsidRPr="00883125">
              <w:t>-1.57</w:t>
            </w:r>
            <w:r w:rsidRPr="00883125">
              <w:br/>
              <w:t>(1987–2000)</w:t>
            </w:r>
          </w:p>
        </w:tc>
        <w:tc>
          <w:tcPr>
            <w:tcW w:w="1347" w:type="dxa"/>
          </w:tcPr>
          <w:p w:rsidR="00BA5850" w:rsidRPr="00BA5850" w:rsidRDefault="00BA5850" w:rsidP="00BA5850">
            <w:r w:rsidRPr="00883125">
              <w:t>-1.68</w:t>
            </w:r>
            <w:r w:rsidRPr="00883125">
              <w:br/>
              <w:t>(2000–2009)</w:t>
            </w:r>
          </w:p>
        </w:tc>
        <w:tc>
          <w:tcPr>
            <w:tcW w:w="3322" w:type="dxa"/>
            <w:gridSpan w:val="2"/>
          </w:tcPr>
          <w:p w:rsidR="00BA5850" w:rsidRPr="00BA5850" w:rsidRDefault="00BA5850" w:rsidP="00BA5850">
            <w:r w:rsidRPr="00883125">
              <w:t>Uses past returns. For the entire period, estimate is -1.88</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A5850" w:rsidRPr="00883125" w:rsidRDefault="00BA5850" w:rsidP="00BA5850"/>
        </w:tc>
        <w:tc>
          <w:tcPr>
            <w:tcW w:w="2835" w:type="dxa"/>
          </w:tcPr>
          <w:p w:rsidR="00BA5850" w:rsidRPr="00BA5850" w:rsidRDefault="00BA5850" w:rsidP="00BA5850">
            <w:r w:rsidRPr="00883125">
              <w:t>Siau et al (2013)</w:t>
            </w:r>
            <w:r w:rsidRPr="00BA5850">
              <w:rPr>
                <w:rStyle w:val="FootnoteReference"/>
              </w:rPr>
              <w:footnoteReference w:id="586"/>
            </w:r>
          </w:p>
        </w:tc>
        <w:tc>
          <w:tcPr>
            <w:tcW w:w="1346" w:type="dxa"/>
          </w:tcPr>
          <w:p w:rsidR="00BA5850" w:rsidRPr="00883125" w:rsidRDefault="00BA5850" w:rsidP="00BA5850"/>
        </w:tc>
        <w:tc>
          <w:tcPr>
            <w:tcW w:w="1347" w:type="dxa"/>
          </w:tcPr>
          <w:p w:rsidR="00BA5850" w:rsidRPr="00BA5850" w:rsidRDefault="00BA5850" w:rsidP="00BA5850">
            <w:r w:rsidRPr="00883125">
              <w:t>-0.29–0.30</w:t>
            </w:r>
            <w:r w:rsidRPr="00883125">
              <w:br/>
              <w:t>(1996–2011)</w:t>
            </w:r>
          </w:p>
        </w:tc>
        <w:tc>
          <w:tcPr>
            <w:tcW w:w="3322" w:type="dxa"/>
            <w:gridSpan w:val="2"/>
          </w:tcPr>
          <w:p w:rsidR="00BA5850" w:rsidRPr="00BA5850" w:rsidRDefault="00BA5850" w:rsidP="00BA5850">
            <w:r w:rsidRPr="00883125">
              <w:t>Uses forecast returns. Note range is from negative 0.29 to positive 0.30.</w:t>
            </w:r>
          </w:p>
        </w:tc>
      </w:tr>
      <w:tr w:rsidR="00BA5850" w:rsidRPr="00222643" w:rsidTr="00343639">
        <w:trPr>
          <w:cantSplit/>
          <w:trHeight w:val="299"/>
        </w:trPr>
        <w:tc>
          <w:tcPr>
            <w:tcW w:w="392" w:type="dxa"/>
          </w:tcPr>
          <w:p w:rsidR="00BA5850" w:rsidRPr="00883125" w:rsidRDefault="00BA5850" w:rsidP="00BA5850"/>
        </w:tc>
        <w:tc>
          <w:tcPr>
            <w:tcW w:w="2835" w:type="dxa"/>
          </w:tcPr>
          <w:p w:rsidR="00BA5850" w:rsidRPr="00BA5850" w:rsidRDefault="00BA5850" w:rsidP="00BA5850">
            <w:r w:rsidRPr="00883125">
              <w:t>Siau et al (2015)</w:t>
            </w:r>
            <w:r w:rsidRPr="00BA5850">
              <w:rPr>
                <w:rStyle w:val="FootnoteReference"/>
              </w:rPr>
              <w:footnoteReference w:id="587"/>
            </w:r>
          </w:p>
        </w:tc>
        <w:tc>
          <w:tcPr>
            <w:tcW w:w="1346" w:type="dxa"/>
          </w:tcPr>
          <w:p w:rsidR="00BA5850" w:rsidRPr="00883125" w:rsidRDefault="00BA5850" w:rsidP="00BA5850"/>
        </w:tc>
        <w:tc>
          <w:tcPr>
            <w:tcW w:w="1347" w:type="dxa"/>
          </w:tcPr>
          <w:p w:rsidR="00BA5850" w:rsidRPr="00BA5850" w:rsidRDefault="00BA5850" w:rsidP="00BA5850">
            <w:r w:rsidRPr="00883125">
              <w:t>-0.29–0.30</w:t>
            </w:r>
            <w:r w:rsidRPr="00883125">
              <w:br/>
              <w:t>(1996–2011)</w:t>
            </w:r>
          </w:p>
        </w:tc>
        <w:tc>
          <w:tcPr>
            <w:tcW w:w="3322" w:type="dxa"/>
            <w:gridSpan w:val="2"/>
          </w:tcPr>
          <w:p w:rsidR="00BA5850" w:rsidRPr="00BA5850" w:rsidRDefault="00BA5850" w:rsidP="00BA5850">
            <w:r w:rsidRPr="00883125">
              <w:t xml:space="preserve">Uses forecast returns. Note range is from negative 0.29 to positive 0.30. </w:t>
            </w:r>
          </w:p>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A5850" w:rsidRPr="00883125" w:rsidRDefault="00BA5850" w:rsidP="00BA5850"/>
        </w:tc>
        <w:tc>
          <w:tcPr>
            <w:tcW w:w="2835" w:type="dxa"/>
          </w:tcPr>
          <w:p w:rsidR="00BA5850" w:rsidRPr="00BA5850" w:rsidRDefault="00BA5850" w:rsidP="00BA5850">
            <w:r w:rsidRPr="00883125">
              <w:t>NERA (2015)</w:t>
            </w:r>
            <w:r w:rsidRPr="00BA5850">
              <w:rPr>
                <w:rStyle w:val="FootnoteReference"/>
              </w:rPr>
              <w:footnoteReference w:id="588"/>
            </w:r>
          </w:p>
        </w:tc>
        <w:tc>
          <w:tcPr>
            <w:tcW w:w="1346" w:type="dxa"/>
          </w:tcPr>
          <w:p w:rsidR="00BA5850" w:rsidRPr="00BA5850" w:rsidRDefault="00BA5850" w:rsidP="00BA5850">
            <w:r w:rsidRPr="00883125">
              <w:t>-0.90                         (1987-2000)</w:t>
            </w:r>
          </w:p>
        </w:tc>
        <w:tc>
          <w:tcPr>
            <w:tcW w:w="1347" w:type="dxa"/>
          </w:tcPr>
          <w:p w:rsidR="00BA5850" w:rsidRPr="00BA5850" w:rsidRDefault="00BA5850" w:rsidP="00BA5850">
            <w:r w:rsidRPr="00883125">
              <w:t>-3.18                    (2000-2013)</w:t>
            </w:r>
          </w:p>
        </w:tc>
        <w:tc>
          <w:tcPr>
            <w:tcW w:w="3322" w:type="dxa"/>
            <w:gridSpan w:val="2"/>
          </w:tcPr>
          <w:p w:rsidR="00BA5850" w:rsidRPr="00BA5850" w:rsidRDefault="00BA5850" w:rsidP="00BA5850">
            <w:r w:rsidRPr="00883125">
              <w:t>Uses past returns. For the entire period, estimate is -1.76</w:t>
            </w:r>
          </w:p>
        </w:tc>
      </w:tr>
      <w:tr w:rsidR="00BA5850" w:rsidRPr="00222643" w:rsidTr="00343639">
        <w:trPr>
          <w:cantSplit/>
          <w:trHeight w:val="402"/>
        </w:trPr>
        <w:tc>
          <w:tcPr>
            <w:tcW w:w="3227" w:type="dxa"/>
            <w:gridSpan w:val="2"/>
          </w:tcPr>
          <w:p w:rsidR="00BA5850" w:rsidRPr="00BA5850" w:rsidRDefault="00BA5850" w:rsidP="00BA5850">
            <w:pPr>
              <w:rPr>
                <w:rStyle w:val="Strong"/>
              </w:rPr>
            </w:pPr>
            <w:r w:rsidRPr="00883125">
              <w:rPr>
                <w:rStyle w:val="Strong"/>
              </w:rPr>
              <w:lastRenderedPageBreak/>
              <w:t>Simultaneous share trades</w:t>
            </w:r>
          </w:p>
        </w:tc>
        <w:tc>
          <w:tcPr>
            <w:tcW w:w="1346" w:type="dxa"/>
          </w:tcPr>
          <w:p w:rsidR="00BA5850" w:rsidRPr="00883125" w:rsidRDefault="00BA5850" w:rsidP="00BA5850"/>
        </w:tc>
        <w:tc>
          <w:tcPr>
            <w:tcW w:w="1347" w:type="dxa"/>
          </w:tcPr>
          <w:p w:rsidR="00BA5850" w:rsidRPr="00883125" w:rsidRDefault="00BA5850" w:rsidP="00BA5850"/>
        </w:tc>
        <w:tc>
          <w:tcPr>
            <w:tcW w:w="3322" w:type="dxa"/>
            <w:gridSpan w:val="2"/>
          </w:tcPr>
          <w:p w:rsidR="00BA5850" w:rsidRPr="00883125"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BA5850" w:rsidRPr="00883125" w:rsidRDefault="00BA5850" w:rsidP="00BA5850"/>
        </w:tc>
        <w:tc>
          <w:tcPr>
            <w:tcW w:w="2835" w:type="dxa"/>
          </w:tcPr>
          <w:p w:rsidR="00BA5850" w:rsidRPr="00BA5850" w:rsidRDefault="00BA5850" w:rsidP="00BA5850">
            <w:r w:rsidRPr="00883125">
              <w:t>Chu and Partington (2008)</w:t>
            </w:r>
            <w:r w:rsidRPr="00BA5850">
              <w:rPr>
                <w:rStyle w:val="FootnoteReference"/>
              </w:rPr>
              <w:footnoteReference w:id="589"/>
            </w:r>
          </w:p>
        </w:tc>
        <w:tc>
          <w:tcPr>
            <w:tcW w:w="1346" w:type="dxa"/>
          </w:tcPr>
          <w:p w:rsidR="00BA5850" w:rsidRPr="00BA5850" w:rsidRDefault="00BA5850" w:rsidP="00BA5850">
            <w:r w:rsidRPr="00883125">
              <w:t>N/A</w:t>
            </w:r>
            <w:r w:rsidRPr="00883125">
              <w:br/>
              <w:t>(1996)</w:t>
            </w:r>
          </w:p>
        </w:tc>
        <w:tc>
          <w:tcPr>
            <w:tcW w:w="1347" w:type="dxa"/>
          </w:tcPr>
          <w:p w:rsidR="00BA5850" w:rsidRPr="00883125" w:rsidRDefault="00BA5850" w:rsidP="00BA5850"/>
        </w:tc>
        <w:tc>
          <w:tcPr>
            <w:tcW w:w="3322" w:type="dxa"/>
            <w:gridSpan w:val="2"/>
          </w:tcPr>
          <w:p w:rsidR="00BA5850" w:rsidRPr="00BA5850" w:rsidRDefault="00BA5850" w:rsidP="00BA5850">
            <w:r w:rsidRPr="00883125">
              <w:t>Combined drop off of 1.29. With dividends at full value, this is a utilisation rate of 0.68.</w:t>
            </w:r>
          </w:p>
        </w:tc>
      </w:tr>
      <w:tr w:rsidR="00BA5850" w:rsidRPr="00222643" w:rsidTr="00343639">
        <w:trPr>
          <w:cantSplit/>
          <w:trHeight w:val="284"/>
        </w:trPr>
        <w:tc>
          <w:tcPr>
            <w:tcW w:w="392" w:type="dxa"/>
          </w:tcPr>
          <w:p w:rsidR="00BA5850" w:rsidRPr="00883125" w:rsidRDefault="00BA5850" w:rsidP="00BA5850"/>
        </w:tc>
        <w:tc>
          <w:tcPr>
            <w:tcW w:w="2835" w:type="dxa"/>
          </w:tcPr>
          <w:p w:rsidR="00BA5850" w:rsidRPr="00BA5850" w:rsidRDefault="00BA5850" w:rsidP="00BA5850">
            <w:r w:rsidRPr="00883125">
              <w:t>Walker and Partington (1999)</w:t>
            </w:r>
            <w:r w:rsidRPr="00BA5850">
              <w:rPr>
                <w:rStyle w:val="FootnoteReference"/>
              </w:rPr>
              <w:footnoteReference w:id="590"/>
            </w:r>
          </w:p>
        </w:tc>
        <w:tc>
          <w:tcPr>
            <w:tcW w:w="1346" w:type="dxa"/>
          </w:tcPr>
          <w:p w:rsidR="00BA5850" w:rsidRPr="00BA5850" w:rsidRDefault="00BA5850" w:rsidP="00BA5850">
            <w:r w:rsidRPr="00883125">
              <w:t>0.88–0.96</w:t>
            </w:r>
            <w:r w:rsidRPr="00883125">
              <w:br/>
              <w:t>(1995–1997)</w:t>
            </w:r>
          </w:p>
        </w:tc>
        <w:tc>
          <w:tcPr>
            <w:tcW w:w="1347" w:type="dxa"/>
          </w:tcPr>
          <w:p w:rsidR="00BA5850" w:rsidRPr="00883125" w:rsidRDefault="00BA5850" w:rsidP="00BA5850"/>
        </w:tc>
        <w:tc>
          <w:tcPr>
            <w:tcW w:w="3322" w:type="dxa"/>
            <w:gridSpan w:val="2"/>
          </w:tcPr>
          <w:p w:rsidR="00BA5850" w:rsidRPr="00883125" w:rsidDel="003D6627" w:rsidRDefault="00BA5850" w:rsidP="00BA5850"/>
        </w:tc>
      </w:tr>
      <w:tr w:rsidR="00BA5850" w:rsidRPr="00222643" w:rsidTr="00343639">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BA5850" w:rsidRPr="00883125" w:rsidRDefault="00BA5850" w:rsidP="00BA5850"/>
        </w:tc>
        <w:tc>
          <w:tcPr>
            <w:tcW w:w="2835" w:type="dxa"/>
          </w:tcPr>
          <w:p w:rsidR="00BA5850" w:rsidRPr="00BA5850" w:rsidRDefault="00BA5850" w:rsidP="00BA5850">
            <w:r w:rsidRPr="00883125">
              <w:t>Chu and Partington (2001)</w:t>
            </w:r>
            <w:r w:rsidRPr="00BA5850">
              <w:rPr>
                <w:rStyle w:val="FootnoteReference"/>
              </w:rPr>
              <w:footnoteReference w:id="591"/>
            </w:r>
          </w:p>
        </w:tc>
        <w:tc>
          <w:tcPr>
            <w:tcW w:w="1346" w:type="dxa"/>
          </w:tcPr>
          <w:p w:rsidR="00BA5850" w:rsidRPr="00BA5850" w:rsidRDefault="00BA5850" w:rsidP="00BA5850">
            <w:r w:rsidRPr="00883125">
              <w:t>N/A</w:t>
            </w:r>
            <w:r w:rsidRPr="00883125">
              <w:br/>
              <w:t>(1991–1999)</w:t>
            </w:r>
          </w:p>
        </w:tc>
        <w:tc>
          <w:tcPr>
            <w:tcW w:w="1347" w:type="dxa"/>
          </w:tcPr>
          <w:p w:rsidR="00BA5850" w:rsidRPr="00883125" w:rsidRDefault="00BA5850" w:rsidP="00BA5850"/>
        </w:tc>
        <w:tc>
          <w:tcPr>
            <w:tcW w:w="3322" w:type="dxa"/>
            <w:gridSpan w:val="2"/>
          </w:tcPr>
          <w:p w:rsidR="00BA5850" w:rsidRPr="00BA5850" w:rsidDel="003D6627" w:rsidRDefault="00BA5850" w:rsidP="00BA5850">
            <w:r w:rsidRPr="00883125">
              <w:t>Combined drop off of 1.5. With dividends at full value, this is a utilisation rate above 1.</w:t>
            </w:r>
          </w:p>
        </w:tc>
      </w:tr>
    </w:tbl>
    <w:p w:rsidR="00BA5850" w:rsidRPr="00883125" w:rsidRDefault="00BA5850" w:rsidP="00BA5850">
      <w:pPr>
        <w:pStyle w:val="AERtablesource"/>
      </w:pPr>
      <w:r w:rsidRPr="00883125">
        <w:t xml:space="preserve">Source: </w:t>
      </w:r>
      <w:r w:rsidRPr="00883125">
        <w:tab/>
        <w:t>As specified in table.</w:t>
      </w:r>
    </w:p>
    <w:p w:rsidR="00BA5850" w:rsidRPr="00883125" w:rsidRDefault="00BA5850" w:rsidP="00BA5850">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BA5850" w:rsidRPr="00883125" w:rsidRDefault="00BA5850" w:rsidP="00BA5850">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596"/>
      </w:r>
    </w:p>
    <w:p w:rsidR="00BA5850" w:rsidRPr="00883125" w:rsidRDefault="00BA5850" w:rsidP="0086094B">
      <w:pPr>
        <w:pStyle w:val="Heading9"/>
        <w:keepNext/>
      </w:pPr>
      <w:bookmarkStart w:id="278" w:name="_Ref435171205"/>
      <w:r w:rsidRPr="00883125">
        <w:lastRenderedPageBreak/>
        <w:t>Comparison with other market-based estimation approaches</w:t>
      </w:r>
      <w:bookmarkEnd w:id="278"/>
    </w:p>
    <w:p w:rsidR="00BA5850" w:rsidRPr="00883125" w:rsidRDefault="00BA5850" w:rsidP="0086094B">
      <w:pPr>
        <w:keepNext/>
      </w:pPr>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BA5850" w:rsidRPr="00883125" w:rsidRDefault="00BA5850" w:rsidP="00BA5850">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BA5850" w:rsidRPr="00883125" w:rsidRDefault="00BA5850" w:rsidP="00BA5850">
      <w:r w:rsidRPr="00883125">
        <w:t xml:space="preserve">Further, when returns are calculated on bonds for the cost of debt, and capital gains/loss for the return on equity, these returns are </w:t>
      </w:r>
      <w:r>
        <w:t>pre-personal tax returns</w:t>
      </w:r>
      <w:r w:rsidRPr="00883125">
        <w:t>. However, imputation credits and dividends market values derived from drop off studies are influenced by differential personal tax</w:t>
      </w:r>
      <w:r>
        <w:t xml:space="preserve"> resulting in these values being neither pre nor post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599"/>
      </w:r>
      <w:r>
        <w:t xml:space="preserve"> </w:t>
      </w:r>
      <w:r w:rsidRPr="00883125">
        <w:t xml:space="preserve">This is further discussed in detail in section </w:t>
      </w:r>
      <w:r>
        <w:fldChar w:fldCharType="begin"/>
      </w:r>
      <w:r>
        <w:instrText xml:space="preserve"> REF _Ref450840388 \r \h </w:instrText>
      </w:r>
      <w:r>
        <w:fldChar w:fldCharType="separate"/>
      </w:r>
      <w:r w:rsidR="00746877">
        <w:t>A.8.2</w:t>
      </w:r>
      <w:r>
        <w:fldChar w:fldCharType="end"/>
      </w:r>
      <w:r w:rsidRPr="00883125">
        <w:t xml:space="preserve"> and an example is provided to demonstrate the impact below.</w:t>
      </w:r>
    </w:p>
    <w:p w:rsidR="00BA5850" w:rsidRPr="00883125" w:rsidRDefault="00BA5850" w:rsidP="00BA5850">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BA5850" w:rsidRPr="00883125" w:rsidRDefault="00BA5850" w:rsidP="00BA5850">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BA5850" w:rsidRPr="00883125" w:rsidRDefault="00BA5850" w:rsidP="00BA5850">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BA5850" w:rsidRPr="00883125" w:rsidRDefault="00BA5850" w:rsidP="00BA5850">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BA5850" w:rsidRPr="00883125" w:rsidRDefault="00BA5850" w:rsidP="00BA5850">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BA5850" w:rsidRPr="00883125" w:rsidRDefault="00BA5850" w:rsidP="00BA5850">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05"/>
      </w:r>
    </w:p>
    <w:p w:rsidR="00BA5850" w:rsidRPr="00BA5850" w:rsidRDefault="00BA5850" w:rsidP="00BA5850">
      <w:pPr>
        <w:pStyle w:val="AERbulletlistfirststyle"/>
      </w:pPr>
      <w:r w:rsidRPr="00883125">
        <w:t>Sell</w:t>
      </w:r>
      <w:r w:rsidRPr="00BA5850">
        <w:t>ing their stock the day before the shareholder is entitled to receive the dividend at the cum-dividend price (P</w:t>
      </w:r>
      <w:r w:rsidRPr="00BA5850">
        <w:rPr>
          <w:rStyle w:val="AERsubscript"/>
        </w:rPr>
        <w:t>cum-div</w:t>
      </w:r>
      <w:r w:rsidRPr="00BA5850">
        <w:t>). In this scenario the shareholder receives only the proceeds from the sale of the shares.</w:t>
      </w:r>
    </w:p>
    <w:p w:rsidR="00BA5850" w:rsidRPr="00BA5850" w:rsidRDefault="00BA5850" w:rsidP="00BA5850">
      <w:pPr>
        <w:pStyle w:val="AERbulletlistfirststyle"/>
      </w:pPr>
      <w:r w:rsidRPr="00883125">
        <w:t>Se</w:t>
      </w:r>
      <w:r w:rsidRPr="00BA5850">
        <w:t>lling their stock when the shareholder is entitled to receive the dividend at the ex-dividend price (P</w:t>
      </w:r>
      <w:r w:rsidRPr="00BA5850">
        <w:rPr>
          <w:rStyle w:val="AERsubscript"/>
        </w:rPr>
        <w:t>ex-div</w:t>
      </w:r>
      <w:r w:rsidRPr="00BA5850">
        <w:t>). In this scenario the shareholder receives both the dividend (D) and proceeds from the sale of the shares.</w:t>
      </w:r>
    </w:p>
    <w:p w:rsidR="00BA5850" w:rsidRPr="00883125" w:rsidRDefault="00BA5850" w:rsidP="00BA5850">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BA5850" w:rsidRPr="00883125" w:rsidRDefault="00BA5850" w:rsidP="00BA5850">
      <w:r>
        <w:t xml:space="preserve">Where income and capital gains are taxed at the same rate, </w:t>
      </w:r>
      <w:r w:rsidRPr="00883125">
        <w:t>the investor should be indifferent between receiving the cum-dividend price or the ex-dividend price plus the dividend. I.e.</w:t>
      </w:r>
    </w:p>
    <w:p w:rsidR="00BA5850" w:rsidRPr="00883125" w:rsidRDefault="00BA5850" w:rsidP="00BA5850"/>
    <w:p w:rsidR="00BA5850" w:rsidRDefault="00BA5850" w:rsidP="00BA5850">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BA5850" w:rsidRPr="00B27BE5" w:rsidRDefault="00BA5850" w:rsidP="00BA5850"/>
    <w:p w:rsidR="00BA5850" w:rsidRPr="00883125" w:rsidRDefault="00BA5850" w:rsidP="00BA5850">
      <w:r>
        <w:t xml:space="preserve">More generally, </w:t>
      </w:r>
      <w:r w:rsidRPr="00883125">
        <w:t xml:space="preserve">the results </w:t>
      </w:r>
      <w:r>
        <w:t xml:space="preserve">of market studies </w:t>
      </w:r>
      <w:r w:rsidRPr="00883125">
        <w:t xml:space="preserve">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BA5850" w:rsidRPr="00883125" w:rsidRDefault="00BA5850" w:rsidP="00BA5850">
      <w:r w:rsidRPr="00883125">
        <w:t>To demonstrate assume an investor faces the following investment scenario:</w:t>
      </w:r>
    </w:p>
    <w:p w:rsidR="00BA5850" w:rsidRPr="00B27BE5" w:rsidRDefault="00BA5850" w:rsidP="00BA5850">
      <w:pPr>
        <w:pStyle w:val="AERbulletlistthirdstyle"/>
      </w:pPr>
      <w:r w:rsidRPr="00883125">
        <w:t>(P</w:t>
      </w:r>
      <w:r w:rsidRPr="00B27BE5">
        <w:rPr>
          <w:rStyle w:val="AERsubscript"/>
        </w:rPr>
        <w:t>cost</w:t>
      </w:r>
      <w:r w:rsidRPr="00B27BE5">
        <w:t>) Purchased share in 2010 for $10</w:t>
      </w:r>
    </w:p>
    <w:p w:rsidR="00BA5850" w:rsidRPr="00B27BE5" w:rsidRDefault="00BA5850" w:rsidP="00BA5850">
      <w:pPr>
        <w:pStyle w:val="AERbulletlistthirdstyle"/>
      </w:pPr>
      <w:r w:rsidRPr="00883125">
        <w:t>(P</w:t>
      </w:r>
      <w:r w:rsidRPr="00B27BE5">
        <w:rPr>
          <w:rStyle w:val="AERsubscript"/>
        </w:rPr>
        <w:t>cum-div</w:t>
      </w:r>
      <w:r w:rsidRPr="00B27BE5">
        <w:t>) Current cum dividend price in 2016 is $20</w:t>
      </w:r>
    </w:p>
    <w:p w:rsidR="00BA5850" w:rsidRPr="00B27BE5" w:rsidRDefault="00BA5850" w:rsidP="00BA5850">
      <w:pPr>
        <w:pStyle w:val="AERbulletlistthirdstyle"/>
      </w:pPr>
      <w:r w:rsidRPr="00883125">
        <w:t xml:space="preserve">(D) </w:t>
      </w:r>
      <w:r w:rsidRPr="00B27BE5">
        <w:t>2016 dividend is $1 assume fully unfranked</w:t>
      </w:r>
    </w:p>
    <w:p w:rsidR="00BA5850" w:rsidRPr="00B27BE5" w:rsidRDefault="00BA5850" w:rsidP="00BA5850">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BA5850" w:rsidRPr="00B27BE5" w:rsidRDefault="00BA5850" w:rsidP="00BA5850">
      <w:pPr>
        <w:pStyle w:val="AERbulletlistthirdstyle"/>
      </w:pPr>
      <w:r w:rsidRPr="00883125">
        <w:t xml:space="preserve">(MTR) </w:t>
      </w:r>
      <w:r w:rsidRPr="00B27BE5">
        <w:t>Investors marginal tax rate = 47 %</w:t>
      </w:r>
    </w:p>
    <w:p w:rsidR="00BA5850" w:rsidRPr="00B27BE5" w:rsidRDefault="00BA5850" w:rsidP="00BA5850">
      <w:pPr>
        <w:pStyle w:val="AERbulletlistthirdstyle"/>
      </w:pPr>
      <w:r w:rsidRPr="00883125">
        <w:t>(CGT</w:t>
      </w:r>
      <w:r w:rsidRPr="00B27BE5">
        <w:rPr>
          <w:rStyle w:val="AERsubscript"/>
        </w:rPr>
        <w:t>discount</w:t>
      </w:r>
      <w:r w:rsidRPr="00B27BE5">
        <w:t>) capital gains discount (0.5 when shares held for more than 12 months, otherwise 1)</w:t>
      </w:r>
    </w:p>
    <w:p w:rsidR="00BA5850" w:rsidRPr="00B27BE5" w:rsidRDefault="00BA5850" w:rsidP="00BA5850">
      <w:pPr>
        <w:pStyle w:val="AERbulletlistthirdstyle"/>
      </w:pPr>
      <w:r w:rsidRPr="00883125">
        <w:t xml:space="preserve">For the time being it will </w:t>
      </w:r>
      <w:r w:rsidRPr="00B27BE5">
        <w:t>be assumed that there is one type of investor in the economy, however, this assumption will be relaxed.</w:t>
      </w:r>
    </w:p>
    <w:p w:rsidR="00BA5850" w:rsidRPr="00E1560E" w:rsidRDefault="00BA5850" w:rsidP="00BA5850">
      <w:pPr>
        <w:rPr>
          <w:rStyle w:val="AERbody"/>
        </w:rPr>
      </w:pPr>
      <w:r w:rsidRPr="00E1560E">
        <w:rPr>
          <w:rStyle w:val="AERbody"/>
        </w:rPr>
        <w:t>Under this scenario ex-dividend and cum-dividend returns are equal on a pre-personal tax basis:</w:t>
      </w:r>
    </w:p>
    <w:p w:rsidR="00BA5850" w:rsidRPr="00883125" w:rsidRDefault="00BA5850" w:rsidP="00BA5850">
      <w:pPr>
        <w:rPr>
          <w:rStyle w:val="AERbody"/>
        </w:rPr>
      </w:pPr>
    </w:p>
    <w:p w:rsidR="00BA5850" w:rsidRPr="00883125" w:rsidRDefault="00BA5850" w:rsidP="00BA5850">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BA5850" w:rsidRPr="00883125" w:rsidRDefault="00BA5850" w:rsidP="00BA5850">
      <w:pPr>
        <w:pStyle w:val="AERbodytextcentre"/>
      </w:pPr>
      <w:r w:rsidRPr="00883125">
        <w:t>20 = 19 +1</w:t>
      </w:r>
    </w:p>
    <w:p w:rsidR="00BA5850" w:rsidRPr="00B27BE5" w:rsidRDefault="00BA5850" w:rsidP="00BA5850">
      <w:pPr>
        <w:rPr>
          <w:rStyle w:val="AERbody"/>
        </w:rPr>
      </w:pPr>
    </w:p>
    <w:p w:rsidR="00BA5850" w:rsidRPr="00B27BE5" w:rsidRDefault="00BA5850" w:rsidP="00BA5850">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BA5850" w:rsidRPr="00B27BE5" w:rsidRDefault="00BA5850" w:rsidP="00BA5850">
      <w:pPr>
        <w:rPr>
          <w:rStyle w:val="AERbody"/>
        </w:rPr>
      </w:pPr>
    </w:p>
    <w:p w:rsidR="00BA5850" w:rsidRPr="00883125" w:rsidRDefault="00BA5850" w:rsidP="00BA5850">
      <w:pPr>
        <w:pStyle w:val="AERbodytextcentre"/>
      </w:pPr>
      <w:r w:rsidRPr="00883125">
        <w:t>Post Tax return = P</w:t>
      </w:r>
      <w:r w:rsidRPr="00883125">
        <w:rPr>
          <w:rStyle w:val="AERsubscript"/>
        </w:rPr>
        <w:t>cum-div</w:t>
      </w:r>
      <w:r w:rsidRPr="00883125">
        <w:t xml:space="preserve"> - Personal Tax (CGT)</w:t>
      </w:r>
    </w:p>
    <w:p w:rsidR="00BA5850" w:rsidRPr="00883125" w:rsidRDefault="00BA5850" w:rsidP="00BA5850">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BA5850" w:rsidRPr="00883125" w:rsidRDefault="00BA5850" w:rsidP="00BA5850">
      <w:pPr>
        <w:pStyle w:val="AERbodytextcentre"/>
      </w:pPr>
      <w:r w:rsidRPr="00883125">
        <w:t>Personal Tax Capital Gain = (20-10) * 0.5 * 0.47</w:t>
      </w:r>
    </w:p>
    <w:p w:rsidR="00BA5850" w:rsidRPr="00883125" w:rsidRDefault="00BA5850" w:rsidP="00BA5850">
      <w:pPr>
        <w:pStyle w:val="AERbodytextcentre"/>
      </w:pPr>
      <w:r w:rsidRPr="00883125">
        <w:t>Personal Tax Capital Gain = 2.35</w:t>
      </w:r>
    </w:p>
    <w:p w:rsidR="00BA5850" w:rsidRPr="00883125" w:rsidRDefault="00BA5850" w:rsidP="00BA5850">
      <w:pPr>
        <w:pStyle w:val="AERbodytextcentre"/>
      </w:pPr>
      <w:r w:rsidRPr="00883125">
        <w:t>Post Tax return = 20 - 2.35 = 17.65</w:t>
      </w:r>
    </w:p>
    <w:p w:rsidR="00BA5850" w:rsidRPr="00883125" w:rsidRDefault="00BA5850" w:rsidP="00BA5850"/>
    <w:p w:rsidR="00BA5850" w:rsidRPr="00883125" w:rsidRDefault="00BA5850" w:rsidP="00BA5850">
      <w:r w:rsidRPr="00883125">
        <w:t>The investors post personal tax return if they sell ex-dividend is:</w:t>
      </w:r>
    </w:p>
    <w:p w:rsidR="00BA5850" w:rsidRPr="00883125" w:rsidRDefault="00BA5850" w:rsidP="00BA5850"/>
    <w:p w:rsidR="00BA5850" w:rsidRPr="00883125" w:rsidRDefault="00BA5850" w:rsidP="00BA5850">
      <w:pPr>
        <w:pStyle w:val="AERbodytextcentre"/>
      </w:pPr>
      <w:r w:rsidRPr="00883125">
        <w:t>Post Tax return = P</w:t>
      </w:r>
      <w:r w:rsidRPr="00883125">
        <w:rPr>
          <w:rStyle w:val="AERsubscript"/>
        </w:rPr>
        <w:t>ex-div</w:t>
      </w:r>
      <w:r w:rsidRPr="00883125">
        <w:t xml:space="preserve"> + D - Personal Tax (CGT) - Personal Tax (Dividend)</w:t>
      </w:r>
    </w:p>
    <w:p w:rsidR="00BA5850" w:rsidRPr="00883125" w:rsidRDefault="00BA5850" w:rsidP="00BA5850">
      <w:pPr>
        <w:pStyle w:val="AERbodytextcentre"/>
      </w:pPr>
      <w:r w:rsidRPr="00883125">
        <w:t>Personal Tax (CGT) = (19-10) * 0.5 * 0.47 = 2.115</w:t>
      </w:r>
    </w:p>
    <w:p w:rsidR="00BA5850" w:rsidRPr="00883125" w:rsidRDefault="00BA5850" w:rsidP="00BA5850">
      <w:pPr>
        <w:pStyle w:val="AERbodytextcentre"/>
      </w:pPr>
      <w:r w:rsidRPr="00883125">
        <w:t>Personal Tax (Dividend) = 1 * 0.47 = 0.47</w:t>
      </w:r>
    </w:p>
    <w:p w:rsidR="00BA5850" w:rsidRPr="00883125" w:rsidRDefault="00BA5850" w:rsidP="00BA5850">
      <w:pPr>
        <w:pStyle w:val="AERbodytextcentre"/>
      </w:pPr>
      <w:r w:rsidRPr="00883125">
        <w:t>Total Tax = 2.115 + 0.47 = 2.585</w:t>
      </w:r>
    </w:p>
    <w:p w:rsidR="00BA5850" w:rsidRPr="00883125" w:rsidRDefault="00BA5850" w:rsidP="00BA5850">
      <w:pPr>
        <w:pStyle w:val="AERbodytextcentre"/>
      </w:pPr>
      <w:r w:rsidRPr="00883125">
        <w:t>Post Tax return = P</w:t>
      </w:r>
      <w:r w:rsidRPr="00883125">
        <w:rPr>
          <w:rStyle w:val="AERsubscript"/>
        </w:rPr>
        <w:t>ex-div</w:t>
      </w:r>
      <w:r w:rsidRPr="00883125">
        <w:t xml:space="preserve"> + D - Personal Tax (CGT) - Personal Tax (Dividend)</w:t>
      </w:r>
    </w:p>
    <w:p w:rsidR="00BA5850" w:rsidRPr="00883125" w:rsidRDefault="00BA5850" w:rsidP="00BA5850">
      <w:pPr>
        <w:pStyle w:val="AERbodytextcentre"/>
      </w:pPr>
      <w:r w:rsidRPr="00883125">
        <w:t>Post Tax return = 19 + 1 - 2.115 - 0.47 = 17.415</w:t>
      </w:r>
    </w:p>
    <w:p w:rsidR="00BA5850" w:rsidRPr="00883125" w:rsidRDefault="00BA5850" w:rsidP="00BA5850"/>
    <w:p w:rsidR="00BA5850" w:rsidRPr="00B27BE5" w:rsidRDefault="00BA5850" w:rsidP="00BA5850">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BA5850" w:rsidRPr="00B27BE5" w:rsidRDefault="00BA5850" w:rsidP="00BA5850">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BA5850" w:rsidRPr="00883125" w:rsidRDefault="00BA5850" w:rsidP="00BA5850"/>
    <w:p w:rsidR="00BA5850" w:rsidRPr="00883125" w:rsidRDefault="00BA5850" w:rsidP="00BA5850">
      <w:pPr>
        <w:pStyle w:val="AERbodytextcentre"/>
      </w:pPr>
      <w:r w:rsidRPr="00883125">
        <w:t>Post Tax return cum div = Post Tax return ex div</w:t>
      </w:r>
    </w:p>
    <w:p w:rsidR="00BA5850" w:rsidRPr="00883125" w:rsidRDefault="00BA5850" w:rsidP="00BA5850">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BA5850" w:rsidRPr="00883125" w:rsidRDefault="00BA5850" w:rsidP="00BA585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BA5850" w:rsidRPr="00883125" w:rsidRDefault="00BA5850" w:rsidP="00BA5850">
      <w:pPr>
        <w:pStyle w:val="AERbodytextcentre"/>
      </w:pPr>
      <w:r w:rsidRPr="00883125">
        <w:t>This is the equilibrium condition.</w:t>
      </w:r>
    </w:p>
    <w:p w:rsidR="00BA5850" w:rsidRPr="00883125" w:rsidRDefault="00BA5850" w:rsidP="00BA5850"/>
    <w:p w:rsidR="00BA5850" w:rsidRPr="00B27BE5" w:rsidRDefault="00BA5850" w:rsidP="00BA5850">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BA5850" w:rsidRPr="00883125" w:rsidRDefault="00BA5850" w:rsidP="00BA5850"/>
    <w:p w:rsidR="00BA5850" w:rsidRPr="00883125" w:rsidRDefault="00BA5850" w:rsidP="00BA585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A5850" w:rsidRPr="00883125" w:rsidRDefault="00BA5850" w:rsidP="00BA5850"/>
    <w:p w:rsidR="00BA5850" w:rsidRPr="00B27BE5" w:rsidRDefault="00BA5850" w:rsidP="00BA5850">
      <w:r w:rsidRPr="00883125">
        <w:t>S</w:t>
      </w:r>
      <w:r w:rsidRPr="00B27BE5">
        <w:t>ubstituting in all the parameters into the formula and solving for D we get the following:</w:t>
      </w:r>
    </w:p>
    <w:p w:rsidR="00BA5850" w:rsidRPr="00883125" w:rsidRDefault="00BA5850" w:rsidP="00BA5850"/>
    <w:p w:rsidR="00BA5850" w:rsidRPr="00883125" w:rsidRDefault="00BA5850" w:rsidP="00BA5850">
      <w:pPr>
        <w:pStyle w:val="AERbodytextcentre"/>
      </w:pPr>
      <w:r w:rsidRPr="00883125">
        <w:t>20 - (20 - 10)* 0.5*0.47 = 20 - x + 1 - (20 - x - 10) * 0.5 * 0.47 - 0.47</w:t>
      </w:r>
    </w:p>
    <w:p w:rsidR="00BA5850" w:rsidRPr="00883125" w:rsidRDefault="00BA5850" w:rsidP="00BA5850">
      <w:pPr>
        <w:pStyle w:val="AERbodytextcentre"/>
      </w:pPr>
      <w:r w:rsidRPr="00883125">
        <w:t xml:space="preserve">17.65 = 21 - x - (10 - x) * 0.235 - 0.47 </w:t>
      </w:r>
    </w:p>
    <w:p w:rsidR="00BA5850" w:rsidRPr="00883125" w:rsidRDefault="00BA5850" w:rsidP="00BA5850">
      <w:pPr>
        <w:pStyle w:val="AERbodytextcentre"/>
      </w:pPr>
      <w:r w:rsidRPr="00883125">
        <w:t>X = 0.6928</w:t>
      </w:r>
    </w:p>
    <w:p w:rsidR="00BA5850" w:rsidRPr="00883125" w:rsidRDefault="00BA5850" w:rsidP="00BA5850"/>
    <w:p w:rsidR="00BA5850" w:rsidRPr="00883125" w:rsidRDefault="00BA5850" w:rsidP="00BA5850">
      <w:r w:rsidRPr="00883125">
        <w:t>As a result, for arbitrage opportunities to not exist the dollar face value dividend must be worth 69 cents in the dividend drop off study. In such a situation the following market prices will persist in the market:</w:t>
      </w:r>
    </w:p>
    <w:p w:rsidR="00BA5850" w:rsidRPr="00883125" w:rsidRDefault="00BA5850" w:rsidP="00BA5850"/>
    <w:p w:rsidR="00BA5850" w:rsidRPr="00883125" w:rsidRDefault="00BA5850" w:rsidP="00BA5850">
      <w:pPr>
        <w:pStyle w:val="AERbulletlistthirdstyle"/>
      </w:pPr>
      <w:r w:rsidRPr="00883125">
        <w:lastRenderedPageBreak/>
        <w:t>P</w:t>
      </w:r>
      <w:r w:rsidRPr="00883125">
        <w:rPr>
          <w:rStyle w:val="AERsubscript"/>
        </w:rPr>
        <w:t>cum-div</w:t>
      </w:r>
      <w:r w:rsidRPr="00883125">
        <w:t>: $20</w:t>
      </w:r>
    </w:p>
    <w:p w:rsidR="00BA5850" w:rsidRPr="00883125" w:rsidRDefault="00BA5850" w:rsidP="00BA5850">
      <w:pPr>
        <w:pStyle w:val="AERbulletlistthirdstyle"/>
      </w:pPr>
      <w:r w:rsidRPr="00883125">
        <w:t>D: Face value = $1, as per dividend drop off $0.6928</w:t>
      </w:r>
    </w:p>
    <w:p w:rsidR="00BA5850" w:rsidRPr="00883125" w:rsidRDefault="00BA5850" w:rsidP="00BA5850">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BA5850" w:rsidRPr="00883125" w:rsidRDefault="00BA5850" w:rsidP="00BA5850"/>
    <w:p w:rsidR="00BA5850" w:rsidRPr="00883125" w:rsidRDefault="00BA5850" w:rsidP="00BA5850">
      <w:r w:rsidRPr="00883125">
        <w:t>With these arbitrage free market parameters the investors post personal tax return is as follows:</w:t>
      </w:r>
    </w:p>
    <w:p w:rsidR="00BA5850" w:rsidRPr="00883125" w:rsidRDefault="00BA5850" w:rsidP="00BA5850"/>
    <w:p w:rsidR="00BA5850" w:rsidRPr="00883125" w:rsidRDefault="00BA5850" w:rsidP="00BA5850">
      <w:pPr>
        <w:pStyle w:val="AERbodytextcentre"/>
      </w:pPr>
      <w:r w:rsidRPr="00883125">
        <w:t>Post Tax return cum div = P</w:t>
      </w:r>
      <w:r w:rsidRPr="00883125">
        <w:rPr>
          <w:rStyle w:val="AERsubscript"/>
        </w:rPr>
        <w:t>cum-div</w:t>
      </w:r>
      <w:r w:rsidRPr="00883125">
        <w:t xml:space="preserve"> - Personal Tax (CGT)</w:t>
      </w:r>
    </w:p>
    <w:p w:rsidR="00BA5850" w:rsidRPr="00883125" w:rsidRDefault="00BA5850" w:rsidP="00BA5850">
      <w:pPr>
        <w:pStyle w:val="AERbodytextcentre"/>
      </w:pPr>
      <w:r w:rsidRPr="00883125">
        <w:t>Post Tax return cum div = 20 - 0.5 * 0.47 * (20-10)</w:t>
      </w:r>
    </w:p>
    <w:p w:rsidR="00BA5850" w:rsidRPr="00AC2168" w:rsidRDefault="00BA5850" w:rsidP="00BA5850">
      <w:pPr>
        <w:pStyle w:val="AERbodytextcentre"/>
      </w:pPr>
      <w:r w:rsidRPr="00AC2168">
        <w:t>Post Tax return cum div = 20 - 2.35 = 17.65</w:t>
      </w:r>
    </w:p>
    <w:p w:rsidR="00BA5850" w:rsidRPr="00883125" w:rsidRDefault="00BA5850" w:rsidP="00BA5850"/>
    <w:p w:rsidR="00BA5850" w:rsidRPr="00883125" w:rsidRDefault="00BA5850" w:rsidP="00BA5850">
      <w:pPr>
        <w:pStyle w:val="AERbodytextcentre"/>
      </w:pPr>
      <w:r w:rsidRPr="00883125">
        <w:t>Post Tax return ex div = P</w:t>
      </w:r>
      <w:r w:rsidRPr="00883125">
        <w:rPr>
          <w:rStyle w:val="AERsubscript"/>
        </w:rPr>
        <w:t>ex-div</w:t>
      </w:r>
      <w:r w:rsidRPr="00883125">
        <w:t xml:space="preserve"> + D - Personal Tax (CGT) - Personal Tax (Dividend)</w:t>
      </w:r>
    </w:p>
    <w:p w:rsidR="00BA5850" w:rsidRPr="00883125" w:rsidRDefault="00BA5850" w:rsidP="00BA5850">
      <w:pPr>
        <w:pStyle w:val="AERbodytextcentre"/>
      </w:pPr>
      <w:r w:rsidRPr="00883125">
        <w:t>Post Tax return ex div = 19.3072 + 1 - ((19.3072 - 10)*0.47*0.5) - 1*0.47</w:t>
      </w:r>
    </w:p>
    <w:p w:rsidR="00BA5850" w:rsidRPr="00883125" w:rsidRDefault="00BA5850" w:rsidP="00BA5850">
      <w:pPr>
        <w:pStyle w:val="AERbodytextcentre"/>
      </w:pPr>
      <w:r w:rsidRPr="00883125">
        <w:t xml:space="preserve">Post Tax return ex div = </w:t>
      </w:r>
      <w:r w:rsidRPr="00AC2168">
        <w:t>17.65</w:t>
      </w:r>
    </w:p>
    <w:p w:rsidR="00BA5850" w:rsidRPr="00883125" w:rsidRDefault="00BA5850" w:rsidP="00BA5850">
      <w:pPr>
        <w:rPr>
          <w:rStyle w:val="AERbody"/>
        </w:rPr>
      </w:pPr>
    </w:p>
    <w:p w:rsidR="00BA5850" w:rsidRPr="00CB38D8" w:rsidRDefault="00BA5850" w:rsidP="00BA5850">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BA5850" w:rsidRPr="00CB38D8" w:rsidRDefault="00BA5850" w:rsidP="00BA5850">
      <w:pPr>
        <w:rPr>
          <w:rStyle w:val="AERbody"/>
        </w:rPr>
      </w:pPr>
      <w:r w:rsidRPr="00CB38D8">
        <w:rPr>
          <w:rStyle w:val="AERbody"/>
        </w:rPr>
        <w:t>As a result, the investor's pre-personal tax return is:</w:t>
      </w:r>
    </w:p>
    <w:p w:rsidR="00BA5850" w:rsidRPr="00B27BE5" w:rsidRDefault="00BA5850" w:rsidP="00BA5850">
      <w:pPr>
        <w:pStyle w:val="AERbulletlistthirdstyle"/>
        <w:rPr>
          <w:rStyle w:val="AERbody"/>
        </w:rPr>
      </w:pPr>
      <w:r w:rsidRPr="00883125">
        <w:rPr>
          <w:rStyle w:val="AERbody"/>
        </w:rPr>
        <w:t>$20 if they sold on the cum-dividend date</w:t>
      </w:r>
    </w:p>
    <w:p w:rsidR="00BA5850" w:rsidRPr="00B27BE5" w:rsidRDefault="00BA5850" w:rsidP="00BA5850">
      <w:pPr>
        <w:pStyle w:val="AERbulletlistthirdstyle"/>
        <w:rPr>
          <w:rStyle w:val="AERbody"/>
        </w:rPr>
      </w:pPr>
      <w:r w:rsidRPr="00883125">
        <w:rPr>
          <w:rStyle w:val="AERbody"/>
        </w:rPr>
        <w:t xml:space="preserve">$20.3072 </w:t>
      </w:r>
      <w:r w:rsidRPr="00B27BE5">
        <w:rPr>
          <w:rStyle w:val="AERbody"/>
        </w:rPr>
        <w:t>($19.3072 + $1) if they sold on the ex-dividend date</w:t>
      </w:r>
    </w:p>
    <w:p w:rsidR="00BA5850" w:rsidRPr="00883125" w:rsidRDefault="00BA5850" w:rsidP="00BA5850">
      <w:pPr>
        <w:rPr>
          <w:rStyle w:val="AERbody"/>
        </w:rPr>
      </w:pPr>
      <w:r w:rsidRPr="00883125">
        <w:rPr>
          <w:rStyle w:val="AERbody"/>
        </w:rPr>
        <w:t>The investor's post-personal tax return is:</w:t>
      </w:r>
    </w:p>
    <w:p w:rsidR="00BA5850" w:rsidRPr="00883125" w:rsidRDefault="00BA5850" w:rsidP="00BA5850">
      <w:pPr>
        <w:pStyle w:val="AERbulletlistthirdstyle"/>
        <w:rPr>
          <w:rStyle w:val="AERbody"/>
        </w:rPr>
      </w:pPr>
      <w:r w:rsidRPr="00883125">
        <w:rPr>
          <w:rStyle w:val="AERbody"/>
        </w:rPr>
        <w:t>$17.65 ($20 - $2.35) if they sold on the cum-dividend date</w:t>
      </w:r>
    </w:p>
    <w:p w:rsidR="00BA5850" w:rsidRPr="00883125" w:rsidRDefault="00BA5850" w:rsidP="00BA5850">
      <w:pPr>
        <w:pStyle w:val="AERbulletlistthirdstyle"/>
        <w:rPr>
          <w:rStyle w:val="AERbody"/>
        </w:rPr>
      </w:pPr>
      <w:r w:rsidRPr="00883125">
        <w:rPr>
          <w:rStyle w:val="AERbody"/>
        </w:rPr>
        <w:t>$17.65 ($20.3072 - $2.6572) if they sold on the ex-dividend date</w:t>
      </w:r>
    </w:p>
    <w:p w:rsidR="00BA5850" w:rsidRPr="00883125" w:rsidRDefault="00BA5850" w:rsidP="00BA5850">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BA5850" w:rsidRPr="00883125" w:rsidRDefault="00BA5850" w:rsidP="00BA5850">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BA5850" w:rsidRPr="00883125" w:rsidRDefault="00BA5850" w:rsidP="00BA5850">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BA5850" w:rsidRPr="00883125" w:rsidRDefault="00BA5850" w:rsidP="00BA5850">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BA5850" w:rsidRPr="00883125" w:rsidRDefault="00BA5850" w:rsidP="00BA5850">
      <w:pPr>
        <w:rPr>
          <w:rStyle w:val="AERbody"/>
        </w:rPr>
      </w:pPr>
    </w:p>
    <w:p w:rsidR="00BA5850" w:rsidRPr="00883125" w:rsidRDefault="00BA5850" w:rsidP="00BA5850">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A5850" w:rsidRPr="00883125" w:rsidRDefault="00BA5850" w:rsidP="00BA5850">
      <w:pPr>
        <w:pStyle w:val="AERbodytextcentre"/>
      </w:pPr>
      <w:r w:rsidRPr="00883125">
        <w:t>Solving for X the formula simplifies to:</w:t>
      </w:r>
    </w:p>
    <w:p w:rsidR="00BA5850" w:rsidRPr="00B27BE5" w:rsidRDefault="00BA5850" w:rsidP="00BA5850">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BA5850" w:rsidRPr="00883125" w:rsidRDefault="00BA5850" w:rsidP="00BA5850">
      <w:pPr>
        <w:pStyle w:val="AERbodytextcentre"/>
        <w:rPr>
          <w:rStyle w:val="AERbody"/>
        </w:rPr>
      </w:pPr>
    </w:p>
    <w:p w:rsidR="00BA5850" w:rsidRPr="00883125" w:rsidRDefault="00BA5850" w:rsidP="00BA5850">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08"/>
      </w:r>
    </w:p>
    <w:p w:rsidR="00BA5850" w:rsidRPr="00883125" w:rsidRDefault="00BA5850" w:rsidP="00BA5850">
      <w:pPr>
        <w:rPr>
          <w:rStyle w:val="AERbody"/>
        </w:rPr>
      </w:pPr>
    </w:p>
    <w:p w:rsidR="00BA5850" w:rsidRPr="00883125" w:rsidRDefault="00BA5C67" w:rsidP="00BA5850">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BA5850" w:rsidRPr="00883125" w:rsidRDefault="00BA5850" w:rsidP="00BA5850">
      <w:pPr>
        <w:rPr>
          <w:rStyle w:val="AERbody"/>
        </w:rPr>
      </w:pPr>
    </w:p>
    <w:p w:rsidR="00BA5850" w:rsidRPr="00883125" w:rsidRDefault="00BA5850" w:rsidP="00BA5850">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BA5850" w:rsidRDefault="00BA5850" w:rsidP="00BA5850">
      <w:r>
        <w:t>Further, Lally generalises the dividend relationship to the following:</w:t>
      </w:r>
      <w:r>
        <w:rPr>
          <w:rStyle w:val="FootnoteReference"/>
        </w:rPr>
        <w:footnoteReference w:id="609"/>
      </w:r>
    </w:p>
    <w:p w:rsidR="00BA5850" w:rsidRDefault="00BA5850" w:rsidP="00BA5850"/>
    <w:p w:rsidR="00BA5850" w:rsidRPr="00883125" w:rsidRDefault="00BA5850" w:rsidP="00BA5850">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BA5850" w:rsidRDefault="00BA5850" w:rsidP="00BA5850"/>
    <w:p w:rsidR="00BA5850" w:rsidRDefault="00BA5850" w:rsidP="00BA5850">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BA5850" w:rsidRPr="00883125" w:rsidRDefault="00BA5850" w:rsidP="00BA5850">
      <w:r w:rsidRPr="00883125">
        <w:t>Using different values for MTR (0%, 15%, 21%, 34.5%. 39% 47%) and CGT discount (50% if shares held for more than 12 months and 100% if shares held for less than 12 months)</w:t>
      </w:r>
      <w:r>
        <w:rPr>
          <w:rStyle w:val="FootnoteReference"/>
        </w:rPr>
        <w:footnoteReference w:id="61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BA5850" w:rsidRPr="00883125" w:rsidRDefault="00BA5850" w:rsidP="00BA5850">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BA5850" w:rsidRPr="00883125" w:rsidRDefault="00BA5850" w:rsidP="00BA5850">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BA5850" w:rsidRPr="00B27BE5" w:rsidRDefault="00BA5850" w:rsidP="00593A40">
      <w:pPr>
        <w:pStyle w:val="Caption"/>
      </w:pPr>
      <w:r w:rsidRPr="00883125">
        <w:lastRenderedPageBreak/>
        <w:t xml:space="preserve">Table </w:t>
      </w:r>
      <w:r w:rsidRPr="00BA5850">
        <w:fldChar w:fldCharType="begin"/>
      </w:r>
      <w:r>
        <w:instrText xml:space="preserve"> STYLEREF 1 \s </w:instrText>
      </w:r>
      <w:r w:rsidRPr="00BA5850">
        <w:fldChar w:fldCharType="separate"/>
      </w:r>
      <w:r w:rsidR="00746877">
        <w:rPr>
          <w:noProof/>
        </w:rPr>
        <w:t>4</w:t>
      </w:r>
      <w:r w:rsidRPr="00BA5850">
        <w:fldChar w:fldCharType="end"/>
      </w:r>
      <w:r w:rsidRPr="00B27BE5">
        <w:noBreakHyphen/>
      </w:r>
      <w:r w:rsidRPr="00BA5850">
        <w:fldChar w:fldCharType="begin"/>
      </w:r>
      <w:r>
        <w:instrText xml:space="preserve"> SEQ Table \* ARABIC \s 1 </w:instrText>
      </w:r>
      <w:r w:rsidRPr="00BA5850">
        <w:fldChar w:fldCharType="separate"/>
      </w:r>
      <w:r w:rsidR="00746877">
        <w:rPr>
          <w:noProof/>
        </w:rPr>
        <w:t>19</w:t>
      </w:r>
      <w:r w:rsidRPr="00BA5850">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BA5850" w:rsidRPr="00CF5360" w:rsidTr="00343639">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BA5850" w:rsidRPr="00F1222E" w:rsidRDefault="00BA5850" w:rsidP="0086094B">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CGT</w:t>
            </w:r>
          </w:p>
        </w:tc>
      </w:tr>
      <w:tr w:rsidR="00BA5850" w:rsidRPr="00CF5360" w:rsidTr="00343639">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A5850" w:rsidRPr="00F1222E" w:rsidRDefault="00BA5850" w:rsidP="0086094B">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BA5850" w:rsidRPr="005764F6" w:rsidRDefault="00BA5850" w:rsidP="0086094B">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BA5850" w:rsidRPr="005764F6" w:rsidRDefault="00BA5850" w:rsidP="0086094B">
            <w:pPr>
              <w:keepNext/>
            </w:pPr>
            <w:r w:rsidRPr="005764F6">
              <w:t>100%</w:t>
            </w:r>
          </w:p>
        </w:tc>
      </w:tr>
      <w:tr w:rsidR="00BA5850" w:rsidRPr="00CF5360" w:rsidTr="00343639">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BA5850" w:rsidRPr="005764F6" w:rsidRDefault="00BA5850" w:rsidP="0086094B">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r w:rsidR="00BA5850"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A5850" w:rsidRPr="00AC2168" w:rsidRDefault="00BA5850" w:rsidP="0086094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r w:rsidR="00BA5850"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A5850" w:rsidRPr="00AC2168" w:rsidRDefault="00BA5850" w:rsidP="0086094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r w:rsidR="00BA5850"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A5850" w:rsidRPr="00AC2168" w:rsidRDefault="00BA5850" w:rsidP="0086094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r w:rsidR="00BA5850"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A5850" w:rsidRPr="00AC2168" w:rsidRDefault="00BA5850" w:rsidP="0086094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r w:rsidR="00BA5850" w:rsidRPr="00CF5360" w:rsidTr="00343639">
        <w:trPr>
          <w:trHeight w:val="300"/>
        </w:trPr>
        <w:tc>
          <w:tcPr>
            <w:tcW w:w="486" w:type="dxa"/>
            <w:vMerge/>
            <w:tcBorders>
              <w:top w:val="nil"/>
              <w:left w:val="single" w:sz="4" w:space="0" w:color="auto"/>
              <w:bottom w:val="single" w:sz="4" w:space="0" w:color="auto"/>
              <w:right w:val="single" w:sz="4" w:space="0" w:color="auto"/>
            </w:tcBorders>
            <w:vAlign w:val="center"/>
            <w:hideMark/>
          </w:tcPr>
          <w:p w:rsidR="00BA5850" w:rsidRPr="00AC2168" w:rsidRDefault="00BA5850" w:rsidP="0086094B">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BA5850" w:rsidRPr="005764F6" w:rsidRDefault="00BA5850" w:rsidP="0086094B">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BA5850" w:rsidRPr="00F1222E" w:rsidRDefault="00BA5850" w:rsidP="0086094B">
            <w:pPr>
              <w:pStyle w:val="ListContinue2"/>
              <w:keepNext/>
            </w:pPr>
            <w:r w:rsidRPr="00F1222E">
              <w:t>1</w:t>
            </w:r>
          </w:p>
        </w:tc>
      </w:tr>
    </w:tbl>
    <w:p w:rsidR="00BA5850" w:rsidRPr="00883125" w:rsidRDefault="00BA5850" w:rsidP="00BA5850">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BA5850" w:rsidRPr="00883125" w:rsidRDefault="00BA5850" w:rsidP="00BA5850">
      <w:r w:rsidRPr="00883125">
        <w:t>As is evident above, different investors have a different dividend drop off ratio and this is determined by many factors such as:</w:t>
      </w:r>
    </w:p>
    <w:p w:rsidR="00BA5850" w:rsidRPr="00B27BE5" w:rsidRDefault="00BA5850" w:rsidP="00BA5850">
      <w:pPr>
        <w:pStyle w:val="AERbulletlistthirdstyle"/>
      </w:pPr>
      <w:r w:rsidRPr="00883125">
        <w:t xml:space="preserve">Investor </w:t>
      </w:r>
      <w:r w:rsidRPr="00B27BE5">
        <w:t>marginal income tax rate</w:t>
      </w:r>
    </w:p>
    <w:p w:rsidR="00BA5850" w:rsidRDefault="00BA5850" w:rsidP="00BA5850">
      <w:pPr>
        <w:pStyle w:val="AERbulletlistthirdstyle"/>
      </w:pPr>
      <w:r w:rsidRPr="00883125">
        <w:t>Whether the investor held the share for more than 12 months</w:t>
      </w:r>
    </w:p>
    <w:p w:rsidR="00BA5850" w:rsidRPr="00B27BE5" w:rsidRDefault="00BA5850" w:rsidP="00BA5850">
      <w:pPr>
        <w:pStyle w:val="AERbulletlistthirdstyle"/>
      </w:pPr>
      <w:r>
        <w:t>Whether the investor is super fund or not</w:t>
      </w:r>
    </w:p>
    <w:p w:rsidR="00BA5850" w:rsidRPr="00B27BE5" w:rsidRDefault="00BA5850" w:rsidP="00BA5850">
      <w:pPr>
        <w:pStyle w:val="AERbulletlistthirdstyle"/>
      </w:pPr>
      <w:r w:rsidRPr="00883125">
        <w:t xml:space="preserve">Whether the investor is foreign and how foreign income is taxed </w:t>
      </w:r>
      <w:r w:rsidRPr="00B27BE5">
        <w:t>at their home country</w:t>
      </w:r>
    </w:p>
    <w:p w:rsidR="00BA5850" w:rsidRPr="00883125" w:rsidRDefault="00BA5850" w:rsidP="00BA5850">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12"/>
      </w:r>
    </w:p>
    <w:p w:rsidR="00BA5850" w:rsidRPr="00883125" w:rsidRDefault="00BA5850" w:rsidP="00BA5850">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BA5850" w:rsidRPr="00B27BE5" w:rsidRDefault="00BA5850" w:rsidP="00BA5850">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BA5850" w:rsidRPr="00883125" w:rsidRDefault="00BA5850" w:rsidP="00BA5850">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BA5850" w:rsidRPr="00883125" w:rsidRDefault="00BA5850" w:rsidP="00BA5850">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BA5850" w:rsidRPr="00883125" w:rsidRDefault="00BA5850" w:rsidP="00BA5850">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BA5850" w:rsidRPr="00883125" w:rsidRDefault="00BA5850" w:rsidP="00BA5850">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BA5850" w:rsidRPr="00883125" w:rsidRDefault="00BA5850" w:rsidP="00BA5850">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746877">
        <w:t>A.8.2</w:t>
      </w:r>
      <w:r w:rsidRPr="00883125">
        <w:fldChar w:fldCharType="end"/>
      </w:r>
      <w:r w:rsidRPr="00883125">
        <w:t>.</w:t>
      </w:r>
    </w:p>
    <w:p w:rsidR="00BA5850" w:rsidRPr="00883125" w:rsidRDefault="00BA5850" w:rsidP="00BA5850">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BA5850" w:rsidRPr="00883125" w:rsidRDefault="00BA5850" w:rsidP="00BA5850">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BA5850" w:rsidRPr="00883125" w:rsidRDefault="00BA5850" w:rsidP="00BA5850">
      <w:r w:rsidRPr="00883125">
        <w:t>The analysis above is based around dividend drop off studies but is equally applicable to alternative market value studies.</w:t>
      </w:r>
    </w:p>
    <w:p w:rsidR="00BA5850" w:rsidRPr="00883125" w:rsidRDefault="00BA5850" w:rsidP="00BA5850">
      <w:pPr>
        <w:pStyle w:val="Heading9"/>
      </w:pPr>
      <w:bookmarkStart w:id="279" w:name="_Ref415065117"/>
      <w:r w:rsidRPr="00883125">
        <w:t>Adjustment of estimates from implied market value studies</w:t>
      </w:r>
      <w:bookmarkEnd w:id="279"/>
    </w:p>
    <w:p w:rsidR="00BA5850" w:rsidRDefault="00BA5850" w:rsidP="00BA5850">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t>However, the service providers do not propose this adjustment as they consider it to be unnecessary.</w:t>
      </w:r>
      <w:r w:rsidRPr="00311237">
        <w:rPr>
          <w:rStyle w:val="FootnoteReference"/>
        </w:rPr>
        <w:t xml:space="preserve"> </w:t>
      </w:r>
      <w:r w:rsidRPr="00883125">
        <w:rPr>
          <w:rStyle w:val="FootnoteReference"/>
        </w:rPr>
        <w:footnoteReference w:id="615"/>
      </w:r>
    </w:p>
    <w:p w:rsidR="00BA5850" w:rsidRPr="00883125" w:rsidRDefault="00BA5850" w:rsidP="00BA5850">
      <w:r>
        <w:lastRenderedPageBreak/>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746877">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16"/>
      </w:r>
    </w:p>
    <w:p w:rsidR="00BA5850" w:rsidRPr="00883125" w:rsidRDefault="00BA5850" w:rsidP="00BA5850">
      <w:pPr>
        <w:pStyle w:val="AERquote"/>
      </w:pPr>
      <w:r w:rsidRPr="00883125">
        <w:t>…costs that reasonable, efficient investors would incur in relation to imputation credits, which do not apply to dividends or capital gains.</w:t>
      </w:r>
    </w:p>
    <w:p w:rsidR="00BA5850" w:rsidRPr="00883125" w:rsidRDefault="00BA5850" w:rsidP="00BA5850">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BA5850" w:rsidRDefault="00BA5850" w:rsidP="00BA5850">
      <w:r w:rsidRPr="00883125">
        <w:t xml:space="preserve">As outlined above in section </w:t>
      </w:r>
      <w:r w:rsidRPr="00883125">
        <w:fldChar w:fldCharType="begin"/>
      </w:r>
      <w:r w:rsidRPr="00883125">
        <w:instrText xml:space="preserve"> REF _Ref435171205 \r \h </w:instrText>
      </w:r>
      <w:r w:rsidRPr="00883125">
        <w:fldChar w:fldCharType="separate"/>
      </w:r>
      <w:r w:rsidR="00746877">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BA5850" w:rsidRDefault="00BA5850" w:rsidP="00BA5850">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BA5850" w:rsidRPr="00883125" w:rsidRDefault="00BA5850" w:rsidP="00BA5850">
      <w:pPr>
        <w:pStyle w:val="Heading9"/>
      </w:pPr>
      <w:bookmarkStart w:id="280" w:name="_Ref414624721"/>
      <w:r w:rsidRPr="00883125">
        <w:t>Limitations of SFG's dividend drop off study</w:t>
      </w:r>
      <w:bookmarkEnd w:id="280"/>
    </w:p>
    <w:p w:rsidR="00BA5850" w:rsidRPr="00883125" w:rsidRDefault="00BA5850" w:rsidP="00BA5850">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20"/>
      </w:r>
      <w:r w:rsidRPr="00883125">
        <w:t xml:space="preserve"> The </w:t>
      </w:r>
      <w:r w:rsidRPr="00883125">
        <w:lastRenderedPageBreak/>
        <w:t xml:space="preserve">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21"/>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22"/>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BA5850" w:rsidRPr="00883125" w:rsidRDefault="00BA5850" w:rsidP="00BA5850">
      <w:pPr>
        <w:pStyle w:val="HeadingBoldBlue"/>
      </w:pPr>
      <w:r w:rsidRPr="00883125">
        <w:t>These studies can produce nonsensical estimates of the utilisation rate; that is, greater than one or less than zero.</w:t>
      </w:r>
    </w:p>
    <w:p w:rsidR="00BA5850" w:rsidRPr="00883125" w:rsidRDefault="00BA5850" w:rsidP="00BA5850">
      <w:r w:rsidRPr="00883125">
        <w:t>We accept that this limitation does not apply to SFG’s study. Its estimate of the utilisation rate is 0.35.</w:t>
      </w:r>
    </w:p>
    <w:p w:rsidR="00BA5850" w:rsidRPr="00883125" w:rsidRDefault="00BA5850" w:rsidP="00BA5850">
      <w:pPr>
        <w:pStyle w:val="HeadingBoldBlue"/>
      </w:pPr>
      <w:r w:rsidRPr="00883125">
        <w:t>The results of these studies can reflect factors, such as differential personal taxes and risk, which are not relevant to the utilisation rate.</w:t>
      </w:r>
    </w:p>
    <w:p w:rsidR="00BA5850" w:rsidRPr="00883125" w:rsidRDefault="00BA5850" w:rsidP="00BA5850">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BA5850" w:rsidRPr="00883125" w:rsidRDefault="00BA5850" w:rsidP="00BA5850">
      <w:pPr>
        <w:pStyle w:val="AERquote"/>
      </w:pPr>
      <w:r w:rsidRPr="00883125">
        <w:t xml:space="preserve">…even if the AER’s definition of theta were to be adopted, there is a relatively simple adjustment that can be made to estimates from market value studies to address this concern. As explained by Associate Professor Handley, this </w:t>
      </w:r>
      <w:r w:rsidRPr="00883125">
        <w:lastRenderedPageBreak/>
        <w:t>involves ‘grossing up’ the theta estimate from a market value study to reflect the effect of personal taxes and personal costs.</w:t>
      </w:r>
    </w:p>
    <w:p w:rsidR="00BA5850" w:rsidRPr="00883125" w:rsidRDefault="00BA5850" w:rsidP="00BA5850">
      <w:r w:rsidRPr="00883125">
        <w:t>Therefore, we conclude that this limitation does apply to SFG’s study.</w:t>
      </w:r>
    </w:p>
    <w:p w:rsidR="00BA5850" w:rsidRPr="00883125" w:rsidRDefault="00BA5850" w:rsidP="00BA5850">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46877">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BA5850" w:rsidRPr="00883125" w:rsidRDefault="00BA5850" w:rsidP="00BA5850">
      <w:pPr>
        <w:pStyle w:val="HeadingBoldBlue"/>
      </w:pPr>
      <w:r w:rsidRPr="00883125">
        <w:t>The results of these studies might not be reflective of the value of imputation credits to investors in the market as a whole.</w:t>
      </w:r>
    </w:p>
    <w:p w:rsidR="00BA5850" w:rsidRPr="00883125" w:rsidRDefault="00BA5850" w:rsidP="00BA5850">
      <w:r w:rsidRPr="00883125">
        <w:t>Gray’s response to this point (for SFG) was:</w:t>
      </w:r>
      <w:r w:rsidRPr="00883125">
        <w:rPr>
          <w:rStyle w:val="FootnoteReference"/>
        </w:rPr>
        <w:footnoteReference w:id="625"/>
      </w:r>
    </w:p>
    <w:p w:rsidR="00BA5850" w:rsidRPr="00883125" w:rsidRDefault="00BA5850" w:rsidP="00BA5850">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BA5850" w:rsidRPr="00883125" w:rsidRDefault="00BA5850" w:rsidP="00BA5850">
      <w:pPr>
        <w:pStyle w:val="AERquote"/>
      </w:pPr>
      <w:r w:rsidRPr="00883125">
        <w:t>I have previously addressed this issue at pp. 31-32 of SFG (2014 Gamma) and at ENA (2013), Section 7.9, pp.119-123.</w:t>
      </w:r>
    </w:p>
    <w:p w:rsidR="00BA5850" w:rsidRPr="00883125" w:rsidRDefault="00BA5850" w:rsidP="00BA5850">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BA5850" w:rsidRPr="00883125" w:rsidRDefault="00BA5850" w:rsidP="00BA5850">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BA5850" w:rsidRPr="00883125" w:rsidRDefault="00BA5850" w:rsidP="00BA5850">
      <w:pPr>
        <w:pStyle w:val="AERquote"/>
      </w:pPr>
      <w:r w:rsidRPr="00883125">
        <w:t>…</w:t>
      </w:r>
    </w:p>
    <w:p w:rsidR="00BA5850" w:rsidRPr="00883125" w:rsidRDefault="00BA5850" w:rsidP="00BA5850">
      <w:pPr>
        <w:pStyle w:val="AERquote"/>
      </w:pPr>
      <w:r w:rsidRPr="00883125">
        <w:t>I concur with all of these concerns, and I have additional concerns about these studies or their interpretation.</w:t>
      </w:r>
    </w:p>
    <w:p w:rsidR="00BA5850" w:rsidRPr="00883125" w:rsidRDefault="00BA5850" w:rsidP="00BA5850">
      <w:r w:rsidRPr="00883125">
        <w:t>Regarding the particular limitation at hand, Lally noted:</w:t>
      </w:r>
      <w:r w:rsidRPr="00883125">
        <w:rPr>
          <w:rStyle w:val="FootnoteReference"/>
        </w:rPr>
        <w:footnoteReference w:id="627"/>
      </w:r>
    </w:p>
    <w:p w:rsidR="00BA5850" w:rsidRPr="00883125" w:rsidRDefault="00BA5850" w:rsidP="00BA5850">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BA5850" w:rsidRPr="00883125" w:rsidRDefault="00BA5850" w:rsidP="00BA5850">
      <w:r w:rsidRPr="00883125">
        <w:t>And on the effect of trading around the ex-dividend date, Lally noted:</w:t>
      </w:r>
      <w:r w:rsidRPr="00883125">
        <w:rPr>
          <w:rStyle w:val="FootnoteReference"/>
        </w:rPr>
        <w:footnoteReference w:id="628"/>
      </w:r>
    </w:p>
    <w:p w:rsidR="00BA5850" w:rsidRPr="00883125" w:rsidRDefault="00BA5850" w:rsidP="00BA5850">
      <w:pPr>
        <w:pStyle w:val="AERquote"/>
      </w:pPr>
      <w:r w:rsidRPr="00883125">
        <w:lastRenderedPageBreak/>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BA5850" w:rsidRPr="00883125" w:rsidRDefault="00BA5850" w:rsidP="00BA5850">
      <w:r w:rsidRPr="00883125">
        <w:t>Thus, Lally appeared unconvinced by the ENA’s views and provided no indication that SFG’s study (or any implied market value study) should necessarily be deemed free of this limitation.</w:t>
      </w:r>
    </w:p>
    <w:p w:rsidR="00BA5850" w:rsidRPr="00883125" w:rsidRDefault="00BA5850" w:rsidP="00BA5850">
      <w:r w:rsidRPr="00883125">
        <w:t>Handley also appeared unconvinced by the views of Gray (for SFG) in his 2014 report on this limitation, noting in his September 2014 report:</w:t>
      </w:r>
      <w:r w:rsidRPr="00883125">
        <w:rPr>
          <w:rStyle w:val="FootnoteReference"/>
        </w:rPr>
        <w:footnoteReference w:id="629"/>
      </w:r>
    </w:p>
    <w:p w:rsidR="00BA5850" w:rsidRPr="00883125" w:rsidRDefault="00BA5850" w:rsidP="00BA5850">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A5850" w:rsidRPr="00883125" w:rsidRDefault="00BA5850" w:rsidP="00BA5850">
      <w:r w:rsidRPr="00883125">
        <w:t>Handley reiterated this view in his April 2015 report.</w:t>
      </w:r>
      <w:r w:rsidRPr="00883125">
        <w:rPr>
          <w:rStyle w:val="FootnoteReference"/>
        </w:rPr>
        <w:footnoteReference w:id="630"/>
      </w:r>
    </w:p>
    <w:p w:rsidR="00BA5850" w:rsidRPr="00883125" w:rsidRDefault="00BA5850" w:rsidP="00BA5850">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BA5850" w:rsidRPr="00883125" w:rsidRDefault="00BA5850" w:rsidP="00BA5850">
      <w:pPr>
        <w:pStyle w:val="AERquote"/>
      </w:pPr>
      <w:r w:rsidRPr="00883125">
        <w:t>The studies included by SFG consulting in their review of estimates for theta all appear to be of good quality and are undertaken in a manner which reflects the current best practice in the literature.</w:t>
      </w:r>
    </w:p>
    <w:p w:rsidR="00BA5850" w:rsidRPr="00883125" w:rsidRDefault="00BA5850" w:rsidP="00BA5850">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A5850" w:rsidRPr="00883125" w:rsidRDefault="00BA5850" w:rsidP="00BA5850">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A5850" w:rsidRPr="00883125" w:rsidRDefault="00BA5850" w:rsidP="00BA5850">
      <w:pPr>
        <w:pStyle w:val="AERquote"/>
      </w:pPr>
      <w:r w:rsidRPr="00883125">
        <w:lastRenderedPageBreak/>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A5850" w:rsidRPr="00883125" w:rsidRDefault="00BA5850" w:rsidP="00BA5850">
      <w:r w:rsidRPr="00883125">
        <w:t>We consider that there is sufficient evidence in the expert views quoted above to suggest that SFG's dividend drop off study is subject to this limitation.</w:t>
      </w:r>
    </w:p>
    <w:p w:rsidR="00BA5850" w:rsidRPr="00883125" w:rsidRDefault="00BA5850" w:rsidP="00BA5850">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746877">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the ex-dividend date</w:t>
      </w:r>
      <w:r>
        <w:t>,</w:t>
      </w:r>
      <w:r w:rsidRPr="00883125">
        <w:t xml:space="preserve"> marginal tax rate. However, the marginal investor dividend drop off ratio is not relevant for estimating gamma in the regulatory context for two reasons:</w:t>
      </w:r>
    </w:p>
    <w:p w:rsidR="00BA5850" w:rsidRPr="00BA5850" w:rsidRDefault="00BA5850" w:rsidP="00BA5850">
      <w:pPr>
        <w:pStyle w:val="AERbulletlistfirststyle"/>
      </w:pPr>
      <w:r w:rsidRPr="00883125">
        <w:t xml:space="preserve">The purpose of gamma </w:t>
      </w:r>
      <w:r w:rsidRPr="00BA5850">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BA5850" w:rsidRPr="00BA5850" w:rsidRDefault="00BA5850" w:rsidP="00BA5850">
      <w:pPr>
        <w:pStyle w:val="AERbulletlistfirststyle"/>
      </w:pPr>
      <w:r w:rsidRPr="00883125">
        <w:t>This dividend drop off ratio is neither a pre-personal nor a post-persona tax measure of dividends</w:t>
      </w:r>
      <w:r w:rsidRPr="00BA5850">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BA5850">
        <w:rPr>
          <w:rStyle w:val="AERtexthighlight"/>
        </w:rPr>
        <w:fldChar w:fldCharType="begin"/>
      </w:r>
      <w:r w:rsidRPr="00BA5850">
        <w:instrText xml:space="preserve"> REF _Ref435171205 \r \h </w:instrText>
      </w:r>
      <w:r w:rsidRPr="00BA5850">
        <w:rPr>
          <w:rStyle w:val="AERtexthighlight"/>
        </w:rPr>
      </w:r>
      <w:r w:rsidRPr="00BA5850">
        <w:rPr>
          <w:rStyle w:val="AERtexthighlight"/>
        </w:rPr>
        <w:fldChar w:fldCharType="separate"/>
      </w:r>
      <w:r w:rsidR="00746877">
        <w:t>A.15.3</w:t>
      </w:r>
      <w:r w:rsidRPr="00BA5850">
        <w:rPr>
          <w:rStyle w:val="AERtexthighlight"/>
        </w:rPr>
        <w:fldChar w:fldCharType="end"/>
      </w:r>
      <w:r w:rsidRPr="00BA5850">
        <w:t>.</w:t>
      </w:r>
    </w:p>
    <w:p w:rsidR="00BA5850" w:rsidRPr="00883125" w:rsidRDefault="00BA5850" w:rsidP="00BA5850">
      <w:pPr>
        <w:pStyle w:val="HeadingBoldBlue"/>
      </w:pPr>
      <w:r w:rsidRPr="00883125">
        <w:t>These studies can be data intensive and employ complex and sometimes problematic estimation methodologies.</w:t>
      </w:r>
    </w:p>
    <w:p w:rsidR="00BA5850" w:rsidRPr="00883125" w:rsidRDefault="00BA5850" w:rsidP="00BA5850">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BA5850" w:rsidRPr="00883125" w:rsidRDefault="00BA5850" w:rsidP="00BA5850">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746877">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w:t>
      </w:r>
      <w:r w:rsidRPr="00883125">
        <w:lastRenderedPageBreak/>
        <w:t>regard to the Tribunal's acceptance of the results from SFG's dividend drop off study in 2011.</w:t>
      </w:r>
    </w:p>
    <w:p w:rsidR="00BA5850" w:rsidRPr="00883125" w:rsidRDefault="00BA5850" w:rsidP="00BA5850">
      <w:r w:rsidRPr="00883125">
        <w:t>Therefore, we consider that there is evidence both for and against the idea that this limitation applies to SFG's dividend drop off study.</w:t>
      </w:r>
    </w:p>
    <w:p w:rsidR="00BA5850" w:rsidRPr="00883125" w:rsidRDefault="00BA5850" w:rsidP="00BA5850">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BA5850" w:rsidRDefault="00BA5850" w:rsidP="00BA5850">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81" w:name="_Ref402180002"/>
      <w:bookmarkStart w:id="282" w:name="_Ref414619467"/>
    </w:p>
    <w:p w:rsidR="00BA5850" w:rsidRPr="00B27BE5" w:rsidRDefault="00BA5850" w:rsidP="00BA5850">
      <w:pPr>
        <w:pStyle w:val="Heading9"/>
      </w:pPr>
      <w:r w:rsidRPr="00883125">
        <w:t>The views of academics and other regulators</w:t>
      </w:r>
      <w:bookmarkEnd w:id="281"/>
      <w:r w:rsidRPr="00883125">
        <w:t xml:space="preserve"> on dividend drop off studies</w:t>
      </w:r>
      <w:bookmarkEnd w:id="282"/>
    </w:p>
    <w:p w:rsidR="00BA5850" w:rsidRPr="00883125" w:rsidRDefault="00BA5850" w:rsidP="00BA5850">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the lesser reliance we place on SFG's dividend drop off study in estimating the utilisation rate. </w:t>
      </w:r>
    </w:p>
    <w:p w:rsidR="00BA5850" w:rsidRPr="00883125" w:rsidRDefault="00BA5850" w:rsidP="00BA5850">
      <w:pPr>
        <w:numPr>
          <w:ilvl w:val="0"/>
          <w:numId w:val="24"/>
        </w:numPr>
      </w:pPr>
      <w:r w:rsidRPr="00883125">
        <w:t>Some academics have identified a number of practical and methodological issues:</w:t>
      </w:r>
    </w:p>
    <w:p w:rsidR="00BA5850" w:rsidRPr="00BA5850" w:rsidRDefault="00BA5850" w:rsidP="00BA5850">
      <w:pPr>
        <w:pStyle w:val="AERbulletlistfirststyle"/>
      </w:pPr>
      <w:r w:rsidRPr="00883125">
        <w:t>Cannavan, Finn and Gray (2004):</w:t>
      </w:r>
      <w:r w:rsidRPr="00BA5850">
        <w:rPr>
          <w:rStyle w:val="FootnoteReference"/>
        </w:rPr>
        <w:footnoteReference w:id="635"/>
      </w:r>
    </w:p>
    <w:p w:rsidR="00BA5850" w:rsidRPr="00883125" w:rsidRDefault="00BA5850" w:rsidP="00BA5850">
      <w:pPr>
        <w:pStyle w:val="AERquote"/>
      </w:pPr>
      <w:r w:rsidRPr="00883125">
        <w:lastRenderedPageBreak/>
        <w:t>…it is unlikely that the traditional ex-dividend day drop-off methodology will be able to separately identify the value of cash dividends and imputation credits.</w:t>
      </w:r>
    </w:p>
    <w:p w:rsidR="00BA5850" w:rsidRPr="00BA5850" w:rsidRDefault="00BA5850" w:rsidP="00BA5850">
      <w:pPr>
        <w:pStyle w:val="AERbulletlistfirststyle"/>
      </w:pPr>
      <w:r w:rsidRPr="00883125">
        <w:t>Siau, Sault and Warren (2013):</w:t>
      </w:r>
      <w:r w:rsidRPr="00BA5850">
        <w:rPr>
          <w:rStyle w:val="FootnoteReference"/>
        </w:rPr>
        <w:footnoteReference w:id="636"/>
      </w:r>
    </w:p>
    <w:p w:rsidR="00BA5850" w:rsidRPr="00883125" w:rsidRDefault="00BA5850" w:rsidP="00BA5850">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BA5850" w:rsidRPr="00883125" w:rsidRDefault="00BA5850" w:rsidP="00BA5850">
      <w:pPr>
        <w:pStyle w:val="AERquote"/>
      </w:pPr>
      <w:r w:rsidRPr="00883125">
        <w:t>…</w:t>
      </w:r>
    </w:p>
    <w:p w:rsidR="00BA5850" w:rsidRPr="00883125" w:rsidRDefault="00BA5850" w:rsidP="00BA5850">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BA5850" w:rsidRPr="00883125" w:rsidRDefault="00BA5850" w:rsidP="00BA5850">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(2008) points out that the value attributed to imputation credits is conditional on the assumed value on cash dividends by design, to the extent that they are supplementary components within a single package. This notion is reinforced </w:t>
      </w:r>
      <w:r w:rsidRPr="00883125">
        <w:lastRenderedPageBreak/>
        <w:t>by evidence of offsetting variation in the value attributed to dividends and imputation credits across samples (see Bellamy and Gray, 2006; Gray, 2008).</w:t>
      </w:r>
    </w:p>
    <w:p w:rsidR="00BA5850" w:rsidRPr="00BA5850" w:rsidRDefault="00BA5850" w:rsidP="00BA5850">
      <w:pPr>
        <w:pStyle w:val="AERbulletlistfirststyle"/>
      </w:pPr>
      <w:r w:rsidRPr="00883125">
        <w:t>McKenzie and Partington (2013):</w:t>
      </w:r>
      <w:r w:rsidRPr="00BA5850">
        <w:rPr>
          <w:rStyle w:val="FootnoteReference"/>
        </w:rPr>
        <w:footnoteReference w:id="637"/>
      </w:r>
    </w:p>
    <w:p w:rsidR="00BA5850" w:rsidRPr="00883125" w:rsidRDefault="00BA5850" w:rsidP="00BA5850">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BA5850" w:rsidRPr="00883125" w:rsidRDefault="00BA5850" w:rsidP="00BA5850">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BA5850" w:rsidRPr="00883125" w:rsidRDefault="00BA5850" w:rsidP="00BA5850">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BA5850" w:rsidRPr="00883125" w:rsidRDefault="00BA5850" w:rsidP="00BA5850">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 and franking credit valuation that reflects the clientele of investors normally holding the </w:t>
      </w:r>
      <w:r w:rsidRPr="00883125">
        <w:lastRenderedPageBreak/>
        <w:t xml:space="preserve">stock. Finally, there are conceptual and econometric problems. For example, </w:t>
      </w:r>
      <w:r w:rsidR="0086094B"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BA5850" w:rsidRPr="00BA5850" w:rsidRDefault="00BA5850" w:rsidP="00BA5850">
      <w:pPr>
        <w:pStyle w:val="AERbulletlistfirststyle"/>
      </w:pPr>
      <w:r w:rsidRPr="00883125">
        <w:t>Lally (2013):</w:t>
      </w:r>
      <w:r w:rsidRPr="00BA5850">
        <w:rPr>
          <w:rStyle w:val="FootnoteReference"/>
        </w:rPr>
        <w:footnoteReference w:id="638"/>
      </w:r>
    </w:p>
    <w:p w:rsidR="00BA5850" w:rsidRPr="00883125" w:rsidRDefault="00BA5850" w:rsidP="00BA5850">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BA5850" w:rsidRPr="00883125" w:rsidRDefault="00BA5850" w:rsidP="00BA5850">
      <w:pPr>
        <w:pStyle w:val="AERquote"/>
      </w:pPr>
      <w:r w:rsidRPr="00883125">
        <w:t>I concur with all of these concerns, and I have additional concerns about these studies or their interpretation.</w:t>
      </w:r>
    </w:p>
    <w:p w:rsidR="00BA5850" w:rsidRPr="00883125" w:rsidRDefault="00BA5850" w:rsidP="00BA5850">
      <w:r w:rsidRPr="00883125">
        <w:t>Other academics have focussed on the specific issue of whether dividend drop off studies produce results that are reflective of investors in the market as a whole:</w:t>
      </w:r>
    </w:p>
    <w:p w:rsidR="00BA5850" w:rsidRPr="00BA5850" w:rsidRDefault="00BA5850" w:rsidP="00BA5850">
      <w:pPr>
        <w:pStyle w:val="AERbulletlistfirststyle"/>
      </w:pPr>
      <w:r w:rsidRPr="00883125">
        <w:t>Handley (2014):</w:t>
      </w:r>
      <w:r w:rsidRPr="00BA5850">
        <w:rPr>
          <w:rStyle w:val="FootnoteReference"/>
        </w:rPr>
        <w:footnoteReference w:id="639"/>
      </w:r>
    </w:p>
    <w:p w:rsidR="00BA5850" w:rsidRPr="00883125" w:rsidRDefault="00BA5850" w:rsidP="00BA5850">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A5850" w:rsidRPr="00BA5850" w:rsidRDefault="00BA5850" w:rsidP="00BA5850">
      <w:pPr>
        <w:pStyle w:val="AERbulletlistfirststyle"/>
      </w:pPr>
      <w:r w:rsidRPr="00883125">
        <w:t>South Australian Centre for Economic Studies (2015):</w:t>
      </w:r>
      <w:r w:rsidRPr="00BA5850">
        <w:rPr>
          <w:rStyle w:val="FootnoteReference"/>
        </w:rPr>
        <w:footnoteReference w:id="640"/>
      </w:r>
    </w:p>
    <w:p w:rsidR="00BA5850" w:rsidRPr="00883125" w:rsidRDefault="00BA5850" w:rsidP="00BA5850">
      <w:pPr>
        <w:pStyle w:val="AERquote"/>
      </w:pPr>
      <w:r w:rsidRPr="00883125">
        <w:lastRenderedPageBreak/>
        <w:t>In order for a dividend drop-off study to provide useful evidence of the value of franking credits to a representative owner of equity three conditions need to be met:</w:t>
      </w:r>
    </w:p>
    <w:p w:rsidR="00BA5850" w:rsidRPr="00883125" w:rsidRDefault="00BA5850" w:rsidP="00BA5850">
      <w:pPr>
        <w:pStyle w:val="AERquotebullet1"/>
      </w:pPr>
      <w:r w:rsidRPr="00883125">
        <w:t>the studies being drawn on need to be of high quality;</w:t>
      </w:r>
    </w:p>
    <w:p w:rsidR="00BA5850" w:rsidRPr="00883125" w:rsidRDefault="00BA5850" w:rsidP="00BA5850">
      <w:pPr>
        <w:pStyle w:val="AERquotebullet1"/>
      </w:pPr>
      <w:r w:rsidRPr="00883125">
        <w:t>the equity holders who buy shares in the period after dividends are issued need to be representative of the whole class of equity holders; and</w:t>
      </w:r>
    </w:p>
    <w:p w:rsidR="00BA5850" w:rsidRPr="00883125" w:rsidRDefault="00BA5850" w:rsidP="00BA5850">
      <w:pPr>
        <w:pStyle w:val="AERquotebullet1"/>
      </w:pPr>
      <w:r w:rsidRPr="00883125">
        <w:t>the equity for which data is drawn on for the dividend drop off study needs to be representative of the overall stock of equity in the Australian economy</w:t>
      </w:r>
    </w:p>
    <w:p w:rsidR="00BA5850" w:rsidRPr="00883125" w:rsidRDefault="00BA5850" w:rsidP="00BA5850">
      <w:pPr>
        <w:pStyle w:val="AERquote"/>
      </w:pPr>
      <w:r w:rsidRPr="00883125">
        <w:t>We would contend that only the first of these three conditions is definitely met.</w:t>
      </w:r>
    </w:p>
    <w:p w:rsidR="00BA5850" w:rsidRPr="00883125" w:rsidRDefault="00BA5850" w:rsidP="00BA5850">
      <w:pPr>
        <w:pStyle w:val="AERquote"/>
      </w:pPr>
      <w:r w:rsidRPr="00883125">
        <w:t>The studies included by SFG consulting in their review of estimates for theta all appear to be of good quality and are undertaken in a manner which reflects the current best practice in the literature.</w:t>
      </w:r>
    </w:p>
    <w:p w:rsidR="00BA5850" w:rsidRPr="00883125" w:rsidRDefault="00BA5850" w:rsidP="00BA5850">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A5850" w:rsidRPr="00883125" w:rsidRDefault="00BA5850" w:rsidP="00BA5850">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A5850" w:rsidRPr="00883125" w:rsidRDefault="00BA5850" w:rsidP="00BA5850">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A5850" w:rsidRPr="00883125" w:rsidRDefault="00BA5850" w:rsidP="00BA5850">
      <w:r w:rsidRPr="00883125">
        <w:t>The limitations identified have been recognised by other regulators and reflected in their respective approaches to determining the utilisation rate:</w:t>
      </w:r>
    </w:p>
    <w:p w:rsidR="00BA5850" w:rsidRPr="00BA5850" w:rsidRDefault="00BA5850" w:rsidP="00BA5850">
      <w:pPr>
        <w:pStyle w:val="AERbulletlistfirststyle"/>
      </w:pPr>
      <w:r w:rsidRPr="00883125">
        <w:t>QCA (2014):</w:t>
      </w:r>
      <w:r w:rsidRPr="00BA5850">
        <w:rPr>
          <w:rStyle w:val="FootnoteReference"/>
        </w:rPr>
        <w:footnoteReference w:id="641"/>
      </w:r>
    </w:p>
    <w:p w:rsidR="00BA5850" w:rsidRPr="00883125" w:rsidRDefault="00BA5850" w:rsidP="00BA5850">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BA5850" w:rsidRPr="00BA5850" w:rsidRDefault="00BA5850" w:rsidP="00BA5850">
      <w:pPr>
        <w:pStyle w:val="AERbulletlistfirststyle"/>
      </w:pPr>
      <w:r w:rsidRPr="00883125">
        <w:lastRenderedPageBreak/>
        <w:t>The ERA, which until the publication of a revised draft Guideline in November 2014 preferred the use of dividend drop off studies, stated:</w:t>
      </w:r>
      <w:r w:rsidRPr="00BA5850">
        <w:rPr>
          <w:rStyle w:val="FootnoteReference"/>
        </w:rPr>
        <w:footnoteReference w:id="642"/>
      </w:r>
    </w:p>
    <w:p w:rsidR="00BA5850" w:rsidRPr="00883125" w:rsidRDefault="00BA5850" w:rsidP="00BA5850">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BA5850" w:rsidRPr="00373BE8" w:rsidRDefault="00BA5850" w:rsidP="00BA5850">
      <w:pPr>
        <w:pStyle w:val="Heading8"/>
      </w:pPr>
      <w:bookmarkStart w:id="283" w:name="_Ref403481482"/>
      <w:bookmarkStart w:id="284" w:name="_Toc433449226"/>
      <w:bookmarkStart w:id="285" w:name="_Toc451936187"/>
      <w:r w:rsidRPr="00373BE8">
        <w:t>Revised consideration of the conceptual goalposts approach</w:t>
      </w:r>
      <w:bookmarkEnd w:id="283"/>
      <w:bookmarkEnd w:id="284"/>
      <w:bookmarkEnd w:id="285"/>
    </w:p>
    <w:p w:rsidR="00BA5850" w:rsidRPr="00373BE8" w:rsidRDefault="00BA5850" w:rsidP="00BA5850">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BA5850" w:rsidRPr="00373BE8" w:rsidRDefault="00BA5850" w:rsidP="00BA5850">
      <w:pPr>
        <w:pStyle w:val="Heading9"/>
      </w:pPr>
      <w:r w:rsidRPr="00373BE8">
        <w:t>Description of the approach</w:t>
      </w:r>
    </w:p>
    <w:p w:rsidR="00BA5850" w:rsidRPr="00373BE8" w:rsidRDefault="00BA5850" w:rsidP="00BA5850">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645"/>
      </w:r>
    </w:p>
    <w:p w:rsidR="00BA5850" w:rsidRPr="00373BE8" w:rsidRDefault="00BA5850" w:rsidP="00BA5850">
      <w:pPr>
        <w:numPr>
          <w:ilvl w:val="0"/>
          <w:numId w:val="24"/>
        </w:numPr>
      </w:pPr>
      <w:r w:rsidRPr="00373BE8">
        <w:lastRenderedPageBreak/>
        <w:t>Lally considered it paramount to estimate the utilisation rate consistently with the underlying theoretical framework:</w:t>
      </w:r>
      <w:r w:rsidRPr="00373BE8">
        <w:rPr>
          <w:rStyle w:val="FootnoteReference"/>
        </w:rPr>
        <w:footnoteReference w:id="646"/>
      </w:r>
    </w:p>
    <w:p w:rsidR="00BA5850" w:rsidRPr="00373BE8" w:rsidRDefault="00BA5850" w:rsidP="00BA5850">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BA5850" w:rsidRPr="00373BE8" w:rsidRDefault="00BA5850" w:rsidP="00BA5850">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BA5850" w:rsidRPr="00373BE8" w:rsidRDefault="00BA5850" w:rsidP="00BA5850">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BA5850" w:rsidRPr="00373BE8" w:rsidRDefault="00BA5850" w:rsidP="00BA5850">
      <w:pPr>
        <w:pStyle w:val="AERquote"/>
      </w:pPr>
      <w:r w:rsidRPr="00373BE8">
        <w:t>…</w:t>
      </w:r>
    </w:p>
    <w:p w:rsidR="00BA5850" w:rsidRPr="00373BE8" w:rsidRDefault="00BA5850" w:rsidP="00BA5850">
      <w:pPr>
        <w:pStyle w:val="AERquote"/>
      </w:pPr>
      <w:r w:rsidRPr="00373BE8">
        <w:t>Using the three criteria described above, my preferred estimate is 1 from the first approach…</w:t>
      </w:r>
    </w:p>
    <w:p w:rsidR="00BA5850" w:rsidRPr="00373BE8" w:rsidRDefault="00BA5850" w:rsidP="00BA5850">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BA5850" w:rsidRPr="00373BE8" w:rsidRDefault="00BA5850" w:rsidP="00BA5850">
      <w:pPr>
        <w:numPr>
          <w:ilvl w:val="0"/>
          <w:numId w:val="24"/>
        </w:numPr>
      </w:pPr>
      <w:r w:rsidRPr="00373BE8">
        <w:t>Both in the Guideline and in this final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48"/>
      </w:r>
    </w:p>
    <w:p w:rsidR="00BA5850" w:rsidRPr="00373BE8" w:rsidRDefault="00BA5850" w:rsidP="00BA5850">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BA5850" w:rsidRPr="00373BE8" w:rsidRDefault="00BA5850" w:rsidP="00BA5850">
      <w:pPr>
        <w:numPr>
          <w:ilvl w:val="0"/>
          <w:numId w:val="24"/>
        </w:numPr>
      </w:pPr>
      <w:r w:rsidRPr="00373BE8">
        <w:t xml:space="preserve">Lally considered the overarching concern is whether the inconsistency between input parameters and model definitions might produce an unreasonable outcome. That is, </w:t>
      </w:r>
      <w:r w:rsidRPr="00373BE8">
        <w:lastRenderedPageBreak/>
        <w:t>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BA5850" w:rsidRPr="00373BE8" w:rsidRDefault="00BA5850" w:rsidP="00BA5850">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BA5850" w:rsidRPr="00373BE8" w:rsidRDefault="00BA5850" w:rsidP="00BA5850">
      <w:pPr>
        <w:pStyle w:val="AERquote"/>
      </w:pPr>
      <w:r w:rsidRPr="00373BE8">
        <w:t>To do so it is necessary to consider the implications for the cost of equity of complete integration and complete segmentation of national markets for risky assets.</w:t>
      </w:r>
    </w:p>
    <w:p w:rsidR="00BA5850" w:rsidRPr="00373BE8" w:rsidRDefault="00BA5850" w:rsidP="00BA5850">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BA5850" w:rsidRPr="00373BE8" w:rsidRDefault="00BA5850" w:rsidP="00BA5850">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BA5850" w:rsidRPr="00373BE8" w:rsidRDefault="00BA5850" w:rsidP="00BA5850">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BA5850" w:rsidRPr="00373BE8" w:rsidRDefault="00BA5850" w:rsidP="00BA5850">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BA5850" w:rsidRPr="00373BE8" w:rsidRDefault="00BA5850" w:rsidP="00BA5850">
      <w:pPr>
        <w:numPr>
          <w:ilvl w:val="0"/>
          <w:numId w:val="24"/>
        </w:numPr>
      </w:pPr>
      <w:r w:rsidRPr="00373BE8">
        <w:lastRenderedPageBreak/>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BA5850" w:rsidRPr="00373BE8" w:rsidRDefault="00BA5850" w:rsidP="00BA5850">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BA5850" w:rsidRPr="00373BE8" w:rsidRDefault="00BA5850" w:rsidP="00BA5850">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BA5850" w:rsidRPr="00373BE8" w:rsidRDefault="00BA5850" w:rsidP="00BA5850">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BA5850" w:rsidRPr="00373BE8" w:rsidRDefault="00BA5850" w:rsidP="00BA5850">
      <w:pPr>
        <w:pStyle w:val="Heading9"/>
      </w:pPr>
      <w:r w:rsidRPr="00373BE8">
        <w:t>Advice received since the Guideline</w:t>
      </w:r>
    </w:p>
    <w:p w:rsidR="00BA5850" w:rsidRPr="00373BE8" w:rsidRDefault="00BA5850" w:rsidP="00BA5850">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BA5850" w:rsidRPr="00373BE8" w:rsidRDefault="00BA5850" w:rsidP="00BA5850">
      <w:pPr>
        <w:pStyle w:val="AERquote"/>
      </w:pPr>
      <w:r w:rsidRPr="00373BE8">
        <w:lastRenderedPageBreak/>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BA5850" w:rsidRPr="00373BE8" w:rsidRDefault="00BA5850" w:rsidP="00BA5850">
      <w:pPr>
        <w:numPr>
          <w:ilvl w:val="0"/>
          <w:numId w:val="24"/>
        </w:numPr>
      </w:pPr>
      <w:r w:rsidRPr="00373BE8">
        <w:t>Handley expanded on his first point elsewhere in his advice:</w:t>
      </w:r>
      <w:r w:rsidRPr="00373BE8">
        <w:rPr>
          <w:rStyle w:val="FootnoteReference"/>
        </w:rPr>
        <w:footnoteReference w:id="653"/>
      </w:r>
    </w:p>
    <w:p w:rsidR="00BA5850" w:rsidRPr="00373BE8" w:rsidRDefault="00BA5850" w:rsidP="00BA5850">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BA5850" w:rsidRPr="00373BE8" w:rsidRDefault="00BA5850" w:rsidP="00BA5850">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BA5850" w:rsidRPr="00373BE8" w:rsidRDefault="00BA5850" w:rsidP="00BA5850">
      <w:r w:rsidRPr="00373BE8">
        <w:t>Gray (for SFG) also raised concerns with the approach, and a number of these have been responded to by Lally.</w:t>
      </w:r>
      <w:r w:rsidRPr="00373BE8">
        <w:rPr>
          <w:rStyle w:val="FootnoteReference"/>
        </w:rPr>
        <w:footnoteReference w:id="655"/>
      </w:r>
    </w:p>
    <w:p w:rsidR="00132D43" w:rsidRPr="00593A40" w:rsidRDefault="00132D43" w:rsidP="0086094B"/>
    <w:sectPr w:rsidR="00132D43" w:rsidRPr="00593A40" w:rsidSect="00CF42AA">
      <w:headerReference w:type="default" r:id="rId24"/>
      <w:footerReference w:type="even" r:id="rId25"/>
      <w:footerReference w:type="first" r:id="rId2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BA5C67">
          <w:rPr>
            <w:noProof/>
          </w:rPr>
          <w:t>4-0</w:t>
        </w:r>
        <w:r>
          <w:rPr>
            <w:noProof/>
          </w:rPr>
          <w:fldChar w:fldCharType="end"/>
        </w:r>
        <w:r w:rsidR="004B6269">
          <w:rPr>
            <w:noProof/>
          </w:rPr>
          <w:t xml:space="preserve">  </w:t>
        </w:r>
        <w:r w:rsidR="008F78AD" w:rsidRPr="008F78AD">
          <w:t>Attachment 4 – Value of imputation credits</w:t>
        </w:r>
        <w:r w:rsidR="00D9309B">
          <w:t xml:space="preserve"> </w:t>
        </w:r>
        <w:r w:rsidR="0079769A" w:rsidRPr="004523B2">
          <w:t xml:space="preserve">| </w:t>
        </w:r>
        <w:r w:rsidR="003E02A7">
          <w:t>Jemena</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BA5850" w:rsidRPr="00824CC8" w:rsidRDefault="00BA5850" w:rsidP="00ED4FB6">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850" w:rsidRPr="00C97C1E" w:rsidRDefault="00BA5850" w:rsidP="00C97C1E">
    <w:pPr>
      <w:pStyle w:val="Footer"/>
    </w:pPr>
    <w:r w:rsidRPr="00C97C1E">
      <w:fldChar w:fldCharType="begin"/>
    </w:r>
    <w:r w:rsidRPr="00C97C1E">
      <w:instrText xml:space="preserve"> PAGE   \* MERGEFORMAT </w:instrText>
    </w:r>
    <w:r w:rsidRPr="00C97C1E">
      <w:fldChar w:fldCharType="separate"/>
    </w:r>
    <w:r w:rsidR="00BA5C67">
      <w:rPr>
        <w:noProof/>
      </w:rPr>
      <w:t>4-158</w:t>
    </w:r>
    <w:r w:rsidRPr="00C97C1E">
      <w:fldChar w:fldCharType="end"/>
    </w:r>
    <w:r w:rsidR="00463A74" w:rsidRPr="00463A74">
      <w:t xml:space="preserve">  </w:t>
    </w:r>
    <w:r w:rsidR="00463A74" w:rsidRPr="008F78AD">
      <w:t>Attachment 4 – Value of imputation credits</w:t>
    </w:r>
    <w:r w:rsidR="00463A74">
      <w:t xml:space="preserve"> </w:t>
    </w:r>
    <w:r w:rsidR="00463A74" w:rsidRPr="004523B2">
      <w:t xml:space="preserve">| </w:t>
    </w:r>
    <w:r w:rsidR="00463A74">
      <w:t>Jemena distribution determination final decision</w:t>
    </w:r>
    <w:r w:rsidR="00463A74" w:rsidRPr="004523B2">
      <w:t xml:space="preserve"> 201</w:t>
    </w:r>
    <w:r w:rsidR="00463A74">
      <w:t>6</w:t>
    </w:r>
    <w:r w:rsidR="00463A74" w:rsidRPr="004523B2">
      <w:t>–</w:t>
    </w:r>
    <w:r w:rsidR="00463A74">
      <w:t>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BA5850" w:rsidRDefault="00BA5850" w:rsidP="00BA5850">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BA5850" w:rsidRDefault="00BA5850" w:rsidP="00BA5850">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BA5850" w:rsidRDefault="00BA5850" w:rsidP="00BA5850">
      <w:pPr>
        <w:pStyle w:val="FootnoteText"/>
      </w:pPr>
      <w:r>
        <w:rPr>
          <w:rStyle w:val="FootnoteReference"/>
        </w:rPr>
        <w:footnoteRef/>
      </w:r>
      <w:r>
        <w:t xml:space="preserve"> </w:t>
      </w:r>
      <w:r>
        <w:tab/>
        <w:t>NER, cll. 6.4.3(a)(4), 6.4.3(b)(4), 6.5.3, 6A.5.4(a)(4), 6A.5.4(b)(4), 6A.6.4; NGR, rr. 76(c), 87A.</w:t>
      </w:r>
    </w:p>
  </w:footnote>
  <w:footnote w:id="4">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BA5850" w:rsidRDefault="00BA5850" w:rsidP="00BA5850">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BA5850" w:rsidRDefault="00BA5850" w:rsidP="00BA5850">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BA5850" w:rsidRDefault="00BA5850" w:rsidP="00BA5850">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BA5850" w:rsidRDefault="00BA5850" w:rsidP="00BA5850">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BA5850" w:rsidRDefault="00BA5850" w:rsidP="00BA5850">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BA5850" w:rsidRDefault="00BA5850" w:rsidP="00BA5850">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BA5850" w:rsidRDefault="00BA5850" w:rsidP="00BA5850">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BA5850" w:rsidRPr="009516BF" w:rsidRDefault="00BA5850" w:rsidP="00BA5850">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BA5850" w:rsidRDefault="00BA5850" w:rsidP="00BA5850">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BA5850" w:rsidRDefault="00BA5850" w:rsidP="00BA5850">
      <w:pPr>
        <w:pStyle w:val="FootnoteText"/>
      </w:pPr>
      <w:r>
        <w:rPr>
          <w:rStyle w:val="FootnoteReference"/>
        </w:rPr>
        <w:footnoteRef/>
      </w:r>
      <w:r>
        <w:t xml:space="preserve"> </w:t>
      </w:r>
      <w:r>
        <w:tab/>
      </w:r>
      <w:r w:rsidRPr="009A6FC1">
        <w:t>Lally, Gamma and the ACT Decision, May 2016.</w:t>
      </w:r>
    </w:p>
  </w:footnote>
  <w:footnote w:id="15">
    <w:p w:rsidR="00BA5850" w:rsidRDefault="00BA5850" w:rsidP="00BA5850">
      <w:pPr>
        <w:pStyle w:val="FootnoteText"/>
      </w:pPr>
      <w:r>
        <w:rPr>
          <w:rStyle w:val="FootnoteReference"/>
        </w:rPr>
        <w:footnoteRef/>
      </w:r>
      <w:r>
        <w:t xml:space="preserve"> </w:t>
      </w:r>
      <w:r>
        <w:tab/>
      </w:r>
      <w:r w:rsidRPr="009A6FC1">
        <w:t>Lally, Gamma and the ACT Decision, May 2016, pp. 18–20.</w:t>
      </w:r>
    </w:p>
  </w:footnote>
  <w:footnote w:id="16">
    <w:p w:rsidR="00BA5850" w:rsidRDefault="00BA5850" w:rsidP="00BA5850">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BA5850" w:rsidRDefault="00BA5850" w:rsidP="00BA5850">
      <w:pPr>
        <w:pStyle w:val="FootnoteText"/>
      </w:pPr>
      <w:r>
        <w:rPr>
          <w:rStyle w:val="FootnoteReference"/>
        </w:rPr>
        <w:footnoteRef/>
      </w:r>
      <w:r>
        <w:t xml:space="preserve"> </w:t>
      </w:r>
      <w:r>
        <w:tab/>
      </w:r>
      <w:r w:rsidRPr="009A6FC1">
        <w:t>Lally, Gamma and the ACT Decision, May 2016, p. 22.</w:t>
      </w:r>
    </w:p>
  </w:footnote>
  <w:footnote w:id="18">
    <w:p w:rsidR="00BA5850" w:rsidRDefault="00BA5850" w:rsidP="00BA5850">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BA5850" w:rsidRDefault="00BA5850" w:rsidP="00BA5850">
      <w:pPr>
        <w:pStyle w:val="FootnoteText"/>
      </w:pPr>
      <w:r>
        <w:rPr>
          <w:rStyle w:val="FootnoteReference"/>
        </w:rPr>
        <w:footnoteRef/>
      </w:r>
      <w:r>
        <w:t xml:space="preserve"> </w:t>
      </w:r>
      <w:r>
        <w:tab/>
      </w:r>
      <w:r w:rsidRPr="009A6FC1">
        <w:t>Lally, Gamma and the ACT Decision, May 2016, p. 20.</w:t>
      </w:r>
    </w:p>
  </w:footnote>
  <w:footnote w:id="20">
    <w:p w:rsidR="00BA5850" w:rsidRDefault="00BA5850" w:rsidP="00BA5850">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BA5850" w:rsidRDefault="00BA5850" w:rsidP="00BA5850">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BA5850" w:rsidRDefault="00BA5850" w:rsidP="00BA5850">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BA5850" w:rsidRDefault="00BA5850" w:rsidP="00BA5850">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BA5850" w:rsidRDefault="00BA5850" w:rsidP="00BA5850">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BA5850" w:rsidRDefault="00BA5850" w:rsidP="00BA5850">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BA5850" w:rsidRDefault="00BA5850" w:rsidP="00BA5850">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BA5850" w:rsidRDefault="00BA5850" w:rsidP="00BA5850">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BA5850" w:rsidRDefault="00BA5850" w:rsidP="00BA5850">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BA5850" w:rsidRPr="00AB0B17" w:rsidRDefault="00BA5850" w:rsidP="00BA5850">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 xml:space="preserve"> May 2016, p. 26.</w:t>
      </w:r>
    </w:p>
  </w:footnote>
  <w:footnote w:id="3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BA5850" w:rsidRDefault="00BA5850" w:rsidP="00BA5850">
      <w:pPr>
        <w:pStyle w:val="FootnoteText"/>
      </w:pPr>
      <w:r>
        <w:rPr>
          <w:rStyle w:val="FootnoteReference"/>
        </w:rPr>
        <w:footnoteRef/>
      </w:r>
      <w:r>
        <w:t xml:space="preserve"> </w:t>
      </w:r>
      <w:r>
        <w:tab/>
        <w:t xml:space="preserve">Jemena Electricity Networks, </w:t>
      </w:r>
      <w:r w:rsidRPr="005764F6">
        <w:rPr>
          <w:rStyle w:val="AERtextitalic"/>
        </w:rPr>
        <w:t>Attachment 6-1 Rate of return, gamma, forecast inflation, and debt and equity raising costs</w:t>
      </w:r>
      <w:r>
        <w:t>, January 2016, pp. 104-105.</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BA5850" w:rsidRDefault="00BA5850" w:rsidP="00BA5850">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BA5850" w:rsidRDefault="00BA5850" w:rsidP="00BA585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BA5850" w:rsidRDefault="00BA5850" w:rsidP="00BA5850">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BA5850" w:rsidRDefault="00BA5850" w:rsidP="00BA5850">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BA5850" w:rsidRDefault="00BA5850" w:rsidP="00BA5850">
      <w:pPr>
        <w:pStyle w:val="FootnoteText"/>
      </w:pPr>
      <w:r>
        <w:rPr>
          <w:rStyle w:val="FootnoteReference"/>
        </w:rPr>
        <w:footnoteRef/>
      </w:r>
      <w:r>
        <w:t xml:space="preserve"> </w:t>
      </w:r>
      <w:r>
        <w:tab/>
        <w:t>NER, cll. 6.5.3, 6A.6.4; NGR, r. 87A.</w:t>
      </w:r>
    </w:p>
  </w:footnote>
  <w:footnote w:id="42">
    <w:p w:rsidR="00BA5850" w:rsidRDefault="00BA5850" w:rsidP="00BA5850">
      <w:pPr>
        <w:pStyle w:val="FootnoteText"/>
      </w:pPr>
      <w:r>
        <w:rPr>
          <w:rStyle w:val="FootnoteReference"/>
        </w:rPr>
        <w:footnoteRef/>
      </w:r>
      <w:r>
        <w:t xml:space="preserve"> </w:t>
      </w:r>
      <w:r>
        <w:tab/>
        <w:t>NER, cll. 6.5.2(d)(2), 6A.6.2(d)(2); NGR, r. 87(4)(b).</w:t>
      </w:r>
    </w:p>
  </w:footnote>
  <w:footnote w:id="43">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BA5850" w:rsidRDefault="00BA5850" w:rsidP="00BA5850">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BA5850" w:rsidRDefault="00BA5850" w:rsidP="00BA5850">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BA5850" w:rsidRDefault="00BA5850" w:rsidP="00BA5850">
      <w:pPr>
        <w:pStyle w:val="FootnoteText"/>
      </w:pPr>
      <w:r>
        <w:rPr>
          <w:rStyle w:val="FootnoteReference"/>
        </w:rPr>
        <w:footnoteRef/>
      </w:r>
      <w:r>
        <w:t xml:space="preserve"> </w:t>
      </w:r>
      <w:r>
        <w:tab/>
        <w:t>NER, cll. 6.5.2, 6A.6.2;</w:t>
      </w:r>
      <w:r w:rsidRPr="0042735A">
        <w:t xml:space="preserve"> </w:t>
      </w:r>
      <w:r>
        <w:t>NGR, r. 87.</w:t>
      </w:r>
    </w:p>
  </w:footnote>
  <w:footnote w:id="49">
    <w:p w:rsidR="00BA5850" w:rsidRDefault="00BA5850" w:rsidP="00BA5850">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BA5850" w:rsidRDefault="00BA5850" w:rsidP="00BA5850">
      <w:pPr>
        <w:pStyle w:val="FootnoteText"/>
      </w:pPr>
      <w:r>
        <w:rPr>
          <w:rStyle w:val="FootnoteReference"/>
        </w:rPr>
        <w:footnoteRef/>
      </w:r>
      <w:r>
        <w:tab/>
        <w:t>NEL, s. 16(1)(a); NGL, s. 28(1)(a).</w:t>
      </w:r>
    </w:p>
  </w:footnote>
  <w:footnote w:id="51">
    <w:p w:rsidR="00BA5850" w:rsidRDefault="00BA5850" w:rsidP="00BA5850">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BA5850" w:rsidRDefault="00BA5850" w:rsidP="00BA5850">
      <w:pPr>
        <w:pStyle w:val="FootnoteText"/>
      </w:pPr>
      <w:r>
        <w:rPr>
          <w:rStyle w:val="FootnoteReference"/>
        </w:rPr>
        <w:footnoteRef/>
      </w:r>
      <w:r>
        <w:tab/>
        <w:t>NEL, s. 16(1)(a); NGL, s. 28(1)(a).</w:t>
      </w:r>
    </w:p>
  </w:footnote>
  <w:footnote w:id="54">
    <w:p w:rsidR="00BA5850" w:rsidRDefault="00BA5850" w:rsidP="00BA5850">
      <w:pPr>
        <w:pStyle w:val="FootnoteText"/>
      </w:pPr>
      <w:r>
        <w:rPr>
          <w:rStyle w:val="FootnoteReference"/>
        </w:rPr>
        <w:footnoteRef/>
      </w:r>
      <w:r>
        <w:t xml:space="preserve"> </w:t>
      </w:r>
      <w:r>
        <w:tab/>
        <w:t>NEL, s. 16(2)(a)(i); NGL, s. 28(2)(a)(i).</w:t>
      </w:r>
    </w:p>
  </w:footnote>
  <w:footnote w:id="55">
    <w:p w:rsidR="00BA5850" w:rsidRDefault="00BA5850" w:rsidP="00BA5850">
      <w:pPr>
        <w:pStyle w:val="FootnoteText"/>
      </w:pPr>
      <w:r>
        <w:rPr>
          <w:rStyle w:val="FootnoteReference"/>
        </w:rPr>
        <w:footnoteRef/>
      </w:r>
      <w:r>
        <w:t xml:space="preserve"> </w:t>
      </w:r>
      <w:r>
        <w:tab/>
        <w:t>NEL, ss. 7A(2)–(7); NGL, ss. 24(2)–(7).</w:t>
      </w:r>
    </w:p>
  </w:footnote>
  <w:footnote w:id="56">
    <w:p w:rsidR="00BA5850" w:rsidRDefault="00BA5850" w:rsidP="00BA585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BA5850" w:rsidRDefault="00BA5850" w:rsidP="00BA5850">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BA5850" w:rsidRDefault="00BA5850" w:rsidP="00BA5850">
      <w:pPr>
        <w:pStyle w:val="FootnoteText"/>
      </w:pPr>
      <w:r>
        <w:rPr>
          <w:rStyle w:val="FootnoteReference"/>
        </w:rPr>
        <w:footnoteRef/>
      </w:r>
      <w:r>
        <w:t xml:space="preserve"> </w:t>
      </w:r>
      <w:r>
        <w:tab/>
        <w:t xml:space="preserve">NER, cll. </w:t>
      </w:r>
      <w:r w:rsidRPr="001E5B06">
        <w:t>6.5.2(n)</w:t>
      </w:r>
      <w:r>
        <w:t>(2), 6.A.6.2(n)(2); NGR, r. 87(14)(b).</w:t>
      </w:r>
    </w:p>
  </w:footnote>
  <w:footnote w:id="59">
    <w:p w:rsidR="00BA5850" w:rsidRDefault="00BA5850" w:rsidP="00BA5850">
      <w:pPr>
        <w:pStyle w:val="FootnoteText"/>
      </w:pPr>
      <w:r>
        <w:rPr>
          <w:rStyle w:val="FootnoteReference"/>
        </w:rPr>
        <w:footnoteRef/>
      </w:r>
      <w:r>
        <w:t xml:space="preserve"> </w:t>
      </w:r>
      <w:r>
        <w:tab/>
        <w:t>NER, cll. 6.2.8(c), 6A.2.3(c); NGR, r. 87(18).</w:t>
      </w:r>
    </w:p>
  </w:footnote>
  <w:footnote w:id="60">
    <w:p w:rsidR="00BA5850" w:rsidRDefault="00BA5850" w:rsidP="00BA5850">
      <w:pPr>
        <w:pStyle w:val="FootnoteText"/>
      </w:pPr>
      <w:r>
        <w:rPr>
          <w:rStyle w:val="FootnoteReference"/>
        </w:rPr>
        <w:footnoteRef/>
      </w:r>
      <w:r>
        <w:t xml:space="preserve"> </w:t>
      </w:r>
      <w:r>
        <w:tab/>
        <w:t xml:space="preserve">NER, ss. </w:t>
      </w:r>
      <w:r w:rsidRPr="00A609E3">
        <w:t>S6.1.3</w:t>
      </w:r>
      <w:r>
        <w:t>(9)–(9B), S6A.1.3(4)(vi),(4A)–(4C); NGR, r. 72(1)(g).</w:t>
      </w:r>
    </w:p>
  </w:footnote>
  <w:footnote w:id="61">
    <w:p w:rsidR="00BA5850" w:rsidRDefault="00BA5850" w:rsidP="00BA5850">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BA5850" w:rsidRDefault="00BA5850" w:rsidP="00BA585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BA5850" w:rsidRDefault="00BA5850" w:rsidP="00BA585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BA5850" w:rsidRDefault="00BA5850" w:rsidP="00BA5850">
      <w:pPr>
        <w:pStyle w:val="FootnoteText"/>
      </w:pPr>
      <w:r>
        <w:rPr>
          <w:rStyle w:val="FootnoteReference"/>
        </w:rPr>
        <w:footnoteRef/>
      </w:r>
      <w:r>
        <w:t xml:space="preserve"> </w:t>
      </w:r>
      <w:r>
        <w:tab/>
        <w:t>NER, cll. 6.5.2(d)(2), 6A.6.2(d)(2); NGR, r. 87(4)(b).</w:t>
      </w:r>
    </w:p>
  </w:footnote>
  <w:footnote w:id="65">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BA5850" w:rsidRDefault="00BA5850" w:rsidP="00BA5850">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BA5850" w:rsidRDefault="00BA5850" w:rsidP="00BA5850">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BA5850" w:rsidRDefault="00BA5850" w:rsidP="00BA5850">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BA5850" w:rsidRDefault="00BA5850" w:rsidP="00BA585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BA5850" w:rsidRDefault="00BA5850" w:rsidP="00BA585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BA5850" w:rsidRDefault="00BA5850" w:rsidP="00BA585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BA5850" w:rsidRDefault="00BA5850" w:rsidP="00BA585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BA5850" w:rsidRDefault="00BA5850" w:rsidP="00BA585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BA5850" w:rsidRDefault="00BA5850" w:rsidP="00BA5850">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BA5850" w:rsidRDefault="00BA5850" w:rsidP="00BA5850">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BA5850" w:rsidRDefault="00BA5850" w:rsidP="00BA5850">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BA5850" w:rsidRDefault="00BA5850" w:rsidP="00BA585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BA5850" w:rsidRDefault="00BA5850" w:rsidP="00BA5850">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BA5850" w:rsidRDefault="00BA5850" w:rsidP="00BA5850">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BA5850" w:rsidRDefault="00BA5850" w:rsidP="00BA5850">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BA5850" w:rsidRDefault="00BA5850" w:rsidP="00BA5850">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BA5850" w:rsidRDefault="00BA5850" w:rsidP="00BA5850">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BA5850" w:rsidRDefault="00BA5850" w:rsidP="00BA5850">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BA5850" w:rsidRDefault="00BA5850" w:rsidP="00BA5850">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BA5850" w:rsidRDefault="00BA5850" w:rsidP="00BA5850">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BA5850" w:rsidRDefault="00BA5850" w:rsidP="00BA5850">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BA5850" w:rsidRDefault="00BA5850" w:rsidP="00BA5850">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BA5850" w:rsidRDefault="00BA5850" w:rsidP="00BA585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BA5850" w:rsidRDefault="00BA5850" w:rsidP="00BA5850">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BA5850" w:rsidRDefault="00BA5850" w:rsidP="00BA5850">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BA5850" w:rsidRDefault="00BA5850" w:rsidP="00BA5850">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BA5850" w:rsidRDefault="00BA5850" w:rsidP="00BA5850">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BA5850" w:rsidRDefault="00BA5850" w:rsidP="00BA5850">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BA5850" w:rsidRDefault="00BA5850" w:rsidP="00BA5850">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BA5850" w:rsidRDefault="00BA5850" w:rsidP="00BA5850">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BA5850" w:rsidRDefault="00BA5850" w:rsidP="00BA5850">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BA5850" w:rsidRDefault="00BA5850" w:rsidP="00BA5850">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BA5850" w:rsidRDefault="00BA5850" w:rsidP="00BA5850">
      <w:pPr>
        <w:pStyle w:val="FootnoteText"/>
      </w:pPr>
      <w:r>
        <w:rPr>
          <w:rStyle w:val="FootnoteReference"/>
        </w:rPr>
        <w:footnoteRef/>
      </w:r>
      <w:r>
        <w:t xml:space="preserve"> </w:t>
      </w:r>
      <w:r>
        <w:tab/>
        <w:t>Personal tax is levied on the gross dividend which is the sum of the face value of the franked dividend and the face vlaue of the imputation credit.</w:t>
      </w:r>
    </w:p>
  </w:footnote>
  <w:footnote w:id="12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BA5850" w:rsidRDefault="00BA5850" w:rsidP="00BA5850">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BA5850" w:rsidRDefault="00BA5850" w:rsidP="00BA5850">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BA5850" w:rsidRDefault="00BA5850" w:rsidP="00BA585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BA5850" w:rsidRDefault="00BA5850" w:rsidP="00BA585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0">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1">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BA5850" w:rsidRDefault="00BA5850" w:rsidP="00BA5850">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BA5850" w:rsidRDefault="00BA5850" w:rsidP="00BA5850">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BA5850" w:rsidRDefault="00BA5850" w:rsidP="00BA585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BA5850" w:rsidRDefault="00BA5850" w:rsidP="00BA5850">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BA5850" w:rsidRDefault="00BA5850" w:rsidP="00BA585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BA5850" w:rsidRDefault="00BA5850" w:rsidP="00BA5850">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BA5850" w:rsidRDefault="00BA5850" w:rsidP="00BA585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BA5850" w:rsidRDefault="00BA5850" w:rsidP="00BA5850">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BA5850" w:rsidRDefault="00BA5850" w:rsidP="00BA5850">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BA5850" w:rsidRDefault="00BA5850" w:rsidP="00BA5850">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BA5850" w:rsidRDefault="00BA5850" w:rsidP="00BA585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BA5850" w:rsidRDefault="00BA5850" w:rsidP="00BA5850">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BA5850" w:rsidRDefault="00BA5850" w:rsidP="00BA5850">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BA5850" w:rsidRDefault="00BA5850" w:rsidP="00BA5850">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BA5850" w:rsidRDefault="00BA5850" w:rsidP="00BA5850">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BA5850" w:rsidRDefault="00BA5850" w:rsidP="00BA5850">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p>
  </w:footnote>
  <w:footnote w:id="17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BA5850" w:rsidRDefault="00BA5850" w:rsidP="00BA5850">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BA5850" w:rsidRDefault="00BA5850" w:rsidP="00BA5850">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p171. </w:t>
      </w:r>
    </w:p>
  </w:footnote>
  <w:footnote w:id="180">
    <w:p w:rsidR="00BA5850" w:rsidRDefault="00BA5850" w:rsidP="00BA5850">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BA5850" w:rsidRDefault="00BA5850" w:rsidP="00BA5850">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BA5850" w:rsidRDefault="00BA5850" w:rsidP="00BA5850">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BA5850" w:rsidRDefault="00BA5850" w:rsidP="00BA5850">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BA5850" w:rsidRPr="001966E3" w:rsidRDefault="00BA5850" w:rsidP="00BA5850">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BA5850" w:rsidRDefault="00BA5850" w:rsidP="00BA5850">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BA5850" w:rsidRDefault="00BA5850" w:rsidP="00BA5850">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BA5850" w:rsidRDefault="00BA5850" w:rsidP="00BA585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BA5850" w:rsidRDefault="00BA5850" w:rsidP="00BA5850">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BA5850" w:rsidRDefault="00BA5850" w:rsidP="00BA5850">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BA5850" w:rsidRDefault="00BA5850" w:rsidP="00BA5850">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BA5850" w:rsidRDefault="00BA5850" w:rsidP="00BA5850">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BA5850" w:rsidRDefault="00BA5850" w:rsidP="00BA5850">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BA5850" w:rsidRDefault="00BA5850" w:rsidP="00BA5850">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BA5850" w:rsidRDefault="00BA5850" w:rsidP="00BA5850">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BA5850" w:rsidRDefault="00BA5850" w:rsidP="00BA5850">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BA5850" w:rsidRDefault="00BA5850" w:rsidP="00BA5850">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BA5850" w:rsidRDefault="00BA5850" w:rsidP="00BA5850">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BA5850" w:rsidRDefault="00BA5850" w:rsidP="00BA5850">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BA5850" w:rsidRDefault="00BA5850" w:rsidP="00BA5850">
      <w:pPr>
        <w:pStyle w:val="FootnoteText"/>
      </w:pPr>
      <w:r>
        <w:rPr>
          <w:rStyle w:val="FootnoteReference"/>
        </w:rPr>
        <w:footnoteRef/>
      </w:r>
      <w:r>
        <w:t xml:space="preserve"> </w:t>
      </w:r>
      <w:r>
        <w:tab/>
        <w:t>Frontier economics, The appropriate use of tax statistics when estimating gamma, January 2016.</w:t>
      </w:r>
    </w:p>
  </w:footnote>
  <w:footnote w:id="206">
    <w:p w:rsidR="00BA5850" w:rsidRPr="003C12DE" w:rsidRDefault="00BA5850" w:rsidP="00BA5850">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BA5850" w:rsidRDefault="00BA5850" w:rsidP="00BA5850">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BA5850" w:rsidRDefault="00BA5850" w:rsidP="00BA5850">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BA5850" w:rsidRDefault="00BA5850" w:rsidP="00BA5850">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BA5850" w:rsidRDefault="00BA5850" w:rsidP="00BA5850">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BA5850" w:rsidRPr="00EB47DF" w:rsidRDefault="00BA5850" w:rsidP="00BA5850">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BA5850" w:rsidRDefault="00BA5850" w:rsidP="00BA5850">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BA5850" w:rsidRDefault="00BA5850" w:rsidP="00BA5850">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BA5850" w:rsidRDefault="00BA5850" w:rsidP="00BA585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BA5850" w:rsidRDefault="00BA5850" w:rsidP="00BA585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BA5850" w:rsidRDefault="00BA5850" w:rsidP="00BA585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BA5850" w:rsidRDefault="00BA5850" w:rsidP="00BA585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BA5850" w:rsidRDefault="00BA5850" w:rsidP="00BA585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BA5850" w:rsidRDefault="00BA5850" w:rsidP="00BA5850">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BA5850" w:rsidRDefault="00BA5850" w:rsidP="00BA5850">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BA5850" w:rsidRDefault="00BA5850" w:rsidP="00BA5850">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593A40" w:rsidRDefault="00593A40">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3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BA5850" w:rsidRPr="00395D01" w:rsidRDefault="00BA5850" w:rsidP="00BA5850">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50">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BA5850" w:rsidRPr="00395D01"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BA5850" w:rsidRDefault="00BA5850" w:rsidP="00BA5850">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BA5850" w:rsidRDefault="00BA5850" w:rsidP="00BA5850">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BA5850" w:rsidRDefault="00BA5850" w:rsidP="00BA5850">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BA5850" w:rsidRDefault="00BA5850" w:rsidP="00BA585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BA5850" w:rsidRDefault="00BA5850" w:rsidP="00BA585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BA5850" w:rsidRDefault="00BA5850" w:rsidP="00BA5850">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BA5850" w:rsidRDefault="00BA5850" w:rsidP="00BA5850">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BA5850" w:rsidRDefault="00BA5850" w:rsidP="00BA5850">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BA5850" w:rsidRDefault="00BA5850" w:rsidP="00BA5850">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BA5850" w:rsidRDefault="00BA5850" w:rsidP="00BA585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BA5850" w:rsidRDefault="00BA5850" w:rsidP="00BA5850">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BA5850" w:rsidRDefault="00BA5850" w:rsidP="00BA5850">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BA5850" w:rsidRDefault="00BA5850" w:rsidP="00BA5850">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BA5850" w:rsidRDefault="00BA5850" w:rsidP="00BA5850">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BA5850" w:rsidRDefault="00BA5850" w:rsidP="00BA5850">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BA5850" w:rsidRDefault="00BA5850" w:rsidP="00BA5850">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BA5850" w:rsidRDefault="00BA5850" w:rsidP="00BA5850">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BA5850" w:rsidRDefault="00BA5850" w:rsidP="00BA5850">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BA5850" w:rsidRDefault="00BA5850" w:rsidP="00BA5850">
      <w:pPr>
        <w:pStyle w:val="FootnoteText"/>
      </w:pPr>
      <w:r>
        <w:rPr>
          <w:rStyle w:val="FootnoteReference"/>
        </w:rPr>
        <w:footnoteRef/>
      </w:r>
      <w:r>
        <w:t xml:space="preserve"> </w:t>
      </w:r>
      <w:r>
        <w:tab/>
        <w:t>NER, cll. 6.5.2, 6A.6.2;</w:t>
      </w:r>
      <w:r w:rsidRPr="0042735A">
        <w:t xml:space="preserve"> </w:t>
      </w:r>
      <w:r>
        <w:t>NGR, r. 87.</w:t>
      </w:r>
    </w:p>
  </w:footnote>
  <w:footnote w:id="293">
    <w:p w:rsidR="00BA5850" w:rsidRDefault="00BA5850" w:rsidP="00BA5850">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BA5850" w:rsidRDefault="00BA5850" w:rsidP="00BA5850">
      <w:pPr>
        <w:pStyle w:val="FootnoteText"/>
      </w:pPr>
      <w:r>
        <w:rPr>
          <w:rStyle w:val="FootnoteReference"/>
        </w:rPr>
        <w:footnoteRef/>
      </w:r>
      <w:r>
        <w:t xml:space="preserve"> </w:t>
      </w:r>
      <w:r>
        <w:tab/>
        <w:t>NER, cll. 6.5.2, 6A.6.2;</w:t>
      </w:r>
      <w:r w:rsidRPr="0042735A">
        <w:t xml:space="preserve"> </w:t>
      </w:r>
      <w:r>
        <w:t>NGR, r. 87.</w:t>
      </w:r>
    </w:p>
  </w:footnote>
  <w:footnote w:id="298">
    <w:p w:rsidR="00BA5850" w:rsidRDefault="00BA5850" w:rsidP="00BA5850">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BA5850" w:rsidRDefault="00BA5850" w:rsidP="00BA5850">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BA5850" w:rsidRDefault="00BA5850" w:rsidP="00BA5850">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BA5850" w:rsidRPr="00CD707C" w:rsidRDefault="00BA5850" w:rsidP="00BA5850">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BA5850" w:rsidRDefault="00BA5850" w:rsidP="00BA5850">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BA5850" w:rsidRDefault="00BA5850" w:rsidP="00BA5850">
      <w:pPr>
        <w:pStyle w:val="FootnoteText"/>
      </w:pPr>
      <w:r>
        <w:rPr>
          <w:rStyle w:val="FootnoteReference"/>
        </w:rPr>
        <w:footnoteRef/>
      </w:r>
      <w:r>
        <w:t xml:space="preserve"> </w:t>
      </w:r>
      <w:r>
        <w:tab/>
        <w:t>This is evident in companies having positive franking account balances in aggregate.</w:t>
      </w:r>
    </w:p>
  </w:footnote>
  <w:footnote w:id="307">
    <w:p w:rsidR="00BA5850" w:rsidRDefault="00BA5850" w:rsidP="00BA5850">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BA5850" w:rsidRDefault="00BA5850" w:rsidP="00BA5850">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BA5850" w:rsidRDefault="00BA5850" w:rsidP="00BA5850">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BA5850" w:rsidRDefault="00BA5850" w:rsidP="00BA5850">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BA5850" w:rsidRDefault="00BA5850" w:rsidP="00BA5850">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BA5850" w:rsidRDefault="00BA5850" w:rsidP="00BA5850">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BA5850" w:rsidRDefault="00BA5850" w:rsidP="00BA5850">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BA5850" w:rsidRPr="00CD707C" w:rsidRDefault="00BA5850" w:rsidP="00BA5850">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BA5850" w:rsidRDefault="00BA5850" w:rsidP="00BA5850">
      <w:pPr>
        <w:pStyle w:val="FootnoteText"/>
      </w:pPr>
      <w:r>
        <w:rPr>
          <w:rStyle w:val="FootnoteReference"/>
        </w:rPr>
        <w:footnoteRef/>
      </w:r>
      <w:r>
        <w:t xml:space="preserve"> </w:t>
      </w:r>
      <w:r>
        <w:tab/>
        <w:t>See section A.6.1 of the draft decisions.</w:t>
      </w:r>
    </w:p>
  </w:footnote>
  <w:footnote w:id="322">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BA5850" w:rsidRDefault="00BA5850" w:rsidP="00BA5850">
      <w:pPr>
        <w:pStyle w:val="FootnoteText"/>
      </w:pPr>
      <w:r>
        <w:rPr>
          <w:rStyle w:val="FootnoteReference"/>
        </w:rPr>
        <w:footnoteRef/>
      </w:r>
      <w:r>
        <w:t xml:space="preserve"> </w:t>
      </w:r>
      <w:r>
        <w:tab/>
        <w:t>Recall that the utilisation rate equals gamma under Officer's perpetuity framework.</w:t>
      </w:r>
    </w:p>
  </w:footnote>
  <w:footnote w:id="329">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BA5850" w:rsidRDefault="00BA5850" w:rsidP="00BA585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BA5850" w:rsidRDefault="00BA5850" w:rsidP="00BA5850">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BA5850" w:rsidRDefault="00BA5850" w:rsidP="00BA5850">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BA5850" w:rsidRDefault="00BA5850" w:rsidP="00BA5850">
      <w:pPr>
        <w:pStyle w:val="FootnoteText"/>
      </w:pPr>
      <w:r>
        <w:rPr>
          <w:rStyle w:val="FootnoteReference"/>
        </w:rPr>
        <w:footnoteRef/>
      </w:r>
      <w:r>
        <w:t xml:space="preserve"> </w:t>
      </w:r>
      <w:r>
        <w:tab/>
        <w:t>L. Gitman, R. Juchau and J. Flanagan, Principles of Managerial Finance, 6th Edition, 2011, pp. 543 and 546.</w:t>
      </w:r>
    </w:p>
  </w:footnote>
  <w:footnote w:id="337">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BA5850" w:rsidRDefault="00BA5850" w:rsidP="00BA5850">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BA5850" w:rsidRDefault="00BA5850" w:rsidP="00BA5850">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BA5850" w:rsidRDefault="00BA5850" w:rsidP="00BA5850">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BA5850" w:rsidRDefault="00BA5850" w:rsidP="00BA585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BA5850" w:rsidRDefault="00BA5850" w:rsidP="00BA5850">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BA5850" w:rsidRDefault="00BA5850" w:rsidP="00BA5850">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BA5850" w:rsidRDefault="00BA5850" w:rsidP="00BA5850">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BA5850" w:rsidRDefault="00BA5850" w:rsidP="00BA5850">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BA5850" w:rsidRDefault="00BA5850" w:rsidP="00BA5850">
      <w:pPr>
        <w:pStyle w:val="FootnoteText"/>
      </w:pPr>
      <w:r>
        <w:rPr>
          <w:rStyle w:val="FootnoteReference"/>
        </w:rPr>
        <w:footnoteRef/>
      </w:r>
      <w:r>
        <w:t xml:space="preserve"> </w:t>
      </w:r>
      <w:r>
        <w:tab/>
        <w:t>Frontier Economics, The appropriate use of tax statistics when estimating gamma, January 2016, p. 7.</w:t>
      </w:r>
    </w:p>
  </w:footnote>
  <w:footnote w:id="378">
    <w:p w:rsidR="00BA5850" w:rsidRDefault="00BA5850" w:rsidP="00BA5850">
      <w:pPr>
        <w:pStyle w:val="FootnoteText"/>
      </w:pPr>
      <w:r>
        <w:rPr>
          <w:rStyle w:val="FootnoteReference"/>
        </w:rPr>
        <w:footnoteRef/>
      </w:r>
      <w:r>
        <w:t xml:space="preserve"> </w:t>
      </w:r>
      <w:r>
        <w:tab/>
        <w:t>Frontier Economics, The appropriate use of tax statistics when estimating gamma, January 2016, p. 7.</w:t>
      </w:r>
    </w:p>
  </w:footnote>
  <w:footnote w:id="379">
    <w:p w:rsidR="00BA5850" w:rsidRDefault="00BA5850" w:rsidP="00BA5850">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BA5850" w:rsidRDefault="00BA5850" w:rsidP="00BA585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BA5850" w:rsidRDefault="00BA5850" w:rsidP="00BA5850">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BA5850" w:rsidRDefault="00BA5850" w:rsidP="00BA5850">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BA5850" w:rsidRPr="00590D86"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BA5850" w:rsidRDefault="00BA5850" w:rsidP="00BA5850">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BA5850" w:rsidRDefault="00BA5850" w:rsidP="00BA5850">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BA5850" w:rsidRDefault="00BA5850" w:rsidP="00BA5850">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BA5850" w:rsidRDefault="00BA5850" w:rsidP="00BA585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BA5850" w:rsidRDefault="00BA5850" w:rsidP="00BA5850">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BA5850" w:rsidRDefault="00BA5850" w:rsidP="00BA5850">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BA5850" w:rsidRDefault="00BA5850" w:rsidP="00BA5850">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BA5850" w:rsidRDefault="00BA5850" w:rsidP="00BA585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BA5850" w:rsidRDefault="00BA5850" w:rsidP="00BA5850">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BA5850" w:rsidRDefault="00BA5850" w:rsidP="00BA5850">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BA5850" w:rsidRDefault="00BA5850" w:rsidP="00BA5850">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9-10.</w:t>
      </w:r>
    </w:p>
  </w:footnote>
  <w:footnote w:id="40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BA5850" w:rsidRDefault="00BA5850" w:rsidP="00BA585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08">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BA5850" w:rsidRDefault="00BA5850" w:rsidP="00BA5850">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BA5850" w:rsidRDefault="00BA5850" w:rsidP="00BA5850">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BA5850" w:rsidRDefault="00BA5850" w:rsidP="00BA5850">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BA5850" w:rsidRDefault="00BA5850" w:rsidP="00BA5850">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BA5850" w:rsidRDefault="00BA5850" w:rsidP="00BA5850">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BA5850" w:rsidRDefault="00BA5850" w:rsidP="00BA5850">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BA5850" w:rsidRDefault="00BA5850" w:rsidP="00BA5850">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BA5850" w:rsidRDefault="00BA5850" w:rsidP="00BA585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BA5850" w:rsidRDefault="00BA5850" w:rsidP="00BA585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BA5850" w:rsidRDefault="00BA5850" w:rsidP="00BA5850">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BA5850" w:rsidRDefault="00BA5850" w:rsidP="00BA585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BA5850" w:rsidRDefault="00BA5850" w:rsidP="00BA585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BA5850" w:rsidRDefault="00BA5850" w:rsidP="00BA5850">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BA5850" w:rsidRDefault="00BA5850" w:rsidP="00BA5850">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BA5850" w:rsidRDefault="00BA5850" w:rsidP="00BA5850">
      <w:pPr>
        <w:pStyle w:val="FootnoteText"/>
      </w:pPr>
      <w:r>
        <w:rPr>
          <w:rStyle w:val="FootnoteReference"/>
        </w:rPr>
        <w:footnoteRef/>
      </w:r>
      <w:r>
        <w:t xml:space="preserve"> </w:t>
      </w:r>
      <w:r>
        <w:tab/>
        <w:t>Lally, The estimation of gamma, November 2013, pp. 39–43.</w:t>
      </w:r>
    </w:p>
  </w:footnote>
  <w:footnote w:id="436">
    <w:p w:rsidR="00BA5850" w:rsidRDefault="00BA5850" w:rsidP="00BA5850">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BA5850" w:rsidRPr="00B27BE5" w:rsidRDefault="00BA5850" w:rsidP="00BA5850">
      <w:pPr>
        <w:pStyle w:val="FootnoteText"/>
        <w:rPr>
          <w:rStyle w:val="AERtexthighlight"/>
        </w:rPr>
      </w:pPr>
      <w:r>
        <w:rPr>
          <w:rStyle w:val="FootnoteReference"/>
        </w:rPr>
        <w:footnoteRef/>
      </w:r>
      <w:r>
        <w:t xml:space="preserve"> </w:t>
      </w:r>
      <w:r>
        <w:tab/>
      </w:r>
      <w:r w:rsidRPr="006D49F4">
        <w:t>Australian Competition Tribunal, Application by Public Interest Advocacy Centre Ltd and Ausgrid [2016] ACompT 1, 26 February 2016, para. 1106.</w:t>
      </w:r>
    </w:p>
  </w:footnote>
  <w:footnote w:id="438">
    <w:p w:rsidR="00BA5850" w:rsidRDefault="00BA5850" w:rsidP="00BA5850">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BA5850" w:rsidRDefault="00BA5850" w:rsidP="00BA5850">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BA5850" w:rsidRDefault="00BA5850" w:rsidP="00BA5850">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BA5850" w:rsidRDefault="00BA5850" w:rsidP="00BA5850">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450">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BA5850" w:rsidRDefault="00BA5850" w:rsidP="00BA5850">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BA5850" w:rsidRDefault="00BA5850" w:rsidP="00BA5850">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BA5850" w:rsidRDefault="00BA5850" w:rsidP="00BA585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BA5850" w:rsidRDefault="00BA5850" w:rsidP="00BA5850">
      <w:pPr>
        <w:pStyle w:val="FootnoteText"/>
      </w:pPr>
      <w:r>
        <w:rPr>
          <w:rStyle w:val="FootnoteReference"/>
        </w:rPr>
        <w:footnoteRef/>
      </w:r>
      <w:r>
        <w:t xml:space="preserve"> </w:t>
      </w:r>
      <w:r>
        <w:tab/>
        <w:t>Frontier, The appropriate use of tax statistics when estimating gamma, January 2016, p. 15.</w:t>
      </w:r>
    </w:p>
  </w:footnote>
  <w:footnote w:id="464">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BA5850" w:rsidRDefault="00BA5850" w:rsidP="00BA585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BA5850" w:rsidRDefault="00BA5850" w:rsidP="00BA5850">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BA5850" w:rsidRDefault="00BA5850" w:rsidP="00BA5850">
      <w:pPr>
        <w:pStyle w:val="FootnoteText"/>
      </w:pPr>
      <w:r>
        <w:rPr>
          <w:rStyle w:val="FootnoteReference"/>
        </w:rPr>
        <w:footnoteRef/>
      </w:r>
      <w:r>
        <w:t xml:space="preserve"> </w:t>
      </w:r>
      <w:r>
        <w:tab/>
        <w:t>Frontier, The appropriate use of tax statistics when estimating gamma, January 2016, p. 20.</w:t>
      </w:r>
    </w:p>
  </w:footnote>
  <w:footnote w:id="469">
    <w:p w:rsidR="00BA5850" w:rsidRDefault="00BA5850" w:rsidP="00BA5850">
      <w:pPr>
        <w:pStyle w:val="FootnoteText"/>
      </w:pPr>
      <w:r>
        <w:rPr>
          <w:rStyle w:val="FootnoteReference"/>
        </w:rPr>
        <w:footnoteRef/>
      </w:r>
      <w:r>
        <w:t xml:space="preserve"> </w:t>
      </w:r>
      <w:r>
        <w:tab/>
        <w:t>Frontier, The appropriate use of tax statistics when estimating gamma, January 2016, p. 20.</w:t>
      </w:r>
    </w:p>
  </w:footnote>
  <w:footnote w:id="47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BA5850" w:rsidRDefault="00BA5850" w:rsidP="00BA5850">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BA5850" w:rsidRDefault="00BA5850" w:rsidP="00BA5850">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83">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485">
    <w:p w:rsidR="00BA5850" w:rsidRDefault="00BA5850" w:rsidP="00BA585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BA5850" w:rsidRDefault="00BA5850" w:rsidP="00BA5850">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491">
    <w:p w:rsidR="00BA5850" w:rsidRDefault="00BA5850" w:rsidP="00BA5850">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BA5850" w:rsidRDefault="00BA5850" w:rsidP="00BA5850">
      <w:pPr>
        <w:pStyle w:val="FootnoteText"/>
      </w:pPr>
      <w:r>
        <w:rPr>
          <w:rStyle w:val="FootnoteReference"/>
        </w:rPr>
        <w:footnoteRef/>
      </w:r>
      <w:r>
        <w:t xml:space="preserve"> </w:t>
      </w:r>
      <w:r>
        <w:tab/>
        <w:t xml:space="preserve">AusNet Services, 2016-20 Regulatory Proposal, April 2015, pp. 353-354;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BA5850" w:rsidRDefault="00BA5850" w:rsidP="00BA5850">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BA5850" w:rsidRDefault="00BA5850" w:rsidP="00BA5850">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BA5850" w:rsidRDefault="00BA5850" w:rsidP="00BA5850">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BA5850" w:rsidRDefault="00BA5850" w:rsidP="00BA5850">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BA5850" w:rsidRDefault="00BA5850" w:rsidP="00BA5850">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BA5850" w:rsidRDefault="00BA5850" w:rsidP="00BA5850">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BA5850" w:rsidRDefault="00BA5850" w:rsidP="00BA5850">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xml:space="preserve">, 12 March 2014, p. 30; </w:t>
      </w:r>
      <w:r w:rsidRPr="000921FF">
        <w:t xml:space="preserve"> </w:t>
      </w:r>
      <w:r w:rsidRPr="00712BC2">
        <w:t xml:space="preserve">M. Lally, </w:t>
      </w:r>
      <w:r>
        <w:rPr>
          <w:rStyle w:val="AERtextitalic"/>
        </w:rPr>
        <w:t>Gamma and the ACT Decision</w:t>
      </w:r>
      <w:r>
        <w:t>, May 2016, p. 26.</w:t>
      </w:r>
    </w:p>
  </w:footnote>
  <w:footnote w:id="506">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w:t>
      </w:r>
    </w:p>
  </w:footnote>
  <w:footnote w:id="508">
    <w:p w:rsidR="00BA5850" w:rsidRDefault="00BA5850" w:rsidP="00BA5850">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BA5850" w:rsidRDefault="00BA5850" w:rsidP="00BA5850">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BA5850" w:rsidRDefault="00BA5850" w:rsidP="00BA5850">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BA5850" w:rsidRDefault="00BA5850" w:rsidP="00BA585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BA5850" w:rsidRDefault="00BA5850" w:rsidP="00BA5850">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BA5850" w:rsidRDefault="00BA5850" w:rsidP="00BA5850">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BA5850" w:rsidRDefault="00BA5850" w:rsidP="00BA5850">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BA5850" w:rsidRDefault="00BA5850" w:rsidP="00BA5850">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1093.</w:t>
      </w:r>
    </w:p>
  </w:footnote>
  <w:footnote w:id="527">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BA5850" w:rsidRDefault="00BA5850" w:rsidP="00BA5850">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BA5850" w:rsidRDefault="00BA5850" w:rsidP="00BA585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BA5850" w:rsidRDefault="00BA5850" w:rsidP="00BA585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BA5850" w:rsidRDefault="00BA5850" w:rsidP="00BA585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BA5850" w:rsidRDefault="00BA5850" w:rsidP="00BA5850">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BA5850" w:rsidRDefault="00BA5850" w:rsidP="00BA5850">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BA5850" w:rsidRDefault="00BA5850" w:rsidP="00BA5850">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BA5850" w:rsidRDefault="00BA5850" w:rsidP="00BA5850">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BA5850" w:rsidRDefault="00BA5850" w:rsidP="00BA5850">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540">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BA5850" w:rsidRPr="00EB7A6C"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BA5850" w:rsidRDefault="00BA5850" w:rsidP="00BA5850">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p>
  </w:footnote>
  <w:footnote w:id="545">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BA5850" w:rsidRPr="00EB7A6C"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BA5850" w:rsidRDefault="00BA5850" w:rsidP="00BA5850">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BA5850" w:rsidRDefault="00BA5850" w:rsidP="00BA585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BA5850" w:rsidRDefault="00BA5850" w:rsidP="00BA5850">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BA5850" w:rsidRDefault="00BA5850" w:rsidP="00BA5850">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BA5850" w:rsidRDefault="00BA5850" w:rsidP="00BA5850">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BA5850" w:rsidRDefault="00BA5850" w:rsidP="00BA5850">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BA5850" w:rsidRDefault="00BA5850" w:rsidP="00BA5850">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BA5850" w:rsidRDefault="00BA5850" w:rsidP="00BA5850">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BA5850" w:rsidRDefault="00BA5850" w:rsidP="00BA5850">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BA5850" w:rsidRDefault="00BA5850" w:rsidP="00BA5850">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BA5850" w:rsidRDefault="00BA5850" w:rsidP="00BA5850">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BA5850" w:rsidRDefault="00BA5850" w:rsidP="00BA5850">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BA5850" w:rsidRDefault="00BA5850" w:rsidP="00BA5850">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BA5850" w:rsidRDefault="00BA5850" w:rsidP="00BA5850">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BA5850" w:rsidRDefault="00BA5850" w:rsidP="00BA5850">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BA5850" w:rsidRDefault="00BA5850" w:rsidP="00BA585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BA5850" w:rsidRDefault="00BA5850" w:rsidP="00BA585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BA5850" w:rsidRDefault="00BA5850" w:rsidP="00BA585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BA5850" w:rsidRDefault="00BA5850" w:rsidP="00BA5850">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BA5850" w:rsidRDefault="00BA5850" w:rsidP="00BA5850">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BA5850" w:rsidRDefault="00BA5850" w:rsidP="00BA5850">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BA5850" w:rsidRDefault="00BA5850" w:rsidP="00BA5850">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BA5850" w:rsidRDefault="00BA5850" w:rsidP="00BA5850">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BA5850" w:rsidRDefault="00BA5850" w:rsidP="00BA5850">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BA5850" w:rsidRDefault="00BA5850" w:rsidP="00BA5850">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BA5850" w:rsidRDefault="00BA5850" w:rsidP="00BA5850">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BA5850" w:rsidRDefault="00BA5850" w:rsidP="00BA5850">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BA5850" w:rsidRDefault="00BA5850" w:rsidP="00BA5850">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BA5850" w:rsidRDefault="00BA5850" w:rsidP="00BA5850">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BA5850" w:rsidRDefault="00BA5850" w:rsidP="00BA5850">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BA5850" w:rsidRDefault="00BA5850" w:rsidP="00BA5850">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BA5850" w:rsidRDefault="00BA5850" w:rsidP="00BA5850">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BA5850" w:rsidRDefault="00BA5850" w:rsidP="00BA5850">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BA5850" w:rsidRDefault="00BA5850" w:rsidP="00BA5850">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BA5850" w:rsidRDefault="00BA5850" w:rsidP="00BA5850">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BA5850" w:rsidRDefault="00BA5850" w:rsidP="00BA5850">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BA5850" w:rsidRDefault="00BA5850" w:rsidP="00BA5850">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BA5850" w:rsidRDefault="00BA5850" w:rsidP="00BA5850">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BA5850" w:rsidRDefault="00BA5850" w:rsidP="00BA5850">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BA5850" w:rsidRDefault="00BA5850" w:rsidP="00BA585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21,23.</w:t>
      </w:r>
    </w:p>
  </w:footnote>
  <w:footnote w:id="589">
    <w:p w:rsidR="00BA5850" w:rsidRDefault="00BA5850" w:rsidP="00BA5850">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BA5850" w:rsidRDefault="00BA5850" w:rsidP="00BA5850">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BA5850" w:rsidRDefault="00BA5850" w:rsidP="00BA5850">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BA5850" w:rsidRDefault="00BA5850" w:rsidP="00BA5850">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BA5850" w:rsidRDefault="00BA5850" w:rsidP="00BA5850">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BA5850" w:rsidRDefault="00BA5850" w:rsidP="00BA5850">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BA5850" w:rsidRDefault="00BA5850" w:rsidP="00BA5850">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BA5850" w:rsidRDefault="00BA5850" w:rsidP="00BA5850">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BA5850" w:rsidRDefault="00BA5850" w:rsidP="00BA5850">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BA5850" w:rsidRDefault="00BA5850" w:rsidP="00BA5850">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BA5850" w:rsidRDefault="00BA5850" w:rsidP="00BA5850">
      <w:pPr>
        <w:pStyle w:val="FootnoteText"/>
      </w:pPr>
      <w:r>
        <w:rPr>
          <w:rStyle w:val="FootnoteReference"/>
        </w:rPr>
        <w:footnoteRef/>
      </w:r>
      <w:r>
        <w:t xml:space="preserve"> </w:t>
      </w:r>
      <w:r>
        <w:tab/>
        <w:t>Defined as 20 minus 0.6928.</w:t>
      </w:r>
    </w:p>
  </w:footnote>
  <w:footnote w:id="607">
    <w:p w:rsidR="00BA5850" w:rsidRDefault="00BA5850" w:rsidP="00BA5850">
      <w:pPr>
        <w:pStyle w:val="FootnoteText"/>
      </w:pPr>
      <w:r>
        <w:rPr>
          <w:rStyle w:val="FootnoteReference"/>
        </w:rPr>
        <w:footnoteRef/>
      </w:r>
      <w:r>
        <w:t xml:space="preserve"> </w:t>
      </w:r>
      <w:r>
        <w:tab/>
        <w:t>We also note distributed dividends are directly observable.</w:t>
      </w:r>
    </w:p>
  </w:footnote>
  <w:footnote w:id="608">
    <w:p w:rsidR="00BA5850" w:rsidRDefault="00BA5850" w:rsidP="00BA5850">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BA5850" w:rsidRDefault="00BA5850" w:rsidP="00BA5850">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BA5850" w:rsidRDefault="00BA5850" w:rsidP="00BA5850">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BA5850" w:rsidRPr="00F267EC" w:rsidRDefault="00BA5850" w:rsidP="00BA5850">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1-25.</w:t>
      </w:r>
      <w:r w:rsidRPr="00F267EC">
        <w:t xml:space="preserve"> </w:t>
      </w:r>
    </w:p>
    <w:p w:rsidR="00BA5850" w:rsidRDefault="00BA5850" w:rsidP="00BA5850">
      <w:pPr>
        <w:pStyle w:val="FootnoteText"/>
      </w:pPr>
    </w:p>
  </w:footnote>
  <w:footnote w:id="614">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BA5850" w:rsidRDefault="00BA5850" w:rsidP="00BA5850">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BA5850" w:rsidRDefault="00BA5850" w:rsidP="00BA5850">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BA5850" w:rsidRDefault="00BA5850" w:rsidP="00BA5850">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BA5850" w:rsidRDefault="00BA5850" w:rsidP="00BA5850">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BA5850" w:rsidRDefault="00BA5850" w:rsidP="00BA5850">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BA5850" w:rsidRDefault="00BA5850" w:rsidP="00BA5850">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BA5850" w:rsidRDefault="00BA5850" w:rsidP="00BA5850">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BA5850" w:rsidRDefault="00BA5850" w:rsidP="00BA5850">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BA5850" w:rsidRDefault="00BA5850" w:rsidP="00BA585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BA5850" w:rsidRDefault="00BA5850" w:rsidP="00BA5850">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BA5850" w:rsidRDefault="00BA5850" w:rsidP="00BA5850">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BA5850" w:rsidRDefault="00BA5850" w:rsidP="00BA5850">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BA5850" w:rsidRDefault="00BA5850" w:rsidP="00BA5850">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BA5850" w:rsidRDefault="00BA5850" w:rsidP="00BA5850">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BA5850" w:rsidRDefault="00BA5850" w:rsidP="00BA5850">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BA5850" w:rsidRDefault="00BA5850" w:rsidP="00BA5850">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BA5850" w:rsidRDefault="00BA5850" w:rsidP="00BA585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BA5850" w:rsidRDefault="00BA5850" w:rsidP="00BA5850">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BA5850" w:rsidRDefault="00BA5850" w:rsidP="00BA5850">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BA5850" w:rsidRDefault="00BA5850" w:rsidP="00BA5850">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BA5850" w:rsidRDefault="00BA5850" w:rsidP="00BA5850">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BA5850" w:rsidRDefault="00BA5850" w:rsidP="00BA585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BA5850" w:rsidRDefault="00BA5850" w:rsidP="00BA5850">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BA5850" w:rsidRDefault="00BA5850" w:rsidP="00BA585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BA5850" w:rsidRDefault="00BA5850" w:rsidP="00BA5850">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BA5850" w:rsidRDefault="00BA5850" w:rsidP="00BA585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BA5850" w:rsidRDefault="00BA5850" w:rsidP="00BA585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BA5850" w:rsidRDefault="00BA5850" w:rsidP="00BA585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BA5850" w:rsidRDefault="00BA5850" w:rsidP="00BA5850">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BA5850" w:rsidRDefault="00BA5850" w:rsidP="00BA585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BA5850" w:rsidRDefault="00BA5850" w:rsidP="00BA585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BA5850" w:rsidRDefault="00BA5850" w:rsidP="00BA5850">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BA5850" w:rsidRDefault="00BA5850" w:rsidP="00BA5850">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74" w:rsidRDefault="00463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74" w:rsidRDefault="00463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74" w:rsidRDefault="00463A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69F8BF1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2"/>
  </w:num>
  <w:num w:numId="15">
    <w:abstractNumId w:val="15"/>
  </w:num>
  <w:num w:numId="16">
    <w:abstractNumId w:val="23"/>
  </w:num>
  <w:num w:numId="17">
    <w:abstractNumId w:val="11"/>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lvlOverride w:ilvl="0">
      <w:lvl w:ilvl="0">
        <w:start w:val="1"/>
        <w:numFmt w:val="decimal"/>
        <w:lvlRestart w:val="0"/>
        <w:lvlText w:val="%1"/>
        <w:lvlJc w:val="left"/>
        <w:pPr>
          <w:tabs>
            <w:tab w:val="num" w:pos="720"/>
          </w:tabs>
          <w:ind w:left="0" w:hanging="720"/>
        </w:pPr>
        <w:rPr>
          <w:rFonts w:hint="default"/>
          <w:sz w:val="20"/>
        </w:rPr>
      </w:lvl>
    </w:lvlOverride>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xTo+/XlsR2IqNCSFJbgSdKTFEa+HBSxUh3Qu8gf+Gvk=" w:saltValue="IL0wgr/1bCBfP/q6ohzrlw==" w:algorithmName="SHA-256"/>
  <w:defaultTabStop w:val="34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16\AER15 4378  AER - Final decision AusNet distribution determination - Attachment 4 - Value of imputation credits - April 2016.DOCX"/>
  </w:docVars>
  <w:rsids>
    <w:rsidRoot w:val="00961A4A"/>
    <w:rsid w:val="000051DC"/>
    <w:rsid w:val="000052A8"/>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34C46"/>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2A7"/>
    <w:rsid w:val="003E0D3A"/>
    <w:rsid w:val="003E3AAB"/>
    <w:rsid w:val="003E7FE9"/>
    <w:rsid w:val="003F07D4"/>
    <w:rsid w:val="003F174D"/>
    <w:rsid w:val="003F2329"/>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3A74"/>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5647"/>
    <w:rsid w:val="00556B1E"/>
    <w:rsid w:val="00563E21"/>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93A40"/>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877"/>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094B"/>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1662"/>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063D"/>
    <w:rsid w:val="00B7679F"/>
    <w:rsid w:val="00B77159"/>
    <w:rsid w:val="00B8080B"/>
    <w:rsid w:val="00B82223"/>
    <w:rsid w:val="00B87BA5"/>
    <w:rsid w:val="00B87C39"/>
    <w:rsid w:val="00B93891"/>
    <w:rsid w:val="00B9562D"/>
    <w:rsid w:val="00BA21DA"/>
    <w:rsid w:val="00BA2B60"/>
    <w:rsid w:val="00BA3C93"/>
    <w:rsid w:val="00BA4665"/>
    <w:rsid w:val="00BA5850"/>
    <w:rsid w:val="00BA5C67"/>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6B5A"/>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A5850"/>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A5850"/>
    <w:rPr>
      <w:rFonts w:ascii="Arial Narrow" w:eastAsia="Times New Roman" w:hAnsi="Arial Narrow" w:cs="Times New Roman"/>
      <w:sz w:val="24"/>
      <w:szCs w:val="20"/>
      <w:lang w:val="en-US" w:eastAsia="en-AU"/>
    </w:rPr>
  </w:style>
  <w:style w:type="numbering" w:styleId="ArticleSection">
    <w:name w:val="Outline List 3"/>
    <w:basedOn w:val="NoList"/>
    <w:semiHidden/>
    <w:rsid w:val="00BA5850"/>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A5850"/>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A5850"/>
    <w:rPr>
      <w:rFonts w:ascii="Arial Narrow" w:eastAsia="Times New Roman" w:hAnsi="Arial Narrow" w:cs="Times New Roman"/>
      <w:sz w:val="24"/>
      <w:szCs w:val="20"/>
      <w:lang w:val="en-US" w:eastAsia="en-AU"/>
    </w:rPr>
  </w:style>
  <w:style w:type="numbering" w:styleId="ArticleSection">
    <w:name w:val="Outline List 3"/>
    <w:basedOn w:val="NoList"/>
    <w:semiHidden/>
    <w:rsid w:val="00BA585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527360"/>
        <c:axId val="84898176"/>
      </c:lineChart>
      <c:dateAx>
        <c:axId val="84527360"/>
        <c:scaling>
          <c:orientation val="minMax"/>
        </c:scaling>
        <c:delete val="0"/>
        <c:axPos val="b"/>
        <c:numFmt formatCode="mmm\-yyyy" sourceLinked="1"/>
        <c:majorTickMark val="out"/>
        <c:minorTickMark val="none"/>
        <c:tickLblPos val="nextTo"/>
        <c:crossAx val="84898176"/>
        <c:crosses val="autoZero"/>
        <c:auto val="0"/>
        <c:lblOffset val="100"/>
        <c:baseTimeUnit val="months"/>
        <c:majorUnit val="12"/>
        <c:majorTimeUnit val="months"/>
      </c:dateAx>
      <c:valAx>
        <c:axId val="8489817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527360"/>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59F13D-CED4-4B5B-B56A-030F7587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176</Pages>
  <Words>59182</Words>
  <Characters>337342</Characters>
  <Application>Microsoft Office Word</Application>
  <DocSecurity>0</DocSecurity>
  <Lines>2811</Lines>
  <Paragraphs>791</Paragraphs>
  <ScaleCrop>false</ScaleCrop>
  <LinksUpToDate>false</LinksUpToDate>
  <CharactersWithSpaces>395733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2016-05-25T03:32:00Z</dcterms:created>
  <dcterms:modified xsi:type="dcterms:W3CDTF">2016-05-25T03:32:00Z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8588652</vt:lpwstr>
  </property>
</Properties>
</file>