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bookmarkEnd w:id="0" w:displacedByCustomXml="prev"/>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04BE6EB8" wp14:editId="18AA3B93">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55BC28C1" wp14:editId="2E74505A">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E31D28" w:rsidP="008F07A3">
          <w:pPr>
            <w:pStyle w:val="ReportSubtitle"/>
          </w:pPr>
          <w:r>
            <w:t>Jemena</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D9309B">
            <w:t>5</w:t>
          </w:r>
          <w:r w:rsidR="000474DF">
            <w:t xml:space="preserve"> </w:t>
          </w:r>
          <w:r w:rsidR="00185BA5">
            <w:t>–</w:t>
          </w:r>
          <w:r w:rsidR="000474DF">
            <w:t xml:space="preserve"> </w:t>
          </w:r>
          <w:r w:rsidR="00D9309B">
            <w:t>Regulatory depreciation</w:t>
          </w:r>
        </w:p>
        <w:p w:rsidR="000A6C7B" w:rsidRPr="00327A1E" w:rsidRDefault="00310440" w:rsidP="00327A1E">
          <w:pPr>
            <w:pStyle w:val="ReportDate"/>
          </w:pPr>
          <w:r>
            <w:t>May</w:t>
          </w:r>
          <w:r w:rsidR="00DB4E34">
            <w:t xml:space="preserve"> 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51285751"/>
      <w:r>
        <w:lastRenderedPageBreak/>
        <w:t>Note</w:t>
      </w:r>
      <w:bookmarkEnd w:id="2"/>
      <w:bookmarkEnd w:id="3"/>
      <w:bookmarkEnd w:id="4"/>
    </w:p>
    <w:p w:rsidR="00761454" w:rsidRDefault="00761454" w:rsidP="00761454">
      <w:pPr>
        <w:numPr>
          <w:ilvl w:val="0"/>
          <w:numId w:val="24"/>
        </w:numPr>
      </w:pPr>
      <w:r>
        <w:t xml:space="preserve">This </w:t>
      </w:r>
      <w:r w:rsidR="00391282">
        <w:t xml:space="preserve">attachment </w:t>
      </w:r>
      <w:r>
        <w:t xml:space="preserve">forms part of the AER's </w:t>
      </w:r>
      <w:r w:rsidR="00DB4E34">
        <w:t>final</w:t>
      </w:r>
      <w:r w:rsidR="000474DF">
        <w:t xml:space="preserve"> </w:t>
      </w:r>
      <w:r>
        <w:t xml:space="preserve">decision on </w:t>
      </w:r>
      <w:r w:rsidR="00E31D28">
        <w:t>Jemena's</w:t>
      </w:r>
      <w:r w:rsidR="004523B2">
        <w:t xml:space="preserve"> distribution</w:t>
      </w:r>
      <w:r>
        <w:t xml:space="preserve"> determination for 201</w:t>
      </w:r>
      <w:r w:rsidR="00C75E3E">
        <w:t>6</w:t>
      </w:r>
      <w:r w:rsidRPr="00F02D30">
        <w:t>–</w:t>
      </w:r>
      <w:r w:rsidR="00C75E3E">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CE2A23" w:rsidRPr="00CE2A23" w:rsidRDefault="00CE2A23" w:rsidP="00CE2A23">
      <w:bookmarkStart w:id="5" w:name="_Toc404354899"/>
      <w:bookmarkStart w:id="6" w:name="_Toc404353070"/>
      <w:bookmarkStart w:id="7" w:name="_Toc404684201"/>
      <w:bookmarkStart w:id="8" w:name="_Toc404700923"/>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51285752"/>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D66B49"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51285751" w:history="1">
            <w:r w:rsidR="00D66B49" w:rsidRPr="002A546F">
              <w:rPr>
                <w:rStyle w:val="Hyperlink"/>
              </w:rPr>
              <w:t>Note</w:t>
            </w:r>
            <w:r w:rsidR="00D66B49">
              <w:rPr>
                <w:webHidden/>
              </w:rPr>
              <w:tab/>
            </w:r>
            <w:r w:rsidR="00D66B49">
              <w:rPr>
                <w:webHidden/>
              </w:rPr>
              <w:fldChar w:fldCharType="begin"/>
            </w:r>
            <w:r w:rsidR="00D66B49">
              <w:rPr>
                <w:webHidden/>
              </w:rPr>
              <w:instrText xml:space="preserve"> PAGEREF _Toc451285751 \h </w:instrText>
            </w:r>
            <w:r w:rsidR="00D66B49">
              <w:rPr>
                <w:webHidden/>
              </w:rPr>
            </w:r>
            <w:r w:rsidR="00D66B49">
              <w:rPr>
                <w:webHidden/>
              </w:rPr>
              <w:fldChar w:fldCharType="separate"/>
            </w:r>
            <w:r w:rsidR="00D66B49">
              <w:rPr>
                <w:webHidden/>
              </w:rPr>
              <w:t>5-2</w:t>
            </w:r>
            <w:r w:rsidR="00D66B49">
              <w:rPr>
                <w:webHidden/>
              </w:rPr>
              <w:fldChar w:fldCharType="end"/>
            </w:r>
          </w:hyperlink>
        </w:p>
        <w:p w:rsidR="00D66B49" w:rsidRDefault="00024E0B">
          <w:pPr>
            <w:pStyle w:val="TOC1"/>
            <w:rPr>
              <w:rFonts w:asciiTheme="minorHAnsi" w:eastAsiaTheme="minorEastAsia" w:hAnsiTheme="minorHAnsi"/>
              <w:b w:val="0"/>
              <w:color w:val="auto"/>
              <w:sz w:val="22"/>
              <w:lang w:val="en-AU" w:eastAsia="en-AU"/>
            </w:rPr>
          </w:pPr>
          <w:hyperlink w:anchor="_Toc451285752" w:history="1">
            <w:r w:rsidR="00D66B49" w:rsidRPr="002A546F">
              <w:rPr>
                <w:rStyle w:val="Hyperlink"/>
              </w:rPr>
              <w:t>Contents</w:t>
            </w:r>
            <w:r w:rsidR="00D66B49">
              <w:rPr>
                <w:webHidden/>
              </w:rPr>
              <w:tab/>
            </w:r>
            <w:r w:rsidR="00D66B49">
              <w:rPr>
                <w:webHidden/>
              </w:rPr>
              <w:fldChar w:fldCharType="begin"/>
            </w:r>
            <w:r w:rsidR="00D66B49">
              <w:rPr>
                <w:webHidden/>
              </w:rPr>
              <w:instrText xml:space="preserve"> PAGEREF _Toc451285752 \h </w:instrText>
            </w:r>
            <w:r w:rsidR="00D66B49">
              <w:rPr>
                <w:webHidden/>
              </w:rPr>
            </w:r>
            <w:r w:rsidR="00D66B49">
              <w:rPr>
                <w:webHidden/>
              </w:rPr>
              <w:fldChar w:fldCharType="separate"/>
            </w:r>
            <w:r w:rsidR="00D66B49">
              <w:rPr>
                <w:webHidden/>
              </w:rPr>
              <w:t>5-3</w:t>
            </w:r>
            <w:r w:rsidR="00D66B49">
              <w:rPr>
                <w:webHidden/>
              </w:rPr>
              <w:fldChar w:fldCharType="end"/>
            </w:r>
          </w:hyperlink>
        </w:p>
        <w:p w:rsidR="00D66B49" w:rsidRDefault="00024E0B">
          <w:pPr>
            <w:pStyle w:val="TOC1"/>
            <w:rPr>
              <w:rFonts w:asciiTheme="minorHAnsi" w:eastAsiaTheme="minorEastAsia" w:hAnsiTheme="minorHAnsi"/>
              <w:b w:val="0"/>
              <w:color w:val="auto"/>
              <w:sz w:val="22"/>
              <w:lang w:val="en-AU" w:eastAsia="en-AU"/>
            </w:rPr>
          </w:pPr>
          <w:hyperlink w:anchor="_Toc451285753" w:history="1">
            <w:r w:rsidR="00D66B49" w:rsidRPr="002A546F">
              <w:rPr>
                <w:rStyle w:val="Hyperlink"/>
              </w:rPr>
              <w:t>Shortened forms</w:t>
            </w:r>
            <w:r w:rsidR="00D66B49">
              <w:rPr>
                <w:webHidden/>
              </w:rPr>
              <w:tab/>
            </w:r>
            <w:r w:rsidR="00D66B49">
              <w:rPr>
                <w:webHidden/>
              </w:rPr>
              <w:fldChar w:fldCharType="begin"/>
            </w:r>
            <w:r w:rsidR="00D66B49">
              <w:rPr>
                <w:webHidden/>
              </w:rPr>
              <w:instrText xml:space="preserve"> PAGEREF _Toc451285753 \h </w:instrText>
            </w:r>
            <w:r w:rsidR="00D66B49">
              <w:rPr>
                <w:webHidden/>
              </w:rPr>
            </w:r>
            <w:r w:rsidR="00D66B49">
              <w:rPr>
                <w:webHidden/>
              </w:rPr>
              <w:fldChar w:fldCharType="separate"/>
            </w:r>
            <w:r w:rsidR="00D66B49">
              <w:rPr>
                <w:webHidden/>
              </w:rPr>
              <w:t>5-4</w:t>
            </w:r>
            <w:r w:rsidR="00D66B49">
              <w:rPr>
                <w:webHidden/>
              </w:rPr>
              <w:fldChar w:fldCharType="end"/>
            </w:r>
          </w:hyperlink>
        </w:p>
        <w:p w:rsidR="00D66B49" w:rsidRDefault="00024E0B">
          <w:pPr>
            <w:pStyle w:val="TOC1"/>
            <w:rPr>
              <w:rFonts w:asciiTheme="minorHAnsi" w:eastAsiaTheme="minorEastAsia" w:hAnsiTheme="minorHAnsi"/>
              <w:b w:val="0"/>
              <w:color w:val="auto"/>
              <w:sz w:val="22"/>
              <w:lang w:val="en-AU" w:eastAsia="en-AU"/>
            </w:rPr>
          </w:pPr>
          <w:hyperlink w:anchor="_Toc451285754" w:history="1">
            <w:r w:rsidR="00D66B49" w:rsidRPr="002A546F">
              <w:rPr>
                <w:rStyle w:val="Hyperlink"/>
              </w:rPr>
              <w:t>5</w:t>
            </w:r>
            <w:r w:rsidR="00D66B49">
              <w:rPr>
                <w:rFonts w:asciiTheme="minorHAnsi" w:eastAsiaTheme="minorEastAsia" w:hAnsiTheme="minorHAnsi"/>
                <w:b w:val="0"/>
                <w:color w:val="auto"/>
                <w:sz w:val="22"/>
                <w:lang w:val="en-AU" w:eastAsia="en-AU"/>
              </w:rPr>
              <w:tab/>
            </w:r>
            <w:r w:rsidR="00D66B49" w:rsidRPr="002A546F">
              <w:rPr>
                <w:rStyle w:val="Hyperlink"/>
              </w:rPr>
              <w:t>Regulatory depreciation</w:t>
            </w:r>
            <w:r w:rsidR="00D66B49">
              <w:rPr>
                <w:webHidden/>
              </w:rPr>
              <w:tab/>
            </w:r>
            <w:r w:rsidR="00D66B49">
              <w:rPr>
                <w:webHidden/>
              </w:rPr>
              <w:fldChar w:fldCharType="begin"/>
            </w:r>
            <w:r w:rsidR="00D66B49">
              <w:rPr>
                <w:webHidden/>
              </w:rPr>
              <w:instrText xml:space="preserve"> PAGEREF _Toc451285754 \h </w:instrText>
            </w:r>
            <w:r w:rsidR="00D66B49">
              <w:rPr>
                <w:webHidden/>
              </w:rPr>
            </w:r>
            <w:r w:rsidR="00D66B49">
              <w:rPr>
                <w:webHidden/>
              </w:rPr>
              <w:fldChar w:fldCharType="separate"/>
            </w:r>
            <w:r w:rsidR="00D66B49">
              <w:rPr>
                <w:webHidden/>
              </w:rPr>
              <w:t>5-6</w:t>
            </w:r>
            <w:r w:rsidR="00D66B49">
              <w:rPr>
                <w:webHidden/>
              </w:rPr>
              <w:fldChar w:fldCharType="end"/>
            </w:r>
          </w:hyperlink>
        </w:p>
        <w:p w:rsidR="00D66B49" w:rsidRDefault="00024E0B">
          <w:pPr>
            <w:pStyle w:val="TOC2"/>
            <w:rPr>
              <w:rFonts w:asciiTheme="minorHAnsi" w:eastAsiaTheme="minorEastAsia" w:hAnsiTheme="minorHAnsi"/>
              <w:b w:val="0"/>
              <w:color w:val="auto"/>
              <w:sz w:val="22"/>
              <w:lang w:eastAsia="en-AU"/>
            </w:rPr>
          </w:pPr>
          <w:hyperlink w:anchor="_Toc451285755" w:history="1">
            <w:r w:rsidR="00D66B49" w:rsidRPr="002A546F">
              <w:rPr>
                <w:rStyle w:val="Hyperlink"/>
              </w:rPr>
              <w:t>5.1</w:t>
            </w:r>
            <w:r w:rsidR="00D66B49">
              <w:rPr>
                <w:rFonts w:asciiTheme="minorHAnsi" w:eastAsiaTheme="minorEastAsia" w:hAnsiTheme="minorHAnsi"/>
                <w:b w:val="0"/>
                <w:color w:val="auto"/>
                <w:sz w:val="22"/>
                <w:lang w:eastAsia="en-AU"/>
              </w:rPr>
              <w:tab/>
            </w:r>
            <w:r w:rsidR="00D66B49" w:rsidRPr="002A546F">
              <w:rPr>
                <w:rStyle w:val="Hyperlink"/>
              </w:rPr>
              <w:t>Final decision</w:t>
            </w:r>
            <w:r w:rsidR="00D66B49">
              <w:rPr>
                <w:webHidden/>
              </w:rPr>
              <w:tab/>
            </w:r>
            <w:r w:rsidR="00D66B49">
              <w:rPr>
                <w:webHidden/>
              </w:rPr>
              <w:fldChar w:fldCharType="begin"/>
            </w:r>
            <w:r w:rsidR="00D66B49">
              <w:rPr>
                <w:webHidden/>
              </w:rPr>
              <w:instrText xml:space="preserve"> PAGEREF _Toc451285755 \h </w:instrText>
            </w:r>
            <w:r w:rsidR="00D66B49">
              <w:rPr>
                <w:webHidden/>
              </w:rPr>
            </w:r>
            <w:r w:rsidR="00D66B49">
              <w:rPr>
                <w:webHidden/>
              </w:rPr>
              <w:fldChar w:fldCharType="separate"/>
            </w:r>
            <w:r w:rsidR="00D66B49">
              <w:rPr>
                <w:webHidden/>
              </w:rPr>
              <w:t>5-6</w:t>
            </w:r>
            <w:r w:rsidR="00D66B49">
              <w:rPr>
                <w:webHidden/>
              </w:rPr>
              <w:fldChar w:fldCharType="end"/>
            </w:r>
          </w:hyperlink>
        </w:p>
        <w:p w:rsidR="00D66B49" w:rsidRDefault="00024E0B">
          <w:pPr>
            <w:pStyle w:val="TOC2"/>
            <w:rPr>
              <w:rFonts w:asciiTheme="minorHAnsi" w:eastAsiaTheme="minorEastAsia" w:hAnsiTheme="minorHAnsi"/>
              <w:b w:val="0"/>
              <w:color w:val="auto"/>
              <w:sz w:val="22"/>
              <w:lang w:eastAsia="en-AU"/>
            </w:rPr>
          </w:pPr>
          <w:hyperlink w:anchor="_Toc451285756" w:history="1">
            <w:r w:rsidR="00D66B49" w:rsidRPr="002A546F">
              <w:rPr>
                <w:rStyle w:val="Hyperlink"/>
              </w:rPr>
              <w:t>5.2</w:t>
            </w:r>
            <w:r w:rsidR="00D66B49">
              <w:rPr>
                <w:rFonts w:asciiTheme="minorHAnsi" w:eastAsiaTheme="minorEastAsia" w:hAnsiTheme="minorHAnsi"/>
                <w:b w:val="0"/>
                <w:color w:val="auto"/>
                <w:sz w:val="22"/>
                <w:lang w:eastAsia="en-AU"/>
              </w:rPr>
              <w:tab/>
            </w:r>
            <w:r w:rsidR="00D66B49" w:rsidRPr="002A546F">
              <w:rPr>
                <w:rStyle w:val="Hyperlink"/>
              </w:rPr>
              <w:t>Jemena's revised proposal</w:t>
            </w:r>
            <w:r w:rsidR="00D66B49">
              <w:rPr>
                <w:webHidden/>
              </w:rPr>
              <w:tab/>
            </w:r>
            <w:r w:rsidR="00D66B49">
              <w:rPr>
                <w:webHidden/>
              </w:rPr>
              <w:fldChar w:fldCharType="begin"/>
            </w:r>
            <w:r w:rsidR="00D66B49">
              <w:rPr>
                <w:webHidden/>
              </w:rPr>
              <w:instrText xml:space="preserve"> PAGEREF _Toc451285756 \h </w:instrText>
            </w:r>
            <w:r w:rsidR="00D66B49">
              <w:rPr>
                <w:webHidden/>
              </w:rPr>
            </w:r>
            <w:r w:rsidR="00D66B49">
              <w:rPr>
                <w:webHidden/>
              </w:rPr>
              <w:fldChar w:fldCharType="separate"/>
            </w:r>
            <w:r w:rsidR="00D66B49">
              <w:rPr>
                <w:webHidden/>
              </w:rPr>
              <w:t>5-7</w:t>
            </w:r>
            <w:r w:rsidR="00D66B49">
              <w:rPr>
                <w:webHidden/>
              </w:rPr>
              <w:fldChar w:fldCharType="end"/>
            </w:r>
          </w:hyperlink>
        </w:p>
        <w:p w:rsidR="00D66B49" w:rsidRDefault="00024E0B">
          <w:pPr>
            <w:pStyle w:val="TOC2"/>
            <w:rPr>
              <w:rFonts w:asciiTheme="minorHAnsi" w:eastAsiaTheme="minorEastAsia" w:hAnsiTheme="minorHAnsi"/>
              <w:b w:val="0"/>
              <w:color w:val="auto"/>
              <w:sz w:val="22"/>
              <w:lang w:eastAsia="en-AU"/>
            </w:rPr>
          </w:pPr>
          <w:hyperlink w:anchor="_Toc451285757" w:history="1">
            <w:r w:rsidR="00D66B49" w:rsidRPr="002A546F">
              <w:rPr>
                <w:rStyle w:val="Hyperlink"/>
              </w:rPr>
              <w:t>5.3</w:t>
            </w:r>
            <w:r w:rsidR="00D66B49">
              <w:rPr>
                <w:rFonts w:asciiTheme="minorHAnsi" w:eastAsiaTheme="minorEastAsia" w:hAnsiTheme="minorHAnsi"/>
                <w:b w:val="0"/>
                <w:color w:val="auto"/>
                <w:sz w:val="22"/>
                <w:lang w:eastAsia="en-AU"/>
              </w:rPr>
              <w:tab/>
            </w:r>
            <w:r w:rsidR="00D66B49" w:rsidRPr="002A546F">
              <w:rPr>
                <w:rStyle w:val="Hyperlink"/>
              </w:rPr>
              <w:t>Assessment approach</w:t>
            </w:r>
            <w:r w:rsidR="00D66B49">
              <w:rPr>
                <w:webHidden/>
              </w:rPr>
              <w:tab/>
            </w:r>
            <w:r w:rsidR="00D66B49">
              <w:rPr>
                <w:webHidden/>
              </w:rPr>
              <w:fldChar w:fldCharType="begin"/>
            </w:r>
            <w:r w:rsidR="00D66B49">
              <w:rPr>
                <w:webHidden/>
              </w:rPr>
              <w:instrText xml:space="preserve"> PAGEREF _Toc451285757 \h </w:instrText>
            </w:r>
            <w:r w:rsidR="00D66B49">
              <w:rPr>
                <w:webHidden/>
              </w:rPr>
            </w:r>
            <w:r w:rsidR="00D66B49">
              <w:rPr>
                <w:webHidden/>
              </w:rPr>
              <w:fldChar w:fldCharType="separate"/>
            </w:r>
            <w:r w:rsidR="00D66B49">
              <w:rPr>
                <w:webHidden/>
              </w:rPr>
              <w:t>5-8</w:t>
            </w:r>
            <w:r w:rsidR="00D66B49">
              <w:rPr>
                <w:webHidden/>
              </w:rPr>
              <w:fldChar w:fldCharType="end"/>
            </w:r>
          </w:hyperlink>
        </w:p>
        <w:p w:rsidR="00D66B49" w:rsidRDefault="00024E0B">
          <w:pPr>
            <w:pStyle w:val="TOC2"/>
            <w:rPr>
              <w:rFonts w:asciiTheme="minorHAnsi" w:eastAsiaTheme="minorEastAsia" w:hAnsiTheme="minorHAnsi"/>
              <w:b w:val="0"/>
              <w:color w:val="auto"/>
              <w:sz w:val="22"/>
              <w:lang w:eastAsia="en-AU"/>
            </w:rPr>
          </w:pPr>
          <w:hyperlink w:anchor="_Toc451285758" w:history="1">
            <w:r w:rsidR="00D66B49" w:rsidRPr="002A546F">
              <w:rPr>
                <w:rStyle w:val="Hyperlink"/>
              </w:rPr>
              <w:t>5.4</w:t>
            </w:r>
            <w:r w:rsidR="00D66B49">
              <w:rPr>
                <w:rFonts w:asciiTheme="minorHAnsi" w:eastAsiaTheme="minorEastAsia" w:hAnsiTheme="minorHAnsi"/>
                <w:b w:val="0"/>
                <w:color w:val="auto"/>
                <w:sz w:val="22"/>
                <w:lang w:eastAsia="en-AU"/>
              </w:rPr>
              <w:tab/>
            </w:r>
            <w:r w:rsidR="00D66B49" w:rsidRPr="002A546F">
              <w:rPr>
                <w:rStyle w:val="Hyperlink"/>
              </w:rPr>
              <w:t>Reasons for final decision</w:t>
            </w:r>
            <w:r w:rsidR="00D66B49">
              <w:rPr>
                <w:webHidden/>
              </w:rPr>
              <w:tab/>
            </w:r>
            <w:r w:rsidR="00D66B49">
              <w:rPr>
                <w:webHidden/>
              </w:rPr>
              <w:fldChar w:fldCharType="begin"/>
            </w:r>
            <w:r w:rsidR="00D66B49">
              <w:rPr>
                <w:webHidden/>
              </w:rPr>
              <w:instrText xml:space="preserve"> PAGEREF _Toc451285758 \h </w:instrText>
            </w:r>
            <w:r w:rsidR="00D66B49">
              <w:rPr>
                <w:webHidden/>
              </w:rPr>
            </w:r>
            <w:r w:rsidR="00D66B49">
              <w:rPr>
                <w:webHidden/>
              </w:rPr>
              <w:fldChar w:fldCharType="separate"/>
            </w:r>
            <w:r w:rsidR="00D66B49">
              <w:rPr>
                <w:webHidden/>
              </w:rPr>
              <w:t>5-8</w:t>
            </w:r>
            <w:r w:rsidR="00D66B49">
              <w:rPr>
                <w:webHidden/>
              </w:rPr>
              <w:fldChar w:fldCharType="end"/>
            </w:r>
          </w:hyperlink>
        </w:p>
        <w:p w:rsidR="00D66B49" w:rsidRDefault="00024E0B">
          <w:pPr>
            <w:pStyle w:val="TOC3"/>
            <w:rPr>
              <w:rFonts w:asciiTheme="minorHAnsi" w:eastAsiaTheme="minorEastAsia" w:hAnsiTheme="minorHAnsi"/>
              <w:lang w:eastAsia="en-AU"/>
            </w:rPr>
          </w:pPr>
          <w:hyperlink w:anchor="_Toc451285759" w:history="1">
            <w:r w:rsidR="00D66B49" w:rsidRPr="002A546F">
              <w:rPr>
                <w:rStyle w:val="Hyperlink"/>
              </w:rPr>
              <w:t>5.4.1</w:t>
            </w:r>
            <w:r w:rsidR="00D66B49">
              <w:rPr>
                <w:rFonts w:asciiTheme="minorHAnsi" w:eastAsiaTheme="minorEastAsia" w:hAnsiTheme="minorHAnsi"/>
                <w:lang w:eastAsia="en-AU"/>
              </w:rPr>
              <w:tab/>
            </w:r>
            <w:r w:rsidR="00D66B49" w:rsidRPr="002A546F">
              <w:rPr>
                <w:rStyle w:val="Hyperlink"/>
              </w:rPr>
              <w:t>Standard asset lives</w:t>
            </w:r>
            <w:r w:rsidR="00D66B49">
              <w:rPr>
                <w:webHidden/>
              </w:rPr>
              <w:tab/>
            </w:r>
            <w:r w:rsidR="00D66B49">
              <w:rPr>
                <w:webHidden/>
              </w:rPr>
              <w:fldChar w:fldCharType="begin"/>
            </w:r>
            <w:r w:rsidR="00D66B49">
              <w:rPr>
                <w:webHidden/>
              </w:rPr>
              <w:instrText xml:space="preserve"> PAGEREF _Toc451285759 \h </w:instrText>
            </w:r>
            <w:r w:rsidR="00D66B49">
              <w:rPr>
                <w:webHidden/>
              </w:rPr>
            </w:r>
            <w:r w:rsidR="00D66B49">
              <w:rPr>
                <w:webHidden/>
              </w:rPr>
              <w:fldChar w:fldCharType="separate"/>
            </w:r>
            <w:r w:rsidR="00D66B49">
              <w:rPr>
                <w:webHidden/>
              </w:rPr>
              <w:t>5-8</w:t>
            </w:r>
            <w:r w:rsidR="00D66B49">
              <w:rPr>
                <w:webHidden/>
              </w:rPr>
              <w:fldChar w:fldCharType="end"/>
            </w:r>
          </w:hyperlink>
        </w:p>
        <w:p w:rsidR="00D66B49" w:rsidRDefault="00024E0B">
          <w:pPr>
            <w:pStyle w:val="TOC3"/>
            <w:rPr>
              <w:rFonts w:asciiTheme="minorHAnsi" w:eastAsiaTheme="minorEastAsia" w:hAnsiTheme="minorHAnsi"/>
              <w:lang w:eastAsia="en-AU"/>
            </w:rPr>
          </w:pPr>
          <w:hyperlink w:anchor="_Toc451285760" w:history="1">
            <w:r w:rsidR="00D66B49" w:rsidRPr="002A546F">
              <w:rPr>
                <w:rStyle w:val="Hyperlink"/>
              </w:rPr>
              <w:t>5.4.2</w:t>
            </w:r>
            <w:r w:rsidR="00D66B49">
              <w:rPr>
                <w:rFonts w:asciiTheme="minorHAnsi" w:eastAsiaTheme="minorEastAsia" w:hAnsiTheme="minorHAnsi"/>
                <w:lang w:eastAsia="en-AU"/>
              </w:rPr>
              <w:tab/>
            </w:r>
            <w:r w:rsidR="00D66B49" w:rsidRPr="002A546F">
              <w:rPr>
                <w:rStyle w:val="Hyperlink"/>
              </w:rPr>
              <w:t>Remaining asset lives</w:t>
            </w:r>
            <w:r w:rsidR="00D66B49">
              <w:rPr>
                <w:webHidden/>
              </w:rPr>
              <w:tab/>
            </w:r>
            <w:r w:rsidR="00D66B49">
              <w:rPr>
                <w:webHidden/>
              </w:rPr>
              <w:fldChar w:fldCharType="begin"/>
            </w:r>
            <w:r w:rsidR="00D66B49">
              <w:rPr>
                <w:webHidden/>
              </w:rPr>
              <w:instrText xml:space="preserve"> PAGEREF _Toc451285760 \h </w:instrText>
            </w:r>
            <w:r w:rsidR="00D66B49">
              <w:rPr>
                <w:webHidden/>
              </w:rPr>
            </w:r>
            <w:r w:rsidR="00D66B49">
              <w:rPr>
                <w:webHidden/>
              </w:rPr>
              <w:fldChar w:fldCharType="separate"/>
            </w:r>
            <w:r w:rsidR="00D66B49">
              <w:rPr>
                <w:webHidden/>
              </w:rPr>
              <w:t>5-11</w:t>
            </w:r>
            <w:r w:rsidR="00D66B49">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51285753"/>
      <w:r>
        <w:lastRenderedPageBreak/>
        <w:t>Shortened forms</w:t>
      </w:r>
      <w:bookmarkEnd w:id="11"/>
      <w:bookmarkEnd w:id="12"/>
    </w:p>
    <w:tbl>
      <w:tblPr>
        <w:tblStyle w:val="AERtable-text0"/>
        <w:tblW w:w="0" w:type="auto"/>
        <w:tblLook w:val="04A0" w:firstRow="1" w:lastRow="0" w:firstColumn="1" w:lastColumn="0" w:noHBand="0" w:noVBand="1"/>
      </w:tblPr>
      <w:tblGrid>
        <w:gridCol w:w="3227"/>
        <w:gridCol w:w="5466"/>
      </w:tblGrid>
      <w:tr w:rsidR="0053603C" w:rsidRPr="0087648F" w:rsidTr="004338F8">
        <w:trPr>
          <w:cnfStyle w:val="100000000000" w:firstRow="1" w:lastRow="0" w:firstColumn="0" w:lastColumn="0" w:oddVBand="0" w:evenVBand="0" w:oddHBand="0" w:evenHBand="0" w:firstRowFirstColumn="0" w:firstRowLastColumn="0" w:lastRowFirstColumn="0" w:lastRowLastColumn="0"/>
          <w:tblHeader/>
        </w:trPr>
        <w:tc>
          <w:tcPr>
            <w:tcW w:w="3227" w:type="dxa"/>
          </w:tcPr>
          <w:p w:rsidR="0053603C" w:rsidRPr="0087648F" w:rsidRDefault="0087648F" w:rsidP="0087648F">
            <w:r>
              <w:t>Shortened form</w:t>
            </w:r>
          </w:p>
        </w:tc>
        <w:tc>
          <w:tcPr>
            <w:tcW w:w="5466" w:type="dxa"/>
          </w:tcPr>
          <w:p w:rsidR="0053603C" w:rsidRPr="0087648F" w:rsidRDefault="0087648F" w:rsidP="0087648F">
            <w:r>
              <w:t>Extended form</w:t>
            </w:r>
          </w:p>
        </w:tc>
      </w:tr>
      <w:tr w:rsidR="004523B2" w:rsidTr="004338F8">
        <w:tc>
          <w:tcPr>
            <w:tcW w:w="3227" w:type="dxa"/>
          </w:tcPr>
          <w:p w:rsidR="004523B2" w:rsidRPr="004523B2" w:rsidRDefault="004523B2" w:rsidP="004523B2">
            <w:pPr>
              <w:pStyle w:val="AERtabletextleft"/>
              <w:rPr>
                <w:rStyle w:val="AERtextsize8"/>
              </w:rPr>
            </w:pPr>
            <w:r w:rsidRPr="00712239">
              <w:rPr>
                <w:rStyle w:val="AERtextsize8"/>
              </w:rPr>
              <w:t>AEMC</w:t>
            </w:r>
          </w:p>
        </w:tc>
        <w:tc>
          <w:tcPr>
            <w:tcW w:w="5466"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4338F8">
        <w:trPr>
          <w:cnfStyle w:val="000000010000" w:firstRow="0" w:lastRow="0" w:firstColumn="0" w:lastColumn="0" w:oddVBand="0" w:evenVBand="0" w:oddHBand="0" w:evenHBand="1" w:firstRowFirstColumn="0" w:firstRowLastColumn="0" w:lastRowFirstColumn="0" w:lastRowLastColumn="0"/>
        </w:trPr>
        <w:tc>
          <w:tcPr>
            <w:tcW w:w="3227" w:type="dxa"/>
          </w:tcPr>
          <w:p w:rsidR="004523B2" w:rsidRPr="004523B2" w:rsidRDefault="004523B2" w:rsidP="004523B2">
            <w:pPr>
              <w:pStyle w:val="AERtabletextleft"/>
              <w:rPr>
                <w:rStyle w:val="AERtextsize8"/>
              </w:rPr>
            </w:pPr>
            <w:r w:rsidRPr="00712239">
              <w:rPr>
                <w:rStyle w:val="AERtextsize8"/>
              </w:rPr>
              <w:t>AEMO</w:t>
            </w:r>
          </w:p>
        </w:tc>
        <w:tc>
          <w:tcPr>
            <w:tcW w:w="5466"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4338F8">
        <w:tc>
          <w:tcPr>
            <w:tcW w:w="3227" w:type="dxa"/>
          </w:tcPr>
          <w:p w:rsidR="004523B2" w:rsidRPr="004523B2" w:rsidRDefault="004523B2" w:rsidP="004523B2">
            <w:pPr>
              <w:pStyle w:val="AERtabletextleft"/>
              <w:rPr>
                <w:rStyle w:val="AERtextsize8"/>
              </w:rPr>
            </w:pPr>
            <w:r w:rsidRPr="00712239">
              <w:rPr>
                <w:rStyle w:val="AERtextsize8"/>
              </w:rPr>
              <w:t>AER</w:t>
            </w:r>
          </w:p>
        </w:tc>
        <w:tc>
          <w:tcPr>
            <w:tcW w:w="5466"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4338F8">
        <w:trPr>
          <w:cnfStyle w:val="000000010000" w:firstRow="0" w:lastRow="0" w:firstColumn="0" w:lastColumn="0" w:oddVBand="0" w:evenVBand="0" w:oddHBand="0" w:evenHBand="1" w:firstRowFirstColumn="0" w:firstRowLastColumn="0" w:lastRowFirstColumn="0" w:lastRowLastColumn="0"/>
        </w:trPr>
        <w:tc>
          <w:tcPr>
            <w:tcW w:w="3227" w:type="dxa"/>
          </w:tcPr>
          <w:p w:rsidR="000F0F0A" w:rsidRPr="00712239" w:rsidRDefault="000F0F0A" w:rsidP="004523B2">
            <w:pPr>
              <w:pStyle w:val="AERtabletextleft"/>
              <w:rPr>
                <w:rStyle w:val="AERtextsize8"/>
              </w:rPr>
            </w:pPr>
            <w:r>
              <w:rPr>
                <w:rStyle w:val="AERtextsize8"/>
              </w:rPr>
              <w:t>AMI</w:t>
            </w:r>
          </w:p>
        </w:tc>
        <w:tc>
          <w:tcPr>
            <w:tcW w:w="5466" w:type="dxa"/>
          </w:tcPr>
          <w:p w:rsidR="000F0F0A" w:rsidRPr="00712239" w:rsidRDefault="000F0F0A" w:rsidP="004523B2">
            <w:pPr>
              <w:pStyle w:val="AERtabletextleft"/>
              <w:rPr>
                <w:rStyle w:val="AERtextsize8"/>
              </w:rPr>
            </w:pPr>
            <w:r>
              <w:rPr>
                <w:rStyle w:val="AERtextsize8"/>
              </w:rPr>
              <w:t>Advanced metering infrastructure</w:t>
            </w:r>
          </w:p>
        </w:tc>
      </w:tr>
      <w:tr w:rsidR="004523B2" w:rsidTr="004338F8">
        <w:tc>
          <w:tcPr>
            <w:tcW w:w="3227" w:type="dxa"/>
          </w:tcPr>
          <w:p w:rsidR="004523B2" w:rsidRPr="004523B2" w:rsidRDefault="004523B2" w:rsidP="004523B2">
            <w:pPr>
              <w:pStyle w:val="AERtabletextleft"/>
              <w:rPr>
                <w:rStyle w:val="AERtextsize8"/>
              </w:rPr>
            </w:pPr>
            <w:r w:rsidRPr="00712239">
              <w:rPr>
                <w:rStyle w:val="AERtextsize8"/>
              </w:rPr>
              <w:t>augex</w:t>
            </w:r>
          </w:p>
        </w:tc>
        <w:tc>
          <w:tcPr>
            <w:tcW w:w="5466"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4338F8">
        <w:trPr>
          <w:cnfStyle w:val="000000010000" w:firstRow="0" w:lastRow="0" w:firstColumn="0" w:lastColumn="0" w:oddVBand="0" w:evenVBand="0" w:oddHBand="0" w:evenHBand="1" w:firstRowFirstColumn="0" w:firstRowLastColumn="0" w:lastRowFirstColumn="0" w:lastRowLastColumn="0"/>
        </w:trPr>
        <w:tc>
          <w:tcPr>
            <w:tcW w:w="3227" w:type="dxa"/>
          </w:tcPr>
          <w:p w:rsidR="004523B2" w:rsidRPr="004523B2" w:rsidRDefault="004523B2" w:rsidP="004523B2">
            <w:pPr>
              <w:pStyle w:val="AERtabletextleft"/>
              <w:rPr>
                <w:rStyle w:val="AERtextsize8"/>
              </w:rPr>
            </w:pPr>
            <w:r w:rsidRPr="00712239">
              <w:rPr>
                <w:rStyle w:val="AERtextsize8"/>
              </w:rPr>
              <w:t>capex</w:t>
            </w:r>
          </w:p>
        </w:tc>
        <w:tc>
          <w:tcPr>
            <w:tcW w:w="5466"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4338F8">
        <w:tc>
          <w:tcPr>
            <w:tcW w:w="3227" w:type="dxa"/>
          </w:tcPr>
          <w:p w:rsidR="004523B2" w:rsidRPr="004523B2" w:rsidRDefault="004523B2" w:rsidP="004523B2">
            <w:pPr>
              <w:pStyle w:val="AERtabletextleft"/>
              <w:rPr>
                <w:rStyle w:val="AERtextsize8"/>
              </w:rPr>
            </w:pPr>
            <w:r w:rsidRPr="00712239">
              <w:rPr>
                <w:rStyle w:val="AERtextsize8"/>
              </w:rPr>
              <w:t>CCP</w:t>
            </w:r>
          </w:p>
        </w:tc>
        <w:tc>
          <w:tcPr>
            <w:tcW w:w="5466"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4338F8">
        <w:trPr>
          <w:cnfStyle w:val="000000010000" w:firstRow="0" w:lastRow="0" w:firstColumn="0" w:lastColumn="0" w:oddVBand="0" w:evenVBand="0" w:oddHBand="0" w:evenHBand="1" w:firstRowFirstColumn="0" w:firstRowLastColumn="0" w:lastRowFirstColumn="0" w:lastRowLastColumn="0"/>
        </w:trPr>
        <w:tc>
          <w:tcPr>
            <w:tcW w:w="3227" w:type="dxa"/>
          </w:tcPr>
          <w:p w:rsidR="004523B2" w:rsidRPr="004523B2" w:rsidRDefault="004523B2" w:rsidP="004523B2">
            <w:pPr>
              <w:pStyle w:val="AERtabletextleft"/>
              <w:rPr>
                <w:rStyle w:val="AERtextsize8"/>
              </w:rPr>
            </w:pPr>
            <w:r w:rsidRPr="00712239">
              <w:rPr>
                <w:rStyle w:val="AERtextsize8"/>
              </w:rPr>
              <w:t>CESS</w:t>
            </w:r>
          </w:p>
        </w:tc>
        <w:tc>
          <w:tcPr>
            <w:tcW w:w="5466"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4338F8">
        <w:tc>
          <w:tcPr>
            <w:tcW w:w="3227" w:type="dxa"/>
          </w:tcPr>
          <w:p w:rsidR="004523B2" w:rsidRPr="004523B2" w:rsidRDefault="004523B2" w:rsidP="004523B2">
            <w:pPr>
              <w:pStyle w:val="AERtabletextleft"/>
              <w:rPr>
                <w:rStyle w:val="AERtextsize8"/>
              </w:rPr>
            </w:pPr>
            <w:r w:rsidRPr="00712239">
              <w:rPr>
                <w:rStyle w:val="AERtextsize8"/>
              </w:rPr>
              <w:t>CPI</w:t>
            </w:r>
          </w:p>
        </w:tc>
        <w:tc>
          <w:tcPr>
            <w:tcW w:w="5466"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4338F8">
        <w:trPr>
          <w:cnfStyle w:val="000000010000" w:firstRow="0" w:lastRow="0" w:firstColumn="0" w:lastColumn="0" w:oddVBand="0" w:evenVBand="0" w:oddHBand="0" w:evenHBand="1" w:firstRowFirstColumn="0" w:firstRowLastColumn="0" w:lastRowFirstColumn="0" w:lastRowLastColumn="0"/>
        </w:trPr>
        <w:tc>
          <w:tcPr>
            <w:tcW w:w="3227" w:type="dxa"/>
          </w:tcPr>
          <w:p w:rsidR="004523B2" w:rsidRPr="004523B2" w:rsidRDefault="004523B2" w:rsidP="004523B2">
            <w:pPr>
              <w:pStyle w:val="AERtabletextleft"/>
              <w:rPr>
                <w:rStyle w:val="AERtextsize8"/>
              </w:rPr>
            </w:pPr>
            <w:r w:rsidRPr="00712239">
              <w:rPr>
                <w:rStyle w:val="AERtextsize8"/>
              </w:rPr>
              <w:t>DRP</w:t>
            </w:r>
          </w:p>
        </w:tc>
        <w:tc>
          <w:tcPr>
            <w:tcW w:w="5466"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4338F8">
        <w:tc>
          <w:tcPr>
            <w:tcW w:w="3227" w:type="dxa"/>
          </w:tcPr>
          <w:p w:rsidR="004523B2" w:rsidRPr="004523B2" w:rsidRDefault="004523B2" w:rsidP="004523B2">
            <w:pPr>
              <w:pStyle w:val="AERtabletextleft"/>
              <w:rPr>
                <w:rStyle w:val="AERtextsize8"/>
              </w:rPr>
            </w:pPr>
            <w:r w:rsidRPr="00712239">
              <w:rPr>
                <w:rStyle w:val="AERtextsize8"/>
              </w:rPr>
              <w:t>DMIA</w:t>
            </w:r>
          </w:p>
        </w:tc>
        <w:tc>
          <w:tcPr>
            <w:tcW w:w="5466"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4338F8">
        <w:trPr>
          <w:cnfStyle w:val="000000010000" w:firstRow="0" w:lastRow="0" w:firstColumn="0" w:lastColumn="0" w:oddVBand="0" w:evenVBand="0" w:oddHBand="0" w:evenHBand="1" w:firstRowFirstColumn="0" w:firstRowLastColumn="0" w:lastRowFirstColumn="0" w:lastRowLastColumn="0"/>
        </w:trPr>
        <w:tc>
          <w:tcPr>
            <w:tcW w:w="3227" w:type="dxa"/>
          </w:tcPr>
          <w:p w:rsidR="004523B2" w:rsidRPr="004523B2" w:rsidRDefault="004523B2" w:rsidP="004523B2">
            <w:pPr>
              <w:pStyle w:val="AERtabletextleft"/>
              <w:rPr>
                <w:rStyle w:val="AERtextsize8"/>
              </w:rPr>
            </w:pPr>
            <w:r w:rsidRPr="00712239">
              <w:rPr>
                <w:rStyle w:val="AERtextsize8"/>
              </w:rPr>
              <w:t>DMIS</w:t>
            </w:r>
          </w:p>
        </w:tc>
        <w:tc>
          <w:tcPr>
            <w:tcW w:w="5466"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4338F8">
        <w:tc>
          <w:tcPr>
            <w:tcW w:w="3227" w:type="dxa"/>
          </w:tcPr>
          <w:p w:rsidR="004523B2" w:rsidRPr="004523B2" w:rsidRDefault="004523B2" w:rsidP="004523B2">
            <w:pPr>
              <w:pStyle w:val="AERtabletextleft"/>
              <w:rPr>
                <w:rStyle w:val="AERtextsize8"/>
              </w:rPr>
            </w:pPr>
            <w:r w:rsidRPr="00712239">
              <w:rPr>
                <w:rStyle w:val="AERtextsize8"/>
              </w:rPr>
              <w:t>distributor</w:t>
            </w:r>
          </w:p>
        </w:tc>
        <w:tc>
          <w:tcPr>
            <w:tcW w:w="5466"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4338F8">
        <w:trPr>
          <w:cnfStyle w:val="000000010000" w:firstRow="0" w:lastRow="0" w:firstColumn="0" w:lastColumn="0" w:oddVBand="0" w:evenVBand="0" w:oddHBand="0" w:evenHBand="1" w:firstRowFirstColumn="0" w:firstRowLastColumn="0" w:lastRowFirstColumn="0" w:lastRowLastColumn="0"/>
        </w:trPr>
        <w:tc>
          <w:tcPr>
            <w:tcW w:w="3227" w:type="dxa"/>
          </w:tcPr>
          <w:p w:rsidR="004523B2" w:rsidRPr="004523B2" w:rsidRDefault="004523B2" w:rsidP="004523B2">
            <w:pPr>
              <w:pStyle w:val="AERtabletextleft"/>
              <w:rPr>
                <w:rStyle w:val="AERtextsize8"/>
              </w:rPr>
            </w:pPr>
            <w:r w:rsidRPr="00712239">
              <w:rPr>
                <w:rStyle w:val="AERtextsize8"/>
              </w:rPr>
              <w:t>DUoS</w:t>
            </w:r>
          </w:p>
        </w:tc>
        <w:tc>
          <w:tcPr>
            <w:tcW w:w="5466"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4338F8">
        <w:tc>
          <w:tcPr>
            <w:tcW w:w="3227" w:type="dxa"/>
          </w:tcPr>
          <w:p w:rsidR="004523B2" w:rsidRPr="004523B2" w:rsidRDefault="004523B2" w:rsidP="004523B2">
            <w:pPr>
              <w:pStyle w:val="AERtabletextleft"/>
              <w:rPr>
                <w:rStyle w:val="AERtextsize8"/>
              </w:rPr>
            </w:pPr>
            <w:r w:rsidRPr="00712239">
              <w:rPr>
                <w:rStyle w:val="AERtextsize8"/>
              </w:rPr>
              <w:t>EBSS</w:t>
            </w:r>
          </w:p>
        </w:tc>
        <w:tc>
          <w:tcPr>
            <w:tcW w:w="5466"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4338F8">
        <w:trPr>
          <w:cnfStyle w:val="000000010000" w:firstRow="0" w:lastRow="0" w:firstColumn="0" w:lastColumn="0" w:oddVBand="0" w:evenVBand="0" w:oddHBand="0" w:evenHBand="1" w:firstRowFirstColumn="0" w:firstRowLastColumn="0" w:lastRowFirstColumn="0" w:lastRowLastColumn="0"/>
        </w:trPr>
        <w:tc>
          <w:tcPr>
            <w:tcW w:w="3227" w:type="dxa"/>
          </w:tcPr>
          <w:p w:rsidR="004523B2" w:rsidRPr="004523B2" w:rsidRDefault="004523B2" w:rsidP="004523B2">
            <w:pPr>
              <w:pStyle w:val="AERtabletextleft"/>
              <w:rPr>
                <w:rStyle w:val="AERtextsize8"/>
              </w:rPr>
            </w:pPr>
            <w:r w:rsidRPr="00712239">
              <w:rPr>
                <w:rStyle w:val="AERtextsize8"/>
              </w:rPr>
              <w:t>ERP</w:t>
            </w:r>
          </w:p>
        </w:tc>
        <w:tc>
          <w:tcPr>
            <w:tcW w:w="5466"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4338F8">
        <w:tc>
          <w:tcPr>
            <w:tcW w:w="3227"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5466"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4338F8">
        <w:trPr>
          <w:cnfStyle w:val="000000010000" w:firstRow="0" w:lastRow="0" w:firstColumn="0" w:lastColumn="0" w:oddVBand="0" w:evenVBand="0" w:oddHBand="0" w:evenHBand="1" w:firstRowFirstColumn="0" w:firstRowLastColumn="0" w:lastRowFirstColumn="0" w:lastRowLastColumn="0"/>
        </w:trPr>
        <w:tc>
          <w:tcPr>
            <w:tcW w:w="3227" w:type="dxa"/>
          </w:tcPr>
          <w:p w:rsidR="004523B2" w:rsidRPr="004523B2" w:rsidRDefault="004523B2" w:rsidP="004523B2">
            <w:pPr>
              <w:pStyle w:val="AERtabletextleft"/>
              <w:rPr>
                <w:rStyle w:val="AERtextsize8"/>
              </w:rPr>
            </w:pPr>
            <w:r w:rsidRPr="00712239">
              <w:rPr>
                <w:rStyle w:val="AERtextsize8"/>
              </w:rPr>
              <w:t>F&amp;A</w:t>
            </w:r>
          </w:p>
        </w:tc>
        <w:tc>
          <w:tcPr>
            <w:tcW w:w="5466"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4338F8">
        <w:tc>
          <w:tcPr>
            <w:tcW w:w="3227" w:type="dxa"/>
          </w:tcPr>
          <w:p w:rsidR="004523B2" w:rsidRPr="004523B2" w:rsidRDefault="004523B2" w:rsidP="004523B2">
            <w:pPr>
              <w:pStyle w:val="AERtabletextleft"/>
              <w:rPr>
                <w:rStyle w:val="AERtextsize8"/>
              </w:rPr>
            </w:pPr>
            <w:r w:rsidRPr="00712239">
              <w:rPr>
                <w:rStyle w:val="AERtextsize8"/>
              </w:rPr>
              <w:t>MRP</w:t>
            </w:r>
          </w:p>
        </w:tc>
        <w:tc>
          <w:tcPr>
            <w:tcW w:w="5466"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4338F8">
        <w:trPr>
          <w:cnfStyle w:val="000000010000" w:firstRow="0" w:lastRow="0" w:firstColumn="0" w:lastColumn="0" w:oddVBand="0" w:evenVBand="0" w:oddHBand="0" w:evenHBand="1" w:firstRowFirstColumn="0" w:firstRowLastColumn="0" w:lastRowFirstColumn="0" w:lastRowLastColumn="0"/>
        </w:trPr>
        <w:tc>
          <w:tcPr>
            <w:tcW w:w="3227" w:type="dxa"/>
          </w:tcPr>
          <w:p w:rsidR="004523B2" w:rsidRPr="004523B2" w:rsidRDefault="004523B2" w:rsidP="004523B2">
            <w:pPr>
              <w:pStyle w:val="AERtabletextleft"/>
              <w:rPr>
                <w:rStyle w:val="AERtextsize8"/>
              </w:rPr>
            </w:pPr>
            <w:r w:rsidRPr="00712239">
              <w:rPr>
                <w:rStyle w:val="AERtextsize8"/>
              </w:rPr>
              <w:t>NEL</w:t>
            </w:r>
          </w:p>
        </w:tc>
        <w:tc>
          <w:tcPr>
            <w:tcW w:w="5466"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4338F8">
        <w:tc>
          <w:tcPr>
            <w:tcW w:w="3227" w:type="dxa"/>
          </w:tcPr>
          <w:p w:rsidR="004523B2" w:rsidRPr="004523B2" w:rsidRDefault="004523B2" w:rsidP="004523B2">
            <w:pPr>
              <w:pStyle w:val="AERtabletextleft"/>
              <w:rPr>
                <w:rStyle w:val="AERtextsize8"/>
              </w:rPr>
            </w:pPr>
            <w:r w:rsidRPr="00712239">
              <w:rPr>
                <w:rStyle w:val="AERtextsize8"/>
              </w:rPr>
              <w:t>NEM</w:t>
            </w:r>
          </w:p>
        </w:tc>
        <w:tc>
          <w:tcPr>
            <w:tcW w:w="5466"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4338F8">
        <w:trPr>
          <w:cnfStyle w:val="000000010000" w:firstRow="0" w:lastRow="0" w:firstColumn="0" w:lastColumn="0" w:oddVBand="0" w:evenVBand="0" w:oddHBand="0" w:evenHBand="1" w:firstRowFirstColumn="0" w:firstRowLastColumn="0" w:lastRowFirstColumn="0" w:lastRowLastColumn="0"/>
        </w:trPr>
        <w:tc>
          <w:tcPr>
            <w:tcW w:w="3227" w:type="dxa"/>
          </w:tcPr>
          <w:p w:rsidR="004523B2" w:rsidRPr="004523B2" w:rsidRDefault="004523B2" w:rsidP="004523B2">
            <w:pPr>
              <w:pStyle w:val="AERtabletextleft"/>
              <w:rPr>
                <w:rStyle w:val="AERtextsize8"/>
              </w:rPr>
            </w:pPr>
            <w:r w:rsidRPr="00712239">
              <w:rPr>
                <w:rStyle w:val="AERtextsize8"/>
              </w:rPr>
              <w:t>NEO</w:t>
            </w:r>
          </w:p>
        </w:tc>
        <w:tc>
          <w:tcPr>
            <w:tcW w:w="5466"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4338F8">
        <w:tc>
          <w:tcPr>
            <w:tcW w:w="3227" w:type="dxa"/>
          </w:tcPr>
          <w:p w:rsidR="004523B2" w:rsidRPr="004523B2" w:rsidRDefault="004523B2" w:rsidP="004523B2">
            <w:pPr>
              <w:pStyle w:val="AERtabletextleft"/>
              <w:rPr>
                <w:rStyle w:val="AERtextsize8"/>
              </w:rPr>
            </w:pPr>
            <w:r w:rsidRPr="00712239">
              <w:rPr>
                <w:rStyle w:val="AERtextsize8"/>
              </w:rPr>
              <w:t>NER</w:t>
            </w:r>
          </w:p>
        </w:tc>
        <w:tc>
          <w:tcPr>
            <w:tcW w:w="5466"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4338F8">
        <w:trPr>
          <w:cnfStyle w:val="000000010000" w:firstRow="0" w:lastRow="0" w:firstColumn="0" w:lastColumn="0" w:oddVBand="0" w:evenVBand="0" w:oddHBand="0" w:evenHBand="1" w:firstRowFirstColumn="0" w:firstRowLastColumn="0" w:lastRowFirstColumn="0" w:lastRowLastColumn="0"/>
        </w:trPr>
        <w:tc>
          <w:tcPr>
            <w:tcW w:w="3227" w:type="dxa"/>
          </w:tcPr>
          <w:p w:rsidR="004523B2" w:rsidRPr="004523B2" w:rsidRDefault="004523B2" w:rsidP="004523B2">
            <w:pPr>
              <w:pStyle w:val="AERtabletextleft"/>
              <w:rPr>
                <w:rStyle w:val="AERtextsize8"/>
              </w:rPr>
            </w:pPr>
            <w:r w:rsidRPr="00712239">
              <w:rPr>
                <w:rStyle w:val="AERtextsize8"/>
              </w:rPr>
              <w:t>NSP</w:t>
            </w:r>
          </w:p>
        </w:tc>
        <w:tc>
          <w:tcPr>
            <w:tcW w:w="5466"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4338F8">
        <w:tc>
          <w:tcPr>
            <w:tcW w:w="3227" w:type="dxa"/>
          </w:tcPr>
          <w:p w:rsidR="004523B2" w:rsidRPr="004523B2" w:rsidRDefault="004523B2" w:rsidP="004523B2">
            <w:pPr>
              <w:pStyle w:val="AERtabletextleft"/>
              <w:rPr>
                <w:rStyle w:val="AERtextsize8"/>
              </w:rPr>
            </w:pPr>
            <w:r w:rsidRPr="00712239">
              <w:rPr>
                <w:rStyle w:val="AERtextsize8"/>
              </w:rPr>
              <w:t>opex</w:t>
            </w:r>
          </w:p>
        </w:tc>
        <w:tc>
          <w:tcPr>
            <w:tcW w:w="5466"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4338F8">
        <w:trPr>
          <w:cnfStyle w:val="000000010000" w:firstRow="0" w:lastRow="0" w:firstColumn="0" w:lastColumn="0" w:oddVBand="0" w:evenVBand="0" w:oddHBand="0" w:evenHBand="1" w:firstRowFirstColumn="0" w:firstRowLastColumn="0" w:lastRowFirstColumn="0" w:lastRowLastColumn="0"/>
        </w:trPr>
        <w:tc>
          <w:tcPr>
            <w:tcW w:w="3227" w:type="dxa"/>
          </w:tcPr>
          <w:p w:rsidR="004523B2" w:rsidRPr="004523B2" w:rsidRDefault="004523B2" w:rsidP="004523B2">
            <w:pPr>
              <w:pStyle w:val="AERtabletextleft"/>
              <w:rPr>
                <w:rStyle w:val="AERtextsize8"/>
              </w:rPr>
            </w:pPr>
            <w:r w:rsidRPr="00712239">
              <w:rPr>
                <w:rStyle w:val="AERtextsize8"/>
              </w:rPr>
              <w:t>PPI</w:t>
            </w:r>
          </w:p>
        </w:tc>
        <w:tc>
          <w:tcPr>
            <w:tcW w:w="5466"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4338F8">
        <w:tc>
          <w:tcPr>
            <w:tcW w:w="3227" w:type="dxa"/>
          </w:tcPr>
          <w:p w:rsidR="004523B2" w:rsidRPr="004523B2" w:rsidRDefault="004523B2" w:rsidP="004523B2">
            <w:pPr>
              <w:pStyle w:val="AERtabletextleft"/>
              <w:rPr>
                <w:rStyle w:val="AERtextsize8"/>
              </w:rPr>
            </w:pPr>
            <w:r w:rsidRPr="00712239">
              <w:rPr>
                <w:rStyle w:val="AERtextsize8"/>
              </w:rPr>
              <w:t>PTRM</w:t>
            </w:r>
          </w:p>
        </w:tc>
        <w:tc>
          <w:tcPr>
            <w:tcW w:w="5466"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4338F8">
        <w:trPr>
          <w:cnfStyle w:val="000000010000" w:firstRow="0" w:lastRow="0" w:firstColumn="0" w:lastColumn="0" w:oddVBand="0" w:evenVBand="0" w:oddHBand="0" w:evenHBand="1" w:firstRowFirstColumn="0" w:firstRowLastColumn="0" w:lastRowFirstColumn="0" w:lastRowLastColumn="0"/>
        </w:trPr>
        <w:tc>
          <w:tcPr>
            <w:tcW w:w="3227" w:type="dxa"/>
          </w:tcPr>
          <w:p w:rsidR="004523B2" w:rsidRPr="004523B2" w:rsidRDefault="004523B2" w:rsidP="004523B2">
            <w:pPr>
              <w:pStyle w:val="AERtabletextleft"/>
              <w:rPr>
                <w:rStyle w:val="AERtextsize8"/>
              </w:rPr>
            </w:pPr>
            <w:r w:rsidRPr="00712239">
              <w:rPr>
                <w:rStyle w:val="AERtextsize8"/>
              </w:rPr>
              <w:t>RAB</w:t>
            </w:r>
          </w:p>
        </w:tc>
        <w:tc>
          <w:tcPr>
            <w:tcW w:w="5466"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4338F8">
        <w:tc>
          <w:tcPr>
            <w:tcW w:w="3227" w:type="dxa"/>
          </w:tcPr>
          <w:p w:rsidR="004523B2" w:rsidRPr="004523B2" w:rsidRDefault="004523B2" w:rsidP="004523B2">
            <w:pPr>
              <w:pStyle w:val="AERtabletextleft"/>
              <w:rPr>
                <w:rStyle w:val="AERtextsize8"/>
              </w:rPr>
            </w:pPr>
            <w:r w:rsidRPr="00712239">
              <w:rPr>
                <w:rStyle w:val="AERtextsize8"/>
              </w:rPr>
              <w:t>RBA</w:t>
            </w:r>
          </w:p>
        </w:tc>
        <w:tc>
          <w:tcPr>
            <w:tcW w:w="5466"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4338F8">
        <w:trPr>
          <w:cnfStyle w:val="000000010000" w:firstRow="0" w:lastRow="0" w:firstColumn="0" w:lastColumn="0" w:oddVBand="0" w:evenVBand="0" w:oddHBand="0" w:evenHBand="1" w:firstRowFirstColumn="0" w:firstRowLastColumn="0" w:lastRowFirstColumn="0" w:lastRowLastColumn="0"/>
        </w:trPr>
        <w:tc>
          <w:tcPr>
            <w:tcW w:w="3227" w:type="dxa"/>
          </w:tcPr>
          <w:p w:rsidR="004523B2" w:rsidRPr="004523B2" w:rsidRDefault="004523B2" w:rsidP="004523B2">
            <w:pPr>
              <w:pStyle w:val="AERtabletextleft"/>
              <w:rPr>
                <w:rStyle w:val="AERtextsize8"/>
              </w:rPr>
            </w:pPr>
            <w:r w:rsidRPr="00712239">
              <w:rPr>
                <w:rStyle w:val="AERtextsize8"/>
              </w:rPr>
              <w:t>repex</w:t>
            </w:r>
          </w:p>
        </w:tc>
        <w:tc>
          <w:tcPr>
            <w:tcW w:w="5466"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4338F8">
        <w:tc>
          <w:tcPr>
            <w:tcW w:w="3227" w:type="dxa"/>
          </w:tcPr>
          <w:p w:rsidR="004523B2" w:rsidRPr="004523B2" w:rsidRDefault="004523B2" w:rsidP="004523B2">
            <w:pPr>
              <w:pStyle w:val="AERtabletextleft"/>
              <w:rPr>
                <w:rStyle w:val="AERtextsize8"/>
              </w:rPr>
            </w:pPr>
            <w:r w:rsidRPr="00712239">
              <w:rPr>
                <w:rStyle w:val="AERtextsize8"/>
              </w:rPr>
              <w:lastRenderedPageBreak/>
              <w:t>RFM</w:t>
            </w:r>
          </w:p>
        </w:tc>
        <w:tc>
          <w:tcPr>
            <w:tcW w:w="5466"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4338F8">
        <w:trPr>
          <w:cnfStyle w:val="000000010000" w:firstRow="0" w:lastRow="0" w:firstColumn="0" w:lastColumn="0" w:oddVBand="0" w:evenVBand="0" w:oddHBand="0" w:evenHBand="1" w:firstRowFirstColumn="0" w:firstRowLastColumn="0" w:lastRowFirstColumn="0" w:lastRowLastColumn="0"/>
        </w:trPr>
        <w:tc>
          <w:tcPr>
            <w:tcW w:w="3227" w:type="dxa"/>
          </w:tcPr>
          <w:p w:rsidR="004523B2" w:rsidRPr="004523B2" w:rsidRDefault="004523B2" w:rsidP="004523B2">
            <w:pPr>
              <w:pStyle w:val="AERtabletextleft"/>
              <w:rPr>
                <w:rStyle w:val="AERtextsize8"/>
              </w:rPr>
            </w:pPr>
            <w:r w:rsidRPr="00712239">
              <w:rPr>
                <w:rStyle w:val="AERtextsize8"/>
              </w:rPr>
              <w:t>RIN</w:t>
            </w:r>
          </w:p>
        </w:tc>
        <w:tc>
          <w:tcPr>
            <w:tcW w:w="5466"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4338F8">
        <w:tc>
          <w:tcPr>
            <w:tcW w:w="3227" w:type="dxa"/>
          </w:tcPr>
          <w:p w:rsidR="004523B2" w:rsidRPr="004523B2" w:rsidRDefault="004523B2" w:rsidP="004523B2">
            <w:pPr>
              <w:pStyle w:val="AERtabletextleft"/>
              <w:rPr>
                <w:rStyle w:val="AERtextsize8"/>
              </w:rPr>
            </w:pPr>
            <w:r w:rsidRPr="00712239">
              <w:rPr>
                <w:rStyle w:val="AERtextsize8"/>
              </w:rPr>
              <w:t>RPP</w:t>
            </w:r>
          </w:p>
        </w:tc>
        <w:tc>
          <w:tcPr>
            <w:tcW w:w="5466"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4338F8">
        <w:trPr>
          <w:cnfStyle w:val="000000010000" w:firstRow="0" w:lastRow="0" w:firstColumn="0" w:lastColumn="0" w:oddVBand="0" w:evenVBand="0" w:oddHBand="0" w:evenHBand="1" w:firstRowFirstColumn="0" w:firstRowLastColumn="0" w:lastRowFirstColumn="0" w:lastRowLastColumn="0"/>
        </w:trPr>
        <w:tc>
          <w:tcPr>
            <w:tcW w:w="3227" w:type="dxa"/>
          </w:tcPr>
          <w:p w:rsidR="004523B2" w:rsidRPr="004523B2" w:rsidRDefault="004523B2" w:rsidP="004523B2">
            <w:pPr>
              <w:pStyle w:val="AERtabletextleft"/>
              <w:rPr>
                <w:rStyle w:val="AERtextsize8"/>
              </w:rPr>
            </w:pPr>
            <w:r w:rsidRPr="00712239">
              <w:rPr>
                <w:rStyle w:val="AERtextsize8"/>
              </w:rPr>
              <w:t>SAIDI</w:t>
            </w:r>
          </w:p>
        </w:tc>
        <w:tc>
          <w:tcPr>
            <w:tcW w:w="5466"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4338F8">
        <w:tc>
          <w:tcPr>
            <w:tcW w:w="3227" w:type="dxa"/>
          </w:tcPr>
          <w:p w:rsidR="004523B2" w:rsidRPr="004523B2" w:rsidRDefault="004523B2" w:rsidP="004523B2">
            <w:pPr>
              <w:pStyle w:val="AERtabletextleft"/>
              <w:rPr>
                <w:rStyle w:val="AERtextsize8"/>
              </w:rPr>
            </w:pPr>
            <w:r w:rsidRPr="00712239">
              <w:rPr>
                <w:rStyle w:val="AERtextsize8"/>
              </w:rPr>
              <w:t>SAIFI</w:t>
            </w:r>
          </w:p>
        </w:tc>
        <w:tc>
          <w:tcPr>
            <w:tcW w:w="5466"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4338F8">
        <w:trPr>
          <w:cnfStyle w:val="000000010000" w:firstRow="0" w:lastRow="0" w:firstColumn="0" w:lastColumn="0" w:oddVBand="0" w:evenVBand="0" w:oddHBand="0" w:evenHBand="1" w:firstRowFirstColumn="0" w:firstRowLastColumn="0" w:lastRowFirstColumn="0" w:lastRowLastColumn="0"/>
        </w:trPr>
        <w:tc>
          <w:tcPr>
            <w:tcW w:w="3227" w:type="dxa"/>
          </w:tcPr>
          <w:p w:rsidR="004523B2" w:rsidRPr="004523B2" w:rsidRDefault="004523B2" w:rsidP="004523B2">
            <w:pPr>
              <w:pStyle w:val="AERtabletextleft"/>
              <w:rPr>
                <w:rStyle w:val="AERtextsize8"/>
              </w:rPr>
            </w:pPr>
            <w:r w:rsidRPr="00712239">
              <w:rPr>
                <w:rStyle w:val="AERtextsize8"/>
              </w:rPr>
              <w:t>SLCAPM</w:t>
            </w:r>
          </w:p>
        </w:tc>
        <w:tc>
          <w:tcPr>
            <w:tcW w:w="5466"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4338F8">
        <w:tc>
          <w:tcPr>
            <w:tcW w:w="3227" w:type="dxa"/>
          </w:tcPr>
          <w:p w:rsidR="004523B2" w:rsidRPr="004523B2" w:rsidRDefault="004523B2" w:rsidP="004523B2">
            <w:pPr>
              <w:pStyle w:val="AERtabletextleft"/>
              <w:rPr>
                <w:rStyle w:val="AERtextsize8"/>
              </w:rPr>
            </w:pPr>
            <w:r w:rsidRPr="00712239">
              <w:rPr>
                <w:rStyle w:val="AERtextsize8"/>
              </w:rPr>
              <w:t>STPIS</w:t>
            </w:r>
          </w:p>
        </w:tc>
        <w:tc>
          <w:tcPr>
            <w:tcW w:w="5466"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4338F8">
        <w:trPr>
          <w:cnfStyle w:val="000000010000" w:firstRow="0" w:lastRow="0" w:firstColumn="0" w:lastColumn="0" w:oddVBand="0" w:evenVBand="0" w:oddHBand="0" w:evenHBand="1" w:firstRowFirstColumn="0" w:firstRowLastColumn="0" w:lastRowFirstColumn="0" w:lastRowLastColumn="0"/>
        </w:trPr>
        <w:tc>
          <w:tcPr>
            <w:tcW w:w="3227" w:type="dxa"/>
          </w:tcPr>
          <w:p w:rsidR="004523B2" w:rsidRPr="004523B2" w:rsidRDefault="004523B2" w:rsidP="004523B2">
            <w:pPr>
              <w:pStyle w:val="AERtabletextleft"/>
              <w:rPr>
                <w:rStyle w:val="AERtextsize8"/>
              </w:rPr>
            </w:pPr>
            <w:r w:rsidRPr="00712239">
              <w:rPr>
                <w:rStyle w:val="AERtextsize8"/>
              </w:rPr>
              <w:t>WACC</w:t>
            </w:r>
          </w:p>
        </w:tc>
        <w:tc>
          <w:tcPr>
            <w:tcW w:w="5466"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D9309B" w:rsidP="00D9309B">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51285754"/>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Regulatory depreciation</w:t>
      </w:r>
      <w:bookmarkEnd w:id="71"/>
    </w:p>
    <w:p w:rsidR="00A573B4" w:rsidRPr="004F0C0B" w:rsidRDefault="00A573B4" w:rsidP="00A573B4">
      <w:r w:rsidRPr="004F0C0B">
        <w:t xml:space="preserve">Depreciation is the allowance provided so capital investors recover their investment over the economic life of the asset (return of capital). In deciding whether to approve the depreciation schedules submitted by </w:t>
      </w:r>
      <w:r>
        <w:t>Jemena</w:t>
      </w:r>
      <w:r w:rsidRPr="004F0C0B">
        <w:t xml:space="preserve">, we make determinations on the indexation of the regulatory asset base (RAB) and depreciation building blocks for </w:t>
      </w:r>
      <w:r>
        <w:t>Jemena</w:t>
      </w:r>
      <w:r w:rsidRPr="004F0C0B">
        <w:t>'s 2016–20 regulatory control period.</w:t>
      </w:r>
      <w:r>
        <w:rPr>
          <w:rStyle w:val="FootnoteReference"/>
        </w:rPr>
        <w:footnoteReference w:id="1"/>
      </w:r>
      <w:r w:rsidRPr="004F0C0B">
        <w:t xml:space="preserve"> The regulatory depreciation allowance is the net total of the straight-line depreciation (negative) and the indexation (positive) of the RAB.</w:t>
      </w:r>
    </w:p>
    <w:p w:rsidR="00132D43" w:rsidRPr="00132D43" w:rsidRDefault="00A573B4" w:rsidP="00A573B4">
      <w:r w:rsidRPr="004F0C0B">
        <w:t xml:space="preserve">This attachment sets out our </w:t>
      </w:r>
      <w:r w:rsidR="00A373EB">
        <w:t>final</w:t>
      </w:r>
      <w:r w:rsidRPr="004F0C0B">
        <w:t xml:space="preserve"> decision on </w:t>
      </w:r>
      <w:r>
        <w:t>Jemena</w:t>
      </w:r>
      <w:r w:rsidRPr="004F0C0B">
        <w:t xml:space="preserve">'s regulatory depreciation allowance. It also presents our </w:t>
      </w:r>
      <w:r>
        <w:t xml:space="preserve">final </w:t>
      </w:r>
      <w:r w:rsidRPr="004F0C0B">
        <w:t xml:space="preserve">decision on the </w:t>
      </w:r>
      <w:r>
        <w:t xml:space="preserve">revised </w:t>
      </w:r>
      <w:r w:rsidRPr="004F0C0B">
        <w:t xml:space="preserve">proposed depreciation schedules, including an assessment of the </w:t>
      </w:r>
      <w:r>
        <w:t xml:space="preserve">revised </w:t>
      </w:r>
      <w:r w:rsidRPr="004F0C0B">
        <w:t xml:space="preserve">proposed standard asset lives </w:t>
      </w:r>
      <w:r w:rsidR="00A373EB">
        <w:t xml:space="preserve">for depreciating forecast capex </w:t>
      </w:r>
      <w:r w:rsidRPr="004F0C0B">
        <w:t xml:space="preserve">and </w:t>
      </w:r>
      <w:r w:rsidR="00A373EB">
        <w:t xml:space="preserve">the revised proposed </w:t>
      </w:r>
      <w:r w:rsidRPr="004F0C0B">
        <w:t xml:space="preserve">depreciation </w:t>
      </w:r>
      <w:r w:rsidR="00A373EB">
        <w:t>approach for existing assets</w:t>
      </w:r>
      <w:r w:rsidRPr="004F0C0B">
        <w:t>.</w:t>
      </w:r>
    </w:p>
    <w:p w:rsidR="00132D43" w:rsidRDefault="00DB4E34" w:rsidP="00132D43">
      <w:pPr>
        <w:pStyle w:val="Heading2"/>
      </w:pPr>
      <w:bookmarkStart w:id="72" w:name="_Toc451285755"/>
      <w:r>
        <w:t>Final</w:t>
      </w:r>
      <w:r w:rsidR="00132D43">
        <w:t xml:space="preserve"> decision</w:t>
      </w:r>
      <w:bookmarkEnd w:id="72"/>
    </w:p>
    <w:p w:rsidR="00A573B4" w:rsidRDefault="00A573B4" w:rsidP="00A573B4">
      <w:r w:rsidRPr="00A61049">
        <w:t xml:space="preserve">We do not accept </w:t>
      </w:r>
      <w:r>
        <w:t>Jemena</w:t>
      </w:r>
      <w:r w:rsidRPr="00A61049">
        <w:t>'s revised proposed regulatory depreciation allowance of $</w:t>
      </w:r>
      <w:r>
        <w:t>282.5 </w:t>
      </w:r>
      <w:r w:rsidRPr="00A61049">
        <w:t>million ($ nominal) for the 201</w:t>
      </w:r>
      <w:r>
        <w:t>6</w:t>
      </w:r>
      <w:r w:rsidRPr="00A61049">
        <w:t>–20 regulatory control period.</w:t>
      </w:r>
      <w:r>
        <w:rPr>
          <w:rStyle w:val="FootnoteReference"/>
        </w:rPr>
        <w:footnoteReference w:id="2"/>
      </w:r>
      <w:r w:rsidRPr="00A61049">
        <w:t xml:space="preserve"> Instead, we determine a regulatory depreciation allowance of $</w:t>
      </w:r>
      <w:r w:rsidR="008500F3">
        <w:t>2</w:t>
      </w:r>
      <w:r w:rsidR="00826941">
        <w:t>62.9 </w:t>
      </w:r>
      <w:r w:rsidRPr="00A61049">
        <w:t>million ($ nominal). This amount represents a decrease of $</w:t>
      </w:r>
      <w:r w:rsidR="00826941">
        <w:t>19.7 </w:t>
      </w:r>
      <w:r w:rsidRPr="00A61049">
        <w:t xml:space="preserve">million (or </w:t>
      </w:r>
      <w:r w:rsidR="00826941">
        <w:t>7.0 </w:t>
      </w:r>
      <w:r w:rsidRPr="00A61049">
        <w:t xml:space="preserve">per cent) on </w:t>
      </w:r>
      <w:r w:rsidR="009F2B37">
        <w:t>Jemena</w:t>
      </w:r>
      <w:r w:rsidRPr="00A61049">
        <w:t>'s revised proposed amount.</w:t>
      </w:r>
      <w:r w:rsidR="00A373EB">
        <w:t xml:space="preserve"> In coming to this decision:</w:t>
      </w:r>
    </w:p>
    <w:p w:rsidR="00A373EB" w:rsidRDefault="00182C06" w:rsidP="00A373EB">
      <w:pPr>
        <w:pStyle w:val="AERbulletlistfirststyle"/>
      </w:pPr>
      <w:r>
        <w:t>W</w:t>
      </w:r>
      <w:r w:rsidR="00A373EB" w:rsidRPr="00A373EB">
        <w:t xml:space="preserve">e accept </w:t>
      </w:r>
      <w:r w:rsidR="00A373EB">
        <w:t>Jemena</w:t>
      </w:r>
      <w:r w:rsidR="00A373EB" w:rsidRPr="00A373EB">
        <w:t>'s revised proposed asset classes</w:t>
      </w:r>
      <w:r w:rsidR="00A373EB">
        <w:t xml:space="preserve"> and </w:t>
      </w:r>
      <w:r w:rsidR="00A373EB" w:rsidRPr="00A373EB">
        <w:t>str</w:t>
      </w:r>
      <w:r w:rsidR="00A373EB">
        <w:t xml:space="preserve">aight-line depreciation method </w:t>
      </w:r>
      <w:r w:rsidR="00A373EB" w:rsidRPr="00A373EB">
        <w:t>used to calculate the regulatory depreciation allowance</w:t>
      </w:r>
      <w:r w:rsidR="00770030">
        <w:t xml:space="preserve"> (section </w:t>
      </w:r>
      <w:r w:rsidR="00770030">
        <w:fldChar w:fldCharType="begin"/>
      </w:r>
      <w:r w:rsidR="00770030">
        <w:instrText xml:space="preserve"> REF _Ref445200998 \r \h </w:instrText>
      </w:r>
      <w:r w:rsidR="00770030">
        <w:fldChar w:fldCharType="separate"/>
      </w:r>
      <w:r w:rsidR="00D66B49">
        <w:t>5.4.1</w:t>
      </w:r>
      <w:r w:rsidR="00770030">
        <w:fldChar w:fldCharType="end"/>
      </w:r>
      <w:r w:rsidR="00770030">
        <w:t>)</w:t>
      </w:r>
      <w:r w:rsidR="00A373EB" w:rsidRPr="00A373EB">
        <w:t>.</w:t>
      </w:r>
    </w:p>
    <w:p w:rsidR="00A373EB" w:rsidRDefault="00182C06" w:rsidP="00A373EB">
      <w:pPr>
        <w:pStyle w:val="AERbulletlistfirststyle"/>
      </w:pPr>
      <w:r>
        <w:t>W</w:t>
      </w:r>
      <w:r w:rsidR="00A373EB">
        <w:t xml:space="preserve">e accept </w:t>
      </w:r>
      <w:r w:rsidR="00C51BFA">
        <w:t>Jemena's</w:t>
      </w:r>
      <w:r w:rsidR="00A373EB">
        <w:t xml:space="preserve"> approach to determining </w:t>
      </w:r>
      <w:r w:rsidR="00A373EB" w:rsidRPr="00A373EB">
        <w:t>standard asset lives</w:t>
      </w:r>
      <w:r w:rsidR="00A373EB">
        <w:t xml:space="preserve"> used to calculate depreciation of forecast capex. However, we corrected a number of input errors in the revised proposal.</w:t>
      </w:r>
    </w:p>
    <w:p w:rsidR="00A373EB" w:rsidRDefault="00182C06" w:rsidP="00C51BFA">
      <w:pPr>
        <w:pStyle w:val="AERbulletlistfirststyle"/>
      </w:pPr>
      <w:r>
        <w:t>W</w:t>
      </w:r>
      <w:r w:rsidR="00C51BFA">
        <w:t xml:space="preserve">e accept Jemena's </w:t>
      </w:r>
      <w:r w:rsidR="00C51BFA" w:rsidRPr="00C51BFA">
        <w:t>revised propos</w:t>
      </w:r>
      <w:r w:rsidR="00770030">
        <w:t>ed approach to</w:t>
      </w:r>
      <w:r w:rsidR="00C51BFA">
        <w:t xml:space="preserve"> </w:t>
      </w:r>
      <w:r w:rsidR="00C51BFA" w:rsidRPr="00C51BFA">
        <w:t xml:space="preserve">depreciation </w:t>
      </w:r>
      <w:r w:rsidR="00770030">
        <w:t>associated with</w:t>
      </w:r>
      <w:r w:rsidR="00C51BFA" w:rsidRPr="00C51BFA">
        <w:t xml:space="preserve"> existing assets</w:t>
      </w:r>
      <w:r w:rsidR="00C51BFA">
        <w:t>. The revised proposed approach is consistent with the preliminary decision</w:t>
      </w:r>
      <w:r w:rsidR="00770030">
        <w:t xml:space="preserve"> (section </w:t>
      </w:r>
      <w:r w:rsidR="00770030">
        <w:fldChar w:fldCharType="begin"/>
      </w:r>
      <w:r w:rsidR="00770030">
        <w:instrText xml:space="preserve"> REF _Ref445201101 \r \h </w:instrText>
      </w:r>
      <w:r w:rsidR="00770030">
        <w:fldChar w:fldCharType="separate"/>
      </w:r>
      <w:r w:rsidR="00D66B49">
        <w:t>5.4.2</w:t>
      </w:r>
      <w:r w:rsidR="00770030">
        <w:fldChar w:fldCharType="end"/>
      </w:r>
      <w:r w:rsidR="00770030">
        <w:t>)</w:t>
      </w:r>
      <w:r w:rsidR="00C51BFA">
        <w:t>.</w:t>
      </w:r>
    </w:p>
    <w:p w:rsidR="00A573B4" w:rsidRDefault="00182C06" w:rsidP="00C51BFA">
      <w:pPr>
        <w:pStyle w:val="AERbulletlistfirststyle"/>
      </w:pPr>
      <w:r>
        <w:t>W</w:t>
      </w:r>
      <w:r w:rsidR="00C51BFA">
        <w:t xml:space="preserve">e made </w:t>
      </w:r>
      <w:r w:rsidR="00A573B4" w:rsidRPr="00A61049">
        <w:t xml:space="preserve">determinations on other components of </w:t>
      </w:r>
      <w:r w:rsidR="009F2B37">
        <w:t>Jemena</w:t>
      </w:r>
      <w:r w:rsidR="00A573B4" w:rsidRPr="00A61049">
        <w:t>'s revised proposal which affect the forecast regulatory depreciation allowance—for example, the opening RAB at 1</w:t>
      </w:r>
      <w:r w:rsidR="00A573B4">
        <w:t> January</w:t>
      </w:r>
      <w:r w:rsidR="00A573B4" w:rsidRPr="00A61049">
        <w:t xml:space="preserve"> 201</w:t>
      </w:r>
      <w:r w:rsidR="00A573B4">
        <w:t>6</w:t>
      </w:r>
      <w:r w:rsidR="00A573B4" w:rsidRPr="00A61049">
        <w:t xml:space="preserve"> (attachment 2)</w:t>
      </w:r>
      <w:r w:rsidR="008500F3">
        <w:t xml:space="preserve"> and</w:t>
      </w:r>
      <w:r w:rsidR="00A573B4">
        <w:t xml:space="preserve"> </w:t>
      </w:r>
      <w:r w:rsidR="00EC7486">
        <w:t>expected</w:t>
      </w:r>
      <w:r w:rsidR="00A573B4">
        <w:t xml:space="preserve"> inflation (attachment 3)</w:t>
      </w:r>
      <w:r w:rsidR="00A573B4" w:rsidRPr="00A61049">
        <w:t>.</w:t>
      </w:r>
      <w:r w:rsidR="00A573B4">
        <w:rPr>
          <w:rStyle w:val="FootnoteReference"/>
        </w:rPr>
        <w:footnoteReference w:id="3"/>
      </w:r>
    </w:p>
    <w:p w:rsidR="00132D43" w:rsidRDefault="004F1DE8" w:rsidP="00132D43">
      <w:r>
        <w:fldChar w:fldCharType="begin"/>
      </w:r>
      <w:r>
        <w:instrText xml:space="preserve"> REF _Ref442101529 \h </w:instrText>
      </w:r>
      <w:r>
        <w:fldChar w:fldCharType="separate"/>
      </w:r>
      <w:r w:rsidR="00D66B49">
        <w:t xml:space="preserve">Table </w:t>
      </w:r>
      <w:r w:rsidR="00D66B49">
        <w:rPr>
          <w:noProof/>
        </w:rPr>
        <w:t>5</w:t>
      </w:r>
      <w:r w:rsidR="00D66B49">
        <w:t>.</w:t>
      </w:r>
      <w:r w:rsidR="00D66B49">
        <w:rPr>
          <w:noProof/>
        </w:rPr>
        <w:t>1</w:t>
      </w:r>
      <w:r>
        <w:fldChar w:fldCharType="end"/>
      </w:r>
      <w:r>
        <w:t xml:space="preserve"> </w:t>
      </w:r>
      <w:r w:rsidR="009F2B37" w:rsidRPr="00A61049">
        <w:t xml:space="preserve">sets out our final decision on the annual regulatory depreciation allowance for </w:t>
      </w:r>
      <w:r w:rsidR="009F2B37">
        <w:t>Jemena</w:t>
      </w:r>
      <w:r w:rsidR="009F2B37" w:rsidRPr="00A61049">
        <w:t>'s 201</w:t>
      </w:r>
      <w:r w:rsidR="009F2B37">
        <w:t>6</w:t>
      </w:r>
      <w:r w:rsidR="009F2B37" w:rsidRPr="00A61049">
        <w:t>–20 regulatory control period.</w:t>
      </w:r>
    </w:p>
    <w:p w:rsidR="009F2B37" w:rsidRDefault="009F2B37" w:rsidP="009F2B37">
      <w:pPr>
        <w:pStyle w:val="Caption"/>
      </w:pPr>
      <w:bookmarkStart w:id="73" w:name="_Ref442101529"/>
      <w:r>
        <w:lastRenderedPageBreak/>
        <w:t xml:space="preserve">Table </w:t>
      </w:r>
      <w:r w:rsidR="00024E0B">
        <w:fldChar w:fldCharType="begin"/>
      </w:r>
      <w:r w:rsidR="00024E0B">
        <w:instrText xml:space="preserve"> STYLEREF 1 \s </w:instrText>
      </w:r>
      <w:r w:rsidR="00024E0B">
        <w:fldChar w:fldCharType="separate"/>
      </w:r>
      <w:r w:rsidR="00D66B49">
        <w:rPr>
          <w:noProof/>
        </w:rPr>
        <w:t>5</w:t>
      </w:r>
      <w:r w:rsidR="00024E0B">
        <w:rPr>
          <w:noProof/>
        </w:rPr>
        <w:fldChar w:fldCharType="end"/>
      </w:r>
      <w:r w:rsidR="000051F7">
        <w:t>.</w:t>
      </w:r>
      <w:fldSimple w:instr=" SEQ Table \* ARABIC \s 1 ">
        <w:r w:rsidR="00D66B49">
          <w:rPr>
            <w:noProof/>
          </w:rPr>
          <w:t>1</w:t>
        </w:r>
      </w:fldSimple>
      <w:bookmarkEnd w:id="73"/>
      <w:r>
        <w:tab/>
      </w:r>
      <w:r w:rsidRPr="009F2B37">
        <w:t xml:space="preserve">AER's final decision on </w:t>
      </w:r>
      <w:r>
        <w:t>Jemena</w:t>
      </w:r>
      <w:r w:rsidRPr="009F2B37">
        <w:t>'s depreciation allowance for the 2016–20 regulatory control period ($ million, nominal)</w:t>
      </w:r>
    </w:p>
    <w:tbl>
      <w:tblPr>
        <w:tblStyle w:val="AERtable-numbers"/>
        <w:tblW w:w="8613" w:type="dxa"/>
        <w:tblLayout w:type="fixed"/>
        <w:tblLook w:val="04A0" w:firstRow="1" w:lastRow="0" w:firstColumn="1" w:lastColumn="0" w:noHBand="0" w:noVBand="1"/>
      </w:tblPr>
      <w:tblGrid>
        <w:gridCol w:w="3227"/>
        <w:gridCol w:w="897"/>
        <w:gridCol w:w="898"/>
        <w:gridCol w:w="898"/>
        <w:gridCol w:w="897"/>
        <w:gridCol w:w="898"/>
        <w:gridCol w:w="898"/>
      </w:tblGrid>
      <w:tr w:rsidR="009F2B37" w:rsidRPr="00204479" w:rsidTr="0084457E">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9F2B37" w:rsidRPr="009F2B37" w:rsidRDefault="009F2B37" w:rsidP="009F2B37">
            <w:r w:rsidRPr="00204479">
              <w:t> </w:t>
            </w:r>
          </w:p>
        </w:tc>
        <w:tc>
          <w:tcPr>
            <w:tcW w:w="897" w:type="dxa"/>
            <w:noWrap/>
            <w:hideMark/>
          </w:tcPr>
          <w:p w:rsidR="009F2B37" w:rsidRPr="009F2B37" w:rsidRDefault="009F2B37" w:rsidP="009F2B37">
            <w:pPr>
              <w:cnfStyle w:val="100000000000" w:firstRow="1" w:lastRow="0" w:firstColumn="0" w:lastColumn="0" w:oddVBand="0" w:evenVBand="0" w:oddHBand="0" w:evenHBand="0" w:firstRowFirstColumn="0" w:firstRowLastColumn="0" w:lastRowFirstColumn="0" w:lastRowLastColumn="0"/>
            </w:pPr>
            <w:r>
              <w:t>2016</w:t>
            </w:r>
          </w:p>
        </w:tc>
        <w:tc>
          <w:tcPr>
            <w:tcW w:w="898" w:type="dxa"/>
            <w:noWrap/>
            <w:hideMark/>
          </w:tcPr>
          <w:p w:rsidR="009F2B37" w:rsidRPr="009F2B37" w:rsidRDefault="009F2B37" w:rsidP="009F2B37">
            <w:pPr>
              <w:cnfStyle w:val="100000000000" w:firstRow="1" w:lastRow="0" w:firstColumn="0" w:lastColumn="0" w:oddVBand="0" w:evenVBand="0" w:oddHBand="0" w:evenHBand="0" w:firstRowFirstColumn="0" w:firstRowLastColumn="0" w:lastRowFirstColumn="0" w:lastRowLastColumn="0"/>
            </w:pPr>
            <w:r>
              <w:t>201</w:t>
            </w:r>
            <w:r w:rsidRPr="009F2B37">
              <w:t>7</w:t>
            </w:r>
          </w:p>
        </w:tc>
        <w:tc>
          <w:tcPr>
            <w:tcW w:w="898" w:type="dxa"/>
            <w:noWrap/>
            <w:hideMark/>
          </w:tcPr>
          <w:p w:rsidR="009F2B37" w:rsidRPr="009F2B37" w:rsidRDefault="009F2B37" w:rsidP="009F2B37">
            <w:pPr>
              <w:cnfStyle w:val="100000000000" w:firstRow="1" w:lastRow="0" w:firstColumn="0" w:lastColumn="0" w:oddVBand="0" w:evenVBand="0" w:oddHBand="0" w:evenHBand="0" w:firstRowFirstColumn="0" w:firstRowLastColumn="0" w:lastRowFirstColumn="0" w:lastRowLastColumn="0"/>
            </w:pPr>
            <w:r>
              <w:t>201</w:t>
            </w:r>
            <w:r w:rsidRPr="009F2B37">
              <w:t>8</w:t>
            </w:r>
          </w:p>
        </w:tc>
        <w:tc>
          <w:tcPr>
            <w:tcW w:w="897" w:type="dxa"/>
            <w:noWrap/>
            <w:hideMark/>
          </w:tcPr>
          <w:p w:rsidR="009F2B37" w:rsidRPr="009F2B37" w:rsidRDefault="009F2B37" w:rsidP="009F2B37">
            <w:pPr>
              <w:cnfStyle w:val="100000000000" w:firstRow="1" w:lastRow="0" w:firstColumn="0" w:lastColumn="0" w:oddVBand="0" w:evenVBand="0" w:oddHBand="0" w:evenHBand="0" w:firstRowFirstColumn="0" w:firstRowLastColumn="0" w:lastRowFirstColumn="0" w:lastRowLastColumn="0"/>
            </w:pPr>
            <w:r>
              <w:t>201</w:t>
            </w:r>
            <w:r w:rsidRPr="009F2B37">
              <w:t>9</w:t>
            </w:r>
          </w:p>
        </w:tc>
        <w:tc>
          <w:tcPr>
            <w:tcW w:w="898" w:type="dxa"/>
            <w:noWrap/>
            <w:hideMark/>
          </w:tcPr>
          <w:p w:rsidR="009F2B37" w:rsidRPr="009F2B37" w:rsidRDefault="009F2B37" w:rsidP="009F2B37">
            <w:pPr>
              <w:cnfStyle w:val="100000000000" w:firstRow="1" w:lastRow="0" w:firstColumn="0" w:lastColumn="0" w:oddVBand="0" w:evenVBand="0" w:oddHBand="0" w:evenHBand="0" w:firstRowFirstColumn="0" w:firstRowLastColumn="0" w:lastRowFirstColumn="0" w:lastRowLastColumn="0"/>
            </w:pPr>
            <w:r>
              <w:t>20</w:t>
            </w:r>
            <w:r w:rsidRPr="009F2B37">
              <w:t>20</w:t>
            </w:r>
          </w:p>
        </w:tc>
        <w:tc>
          <w:tcPr>
            <w:tcW w:w="898" w:type="dxa"/>
            <w:noWrap/>
            <w:hideMark/>
          </w:tcPr>
          <w:p w:rsidR="009F2B37" w:rsidRPr="009F2B37" w:rsidRDefault="009F2B37" w:rsidP="009F2B37">
            <w:pPr>
              <w:cnfStyle w:val="100000000000" w:firstRow="1" w:lastRow="0" w:firstColumn="0" w:lastColumn="0" w:oddVBand="0" w:evenVBand="0" w:oddHBand="0" w:evenHBand="0" w:firstRowFirstColumn="0" w:firstRowLastColumn="0" w:lastRowFirstColumn="0" w:lastRowLastColumn="0"/>
            </w:pPr>
            <w:r w:rsidRPr="00204479">
              <w:t>Total</w:t>
            </w:r>
          </w:p>
        </w:tc>
      </w:tr>
      <w:tr w:rsidR="00826941" w:rsidRPr="00204479" w:rsidTr="00672FDB">
        <w:trPr>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826941" w:rsidRPr="00826941" w:rsidRDefault="00826941" w:rsidP="00826941">
            <w:r w:rsidRPr="00826941">
              <w:t>Straight-line depreciation</w:t>
            </w:r>
          </w:p>
        </w:tc>
        <w:tc>
          <w:tcPr>
            <w:tcW w:w="897" w:type="dxa"/>
            <w:noWrap/>
            <w:vAlign w:val="bottom"/>
          </w:tcPr>
          <w:p w:rsidR="00826941" w:rsidRPr="00826941" w:rsidRDefault="00826941" w:rsidP="00826941">
            <w:pPr>
              <w:cnfStyle w:val="000000000000" w:firstRow="0" w:lastRow="0" w:firstColumn="0" w:lastColumn="0" w:oddVBand="0" w:evenVBand="0" w:oddHBand="0" w:evenHBand="0" w:firstRowFirstColumn="0" w:firstRowLastColumn="0" w:lastRowFirstColumn="0" w:lastRowLastColumn="0"/>
            </w:pPr>
            <w:r w:rsidRPr="00826941">
              <w:t>83.1</w:t>
            </w:r>
          </w:p>
        </w:tc>
        <w:tc>
          <w:tcPr>
            <w:tcW w:w="898" w:type="dxa"/>
            <w:noWrap/>
            <w:vAlign w:val="bottom"/>
          </w:tcPr>
          <w:p w:rsidR="00826941" w:rsidRPr="00826941" w:rsidRDefault="00826941" w:rsidP="00826941">
            <w:pPr>
              <w:cnfStyle w:val="000000000000" w:firstRow="0" w:lastRow="0" w:firstColumn="0" w:lastColumn="0" w:oddVBand="0" w:evenVBand="0" w:oddHBand="0" w:evenHBand="0" w:firstRowFirstColumn="0" w:firstRowLastColumn="0" w:lastRowFirstColumn="0" w:lastRowLastColumn="0"/>
            </w:pPr>
            <w:r w:rsidRPr="00826941">
              <w:t>74.5</w:t>
            </w:r>
          </w:p>
        </w:tc>
        <w:tc>
          <w:tcPr>
            <w:tcW w:w="898" w:type="dxa"/>
            <w:noWrap/>
            <w:vAlign w:val="bottom"/>
          </w:tcPr>
          <w:p w:rsidR="00826941" w:rsidRPr="00826941" w:rsidRDefault="00826941" w:rsidP="00826941">
            <w:pPr>
              <w:cnfStyle w:val="000000000000" w:firstRow="0" w:lastRow="0" w:firstColumn="0" w:lastColumn="0" w:oddVBand="0" w:evenVBand="0" w:oddHBand="0" w:evenHBand="0" w:firstRowFirstColumn="0" w:firstRowLastColumn="0" w:lastRowFirstColumn="0" w:lastRowLastColumn="0"/>
            </w:pPr>
            <w:r w:rsidRPr="00826941">
              <w:t>82.2</w:t>
            </w:r>
          </w:p>
        </w:tc>
        <w:tc>
          <w:tcPr>
            <w:tcW w:w="897" w:type="dxa"/>
            <w:noWrap/>
            <w:vAlign w:val="bottom"/>
          </w:tcPr>
          <w:p w:rsidR="00826941" w:rsidRPr="00826941" w:rsidRDefault="00826941" w:rsidP="00826941">
            <w:pPr>
              <w:cnfStyle w:val="000000000000" w:firstRow="0" w:lastRow="0" w:firstColumn="0" w:lastColumn="0" w:oddVBand="0" w:evenVBand="0" w:oddHBand="0" w:evenHBand="0" w:firstRowFirstColumn="0" w:firstRowLastColumn="0" w:lastRowFirstColumn="0" w:lastRowLastColumn="0"/>
            </w:pPr>
            <w:r w:rsidRPr="00826941">
              <w:t>89.1</w:t>
            </w:r>
          </w:p>
        </w:tc>
        <w:tc>
          <w:tcPr>
            <w:tcW w:w="898" w:type="dxa"/>
            <w:noWrap/>
            <w:vAlign w:val="bottom"/>
          </w:tcPr>
          <w:p w:rsidR="00826941" w:rsidRPr="00826941" w:rsidRDefault="00826941" w:rsidP="00826941">
            <w:pPr>
              <w:cnfStyle w:val="000000000000" w:firstRow="0" w:lastRow="0" w:firstColumn="0" w:lastColumn="0" w:oddVBand="0" w:evenVBand="0" w:oddHBand="0" w:evenHBand="0" w:firstRowFirstColumn="0" w:firstRowLastColumn="0" w:lastRowFirstColumn="0" w:lastRowLastColumn="0"/>
            </w:pPr>
            <w:r w:rsidRPr="00826941">
              <w:t>96.9</w:t>
            </w:r>
          </w:p>
        </w:tc>
        <w:tc>
          <w:tcPr>
            <w:tcW w:w="898" w:type="dxa"/>
            <w:noWrap/>
            <w:vAlign w:val="bottom"/>
          </w:tcPr>
          <w:p w:rsidR="00826941" w:rsidRPr="00826941" w:rsidRDefault="00826941" w:rsidP="00826941">
            <w:pPr>
              <w:cnfStyle w:val="000000000000" w:firstRow="0" w:lastRow="0" w:firstColumn="0" w:lastColumn="0" w:oddVBand="0" w:evenVBand="0" w:oddHBand="0" w:evenHBand="0" w:firstRowFirstColumn="0" w:firstRowLastColumn="0" w:lastRowFirstColumn="0" w:lastRowLastColumn="0"/>
            </w:pPr>
            <w:r w:rsidRPr="00826941">
              <w:t>425.9</w:t>
            </w:r>
          </w:p>
        </w:tc>
      </w:tr>
      <w:tr w:rsidR="00826941" w:rsidRPr="00204479" w:rsidTr="00672FDB">
        <w:trPr>
          <w:cnfStyle w:val="000000010000" w:firstRow="0" w:lastRow="0" w:firstColumn="0" w:lastColumn="0" w:oddVBand="0" w:evenVBand="0" w:oddHBand="0" w:evenHBand="1"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826941" w:rsidRPr="00826941" w:rsidRDefault="00826941" w:rsidP="00826941">
            <w:r w:rsidRPr="00826941">
              <w:rPr>
                <w:rStyle w:val="AERtextitalic"/>
              </w:rPr>
              <w:t>Less:</w:t>
            </w:r>
            <w:r w:rsidRPr="00826941">
              <w:t xml:space="preserve"> inflation indexation on opening RAB</w:t>
            </w:r>
          </w:p>
        </w:tc>
        <w:tc>
          <w:tcPr>
            <w:tcW w:w="897" w:type="dxa"/>
            <w:noWrap/>
            <w:vAlign w:val="bottom"/>
          </w:tcPr>
          <w:p w:rsidR="00826941" w:rsidRPr="00826941" w:rsidRDefault="00826941" w:rsidP="00826941">
            <w:pPr>
              <w:cnfStyle w:val="000000010000" w:firstRow="0" w:lastRow="0" w:firstColumn="0" w:lastColumn="0" w:oddVBand="0" w:evenVBand="0" w:oddHBand="0" w:evenHBand="1" w:firstRowFirstColumn="0" w:firstRowLastColumn="0" w:lastRowFirstColumn="0" w:lastRowLastColumn="0"/>
            </w:pPr>
            <w:r w:rsidRPr="00826941">
              <w:t>27.6</w:t>
            </w:r>
          </w:p>
        </w:tc>
        <w:tc>
          <w:tcPr>
            <w:tcW w:w="898" w:type="dxa"/>
            <w:noWrap/>
            <w:vAlign w:val="bottom"/>
          </w:tcPr>
          <w:p w:rsidR="00826941" w:rsidRPr="00826941" w:rsidRDefault="00826941" w:rsidP="00826941">
            <w:pPr>
              <w:cnfStyle w:val="000000010000" w:firstRow="0" w:lastRow="0" w:firstColumn="0" w:lastColumn="0" w:oddVBand="0" w:evenVBand="0" w:oddHBand="0" w:evenHBand="1" w:firstRowFirstColumn="0" w:firstRowLastColumn="0" w:lastRowFirstColumn="0" w:lastRowLastColumn="0"/>
            </w:pPr>
            <w:r w:rsidRPr="00826941">
              <w:t>29.7</w:t>
            </w:r>
          </w:p>
        </w:tc>
        <w:tc>
          <w:tcPr>
            <w:tcW w:w="898" w:type="dxa"/>
            <w:noWrap/>
            <w:vAlign w:val="bottom"/>
          </w:tcPr>
          <w:p w:rsidR="00826941" w:rsidRPr="00826941" w:rsidRDefault="00826941" w:rsidP="00826941">
            <w:pPr>
              <w:cnfStyle w:val="000000010000" w:firstRow="0" w:lastRow="0" w:firstColumn="0" w:lastColumn="0" w:oddVBand="0" w:evenVBand="0" w:oddHBand="0" w:evenHBand="1" w:firstRowFirstColumn="0" w:firstRowLastColumn="0" w:lastRowFirstColumn="0" w:lastRowLastColumn="0"/>
            </w:pPr>
            <w:r w:rsidRPr="00826941">
              <w:t>32.9</w:t>
            </w:r>
          </w:p>
        </w:tc>
        <w:tc>
          <w:tcPr>
            <w:tcW w:w="897" w:type="dxa"/>
            <w:noWrap/>
            <w:vAlign w:val="bottom"/>
          </w:tcPr>
          <w:p w:rsidR="00826941" w:rsidRPr="00826941" w:rsidRDefault="00826941" w:rsidP="00826941">
            <w:pPr>
              <w:cnfStyle w:val="000000010000" w:firstRow="0" w:lastRow="0" w:firstColumn="0" w:lastColumn="0" w:oddVBand="0" w:evenVBand="0" w:oddHBand="0" w:evenHBand="1" w:firstRowFirstColumn="0" w:firstRowLastColumn="0" w:lastRowFirstColumn="0" w:lastRowLastColumn="0"/>
            </w:pPr>
            <w:r w:rsidRPr="00826941">
              <w:t>35.3</w:t>
            </w:r>
          </w:p>
        </w:tc>
        <w:tc>
          <w:tcPr>
            <w:tcW w:w="898" w:type="dxa"/>
            <w:noWrap/>
            <w:vAlign w:val="bottom"/>
          </w:tcPr>
          <w:p w:rsidR="00826941" w:rsidRPr="00826941" w:rsidRDefault="00826941" w:rsidP="00826941">
            <w:pPr>
              <w:cnfStyle w:val="000000010000" w:firstRow="0" w:lastRow="0" w:firstColumn="0" w:lastColumn="0" w:oddVBand="0" w:evenVBand="0" w:oddHBand="0" w:evenHBand="1" w:firstRowFirstColumn="0" w:firstRowLastColumn="0" w:lastRowFirstColumn="0" w:lastRowLastColumn="0"/>
            </w:pPr>
            <w:r w:rsidRPr="00826941">
              <w:t>37.6</w:t>
            </w:r>
          </w:p>
        </w:tc>
        <w:tc>
          <w:tcPr>
            <w:tcW w:w="898" w:type="dxa"/>
            <w:noWrap/>
            <w:vAlign w:val="bottom"/>
          </w:tcPr>
          <w:p w:rsidR="00826941" w:rsidRPr="00826941" w:rsidRDefault="00826941" w:rsidP="00826941">
            <w:pPr>
              <w:cnfStyle w:val="000000010000" w:firstRow="0" w:lastRow="0" w:firstColumn="0" w:lastColumn="0" w:oddVBand="0" w:evenVBand="0" w:oddHBand="0" w:evenHBand="1" w:firstRowFirstColumn="0" w:firstRowLastColumn="0" w:lastRowFirstColumn="0" w:lastRowLastColumn="0"/>
            </w:pPr>
            <w:r w:rsidRPr="00826941">
              <w:t>163.0</w:t>
            </w:r>
          </w:p>
        </w:tc>
      </w:tr>
      <w:tr w:rsidR="00826941" w:rsidRPr="00826941" w:rsidTr="00672FDB">
        <w:trPr>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826941" w:rsidRPr="00826941" w:rsidRDefault="00826941" w:rsidP="00826941">
            <w:pPr>
              <w:rPr>
                <w:rStyle w:val="Strong"/>
              </w:rPr>
            </w:pPr>
            <w:r w:rsidRPr="00826941">
              <w:rPr>
                <w:rStyle w:val="Strong"/>
              </w:rPr>
              <w:t>Regulatory depreciation</w:t>
            </w:r>
          </w:p>
        </w:tc>
        <w:tc>
          <w:tcPr>
            <w:tcW w:w="897" w:type="dxa"/>
            <w:noWrap/>
            <w:vAlign w:val="bottom"/>
          </w:tcPr>
          <w:p w:rsidR="00826941" w:rsidRPr="00826941" w:rsidRDefault="00826941" w:rsidP="00826941">
            <w:pPr>
              <w:cnfStyle w:val="000000000000" w:firstRow="0" w:lastRow="0" w:firstColumn="0" w:lastColumn="0" w:oddVBand="0" w:evenVBand="0" w:oddHBand="0" w:evenHBand="0" w:firstRowFirstColumn="0" w:firstRowLastColumn="0" w:lastRowFirstColumn="0" w:lastRowLastColumn="0"/>
              <w:rPr>
                <w:rStyle w:val="Strong"/>
              </w:rPr>
            </w:pPr>
            <w:r w:rsidRPr="00826941">
              <w:rPr>
                <w:rStyle w:val="Strong"/>
              </w:rPr>
              <w:t>55.5</w:t>
            </w:r>
          </w:p>
        </w:tc>
        <w:tc>
          <w:tcPr>
            <w:tcW w:w="898" w:type="dxa"/>
            <w:noWrap/>
            <w:vAlign w:val="bottom"/>
          </w:tcPr>
          <w:p w:rsidR="00826941" w:rsidRPr="00826941" w:rsidRDefault="00826941" w:rsidP="00826941">
            <w:pPr>
              <w:cnfStyle w:val="000000000000" w:firstRow="0" w:lastRow="0" w:firstColumn="0" w:lastColumn="0" w:oddVBand="0" w:evenVBand="0" w:oddHBand="0" w:evenHBand="0" w:firstRowFirstColumn="0" w:firstRowLastColumn="0" w:lastRowFirstColumn="0" w:lastRowLastColumn="0"/>
              <w:rPr>
                <w:rStyle w:val="Strong"/>
              </w:rPr>
            </w:pPr>
            <w:r w:rsidRPr="00826941">
              <w:rPr>
                <w:rStyle w:val="Strong"/>
              </w:rPr>
              <w:t>44.9</w:t>
            </w:r>
          </w:p>
        </w:tc>
        <w:tc>
          <w:tcPr>
            <w:tcW w:w="898" w:type="dxa"/>
            <w:noWrap/>
            <w:vAlign w:val="bottom"/>
          </w:tcPr>
          <w:p w:rsidR="00826941" w:rsidRPr="00826941" w:rsidRDefault="00826941" w:rsidP="00826941">
            <w:pPr>
              <w:cnfStyle w:val="000000000000" w:firstRow="0" w:lastRow="0" w:firstColumn="0" w:lastColumn="0" w:oddVBand="0" w:evenVBand="0" w:oddHBand="0" w:evenHBand="0" w:firstRowFirstColumn="0" w:firstRowLastColumn="0" w:lastRowFirstColumn="0" w:lastRowLastColumn="0"/>
              <w:rPr>
                <w:rStyle w:val="Strong"/>
              </w:rPr>
            </w:pPr>
            <w:r w:rsidRPr="00826941">
              <w:rPr>
                <w:rStyle w:val="Strong"/>
              </w:rPr>
              <w:t>49.3</w:t>
            </w:r>
          </w:p>
        </w:tc>
        <w:tc>
          <w:tcPr>
            <w:tcW w:w="897" w:type="dxa"/>
            <w:noWrap/>
            <w:vAlign w:val="bottom"/>
          </w:tcPr>
          <w:p w:rsidR="00826941" w:rsidRPr="00826941" w:rsidRDefault="00826941" w:rsidP="00826941">
            <w:pPr>
              <w:cnfStyle w:val="000000000000" w:firstRow="0" w:lastRow="0" w:firstColumn="0" w:lastColumn="0" w:oddVBand="0" w:evenVBand="0" w:oddHBand="0" w:evenHBand="0" w:firstRowFirstColumn="0" w:firstRowLastColumn="0" w:lastRowFirstColumn="0" w:lastRowLastColumn="0"/>
              <w:rPr>
                <w:rStyle w:val="Strong"/>
              </w:rPr>
            </w:pPr>
            <w:r w:rsidRPr="00826941">
              <w:rPr>
                <w:rStyle w:val="Strong"/>
              </w:rPr>
              <w:t>53.8</w:t>
            </w:r>
          </w:p>
        </w:tc>
        <w:tc>
          <w:tcPr>
            <w:tcW w:w="898" w:type="dxa"/>
            <w:noWrap/>
            <w:vAlign w:val="bottom"/>
          </w:tcPr>
          <w:p w:rsidR="00826941" w:rsidRPr="00826941" w:rsidRDefault="00826941" w:rsidP="00826941">
            <w:pPr>
              <w:cnfStyle w:val="000000000000" w:firstRow="0" w:lastRow="0" w:firstColumn="0" w:lastColumn="0" w:oddVBand="0" w:evenVBand="0" w:oddHBand="0" w:evenHBand="0" w:firstRowFirstColumn="0" w:firstRowLastColumn="0" w:lastRowFirstColumn="0" w:lastRowLastColumn="0"/>
              <w:rPr>
                <w:rStyle w:val="Strong"/>
              </w:rPr>
            </w:pPr>
            <w:r w:rsidRPr="00826941">
              <w:rPr>
                <w:rStyle w:val="Strong"/>
              </w:rPr>
              <w:t>59.3</w:t>
            </w:r>
          </w:p>
        </w:tc>
        <w:tc>
          <w:tcPr>
            <w:tcW w:w="898" w:type="dxa"/>
            <w:noWrap/>
            <w:vAlign w:val="bottom"/>
          </w:tcPr>
          <w:p w:rsidR="00826941" w:rsidRPr="00826941" w:rsidRDefault="00826941" w:rsidP="00826941">
            <w:pPr>
              <w:cnfStyle w:val="000000000000" w:firstRow="0" w:lastRow="0" w:firstColumn="0" w:lastColumn="0" w:oddVBand="0" w:evenVBand="0" w:oddHBand="0" w:evenHBand="0" w:firstRowFirstColumn="0" w:firstRowLastColumn="0" w:lastRowFirstColumn="0" w:lastRowLastColumn="0"/>
              <w:rPr>
                <w:rStyle w:val="Strong"/>
              </w:rPr>
            </w:pPr>
            <w:r w:rsidRPr="00826941">
              <w:rPr>
                <w:rStyle w:val="Strong"/>
              </w:rPr>
              <w:t>262.9</w:t>
            </w:r>
          </w:p>
        </w:tc>
      </w:tr>
    </w:tbl>
    <w:p w:rsidR="009F2B37" w:rsidRDefault="009F2B37" w:rsidP="009F2B37">
      <w:pPr>
        <w:pStyle w:val="AERtablesource"/>
      </w:pPr>
      <w:r>
        <w:t>Source:</w:t>
      </w:r>
      <w:r>
        <w:tab/>
        <w:t>AER analysis.</w:t>
      </w:r>
    </w:p>
    <w:p w:rsidR="00132D43" w:rsidRDefault="00E31D28" w:rsidP="00132D43">
      <w:pPr>
        <w:pStyle w:val="Heading2"/>
      </w:pPr>
      <w:bookmarkStart w:id="74" w:name="_Toc451285756"/>
      <w:r>
        <w:t>Jemena's</w:t>
      </w:r>
      <w:r w:rsidR="00132D43">
        <w:t xml:space="preserve"> </w:t>
      </w:r>
      <w:r w:rsidR="000F0F0A">
        <w:t xml:space="preserve">revised </w:t>
      </w:r>
      <w:r w:rsidR="00132D43">
        <w:t>proposal</w:t>
      </w:r>
      <w:bookmarkEnd w:id="74"/>
    </w:p>
    <w:p w:rsidR="00C51BFA" w:rsidRDefault="009F2B37" w:rsidP="00591F26">
      <w:r>
        <w:t>Jemena's revised</w:t>
      </w:r>
      <w:r w:rsidRPr="00A13BBF">
        <w:t xml:space="preserve"> propos</w:t>
      </w:r>
      <w:r>
        <w:t>al f</w:t>
      </w:r>
      <w:r w:rsidRPr="00A13BBF">
        <w:t>or the 201</w:t>
      </w:r>
      <w:r>
        <w:t xml:space="preserve">6–20 regulatory control period forecasts </w:t>
      </w:r>
      <w:r w:rsidRPr="00A13BBF">
        <w:t>a total regulatory depreciation allowance of $</w:t>
      </w:r>
      <w:r>
        <w:t>282.5 </w:t>
      </w:r>
      <w:r w:rsidRPr="00A13BBF">
        <w:t>million ($</w:t>
      </w:r>
      <w:r>
        <w:t> </w:t>
      </w:r>
      <w:r w:rsidRPr="00A13BBF">
        <w:t>nominal).</w:t>
      </w:r>
      <w:r w:rsidR="00FE7632">
        <w:rPr>
          <w:rStyle w:val="FootnoteReference"/>
        </w:rPr>
        <w:footnoteReference w:id="4"/>
      </w:r>
      <w:r w:rsidR="0017377E">
        <w:t xml:space="preserve"> </w:t>
      </w:r>
      <w:r w:rsidR="0084457E">
        <w:t xml:space="preserve">Jemena adopted the methodology approved in the preliminary decision for depreciating existing assets. </w:t>
      </w:r>
      <w:r w:rsidR="00C51BFA" w:rsidRPr="00A13BBF">
        <w:t xml:space="preserve">To calculate the depreciation allowance, </w:t>
      </w:r>
      <w:r w:rsidR="00C51BFA">
        <w:t>Jemena</w:t>
      </w:r>
      <w:r w:rsidR="00C51BFA" w:rsidRPr="00A13BBF">
        <w:t>'s revised proposal used:</w:t>
      </w:r>
      <w:r w:rsidR="00322025">
        <w:rPr>
          <w:rStyle w:val="FootnoteReference"/>
        </w:rPr>
        <w:footnoteReference w:id="5"/>
      </w:r>
    </w:p>
    <w:p w:rsidR="00322025" w:rsidRDefault="006506F5" w:rsidP="00C51BFA">
      <w:pPr>
        <w:pStyle w:val="AERbulletlistfirststyle"/>
      </w:pPr>
      <w:r>
        <w:t>t</w:t>
      </w:r>
      <w:r w:rsidR="00322025">
        <w:t>he straight-line depreciation method</w:t>
      </w:r>
      <w:r w:rsidR="001C7149">
        <w:t>, consistent with that</w:t>
      </w:r>
      <w:r w:rsidR="00322025">
        <w:t xml:space="preserve"> employed in our post-tax revenue model (PTRM</w:t>
      </w:r>
      <w:r w:rsidR="00157E9D">
        <w:t>)</w:t>
      </w:r>
    </w:p>
    <w:p w:rsidR="00322025" w:rsidRDefault="006506F5" w:rsidP="00C51BFA">
      <w:pPr>
        <w:pStyle w:val="AERbulletlistfirststyle"/>
      </w:pPr>
      <w:r>
        <w:t>a</w:t>
      </w:r>
      <w:r w:rsidR="00322025">
        <w:t xml:space="preserve"> revised closing RAB value at 31 December 2015 derived from the revised proposal roll forward model (RFM)</w:t>
      </w:r>
    </w:p>
    <w:p w:rsidR="00157E9D" w:rsidRDefault="006506F5" w:rsidP="00157E9D">
      <w:pPr>
        <w:pStyle w:val="AERbulletlistfirststyle"/>
      </w:pPr>
      <w:r>
        <w:t>t</w:t>
      </w:r>
      <w:r w:rsidR="00157E9D">
        <w:t>he</w:t>
      </w:r>
      <w:r w:rsidR="001C7149">
        <w:t xml:space="preserve"> year-by-year tracking approach</w:t>
      </w:r>
      <w:r w:rsidR="001C7149" w:rsidRPr="00322025">
        <w:t xml:space="preserve"> </w:t>
      </w:r>
      <w:r w:rsidR="00157E9D">
        <w:t xml:space="preserve">approved in the preliminary decision </w:t>
      </w:r>
      <w:r w:rsidR="001C7149">
        <w:t xml:space="preserve">to calculate </w:t>
      </w:r>
      <w:r w:rsidR="001C7149" w:rsidRPr="00CB52EB">
        <w:t xml:space="preserve">depreciation </w:t>
      </w:r>
      <w:r w:rsidR="001C7149">
        <w:t xml:space="preserve">on </w:t>
      </w:r>
      <w:r w:rsidR="00157E9D">
        <w:t>the opening RAB</w:t>
      </w:r>
      <w:r w:rsidR="001C7149">
        <w:t>.</w:t>
      </w:r>
      <w:r w:rsidR="00157E9D">
        <w:t xml:space="preserve"> Under this approach:</w:t>
      </w:r>
    </w:p>
    <w:p w:rsidR="00157E9D" w:rsidRDefault="00157E9D" w:rsidP="00157E9D">
      <w:pPr>
        <w:pStyle w:val="AERbulletlistsecondstyle"/>
      </w:pPr>
      <w:r>
        <w:t>a</w:t>
      </w:r>
      <w:r w:rsidRPr="00221081">
        <w:t xml:space="preserve">ssets in existence at 1 January 2011 are depreciated by asset class using straight-line depreciation with the </w:t>
      </w:r>
      <w:r>
        <w:t>remaining</w:t>
      </w:r>
      <w:r w:rsidRPr="00221081">
        <w:t xml:space="preserve"> lives determined in the 2010 final decision</w:t>
      </w:r>
      <w:r>
        <w:t>; and</w:t>
      </w:r>
    </w:p>
    <w:p w:rsidR="001C7149" w:rsidRDefault="00157E9D" w:rsidP="0084457E">
      <w:pPr>
        <w:pStyle w:val="AERbulletlistsecondstyle"/>
      </w:pPr>
      <w:r>
        <w:t>c</w:t>
      </w:r>
      <w:r w:rsidRPr="00221081">
        <w:t xml:space="preserve">apex in each year of the 2011 to 2015 period is grouped by asset </w:t>
      </w:r>
      <w:r>
        <w:t>class</w:t>
      </w:r>
      <w:r w:rsidRPr="00221081">
        <w:t xml:space="preserve"> and separately deprec</w:t>
      </w:r>
      <w:r>
        <w:t>iated over their standard lives as approved in the 2010 final decision</w:t>
      </w:r>
      <w:r w:rsidRPr="007F07C1">
        <w:t>.</w:t>
      </w:r>
    </w:p>
    <w:p w:rsidR="00322025" w:rsidRDefault="006506F5" w:rsidP="002078F5">
      <w:pPr>
        <w:pStyle w:val="AERbulletlistfirststyle"/>
      </w:pPr>
      <w:r>
        <w:t>s</w:t>
      </w:r>
      <w:r w:rsidR="00CB52EB">
        <w:t>tandard asset lives for depreciat</w:t>
      </w:r>
      <w:r w:rsidR="00322025">
        <w:t>ing</w:t>
      </w:r>
      <w:r w:rsidR="00CB52EB">
        <w:t xml:space="preserve"> </w:t>
      </w:r>
      <w:r w:rsidR="00322025">
        <w:t xml:space="preserve">new assets </w:t>
      </w:r>
      <w:r w:rsidR="002078F5">
        <w:t xml:space="preserve">calculated using the approach </w:t>
      </w:r>
      <w:r w:rsidR="001C7149">
        <w:t>approved</w:t>
      </w:r>
      <w:r w:rsidR="00322025">
        <w:t xml:space="preserve"> in the preliminary decision</w:t>
      </w:r>
      <w:r w:rsidR="002078F5">
        <w:t xml:space="preserve"> to reflect the </w:t>
      </w:r>
      <w:r w:rsidR="002078F5" w:rsidRPr="002078F5">
        <w:t>mix of capex proposed for the 2016</w:t>
      </w:r>
      <w:r w:rsidR="002078F5">
        <w:t>–20</w:t>
      </w:r>
      <w:r w:rsidR="002078F5" w:rsidRPr="002078F5">
        <w:t xml:space="preserve"> regulatory</w:t>
      </w:r>
      <w:r w:rsidR="00157E9D">
        <w:t xml:space="preserve"> control</w:t>
      </w:r>
      <w:r w:rsidR="002078F5" w:rsidRPr="002078F5">
        <w:t xml:space="preserve"> period</w:t>
      </w:r>
    </w:p>
    <w:p w:rsidR="00322025" w:rsidRDefault="006506F5" w:rsidP="00C51BFA">
      <w:pPr>
        <w:pStyle w:val="AERbulletlistfirststyle"/>
      </w:pPr>
      <w:r>
        <w:t>a</w:t>
      </w:r>
      <w:r w:rsidR="00322025">
        <w:t xml:space="preserve"> revised </w:t>
      </w:r>
      <w:r w:rsidR="004E7D73">
        <w:t>expected</w:t>
      </w:r>
      <w:r w:rsidR="00322025">
        <w:t xml:space="preserve"> inflation rate</w:t>
      </w:r>
    </w:p>
    <w:p w:rsidR="00322025" w:rsidRDefault="006506F5" w:rsidP="00322025">
      <w:pPr>
        <w:pStyle w:val="AERbulletlistfirststyle"/>
      </w:pPr>
      <w:r>
        <w:t>t</w:t>
      </w:r>
      <w:r w:rsidR="00322025" w:rsidRPr="00322025">
        <w:t>he revised proposed forecast capex for the 2016–20 regulatory control period.</w:t>
      </w:r>
    </w:p>
    <w:p w:rsidR="00CB52EB" w:rsidRDefault="004F1DE8" w:rsidP="00CB52EB">
      <w:r>
        <w:fldChar w:fldCharType="begin"/>
      </w:r>
      <w:r>
        <w:instrText xml:space="preserve"> REF _Ref442101577 \h </w:instrText>
      </w:r>
      <w:r>
        <w:fldChar w:fldCharType="separate"/>
      </w:r>
      <w:r w:rsidR="00D66B49">
        <w:t xml:space="preserve">Table </w:t>
      </w:r>
      <w:r w:rsidR="00D66B49">
        <w:rPr>
          <w:noProof/>
        </w:rPr>
        <w:t>5</w:t>
      </w:r>
      <w:r w:rsidR="00D66B49">
        <w:t>.</w:t>
      </w:r>
      <w:r w:rsidR="00D66B49">
        <w:rPr>
          <w:noProof/>
        </w:rPr>
        <w:t>2</w:t>
      </w:r>
      <w:r>
        <w:fldChar w:fldCharType="end"/>
      </w:r>
      <w:r>
        <w:t xml:space="preserve"> </w:t>
      </w:r>
      <w:r w:rsidRPr="00A13BBF">
        <w:t xml:space="preserve">sets out </w:t>
      </w:r>
      <w:r>
        <w:t>Jemena</w:t>
      </w:r>
      <w:r w:rsidRPr="00A13BBF">
        <w:t xml:space="preserve">'s </w:t>
      </w:r>
      <w:r>
        <w:t xml:space="preserve">revised </w:t>
      </w:r>
      <w:r w:rsidRPr="00A13BBF">
        <w:t>proposed depreciation allowance for the 2016–20 regulatory control period.</w:t>
      </w:r>
    </w:p>
    <w:p w:rsidR="004F1DE8" w:rsidRDefault="004F1DE8" w:rsidP="004F1DE8">
      <w:pPr>
        <w:pStyle w:val="Caption"/>
      </w:pPr>
      <w:bookmarkStart w:id="75" w:name="_Ref442101577"/>
      <w:r>
        <w:lastRenderedPageBreak/>
        <w:t xml:space="preserve">Table </w:t>
      </w:r>
      <w:r w:rsidR="00024E0B">
        <w:fldChar w:fldCharType="begin"/>
      </w:r>
      <w:r w:rsidR="00024E0B">
        <w:instrText xml:space="preserve"> STYLEREF 1 \s </w:instrText>
      </w:r>
      <w:r w:rsidR="00024E0B">
        <w:fldChar w:fldCharType="separate"/>
      </w:r>
      <w:r w:rsidR="00D66B49">
        <w:rPr>
          <w:noProof/>
        </w:rPr>
        <w:t>5</w:t>
      </w:r>
      <w:r w:rsidR="00024E0B">
        <w:rPr>
          <w:noProof/>
        </w:rPr>
        <w:fldChar w:fldCharType="end"/>
      </w:r>
      <w:r w:rsidR="000051F7">
        <w:t>.</w:t>
      </w:r>
      <w:fldSimple w:instr=" SEQ Table \* ARABIC \s 1 ">
        <w:r w:rsidR="00D66B49">
          <w:rPr>
            <w:noProof/>
          </w:rPr>
          <w:t>2</w:t>
        </w:r>
      </w:fldSimple>
      <w:bookmarkEnd w:id="75"/>
      <w:r>
        <w:tab/>
        <w:t>Jemena</w:t>
      </w:r>
      <w:r w:rsidRPr="004F1DE8">
        <w:t>'s revised proposed depreciation allowance for the 2016–20 regulatory control period ($ million, nominal)</w:t>
      </w:r>
    </w:p>
    <w:tbl>
      <w:tblPr>
        <w:tblStyle w:val="AERtable-numbers"/>
        <w:tblW w:w="8613" w:type="dxa"/>
        <w:tblLayout w:type="fixed"/>
        <w:tblLook w:val="04A0" w:firstRow="1" w:lastRow="0" w:firstColumn="1" w:lastColumn="0" w:noHBand="0" w:noVBand="1"/>
      </w:tblPr>
      <w:tblGrid>
        <w:gridCol w:w="3227"/>
        <w:gridCol w:w="897"/>
        <w:gridCol w:w="898"/>
        <w:gridCol w:w="898"/>
        <w:gridCol w:w="897"/>
        <w:gridCol w:w="898"/>
        <w:gridCol w:w="898"/>
      </w:tblGrid>
      <w:tr w:rsidR="004F1DE8" w:rsidRPr="00204479" w:rsidTr="004F1DE8">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4F1DE8" w:rsidRPr="004F1DE8" w:rsidRDefault="004F1DE8" w:rsidP="004F1DE8">
            <w:r w:rsidRPr="00204479">
              <w:t> </w:t>
            </w:r>
          </w:p>
        </w:tc>
        <w:tc>
          <w:tcPr>
            <w:tcW w:w="897" w:type="dxa"/>
            <w:noWrap/>
            <w:hideMark/>
          </w:tcPr>
          <w:p w:rsidR="004F1DE8" w:rsidRPr="004F1DE8" w:rsidRDefault="004F1DE8" w:rsidP="004F1DE8">
            <w:pPr>
              <w:cnfStyle w:val="100000000000" w:firstRow="1" w:lastRow="0" w:firstColumn="0" w:lastColumn="0" w:oddVBand="0" w:evenVBand="0" w:oddHBand="0" w:evenHBand="0" w:firstRowFirstColumn="0" w:firstRowLastColumn="0" w:lastRowFirstColumn="0" w:lastRowLastColumn="0"/>
            </w:pPr>
            <w:r w:rsidRPr="00204479">
              <w:t>2016</w:t>
            </w:r>
          </w:p>
        </w:tc>
        <w:tc>
          <w:tcPr>
            <w:tcW w:w="898" w:type="dxa"/>
            <w:noWrap/>
            <w:hideMark/>
          </w:tcPr>
          <w:p w:rsidR="004F1DE8" w:rsidRPr="004F1DE8" w:rsidRDefault="004F1DE8" w:rsidP="004F1DE8">
            <w:pPr>
              <w:cnfStyle w:val="100000000000" w:firstRow="1" w:lastRow="0" w:firstColumn="0" w:lastColumn="0" w:oddVBand="0" w:evenVBand="0" w:oddHBand="0" w:evenHBand="0" w:firstRowFirstColumn="0" w:firstRowLastColumn="0" w:lastRowFirstColumn="0" w:lastRowLastColumn="0"/>
            </w:pPr>
            <w:r w:rsidRPr="00204479">
              <w:t>2017</w:t>
            </w:r>
          </w:p>
        </w:tc>
        <w:tc>
          <w:tcPr>
            <w:tcW w:w="898" w:type="dxa"/>
            <w:noWrap/>
            <w:hideMark/>
          </w:tcPr>
          <w:p w:rsidR="004F1DE8" w:rsidRPr="004F1DE8" w:rsidRDefault="004F1DE8" w:rsidP="004F1DE8">
            <w:pPr>
              <w:cnfStyle w:val="100000000000" w:firstRow="1" w:lastRow="0" w:firstColumn="0" w:lastColumn="0" w:oddVBand="0" w:evenVBand="0" w:oddHBand="0" w:evenHBand="0" w:firstRowFirstColumn="0" w:firstRowLastColumn="0" w:lastRowFirstColumn="0" w:lastRowLastColumn="0"/>
            </w:pPr>
            <w:r w:rsidRPr="00204479">
              <w:t>2018</w:t>
            </w:r>
          </w:p>
        </w:tc>
        <w:tc>
          <w:tcPr>
            <w:tcW w:w="897" w:type="dxa"/>
            <w:noWrap/>
            <w:hideMark/>
          </w:tcPr>
          <w:p w:rsidR="004F1DE8" w:rsidRPr="004F1DE8" w:rsidRDefault="004F1DE8" w:rsidP="004F1DE8">
            <w:pPr>
              <w:cnfStyle w:val="100000000000" w:firstRow="1" w:lastRow="0" w:firstColumn="0" w:lastColumn="0" w:oddVBand="0" w:evenVBand="0" w:oddHBand="0" w:evenHBand="0" w:firstRowFirstColumn="0" w:firstRowLastColumn="0" w:lastRowFirstColumn="0" w:lastRowLastColumn="0"/>
            </w:pPr>
            <w:r w:rsidRPr="00204479">
              <w:t>2019</w:t>
            </w:r>
          </w:p>
        </w:tc>
        <w:tc>
          <w:tcPr>
            <w:tcW w:w="898" w:type="dxa"/>
            <w:noWrap/>
            <w:hideMark/>
          </w:tcPr>
          <w:p w:rsidR="004F1DE8" w:rsidRPr="004F1DE8" w:rsidRDefault="004F1DE8" w:rsidP="004F1DE8">
            <w:pPr>
              <w:cnfStyle w:val="100000000000" w:firstRow="1" w:lastRow="0" w:firstColumn="0" w:lastColumn="0" w:oddVBand="0" w:evenVBand="0" w:oddHBand="0" w:evenHBand="0" w:firstRowFirstColumn="0" w:firstRowLastColumn="0" w:lastRowFirstColumn="0" w:lastRowLastColumn="0"/>
            </w:pPr>
            <w:r>
              <w:t>2020</w:t>
            </w:r>
          </w:p>
        </w:tc>
        <w:tc>
          <w:tcPr>
            <w:tcW w:w="898" w:type="dxa"/>
            <w:noWrap/>
            <w:hideMark/>
          </w:tcPr>
          <w:p w:rsidR="004F1DE8" w:rsidRPr="004F1DE8" w:rsidRDefault="004F1DE8" w:rsidP="004F1DE8">
            <w:pPr>
              <w:cnfStyle w:val="100000000000" w:firstRow="1" w:lastRow="0" w:firstColumn="0" w:lastColumn="0" w:oddVBand="0" w:evenVBand="0" w:oddHBand="0" w:evenHBand="0" w:firstRowFirstColumn="0" w:firstRowLastColumn="0" w:lastRowFirstColumn="0" w:lastRowLastColumn="0"/>
            </w:pPr>
            <w:r w:rsidRPr="00204479">
              <w:t>Total</w:t>
            </w:r>
          </w:p>
        </w:tc>
      </w:tr>
      <w:tr w:rsidR="004F1DE8" w:rsidRPr="00204479" w:rsidTr="0084457E">
        <w:trPr>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4F1DE8" w:rsidRPr="004F1DE8" w:rsidRDefault="004F1DE8" w:rsidP="004F1DE8">
            <w:r w:rsidRPr="004F1DE8">
              <w:t>Straight-line depreciation</w:t>
            </w:r>
          </w:p>
        </w:tc>
        <w:tc>
          <w:tcPr>
            <w:tcW w:w="897" w:type="dxa"/>
            <w:noWrap/>
            <w:vAlign w:val="bottom"/>
          </w:tcPr>
          <w:p w:rsidR="004F1DE8" w:rsidRPr="004F1DE8" w:rsidRDefault="004F1DE8" w:rsidP="004F1DE8">
            <w:pPr>
              <w:cnfStyle w:val="000000000000" w:firstRow="0" w:lastRow="0" w:firstColumn="0" w:lastColumn="0" w:oddVBand="0" w:evenVBand="0" w:oddHBand="0" w:evenHBand="0" w:firstRowFirstColumn="0" w:firstRowLastColumn="0" w:lastRowFirstColumn="0" w:lastRowLastColumn="0"/>
            </w:pPr>
            <w:r w:rsidRPr="004F1DE8">
              <w:t>85.3</w:t>
            </w:r>
          </w:p>
        </w:tc>
        <w:tc>
          <w:tcPr>
            <w:tcW w:w="898" w:type="dxa"/>
            <w:noWrap/>
            <w:vAlign w:val="bottom"/>
          </w:tcPr>
          <w:p w:rsidR="004F1DE8" w:rsidRPr="004F1DE8" w:rsidRDefault="004F1DE8" w:rsidP="004F1DE8">
            <w:pPr>
              <w:cnfStyle w:val="000000000000" w:firstRow="0" w:lastRow="0" w:firstColumn="0" w:lastColumn="0" w:oddVBand="0" w:evenVBand="0" w:oddHBand="0" w:evenHBand="0" w:firstRowFirstColumn="0" w:firstRowLastColumn="0" w:lastRowFirstColumn="0" w:lastRowLastColumn="0"/>
            </w:pPr>
            <w:r w:rsidRPr="004F1DE8">
              <w:t>75.3</w:t>
            </w:r>
          </w:p>
        </w:tc>
        <w:tc>
          <w:tcPr>
            <w:tcW w:w="898" w:type="dxa"/>
            <w:noWrap/>
            <w:vAlign w:val="bottom"/>
          </w:tcPr>
          <w:p w:rsidR="004F1DE8" w:rsidRPr="004F1DE8" w:rsidRDefault="004F1DE8" w:rsidP="004F1DE8">
            <w:pPr>
              <w:cnfStyle w:val="000000000000" w:firstRow="0" w:lastRow="0" w:firstColumn="0" w:lastColumn="0" w:oddVBand="0" w:evenVBand="0" w:oddHBand="0" w:evenHBand="0" w:firstRowFirstColumn="0" w:firstRowLastColumn="0" w:lastRowFirstColumn="0" w:lastRowLastColumn="0"/>
            </w:pPr>
            <w:r w:rsidRPr="004F1DE8">
              <w:t>87.5</w:t>
            </w:r>
          </w:p>
        </w:tc>
        <w:tc>
          <w:tcPr>
            <w:tcW w:w="897" w:type="dxa"/>
            <w:noWrap/>
            <w:vAlign w:val="bottom"/>
          </w:tcPr>
          <w:p w:rsidR="004F1DE8" w:rsidRPr="004F1DE8" w:rsidRDefault="004F1DE8" w:rsidP="004F1DE8">
            <w:pPr>
              <w:cnfStyle w:val="000000000000" w:firstRow="0" w:lastRow="0" w:firstColumn="0" w:lastColumn="0" w:oddVBand="0" w:evenVBand="0" w:oddHBand="0" w:evenHBand="0" w:firstRowFirstColumn="0" w:firstRowLastColumn="0" w:lastRowFirstColumn="0" w:lastRowLastColumn="0"/>
            </w:pPr>
            <w:r w:rsidRPr="004F1DE8">
              <w:t>90.4</w:t>
            </w:r>
          </w:p>
        </w:tc>
        <w:tc>
          <w:tcPr>
            <w:tcW w:w="898" w:type="dxa"/>
            <w:noWrap/>
            <w:vAlign w:val="bottom"/>
          </w:tcPr>
          <w:p w:rsidR="004F1DE8" w:rsidRPr="004F1DE8" w:rsidRDefault="004F1DE8" w:rsidP="004F1DE8">
            <w:pPr>
              <w:cnfStyle w:val="000000000000" w:firstRow="0" w:lastRow="0" w:firstColumn="0" w:lastColumn="0" w:oddVBand="0" w:evenVBand="0" w:oddHBand="0" w:evenHBand="0" w:firstRowFirstColumn="0" w:firstRowLastColumn="0" w:lastRowFirstColumn="0" w:lastRowLastColumn="0"/>
            </w:pPr>
            <w:r w:rsidRPr="004F1DE8">
              <w:t>98.3</w:t>
            </w:r>
          </w:p>
        </w:tc>
        <w:tc>
          <w:tcPr>
            <w:tcW w:w="898" w:type="dxa"/>
            <w:noWrap/>
            <w:vAlign w:val="bottom"/>
          </w:tcPr>
          <w:p w:rsidR="004F1DE8" w:rsidRPr="004F1DE8" w:rsidRDefault="004F1DE8" w:rsidP="004F1DE8">
            <w:pPr>
              <w:cnfStyle w:val="000000000000" w:firstRow="0" w:lastRow="0" w:firstColumn="0" w:lastColumn="0" w:oddVBand="0" w:evenVBand="0" w:oddHBand="0" w:evenHBand="0" w:firstRowFirstColumn="0" w:firstRowLastColumn="0" w:lastRowFirstColumn="0" w:lastRowLastColumn="0"/>
            </w:pPr>
            <w:r w:rsidRPr="004F1DE8">
              <w:t>436.8</w:t>
            </w:r>
          </w:p>
        </w:tc>
      </w:tr>
      <w:tr w:rsidR="004F1DE8" w:rsidRPr="00204479" w:rsidTr="0084457E">
        <w:trPr>
          <w:cnfStyle w:val="000000010000" w:firstRow="0" w:lastRow="0" w:firstColumn="0" w:lastColumn="0" w:oddVBand="0" w:evenVBand="0" w:oddHBand="0" w:evenHBand="1"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4F1DE8" w:rsidRPr="004F1DE8" w:rsidRDefault="004F1DE8" w:rsidP="004F1DE8">
            <w:r w:rsidRPr="004F1DE8">
              <w:rPr>
                <w:rStyle w:val="AERtextitalic"/>
              </w:rPr>
              <w:t>Less:</w:t>
            </w:r>
            <w:r w:rsidRPr="004F1DE8">
              <w:t xml:space="preserve"> inflation indexation on opening RAB</w:t>
            </w:r>
          </w:p>
        </w:tc>
        <w:tc>
          <w:tcPr>
            <w:tcW w:w="897" w:type="dxa"/>
            <w:noWrap/>
            <w:vAlign w:val="bottom"/>
          </w:tcPr>
          <w:p w:rsidR="004F1DE8" w:rsidRPr="004F1DE8" w:rsidRDefault="004F1DE8" w:rsidP="004F1DE8">
            <w:pPr>
              <w:cnfStyle w:val="000000010000" w:firstRow="0" w:lastRow="0" w:firstColumn="0" w:lastColumn="0" w:oddVBand="0" w:evenVBand="0" w:oddHBand="0" w:evenHBand="1" w:firstRowFirstColumn="0" w:firstRowLastColumn="0" w:lastRowFirstColumn="0" w:lastRowLastColumn="0"/>
            </w:pPr>
            <w:r w:rsidRPr="004F1DE8">
              <w:t>26.2</w:t>
            </w:r>
          </w:p>
        </w:tc>
        <w:tc>
          <w:tcPr>
            <w:tcW w:w="898" w:type="dxa"/>
            <w:noWrap/>
            <w:vAlign w:val="bottom"/>
          </w:tcPr>
          <w:p w:rsidR="004F1DE8" w:rsidRPr="004F1DE8" w:rsidRDefault="004F1DE8" w:rsidP="004F1DE8">
            <w:pPr>
              <w:cnfStyle w:val="000000010000" w:firstRow="0" w:lastRow="0" w:firstColumn="0" w:lastColumn="0" w:oddVBand="0" w:evenVBand="0" w:oddHBand="0" w:evenHBand="1" w:firstRowFirstColumn="0" w:firstRowLastColumn="0" w:lastRowFirstColumn="0" w:lastRowLastColumn="0"/>
            </w:pPr>
            <w:r w:rsidRPr="004F1DE8">
              <w:t>28.2</w:t>
            </w:r>
          </w:p>
        </w:tc>
        <w:tc>
          <w:tcPr>
            <w:tcW w:w="898" w:type="dxa"/>
            <w:noWrap/>
            <w:vAlign w:val="bottom"/>
          </w:tcPr>
          <w:p w:rsidR="004F1DE8" w:rsidRPr="004F1DE8" w:rsidRDefault="004F1DE8" w:rsidP="004F1DE8">
            <w:pPr>
              <w:cnfStyle w:val="000000010000" w:firstRow="0" w:lastRow="0" w:firstColumn="0" w:lastColumn="0" w:oddVBand="0" w:evenVBand="0" w:oddHBand="0" w:evenHBand="1" w:firstRowFirstColumn="0" w:firstRowLastColumn="0" w:lastRowFirstColumn="0" w:lastRowLastColumn="0"/>
            </w:pPr>
            <w:r w:rsidRPr="004F1DE8">
              <w:t>31.2</w:t>
            </w:r>
          </w:p>
        </w:tc>
        <w:tc>
          <w:tcPr>
            <w:tcW w:w="897" w:type="dxa"/>
            <w:noWrap/>
            <w:vAlign w:val="bottom"/>
          </w:tcPr>
          <w:p w:rsidR="004F1DE8" w:rsidRPr="004F1DE8" w:rsidRDefault="004F1DE8" w:rsidP="004F1DE8">
            <w:pPr>
              <w:cnfStyle w:val="000000010000" w:firstRow="0" w:lastRow="0" w:firstColumn="0" w:lastColumn="0" w:oddVBand="0" w:evenVBand="0" w:oddHBand="0" w:evenHBand="1" w:firstRowFirstColumn="0" w:firstRowLastColumn="0" w:lastRowFirstColumn="0" w:lastRowLastColumn="0"/>
            </w:pPr>
            <w:r w:rsidRPr="004F1DE8">
              <w:t>33.3</w:t>
            </w:r>
          </w:p>
        </w:tc>
        <w:tc>
          <w:tcPr>
            <w:tcW w:w="898" w:type="dxa"/>
            <w:noWrap/>
            <w:vAlign w:val="bottom"/>
          </w:tcPr>
          <w:p w:rsidR="004F1DE8" w:rsidRPr="004F1DE8" w:rsidRDefault="004F1DE8" w:rsidP="004F1DE8">
            <w:pPr>
              <w:cnfStyle w:val="000000010000" w:firstRow="0" w:lastRow="0" w:firstColumn="0" w:lastColumn="0" w:oddVBand="0" w:evenVBand="0" w:oddHBand="0" w:evenHBand="1" w:firstRowFirstColumn="0" w:firstRowLastColumn="0" w:lastRowFirstColumn="0" w:lastRowLastColumn="0"/>
            </w:pPr>
            <w:r w:rsidRPr="004F1DE8">
              <w:t>35.4</w:t>
            </w:r>
          </w:p>
        </w:tc>
        <w:tc>
          <w:tcPr>
            <w:tcW w:w="898" w:type="dxa"/>
            <w:noWrap/>
            <w:vAlign w:val="bottom"/>
          </w:tcPr>
          <w:p w:rsidR="004F1DE8" w:rsidRPr="004F1DE8" w:rsidRDefault="004F1DE8" w:rsidP="004F1DE8">
            <w:pPr>
              <w:cnfStyle w:val="000000010000" w:firstRow="0" w:lastRow="0" w:firstColumn="0" w:lastColumn="0" w:oddVBand="0" w:evenVBand="0" w:oddHBand="0" w:evenHBand="1" w:firstRowFirstColumn="0" w:firstRowLastColumn="0" w:lastRowFirstColumn="0" w:lastRowLastColumn="0"/>
            </w:pPr>
            <w:r w:rsidRPr="004F1DE8">
              <w:t>154.3</w:t>
            </w:r>
          </w:p>
        </w:tc>
      </w:tr>
      <w:tr w:rsidR="004F1DE8" w:rsidRPr="004F1DE8" w:rsidTr="0084457E">
        <w:trPr>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4F1DE8" w:rsidRPr="004F1DE8" w:rsidRDefault="004F1DE8" w:rsidP="004F1DE8">
            <w:pPr>
              <w:rPr>
                <w:rStyle w:val="Strong"/>
              </w:rPr>
            </w:pPr>
            <w:r w:rsidRPr="004F1DE8">
              <w:rPr>
                <w:rStyle w:val="Strong"/>
              </w:rPr>
              <w:t>Regulatory depreciation</w:t>
            </w:r>
          </w:p>
        </w:tc>
        <w:tc>
          <w:tcPr>
            <w:tcW w:w="897" w:type="dxa"/>
            <w:noWrap/>
            <w:vAlign w:val="bottom"/>
          </w:tcPr>
          <w:p w:rsidR="004F1DE8" w:rsidRPr="004F1DE8" w:rsidRDefault="004F1DE8" w:rsidP="004F1DE8">
            <w:pPr>
              <w:cnfStyle w:val="000000000000" w:firstRow="0" w:lastRow="0" w:firstColumn="0" w:lastColumn="0" w:oddVBand="0" w:evenVBand="0" w:oddHBand="0" w:evenHBand="0" w:firstRowFirstColumn="0" w:firstRowLastColumn="0" w:lastRowFirstColumn="0" w:lastRowLastColumn="0"/>
              <w:rPr>
                <w:rStyle w:val="Strong"/>
              </w:rPr>
            </w:pPr>
            <w:r w:rsidRPr="004F1DE8">
              <w:rPr>
                <w:rStyle w:val="Strong"/>
              </w:rPr>
              <w:t>59.0</w:t>
            </w:r>
          </w:p>
        </w:tc>
        <w:tc>
          <w:tcPr>
            <w:tcW w:w="898" w:type="dxa"/>
            <w:noWrap/>
            <w:vAlign w:val="bottom"/>
          </w:tcPr>
          <w:p w:rsidR="004F1DE8" w:rsidRPr="004F1DE8" w:rsidRDefault="004F1DE8" w:rsidP="004F1DE8">
            <w:pPr>
              <w:cnfStyle w:val="000000000000" w:firstRow="0" w:lastRow="0" w:firstColumn="0" w:lastColumn="0" w:oddVBand="0" w:evenVBand="0" w:oddHBand="0" w:evenHBand="0" w:firstRowFirstColumn="0" w:firstRowLastColumn="0" w:lastRowFirstColumn="0" w:lastRowLastColumn="0"/>
              <w:rPr>
                <w:rStyle w:val="Strong"/>
              </w:rPr>
            </w:pPr>
            <w:r w:rsidRPr="004F1DE8">
              <w:rPr>
                <w:rStyle w:val="Strong"/>
              </w:rPr>
              <w:t>47.2</w:t>
            </w:r>
          </w:p>
        </w:tc>
        <w:tc>
          <w:tcPr>
            <w:tcW w:w="898" w:type="dxa"/>
            <w:noWrap/>
            <w:vAlign w:val="bottom"/>
          </w:tcPr>
          <w:p w:rsidR="004F1DE8" w:rsidRPr="004F1DE8" w:rsidRDefault="004F1DE8" w:rsidP="004F1DE8">
            <w:pPr>
              <w:cnfStyle w:val="000000000000" w:firstRow="0" w:lastRow="0" w:firstColumn="0" w:lastColumn="0" w:oddVBand="0" w:evenVBand="0" w:oddHBand="0" w:evenHBand="0" w:firstRowFirstColumn="0" w:firstRowLastColumn="0" w:lastRowFirstColumn="0" w:lastRowLastColumn="0"/>
              <w:rPr>
                <w:rStyle w:val="Strong"/>
              </w:rPr>
            </w:pPr>
            <w:r w:rsidRPr="004F1DE8">
              <w:rPr>
                <w:rStyle w:val="Strong"/>
              </w:rPr>
              <w:t>56.4</w:t>
            </w:r>
          </w:p>
        </w:tc>
        <w:tc>
          <w:tcPr>
            <w:tcW w:w="897" w:type="dxa"/>
            <w:noWrap/>
            <w:vAlign w:val="bottom"/>
          </w:tcPr>
          <w:p w:rsidR="004F1DE8" w:rsidRPr="004F1DE8" w:rsidRDefault="004F1DE8" w:rsidP="004F1DE8">
            <w:pPr>
              <w:cnfStyle w:val="000000000000" w:firstRow="0" w:lastRow="0" w:firstColumn="0" w:lastColumn="0" w:oddVBand="0" w:evenVBand="0" w:oddHBand="0" w:evenHBand="0" w:firstRowFirstColumn="0" w:firstRowLastColumn="0" w:lastRowFirstColumn="0" w:lastRowLastColumn="0"/>
              <w:rPr>
                <w:rStyle w:val="Strong"/>
              </w:rPr>
            </w:pPr>
            <w:r w:rsidRPr="004F1DE8">
              <w:rPr>
                <w:rStyle w:val="Strong"/>
              </w:rPr>
              <w:t>57.1</w:t>
            </w:r>
          </w:p>
        </w:tc>
        <w:tc>
          <w:tcPr>
            <w:tcW w:w="898" w:type="dxa"/>
            <w:noWrap/>
            <w:vAlign w:val="bottom"/>
          </w:tcPr>
          <w:p w:rsidR="004F1DE8" w:rsidRPr="004F1DE8" w:rsidRDefault="004F1DE8" w:rsidP="004F1DE8">
            <w:pPr>
              <w:cnfStyle w:val="000000000000" w:firstRow="0" w:lastRow="0" w:firstColumn="0" w:lastColumn="0" w:oddVBand="0" w:evenVBand="0" w:oddHBand="0" w:evenHBand="0" w:firstRowFirstColumn="0" w:firstRowLastColumn="0" w:lastRowFirstColumn="0" w:lastRowLastColumn="0"/>
              <w:rPr>
                <w:rStyle w:val="Strong"/>
              </w:rPr>
            </w:pPr>
            <w:r w:rsidRPr="004F1DE8">
              <w:rPr>
                <w:rStyle w:val="Strong"/>
              </w:rPr>
              <w:t>62.9</w:t>
            </w:r>
          </w:p>
        </w:tc>
        <w:tc>
          <w:tcPr>
            <w:tcW w:w="898" w:type="dxa"/>
            <w:noWrap/>
            <w:vAlign w:val="bottom"/>
          </w:tcPr>
          <w:p w:rsidR="004F1DE8" w:rsidRPr="004F1DE8" w:rsidRDefault="004F1DE8" w:rsidP="004F1DE8">
            <w:pPr>
              <w:cnfStyle w:val="000000000000" w:firstRow="0" w:lastRow="0" w:firstColumn="0" w:lastColumn="0" w:oddVBand="0" w:evenVBand="0" w:oddHBand="0" w:evenHBand="0" w:firstRowFirstColumn="0" w:firstRowLastColumn="0" w:lastRowFirstColumn="0" w:lastRowLastColumn="0"/>
              <w:rPr>
                <w:rStyle w:val="Strong"/>
              </w:rPr>
            </w:pPr>
            <w:r w:rsidRPr="004F1DE8">
              <w:rPr>
                <w:rStyle w:val="Strong"/>
              </w:rPr>
              <w:t>282.5</w:t>
            </w:r>
          </w:p>
        </w:tc>
      </w:tr>
    </w:tbl>
    <w:p w:rsidR="004F1DE8" w:rsidRDefault="004F1DE8" w:rsidP="004F1DE8">
      <w:pPr>
        <w:pStyle w:val="AERtablesource"/>
      </w:pPr>
      <w:r>
        <w:t>Source:</w:t>
      </w:r>
      <w:r>
        <w:tab/>
      </w:r>
      <w:r w:rsidRPr="004F1DE8">
        <w:t xml:space="preserve">Jemena, </w:t>
      </w:r>
      <w:r w:rsidRPr="004F1DE8">
        <w:rPr>
          <w:rStyle w:val="AERtextitalic"/>
        </w:rPr>
        <w:t>Revised regulatory proposal</w:t>
      </w:r>
      <w:r w:rsidRPr="004F1DE8">
        <w:t xml:space="preserve">, </w:t>
      </w:r>
      <w:r w:rsidR="00F64CDE" w:rsidRPr="004338F8">
        <w:rPr>
          <w:rStyle w:val="Emphasis"/>
        </w:rPr>
        <w:t>Attachment 05-02</w:t>
      </w:r>
      <w:r w:rsidR="00F64CDE">
        <w:t xml:space="preserve">, </w:t>
      </w:r>
      <w:r w:rsidRPr="004F1DE8">
        <w:t xml:space="preserve">January </w:t>
      </w:r>
      <w:r w:rsidR="00226404">
        <w:t>2016</w:t>
      </w:r>
      <w:r w:rsidR="00F64CDE">
        <w:t>.</w:t>
      </w:r>
    </w:p>
    <w:p w:rsidR="00132D43" w:rsidRDefault="00132D43" w:rsidP="00132D43">
      <w:pPr>
        <w:pStyle w:val="Heading2"/>
      </w:pPr>
      <w:bookmarkStart w:id="76" w:name="_Toc451285757"/>
      <w:r>
        <w:t>Assessment approach</w:t>
      </w:r>
      <w:bookmarkEnd w:id="76"/>
    </w:p>
    <w:p w:rsidR="00132D43" w:rsidRDefault="00236393" w:rsidP="00132D43">
      <w:r w:rsidRPr="00236393">
        <w:t>We have not changed our assessment approach for the regulatory depreciation allowance from our preliminary decision. Section 5.3 of our preliminary decision details that approach.</w:t>
      </w:r>
      <w:r w:rsidRPr="00236393">
        <w:rPr>
          <w:rStyle w:val="FootnoteReference"/>
        </w:rPr>
        <w:footnoteReference w:id="6"/>
      </w:r>
    </w:p>
    <w:p w:rsidR="00132D43" w:rsidRDefault="00132D43" w:rsidP="00132D43">
      <w:pPr>
        <w:pStyle w:val="Heading2"/>
      </w:pPr>
      <w:bookmarkStart w:id="77" w:name="_Toc451285758"/>
      <w:r>
        <w:t xml:space="preserve">Reasons for </w:t>
      </w:r>
      <w:r w:rsidR="00DB4E34">
        <w:t>final</w:t>
      </w:r>
      <w:r>
        <w:t xml:space="preserve"> decision</w:t>
      </w:r>
      <w:bookmarkEnd w:id="77"/>
    </w:p>
    <w:p w:rsidR="00157E9D" w:rsidRDefault="00236393" w:rsidP="00591F26">
      <w:r w:rsidRPr="00236393">
        <w:t>We determine a regulatory depreciation allowance of $</w:t>
      </w:r>
      <w:r w:rsidR="008500F3">
        <w:t>2</w:t>
      </w:r>
      <w:r w:rsidR="00826941">
        <w:t>62.9 </w:t>
      </w:r>
      <w:r w:rsidRPr="00236393">
        <w:t xml:space="preserve">million ($ nominal) for </w:t>
      </w:r>
      <w:r>
        <w:t>Jemena</w:t>
      </w:r>
      <w:r w:rsidRPr="00236393">
        <w:t xml:space="preserve"> </w:t>
      </w:r>
      <w:r w:rsidR="0084457E">
        <w:t>over</w:t>
      </w:r>
      <w:r w:rsidRPr="00236393">
        <w:t xml:space="preserve"> the 2016–20 regulatory control period. </w:t>
      </w:r>
      <w:r w:rsidR="00157E9D" w:rsidRPr="00E004A9">
        <w:t>In determining this allowance we accept</w:t>
      </w:r>
      <w:r w:rsidR="00157E9D">
        <w:t xml:space="preserve"> Jemena's use of the year-by-year tracking approach to determine its straight-line depreciation of assets.</w:t>
      </w:r>
    </w:p>
    <w:p w:rsidR="000E7DD6" w:rsidRDefault="00157E9D" w:rsidP="00591F26">
      <w:r>
        <w:t>However, we reduced</w:t>
      </w:r>
      <w:r w:rsidR="00236393">
        <w:t xml:space="preserve"> Jemena</w:t>
      </w:r>
      <w:r w:rsidR="00236393" w:rsidRPr="00236393">
        <w:t xml:space="preserve">'s revised proposed regulatory depreciation allowance </w:t>
      </w:r>
      <w:r>
        <w:t>by</w:t>
      </w:r>
      <w:r w:rsidR="00236393" w:rsidRPr="00236393">
        <w:t xml:space="preserve"> $</w:t>
      </w:r>
      <w:r w:rsidR="00826941">
        <w:t>19.7 </w:t>
      </w:r>
      <w:r w:rsidR="00236393" w:rsidRPr="00236393">
        <w:t xml:space="preserve">million (or </w:t>
      </w:r>
      <w:r w:rsidR="00826941">
        <w:t>7.0 </w:t>
      </w:r>
      <w:r w:rsidR="00236393" w:rsidRPr="00236393">
        <w:t xml:space="preserve">per cent). </w:t>
      </w:r>
      <w:r>
        <w:t>This amendment</w:t>
      </w:r>
      <w:r w:rsidR="00BD0600">
        <w:t xml:space="preserve"> reflects </w:t>
      </w:r>
      <w:r w:rsidR="000E7DD6">
        <w:t>our:</w:t>
      </w:r>
    </w:p>
    <w:p w:rsidR="000E7DD6" w:rsidRDefault="00157E9D" w:rsidP="000E7DD6">
      <w:pPr>
        <w:pStyle w:val="AERbulletlistfirststyle"/>
      </w:pPr>
      <w:r>
        <w:t xml:space="preserve">changes </w:t>
      </w:r>
      <w:r w:rsidR="00BD0600">
        <w:t>to</w:t>
      </w:r>
      <w:r>
        <w:t xml:space="preserve"> </w:t>
      </w:r>
      <w:r w:rsidR="00A00DDE">
        <w:t>two of</w:t>
      </w:r>
      <w:r w:rsidR="00BD0600">
        <w:t xml:space="preserve"> its standard asset lives (section 5.4.1)</w:t>
      </w:r>
      <w:r w:rsidR="000E7DD6">
        <w:t xml:space="preserve"> to correct a number of input errors</w:t>
      </w:r>
      <w:r w:rsidR="00BD0600">
        <w:t>.</w:t>
      </w:r>
    </w:p>
    <w:p w:rsidR="00591F26" w:rsidRDefault="00591F26" w:rsidP="000E7DD6">
      <w:pPr>
        <w:pStyle w:val="AERbulletlistfirststyle"/>
      </w:pPr>
      <w:r w:rsidRPr="00591F26">
        <w:t xml:space="preserve">determinations regarding other components of </w:t>
      </w:r>
      <w:r>
        <w:t>Jemena</w:t>
      </w:r>
      <w:r w:rsidRPr="00591F26">
        <w:t>’s revised proposal—for example, the opening RAB at 1</w:t>
      </w:r>
      <w:r w:rsidR="00462C7C">
        <w:t> </w:t>
      </w:r>
      <w:r w:rsidRPr="00591F26">
        <w:t>January 2016 (attachment 2</w:t>
      </w:r>
      <w:r w:rsidR="008500F3" w:rsidRPr="00591F26">
        <w:t>)</w:t>
      </w:r>
      <w:r w:rsidR="008500F3">
        <w:t xml:space="preserve"> and</w:t>
      </w:r>
      <w:r w:rsidR="008500F3" w:rsidRPr="00591F26">
        <w:t xml:space="preserve"> </w:t>
      </w:r>
      <w:r w:rsidR="00EC7486">
        <w:t>expected</w:t>
      </w:r>
      <w:r>
        <w:t xml:space="preserve"> inflation (attachment 3)</w:t>
      </w:r>
      <w:r w:rsidR="00170FC4">
        <w:rPr>
          <w:rStyle w:val="FootnoteReference"/>
        </w:rPr>
        <w:footnoteReference w:id="7"/>
      </w:r>
      <w:r w:rsidRPr="00591F26">
        <w:t>—affecting the forecast regulatory depreciation allowance.</w:t>
      </w:r>
    </w:p>
    <w:p w:rsidR="00BD0600" w:rsidRDefault="00BD0600" w:rsidP="004338F8">
      <w:pPr>
        <w:pStyle w:val="Heading3"/>
        <w:ind w:left="578" w:hanging="578"/>
      </w:pPr>
      <w:bookmarkStart w:id="78" w:name="_Ref445200998"/>
      <w:bookmarkStart w:id="79" w:name="_Toc451285759"/>
      <w:r>
        <w:t>Standard asset lives</w:t>
      </w:r>
      <w:bookmarkEnd w:id="78"/>
      <w:bookmarkEnd w:id="79"/>
    </w:p>
    <w:p w:rsidR="00F87A19" w:rsidRDefault="001727C6" w:rsidP="00591F26">
      <w:r w:rsidRPr="001727C6">
        <w:t>We accept Jemena's</w:t>
      </w:r>
      <w:r w:rsidR="000B4C23">
        <w:t xml:space="preserve"> revised</w:t>
      </w:r>
      <w:r w:rsidRPr="001727C6">
        <w:t xml:space="preserve"> proposed approach to determining standard asset lives for its existing asset classes</w:t>
      </w:r>
      <w:r>
        <w:t xml:space="preserve">. </w:t>
      </w:r>
      <w:r w:rsidR="000B4C23">
        <w:t xml:space="preserve">This is consistent with our preliminary decision. </w:t>
      </w:r>
      <w:r w:rsidR="00F87A19">
        <w:t xml:space="preserve">However, we have amended </w:t>
      </w:r>
      <w:r w:rsidR="00A00DDE">
        <w:t xml:space="preserve">two of </w:t>
      </w:r>
      <w:r w:rsidR="00F87A19">
        <w:t>the revised proposal standard asset lives to correct a number of input errors identified.</w:t>
      </w:r>
      <w:r w:rsidR="00A00DDE">
        <w:t xml:space="preserve"> Consistent with our preliminary decision, we accept Jemena's revised proposal for the 'Land' asset class to not be assigned a standard asset life.</w:t>
      </w:r>
    </w:p>
    <w:p w:rsidR="001727C6" w:rsidRDefault="001727C6" w:rsidP="00591F26">
      <w:r>
        <w:lastRenderedPageBreak/>
        <w:t>In the preliminary decision we accepted Jemena's</w:t>
      </w:r>
      <w:r w:rsidR="00A00DDE">
        <w:t xml:space="preserve"> proposed</w:t>
      </w:r>
      <w:r>
        <w:t xml:space="preserve"> approach to determine standard asset lives that </w:t>
      </w:r>
      <w:r w:rsidRPr="001727C6">
        <w:t xml:space="preserve">reflect the mix of capex forecast </w:t>
      </w:r>
      <w:r w:rsidR="00A00DDE">
        <w:t xml:space="preserve">for the 2016–20 regulatory control period, </w:t>
      </w:r>
      <w:r w:rsidRPr="001727C6">
        <w:t>except for the 'SCADA/Network control' asset class</w:t>
      </w:r>
      <w:r>
        <w:t xml:space="preserve">. </w:t>
      </w:r>
      <w:r w:rsidRPr="001727C6">
        <w:t>We d</w:t>
      </w:r>
      <w:r>
        <w:t>id</w:t>
      </w:r>
      <w:r w:rsidRPr="001727C6">
        <w:t xml:space="preserve"> not consider the calculated standard asset life from this approach adequately account</w:t>
      </w:r>
      <w:r w:rsidR="007B6DED">
        <w:t>ed</w:t>
      </w:r>
      <w:r w:rsidRPr="001727C6">
        <w:t xml:space="preserve"> for the specialised nature of SCADA related IT assets.</w:t>
      </w:r>
      <w:r>
        <w:t xml:space="preserve"> </w:t>
      </w:r>
    </w:p>
    <w:p w:rsidR="00BD0600" w:rsidRDefault="00F87A19" w:rsidP="00591F26">
      <w:r>
        <w:t>Jemena's</w:t>
      </w:r>
      <w:r w:rsidR="001727C6">
        <w:t xml:space="preserve"> revised proposal a</w:t>
      </w:r>
      <w:r w:rsidR="00A00DDE">
        <w:t>dopted</w:t>
      </w:r>
      <w:r w:rsidR="001727C6">
        <w:t xml:space="preserve"> our preliminary decision amendment to the </w:t>
      </w:r>
      <w:r w:rsidR="001727C6" w:rsidRPr="001727C6">
        <w:t>'SCADA/Network control'</w:t>
      </w:r>
      <w:r w:rsidR="001727C6">
        <w:t xml:space="preserve"> standard asset life and maintained its</w:t>
      </w:r>
      <w:r>
        <w:t xml:space="preserve"> approach to determining</w:t>
      </w:r>
      <w:r w:rsidR="001727C6">
        <w:t xml:space="preserve"> standard asset lives for other asset classes.</w:t>
      </w:r>
      <w:r w:rsidR="004225EC">
        <w:t xml:space="preserve"> Its revised proposal also adopted our preliminary decision to create a new 'Land' asset class with no standard life assigned to it</w:t>
      </w:r>
      <w:r w:rsidR="001C4EAA">
        <w:t xml:space="preserve"> as land assets do not depreciate</w:t>
      </w:r>
      <w:r w:rsidR="004225EC">
        <w:t>.</w:t>
      </w:r>
    </w:p>
    <w:p w:rsidR="001727C6" w:rsidRDefault="00F87A19" w:rsidP="00591F26">
      <w:r>
        <w:t>In our review of Jemena's revised proposal</w:t>
      </w:r>
      <w:r w:rsidR="00DC42EA">
        <w:t xml:space="preserve"> calculation of standard asset lives</w:t>
      </w:r>
      <w:r w:rsidR="006506F5">
        <w:t>,</w:t>
      </w:r>
      <w:r w:rsidR="00DC42EA">
        <w:t xml:space="preserve"> we identified a number of the materials that were assigned a standard </w:t>
      </w:r>
      <w:r w:rsidR="00A00DDE">
        <w:t xml:space="preserve">asset </w:t>
      </w:r>
      <w:r w:rsidR="00DC42EA">
        <w:t xml:space="preserve">life of 'zero'. </w:t>
      </w:r>
      <w:r w:rsidR="0044362B">
        <w:t>This has the effect of reducing the</w:t>
      </w:r>
      <w:r w:rsidR="00A00DDE">
        <w:t xml:space="preserve"> overall</w:t>
      </w:r>
      <w:r w:rsidR="0044362B">
        <w:t xml:space="preserve"> standard asset life for </w:t>
      </w:r>
      <w:r w:rsidR="00A00DDE">
        <w:t>two</w:t>
      </w:r>
      <w:r w:rsidR="0044362B">
        <w:t xml:space="preserve"> asset classes, as </w:t>
      </w:r>
      <w:r w:rsidR="00DC42EA">
        <w:t xml:space="preserve">Jemena's approach </w:t>
      </w:r>
      <w:r w:rsidR="00A00DDE">
        <w:t>calculates</w:t>
      </w:r>
      <w:r w:rsidR="00DC42EA" w:rsidRPr="00DC42EA">
        <w:t xml:space="preserve"> </w:t>
      </w:r>
      <w:r w:rsidR="007004EC">
        <w:t xml:space="preserve">a </w:t>
      </w:r>
      <w:r w:rsidR="00DC42EA" w:rsidRPr="00DC42EA">
        <w:t xml:space="preserve">standard </w:t>
      </w:r>
      <w:r w:rsidR="007004EC">
        <w:t xml:space="preserve">asset </w:t>
      </w:r>
      <w:r w:rsidR="00DC42EA" w:rsidRPr="00DC42EA">
        <w:t xml:space="preserve">life </w:t>
      </w:r>
      <w:r w:rsidR="00DC42EA">
        <w:t xml:space="preserve">based on </w:t>
      </w:r>
      <w:r w:rsidR="0044362B">
        <w:t xml:space="preserve">the </w:t>
      </w:r>
      <w:r w:rsidR="007004EC" w:rsidRPr="00DC42EA">
        <w:t xml:space="preserve">weighted average </w:t>
      </w:r>
      <w:r w:rsidR="007004EC">
        <w:t xml:space="preserve">life of required </w:t>
      </w:r>
      <w:r w:rsidR="00DC42EA" w:rsidRPr="00DC42EA">
        <w:t>materials</w:t>
      </w:r>
      <w:r w:rsidR="00DC42EA">
        <w:t>.</w:t>
      </w:r>
      <w:r w:rsidR="007004EC">
        <w:t xml:space="preserve"> We raised this issue with Jemena</w:t>
      </w:r>
      <w:r w:rsidR="00DC42EA">
        <w:t xml:space="preserve"> </w:t>
      </w:r>
      <w:r w:rsidR="007004EC">
        <w:t xml:space="preserve">and </w:t>
      </w:r>
      <w:r w:rsidR="00E133F5">
        <w:t xml:space="preserve">were provided a list of </w:t>
      </w:r>
      <w:r w:rsidR="005D60E3">
        <w:t>corrected</w:t>
      </w:r>
      <w:r w:rsidR="007004EC" w:rsidRPr="007004EC">
        <w:t xml:space="preserve"> asset lives</w:t>
      </w:r>
      <w:r w:rsidR="007004EC">
        <w:t xml:space="preserve"> for the relevant materials</w:t>
      </w:r>
      <w:r w:rsidR="00A00DDE">
        <w:t>, which had been omitted</w:t>
      </w:r>
      <w:r w:rsidR="007004EC">
        <w:t>.</w:t>
      </w:r>
      <w:r w:rsidR="007004EC">
        <w:rPr>
          <w:rStyle w:val="FootnoteReference"/>
        </w:rPr>
        <w:footnoteReference w:id="8"/>
      </w:r>
      <w:r w:rsidR="007004EC">
        <w:t xml:space="preserve"> Correcting the error in the standard asset life calculation results in a longer standard asset life a</w:t>
      </w:r>
      <w:r w:rsidR="00A00DDE">
        <w:t>ssigned</w:t>
      </w:r>
      <w:r w:rsidR="007004EC">
        <w:t xml:space="preserve"> to the 'Subtransmission' and 'Distribution system assets' asset classes than Jemena's revised proposal.</w:t>
      </w:r>
      <w:r w:rsidR="007004EC">
        <w:rPr>
          <w:rStyle w:val="FootnoteReference"/>
        </w:rPr>
        <w:footnoteReference w:id="9"/>
      </w:r>
      <w:r w:rsidR="007004EC">
        <w:t xml:space="preserve"> </w:t>
      </w:r>
      <w:r>
        <w:t xml:space="preserve">Our final decision is to accept the </w:t>
      </w:r>
      <w:r w:rsidRPr="00F87A19">
        <w:t>approach to determining standard asset lives that reflect the mix of capex forecast for the 2016–20 regulatory control period.</w:t>
      </w:r>
      <w:r>
        <w:t xml:space="preserve"> </w:t>
      </w:r>
    </w:p>
    <w:p w:rsidR="003E7865" w:rsidRDefault="003E7865" w:rsidP="003E7865">
      <w:r>
        <w:t>We received one submission from the CCP on the preliminary decision raising concerns about the variation in standard asset lives applied to similar asset classes across the Victorian service providers. The CCP submitted</w:t>
      </w:r>
      <w:r w:rsidRPr="0019485A">
        <w:t xml:space="preserve"> </w:t>
      </w:r>
      <w:r>
        <w:t>the</w:t>
      </w:r>
      <w:r w:rsidRPr="0019485A">
        <w:t xml:space="preserve"> variation </w:t>
      </w:r>
      <w:r>
        <w:t>i</w:t>
      </w:r>
      <w:r w:rsidRPr="0019485A">
        <w:t xml:space="preserve">s greater than </w:t>
      </w:r>
      <w:r>
        <w:t xml:space="preserve">that </w:t>
      </w:r>
      <w:r w:rsidRPr="0019485A">
        <w:t xml:space="preserve">needed to </w:t>
      </w:r>
      <w:r>
        <w:t xml:space="preserve">reflect </w:t>
      </w:r>
      <w:r w:rsidRPr="0019485A">
        <w:t>the</w:t>
      </w:r>
      <w:r>
        <w:t xml:space="preserve"> </w:t>
      </w:r>
      <w:r w:rsidRPr="0019485A">
        <w:t>specific nature of each network.</w:t>
      </w:r>
      <w:r>
        <w:rPr>
          <w:rStyle w:val="FootnoteReference"/>
        </w:rPr>
        <w:footnoteReference w:id="10"/>
      </w:r>
      <w:r>
        <w:t xml:space="preserve"> It also noted that</w:t>
      </w:r>
      <w:r w:rsidRPr="00B2417D">
        <w:t xml:space="preserve"> there are elements of the assets</w:t>
      </w:r>
      <w:r>
        <w:t xml:space="preserve"> </w:t>
      </w:r>
      <w:r w:rsidRPr="00B2417D">
        <w:t>that are not impacte</w:t>
      </w:r>
      <w:r>
        <w:t>d by any different environments—</w:t>
      </w:r>
      <w:r w:rsidRPr="00B2417D">
        <w:t xml:space="preserve">such as </w:t>
      </w:r>
      <w:r>
        <w:t xml:space="preserve">office costs, </w:t>
      </w:r>
      <w:r w:rsidRPr="00B2417D">
        <w:t>IT</w:t>
      </w:r>
      <w:r>
        <w:t xml:space="preserve">, </w:t>
      </w:r>
      <w:r w:rsidRPr="00B2417D">
        <w:t>SCADA</w:t>
      </w:r>
      <w:r>
        <w:t xml:space="preserve"> and</w:t>
      </w:r>
      <w:r w:rsidRPr="00B2417D">
        <w:t xml:space="preserve"> vehicles</w:t>
      </w:r>
      <w:r>
        <w:t>—</w:t>
      </w:r>
      <w:r w:rsidRPr="00B2417D">
        <w:t>and therefore are not exposed to different standard asset lives.</w:t>
      </w:r>
      <w:r>
        <w:t xml:space="preserve"> </w:t>
      </w:r>
    </w:p>
    <w:p w:rsidR="003E7865" w:rsidRDefault="003E7865" w:rsidP="003E7865">
      <w:r>
        <w:t xml:space="preserve">We agree that the same asset types should have the same standard asset life applied barring any environmental factors that may impact on the useful life of the asset. However, each asset class used in the PTRM is not for a single asset type, but covers a group of assets. For example, the 'Distribution system assets' asset class may include assets such as concrete, wooden, and steel poles, surge diverters and zone substation batteries. Likewise, the 'Non-network general – IT' asset class may encompass short lived standard IT assets (e.g. office computers and general word processing software), as well as more specialised IT assets (e.g. data servers and </w:t>
      </w:r>
      <w:r>
        <w:lastRenderedPageBreak/>
        <w:t>storage systems). We consider it is reasonable that these assets may have different useful lives. The standard asset life of each asset class should represent the average standard asset life of the capex allocated to that asset class. As the overall make-up of assets entering a certain asset class may differ by business, we consider it reasonable for there to be variation in the average standard asset life applied across businesses. For this reason, we note that this is particularly the case for broader asset classes such as 'Non-network – other' which the CCP submitted has significant variation in standard asset life across Victorian service providers.</w:t>
      </w:r>
      <w:r>
        <w:rPr>
          <w:rStyle w:val="FootnoteReference"/>
        </w:rPr>
        <w:footnoteReference w:id="11"/>
      </w:r>
    </w:p>
    <w:p w:rsidR="003E7865" w:rsidRDefault="003E7865" w:rsidP="003E7865">
      <w:r>
        <w:t xml:space="preserve">We also note that Jemena's approach to determining standard asset lives </w:t>
      </w:r>
      <w:r w:rsidR="00200B54">
        <w:t>adjusts the life of each asset class for the material makeup of its proposed capex</w:t>
      </w:r>
      <w:r>
        <w:t>. We are satisfied that</w:t>
      </w:r>
      <w:r w:rsidRPr="000F2A98">
        <w:t xml:space="preserve"> </w:t>
      </w:r>
      <w:r w:rsidRPr="00B24DE5">
        <w:t>the standard asset lives reflect the nature of the assets over the economic lives of the asset classes</w:t>
      </w:r>
      <w:r>
        <w:t>.</w:t>
      </w:r>
      <w:r>
        <w:rPr>
          <w:rStyle w:val="FootnoteReference"/>
        </w:rPr>
        <w:footnoteReference w:id="12"/>
      </w:r>
    </w:p>
    <w:p w:rsidR="007209F4" w:rsidRDefault="000051F7" w:rsidP="00591F26">
      <w:r>
        <w:fldChar w:fldCharType="begin"/>
      </w:r>
      <w:r>
        <w:instrText xml:space="preserve"> REF _Ref444504600 \h </w:instrText>
      </w:r>
      <w:r>
        <w:fldChar w:fldCharType="separate"/>
      </w:r>
      <w:r w:rsidR="00D66B49">
        <w:t xml:space="preserve">Table </w:t>
      </w:r>
      <w:r w:rsidR="00D66B49">
        <w:rPr>
          <w:noProof/>
        </w:rPr>
        <w:t>5</w:t>
      </w:r>
      <w:r w:rsidR="00D66B49">
        <w:t>.</w:t>
      </w:r>
      <w:r w:rsidR="00D66B49">
        <w:rPr>
          <w:noProof/>
        </w:rPr>
        <w:t>3</w:t>
      </w:r>
      <w:r>
        <w:fldChar w:fldCharType="end"/>
      </w:r>
      <w:r>
        <w:t xml:space="preserve"> </w:t>
      </w:r>
      <w:r w:rsidR="007209F4" w:rsidRPr="00F264E2">
        <w:t xml:space="preserve">sets out our </w:t>
      </w:r>
      <w:r w:rsidR="007209F4">
        <w:t>final</w:t>
      </w:r>
      <w:r w:rsidR="007209F4" w:rsidRPr="00F264E2">
        <w:t xml:space="preserve"> decision on </w:t>
      </w:r>
      <w:r w:rsidR="007209F4">
        <w:t>Jemena</w:t>
      </w:r>
      <w:r w:rsidR="007209F4" w:rsidRPr="00F264E2">
        <w:t>'s standard asset lives for the 201</w:t>
      </w:r>
      <w:r w:rsidR="007209F4">
        <w:t>6</w:t>
      </w:r>
      <w:r w:rsidR="007209F4" w:rsidRPr="00F264E2">
        <w:t xml:space="preserve">–20 regulatory control period. </w:t>
      </w:r>
    </w:p>
    <w:p w:rsidR="000051F7" w:rsidRDefault="000051F7" w:rsidP="000051F7">
      <w:pPr>
        <w:pStyle w:val="Caption"/>
      </w:pPr>
      <w:bookmarkStart w:id="80" w:name="_Ref444504600"/>
      <w:r>
        <w:t xml:space="preserve">Table </w:t>
      </w:r>
      <w:r w:rsidR="00024E0B">
        <w:fldChar w:fldCharType="begin"/>
      </w:r>
      <w:r w:rsidR="00024E0B">
        <w:instrText xml:space="preserve"> STYLEREF 1 \s </w:instrText>
      </w:r>
      <w:r w:rsidR="00024E0B">
        <w:fldChar w:fldCharType="separate"/>
      </w:r>
      <w:r w:rsidR="00D66B49">
        <w:rPr>
          <w:noProof/>
        </w:rPr>
        <w:t>5</w:t>
      </w:r>
      <w:r w:rsidR="00024E0B">
        <w:rPr>
          <w:noProof/>
        </w:rPr>
        <w:fldChar w:fldCharType="end"/>
      </w:r>
      <w:r>
        <w:t>.</w:t>
      </w:r>
      <w:fldSimple w:instr=" SEQ Table \* ARABIC \s 1 ">
        <w:r w:rsidR="00D66B49">
          <w:rPr>
            <w:noProof/>
          </w:rPr>
          <w:t>3</w:t>
        </w:r>
      </w:fldSimple>
      <w:bookmarkEnd w:id="80"/>
      <w:r>
        <w:tab/>
      </w:r>
      <w:r w:rsidRPr="000051F7">
        <w:t xml:space="preserve">AER’s </w:t>
      </w:r>
      <w:r>
        <w:t>final</w:t>
      </w:r>
      <w:r w:rsidRPr="000051F7">
        <w:t xml:space="preserve"> decision on Jemena’s standard asset lives at 1</w:t>
      </w:r>
      <w:r>
        <w:t> J</w:t>
      </w:r>
      <w:r w:rsidRPr="000051F7">
        <w:t>anuary 2016 (years)</w:t>
      </w:r>
    </w:p>
    <w:tbl>
      <w:tblPr>
        <w:tblStyle w:val="AERtable-numbers"/>
        <w:tblW w:w="8476" w:type="dxa"/>
        <w:tblLook w:val="04A0" w:firstRow="1" w:lastRow="0" w:firstColumn="1" w:lastColumn="0" w:noHBand="0" w:noVBand="1"/>
      </w:tblPr>
      <w:tblGrid>
        <w:gridCol w:w="6062"/>
        <w:gridCol w:w="2414"/>
      </w:tblGrid>
      <w:tr w:rsidR="000051F7" w:rsidRPr="00E11F83" w:rsidTr="0084457E">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062" w:type="dxa"/>
            <w:noWrap/>
            <w:hideMark/>
          </w:tcPr>
          <w:p w:rsidR="000051F7" w:rsidRPr="000051F7" w:rsidRDefault="000051F7" w:rsidP="000051F7">
            <w:r w:rsidRPr="000051F7">
              <w:t>Asset class</w:t>
            </w:r>
          </w:p>
        </w:tc>
        <w:tc>
          <w:tcPr>
            <w:tcW w:w="2414" w:type="dxa"/>
            <w:noWrap/>
            <w:hideMark/>
          </w:tcPr>
          <w:p w:rsidR="000051F7" w:rsidRPr="000051F7" w:rsidRDefault="000051F7" w:rsidP="00C87EC8">
            <w:pPr>
              <w:cnfStyle w:val="100000000000" w:firstRow="1" w:lastRow="0" w:firstColumn="0" w:lastColumn="0" w:oddVBand="0" w:evenVBand="0" w:oddHBand="0" w:evenHBand="0" w:firstRowFirstColumn="0" w:firstRowLastColumn="0" w:lastRowFirstColumn="0" w:lastRowLastColumn="0"/>
            </w:pPr>
            <w:r w:rsidRPr="000051F7">
              <w:t>Standard asset life</w:t>
            </w:r>
          </w:p>
        </w:tc>
      </w:tr>
      <w:tr w:rsidR="005B1C9D" w:rsidRPr="00E11F83" w:rsidTr="0084457E">
        <w:trPr>
          <w:trHeight w:val="276"/>
        </w:trPr>
        <w:tc>
          <w:tcPr>
            <w:cnfStyle w:val="001000000000" w:firstRow="0" w:lastRow="0" w:firstColumn="1" w:lastColumn="0" w:oddVBand="0" w:evenVBand="0" w:oddHBand="0" w:evenHBand="0" w:firstRowFirstColumn="0" w:firstRowLastColumn="0" w:lastRowFirstColumn="0" w:lastRowLastColumn="0"/>
            <w:tcW w:w="6062" w:type="dxa"/>
            <w:noWrap/>
            <w:vAlign w:val="bottom"/>
          </w:tcPr>
          <w:p w:rsidR="005B1C9D" w:rsidRPr="005B1C9D" w:rsidRDefault="005B1C9D" w:rsidP="005B1C9D">
            <w:r w:rsidRPr="005B1C9D">
              <w:t>Subtransmission</w:t>
            </w:r>
          </w:p>
        </w:tc>
        <w:tc>
          <w:tcPr>
            <w:tcW w:w="2414" w:type="dxa"/>
            <w:noWrap/>
            <w:vAlign w:val="bottom"/>
          </w:tcPr>
          <w:p w:rsidR="005B1C9D" w:rsidRPr="005B1C9D" w:rsidRDefault="005B1C9D" w:rsidP="005B1C9D">
            <w:pPr>
              <w:cnfStyle w:val="000000000000" w:firstRow="0" w:lastRow="0" w:firstColumn="0" w:lastColumn="0" w:oddVBand="0" w:evenVBand="0" w:oddHBand="0" w:evenHBand="0" w:firstRowFirstColumn="0" w:firstRowLastColumn="0" w:lastRowFirstColumn="0" w:lastRowLastColumn="0"/>
            </w:pPr>
            <w:bookmarkStart w:id="81" w:name="RANGE!M7"/>
            <w:r w:rsidRPr="005B1C9D">
              <w:t>53.4</w:t>
            </w:r>
            <w:bookmarkEnd w:id="81"/>
          </w:p>
        </w:tc>
      </w:tr>
      <w:tr w:rsidR="005B1C9D" w:rsidRPr="00E11F83" w:rsidTr="0084457E">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062" w:type="dxa"/>
            <w:noWrap/>
            <w:vAlign w:val="bottom"/>
          </w:tcPr>
          <w:p w:rsidR="005B1C9D" w:rsidRPr="005B1C9D" w:rsidRDefault="005B1C9D" w:rsidP="005B1C9D">
            <w:r w:rsidRPr="005B1C9D">
              <w:t>Distribution system assets</w:t>
            </w:r>
          </w:p>
        </w:tc>
        <w:tc>
          <w:tcPr>
            <w:tcW w:w="2414" w:type="dxa"/>
            <w:noWrap/>
            <w:vAlign w:val="bottom"/>
          </w:tcPr>
          <w:p w:rsidR="005B1C9D" w:rsidRPr="005B1C9D" w:rsidRDefault="005B1C9D" w:rsidP="005B1C9D">
            <w:pPr>
              <w:cnfStyle w:val="000000010000" w:firstRow="0" w:lastRow="0" w:firstColumn="0" w:lastColumn="0" w:oddVBand="0" w:evenVBand="0" w:oddHBand="0" w:evenHBand="1" w:firstRowFirstColumn="0" w:firstRowLastColumn="0" w:lastRowFirstColumn="0" w:lastRowLastColumn="0"/>
            </w:pPr>
            <w:bookmarkStart w:id="82" w:name="RANGE!M8"/>
            <w:r w:rsidRPr="005B1C9D">
              <w:t>49.5</w:t>
            </w:r>
            <w:bookmarkEnd w:id="82"/>
          </w:p>
        </w:tc>
      </w:tr>
      <w:tr w:rsidR="005B1C9D" w:rsidRPr="00E11F83" w:rsidTr="0084457E">
        <w:trPr>
          <w:trHeight w:val="276"/>
        </w:trPr>
        <w:tc>
          <w:tcPr>
            <w:cnfStyle w:val="001000000000" w:firstRow="0" w:lastRow="0" w:firstColumn="1" w:lastColumn="0" w:oddVBand="0" w:evenVBand="0" w:oddHBand="0" w:evenHBand="0" w:firstRowFirstColumn="0" w:firstRowLastColumn="0" w:lastRowFirstColumn="0" w:lastRowLastColumn="0"/>
            <w:tcW w:w="6062" w:type="dxa"/>
            <w:noWrap/>
            <w:vAlign w:val="bottom"/>
          </w:tcPr>
          <w:p w:rsidR="005B1C9D" w:rsidRPr="005B1C9D" w:rsidRDefault="005B1C9D" w:rsidP="005B1C9D">
            <w:r w:rsidRPr="005B1C9D">
              <w:t>Metering</w:t>
            </w:r>
          </w:p>
        </w:tc>
        <w:tc>
          <w:tcPr>
            <w:tcW w:w="2414" w:type="dxa"/>
            <w:noWrap/>
            <w:vAlign w:val="bottom"/>
          </w:tcPr>
          <w:p w:rsidR="005B1C9D" w:rsidRPr="005B1C9D" w:rsidRDefault="005B1C9D" w:rsidP="005B1C9D">
            <w:pPr>
              <w:cnfStyle w:val="000000000000" w:firstRow="0" w:lastRow="0" w:firstColumn="0" w:lastColumn="0" w:oddVBand="0" w:evenVBand="0" w:oddHBand="0" w:evenHBand="0" w:firstRowFirstColumn="0" w:firstRowLastColumn="0" w:lastRowFirstColumn="0" w:lastRowLastColumn="0"/>
            </w:pPr>
            <w:bookmarkStart w:id="83" w:name="RANGE!M9"/>
            <w:r w:rsidRPr="005B1C9D">
              <w:t>n/a</w:t>
            </w:r>
            <w:bookmarkEnd w:id="83"/>
            <w:r w:rsidR="00FF7433" w:rsidRPr="00FF7433">
              <w:rPr>
                <w:rStyle w:val="AERsuperscript"/>
              </w:rPr>
              <w:t>a</w:t>
            </w:r>
          </w:p>
        </w:tc>
      </w:tr>
      <w:tr w:rsidR="005B1C9D" w:rsidRPr="00E11F83" w:rsidTr="0084457E">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062" w:type="dxa"/>
            <w:noWrap/>
            <w:vAlign w:val="bottom"/>
          </w:tcPr>
          <w:p w:rsidR="005B1C9D" w:rsidRPr="005B1C9D" w:rsidRDefault="005B1C9D" w:rsidP="005B1C9D">
            <w:r w:rsidRPr="005B1C9D">
              <w:t>Public lighting</w:t>
            </w:r>
          </w:p>
        </w:tc>
        <w:tc>
          <w:tcPr>
            <w:tcW w:w="2414" w:type="dxa"/>
            <w:noWrap/>
            <w:vAlign w:val="bottom"/>
          </w:tcPr>
          <w:p w:rsidR="005B1C9D" w:rsidRPr="005B1C9D" w:rsidRDefault="005B1C9D" w:rsidP="005B1C9D">
            <w:pPr>
              <w:cnfStyle w:val="000000010000" w:firstRow="0" w:lastRow="0" w:firstColumn="0" w:lastColumn="0" w:oddVBand="0" w:evenVBand="0" w:oddHBand="0" w:evenHBand="1" w:firstRowFirstColumn="0" w:firstRowLastColumn="0" w:lastRowFirstColumn="0" w:lastRowLastColumn="0"/>
            </w:pPr>
            <w:bookmarkStart w:id="84" w:name="RANGE!M10"/>
            <w:r w:rsidRPr="005B1C9D">
              <w:t>n/a</w:t>
            </w:r>
            <w:bookmarkEnd w:id="84"/>
            <w:r w:rsidR="00FF7433" w:rsidRPr="00FF7433">
              <w:rPr>
                <w:rStyle w:val="AERsuperscript"/>
              </w:rPr>
              <w:t>a</w:t>
            </w:r>
          </w:p>
        </w:tc>
      </w:tr>
      <w:tr w:rsidR="005B1C9D" w:rsidRPr="00E11F83" w:rsidTr="0084457E">
        <w:trPr>
          <w:trHeight w:val="276"/>
        </w:trPr>
        <w:tc>
          <w:tcPr>
            <w:cnfStyle w:val="001000000000" w:firstRow="0" w:lastRow="0" w:firstColumn="1" w:lastColumn="0" w:oddVBand="0" w:evenVBand="0" w:oddHBand="0" w:evenHBand="0" w:firstRowFirstColumn="0" w:firstRowLastColumn="0" w:lastRowFirstColumn="0" w:lastRowLastColumn="0"/>
            <w:tcW w:w="6062" w:type="dxa"/>
            <w:noWrap/>
            <w:vAlign w:val="bottom"/>
          </w:tcPr>
          <w:p w:rsidR="005B1C9D" w:rsidRPr="005B1C9D" w:rsidRDefault="005B1C9D" w:rsidP="005B1C9D">
            <w:r w:rsidRPr="005B1C9D">
              <w:t>SCADA/Network control</w:t>
            </w:r>
          </w:p>
        </w:tc>
        <w:tc>
          <w:tcPr>
            <w:tcW w:w="2414" w:type="dxa"/>
            <w:noWrap/>
            <w:vAlign w:val="bottom"/>
          </w:tcPr>
          <w:p w:rsidR="005B1C9D" w:rsidRPr="005B1C9D" w:rsidRDefault="005B1C9D" w:rsidP="005B1C9D">
            <w:pPr>
              <w:cnfStyle w:val="000000000000" w:firstRow="0" w:lastRow="0" w:firstColumn="0" w:lastColumn="0" w:oddVBand="0" w:evenVBand="0" w:oddHBand="0" w:evenHBand="0" w:firstRowFirstColumn="0" w:firstRowLastColumn="0" w:lastRowFirstColumn="0" w:lastRowLastColumn="0"/>
            </w:pPr>
            <w:bookmarkStart w:id="85" w:name="RANGE!M11"/>
            <w:r w:rsidRPr="005B1C9D">
              <w:t>10.0</w:t>
            </w:r>
            <w:bookmarkEnd w:id="85"/>
          </w:p>
        </w:tc>
      </w:tr>
      <w:tr w:rsidR="005B1C9D" w:rsidRPr="00E11F83" w:rsidTr="0084457E">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062" w:type="dxa"/>
            <w:noWrap/>
            <w:vAlign w:val="bottom"/>
          </w:tcPr>
          <w:p w:rsidR="005B1C9D" w:rsidRPr="005B1C9D" w:rsidRDefault="005B1C9D" w:rsidP="005B1C9D">
            <w:r w:rsidRPr="005B1C9D">
              <w:t>Non network - IT</w:t>
            </w:r>
          </w:p>
        </w:tc>
        <w:tc>
          <w:tcPr>
            <w:tcW w:w="2414" w:type="dxa"/>
            <w:noWrap/>
            <w:vAlign w:val="bottom"/>
          </w:tcPr>
          <w:p w:rsidR="005B1C9D" w:rsidRPr="005B1C9D" w:rsidRDefault="005B1C9D" w:rsidP="005B1C9D">
            <w:pPr>
              <w:cnfStyle w:val="000000010000" w:firstRow="0" w:lastRow="0" w:firstColumn="0" w:lastColumn="0" w:oddVBand="0" w:evenVBand="0" w:oddHBand="0" w:evenHBand="1" w:firstRowFirstColumn="0" w:firstRowLastColumn="0" w:lastRowFirstColumn="0" w:lastRowLastColumn="0"/>
            </w:pPr>
            <w:bookmarkStart w:id="86" w:name="RANGE!M12"/>
            <w:r w:rsidRPr="005B1C9D">
              <w:t>5.2</w:t>
            </w:r>
            <w:bookmarkEnd w:id="86"/>
          </w:p>
        </w:tc>
      </w:tr>
      <w:tr w:rsidR="005B1C9D" w:rsidRPr="00E11F83" w:rsidTr="0084457E">
        <w:trPr>
          <w:trHeight w:val="276"/>
        </w:trPr>
        <w:tc>
          <w:tcPr>
            <w:cnfStyle w:val="001000000000" w:firstRow="0" w:lastRow="0" w:firstColumn="1" w:lastColumn="0" w:oddVBand="0" w:evenVBand="0" w:oddHBand="0" w:evenHBand="0" w:firstRowFirstColumn="0" w:firstRowLastColumn="0" w:lastRowFirstColumn="0" w:lastRowLastColumn="0"/>
            <w:tcW w:w="6062" w:type="dxa"/>
            <w:noWrap/>
            <w:vAlign w:val="bottom"/>
          </w:tcPr>
          <w:p w:rsidR="005B1C9D" w:rsidRPr="005B1C9D" w:rsidRDefault="005B1C9D" w:rsidP="005B1C9D">
            <w:r w:rsidRPr="005B1C9D">
              <w:t>Non network - other</w:t>
            </w:r>
          </w:p>
        </w:tc>
        <w:tc>
          <w:tcPr>
            <w:tcW w:w="2414" w:type="dxa"/>
            <w:noWrap/>
            <w:vAlign w:val="bottom"/>
          </w:tcPr>
          <w:p w:rsidR="005B1C9D" w:rsidRPr="005B1C9D" w:rsidRDefault="005B1C9D" w:rsidP="005B1C9D">
            <w:pPr>
              <w:cnfStyle w:val="000000000000" w:firstRow="0" w:lastRow="0" w:firstColumn="0" w:lastColumn="0" w:oddVBand="0" w:evenVBand="0" w:oddHBand="0" w:evenHBand="0" w:firstRowFirstColumn="0" w:firstRowLastColumn="0" w:lastRowFirstColumn="0" w:lastRowLastColumn="0"/>
            </w:pPr>
            <w:bookmarkStart w:id="87" w:name="RANGE!M13"/>
            <w:r w:rsidRPr="005B1C9D">
              <w:t>24.2</w:t>
            </w:r>
            <w:bookmarkEnd w:id="87"/>
          </w:p>
        </w:tc>
      </w:tr>
      <w:tr w:rsidR="005B1C9D" w:rsidRPr="00E11F83" w:rsidTr="0084457E">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062" w:type="dxa"/>
            <w:noWrap/>
            <w:vAlign w:val="bottom"/>
          </w:tcPr>
          <w:p w:rsidR="005B1C9D" w:rsidRPr="005B1C9D" w:rsidRDefault="005B1C9D" w:rsidP="005B1C9D">
            <w:r w:rsidRPr="005B1C9D">
              <w:t>Land</w:t>
            </w:r>
          </w:p>
        </w:tc>
        <w:tc>
          <w:tcPr>
            <w:tcW w:w="2414" w:type="dxa"/>
            <w:noWrap/>
            <w:vAlign w:val="bottom"/>
          </w:tcPr>
          <w:p w:rsidR="005B1C9D" w:rsidRPr="005B1C9D" w:rsidRDefault="005B1C9D" w:rsidP="005B1C9D">
            <w:pPr>
              <w:cnfStyle w:val="000000010000" w:firstRow="0" w:lastRow="0" w:firstColumn="0" w:lastColumn="0" w:oddVBand="0" w:evenVBand="0" w:oddHBand="0" w:evenHBand="1" w:firstRowFirstColumn="0" w:firstRowLastColumn="0" w:lastRowFirstColumn="0" w:lastRowLastColumn="0"/>
            </w:pPr>
            <w:bookmarkStart w:id="88" w:name="RANGE!M14"/>
            <w:r w:rsidRPr="005B1C9D">
              <w:t>n/a</w:t>
            </w:r>
            <w:bookmarkEnd w:id="88"/>
          </w:p>
        </w:tc>
      </w:tr>
      <w:tr w:rsidR="005B1C9D" w:rsidRPr="00E11F83" w:rsidTr="0084457E">
        <w:trPr>
          <w:trHeight w:val="276"/>
        </w:trPr>
        <w:tc>
          <w:tcPr>
            <w:cnfStyle w:val="001000000000" w:firstRow="0" w:lastRow="0" w:firstColumn="1" w:lastColumn="0" w:oddVBand="0" w:evenVBand="0" w:oddHBand="0" w:evenHBand="0" w:firstRowFirstColumn="0" w:firstRowLastColumn="0" w:lastRowFirstColumn="0" w:lastRowLastColumn="0"/>
            <w:tcW w:w="6062" w:type="dxa"/>
            <w:noWrap/>
            <w:vAlign w:val="bottom"/>
          </w:tcPr>
          <w:p w:rsidR="005B1C9D" w:rsidRPr="005B1C9D" w:rsidRDefault="005B1C9D" w:rsidP="005B1C9D">
            <w:r>
              <w:t>Equity raising costs</w:t>
            </w:r>
          </w:p>
        </w:tc>
        <w:tc>
          <w:tcPr>
            <w:tcW w:w="2414" w:type="dxa"/>
            <w:noWrap/>
            <w:vAlign w:val="bottom"/>
          </w:tcPr>
          <w:p w:rsidR="005B1C9D" w:rsidRPr="005B1C9D" w:rsidRDefault="005B1C9D" w:rsidP="005B1C9D">
            <w:pPr>
              <w:cnfStyle w:val="000000000000" w:firstRow="0" w:lastRow="0" w:firstColumn="0" w:lastColumn="0" w:oddVBand="0" w:evenVBand="0" w:oddHBand="0" w:evenHBand="0" w:firstRowFirstColumn="0" w:firstRowLastColumn="0" w:lastRowFirstColumn="0" w:lastRowLastColumn="0"/>
            </w:pPr>
            <w:r>
              <w:t>46.5</w:t>
            </w:r>
          </w:p>
        </w:tc>
      </w:tr>
    </w:tbl>
    <w:p w:rsidR="000051F7" w:rsidRDefault="000051F7" w:rsidP="000051F7">
      <w:pPr>
        <w:pStyle w:val="AERtablesource"/>
      </w:pPr>
      <w:r>
        <w:t xml:space="preserve">Source: </w:t>
      </w:r>
      <w:r>
        <w:tab/>
        <w:t>AER analysis.</w:t>
      </w:r>
    </w:p>
    <w:p w:rsidR="00C87EC8" w:rsidRDefault="00C87EC8" w:rsidP="00C87EC8">
      <w:pPr>
        <w:pStyle w:val="AERtablesource"/>
      </w:pPr>
      <w:r>
        <w:t>n/a:</w:t>
      </w:r>
      <w:r>
        <w:tab/>
        <w:t>not applicable.</w:t>
      </w:r>
    </w:p>
    <w:p w:rsidR="00FF7433" w:rsidRDefault="00FF7433" w:rsidP="00FF7433">
      <w:pPr>
        <w:pStyle w:val="AERtablesource"/>
      </w:pPr>
      <w:r w:rsidRPr="00FF7433">
        <w:t>(a)</w:t>
      </w:r>
      <w:r w:rsidRPr="00FF7433">
        <w:tab/>
        <w:t>This asset class is no longer used as no further capex in this category is being added over the 2016–20 regulatory control period.</w:t>
      </w:r>
    </w:p>
    <w:p w:rsidR="00BD0600" w:rsidRDefault="00BD0600" w:rsidP="007B6DED">
      <w:pPr>
        <w:pStyle w:val="Heading3"/>
        <w:keepNext/>
        <w:ind w:left="578" w:hanging="578"/>
      </w:pPr>
      <w:bookmarkStart w:id="89" w:name="_Ref445201101"/>
      <w:bookmarkStart w:id="90" w:name="_Toc451285760"/>
      <w:r>
        <w:lastRenderedPageBreak/>
        <w:t>Remaining asset lives</w:t>
      </w:r>
      <w:bookmarkEnd w:id="89"/>
      <w:bookmarkEnd w:id="90"/>
    </w:p>
    <w:p w:rsidR="00BD0600" w:rsidRDefault="00D30417" w:rsidP="007B6DED">
      <w:pPr>
        <w:keepNext/>
      </w:pPr>
      <w:r w:rsidRPr="00D30417">
        <w:t xml:space="preserve">We accept </w:t>
      </w:r>
      <w:r>
        <w:t>Jemena</w:t>
      </w:r>
      <w:r w:rsidRPr="00D30417">
        <w:t>'s revised propos</w:t>
      </w:r>
      <w:r>
        <w:t xml:space="preserve">al to use </w:t>
      </w:r>
      <w:r w:rsidR="00C87EC8">
        <w:t>the</w:t>
      </w:r>
      <w:r>
        <w:t xml:space="preserve"> year-by-year tracking approach to determine depreciation on the opening RAB as at 1 January 2016. This approach is consistent with our preliminary decision.</w:t>
      </w:r>
    </w:p>
    <w:p w:rsidR="00D30417" w:rsidRPr="00D30417" w:rsidRDefault="00D30417" w:rsidP="00D30417">
      <w:r>
        <w:t>Our preliminary decision use</w:t>
      </w:r>
      <w:r w:rsidR="00070FCA">
        <w:t>d</w:t>
      </w:r>
      <w:r>
        <w:t xml:space="preserve"> </w:t>
      </w:r>
      <w:r w:rsidR="00C87EC8">
        <w:t>the</w:t>
      </w:r>
      <w:r>
        <w:t xml:space="preserve"> year-by-year tracking approach to determine depreciation of existing assets in place of remaining asset lives calculated using an 'average depreciation' approach initially proposed by Jemena. </w:t>
      </w:r>
      <w:r w:rsidR="00070FCA">
        <w:t>Th</w:t>
      </w:r>
      <w:r w:rsidR="00C87EC8">
        <w:t>e year-by-year tracking</w:t>
      </w:r>
      <w:r w:rsidR="00070FCA">
        <w:t xml:space="preserve"> approach is also consistent with </w:t>
      </w:r>
      <w:r w:rsidR="00070FCA" w:rsidRPr="00070FCA">
        <w:t>Jemena</w:t>
      </w:r>
      <w:r w:rsidR="00070FCA">
        <w:t>'s</w:t>
      </w:r>
      <w:r w:rsidR="00070FCA" w:rsidRPr="00070FCA">
        <w:t xml:space="preserve"> consultant</w:t>
      </w:r>
      <w:r w:rsidR="00070FCA">
        <w:t xml:space="preserve"> report submitted subsequent to its initial proposal</w:t>
      </w:r>
      <w:r w:rsidR="00070FCA" w:rsidRPr="00070FCA">
        <w:t>.</w:t>
      </w:r>
      <w:r w:rsidR="00070FCA" w:rsidRPr="00070FCA">
        <w:rPr>
          <w:rStyle w:val="FootnoteReference"/>
        </w:rPr>
        <w:footnoteReference w:id="13"/>
      </w:r>
      <w:r w:rsidR="00070FCA">
        <w:t xml:space="preserve"> </w:t>
      </w:r>
      <w:r w:rsidRPr="00D30417">
        <w:t>Under this approach:</w:t>
      </w:r>
    </w:p>
    <w:p w:rsidR="00D30417" w:rsidRPr="00D30417" w:rsidRDefault="00D30417" w:rsidP="00D30417">
      <w:pPr>
        <w:pStyle w:val="AERbulletlistfirststyle"/>
      </w:pPr>
      <w:r w:rsidRPr="00D30417">
        <w:t xml:space="preserve">assets in existence at 1 January 2011 are depreciated by asset class using straight-line depreciation with the remaining lives determined in the 2010 final decision; and </w:t>
      </w:r>
    </w:p>
    <w:p w:rsidR="00D30417" w:rsidRDefault="00D30417" w:rsidP="00D30417">
      <w:pPr>
        <w:pStyle w:val="AERbulletlistfirststyle"/>
      </w:pPr>
      <w:r w:rsidRPr="00D30417">
        <w:t>capex in each year of the 2011 to 2015 period is grouped by asset classes and separately depreciated over their standard lives</w:t>
      </w:r>
      <w:r w:rsidR="00C87EC8">
        <w:t xml:space="preserve"> as approved in the 2010 final decision</w:t>
      </w:r>
      <w:r w:rsidRPr="00D30417">
        <w:t>.</w:t>
      </w:r>
      <w:r>
        <w:t xml:space="preserve"> </w:t>
      </w:r>
    </w:p>
    <w:p w:rsidR="00C87EC8" w:rsidRPr="00C87EC8" w:rsidRDefault="00C87EC8" w:rsidP="005327CC">
      <w:r w:rsidRPr="00C87EC8">
        <w:t>Each asset class will have an expanding list of sub-classes to reflect every regulatory year in which capital expenditure on those assets was incurred.</w:t>
      </w:r>
      <w:r w:rsidRPr="00C87EC8">
        <w:rPr>
          <w:rStyle w:val="FootnoteReference"/>
        </w:rPr>
        <w:footnoteReference w:id="14"/>
      </w:r>
      <w:r w:rsidRPr="00C87EC8">
        <w:t xml:space="preserve"> This extra data helps track remaining asset values, lives and associated depreciation. The year-by-year tracking approach is more disaggregated, compared with other approaches, and involves </w:t>
      </w:r>
      <w:r w:rsidR="00226404" w:rsidRPr="00226404">
        <w:t>multiple depreciation calculations within each asset class, separately tracking capex by the regulatory year it was incurred</w:t>
      </w:r>
      <w:r w:rsidRPr="00C87EC8">
        <w:t>. For this reason, it does not combine capex incurred during 2011 to 2015 with existing assets in 2011, and so does not require average remaining asset lives to be estimated at 1 January 2016.</w:t>
      </w:r>
    </w:p>
    <w:p w:rsidR="00D30417" w:rsidRDefault="00F915E2" w:rsidP="005327CC">
      <w:r>
        <w:t xml:space="preserve">We consider that this approach meets the requirements of the NER </w:t>
      </w:r>
      <w:r w:rsidRPr="00F915E2">
        <w:t>in that it produces depreciation schedules that align with the economic life of the assets</w:t>
      </w:r>
      <w:r>
        <w:t>.</w:t>
      </w:r>
      <w:r>
        <w:rPr>
          <w:rStyle w:val="FootnoteReference"/>
        </w:rPr>
        <w:footnoteReference w:id="15"/>
      </w:r>
      <w:r>
        <w:t xml:space="preserve"> However, </w:t>
      </w:r>
      <w:r w:rsidRPr="00F915E2">
        <w:t xml:space="preserve">we maintain our preference for the </w:t>
      </w:r>
      <w:r w:rsidR="00BB3CAC">
        <w:t>weighted average</w:t>
      </w:r>
      <w:r w:rsidRPr="00F915E2">
        <w:t xml:space="preserve"> approach</w:t>
      </w:r>
      <w:r>
        <w:t xml:space="preserve"> to determining remaining asset lives. We consider the use of </w:t>
      </w:r>
      <w:r w:rsidR="00BB3CAC">
        <w:t>weighted average remaining live</w:t>
      </w:r>
      <w:r>
        <w:t xml:space="preserve">s also </w:t>
      </w:r>
      <w:r w:rsidRPr="00F915E2">
        <w:t>meets the requirements of the NER</w:t>
      </w:r>
      <w:r>
        <w:t xml:space="preserve"> and </w:t>
      </w:r>
      <w:r w:rsidRPr="00F915E2">
        <w:t>avoids the additional complexity inherent in year-by-year tracking, which brings with it additional administration costs and increased risk of error.</w:t>
      </w:r>
      <w:r w:rsidR="002F2CEC">
        <w:rPr>
          <w:rStyle w:val="FootnoteReference"/>
        </w:rPr>
        <w:footnoteReference w:id="16"/>
      </w:r>
      <w:r>
        <w:t xml:space="preserve"> </w:t>
      </w:r>
      <w:r w:rsidR="00790BEB" w:rsidRPr="00790BEB">
        <w:t>It also promotes smoother revenues where revenues depend less on when individual capex occurs.</w:t>
      </w:r>
    </w:p>
    <w:p w:rsidR="00644A68" w:rsidRDefault="00644A68" w:rsidP="00644A68">
      <w:r w:rsidRPr="007C5D71">
        <w:lastRenderedPageBreak/>
        <w:t>In its submission to the preliminary decision, the CCP raised concerns about the</w:t>
      </w:r>
      <w:r>
        <w:t xml:space="preserve"> increased depreciation resulting from the move to a year-by-year tracking approach. The CCP submitted that this is due to the year-by-year tracking approach being 'backdated' to 2011 and reflects the under-recovery of depreciation over the 2011–15 regulatory control period where depreciation was based on a different approach. It recommended that the change to year-by-year tracking should only be implemented for future capex.</w:t>
      </w:r>
    </w:p>
    <w:p w:rsidR="00644A68" w:rsidRDefault="00644A68" w:rsidP="00644A68">
      <w:r>
        <w:t xml:space="preserve">We are satisfied that beginning the year-by-year tracking of depreciation from 2011 is a continuation of the approach applied in the PTRM to forecast depreciation at the 2010 determination. Therefore, we do not consider it results in an under-recovery in depreciation over that period which will be recovered </w:t>
      </w:r>
      <w:r w:rsidR="00D46BFC">
        <w:t xml:space="preserve">from </w:t>
      </w:r>
      <w:r>
        <w:t>future customers. At the 2010 determination the depreciation allowance was calculated using remaining asset lives at 1 January 2011 to depreciate the opening RAB, and standard asset lives to depreciate forecast capex over the 2011–15 regulatory control period. This is the standard approach to calculating depreciation. The year-by-year tracking approach uses the remaining and standard asset lives determined at the 2010 determination to calculate depreciation over the 2011–15 regulatory control period, but updates for actual capex—as is done in the RFM—and continues the tracking into the 2016–20 regulatory control period.</w:t>
      </w:r>
      <w:r>
        <w:rPr>
          <w:rStyle w:val="FootnoteReference"/>
        </w:rPr>
        <w:footnoteReference w:id="17"/>
      </w:r>
      <w:r>
        <w:t xml:space="preserve"> </w:t>
      </w:r>
    </w:p>
    <w:p w:rsidR="00644A68" w:rsidRDefault="00644A68" w:rsidP="00644A68">
      <w:r>
        <w:t>The advantage of the year-by-year tracking approach is that it preserves the annual capex information over multiple regulatory control periods rather than combining it together with existing assets at each reset</w:t>
      </w:r>
      <w:r w:rsidRPr="003A5883">
        <w:t xml:space="preserve"> </w:t>
      </w:r>
      <w:r>
        <w:t>for depreciation purposes. This means that estimating the average remaining life of the combined assets is not required at each reset. This is because the asset lives determined in previous decisions are maintained and applied to the relevant year of capex. The only determination is on the standard asset lives to apply to forecast capex for subsequent regulatory control periods.</w:t>
      </w:r>
    </w:p>
    <w:p w:rsidR="00644A68" w:rsidRDefault="00776264" w:rsidP="00790BEB">
      <w:r>
        <w:t xml:space="preserve">In the preliminary decision for Jemena we rejected its proposal to use the average depreciation approach to determine remaining asset lives. In the short run, year-by-year tracking will lead to a depreciation allowance that is roughly comparable in aggregate to that initially proposed by Jemena. In the long run, however, </w:t>
      </w:r>
      <w:r w:rsidR="003B07AC" w:rsidRPr="003B07AC">
        <w:t xml:space="preserve">the depreciation allowance will be lower under </w:t>
      </w:r>
      <w:r w:rsidR="004D606C">
        <w:t xml:space="preserve">the </w:t>
      </w:r>
      <w:r w:rsidR="003B07AC" w:rsidRPr="003B07AC">
        <w:t>year-by-year tracking approach. The average depreciation approach would have locked in relatively lower remaining asset lives for all existing (pre 2011) and new assets (capex 2011–15).</w:t>
      </w:r>
      <w:r w:rsidR="003B07AC" w:rsidRPr="003B07AC">
        <w:rPr>
          <w:rStyle w:val="FootnoteReference"/>
        </w:rPr>
        <w:footnoteReference w:id="18"/>
      </w:r>
      <w:r w:rsidR="003B07AC" w:rsidRPr="003B07AC">
        <w:t xml:space="preserve"> The year-by-year tracking approach will result in new assets (capex from 2011 onwards) being depreciated over their standard asset lives without adjustment. The assets in existence in 2011 will be depreciated by the remaining asset life approved in the last determination. </w:t>
      </w:r>
      <w:r>
        <w:t xml:space="preserve">Each year the accuracy of the remaining asset lives in total will improve under year-by-year tracking as the assets acquired prior to 2011 make up a smaller </w:t>
      </w:r>
      <w:r>
        <w:lastRenderedPageBreak/>
        <w:t>proportion of the RAB. Delaying the start of year-by-year tracking delays the benefits of such an approach being realised and does not reduce the amount of depreciation recovered in the short run if the depreciation is still calculated using the average depreciation approach as Jemena initially proposed.</w:t>
      </w:r>
    </w:p>
    <w:sectPr w:rsidR="00644A68" w:rsidSect="00CF42AA">
      <w:headerReference w:type="default" r:id="rId16"/>
      <w:footerReference w:type="even" r:id="rId17"/>
      <w:footerReference w:type="first" r:id="rId18"/>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57E" w:rsidRPr="00290C63" w:rsidRDefault="0084457E" w:rsidP="00290C63">
      <w:r>
        <w:separator/>
      </w:r>
    </w:p>
    <w:p w:rsidR="0084457E" w:rsidRDefault="0084457E"/>
  </w:endnote>
  <w:endnote w:type="continuationSeparator" w:id="0">
    <w:p w:rsidR="0084457E" w:rsidRPr="00290C63" w:rsidRDefault="0084457E" w:rsidP="00290C63">
      <w:r>
        <w:continuationSeparator/>
      </w:r>
    </w:p>
    <w:p w:rsidR="0084457E" w:rsidRDefault="008445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57E" w:rsidRPr="00290C63" w:rsidRDefault="0084457E"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84457E" w:rsidRDefault="0084457E"/>
  <w:p w:rsidR="0084457E" w:rsidRDefault="0084457E"/>
  <w:p w:rsidR="0084457E" w:rsidRDefault="0084457E"/>
  <w:p w:rsidR="0084457E" w:rsidRDefault="0084457E"/>
  <w:p w:rsidR="0084457E" w:rsidRDefault="0084457E"/>
  <w:p w:rsidR="0084457E" w:rsidRDefault="0084457E"/>
  <w:p w:rsidR="0084457E" w:rsidRDefault="0084457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84457E" w:rsidRPr="009B6F84" w:rsidRDefault="0084457E">
        <w:pPr>
          <w:pStyle w:val="Footer"/>
          <w:rPr>
            <w:sz w:val="20"/>
          </w:rPr>
        </w:pPr>
        <w:r>
          <w:fldChar w:fldCharType="begin"/>
        </w:r>
        <w:r>
          <w:instrText xml:space="preserve"> PAGE   \* MERGEFORMAT </w:instrText>
        </w:r>
        <w:r>
          <w:fldChar w:fldCharType="separate"/>
        </w:r>
        <w:r w:rsidR="00024E0B">
          <w:rPr>
            <w:noProof/>
          </w:rPr>
          <w:t>5-10</w:t>
        </w:r>
        <w:r>
          <w:rPr>
            <w:noProof/>
          </w:rPr>
          <w:fldChar w:fldCharType="end"/>
        </w:r>
        <w:r>
          <w:rPr>
            <w:noProof/>
          </w:rPr>
          <w:t xml:space="preserve">  </w:t>
        </w:r>
        <w:r>
          <w:t xml:space="preserve">Attachment 5 – Regulatory depreciation </w:t>
        </w:r>
        <w:r w:rsidRPr="004523B2">
          <w:t xml:space="preserve">| </w:t>
        </w:r>
        <w:r>
          <w:t>Jemena distribution determination final decision</w:t>
        </w:r>
        <w:r w:rsidRPr="004523B2">
          <w:t xml:space="preserve"> 201</w:t>
        </w:r>
        <w:r>
          <w:t>6</w:t>
        </w:r>
        <w:r w:rsidRPr="004523B2">
          <w:t>–</w:t>
        </w:r>
        <w:r>
          <w:t>20</w:t>
        </w:r>
      </w:p>
    </w:sdtContent>
  </w:sdt>
  <w:p w:rsidR="0084457E" w:rsidRDefault="008445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57E" w:rsidRPr="00290C63" w:rsidRDefault="0084457E"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84457E" w:rsidRDefault="0084457E">
    <w:pPr>
      <w:pStyle w:val="Footer"/>
    </w:pPr>
  </w:p>
  <w:p w:rsidR="0084457E" w:rsidRDefault="0084457E"/>
  <w:p w:rsidR="0084457E" w:rsidRDefault="0084457E"/>
  <w:p w:rsidR="0084457E" w:rsidRDefault="0084457E"/>
  <w:p w:rsidR="0084457E" w:rsidRDefault="0084457E"/>
  <w:p w:rsidR="0084457E" w:rsidRDefault="0084457E"/>
  <w:p w:rsidR="0084457E" w:rsidRDefault="0084457E"/>
  <w:p w:rsidR="0084457E" w:rsidRDefault="0084457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57E" w:rsidRPr="00290C63" w:rsidRDefault="0084457E"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84457E" w:rsidRDefault="0084457E"/>
  <w:p w:rsidR="0084457E" w:rsidRDefault="0084457E"/>
  <w:p w:rsidR="0084457E" w:rsidRDefault="0084457E"/>
  <w:p w:rsidR="0084457E" w:rsidRDefault="0084457E"/>
  <w:p w:rsidR="0084457E" w:rsidRDefault="0084457E"/>
  <w:p w:rsidR="0084457E" w:rsidRDefault="0084457E"/>
  <w:p w:rsidR="0084457E" w:rsidRDefault="0084457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57E" w:rsidRPr="00290C63" w:rsidRDefault="0084457E"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84457E" w:rsidRDefault="0084457E">
    <w:pPr>
      <w:pStyle w:val="Footer"/>
    </w:pPr>
  </w:p>
  <w:p w:rsidR="0084457E" w:rsidRDefault="0084457E"/>
  <w:p w:rsidR="0084457E" w:rsidRDefault="0084457E"/>
  <w:p w:rsidR="0084457E" w:rsidRDefault="0084457E"/>
  <w:p w:rsidR="0084457E" w:rsidRDefault="0084457E"/>
  <w:p w:rsidR="0084457E" w:rsidRDefault="0084457E"/>
  <w:p w:rsidR="0084457E" w:rsidRDefault="0084457E"/>
  <w:p w:rsidR="0084457E" w:rsidRDefault="008445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57E" w:rsidRPr="00290C63" w:rsidRDefault="0084457E" w:rsidP="00290C63">
      <w:r>
        <w:separator/>
      </w:r>
    </w:p>
    <w:p w:rsidR="0084457E" w:rsidRDefault="0084457E"/>
  </w:footnote>
  <w:footnote w:type="continuationSeparator" w:id="0">
    <w:p w:rsidR="0084457E" w:rsidRPr="00290C63" w:rsidRDefault="0084457E" w:rsidP="00290C63">
      <w:r>
        <w:continuationSeparator/>
      </w:r>
    </w:p>
    <w:p w:rsidR="0084457E" w:rsidRDefault="0084457E"/>
  </w:footnote>
  <w:footnote w:id="1">
    <w:p w:rsidR="0084457E" w:rsidRDefault="0084457E" w:rsidP="00A573B4">
      <w:pPr>
        <w:pStyle w:val="FootnoteText"/>
      </w:pPr>
      <w:r>
        <w:rPr>
          <w:rStyle w:val="FootnoteReference"/>
        </w:rPr>
        <w:footnoteRef/>
      </w:r>
      <w:r>
        <w:t xml:space="preserve"> </w:t>
      </w:r>
      <w:r>
        <w:tab/>
        <w:t>NER, cll</w:t>
      </w:r>
      <w:r w:rsidRPr="00A61049">
        <w:t>. 6.12.1, 6.4.3.</w:t>
      </w:r>
    </w:p>
  </w:footnote>
  <w:footnote w:id="2">
    <w:p w:rsidR="0084457E" w:rsidRDefault="0084457E" w:rsidP="00A573B4">
      <w:pPr>
        <w:pStyle w:val="FootnoteText"/>
      </w:pPr>
      <w:r>
        <w:rPr>
          <w:rStyle w:val="FootnoteReference"/>
        </w:rPr>
        <w:footnoteRef/>
      </w:r>
      <w:r>
        <w:t xml:space="preserve"> </w:t>
      </w:r>
      <w:r>
        <w:tab/>
        <w:t xml:space="preserve">Jemena, </w:t>
      </w:r>
      <w:r w:rsidRPr="00007CA2">
        <w:rPr>
          <w:rStyle w:val="AERtextitalic"/>
        </w:rPr>
        <w:t xml:space="preserve">Revised </w:t>
      </w:r>
      <w:r>
        <w:rPr>
          <w:rStyle w:val="AERtextitalic"/>
        </w:rPr>
        <w:t xml:space="preserve">regulatory </w:t>
      </w:r>
      <w:r w:rsidRPr="00007CA2">
        <w:rPr>
          <w:rStyle w:val="AERtextitalic"/>
        </w:rPr>
        <w:t>proposal</w:t>
      </w:r>
      <w:r>
        <w:t xml:space="preserve">, </w:t>
      </w:r>
      <w:r w:rsidR="00F64CDE" w:rsidRPr="004338F8">
        <w:rPr>
          <w:rStyle w:val="Emphasis"/>
        </w:rPr>
        <w:t>Attachment 05-02</w:t>
      </w:r>
      <w:r w:rsidR="00F64CDE">
        <w:t xml:space="preserve">, </w:t>
      </w:r>
      <w:r>
        <w:t xml:space="preserve">January </w:t>
      </w:r>
      <w:r w:rsidR="00226404">
        <w:t>2016</w:t>
      </w:r>
      <w:r w:rsidR="00F64CDE">
        <w:t>.</w:t>
      </w:r>
    </w:p>
  </w:footnote>
  <w:footnote w:id="3">
    <w:p w:rsidR="0084457E" w:rsidRDefault="0084457E" w:rsidP="00A573B4">
      <w:pPr>
        <w:pStyle w:val="FootnoteText"/>
      </w:pPr>
      <w:r>
        <w:rPr>
          <w:rStyle w:val="FootnoteReference"/>
        </w:rPr>
        <w:footnoteRef/>
      </w:r>
      <w:r>
        <w:t xml:space="preserve"> </w:t>
      </w:r>
      <w:r>
        <w:tab/>
        <w:t xml:space="preserve">NER, cl. 6.5.5(a)(1). </w:t>
      </w:r>
    </w:p>
  </w:footnote>
  <w:footnote w:id="4">
    <w:p w:rsidR="00FE7632" w:rsidRDefault="00FE7632">
      <w:pPr>
        <w:pStyle w:val="FootnoteText"/>
      </w:pPr>
      <w:r>
        <w:rPr>
          <w:rStyle w:val="FootnoteReference"/>
        </w:rPr>
        <w:footnoteRef/>
      </w:r>
      <w:r>
        <w:t xml:space="preserve"> </w:t>
      </w:r>
      <w:r>
        <w:tab/>
      </w:r>
      <w:r w:rsidRPr="00FE7632">
        <w:t xml:space="preserve">Jemena, </w:t>
      </w:r>
      <w:r w:rsidRPr="00FE7632">
        <w:rPr>
          <w:rStyle w:val="AERtextitalic"/>
        </w:rPr>
        <w:t>Revised regulatory proposal</w:t>
      </w:r>
      <w:r w:rsidRPr="00FE7632">
        <w:t xml:space="preserve">, </w:t>
      </w:r>
      <w:r w:rsidRPr="00FE7632">
        <w:rPr>
          <w:rStyle w:val="Emphasis"/>
        </w:rPr>
        <w:t>Attachment 05-02</w:t>
      </w:r>
      <w:r w:rsidRPr="00FE7632">
        <w:t xml:space="preserve">, January </w:t>
      </w:r>
      <w:r w:rsidR="00226404">
        <w:t>2016</w:t>
      </w:r>
      <w:r>
        <w:t>.</w:t>
      </w:r>
    </w:p>
  </w:footnote>
  <w:footnote w:id="5">
    <w:p w:rsidR="0084457E" w:rsidRDefault="0084457E">
      <w:pPr>
        <w:pStyle w:val="FootnoteText"/>
      </w:pPr>
      <w:r>
        <w:rPr>
          <w:rStyle w:val="FootnoteReference"/>
        </w:rPr>
        <w:footnoteRef/>
      </w:r>
      <w:r>
        <w:t xml:space="preserve"> </w:t>
      </w:r>
      <w:r>
        <w:tab/>
      </w:r>
      <w:r w:rsidRPr="004F1DE8">
        <w:t xml:space="preserve">Jemena, </w:t>
      </w:r>
      <w:r w:rsidRPr="004F1DE8">
        <w:rPr>
          <w:rStyle w:val="AERtextitalic"/>
        </w:rPr>
        <w:t>Revised regulatory proposal</w:t>
      </w:r>
      <w:r w:rsidRPr="004F1DE8">
        <w:t xml:space="preserve">, </w:t>
      </w:r>
      <w:r w:rsidR="00F64CDE" w:rsidRPr="004338F8">
        <w:rPr>
          <w:rStyle w:val="Emphasis"/>
        </w:rPr>
        <w:t>Attachment 05-04</w:t>
      </w:r>
      <w:r w:rsidR="00F64CDE">
        <w:t xml:space="preserve">, </w:t>
      </w:r>
      <w:r w:rsidRPr="004F1DE8">
        <w:t xml:space="preserve">January </w:t>
      </w:r>
      <w:r w:rsidR="00226404">
        <w:t>2016</w:t>
      </w:r>
      <w:r w:rsidRPr="004F1DE8">
        <w:t xml:space="preserve">, </w:t>
      </w:r>
      <w:r>
        <w:t xml:space="preserve"> pp. 9–13</w:t>
      </w:r>
      <w:r w:rsidRPr="004F1DE8">
        <w:t>.</w:t>
      </w:r>
    </w:p>
  </w:footnote>
  <w:footnote w:id="6">
    <w:p w:rsidR="0084457E" w:rsidRDefault="0084457E" w:rsidP="00236393">
      <w:pPr>
        <w:pStyle w:val="FootnoteText"/>
      </w:pPr>
      <w:r>
        <w:rPr>
          <w:rStyle w:val="FootnoteReference"/>
        </w:rPr>
        <w:footnoteRef/>
      </w:r>
      <w:r>
        <w:t xml:space="preserve"> </w:t>
      </w:r>
      <w:r>
        <w:tab/>
      </w:r>
      <w:r w:rsidRPr="00E004A9">
        <w:t xml:space="preserve">AER, </w:t>
      </w:r>
      <w:r w:rsidRPr="00E22CE5">
        <w:rPr>
          <w:rStyle w:val="AERtextitalic"/>
        </w:rPr>
        <w:t xml:space="preserve">Preliminary decision – </w:t>
      </w:r>
      <w:r>
        <w:rPr>
          <w:rStyle w:val="AERtextitalic"/>
        </w:rPr>
        <w:t>Jemena</w:t>
      </w:r>
      <w:r w:rsidRPr="00E22CE5">
        <w:rPr>
          <w:rStyle w:val="AERtextitalic"/>
        </w:rPr>
        <w:t xml:space="preserve"> determination 2016 to </w:t>
      </w:r>
      <w:r w:rsidRPr="00E424C1">
        <w:rPr>
          <w:rStyle w:val="AERtextitalic"/>
        </w:rPr>
        <w:t>2020, Attachment 5 – Regulatory depreciation</w:t>
      </w:r>
      <w:r w:rsidRPr="00E004A9">
        <w:t xml:space="preserve">, </w:t>
      </w:r>
      <w:r>
        <w:t>October</w:t>
      </w:r>
      <w:r w:rsidRPr="00E004A9">
        <w:t xml:space="preserve"> 2015, pp. 8–10.</w:t>
      </w:r>
    </w:p>
  </w:footnote>
  <w:footnote w:id="7">
    <w:p w:rsidR="0084457E" w:rsidRDefault="0084457E">
      <w:pPr>
        <w:pStyle w:val="FootnoteText"/>
      </w:pPr>
      <w:r>
        <w:rPr>
          <w:rStyle w:val="FootnoteReference"/>
        </w:rPr>
        <w:footnoteRef/>
      </w:r>
      <w:r>
        <w:t xml:space="preserve"> </w:t>
      </w:r>
      <w:r>
        <w:tab/>
      </w:r>
      <w:r w:rsidRPr="00E004A9">
        <w:t xml:space="preserve">Our final decision approves a </w:t>
      </w:r>
      <w:r>
        <w:t>higher</w:t>
      </w:r>
      <w:r w:rsidRPr="00E004A9">
        <w:t xml:space="preserve"> </w:t>
      </w:r>
      <w:r w:rsidR="00032F70">
        <w:t>expected</w:t>
      </w:r>
      <w:r w:rsidRPr="00E004A9">
        <w:t xml:space="preserve"> </w:t>
      </w:r>
      <w:r>
        <w:t>inflation rate</w:t>
      </w:r>
      <w:r w:rsidRPr="00E004A9">
        <w:t xml:space="preserve"> compared to </w:t>
      </w:r>
      <w:r>
        <w:t>Jemena’s revised proposal. This results in</w:t>
      </w:r>
      <w:r w:rsidRPr="00E004A9">
        <w:t xml:space="preserve"> </w:t>
      </w:r>
      <w:r>
        <w:t xml:space="preserve">a larger inflation on opening RAB component being removed from straight-line depreciation, and therefore lower </w:t>
      </w:r>
      <w:r w:rsidRPr="00E004A9">
        <w:t>regulatory depreciation</w:t>
      </w:r>
      <w:r>
        <w:t xml:space="preserve"> over the 2016–20 regulatory control period,</w:t>
      </w:r>
      <w:r w:rsidRPr="00E004A9">
        <w:t xml:space="preserve"> all things being equal.</w:t>
      </w:r>
    </w:p>
  </w:footnote>
  <w:footnote w:id="8">
    <w:p w:rsidR="0084457E" w:rsidRDefault="0084457E">
      <w:pPr>
        <w:pStyle w:val="FootnoteText"/>
      </w:pPr>
      <w:r>
        <w:rPr>
          <w:rStyle w:val="FootnoteReference"/>
        </w:rPr>
        <w:footnoteRef/>
      </w:r>
      <w:r>
        <w:t xml:space="preserve"> </w:t>
      </w:r>
      <w:r>
        <w:tab/>
        <w:t xml:space="preserve">Jemena, </w:t>
      </w:r>
      <w:r w:rsidRPr="005D60E3">
        <w:rPr>
          <w:rStyle w:val="AERtextitalic"/>
        </w:rPr>
        <w:t>RE: AER information request – Jemena - #040 – Standard asset lives</w:t>
      </w:r>
      <w:r w:rsidR="00F64CDE">
        <w:rPr>
          <w:rStyle w:val="AERtextitalic"/>
        </w:rPr>
        <w:t xml:space="preserve"> </w:t>
      </w:r>
      <w:r w:rsidR="00F64CDE" w:rsidRPr="004338F8">
        <w:rPr>
          <w:rStyle w:val="AERtextsize8"/>
        </w:rPr>
        <w:t>[email to AER]</w:t>
      </w:r>
      <w:r>
        <w:t>, 24 February 2016.</w:t>
      </w:r>
    </w:p>
  </w:footnote>
  <w:footnote w:id="9">
    <w:p w:rsidR="0084457E" w:rsidRDefault="0084457E">
      <w:pPr>
        <w:pStyle w:val="FootnoteText"/>
      </w:pPr>
      <w:r>
        <w:rPr>
          <w:rStyle w:val="FootnoteReference"/>
        </w:rPr>
        <w:footnoteRef/>
      </w:r>
      <w:r>
        <w:t xml:space="preserve"> </w:t>
      </w:r>
      <w:r>
        <w:tab/>
        <w:t>The standard asset lives increased from 43.8 years to 53.4 years for 'Subtransmission', and 47.7 years to 49.5 years for '</w:t>
      </w:r>
      <w:r w:rsidRPr="007004EC">
        <w:t>Distribution system assets</w:t>
      </w:r>
      <w:r>
        <w:t>'.</w:t>
      </w:r>
    </w:p>
  </w:footnote>
  <w:footnote w:id="10">
    <w:p w:rsidR="0084457E" w:rsidRDefault="0084457E" w:rsidP="003E7865">
      <w:pPr>
        <w:pStyle w:val="FootnoteText"/>
      </w:pPr>
      <w:r>
        <w:rPr>
          <w:rStyle w:val="FootnoteReference"/>
        </w:rPr>
        <w:footnoteRef/>
      </w:r>
      <w:r>
        <w:t xml:space="preserve"> </w:t>
      </w:r>
      <w:r>
        <w:tab/>
        <w:t>CCP3</w:t>
      </w:r>
      <w:r w:rsidRPr="00C31EE9">
        <w:t xml:space="preserve">, </w:t>
      </w:r>
      <w:r w:rsidRPr="00B506CF">
        <w:rPr>
          <w:rStyle w:val="AERtextitalic"/>
        </w:rPr>
        <w:t xml:space="preserve">Response to AER Preliminary Decisions </w:t>
      </w:r>
      <w:r>
        <w:rPr>
          <w:rStyle w:val="AERtextitalic"/>
        </w:rPr>
        <w:t xml:space="preserve">made by the AER in response to </w:t>
      </w:r>
      <w:r w:rsidRPr="00B506CF">
        <w:rPr>
          <w:rStyle w:val="AERtextitalic"/>
        </w:rPr>
        <w:t>proposals</w:t>
      </w:r>
      <w:r>
        <w:rPr>
          <w:rStyle w:val="AERtextitalic"/>
        </w:rPr>
        <w:t xml:space="preserve"> </w:t>
      </w:r>
      <w:r w:rsidRPr="00B506CF">
        <w:rPr>
          <w:rStyle w:val="AERtextitalic"/>
        </w:rPr>
        <w:t>from Victorian electricity distribution network service providers</w:t>
      </w:r>
      <w:r>
        <w:rPr>
          <w:rStyle w:val="AERtextitalic"/>
        </w:rPr>
        <w:t xml:space="preserve"> </w:t>
      </w:r>
      <w:r w:rsidRPr="00B506CF">
        <w:rPr>
          <w:rStyle w:val="AERtextitalic"/>
        </w:rPr>
        <w:t>for a revenue reset for the 2016</w:t>
      </w:r>
      <w:r>
        <w:rPr>
          <w:rStyle w:val="AERtextitalic"/>
        </w:rPr>
        <w:t>–</w:t>
      </w:r>
      <w:r w:rsidRPr="00B506CF">
        <w:rPr>
          <w:rStyle w:val="AERtextitalic"/>
        </w:rPr>
        <w:t>2020 regulatory period</w:t>
      </w:r>
      <w:r w:rsidRPr="00C31EE9">
        <w:t>,</w:t>
      </w:r>
      <w:r>
        <w:t xml:space="preserve"> </w:t>
      </w:r>
      <w:r w:rsidR="00FF7433" w:rsidRPr="00FF7433">
        <w:t>25</w:t>
      </w:r>
      <w:r w:rsidR="00226404">
        <w:t> </w:t>
      </w:r>
      <w:r w:rsidR="00FF7433" w:rsidRPr="00FF7433">
        <w:t>February 2016, pp. 68–70.</w:t>
      </w:r>
    </w:p>
  </w:footnote>
  <w:footnote w:id="11">
    <w:p w:rsidR="0084457E" w:rsidRDefault="0084457E" w:rsidP="003E7865">
      <w:pPr>
        <w:pStyle w:val="FootnoteText"/>
      </w:pPr>
      <w:r>
        <w:rPr>
          <w:rStyle w:val="FootnoteReference"/>
        </w:rPr>
        <w:footnoteRef/>
      </w:r>
      <w:r>
        <w:t xml:space="preserve"> </w:t>
      </w:r>
      <w:r>
        <w:tab/>
        <w:t>The 'Non-network – other' asset class may include any non-network assets that do not fit in the IT category. This may include vehicles (heavy or light), furniture, general office equipment, as well as property assets.</w:t>
      </w:r>
    </w:p>
  </w:footnote>
  <w:footnote w:id="12">
    <w:p w:rsidR="0084457E" w:rsidRDefault="0084457E" w:rsidP="003E7865">
      <w:pPr>
        <w:pStyle w:val="FootnoteText"/>
      </w:pPr>
      <w:r>
        <w:rPr>
          <w:rStyle w:val="FootnoteReference"/>
        </w:rPr>
        <w:footnoteRef/>
      </w:r>
      <w:r>
        <w:t xml:space="preserve"> </w:t>
      </w:r>
      <w:r>
        <w:tab/>
      </w:r>
      <w:r w:rsidRPr="00B24DE5">
        <w:t>NER, cl. 6.5.5(b)(1).</w:t>
      </w:r>
    </w:p>
  </w:footnote>
  <w:footnote w:id="13">
    <w:p w:rsidR="0084457E" w:rsidRDefault="0084457E" w:rsidP="00070FCA">
      <w:pPr>
        <w:pStyle w:val="FootnoteText"/>
      </w:pPr>
      <w:r>
        <w:rPr>
          <w:rStyle w:val="FootnoteReference"/>
        </w:rPr>
        <w:footnoteRef/>
      </w:r>
      <w:r>
        <w:t xml:space="preserve"> </w:t>
      </w:r>
      <w:r>
        <w:tab/>
        <w:t xml:space="preserve">Jemena, </w:t>
      </w:r>
      <w:r>
        <w:rPr>
          <w:rStyle w:val="AERtextitalic"/>
        </w:rPr>
        <w:t>Response to AER information request #017</w:t>
      </w:r>
      <w:r w:rsidR="00F64CDE">
        <w:rPr>
          <w:rStyle w:val="AERtextitalic"/>
        </w:rPr>
        <w:t xml:space="preserve"> </w:t>
      </w:r>
      <w:r w:rsidR="00F64CDE" w:rsidRPr="004338F8">
        <w:rPr>
          <w:rStyle w:val="AERtextsize8"/>
        </w:rPr>
        <w:t>[email to AER]</w:t>
      </w:r>
      <w:r w:rsidRPr="00076178">
        <w:rPr>
          <w:rStyle w:val="AERtextitalic"/>
        </w:rPr>
        <w:t>,</w:t>
      </w:r>
      <w:r>
        <w:rPr>
          <w:rStyle w:val="AERtextitalic"/>
        </w:rPr>
        <w:t xml:space="preserve"> </w:t>
      </w:r>
      <w:r>
        <w:t xml:space="preserve">5 August 2015, and Incenta, </w:t>
      </w:r>
      <w:r w:rsidRPr="00AB703A">
        <w:rPr>
          <w:rStyle w:val="AERtextitalic"/>
        </w:rPr>
        <w:t>Calculation of depreciat</w:t>
      </w:r>
      <w:r>
        <w:rPr>
          <w:rStyle w:val="AERtextitalic"/>
        </w:rPr>
        <w:t>ion – review of the AER’s approx</w:t>
      </w:r>
      <w:r w:rsidRPr="00AB703A">
        <w:rPr>
          <w:rStyle w:val="AERtextitalic"/>
        </w:rPr>
        <w:t>imate calculation</w:t>
      </w:r>
      <w:r>
        <w:rPr>
          <w:rStyle w:val="AERtextitalic"/>
        </w:rPr>
        <w:t>: CitiPower, Powercor and Jemena Electricity Networks</w:t>
      </w:r>
      <w:r>
        <w:t>, July 2015.</w:t>
      </w:r>
    </w:p>
  </w:footnote>
  <w:footnote w:id="14">
    <w:p w:rsidR="0084457E" w:rsidRDefault="0084457E" w:rsidP="00C87EC8">
      <w:pPr>
        <w:pStyle w:val="FootnoteText"/>
      </w:pPr>
      <w:r>
        <w:rPr>
          <w:rStyle w:val="FootnoteReference"/>
        </w:rPr>
        <w:footnoteRef/>
      </w:r>
      <w:r>
        <w:t xml:space="preserve"> </w:t>
      </w:r>
      <w:r>
        <w:tab/>
        <w:t>There is a separate model used for the calculations of depreciation occur. The output from this model is used as an input to the PTRM depreciation calculations.</w:t>
      </w:r>
      <w:r w:rsidR="00790BEB">
        <w:t xml:space="preserve"> Jemena integrated the sheets of this model into the PTRM in its revised proposal.</w:t>
      </w:r>
    </w:p>
  </w:footnote>
  <w:footnote w:id="15">
    <w:p w:rsidR="0084457E" w:rsidRDefault="0084457E">
      <w:pPr>
        <w:pStyle w:val="FootnoteText"/>
      </w:pPr>
      <w:r>
        <w:rPr>
          <w:rStyle w:val="FootnoteReference"/>
        </w:rPr>
        <w:footnoteRef/>
      </w:r>
      <w:r>
        <w:t xml:space="preserve"> </w:t>
      </w:r>
      <w:r>
        <w:tab/>
      </w:r>
      <w:r w:rsidRPr="00F915E2">
        <w:t>NER, cl. 6.5.5(b)(1).</w:t>
      </w:r>
    </w:p>
  </w:footnote>
  <w:footnote w:id="16">
    <w:p w:rsidR="0084457E" w:rsidRDefault="0084457E">
      <w:pPr>
        <w:pStyle w:val="FootnoteText"/>
      </w:pPr>
      <w:r>
        <w:rPr>
          <w:rStyle w:val="FootnoteReference"/>
        </w:rPr>
        <w:footnoteRef/>
      </w:r>
      <w:r>
        <w:t xml:space="preserve"> </w:t>
      </w:r>
      <w:r>
        <w:tab/>
      </w:r>
      <w:r w:rsidRPr="002F2CEC">
        <w:t xml:space="preserve">AER, </w:t>
      </w:r>
      <w:r w:rsidRPr="002F2CEC">
        <w:rPr>
          <w:rStyle w:val="AERtextitalic"/>
        </w:rPr>
        <w:t>Preliminary decision – Jemena determination 2016 to 2020, Attachment 5 – Regulatory depreciation</w:t>
      </w:r>
      <w:r w:rsidRPr="002F2CEC">
        <w:t xml:space="preserve">, October 2015, pp. </w:t>
      </w:r>
      <w:r>
        <w:t>16–17</w:t>
      </w:r>
      <w:r w:rsidRPr="002F2CEC">
        <w:t>.</w:t>
      </w:r>
    </w:p>
  </w:footnote>
  <w:footnote w:id="17">
    <w:p w:rsidR="0084457E" w:rsidRDefault="0084457E" w:rsidP="00644A68">
      <w:pPr>
        <w:pStyle w:val="FootnoteText"/>
      </w:pPr>
      <w:r>
        <w:rPr>
          <w:rStyle w:val="FootnoteReference"/>
        </w:rPr>
        <w:footnoteRef/>
      </w:r>
      <w:r>
        <w:t xml:space="preserve"> </w:t>
      </w:r>
      <w:r>
        <w:tab/>
        <w:t>Our expectation is that once the year-by-year tracking approach is adopted, it will need to be maintained into the future to prevent any further issues associated with switching depreciation approaches.</w:t>
      </w:r>
    </w:p>
  </w:footnote>
  <w:footnote w:id="18">
    <w:p w:rsidR="003B07AC" w:rsidRDefault="003B07AC" w:rsidP="003B07AC">
      <w:pPr>
        <w:pStyle w:val="FootnoteText"/>
      </w:pPr>
      <w:r>
        <w:rPr>
          <w:rStyle w:val="FootnoteReference"/>
        </w:rPr>
        <w:footnoteRef/>
      </w:r>
      <w:r>
        <w:t xml:space="preserve"> </w:t>
      </w:r>
      <w:r>
        <w:tab/>
        <w:t>There is also a ratcheting effect at each reset where the opening RAB and capex are combined and depreciated using a single remaining life at each reset.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57E" w:rsidRDefault="008445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F4CCF6E2"/>
    <w:lvl w:ilvl="0">
      <w:start w:val="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Z/A8kF5RIs8NUBUkT4nsDuQIo195ZT1YviOMNbjo7DU=" w:saltValue="rRoCcurL8fVNpI7y6E9HMw==" w:algorithmName="SHA-256"/>
  <w:defaultTabStop w:val="340"/>
  <w:characterSpacingControl w:val="doNotCompress"/>
  <w:hdrShapeDefaults>
    <o:shapedefaults v:ext="edit" spidmax="296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0176\AER15 4377  AER - Final decision AusNet distribution determination - Attachment 5 - Regulatory depreciation - April 2016.DOCX"/>
  </w:docVars>
  <w:rsids>
    <w:rsidRoot w:val="00961A4A"/>
    <w:rsid w:val="000051DC"/>
    <w:rsid w:val="000051F7"/>
    <w:rsid w:val="0000658F"/>
    <w:rsid w:val="0001507B"/>
    <w:rsid w:val="00020016"/>
    <w:rsid w:val="00021202"/>
    <w:rsid w:val="00021C2B"/>
    <w:rsid w:val="0002498B"/>
    <w:rsid w:val="00024E0B"/>
    <w:rsid w:val="0002517F"/>
    <w:rsid w:val="00026187"/>
    <w:rsid w:val="000266FC"/>
    <w:rsid w:val="000273B3"/>
    <w:rsid w:val="00027E2D"/>
    <w:rsid w:val="00032F70"/>
    <w:rsid w:val="0003578C"/>
    <w:rsid w:val="00044DA3"/>
    <w:rsid w:val="00044E82"/>
    <w:rsid w:val="000474DF"/>
    <w:rsid w:val="00055A67"/>
    <w:rsid w:val="00063247"/>
    <w:rsid w:val="0006624E"/>
    <w:rsid w:val="00070F9F"/>
    <w:rsid w:val="00070FCA"/>
    <w:rsid w:val="0007137B"/>
    <w:rsid w:val="00073B74"/>
    <w:rsid w:val="00076305"/>
    <w:rsid w:val="00076416"/>
    <w:rsid w:val="00077383"/>
    <w:rsid w:val="000805A8"/>
    <w:rsid w:val="0008190B"/>
    <w:rsid w:val="000836D9"/>
    <w:rsid w:val="00085663"/>
    <w:rsid w:val="00085EBF"/>
    <w:rsid w:val="00091B15"/>
    <w:rsid w:val="00095186"/>
    <w:rsid w:val="000A0E71"/>
    <w:rsid w:val="000A1C0C"/>
    <w:rsid w:val="000A3020"/>
    <w:rsid w:val="000A4840"/>
    <w:rsid w:val="000A62C1"/>
    <w:rsid w:val="000A6A79"/>
    <w:rsid w:val="000A6C7B"/>
    <w:rsid w:val="000B0A7B"/>
    <w:rsid w:val="000B1173"/>
    <w:rsid w:val="000B4C23"/>
    <w:rsid w:val="000B5827"/>
    <w:rsid w:val="000B7037"/>
    <w:rsid w:val="000C02D1"/>
    <w:rsid w:val="000C0C63"/>
    <w:rsid w:val="000C2B40"/>
    <w:rsid w:val="000C5255"/>
    <w:rsid w:val="000D07A7"/>
    <w:rsid w:val="000D122C"/>
    <w:rsid w:val="000D75B0"/>
    <w:rsid w:val="000E1819"/>
    <w:rsid w:val="000E4821"/>
    <w:rsid w:val="000E4AA9"/>
    <w:rsid w:val="000E6C72"/>
    <w:rsid w:val="000E7DD6"/>
    <w:rsid w:val="000E7F39"/>
    <w:rsid w:val="000F0F0A"/>
    <w:rsid w:val="00100EA2"/>
    <w:rsid w:val="00101AA1"/>
    <w:rsid w:val="00102338"/>
    <w:rsid w:val="00104566"/>
    <w:rsid w:val="00104FF6"/>
    <w:rsid w:val="001114AA"/>
    <w:rsid w:val="00115743"/>
    <w:rsid w:val="00116EB2"/>
    <w:rsid w:val="0012132C"/>
    <w:rsid w:val="00124609"/>
    <w:rsid w:val="00126A4C"/>
    <w:rsid w:val="001270E3"/>
    <w:rsid w:val="00132D43"/>
    <w:rsid w:val="00133366"/>
    <w:rsid w:val="00133F47"/>
    <w:rsid w:val="00134029"/>
    <w:rsid w:val="00142C2D"/>
    <w:rsid w:val="00144C96"/>
    <w:rsid w:val="0014573B"/>
    <w:rsid w:val="001463A3"/>
    <w:rsid w:val="0015073A"/>
    <w:rsid w:val="001573E4"/>
    <w:rsid w:val="00157E9D"/>
    <w:rsid w:val="00160756"/>
    <w:rsid w:val="00161DC8"/>
    <w:rsid w:val="00166760"/>
    <w:rsid w:val="00170FC4"/>
    <w:rsid w:val="0017232E"/>
    <w:rsid w:val="001727C6"/>
    <w:rsid w:val="0017377E"/>
    <w:rsid w:val="00174102"/>
    <w:rsid w:val="001754EE"/>
    <w:rsid w:val="00180157"/>
    <w:rsid w:val="001809BC"/>
    <w:rsid w:val="00180E97"/>
    <w:rsid w:val="001820B4"/>
    <w:rsid w:val="00182C06"/>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530D"/>
    <w:rsid w:val="001A5FB3"/>
    <w:rsid w:val="001A7155"/>
    <w:rsid w:val="001B45A0"/>
    <w:rsid w:val="001B680E"/>
    <w:rsid w:val="001C4EAA"/>
    <w:rsid w:val="001C7149"/>
    <w:rsid w:val="001D055E"/>
    <w:rsid w:val="001E1B3F"/>
    <w:rsid w:val="001E7161"/>
    <w:rsid w:val="001F05A4"/>
    <w:rsid w:val="001F3D4A"/>
    <w:rsid w:val="001F492E"/>
    <w:rsid w:val="001F64EF"/>
    <w:rsid w:val="001F6DA3"/>
    <w:rsid w:val="00200B54"/>
    <w:rsid w:val="002010BC"/>
    <w:rsid w:val="002016E7"/>
    <w:rsid w:val="00202E03"/>
    <w:rsid w:val="002033B9"/>
    <w:rsid w:val="002043D0"/>
    <w:rsid w:val="0020492C"/>
    <w:rsid w:val="00204EC9"/>
    <w:rsid w:val="00206505"/>
    <w:rsid w:val="0020743F"/>
    <w:rsid w:val="002078F5"/>
    <w:rsid w:val="00216C93"/>
    <w:rsid w:val="00223051"/>
    <w:rsid w:val="00224DB9"/>
    <w:rsid w:val="0022569A"/>
    <w:rsid w:val="00226404"/>
    <w:rsid w:val="0023005C"/>
    <w:rsid w:val="00231012"/>
    <w:rsid w:val="00233775"/>
    <w:rsid w:val="0023414B"/>
    <w:rsid w:val="00236393"/>
    <w:rsid w:val="00243635"/>
    <w:rsid w:val="00247079"/>
    <w:rsid w:val="00251745"/>
    <w:rsid w:val="002552BA"/>
    <w:rsid w:val="00260016"/>
    <w:rsid w:val="00263AC0"/>
    <w:rsid w:val="00264264"/>
    <w:rsid w:val="0026689B"/>
    <w:rsid w:val="0026772D"/>
    <w:rsid w:val="002730B2"/>
    <w:rsid w:val="00274C7E"/>
    <w:rsid w:val="002777CF"/>
    <w:rsid w:val="002810F2"/>
    <w:rsid w:val="00286874"/>
    <w:rsid w:val="00290C63"/>
    <w:rsid w:val="00290F66"/>
    <w:rsid w:val="00291A99"/>
    <w:rsid w:val="00293B6D"/>
    <w:rsid w:val="00294B08"/>
    <w:rsid w:val="0029518C"/>
    <w:rsid w:val="002963DD"/>
    <w:rsid w:val="00296B65"/>
    <w:rsid w:val="002A7DEF"/>
    <w:rsid w:val="002B0696"/>
    <w:rsid w:val="002B1FF5"/>
    <w:rsid w:val="002C0222"/>
    <w:rsid w:val="002C1499"/>
    <w:rsid w:val="002C233C"/>
    <w:rsid w:val="002C4DB8"/>
    <w:rsid w:val="002C517B"/>
    <w:rsid w:val="002D3509"/>
    <w:rsid w:val="002D5457"/>
    <w:rsid w:val="002D72E8"/>
    <w:rsid w:val="002D79AD"/>
    <w:rsid w:val="002E268F"/>
    <w:rsid w:val="002E78DD"/>
    <w:rsid w:val="002E7B22"/>
    <w:rsid w:val="002F12EC"/>
    <w:rsid w:val="002F2CEC"/>
    <w:rsid w:val="002F7986"/>
    <w:rsid w:val="00301B40"/>
    <w:rsid w:val="00301C82"/>
    <w:rsid w:val="003029EE"/>
    <w:rsid w:val="00304D38"/>
    <w:rsid w:val="00305CC8"/>
    <w:rsid w:val="00307F6D"/>
    <w:rsid w:val="00310440"/>
    <w:rsid w:val="00314D83"/>
    <w:rsid w:val="0031571F"/>
    <w:rsid w:val="003177A2"/>
    <w:rsid w:val="00317E02"/>
    <w:rsid w:val="00320EC2"/>
    <w:rsid w:val="00322025"/>
    <w:rsid w:val="003271B5"/>
    <w:rsid w:val="00327A1E"/>
    <w:rsid w:val="00327E28"/>
    <w:rsid w:val="00331264"/>
    <w:rsid w:val="00334C8D"/>
    <w:rsid w:val="003378BD"/>
    <w:rsid w:val="003424EA"/>
    <w:rsid w:val="00342C2F"/>
    <w:rsid w:val="003436EB"/>
    <w:rsid w:val="00343A18"/>
    <w:rsid w:val="00345744"/>
    <w:rsid w:val="003469BF"/>
    <w:rsid w:val="003518B3"/>
    <w:rsid w:val="00353E79"/>
    <w:rsid w:val="00364EA0"/>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E6A"/>
    <w:rsid w:val="00391282"/>
    <w:rsid w:val="00393ABE"/>
    <w:rsid w:val="00395516"/>
    <w:rsid w:val="00395DB6"/>
    <w:rsid w:val="00397398"/>
    <w:rsid w:val="003A371A"/>
    <w:rsid w:val="003A59CD"/>
    <w:rsid w:val="003A6B00"/>
    <w:rsid w:val="003B07AC"/>
    <w:rsid w:val="003B30B2"/>
    <w:rsid w:val="003B484F"/>
    <w:rsid w:val="003B504B"/>
    <w:rsid w:val="003B5179"/>
    <w:rsid w:val="003B685C"/>
    <w:rsid w:val="003B7FBA"/>
    <w:rsid w:val="003C5A87"/>
    <w:rsid w:val="003C6537"/>
    <w:rsid w:val="003C6A13"/>
    <w:rsid w:val="003C764A"/>
    <w:rsid w:val="003C78BA"/>
    <w:rsid w:val="003D41F1"/>
    <w:rsid w:val="003D42AB"/>
    <w:rsid w:val="003D5B94"/>
    <w:rsid w:val="003E0D3A"/>
    <w:rsid w:val="003E3AAB"/>
    <w:rsid w:val="003E7865"/>
    <w:rsid w:val="003E7FE9"/>
    <w:rsid w:val="003F07D4"/>
    <w:rsid w:val="003F174D"/>
    <w:rsid w:val="003F2329"/>
    <w:rsid w:val="00400FD2"/>
    <w:rsid w:val="00403711"/>
    <w:rsid w:val="00403720"/>
    <w:rsid w:val="00404C52"/>
    <w:rsid w:val="004156D5"/>
    <w:rsid w:val="00415BA9"/>
    <w:rsid w:val="00415F31"/>
    <w:rsid w:val="0041691D"/>
    <w:rsid w:val="0042000C"/>
    <w:rsid w:val="0042090E"/>
    <w:rsid w:val="00421F27"/>
    <w:rsid w:val="004225EC"/>
    <w:rsid w:val="004238D8"/>
    <w:rsid w:val="00423A77"/>
    <w:rsid w:val="004324F4"/>
    <w:rsid w:val="004338F8"/>
    <w:rsid w:val="00434544"/>
    <w:rsid w:val="00441F4E"/>
    <w:rsid w:val="0044362B"/>
    <w:rsid w:val="00445D43"/>
    <w:rsid w:val="00446CD2"/>
    <w:rsid w:val="004523B2"/>
    <w:rsid w:val="0045777E"/>
    <w:rsid w:val="00462C7C"/>
    <w:rsid w:val="00465258"/>
    <w:rsid w:val="00471BC6"/>
    <w:rsid w:val="00476221"/>
    <w:rsid w:val="004766F5"/>
    <w:rsid w:val="0048019D"/>
    <w:rsid w:val="00480B4B"/>
    <w:rsid w:val="004838D8"/>
    <w:rsid w:val="00485DC4"/>
    <w:rsid w:val="00494D04"/>
    <w:rsid w:val="004A40BA"/>
    <w:rsid w:val="004A43D1"/>
    <w:rsid w:val="004A492B"/>
    <w:rsid w:val="004B4412"/>
    <w:rsid w:val="004B6269"/>
    <w:rsid w:val="004C348C"/>
    <w:rsid w:val="004C462E"/>
    <w:rsid w:val="004C6CA3"/>
    <w:rsid w:val="004C7F5E"/>
    <w:rsid w:val="004D343C"/>
    <w:rsid w:val="004D372A"/>
    <w:rsid w:val="004D55BA"/>
    <w:rsid w:val="004D606C"/>
    <w:rsid w:val="004D720C"/>
    <w:rsid w:val="004E0FA7"/>
    <w:rsid w:val="004E22EC"/>
    <w:rsid w:val="004E7D73"/>
    <w:rsid w:val="004F0BFA"/>
    <w:rsid w:val="004F13DA"/>
    <w:rsid w:val="004F1DE8"/>
    <w:rsid w:val="004F4D69"/>
    <w:rsid w:val="004F6883"/>
    <w:rsid w:val="004F6A0E"/>
    <w:rsid w:val="004F6BB3"/>
    <w:rsid w:val="005009CD"/>
    <w:rsid w:val="00504E5F"/>
    <w:rsid w:val="0051337E"/>
    <w:rsid w:val="00513FA7"/>
    <w:rsid w:val="0051768F"/>
    <w:rsid w:val="00522DC2"/>
    <w:rsid w:val="00530128"/>
    <w:rsid w:val="00532467"/>
    <w:rsid w:val="005327CC"/>
    <w:rsid w:val="005332A9"/>
    <w:rsid w:val="0053603C"/>
    <w:rsid w:val="00537871"/>
    <w:rsid w:val="00542FE9"/>
    <w:rsid w:val="00544598"/>
    <w:rsid w:val="00544C8D"/>
    <w:rsid w:val="00544DFD"/>
    <w:rsid w:val="00556B1E"/>
    <w:rsid w:val="00564A4D"/>
    <w:rsid w:val="0056598C"/>
    <w:rsid w:val="00566E0B"/>
    <w:rsid w:val="00567BA5"/>
    <w:rsid w:val="00571B35"/>
    <w:rsid w:val="00571B43"/>
    <w:rsid w:val="00571D57"/>
    <w:rsid w:val="00573A3B"/>
    <w:rsid w:val="00577716"/>
    <w:rsid w:val="00577A09"/>
    <w:rsid w:val="005829C2"/>
    <w:rsid w:val="00584D8F"/>
    <w:rsid w:val="00587A18"/>
    <w:rsid w:val="00587ADE"/>
    <w:rsid w:val="00591F26"/>
    <w:rsid w:val="005A0BEC"/>
    <w:rsid w:val="005A404D"/>
    <w:rsid w:val="005B1C9D"/>
    <w:rsid w:val="005B1E3C"/>
    <w:rsid w:val="005B6518"/>
    <w:rsid w:val="005B704A"/>
    <w:rsid w:val="005B72D7"/>
    <w:rsid w:val="005C045F"/>
    <w:rsid w:val="005C16FE"/>
    <w:rsid w:val="005C1FAB"/>
    <w:rsid w:val="005C21A4"/>
    <w:rsid w:val="005C26CC"/>
    <w:rsid w:val="005C4463"/>
    <w:rsid w:val="005D3D88"/>
    <w:rsid w:val="005D4692"/>
    <w:rsid w:val="005D48C4"/>
    <w:rsid w:val="005D60E3"/>
    <w:rsid w:val="005D6208"/>
    <w:rsid w:val="005D6366"/>
    <w:rsid w:val="005D7BA2"/>
    <w:rsid w:val="005E36C2"/>
    <w:rsid w:val="005E4AF4"/>
    <w:rsid w:val="005F387E"/>
    <w:rsid w:val="005F73CF"/>
    <w:rsid w:val="00601E0B"/>
    <w:rsid w:val="0060258B"/>
    <w:rsid w:val="00610EF9"/>
    <w:rsid w:val="00612F4F"/>
    <w:rsid w:val="00614006"/>
    <w:rsid w:val="00614EA0"/>
    <w:rsid w:val="00615C6B"/>
    <w:rsid w:val="00617D4C"/>
    <w:rsid w:val="00621DCE"/>
    <w:rsid w:val="00621FC5"/>
    <w:rsid w:val="00624F2C"/>
    <w:rsid w:val="00632D6D"/>
    <w:rsid w:val="00636569"/>
    <w:rsid w:val="00636EF9"/>
    <w:rsid w:val="00642C3E"/>
    <w:rsid w:val="00644A01"/>
    <w:rsid w:val="00644A68"/>
    <w:rsid w:val="006506F5"/>
    <w:rsid w:val="00651E2D"/>
    <w:rsid w:val="00652324"/>
    <w:rsid w:val="006577FB"/>
    <w:rsid w:val="0066104A"/>
    <w:rsid w:val="00663066"/>
    <w:rsid w:val="00663DAD"/>
    <w:rsid w:val="00664206"/>
    <w:rsid w:val="006649E7"/>
    <w:rsid w:val="00666634"/>
    <w:rsid w:val="00671692"/>
    <w:rsid w:val="00675E20"/>
    <w:rsid w:val="00676679"/>
    <w:rsid w:val="00683C89"/>
    <w:rsid w:val="00691B53"/>
    <w:rsid w:val="00697D0B"/>
    <w:rsid w:val="006A12BA"/>
    <w:rsid w:val="006A4739"/>
    <w:rsid w:val="006A66A1"/>
    <w:rsid w:val="006B032D"/>
    <w:rsid w:val="006B2395"/>
    <w:rsid w:val="006B40AC"/>
    <w:rsid w:val="006B4CF9"/>
    <w:rsid w:val="006B797C"/>
    <w:rsid w:val="006B7AC8"/>
    <w:rsid w:val="006C1736"/>
    <w:rsid w:val="006C329B"/>
    <w:rsid w:val="006C6303"/>
    <w:rsid w:val="006D550F"/>
    <w:rsid w:val="006D6146"/>
    <w:rsid w:val="006D7F7E"/>
    <w:rsid w:val="006E0CFF"/>
    <w:rsid w:val="006F0D92"/>
    <w:rsid w:val="006F267D"/>
    <w:rsid w:val="0070011E"/>
    <w:rsid w:val="007004EC"/>
    <w:rsid w:val="00701CAB"/>
    <w:rsid w:val="007023BB"/>
    <w:rsid w:val="00704DD7"/>
    <w:rsid w:val="00707563"/>
    <w:rsid w:val="00715F61"/>
    <w:rsid w:val="007209F4"/>
    <w:rsid w:val="00722132"/>
    <w:rsid w:val="007228F7"/>
    <w:rsid w:val="0072348C"/>
    <w:rsid w:val="00724A37"/>
    <w:rsid w:val="007303C3"/>
    <w:rsid w:val="00731188"/>
    <w:rsid w:val="007356CC"/>
    <w:rsid w:val="007368E6"/>
    <w:rsid w:val="007375DF"/>
    <w:rsid w:val="00737684"/>
    <w:rsid w:val="007429BE"/>
    <w:rsid w:val="00743223"/>
    <w:rsid w:val="00743349"/>
    <w:rsid w:val="0074403A"/>
    <w:rsid w:val="00746E01"/>
    <w:rsid w:val="00751DCD"/>
    <w:rsid w:val="00755084"/>
    <w:rsid w:val="00757364"/>
    <w:rsid w:val="00757A77"/>
    <w:rsid w:val="00757BDF"/>
    <w:rsid w:val="007609D0"/>
    <w:rsid w:val="00761454"/>
    <w:rsid w:val="0076193D"/>
    <w:rsid w:val="00763E5D"/>
    <w:rsid w:val="00767740"/>
    <w:rsid w:val="00767B5E"/>
    <w:rsid w:val="00770030"/>
    <w:rsid w:val="00770064"/>
    <w:rsid w:val="00775460"/>
    <w:rsid w:val="00776264"/>
    <w:rsid w:val="00777EE6"/>
    <w:rsid w:val="00782EEA"/>
    <w:rsid w:val="00786CA4"/>
    <w:rsid w:val="007909B4"/>
    <w:rsid w:val="00790BEB"/>
    <w:rsid w:val="00790E86"/>
    <w:rsid w:val="007949D7"/>
    <w:rsid w:val="0079769A"/>
    <w:rsid w:val="007A0143"/>
    <w:rsid w:val="007A34C2"/>
    <w:rsid w:val="007A396C"/>
    <w:rsid w:val="007A4B02"/>
    <w:rsid w:val="007B0BE3"/>
    <w:rsid w:val="007B1816"/>
    <w:rsid w:val="007B186E"/>
    <w:rsid w:val="007B25DC"/>
    <w:rsid w:val="007B2C72"/>
    <w:rsid w:val="007B3789"/>
    <w:rsid w:val="007B651F"/>
    <w:rsid w:val="007B6DED"/>
    <w:rsid w:val="007B7BB5"/>
    <w:rsid w:val="007C1C53"/>
    <w:rsid w:val="007C284C"/>
    <w:rsid w:val="007C4B82"/>
    <w:rsid w:val="007C74BB"/>
    <w:rsid w:val="007C7F64"/>
    <w:rsid w:val="007D0A95"/>
    <w:rsid w:val="007D0EB5"/>
    <w:rsid w:val="007D456E"/>
    <w:rsid w:val="007D5837"/>
    <w:rsid w:val="007D7AB7"/>
    <w:rsid w:val="007E4904"/>
    <w:rsid w:val="007E4CB5"/>
    <w:rsid w:val="007E4DAE"/>
    <w:rsid w:val="007F066B"/>
    <w:rsid w:val="007F4EAB"/>
    <w:rsid w:val="007F5B16"/>
    <w:rsid w:val="007F7C9D"/>
    <w:rsid w:val="008033C4"/>
    <w:rsid w:val="00806731"/>
    <w:rsid w:val="00806C88"/>
    <w:rsid w:val="0081034E"/>
    <w:rsid w:val="00810806"/>
    <w:rsid w:val="008152D9"/>
    <w:rsid w:val="00815882"/>
    <w:rsid w:val="00820454"/>
    <w:rsid w:val="00822AC7"/>
    <w:rsid w:val="00822E86"/>
    <w:rsid w:val="00826941"/>
    <w:rsid w:val="008344F6"/>
    <w:rsid w:val="0083510F"/>
    <w:rsid w:val="00837BF3"/>
    <w:rsid w:val="008415DE"/>
    <w:rsid w:val="008420DE"/>
    <w:rsid w:val="0084457E"/>
    <w:rsid w:val="00845865"/>
    <w:rsid w:val="0084799B"/>
    <w:rsid w:val="008500F3"/>
    <w:rsid w:val="00850C90"/>
    <w:rsid w:val="00851209"/>
    <w:rsid w:val="0085171F"/>
    <w:rsid w:val="00854D5E"/>
    <w:rsid w:val="00856A10"/>
    <w:rsid w:val="008658A1"/>
    <w:rsid w:val="0086716A"/>
    <w:rsid w:val="00870613"/>
    <w:rsid w:val="0087380F"/>
    <w:rsid w:val="0087648F"/>
    <w:rsid w:val="00876612"/>
    <w:rsid w:val="0087718C"/>
    <w:rsid w:val="00882BB1"/>
    <w:rsid w:val="008837AC"/>
    <w:rsid w:val="008909DC"/>
    <w:rsid w:val="00894255"/>
    <w:rsid w:val="008945AD"/>
    <w:rsid w:val="00896D92"/>
    <w:rsid w:val="008A0645"/>
    <w:rsid w:val="008A1C02"/>
    <w:rsid w:val="008A370D"/>
    <w:rsid w:val="008A587D"/>
    <w:rsid w:val="008B1646"/>
    <w:rsid w:val="008B16B0"/>
    <w:rsid w:val="008B1BD5"/>
    <w:rsid w:val="008B35CD"/>
    <w:rsid w:val="008B4093"/>
    <w:rsid w:val="008B5FCC"/>
    <w:rsid w:val="008B6A2F"/>
    <w:rsid w:val="008B7F36"/>
    <w:rsid w:val="008C357F"/>
    <w:rsid w:val="008C5486"/>
    <w:rsid w:val="008D1661"/>
    <w:rsid w:val="008D27E0"/>
    <w:rsid w:val="008D5F90"/>
    <w:rsid w:val="008D6800"/>
    <w:rsid w:val="008D72F1"/>
    <w:rsid w:val="008E1691"/>
    <w:rsid w:val="008E4089"/>
    <w:rsid w:val="008E5AFF"/>
    <w:rsid w:val="008E7031"/>
    <w:rsid w:val="008E77DE"/>
    <w:rsid w:val="008F040C"/>
    <w:rsid w:val="008F07A3"/>
    <w:rsid w:val="008F3322"/>
    <w:rsid w:val="008F3519"/>
    <w:rsid w:val="008F3A0D"/>
    <w:rsid w:val="009001B6"/>
    <w:rsid w:val="00900E1B"/>
    <w:rsid w:val="0090131F"/>
    <w:rsid w:val="00907683"/>
    <w:rsid w:val="009132B7"/>
    <w:rsid w:val="00916A2C"/>
    <w:rsid w:val="009233EE"/>
    <w:rsid w:val="00930B1A"/>
    <w:rsid w:val="00932612"/>
    <w:rsid w:val="009327DC"/>
    <w:rsid w:val="009338D9"/>
    <w:rsid w:val="009339BD"/>
    <w:rsid w:val="009356CF"/>
    <w:rsid w:val="00945E53"/>
    <w:rsid w:val="009460AA"/>
    <w:rsid w:val="00951978"/>
    <w:rsid w:val="00952C8B"/>
    <w:rsid w:val="009559BE"/>
    <w:rsid w:val="009559F0"/>
    <w:rsid w:val="00961A4A"/>
    <w:rsid w:val="009661DE"/>
    <w:rsid w:val="00972C7C"/>
    <w:rsid w:val="009776F4"/>
    <w:rsid w:val="00982DA2"/>
    <w:rsid w:val="00983C25"/>
    <w:rsid w:val="0098466D"/>
    <w:rsid w:val="009856B7"/>
    <w:rsid w:val="009859D6"/>
    <w:rsid w:val="00985C86"/>
    <w:rsid w:val="009A5FC3"/>
    <w:rsid w:val="009B6F84"/>
    <w:rsid w:val="009B74B0"/>
    <w:rsid w:val="009C0152"/>
    <w:rsid w:val="009C1A74"/>
    <w:rsid w:val="009C3D42"/>
    <w:rsid w:val="009C491E"/>
    <w:rsid w:val="009D0DF1"/>
    <w:rsid w:val="009D22D6"/>
    <w:rsid w:val="009D2C84"/>
    <w:rsid w:val="009D3906"/>
    <w:rsid w:val="009D5E35"/>
    <w:rsid w:val="009D6B46"/>
    <w:rsid w:val="009E35B6"/>
    <w:rsid w:val="009E5ABC"/>
    <w:rsid w:val="009F2B37"/>
    <w:rsid w:val="009F3BBA"/>
    <w:rsid w:val="009F43B4"/>
    <w:rsid w:val="009F4940"/>
    <w:rsid w:val="009F5BA1"/>
    <w:rsid w:val="00A00DDE"/>
    <w:rsid w:val="00A02A88"/>
    <w:rsid w:val="00A04012"/>
    <w:rsid w:val="00A046FA"/>
    <w:rsid w:val="00A0562E"/>
    <w:rsid w:val="00A0726D"/>
    <w:rsid w:val="00A073AE"/>
    <w:rsid w:val="00A12204"/>
    <w:rsid w:val="00A12750"/>
    <w:rsid w:val="00A13CB0"/>
    <w:rsid w:val="00A1561F"/>
    <w:rsid w:val="00A16544"/>
    <w:rsid w:val="00A30BF5"/>
    <w:rsid w:val="00A31BE6"/>
    <w:rsid w:val="00A32FBB"/>
    <w:rsid w:val="00A373EB"/>
    <w:rsid w:val="00A40068"/>
    <w:rsid w:val="00A40BE9"/>
    <w:rsid w:val="00A428EE"/>
    <w:rsid w:val="00A443C2"/>
    <w:rsid w:val="00A4478A"/>
    <w:rsid w:val="00A44852"/>
    <w:rsid w:val="00A50502"/>
    <w:rsid w:val="00A5087B"/>
    <w:rsid w:val="00A53409"/>
    <w:rsid w:val="00A53796"/>
    <w:rsid w:val="00A53848"/>
    <w:rsid w:val="00A56945"/>
    <w:rsid w:val="00A56A6E"/>
    <w:rsid w:val="00A573B4"/>
    <w:rsid w:val="00A57D04"/>
    <w:rsid w:val="00A60A26"/>
    <w:rsid w:val="00A61598"/>
    <w:rsid w:val="00A61777"/>
    <w:rsid w:val="00A63646"/>
    <w:rsid w:val="00A63914"/>
    <w:rsid w:val="00A84A99"/>
    <w:rsid w:val="00A84F46"/>
    <w:rsid w:val="00A85E87"/>
    <w:rsid w:val="00A86AEA"/>
    <w:rsid w:val="00A871F4"/>
    <w:rsid w:val="00A9431A"/>
    <w:rsid w:val="00A95988"/>
    <w:rsid w:val="00A959DF"/>
    <w:rsid w:val="00A97A1B"/>
    <w:rsid w:val="00AA2927"/>
    <w:rsid w:val="00AB2CB8"/>
    <w:rsid w:val="00AB4617"/>
    <w:rsid w:val="00AC1B2C"/>
    <w:rsid w:val="00AC3264"/>
    <w:rsid w:val="00AC46AD"/>
    <w:rsid w:val="00AC4D2D"/>
    <w:rsid w:val="00AC58EC"/>
    <w:rsid w:val="00AC7282"/>
    <w:rsid w:val="00AC7961"/>
    <w:rsid w:val="00AD314E"/>
    <w:rsid w:val="00AD5FCD"/>
    <w:rsid w:val="00AD6B48"/>
    <w:rsid w:val="00AD7A3A"/>
    <w:rsid w:val="00AD7B60"/>
    <w:rsid w:val="00AE1BF1"/>
    <w:rsid w:val="00AE23AB"/>
    <w:rsid w:val="00AE58FB"/>
    <w:rsid w:val="00AE5AF0"/>
    <w:rsid w:val="00AE663D"/>
    <w:rsid w:val="00AE73B3"/>
    <w:rsid w:val="00AF07E7"/>
    <w:rsid w:val="00AF0DD2"/>
    <w:rsid w:val="00AF31E1"/>
    <w:rsid w:val="00AF3BBA"/>
    <w:rsid w:val="00AF4231"/>
    <w:rsid w:val="00B00B0E"/>
    <w:rsid w:val="00B00B26"/>
    <w:rsid w:val="00B02385"/>
    <w:rsid w:val="00B02F9D"/>
    <w:rsid w:val="00B05766"/>
    <w:rsid w:val="00B13048"/>
    <w:rsid w:val="00B13883"/>
    <w:rsid w:val="00B1716D"/>
    <w:rsid w:val="00B17A1D"/>
    <w:rsid w:val="00B207A0"/>
    <w:rsid w:val="00B21C21"/>
    <w:rsid w:val="00B22F54"/>
    <w:rsid w:val="00B24A7E"/>
    <w:rsid w:val="00B25C0C"/>
    <w:rsid w:val="00B304B5"/>
    <w:rsid w:val="00B308A9"/>
    <w:rsid w:val="00B31047"/>
    <w:rsid w:val="00B33148"/>
    <w:rsid w:val="00B35CDF"/>
    <w:rsid w:val="00B403C2"/>
    <w:rsid w:val="00B405A1"/>
    <w:rsid w:val="00B4438A"/>
    <w:rsid w:val="00B45AA2"/>
    <w:rsid w:val="00B479CA"/>
    <w:rsid w:val="00B5084F"/>
    <w:rsid w:val="00B514DD"/>
    <w:rsid w:val="00B52AF0"/>
    <w:rsid w:val="00B53D5F"/>
    <w:rsid w:val="00B54051"/>
    <w:rsid w:val="00B561BD"/>
    <w:rsid w:val="00B56E03"/>
    <w:rsid w:val="00B62765"/>
    <w:rsid w:val="00B65DF5"/>
    <w:rsid w:val="00B7679F"/>
    <w:rsid w:val="00B77159"/>
    <w:rsid w:val="00B8080B"/>
    <w:rsid w:val="00B82223"/>
    <w:rsid w:val="00B87BA5"/>
    <w:rsid w:val="00B87C39"/>
    <w:rsid w:val="00B93891"/>
    <w:rsid w:val="00B9562D"/>
    <w:rsid w:val="00BA21DA"/>
    <w:rsid w:val="00BA2B60"/>
    <w:rsid w:val="00BA3C93"/>
    <w:rsid w:val="00BA4665"/>
    <w:rsid w:val="00BA7FD7"/>
    <w:rsid w:val="00BB1681"/>
    <w:rsid w:val="00BB2FB2"/>
    <w:rsid w:val="00BB3304"/>
    <w:rsid w:val="00BB3CAC"/>
    <w:rsid w:val="00BB6551"/>
    <w:rsid w:val="00BC4A10"/>
    <w:rsid w:val="00BD0600"/>
    <w:rsid w:val="00BD30F4"/>
    <w:rsid w:val="00BD3446"/>
    <w:rsid w:val="00BD59CF"/>
    <w:rsid w:val="00BE1312"/>
    <w:rsid w:val="00BE1F1B"/>
    <w:rsid w:val="00BE3F89"/>
    <w:rsid w:val="00BE47B5"/>
    <w:rsid w:val="00BE5FCE"/>
    <w:rsid w:val="00C0079E"/>
    <w:rsid w:val="00C0572A"/>
    <w:rsid w:val="00C06B0A"/>
    <w:rsid w:val="00C13EBD"/>
    <w:rsid w:val="00C1631B"/>
    <w:rsid w:val="00C163AB"/>
    <w:rsid w:val="00C170F0"/>
    <w:rsid w:val="00C20E00"/>
    <w:rsid w:val="00C25962"/>
    <w:rsid w:val="00C25FA6"/>
    <w:rsid w:val="00C3099D"/>
    <w:rsid w:val="00C33011"/>
    <w:rsid w:val="00C343A2"/>
    <w:rsid w:val="00C362C1"/>
    <w:rsid w:val="00C41950"/>
    <w:rsid w:val="00C42C3B"/>
    <w:rsid w:val="00C51672"/>
    <w:rsid w:val="00C51BFA"/>
    <w:rsid w:val="00C538A9"/>
    <w:rsid w:val="00C53B5A"/>
    <w:rsid w:val="00C53CB4"/>
    <w:rsid w:val="00C53E41"/>
    <w:rsid w:val="00C54909"/>
    <w:rsid w:val="00C54AF3"/>
    <w:rsid w:val="00C54F5A"/>
    <w:rsid w:val="00C569B4"/>
    <w:rsid w:val="00C57DDE"/>
    <w:rsid w:val="00C61468"/>
    <w:rsid w:val="00C61A97"/>
    <w:rsid w:val="00C61E44"/>
    <w:rsid w:val="00C64FF3"/>
    <w:rsid w:val="00C662AD"/>
    <w:rsid w:val="00C666BF"/>
    <w:rsid w:val="00C67A92"/>
    <w:rsid w:val="00C71280"/>
    <w:rsid w:val="00C717BF"/>
    <w:rsid w:val="00C75E3E"/>
    <w:rsid w:val="00C76178"/>
    <w:rsid w:val="00C84560"/>
    <w:rsid w:val="00C86679"/>
    <w:rsid w:val="00C8792F"/>
    <w:rsid w:val="00C87EC8"/>
    <w:rsid w:val="00C90472"/>
    <w:rsid w:val="00C911CF"/>
    <w:rsid w:val="00C91D6E"/>
    <w:rsid w:val="00CA489E"/>
    <w:rsid w:val="00CB0279"/>
    <w:rsid w:val="00CB52EB"/>
    <w:rsid w:val="00CB666B"/>
    <w:rsid w:val="00CB734B"/>
    <w:rsid w:val="00CC058C"/>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DEE"/>
    <w:rsid w:val="00CF42AA"/>
    <w:rsid w:val="00CF5EAA"/>
    <w:rsid w:val="00CF6AE3"/>
    <w:rsid w:val="00CF77BB"/>
    <w:rsid w:val="00D006AE"/>
    <w:rsid w:val="00D00905"/>
    <w:rsid w:val="00D010C1"/>
    <w:rsid w:val="00D01CF0"/>
    <w:rsid w:val="00D0442A"/>
    <w:rsid w:val="00D12A7B"/>
    <w:rsid w:val="00D12ADB"/>
    <w:rsid w:val="00D15E63"/>
    <w:rsid w:val="00D25A39"/>
    <w:rsid w:val="00D27CFA"/>
    <w:rsid w:val="00D30417"/>
    <w:rsid w:val="00D310FA"/>
    <w:rsid w:val="00D325C6"/>
    <w:rsid w:val="00D37213"/>
    <w:rsid w:val="00D4360D"/>
    <w:rsid w:val="00D46BFC"/>
    <w:rsid w:val="00D5607F"/>
    <w:rsid w:val="00D61388"/>
    <w:rsid w:val="00D61A54"/>
    <w:rsid w:val="00D62108"/>
    <w:rsid w:val="00D6309E"/>
    <w:rsid w:val="00D64AA4"/>
    <w:rsid w:val="00D64DEA"/>
    <w:rsid w:val="00D64F84"/>
    <w:rsid w:val="00D663CD"/>
    <w:rsid w:val="00D6671D"/>
    <w:rsid w:val="00D66B49"/>
    <w:rsid w:val="00D6726A"/>
    <w:rsid w:val="00D7001B"/>
    <w:rsid w:val="00D7160D"/>
    <w:rsid w:val="00D7168E"/>
    <w:rsid w:val="00D71E57"/>
    <w:rsid w:val="00D72D27"/>
    <w:rsid w:val="00D7786B"/>
    <w:rsid w:val="00D80893"/>
    <w:rsid w:val="00D82519"/>
    <w:rsid w:val="00D84854"/>
    <w:rsid w:val="00D924AE"/>
    <w:rsid w:val="00D92CF1"/>
    <w:rsid w:val="00D92D38"/>
    <w:rsid w:val="00D9309B"/>
    <w:rsid w:val="00D950F5"/>
    <w:rsid w:val="00D97379"/>
    <w:rsid w:val="00DA4752"/>
    <w:rsid w:val="00DA4C09"/>
    <w:rsid w:val="00DA61F3"/>
    <w:rsid w:val="00DA7CB3"/>
    <w:rsid w:val="00DB0D00"/>
    <w:rsid w:val="00DB0F93"/>
    <w:rsid w:val="00DB1A67"/>
    <w:rsid w:val="00DB3721"/>
    <w:rsid w:val="00DB4E34"/>
    <w:rsid w:val="00DB5074"/>
    <w:rsid w:val="00DC0281"/>
    <w:rsid w:val="00DC1930"/>
    <w:rsid w:val="00DC1C76"/>
    <w:rsid w:val="00DC42EA"/>
    <w:rsid w:val="00DC4DBF"/>
    <w:rsid w:val="00DC4E19"/>
    <w:rsid w:val="00DC65FE"/>
    <w:rsid w:val="00DC7981"/>
    <w:rsid w:val="00DD4C07"/>
    <w:rsid w:val="00DD577D"/>
    <w:rsid w:val="00DD5ADC"/>
    <w:rsid w:val="00DE1093"/>
    <w:rsid w:val="00DE4EFA"/>
    <w:rsid w:val="00DE5520"/>
    <w:rsid w:val="00DE563D"/>
    <w:rsid w:val="00DE7AB5"/>
    <w:rsid w:val="00DF0152"/>
    <w:rsid w:val="00DF1958"/>
    <w:rsid w:val="00E04818"/>
    <w:rsid w:val="00E06442"/>
    <w:rsid w:val="00E06952"/>
    <w:rsid w:val="00E11E61"/>
    <w:rsid w:val="00E133F5"/>
    <w:rsid w:val="00E157B2"/>
    <w:rsid w:val="00E16055"/>
    <w:rsid w:val="00E2332D"/>
    <w:rsid w:val="00E23993"/>
    <w:rsid w:val="00E2574F"/>
    <w:rsid w:val="00E25951"/>
    <w:rsid w:val="00E25B8C"/>
    <w:rsid w:val="00E30BB4"/>
    <w:rsid w:val="00E31CF6"/>
    <w:rsid w:val="00E31D28"/>
    <w:rsid w:val="00E34A4A"/>
    <w:rsid w:val="00E35AFC"/>
    <w:rsid w:val="00E41D39"/>
    <w:rsid w:val="00E424C1"/>
    <w:rsid w:val="00E44852"/>
    <w:rsid w:val="00E50A02"/>
    <w:rsid w:val="00E54106"/>
    <w:rsid w:val="00E54697"/>
    <w:rsid w:val="00E57A08"/>
    <w:rsid w:val="00E63631"/>
    <w:rsid w:val="00E64C2A"/>
    <w:rsid w:val="00E65C85"/>
    <w:rsid w:val="00E66199"/>
    <w:rsid w:val="00E70526"/>
    <w:rsid w:val="00E754B4"/>
    <w:rsid w:val="00E755EC"/>
    <w:rsid w:val="00E7624D"/>
    <w:rsid w:val="00E81724"/>
    <w:rsid w:val="00E819A4"/>
    <w:rsid w:val="00E833FA"/>
    <w:rsid w:val="00E84B74"/>
    <w:rsid w:val="00E87066"/>
    <w:rsid w:val="00E966BF"/>
    <w:rsid w:val="00EA0C04"/>
    <w:rsid w:val="00EA3D42"/>
    <w:rsid w:val="00EA6B1B"/>
    <w:rsid w:val="00EB1CBD"/>
    <w:rsid w:val="00EB3A34"/>
    <w:rsid w:val="00EB3C3F"/>
    <w:rsid w:val="00EC04F1"/>
    <w:rsid w:val="00EC237F"/>
    <w:rsid w:val="00EC573A"/>
    <w:rsid w:val="00EC7486"/>
    <w:rsid w:val="00ED35C8"/>
    <w:rsid w:val="00ED3968"/>
    <w:rsid w:val="00ED7323"/>
    <w:rsid w:val="00EE28F3"/>
    <w:rsid w:val="00EE50D1"/>
    <w:rsid w:val="00EE7614"/>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722C"/>
    <w:rsid w:val="00F322E9"/>
    <w:rsid w:val="00F3231B"/>
    <w:rsid w:val="00F33808"/>
    <w:rsid w:val="00F373A5"/>
    <w:rsid w:val="00F37864"/>
    <w:rsid w:val="00F404F9"/>
    <w:rsid w:val="00F42EE7"/>
    <w:rsid w:val="00F44B0A"/>
    <w:rsid w:val="00F47559"/>
    <w:rsid w:val="00F50B30"/>
    <w:rsid w:val="00F51F5F"/>
    <w:rsid w:val="00F52D75"/>
    <w:rsid w:val="00F55582"/>
    <w:rsid w:val="00F57647"/>
    <w:rsid w:val="00F62A14"/>
    <w:rsid w:val="00F644AB"/>
    <w:rsid w:val="00F64C7B"/>
    <w:rsid w:val="00F64CDE"/>
    <w:rsid w:val="00F676DD"/>
    <w:rsid w:val="00F67AB6"/>
    <w:rsid w:val="00F70028"/>
    <w:rsid w:val="00F70434"/>
    <w:rsid w:val="00F75A26"/>
    <w:rsid w:val="00F76706"/>
    <w:rsid w:val="00F77D6D"/>
    <w:rsid w:val="00F80206"/>
    <w:rsid w:val="00F83034"/>
    <w:rsid w:val="00F83FAD"/>
    <w:rsid w:val="00F844C6"/>
    <w:rsid w:val="00F85E40"/>
    <w:rsid w:val="00F87A19"/>
    <w:rsid w:val="00F915E2"/>
    <w:rsid w:val="00F92F2E"/>
    <w:rsid w:val="00F92FA6"/>
    <w:rsid w:val="00F9353B"/>
    <w:rsid w:val="00F937F1"/>
    <w:rsid w:val="00F952A0"/>
    <w:rsid w:val="00FA31B1"/>
    <w:rsid w:val="00FA3320"/>
    <w:rsid w:val="00FA3C7F"/>
    <w:rsid w:val="00FA6246"/>
    <w:rsid w:val="00FB24ED"/>
    <w:rsid w:val="00FB3304"/>
    <w:rsid w:val="00FB5005"/>
    <w:rsid w:val="00FB60FE"/>
    <w:rsid w:val="00FB74E2"/>
    <w:rsid w:val="00FB778B"/>
    <w:rsid w:val="00FD5614"/>
    <w:rsid w:val="00FD5E78"/>
    <w:rsid w:val="00FE0BE1"/>
    <w:rsid w:val="00FE11BB"/>
    <w:rsid w:val="00FE1DE9"/>
    <w:rsid w:val="00FE36AF"/>
    <w:rsid w:val="00FE39C2"/>
    <w:rsid w:val="00FE3C32"/>
    <w:rsid w:val="00FE64AE"/>
    <w:rsid w:val="00FE7632"/>
    <w:rsid w:val="00FF74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6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07B6C7-9571-4AB9-9B11-F205E69C2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87C12781</Template>
  <TotalTime>0</TotalTime>
  <Pages>14</Pages>
  <Words>3101</Words>
  <Characters>17681</Characters>
  <Application>Microsoft Office Word</Application>
  <DocSecurity>0</DocSecurity>
  <Lines>147</Lines>
  <Paragraphs>41</Paragraphs>
  <ScaleCrop>false</ScaleCrop>
  <LinksUpToDate>false</LinksUpToDate>
  <CharactersWithSpaces>20741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2016-05-20T10:02:00Z</dcterms:created>
  <dcterms:modified xsi:type="dcterms:W3CDTF">2016-05-20T10:02:00Z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8588634</vt:lpwstr>
  </property>
</Properties>
</file>