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8347124" wp14:editId="7EE5312A">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140AD" w:rsidP="008F07A3">
          <w:pPr>
            <w:pStyle w:val="ReportSubtitle"/>
          </w:pPr>
          <w:r>
            <w:t>FINAL</w:t>
          </w:r>
          <w:r w:rsidR="00DA4752">
            <w:t xml:space="preserve"> DECISION</w:t>
          </w:r>
        </w:p>
        <w:p w:rsidR="000A6C7B" w:rsidRDefault="00201F79" w:rsidP="008F07A3">
          <w:pPr>
            <w:pStyle w:val="ReportSubtitle"/>
          </w:pPr>
          <w:r>
            <w:t xml:space="preserve">SA Power Networks </w:t>
          </w:r>
          <w:r w:rsidR="00DA4752">
            <w:t>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Attachment 1</w:t>
          </w:r>
          <w:r w:rsidR="0086541F">
            <w:t>1</w:t>
          </w:r>
          <w:r>
            <w:t xml:space="preserve"> </w:t>
          </w:r>
          <w:r>
            <w:rPr>
              <w:rFonts w:cs="Arial"/>
            </w:rPr>
            <w:t>−</w:t>
          </w:r>
          <w:r>
            <w:t xml:space="preserve"> </w:t>
          </w:r>
          <w:r w:rsidR="0086541F">
            <w:t>Service target performance incentive scheme</w:t>
          </w:r>
        </w:p>
        <w:p w:rsidR="000A6C7B" w:rsidRPr="00327A1E" w:rsidRDefault="001140AD"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33033279"/>
      <w:r>
        <w:lastRenderedPageBreak/>
        <w:t>N</w:t>
      </w:r>
      <w:r w:rsidR="008F07A3">
        <w:t>ote</w:t>
      </w:r>
      <w:bookmarkEnd w:id="0"/>
      <w:bookmarkEnd w:id="1"/>
      <w:bookmarkEnd w:id="2"/>
      <w:bookmarkEnd w:id="3"/>
      <w:bookmarkEnd w:id="4"/>
    </w:p>
    <w:p w:rsidR="008F07A3" w:rsidRDefault="008F07A3" w:rsidP="008F07A3">
      <w:pPr>
        <w:numPr>
          <w:ilvl w:val="0"/>
          <w:numId w:val="25"/>
        </w:numPr>
      </w:pPr>
      <w:r>
        <w:t xml:space="preserve">This attachment forms part of the AER's </w:t>
      </w:r>
      <w:r w:rsidR="001140AD">
        <w:t>final</w:t>
      </w:r>
      <w:r>
        <w:t xml:space="preserve"> decision on </w:t>
      </w:r>
      <w:r w:rsidR="00201F79">
        <w:t>SA Power Networks'</w:t>
      </w:r>
      <w:r>
        <w:t xml:space="preserve"> 2015–20 distribution determination. It should be read with </w:t>
      </w:r>
      <w:r w:rsidR="00DF06C5">
        <w:t xml:space="preserve">all </w:t>
      </w:r>
      <w:r>
        <w:t xml:space="preserve">other parts of the </w:t>
      </w:r>
      <w:r w:rsidR="001140AD">
        <w:t xml:space="preserve">final </w:t>
      </w:r>
      <w:r>
        <w:t>decision.</w:t>
      </w:r>
    </w:p>
    <w:p w:rsidR="008F07A3" w:rsidRDefault="008F07A3" w:rsidP="008F07A3">
      <w:pPr>
        <w:numPr>
          <w:ilvl w:val="0"/>
          <w:numId w:val="25"/>
        </w:numPr>
      </w:pPr>
      <w:r>
        <w:t>The</w:t>
      </w:r>
      <w:r w:rsidR="001140AD">
        <w:t xml:space="preserve"> final</w:t>
      </w:r>
      <w:r>
        <w:t xml:space="preserve">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bookmarkStart w:id="5" w:name="_GoBack"/>
      <w:bookmarkEnd w:id="5"/>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CC4C3D">
        <w:t>policy</w:t>
      </w:r>
    </w:p>
    <w:p w:rsidR="008F07A3" w:rsidRPr="008F07A3" w:rsidRDefault="008F07A3" w:rsidP="008F07A3">
      <w:pPr>
        <w:sectPr w:rsidR="008F07A3" w:rsidRPr="008F07A3" w:rsidSect="00DE563D">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5D7BA2" w:rsidRDefault="00DE563D" w:rsidP="00D72AA2">
      <w:pPr>
        <w:pStyle w:val="UnnumberedHeading"/>
        <w:numPr>
          <w:ilvl w:val="0"/>
          <w:numId w:val="24"/>
        </w:numPr>
        <w:spacing w:line="240" w:lineRule="auto"/>
      </w:pPr>
      <w:bookmarkStart w:id="6" w:name="_Toc403144133"/>
      <w:bookmarkStart w:id="7" w:name="_Toc433033280"/>
      <w:r>
        <w:lastRenderedPageBreak/>
        <w:t>Contents</w:t>
      </w:r>
      <w:bookmarkEnd w:id="6"/>
      <w:bookmarkEnd w:id="7"/>
    </w:p>
    <w:sdt>
      <w:sdtPr>
        <w:rPr>
          <w:rFonts w:eastAsiaTheme="majorEastAsia" w:cstheme="majorBidi"/>
          <w:b w:val="0"/>
          <w:bCs/>
          <w:noProof w:val="0"/>
          <w:color w:val="auto"/>
          <w:sz w:val="22"/>
          <w:szCs w:val="28"/>
          <w:lang w:val="en-AU" w:eastAsia="en-US"/>
        </w:rPr>
        <w:id w:val="1269200322"/>
        <w:docPartObj>
          <w:docPartGallery w:val="Table of Contents"/>
          <w:docPartUnique/>
        </w:docPartObj>
      </w:sdtPr>
      <w:sdtEndPr>
        <w:rPr>
          <w:rFonts w:eastAsiaTheme="minorHAnsi" w:cstheme="minorBidi"/>
          <w:b/>
          <w:bCs w:val="0"/>
          <w:noProof/>
          <w:color w:val="70635A" w:themeColor="text2"/>
          <w:sz w:val="24"/>
          <w:szCs w:val="22"/>
        </w:rPr>
      </w:sdtEndPr>
      <w:sdtContent>
        <w:p w:rsidR="003A4F37"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33033279" w:history="1">
            <w:r w:rsidR="003A4F37" w:rsidRPr="00500C18">
              <w:rPr>
                <w:rStyle w:val="Hyperlink"/>
              </w:rPr>
              <w:t>Note</w:t>
            </w:r>
            <w:r w:rsidR="003A4F37">
              <w:rPr>
                <w:webHidden/>
              </w:rPr>
              <w:tab/>
              <w:t>11-</w:t>
            </w:r>
            <w:r w:rsidR="003A4F37">
              <w:rPr>
                <w:webHidden/>
              </w:rPr>
              <w:fldChar w:fldCharType="begin"/>
            </w:r>
            <w:r w:rsidR="003A4F37">
              <w:rPr>
                <w:webHidden/>
              </w:rPr>
              <w:instrText xml:space="preserve"> PAGEREF _Toc433033279 \h </w:instrText>
            </w:r>
            <w:r w:rsidR="003A4F37">
              <w:rPr>
                <w:webHidden/>
              </w:rPr>
            </w:r>
            <w:r w:rsidR="003A4F37">
              <w:rPr>
                <w:webHidden/>
              </w:rPr>
              <w:fldChar w:fldCharType="separate"/>
            </w:r>
            <w:r w:rsidR="003A4F37">
              <w:rPr>
                <w:webHidden/>
              </w:rPr>
              <w:t>2</w:t>
            </w:r>
            <w:r w:rsidR="003A4F37">
              <w:rPr>
                <w:webHidden/>
              </w:rPr>
              <w:fldChar w:fldCharType="end"/>
            </w:r>
          </w:hyperlink>
        </w:p>
        <w:p w:rsidR="003A4F37" w:rsidRDefault="000C18DC">
          <w:pPr>
            <w:pStyle w:val="TOC1"/>
            <w:rPr>
              <w:rFonts w:asciiTheme="minorHAnsi" w:eastAsiaTheme="minorEastAsia" w:hAnsiTheme="minorHAnsi"/>
              <w:b w:val="0"/>
              <w:color w:val="auto"/>
              <w:sz w:val="22"/>
              <w:lang w:val="en-AU" w:eastAsia="en-AU"/>
            </w:rPr>
          </w:pPr>
          <w:hyperlink w:anchor="_Toc433033280" w:history="1">
            <w:r w:rsidR="003A4F37" w:rsidRPr="00500C18">
              <w:rPr>
                <w:rStyle w:val="Hyperlink"/>
              </w:rPr>
              <w:t>Contents</w:t>
            </w:r>
            <w:r w:rsidR="003A4F37">
              <w:rPr>
                <w:webHidden/>
              </w:rPr>
              <w:tab/>
              <w:t>11-</w:t>
            </w:r>
            <w:r w:rsidR="003A4F37">
              <w:rPr>
                <w:webHidden/>
              </w:rPr>
              <w:fldChar w:fldCharType="begin"/>
            </w:r>
            <w:r w:rsidR="003A4F37">
              <w:rPr>
                <w:webHidden/>
              </w:rPr>
              <w:instrText xml:space="preserve"> PAGEREF _Toc433033280 \h </w:instrText>
            </w:r>
            <w:r w:rsidR="003A4F37">
              <w:rPr>
                <w:webHidden/>
              </w:rPr>
            </w:r>
            <w:r w:rsidR="003A4F37">
              <w:rPr>
                <w:webHidden/>
              </w:rPr>
              <w:fldChar w:fldCharType="separate"/>
            </w:r>
            <w:r w:rsidR="003A4F37">
              <w:rPr>
                <w:webHidden/>
              </w:rPr>
              <w:t>3</w:t>
            </w:r>
            <w:r w:rsidR="003A4F37">
              <w:rPr>
                <w:webHidden/>
              </w:rPr>
              <w:fldChar w:fldCharType="end"/>
            </w:r>
          </w:hyperlink>
        </w:p>
        <w:p w:rsidR="003A4F37" w:rsidRDefault="000C18DC">
          <w:pPr>
            <w:pStyle w:val="TOC1"/>
            <w:rPr>
              <w:rFonts w:asciiTheme="minorHAnsi" w:eastAsiaTheme="minorEastAsia" w:hAnsiTheme="minorHAnsi"/>
              <w:b w:val="0"/>
              <w:color w:val="auto"/>
              <w:sz w:val="22"/>
              <w:lang w:val="en-AU" w:eastAsia="en-AU"/>
            </w:rPr>
          </w:pPr>
          <w:hyperlink w:anchor="_Toc433033281" w:history="1">
            <w:r w:rsidR="003A4F37" w:rsidRPr="00500C18">
              <w:rPr>
                <w:rStyle w:val="Hyperlink"/>
              </w:rPr>
              <w:t>Shortened forms</w:t>
            </w:r>
            <w:r w:rsidR="003A4F37">
              <w:rPr>
                <w:webHidden/>
              </w:rPr>
              <w:tab/>
              <w:t>11-</w:t>
            </w:r>
            <w:r w:rsidR="003A4F37">
              <w:rPr>
                <w:webHidden/>
              </w:rPr>
              <w:fldChar w:fldCharType="begin"/>
            </w:r>
            <w:r w:rsidR="003A4F37">
              <w:rPr>
                <w:webHidden/>
              </w:rPr>
              <w:instrText xml:space="preserve"> PAGEREF _Toc433033281 \h </w:instrText>
            </w:r>
            <w:r w:rsidR="003A4F37">
              <w:rPr>
                <w:webHidden/>
              </w:rPr>
            </w:r>
            <w:r w:rsidR="003A4F37">
              <w:rPr>
                <w:webHidden/>
              </w:rPr>
              <w:fldChar w:fldCharType="separate"/>
            </w:r>
            <w:r w:rsidR="003A4F37">
              <w:rPr>
                <w:webHidden/>
              </w:rPr>
              <w:t>4</w:t>
            </w:r>
            <w:r w:rsidR="003A4F37">
              <w:rPr>
                <w:webHidden/>
              </w:rPr>
              <w:fldChar w:fldCharType="end"/>
            </w:r>
          </w:hyperlink>
        </w:p>
        <w:p w:rsidR="003A4F37" w:rsidRDefault="000C18DC">
          <w:pPr>
            <w:pStyle w:val="TOC1"/>
            <w:rPr>
              <w:rFonts w:asciiTheme="minorHAnsi" w:eastAsiaTheme="minorEastAsia" w:hAnsiTheme="minorHAnsi"/>
              <w:b w:val="0"/>
              <w:color w:val="auto"/>
              <w:sz w:val="22"/>
              <w:lang w:val="en-AU" w:eastAsia="en-AU"/>
            </w:rPr>
          </w:pPr>
          <w:hyperlink w:anchor="_Toc433033282" w:history="1">
            <w:r w:rsidR="003A4F37" w:rsidRPr="00500C18">
              <w:rPr>
                <w:rStyle w:val="Hyperlink"/>
              </w:rPr>
              <w:t>11</w:t>
            </w:r>
            <w:r w:rsidR="003A4F37">
              <w:rPr>
                <w:rFonts w:asciiTheme="minorHAnsi" w:eastAsiaTheme="minorEastAsia" w:hAnsiTheme="minorHAnsi"/>
                <w:b w:val="0"/>
                <w:color w:val="auto"/>
                <w:sz w:val="22"/>
                <w:lang w:val="en-AU" w:eastAsia="en-AU"/>
              </w:rPr>
              <w:tab/>
            </w:r>
            <w:r w:rsidR="003A4F37" w:rsidRPr="00500C18">
              <w:rPr>
                <w:rStyle w:val="Hyperlink"/>
              </w:rPr>
              <w:t>Service target performance incentive scheme</w:t>
            </w:r>
            <w:r w:rsidR="003A4F37">
              <w:rPr>
                <w:webHidden/>
              </w:rPr>
              <w:tab/>
              <w:t>11-</w:t>
            </w:r>
            <w:r w:rsidR="003A4F37">
              <w:rPr>
                <w:webHidden/>
              </w:rPr>
              <w:fldChar w:fldCharType="begin"/>
            </w:r>
            <w:r w:rsidR="003A4F37">
              <w:rPr>
                <w:webHidden/>
              </w:rPr>
              <w:instrText xml:space="preserve"> PAGEREF _Toc433033282 \h </w:instrText>
            </w:r>
            <w:r w:rsidR="003A4F37">
              <w:rPr>
                <w:webHidden/>
              </w:rPr>
            </w:r>
            <w:r w:rsidR="003A4F37">
              <w:rPr>
                <w:webHidden/>
              </w:rPr>
              <w:fldChar w:fldCharType="separate"/>
            </w:r>
            <w:r w:rsidR="003A4F37">
              <w:rPr>
                <w:webHidden/>
              </w:rPr>
              <w:t>6</w:t>
            </w:r>
            <w:r w:rsidR="003A4F37">
              <w:rPr>
                <w:webHidden/>
              </w:rPr>
              <w:fldChar w:fldCharType="end"/>
            </w:r>
          </w:hyperlink>
        </w:p>
        <w:p w:rsidR="003A4F37" w:rsidRDefault="000C18DC">
          <w:pPr>
            <w:pStyle w:val="TOC3"/>
            <w:rPr>
              <w:rFonts w:asciiTheme="minorHAnsi" w:eastAsiaTheme="minorEastAsia" w:hAnsiTheme="minorHAnsi"/>
              <w:lang w:eastAsia="en-AU"/>
            </w:rPr>
          </w:pPr>
          <w:hyperlink w:anchor="_Toc433033283" w:history="1">
            <w:r w:rsidR="003A4F37" w:rsidRPr="00500C18">
              <w:rPr>
                <w:rStyle w:val="Hyperlink"/>
              </w:rPr>
              <w:t>AER’s service target performance incentive scheme</w:t>
            </w:r>
            <w:r w:rsidR="003A4F37">
              <w:rPr>
                <w:webHidden/>
              </w:rPr>
              <w:tab/>
              <w:t>11-</w:t>
            </w:r>
            <w:r w:rsidR="003A4F37">
              <w:rPr>
                <w:webHidden/>
              </w:rPr>
              <w:fldChar w:fldCharType="begin"/>
            </w:r>
            <w:r w:rsidR="003A4F37">
              <w:rPr>
                <w:webHidden/>
              </w:rPr>
              <w:instrText xml:space="preserve"> PAGEREF _Toc433033283 \h </w:instrText>
            </w:r>
            <w:r w:rsidR="003A4F37">
              <w:rPr>
                <w:webHidden/>
              </w:rPr>
            </w:r>
            <w:r w:rsidR="003A4F37">
              <w:rPr>
                <w:webHidden/>
              </w:rPr>
              <w:fldChar w:fldCharType="separate"/>
            </w:r>
            <w:r w:rsidR="003A4F37">
              <w:rPr>
                <w:webHidden/>
              </w:rPr>
              <w:t>6</w:t>
            </w:r>
            <w:r w:rsidR="003A4F37">
              <w:rPr>
                <w:webHidden/>
              </w:rPr>
              <w:fldChar w:fldCharType="end"/>
            </w:r>
          </w:hyperlink>
        </w:p>
        <w:p w:rsidR="003A4F37" w:rsidRDefault="000C18DC">
          <w:pPr>
            <w:pStyle w:val="TOC2"/>
            <w:tabs>
              <w:tab w:val="left" w:pos="1276"/>
            </w:tabs>
            <w:rPr>
              <w:rFonts w:asciiTheme="minorHAnsi" w:eastAsiaTheme="minorEastAsia" w:hAnsiTheme="minorHAnsi"/>
              <w:b w:val="0"/>
              <w:color w:val="auto"/>
              <w:sz w:val="22"/>
              <w:lang w:eastAsia="en-AU"/>
            </w:rPr>
          </w:pPr>
          <w:hyperlink w:anchor="_Toc433033284" w:history="1">
            <w:r w:rsidR="003A4F37" w:rsidRPr="00500C18">
              <w:rPr>
                <w:rStyle w:val="Hyperlink"/>
              </w:rPr>
              <w:t>11.1</w:t>
            </w:r>
            <w:r w:rsidR="003A4F37">
              <w:rPr>
                <w:rFonts w:asciiTheme="minorHAnsi" w:eastAsiaTheme="minorEastAsia" w:hAnsiTheme="minorHAnsi"/>
                <w:b w:val="0"/>
                <w:color w:val="auto"/>
                <w:sz w:val="22"/>
                <w:lang w:eastAsia="en-AU"/>
              </w:rPr>
              <w:tab/>
            </w:r>
            <w:r w:rsidR="003A4F37" w:rsidRPr="00500C18">
              <w:rPr>
                <w:rStyle w:val="Hyperlink"/>
              </w:rPr>
              <w:t>Final decision</w:t>
            </w:r>
            <w:r w:rsidR="003A4F37">
              <w:rPr>
                <w:webHidden/>
              </w:rPr>
              <w:tab/>
              <w:t>11-</w:t>
            </w:r>
            <w:r w:rsidR="003A4F37">
              <w:rPr>
                <w:webHidden/>
              </w:rPr>
              <w:fldChar w:fldCharType="begin"/>
            </w:r>
            <w:r w:rsidR="003A4F37">
              <w:rPr>
                <w:webHidden/>
              </w:rPr>
              <w:instrText xml:space="preserve"> PAGEREF _Toc433033284 \h </w:instrText>
            </w:r>
            <w:r w:rsidR="003A4F37">
              <w:rPr>
                <w:webHidden/>
              </w:rPr>
            </w:r>
            <w:r w:rsidR="003A4F37">
              <w:rPr>
                <w:webHidden/>
              </w:rPr>
              <w:fldChar w:fldCharType="separate"/>
            </w:r>
            <w:r w:rsidR="003A4F37">
              <w:rPr>
                <w:webHidden/>
              </w:rPr>
              <w:t>6</w:t>
            </w:r>
            <w:r w:rsidR="003A4F37">
              <w:rPr>
                <w:webHidden/>
              </w:rPr>
              <w:fldChar w:fldCharType="end"/>
            </w:r>
          </w:hyperlink>
        </w:p>
        <w:p w:rsidR="003A4F37" w:rsidRDefault="000C18DC">
          <w:pPr>
            <w:pStyle w:val="TOC2"/>
            <w:tabs>
              <w:tab w:val="left" w:pos="1276"/>
            </w:tabs>
            <w:rPr>
              <w:rFonts w:asciiTheme="minorHAnsi" w:eastAsiaTheme="minorEastAsia" w:hAnsiTheme="minorHAnsi"/>
              <w:b w:val="0"/>
              <w:color w:val="auto"/>
              <w:sz w:val="22"/>
              <w:lang w:eastAsia="en-AU"/>
            </w:rPr>
          </w:pPr>
          <w:hyperlink w:anchor="_Toc433033285" w:history="1">
            <w:r w:rsidR="003A4F37" w:rsidRPr="00500C18">
              <w:rPr>
                <w:rStyle w:val="Hyperlink"/>
              </w:rPr>
              <w:t>11.2</w:t>
            </w:r>
            <w:r w:rsidR="003A4F37">
              <w:rPr>
                <w:rFonts w:asciiTheme="minorHAnsi" w:eastAsiaTheme="minorEastAsia" w:hAnsiTheme="minorHAnsi"/>
                <w:b w:val="0"/>
                <w:color w:val="auto"/>
                <w:sz w:val="22"/>
                <w:lang w:eastAsia="en-AU"/>
              </w:rPr>
              <w:tab/>
            </w:r>
            <w:r w:rsidR="003A4F37" w:rsidRPr="00500C18">
              <w:rPr>
                <w:rStyle w:val="Hyperlink"/>
              </w:rPr>
              <w:t>SA Power Networks' revised proposal</w:t>
            </w:r>
            <w:r w:rsidR="003A4F37">
              <w:rPr>
                <w:webHidden/>
              </w:rPr>
              <w:tab/>
              <w:t>11-</w:t>
            </w:r>
            <w:r w:rsidR="003A4F37">
              <w:rPr>
                <w:webHidden/>
              </w:rPr>
              <w:fldChar w:fldCharType="begin"/>
            </w:r>
            <w:r w:rsidR="003A4F37">
              <w:rPr>
                <w:webHidden/>
              </w:rPr>
              <w:instrText xml:space="preserve"> PAGEREF _Toc433033285 \h </w:instrText>
            </w:r>
            <w:r w:rsidR="003A4F37">
              <w:rPr>
                <w:webHidden/>
              </w:rPr>
            </w:r>
            <w:r w:rsidR="003A4F37">
              <w:rPr>
                <w:webHidden/>
              </w:rPr>
              <w:fldChar w:fldCharType="separate"/>
            </w:r>
            <w:r w:rsidR="003A4F37">
              <w:rPr>
                <w:webHidden/>
              </w:rPr>
              <w:t>8</w:t>
            </w:r>
            <w:r w:rsidR="003A4F37">
              <w:rPr>
                <w:webHidden/>
              </w:rPr>
              <w:fldChar w:fldCharType="end"/>
            </w:r>
          </w:hyperlink>
        </w:p>
        <w:p w:rsidR="003A4F37" w:rsidRDefault="000C18DC">
          <w:pPr>
            <w:pStyle w:val="TOC2"/>
            <w:tabs>
              <w:tab w:val="left" w:pos="1276"/>
            </w:tabs>
            <w:rPr>
              <w:rFonts w:asciiTheme="minorHAnsi" w:eastAsiaTheme="minorEastAsia" w:hAnsiTheme="minorHAnsi"/>
              <w:b w:val="0"/>
              <w:color w:val="auto"/>
              <w:sz w:val="22"/>
              <w:lang w:eastAsia="en-AU"/>
            </w:rPr>
          </w:pPr>
          <w:hyperlink w:anchor="_Toc433033286" w:history="1">
            <w:r w:rsidR="003A4F37" w:rsidRPr="00500C18">
              <w:rPr>
                <w:rStyle w:val="Hyperlink"/>
              </w:rPr>
              <w:t>11.3</w:t>
            </w:r>
            <w:r w:rsidR="003A4F37">
              <w:rPr>
                <w:rFonts w:asciiTheme="minorHAnsi" w:eastAsiaTheme="minorEastAsia" w:hAnsiTheme="minorHAnsi"/>
                <w:b w:val="0"/>
                <w:color w:val="auto"/>
                <w:sz w:val="22"/>
                <w:lang w:eastAsia="en-AU"/>
              </w:rPr>
              <w:tab/>
            </w:r>
            <w:r w:rsidR="003A4F37" w:rsidRPr="00500C18">
              <w:rPr>
                <w:rStyle w:val="Hyperlink"/>
              </w:rPr>
              <w:t>AER’s assessment approach</w:t>
            </w:r>
            <w:r w:rsidR="003A4F37">
              <w:rPr>
                <w:webHidden/>
              </w:rPr>
              <w:tab/>
              <w:t>11-</w:t>
            </w:r>
            <w:r w:rsidR="003A4F37">
              <w:rPr>
                <w:webHidden/>
              </w:rPr>
              <w:fldChar w:fldCharType="begin"/>
            </w:r>
            <w:r w:rsidR="003A4F37">
              <w:rPr>
                <w:webHidden/>
              </w:rPr>
              <w:instrText xml:space="preserve"> PAGEREF _Toc433033286 \h </w:instrText>
            </w:r>
            <w:r w:rsidR="003A4F37">
              <w:rPr>
                <w:webHidden/>
              </w:rPr>
            </w:r>
            <w:r w:rsidR="003A4F37">
              <w:rPr>
                <w:webHidden/>
              </w:rPr>
              <w:fldChar w:fldCharType="separate"/>
            </w:r>
            <w:r w:rsidR="003A4F37">
              <w:rPr>
                <w:webHidden/>
              </w:rPr>
              <w:t>8</w:t>
            </w:r>
            <w:r w:rsidR="003A4F37">
              <w:rPr>
                <w:webHidden/>
              </w:rPr>
              <w:fldChar w:fldCharType="end"/>
            </w:r>
          </w:hyperlink>
        </w:p>
        <w:p w:rsidR="003A4F37" w:rsidRDefault="000C18DC">
          <w:pPr>
            <w:pStyle w:val="TOC3"/>
            <w:rPr>
              <w:rFonts w:asciiTheme="minorHAnsi" w:eastAsiaTheme="minorEastAsia" w:hAnsiTheme="minorHAnsi"/>
              <w:lang w:eastAsia="en-AU"/>
            </w:rPr>
          </w:pPr>
          <w:hyperlink w:anchor="_Toc433033287" w:history="1">
            <w:r w:rsidR="003A4F37" w:rsidRPr="00500C18">
              <w:rPr>
                <w:rStyle w:val="Hyperlink"/>
              </w:rPr>
              <w:t>11.3.1</w:t>
            </w:r>
            <w:r w:rsidR="003A4F37">
              <w:rPr>
                <w:rFonts w:asciiTheme="minorHAnsi" w:eastAsiaTheme="minorEastAsia" w:hAnsiTheme="minorHAnsi"/>
                <w:lang w:eastAsia="en-AU"/>
              </w:rPr>
              <w:tab/>
            </w:r>
            <w:r w:rsidR="003A4F37" w:rsidRPr="00500C18">
              <w:rPr>
                <w:rStyle w:val="Hyperlink"/>
              </w:rPr>
              <w:t>Interrelationships</w:t>
            </w:r>
            <w:r w:rsidR="003A4F37">
              <w:rPr>
                <w:webHidden/>
              </w:rPr>
              <w:tab/>
              <w:t>11-</w:t>
            </w:r>
            <w:r w:rsidR="003A4F37">
              <w:rPr>
                <w:webHidden/>
              </w:rPr>
              <w:fldChar w:fldCharType="begin"/>
            </w:r>
            <w:r w:rsidR="003A4F37">
              <w:rPr>
                <w:webHidden/>
              </w:rPr>
              <w:instrText xml:space="preserve"> PAGEREF _Toc433033287 \h </w:instrText>
            </w:r>
            <w:r w:rsidR="003A4F37">
              <w:rPr>
                <w:webHidden/>
              </w:rPr>
            </w:r>
            <w:r w:rsidR="003A4F37">
              <w:rPr>
                <w:webHidden/>
              </w:rPr>
              <w:fldChar w:fldCharType="separate"/>
            </w:r>
            <w:r w:rsidR="003A4F37">
              <w:rPr>
                <w:webHidden/>
              </w:rPr>
              <w:t>8</w:t>
            </w:r>
            <w:r w:rsidR="003A4F37">
              <w:rPr>
                <w:webHidden/>
              </w:rPr>
              <w:fldChar w:fldCharType="end"/>
            </w:r>
          </w:hyperlink>
        </w:p>
        <w:p w:rsidR="003A4F37" w:rsidRDefault="000C18DC">
          <w:pPr>
            <w:pStyle w:val="TOC2"/>
            <w:tabs>
              <w:tab w:val="left" w:pos="1276"/>
            </w:tabs>
            <w:rPr>
              <w:rFonts w:asciiTheme="minorHAnsi" w:eastAsiaTheme="minorEastAsia" w:hAnsiTheme="minorHAnsi"/>
              <w:b w:val="0"/>
              <w:color w:val="auto"/>
              <w:sz w:val="22"/>
              <w:lang w:eastAsia="en-AU"/>
            </w:rPr>
          </w:pPr>
          <w:hyperlink w:anchor="_Toc433033288" w:history="1">
            <w:r w:rsidR="003A4F37" w:rsidRPr="00500C18">
              <w:rPr>
                <w:rStyle w:val="Hyperlink"/>
              </w:rPr>
              <w:t>11.4</w:t>
            </w:r>
            <w:r w:rsidR="003A4F37">
              <w:rPr>
                <w:rFonts w:asciiTheme="minorHAnsi" w:eastAsiaTheme="minorEastAsia" w:hAnsiTheme="minorHAnsi"/>
                <w:b w:val="0"/>
                <w:color w:val="auto"/>
                <w:sz w:val="22"/>
                <w:lang w:eastAsia="en-AU"/>
              </w:rPr>
              <w:tab/>
            </w:r>
            <w:r w:rsidR="003A4F37" w:rsidRPr="00500C18">
              <w:rPr>
                <w:rStyle w:val="Hyperlink"/>
              </w:rPr>
              <w:t>Reasons for final decision</w:t>
            </w:r>
            <w:r w:rsidR="003A4F37">
              <w:rPr>
                <w:webHidden/>
              </w:rPr>
              <w:tab/>
              <w:t>11-</w:t>
            </w:r>
            <w:r w:rsidR="003A4F37">
              <w:rPr>
                <w:webHidden/>
              </w:rPr>
              <w:fldChar w:fldCharType="begin"/>
            </w:r>
            <w:r w:rsidR="003A4F37">
              <w:rPr>
                <w:webHidden/>
              </w:rPr>
              <w:instrText xml:space="preserve"> PAGEREF _Toc433033288 \h </w:instrText>
            </w:r>
            <w:r w:rsidR="003A4F37">
              <w:rPr>
                <w:webHidden/>
              </w:rPr>
            </w:r>
            <w:r w:rsidR="003A4F37">
              <w:rPr>
                <w:webHidden/>
              </w:rPr>
              <w:fldChar w:fldCharType="separate"/>
            </w:r>
            <w:r w:rsidR="003A4F37">
              <w:rPr>
                <w:webHidden/>
              </w:rPr>
              <w:t>9</w:t>
            </w:r>
            <w:r w:rsidR="003A4F37">
              <w:rPr>
                <w:webHidden/>
              </w:rPr>
              <w:fldChar w:fldCharType="end"/>
            </w:r>
          </w:hyperlink>
        </w:p>
        <w:p w:rsidR="003A4F37" w:rsidRDefault="000C18DC">
          <w:pPr>
            <w:pStyle w:val="TOC2"/>
            <w:tabs>
              <w:tab w:val="left" w:pos="1276"/>
            </w:tabs>
            <w:rPr>
              <w:rFonts w:asciiTheme="minorHAnsi" w:eastAsiaTheme="minorEastAsia" w:hAnsiTheme="minorHAnsi"/>
              <w:b w:val="0"/>
              <w:color w:val="auto"/>
              <w:sz w:val="22"/>
              <w:lang w:eastAsia="en-AU"/>
            </w:rPr>
          </w:pPr>
          <w:hyperlink w:anchor="_Toc433033289" w:history="1">
            <w:r w:rsidR="003A4F37" w:rsidRPr="00500C18">
              <w:rPr>
                <w:rStyle w:val="Hyperlink"/>
              </w:rPr>
              <w:t>11.5</w:t>
            </w:r>
            <w:r w:rsidR="003A4F37">
              <w:rPr>
                <w:rFonts w:asciiTheme="minorHAnsi" w:eastAsiaTheme="minorEastAsia" w:hAnsiTheme="minorHAnsi"/>
                <w:b w:val="0"/>
                <w:color w:val="auto"/>
                <w:sz w:val="22"/>
                <w:lang w:eastAsia="en-AU"/>
              </w:rPr>
              <w:tab/>
            </w:r>
            <w:r w:rsidR="003A4F37" w:rsidRPr="00500C18">
              <w:rPr>
                <w:rStyle w:val="Hyperlink"/>
              </w:rPr>
              <w:t>Applying the STPIS</w:t>
            </w:r>
            <w:r w:rsidR="003A4F37">
              <w:rPr>
                <w:webHidden/>
              </w:rPr>
              <w:tab/>
              <w:t>11-</w:t>
            </w:r>
            <w:r w:rsidR="003A4F37">
              <w:rPr>
                <w:webHidden/>
              </w:rPr>
              <w:fldChar w:fldCharType="begin"/>
            </w:r>
            <w:r w:rsidR="003A4F37">
              <w:rPr>
                <w:webHidden/>
              </w:rPr>
              <w:instrText xml:space="preserve"> PAGEREF _Toc433033289 \h </w:instrText>
            </w:r>
            <w:r w:rsidR="003A4F37">
              <w:rPr>
                <w:webHidden/>
              </w:rPr>
            </w:r>
            <w:r w:rsidR="003A4F37">
              <w:rPr>
                <w:webHidden/>
              </w:rPr>
              <w:fldChar w:fldCharType="separate"/>
            </w:r>
            <w:r w:rsidR="003A4F37">
              <w:rPr>
                <w:webHidden/>
              </w:rPr>
              <w:t>9</w:t>
            </w:r>
            <w:r w:rsidR="003A4F37">
              <w:rPr>
                <w:webHidden/>
              </w:rPr>
              <w:fldChar w:fldCharType="end"/>
            </w:r>
          </w:hyperlink>
        </w:p>
        <w:p w:rsidR="003A4F37" w:rsidRDefault="000C18DC">
          <w:pPr>
            <w:pStyle w:val="TOC3"/>
            <w:rPr>
              <w:rFonts w:asciiTheme="minorHAnsi" w:eastAsiaTheme="minorEastAsia" w:hAnsiTheme="minorHAnsi"/>
              <w:lang w:eastAsia="en-AU"/>
            </w:rPr>
          </w:pPr>
          <w:hyperlink w:anchor="_Toc433033290" w:history="1">
            <w:r w:rsidR="003A4F37" w:rsidRPr="00500C18">
              <w:rPr>
                <w:rStyle w:val="Hyperlink"/>
              </w:rPr>
              <w:t>11.5.1</w:t>
            </w:r>
            <w:r w:rsidR="003A4F37">
              <w:rPr>
                <w:rFonts w:asciiTheme="minorHAnsi" w:eastAsiaTheme="minorEastAsia" w:hAnsiTheme="minorHAnsi"/>
                <w:lang w:eastAsia="en-AU"/>
              </w:rPr>
              <w:tab/>
            </w:r>
            <w:r w:rsidR="003A4F37" w:rsidRPr="00500C18">
              <w:rPr>
                <w:rStyle w:val="Hyperlink"/>
              </w:rPr>
              <w:t>Revenue at risk</w:t>
            </w:r>
            <w:r w:rsidR="003A4F37">
              <w:rPr>
                <w:webHidden/>
              </w:rPr>
              <w:tab/>
              <w:t>11-</w:t>
            </w:r>
            <w:r w:rsidR="003A4F37">
              <w:rPr>
                <w:webHidden/>
              </w:rPr>
              <w:fldChar w:fldCharType="begin"/>
            </w:r>
            <w:r w:rsidR="003A4F37">
              <w:rPr>
                <w:webHidden/>
              </w:rPr>
              <w:instrText xml:space="preserve"> PAGEREF _Toc433033290 \h </w:instrText>
            </w:r>
            <w:r w:rsidR="003A4F37">
              <w:rPr>
                <w:webHidden/>
              </w:rPr>
            </w:r>
            <w:r w:rsidR="003A4F37">
              <w:rPr>
                <w:webHidden/>
              </w:rPr>
              <w:fldChar w:fldCharType="separate"/>
            </w:r>
            <w:r w:rsidR="003A4F37">
              <w:rPr>
                <w:webHidden/>
              </w:rPr>
              <w:t>10</w:t>
            </w:r>
            <w:r w:rsidR="003A4F37">
              <w:rPr>
                <w:webHidden/>
              </w:rPr>
              <w:fldChar w:fldCharType="end"/>
            </w:r>
          </w:hyperlink>
        </w:p>
        <w:p w:rsidR="003A4F37" w:rsidRDefault="000C18DC">
          <w:pPr>
            <w:pStyle w:val="TOC3"/>
            <w:rPr>
              <w:rFonts w:asciiTheme="minorHAnsi" w:eastAsiaTheme="minorEastAsia" w:hAnsiTheme="minorHAnsi"/>
              <w:lang w:eastAsia="en-AU"/>
            </w:rPr>
          </w:pPr>
          <w:hyperlink w:anchor="_Toc433033291" w:history="1">
            <w:r w:rsidR="003A4F37" w:rsidRPr="00500C18">
              <w:rPr>
                <w:rStyle w:val="Hyperlink"/>
              </w:rPr>
              <w:t>11.5.2</w:t>
            </w:r>
            <w:r w:rsidR="003A4F37">
              <w:rPr>
                <w:rFonts w:asciiTheme="minorHAnsi" w:eastAsiaTheme="minorEastAsia" w:hAnsiTheme="minorHAnsi"/>
                <w:lang w:eastAsia="en-AU"/>
              </w:rPr>
              <w:tab/>
            </w:r>
            <w:r w:rsidR="003A4F37" w:rsidRPr="00500C18">
              <w:rPr>
                <w:rStyle w:val="Hyperlink"/>
              </w:rPr>
              <w:t>Reliability of supply component</w:t>
            </w:r>
            <w:r w:rsidR="003A4F37">
              <w:rPr>
                <w:webHidden/>
              </w:rPr>
              <w:tab/>
              <w:t>11-</w:t>
            </w:r>
            <w:r w:rsidR="003A4F37">
              <w:rPr>
                <w:webHidden/>
              </w:rPr>
              <w:fldChar w:fldCharType="begin"/>
            </w:r>
            <w:r w:rsidR="003A4F37">
              <w:rPr>
                <w:webHidden/>
              </w:rPr>
              <w:instrText xml:space="preserve"> PAGEREF _Toc433033291 \h </w:instrText>
            </w:r>
            <w:r w:rsidR="003A4F37">
              <w:rPr>
                <w:webHidden/>
              </w:rPr>
            </w:r>
            <w:r w:rsidR="003A4F37">
              <w:rPr>
                <w:webHidden/>
              </w:rPr>
              <w:fldChar w:fldCharType="separate"/>
            </w:r>
            <w:r w:rsidR="003A4F37">
              <w:rPr>
                <w:webHidden/>
              </w:rPr>
              <w:t>10</w:t>
            </w:r>
            <w:r w:rsidR="003A4F37">
              <w:rPr>
                <w:webHidden/>
              </w:rPr>
              <w:fldChar w:fldCharType="end"/>
            </w:r>
          </w:hyperlink>
        </w:p>
        <w:p w:rsidR="003A4F37" w:rsidRDefault="000C18DC">
          <w:pPr>
            <w:pStyle w:val="TOC3"/>
            <w:rPr>
              <w:rFonts w:asciiTheme="minorHAnsi" w:eastAsiaTheme="minorEastAsia" w:hAnsiTheme="minorHAnsi"/>
              <w:lang w:eastAsia="en-AU"/>
            </w:rPr>
          </w:pPr>
          <w:hyperlink w:anchor="_Toc433033294" w:history="1">
            <w:r w:rsidR="003A4F37" w:rsidRPr="00500C18">
              <w:rPr>
                <w:rStyle w:val="Hyperlink"/>
              </w:rPr>
              <w:t>11.5.3</w:t>
            </w:r>
            <w:r w:rsidR="003A4F37">
              <w:rPr>
                <w:rFonts w:asciiTheme="minorHAnsi" w:eastAsiaTheme="minorEastAsia" w:hAnsiTheme="minorHAnsi"/>
                <w:lang w:eastAsia="en-AU"/>
              </w:rPr>
              <w:tab/>
            </w:r>
            <w:r w:rsidR="003A4F37" w:rsidRPr="00500C18">
              <w:rPr>
                <w:rStyle w:val="Hyperlink"/>
              </w:rPr>
              <w:t>Customer service component</w:t>
            </w:r>
            <w:r w:rsidR="003A4F37">
              <w:rPr>
                <w:webHidden/>
              </w:rPr>
              <w:tab/>
              <w:t>11-</w:t>
            </w:r>
            <w:r w:rsidR="003A4F37">
              <w:rPr>
                <w:webHidden/>
              </w:rPr>
              <w:fldChar w:fldCharType="begin"/>
            </w:r>
            <w:r w:rsidR="003A4F37">
              <w:rPr>
                <w:webHidden/>
              </w:rPr>
              <w:instrText xml:space="preserve"> PAGEREF _Toc433033294 \h </w:instrText>
            </w:r>
            <w:r w:rsidR="003A4F37">
              <w:rPr>
                <w:webHidden/>
              </w:rPr>
            </w:r>
            <w:r w:rsidR="003A4F37">
              <w:rPr>
                <w:webHidden/>
              </w:rPr>
              <w:fldChar w:fldCharType="separate"/>
            </w:r>
            <w:r w:rsidR="003A4F37">
              <w:rPr>
                <w:webHidden/>
              </w:rPr>
              <w:t>10</w:t>
            </w:r>
            <w:r w:rsidR="003A4F37">
              <w:rPr>
                <w:webHidden/>
              </w:rPr>
              <w:fldChar w:fldCharType="end"/>
            </w:r>
          </w:hyperlink>
        </w:p>
        <w:p w:rsidR="003A4F37" w:rsidRDefault="000C18DC">
          <w:pPr>
            <w:pStyle w:val="TOC3"/>
            <w:rPr>
              <w:rFonts w:asciiTheme="minorHAnsi" w:eastAsiaTheme="minorEastAsia" w:hAnsiTheme="minorHAnsi"/>
              <w:lang w:eastAsia="en-AU"/>
            </w:rPr>
          </w:pPr>
          <w:hyperlink w:anchor="_Toc433033295" w:history="1">
            <w:r w:rsidR="003A4F37" w:rsidRPr="00500C18">
              <w:rPr>
                <w:rStyle w:val="Hyperlink"/>
              </w:rPr>
              <w:t>11.5.4</w:t>
            </w:r>
            <w:r w:rsidR="003A4F37">
              <w:rPr>
                <w:rFonts w:asciiTheme="minorHAnsi" w:eastAsiaTheme="minorEastAsia" w:hAnsiTheme="minorHAnsi"/>
                <w:lang w:eastAsia="en-AU"/>
              </w:rPr>
              <w:tab/>
            </w:r>
            <w:r w:rsidR="003A4F37" w:rsidRPr="00500C18">
              <w:rPr>
                <w:rStyle w:val="Hyperlink"/>
              </w:rPr>
              <w:t>Performance targets</w:t>
            </w:r>
            <w:r w:rsidR="003A4F37">
              <w:rPr>
                <w:webHidden/>
              </w:rPr>
              <w:tab/>
              <w:t>11-</w:t>
            </w:r>
            <w:r w:rsidR="003A4F37">
              <w:rPr>
                <w:webHidden/>
              </w:rPr>
              <w:fldChar w:fldCharType="begin"/>
            </w:r>
            <w:r w:rsidR="003A4F37">
              <w:rPr>
                <w:webHidden/>
              </w:rPr>
              <w:instrText xml:space="preserve"> PAGEREF _Toc433033295 \h </w:instrText>
            </w:r>
            <w:r w:rsidR="003A4F37">
              <w:rPr>
                <w:webHidden/>
              </w:rPr>
            </w:r>
            <w:r w:rsidR="003A4F37">
              <w:rPr>
                <w:webHidden/>
              </w:rPr>
              <w:fldChar w:fldCharType="separate"/>
            </w:r>
            <w:r w:rsidR="003A4F37">
              <w:rPr>
                <w:webHidden/>
              </w:rPr>
              <w:t>11</w:t>
            </w:r>
            <w:r w:rsidR="003A4F37">
              <w:rPr>
                <w:webHidden/>
              </w:rPr>
              <w:fldChar w:fldCharType="end"/>
            </w:r>
          </w:hyperlink>
        </w:p>
        <w:p w:rsidR="003A4F37" w:rsidRDefault="000C18DC">
          <w:pPr>
            <w:pStyle w:val="TOC3"/>
            <w:rPr>
              <w:rFonts w:asciiTheme="minorHAnsi" w:eastAsiaTheme="minorEastAsia" w:hAnsiTheme="minorHAnsi"/>
              <w:lang w:eastAsia="en-AU"/>
            </w:rPr>
          </w:pPr>
          <w:hyperlink w:anchor="_Toc433033296" w:history="1">
            <w:r w:rsidR="003A4F37" w:rsidRPr="00500C18">
              <w:rPr>
                <w:rStyle w:val="Hyperlink"/>
              </w:rPr>
              <w:t>11.5.5</w:t>
            </w:r>
            <w:r w:rsidR="003A4F37">
              <w:rPr>
                <w:rFonts w:asciiTheme="minorHAnsi" w:eastAsiaTheme="minorEastAsia" w:hAnsiTheme="minorHAnsi"/>
                <w:lang w:eastAsia="en-AU"/>
              </w:rPr>
              <w:tab/>
            </w:r>
            <w:r w:rsidR="003A4F37" w:rsidRPr="00500C18">
              <w:rPr>
                <w:rStyle w:val="Hyperlink"/>
              </w:rPr>
              <w:t>Incentive rates</w:t>
            </w:r>
            <w:r w:rsidR="003A4F37">
              <w:rPr>
                <w:webHidden/>
              </w:rPr>
              <w:tab/>
              <w:t>11-</w:t>
            </w:r>
            <w:r w:rsidR="003A4F37">
              <w:rPr>
                <w:webHidden/>
              </w:rPr>
              <w:fldChar w:fldCharType="begin"/>
            </w:r>
            <w:r w:rsidR="003A4F37">
              <w:rPr>
                <w:webHidden/>
              </w:rPr>
              <w:instrText xml:space="preserve"> PAGEREF _Toc433033296 \h </w:instrText>
            </w:r>
            <w:r w:rsidR="003A4F37">
              <w:rPr>
                <w:webHidden/>
              </w:rPr>
            </w:r>
            <w:r w:rsidR="003A4F37">
              <w:rPr>
                <w:webHidden/>
              </w:rPr>
              <w:fldChar w:fldCharType="separate"/>
            </w:r>
            <w:r w:rsidR="003A4F37">
              <w:rPr>
                <w:webHidden/>
              </w:rPr>
              <w:t>11</w:t>
            </w:r>
            <w:r w:rsidR="003A4F37">
              <w:rPr>
                <w:webHidden/>
              </w:rPr>
              <w:fldChar w:fldCharType="end"/>
            </w:r>
          </w:hyperlink>
        </w:p>
        <w:p w:rsidR="003A4F37" w:rsidRDefault="000C18DC">
          <w:pPr>
            <w:pStyle w:val="TOC2"/>
            <w:tabs>
              <w:tab w:val="left" w:pos="1276"/>
            </w:tabs>
            <w:rPr>
              <w:rFonts w:asciiTheme="minorHAnsi" w:eastAsiaTheme="minorEastAsia" w:hAnsiTheme="minorHAnsi"/>
              <w:b w:val="0"/>
              <w:color w:val="auto"/>
              <w:sz w:val="22"/>
              <w:lang w:eastAsia="en-AU"/>
            </w:rPr>
          </w:pPr>
          <w:hyperlink w:anchor="_Toc433033297" w:history="1">
            <w:r w:rsidR="003A4F37" w:rsidRPr="00500C18">
              <w:rPr>
                <w:rStyle w:val="Hyperlink"/>
              </w:rPr>
              <w:t>11.6</w:t>
            </w:r>
            <w:r w:rsidR="003A4F37">
              <w:rPr>
                <w:rFonts w:asciiTheme="minorHAnsi" w:eastAsiaTheme="minorEastAsia" w:hAnsiTheme="minorHAnsi"/>
                <w:b w:val="0"/>
                <w:color w:val="auto"/>
                <w:sz w:val="22"/>
                <w:lang w:eastAsia="en-AU"/>
              </w:rPr>
              <w:tab/>
            </w:r>
            <w:r w:rsidR="003A4F37" w:rsidRPr="00500C18">
              <w:rPr>
                <w:rStyle w:val="Hyperlink"/>
              </w:rPr>
              <w:t>Other issues in applying the STPIS</w:t>
            </w:r>
            <w:r w:rsidR="003A4F37">
              <w:rPr>
                <w:webHidden/>
              </w:rPr>
              <w:tab/>
              <w:t>11-</w:t>
            </w:r>
            <w:r w:rsidR="003A4F37">
              <w:rPr>
                <w:webHidden/>
              </w:rPr>
              <w:fldChar w:fldCharType="begin"/>
            </w:r>
            <w:r w:rsidR="003A4F37">
              <w:rPr>
                <w:webHidden/>
              </w:rPr>
              <w:instrText xml:space="preserve"> PAGEREF _Toc433033297 \h </w:instrText>
            </w:r>
            <w:r w:rsidR="003A4F37">
              <w:rPr>
                <w:webHidden/>
              </w:rPr>
            </w:r>
            <w:r w:rsidR="003A4F37">
              <w:rPr>
                <w:webHidden/>
              </w:rPr>
              <w:fldChar w:fldCharType="separate"/>
            </w:r>
            <w:r w:rsidR="003A4F37">
              <w:rPr>
                <w:webHidden/>
              </w:rPr>
              <w:t>12</w:t>
            </w:r>
            <w:r w:rsidR="003A4F37">
              <w:rPr>
                <w:webHidden/>
              </w:rPr>
              <w:fldChar w:fldCharType="end"/>
            </w:r>
          </w:hyperlink>
        </w:p>
        <w:p w:rsidR="00D72AA2" w:rsidRDefault="00DE563D" w:rsidP="00410438">
          <w:pPr>
            <w:pStyle w:val="TOC2"/>
            <w:tabs>
              <w:tab w:val="left" w:pos="1276"/>
            </w:tabs>
          </w:pPr>
          <w:r>
            <w:fldChar w:fldCharType="end"/>
          </w:r>
        </w:p>
      </w:sdtContent>
    </w:sdt>
    <w:bookmarkStart w:id="8" w:name="_Toc404700925" w:displacedByCustomXml="prev"/>
    <w:p w:rsidR="00DE563D" w:rsidRDefault="00DE563D" w:rsidP="00DE563D">
      <w:pPr>
        <w:pStyle w:val="UnnumberedHeading"/>
        <w:numPr>
          <w:ilvl w:val="0"/>
          <w:numId w:val="24"/>
        </w:numPr>
      </w:pPr>
      <w:bookmarkStart w:id="9" w:name="_Toc433033281"/>
      <w:r>
        <w:lastRenderedPageBreak/>
        <w:t>Shortened forms</w:t>
      </w:r>
      <w:bookmarkEnd w:id="9"/>
      <w:bookmarkEnd w:id="8"/>
    </w:p>
    <w:tbl>
      <w:tblPr>
        <w:tblStyle w:val="AERtable-numbers"/>
        <w:tblW w:w="0" w:type="auto"/>
        <w:tblLook w:val="04A0" w:firstRow="1" w:lastRow="0" w:firstColumn="1" w:lastColumn="0" w:noHBand="0" w:noVBand="1"/>
      </w:tblPr>
      <w:tblGrid>
        <w:gridCol w:w="4340"/>
        <w:gridCol w:w="4353"/>
      </w:tblGrid>
      <w:tr w:rsidR="00DE563D" w:rsidTr="00DF06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Shortened form</w:t>
            </w:r>
          </w:p>
        </w:tc>
        <w:tc>
          <w:tcPr>
            <w:tcW w:w="4353"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AEMO</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AER</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augex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capex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CCP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CESS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CPI</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distributor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DUoS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EBSS</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9E00C7" w:rsidP="009E00C7">
            <w:pPr>
              <w:pStyle w:val="AERtabletextleft"/>
            </w:pPr>
            <w:r>
              <w:t>E</w:t>
            </w:r>
            <w:r w:rsidR="00DE563D">
              <w:t xml:space="preserve">xpenditure </w:t>
            </w:r>
            <w:r>
              <w:t>A</w:t>
            </w:r>
            <w:r w:rsidR="00DE563D">
              <w:t xml:space="preserve">ssessment </w:t>
            </w:r>
            <w:r>
              <w:t>G</w:t>
            </w:r>
            <w:r w:rsidR="00DE563D">
              <w:t>uideline</w:t>
            </w:r>
          </w:p>
        </w:tc>
        <w:tc>
          <w:tcPr>
            <w:tcW w:w="4353" w:type="dxa"/>
          </w:tcPr>
          <w:p w:rsidR="00DE563D" w:rsidRDefault="001140AD" w:rsidP="009E00C7">
            <w:pPr>
              <w:pStyle w:val="AERtabletextleft"/>
              <w:jc w:val="left"/>
              <w:cnfStyle w:val="000000010000" w:firstRow="0" w:lastRow="0" w:firstColumn="0" w:lastColumn="0" w:oddVBand="0" w:evenVBand="0" w:oddHBand="0" w:evenHBand="1" w:firstRowFirstColumn="0" w:firstRowLastColumn="0" w:lastRowFirstColumn="0" w:lastRowLastColumn="0"/>
            </w:pPr>
            <w:r>
              <w:t>Expenditure Forecast A</w:t>
            </w:r>
            <w:r w:rsidR="00DE563D">
              <w:t xml:space="preserve">ssessment </w:t>
            </w:r>
            <w:r w:rsidR="009E00C7">
              <w:t>G</w:t>
            </w:r>
            <w:r w:rsidR="00DE563D">
              <w:t>uideline for electricity distribution</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F&amp;A</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MRP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NEL</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NEO</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NSP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opex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PPI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PTRM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lastRenderedPageBreak/>
              <w:t>RAB</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RBA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repex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RFM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RIN</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RPP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9E00C7">
              <w:t xml:space="preserve">and </w:t>
            </w:r>
            <w:r>
              <w:t>pricing principles</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SAIDI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SAIFI</w:t>
            </w:r>
          </w:p>
        </w:tc>
        <w:tc>
          <w:tcPr>
            <w:tcW w:w="4353" w:type="dxa"/>
          </w:tcPr>
          <w:p w:rsidR="00DE563D" w:rsidRDefault="00DE563D" w:rsidP="00DD1870">
            <w:pPr>
              <w:pStyle w:val="AERtabletextleft"/>
              <w:jc w:val="left"/>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SLCAPM</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STPIS</w:t>
            </w:r>
          </w:p>
        </w:tc>
        <w:tc>
          <w:tcPr>
            <w:tcW w:w="4353" w:type="dxa"/>
          </w:tcPr>
          <w:p w:rsidR="00DE563D" w:rsidRDefault="00DE563D" w:rsidP="00DD1870">
            <w:pPr>
              <w:pStyle w:val="AERtabletextleft"/>
              <w:jc w:val="left"/>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WACC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Default="0086541F" w:rsidP="00B34302">
      <w:pPr>
        <w:pStyle w:val="Heading1"/>
      </w:pPr>
      <w:bookmarkStart w:id="10" w:name="_Toc433033282"/>
      <w:r w:rsidRPr="00B34302">
        <w:lastRenderedPageBreak/>
        <w:t>Service target performance incentive scheme</w:t>
      </w:r>
      <w:bookmarkEnd w:id="10"/>
    </w:p>
    <w:p w:rsidR="00870956" w:rsidRDefault="00870956" w:rsidP="00870956">
      <w:r>
        <w:t xml:space="preserve">Under clause 6.3.2 of the </w:t>
      </w:r>
      <w:r w:rsidR="00DD1870">
        <w:t>NER</w:t>
      </w:r>
      <w:r>
        <w:t xml:space="preserve"> our regulatory determination must </w:t>
      </w:r>
      <w:r w:rsidRPr="00277932">
        <w:t xml:space="preserve">specify how any applicable </w:t>
      </w:r>
      <w:r>
        <w:t>service target performance incentive (</w:t>
      </w:r>
      <w:r w:rsidRPr="00277932">
        <w:t>STPIS</w:t>
      </w:r>
      <w:r>
        <w:t>)</w:t>
      </w:r>
      <w:r w:rsidRPr="00277932">
        <w:t xml:space="preserve"> is to apply in the </w:t>
      </w:r>
      <w:r>
        <w:t>2015–20</w:t>
      </w:r>
      <w:r w:rsidRPr="00277932">
        <w:t xml:space="preserve"> regulatory control period.</w:t>
      </w:r>
      <w:r>
        <w:t xml:space="preserve"> </w:t>
      </w:r>
    </w:p>
    <w:p w:rsidR="00870956" w:rsidRDefault="00870956" w:rsidP="00870956">
      <w:r>
        <w:t xml:space="preserve">This attachment sets out how we will apply the STPIS to SA Power Networks for the </w:t>
      </w:r>
      <w:r w:rsidR="00DD1870">
        <w:t>2015</w:t>
      </w:r>
      <w:r w:rsidR="00DD1870">
        <w:rPr>
          <w:rFonts w:cs="Arial"/>
        </w:rPr>
        <w:t>─</w:t>
      </w:r>
      <w:r w:rsidR="00DD1870">
        <w:t xml:space="preserve">20 </w:t>
      </w:r>
      <w:r>
        <w:t>regulatory control period.</w:t>
      </w:r>
    </w:p>
    <w:p w:rsidR="00870956" w:rsidRPr="00DD1870" w:rsidRDefault="00870956" w:rsidP="00DD1870">
      <w:pPr>
        <w:pStyle w:val="HeadingBoldBlue"/>
      </w:pPr>
      <w:bookmarkStart w:id="11" w:name="_Toc433033283"/>
      <w:r w:rsidRPr="00DD1870">
        <w:t>AER’s service target performance incentive scheme</w:t>
      </w:r>
      <w:bookmarkEnd w:id="11"/>
    </w:p>
    <w:p w:rsidR="00870956" w:rsidRDefault="00870956" w:rsidP="00870956">
      <w:r>
        <w:t>We published</w:t>
      </w:r>
      <w:r w:rsidRPr="00E73EFA">
        <w:t xml:space="preserve"> </w:t>
      </w:r>
      <w:r>
        <w:t xml:space="preserve">the current version of our national </w:t>
      </w:r>
      <w:r w:rsidRPr="00E73EFA">
        <w:t xml:space="preserve">STPIS </w:t>
      </w:r>
      <w:r>
        <w:t>in November 2009.</w:t>
      </w:r>
      <w:r>
        <w:rPr>
          <w:rStyle w:val="FootnoteReference"/>
        </w:rPr>
        <w:footnoteReference w:id="1"/>
      </w:r>
      <w:r>
        <w:t xml:space="preserve"> The </w:t>
      </w:r>
      <w:r w:rsidRPr="00401F71">
        <w:t xml:space="preserve">STPIS is intended to balance incentives to reduce expenditure with the need to maintain or improve service quality. It achieves this by providing financial incentives to </w:t>
      </w:r>
      <w:r>
        <w:t>distributors</w:t>
      </w:r>
      <w:r w:rsidRPr="00401F71">
        <w:t xml:space="preserve"> to maintain and improve service performance where customers are willing to pay for these improvements.</w:t>
      </w:r>
      <w:r>
        <w:t xml:space="preserve"> </w:t>
      </w:r>
    </w:p>
    <w:p w:rsidR="00085E7B" w:rsidRDefault="00085E7B" w:rsidP="00085E7B">
      <w:pPr>
        <w:pStyle w:val="Heading2"/>
      </w:pPr>
      <w:bookmarkStart w:id="12" w:name="_Toc418855286"/>
      <w:bookmarkStart w:id="13" w:name="_Toc433033284"/>
      <w:r>
        <w:t>Final</w:t>
      </w:r>
      <w:r w:rsidRPr="00B34302">
        <w:t xml:space="preserve"> decision</w:t>
      </w:r>
      <w:bookmarkEnd w:id="12"/>
      <w:bookmarkEnd w:id="13"/>
    </w:p>
    <w:p w:rsidR="00AF23F0" w:rsidRDefault="00085E7B" w:rsidP="00AF23F0">
      <w:r>
        <w:t xml:space="preserve">We </w:t>
      </w:r>
      <w:r w:rsidR="00280E8C">
        <w:t xml:space="preserve">will apply the STPIS to </w:t>
      </w:r>
      <w:r>
        <w:t>SA Powe</w:t>
      </w:r>
      <w:r w:rsidR="00C90819">
        <w:t xml:space="preserve">r </w:t>
      </w:r>
      <w:r>
        <w:t xml:space="preserve">Networks </w:t>
      </w:r>
      <w:r w:rsidR="00280E8C">
        <w:t>for th</w:t>
      </w:r>
      <w:r w:rsidR="000402FE">
        <w:t>e 2015</w:t>
      </w:r>
      <w:r w:rsidR="000402FE">
        <w:rPr>
          <w:rFonts w:cs="Arial"/>
        </w:rPr>
        <w:t>─</w:t>
      </w:r>
      <w:r w:rsidR="00280E8C">
        <w:t>20 regulatory control period</w:t>
      </w:r>
      <w:r w:rsidR="00AF23F0">
        <w:t>. In applying the STPIS</w:t>
      </w:r>
      <w:r w:rsidR="001F4F5C">
        <w:t>,</w:t>
      </w:r>
      <w:r w:rsidR="00870956">
        <w:t xml:space="preserve"> we will</w:t>
      </w:r>
      <w:r w:rsidR="00AF23F0">
        <w:t xml:space="preserve">: </w:t>
      </w:r>
    </w:p>
    <w:p w:rsidR="00870956" w:rsidRPr="00D6741A" w:rsidRDefault="00870956" w:rsidP="00870956">
      <w:pPr>
        <w:pStyle w:val="AERbulletlistfirststyle"/>
        <w:rPr>
          <w:rStyle w:val="AERbody"/>
        </w:rPr>
      </w:pPr>
      <w:r w:rsidRPr="00441E9B">
        <w:rPr>
          <w:rStyle w:val="AERbody"/>
        </w:rPr>
        <w:t xml:space="preserve">set revenue at risk for </w:t>
      </w:r>
      <w:r>
        <w:rPr>
          <w:rStyle w:val="AERbody"/>
        </w:rPr>
        <w:t xml:space="preserve">SA Power Networks at the </w:t>
      </w:r>
      <w:r w:rsidRPr="00441E9B">
        <w:rPr>
          <w:rStyle w:val="AERbody"/>
        </w:rPr>
        <w:t>range ±</w:t>
      </w:r>
      <w:r>
        <w:rPr>
          <w:rStyle w:val="AERbody"/>
        </w:rPr>
        <w:t xml:space="preserve"> 5</w:t>
      </w:r>
      <w:r w:rsidR="00B80865">
        <w:rPr>
          <w:rStyle w:val="AERbody"/>
        </w:rPr>
        <w:t>.0</w:t>
      </w:r>
      <w:r w:rsidRPr="00D6741A">
        <w:rPr>
          <w:rStyle w:val="AERbody"/>
        </w:rPr>
        <w:t xml:space="preserve"> per cent</w:t>
      </w:r>
    </w:p>
    <w:p w:rsidR="00870956" w:rsidRPr="00D6741A" w:rsidRDefault="00870956" w:rsidP="00870956">
      <w:pPr>
        <w:pStyle w:val="AERbulletlistfirststyle"/>
      </w:pPr>
      <w:r w:rsidRPr="00C16C7B">
        <w:t xml:space="preserve">segment </w:t>
      </w:r>
      <w:r>
        <w:t xml:space="preserve">SA Power Networks' </w:t>
      </w:r>
      <w:r w:rsidRPr="00C16C7B">
        <w:t xml:space="preserve">network </w:t>
      </w:r>
      <w:r w:rsidR="0020296D">
        <w:t xml:space="preserve"> </w:t>
      </w:r>
      <w:r w:rsidRPr="00C16C7B">
        <w:t xml:space="preserve">according to feeder categories </w:t>
      </w:r>
      <w:r>
        <w:t xml:space="preserve">CBD, </w:t>
      </w:r>
      <w:r w:rsidRPr="00C16C7B">
        <w:t>urban</w:t>
      </w:r>
      <w:r>
        <w:t>,</w:t>
      </w:r>
      <w:r w:rsidRPr="00D6741A">
        <w:t xml:space="preserve"> </w:t>
      </w:r>
      <w:r>
        <w:t xml:space="preserve">short and long </w:t>
      </w:r>
      <w:r w:rsidRPr="00D6741A">
        <w:t xml:space="preserve">rural </w:t>
      </w:r>
    </w:p>
    <w:p w:rsidR="00870956" w:rsidRDefault="00870956" w:rsidP="00870956">
      <w:pPr>
        <w:pStyle w:val="AERbulletlistfirststyle"/>
        <w:rPr>
          <w:rStyle w:val="AERbody"/>
        </w:rPr>
      </w:pPr>
      <w:r w:rsidRPr="00C16C7B">
        <w:t>set applicable reliability of supply (</w:t>
      </w:r>
      <w:r w:rsidRPr="00D6741A">
        <w:t xml:space="preserve">system average interruption duration index or SAIDI and system average interruption frequency index or SAIFI) and </w:t>
      </w:r>
      <w:r w:rsidRPr="00D6741A">
        <w:rPr>
          <w:rStyle w:val="AERbody"/>
        </w:rPr>
        <w:t>customer service (telephone answering) parameters</w:t>
      </w:r>
    </w:p>
    <w:p w:rsidR="00870956" w:rsidRPr="00D6741A" w:rsidRDefault="00870956" w:rsidP="00870956">
      <w:pPr>
        <w:pStyle w:val="AERbulletlistfirststyle"/>
      </w:pPr>
      <w:r w:rsidRPr="00D6741A">
        <w:t xml:space="preserve">set performance targets based on the </w:t>
      </w:r>
      <w:r>
        <w:t>SA Power Networks'</w:t>
      </w:r>
      <w:r w:rsidRPr="00D6741A">
        <w:t xml:space="preserve"> average performance over the past five regulatory years </w:t>
      </w:r>
    </w:p>
    <w:p w:rsidR="00870956" w:rsidRPr="00D6741A" w:rsidRDefault="00870956" w:rsidP="00870956">
      <w:pPr>
        <w:pStyle w:val="AERbulletlistfirststyle"/>
      </w:pPr>
      <w:r w:rsidRPr="00D6741A">
        <w:t>apply the methodology indicated in the national STPIS for excluding specific events from the calculation of annual performance targets</w:t>
      </w:r>
      <w:r>
        <w:t xml:space="preserve"> (using the natural log method to calculate the major event day for exclusion)</w:t>
      </w:r>
      <w:r w:rsidRPr="00D6741A">
        <w:t xml:space="preserve"> </w:t>
      </w:r>
    </w:p>
    <w:p w:rsidR="00870956" w:rsidRDefault="00870956" w:rsidP="00870956">
      <w:pPr>
        <w:pStyle w:val="AERbulletlistfirststyle"/>
      </w:pPr>
      <w:r w:rsidRPr="00D6741A">
        <w:t>apply the methodology and value of customer reliability (VCR) values to the</w:t>
      </w:r>
      <w:r w:rsidR="009011C1">
        <w:t xml:space="preserve"> calculation of incentive rates</w:t>
      </w:r>
    </w:p>
    <w:p w:rsidR="009011C1" w:rsidRDefault="009011C1" w:rsidP="009011C1">
      <w:pPr>
        <w:pStyle w:val="AERbulletlistfirststyle"/>
      </w:pPr>
      <w:proofErr w:type="gramStart"/>
      <w:r w:rsidRPr="008E25F8">
        <w:t>not</w:t>
      </w:r>
      <w:proofErr w:type="gramEnd"/>
      <w:r w:rsidRPr="008E25F8">
        <w:t xml:space="preserve"> apply the GSL component as SA Power Networks is subject to a jurisdictional GSL scheme</w:t>
      </w:r>
      <w:r>
        <w:t>.</w:t>
      </w:r>
    </w:p>
    <w:p w:rsidR="009011C1" w:rsidRPr="00D6741A" w:rsidRDefault="009011C1" w:rsidP="009011C1">
      <w:pPr>
        <w:pStyle w:val="AERbulletlistfirststyle"/>
        <w:numPr>
          <w:ilvl w:val="0"/>
          <w:numId w:val="0"/>
        </w:numPr>
        <w:ind w:left="357"/>
      </w:pPr>
    </w:p>
    <w:p w:rsidR="0020296D" w:rsidRPr="00914BCE" w:rsidRDefault="0020296D" w:rsidP="0020296D">
      <w:r>
        <w:lastRenderedPageBreak/>
        <w:t xml:space="preserve">In making our </w:t>
      </w:r>
      <w:r w:rsidR="0016386F">
        <w:t>final</w:t>
      </w:r>
      <w:r>
        <w:t xml:space="preserve"> decision on the STPIS, we have taken into account our </w:t>
      </w:r>
      <w:r w:rsidR="000402FE">
        <w:t>framework and approach (</w:t>
      </w:r>
      <w:r>
        <w:t>F&amp;A</w:t>
      </w:r>
      <w:r w:rsidR="000402FE">
        <w:t>) pap</w:t>
      </w:r>
      <w:r>
        <w:t>er, SA Power</w:t>
      </w:r>
      <w:r w:rsidR="00052213">
        <w:t xml:space="preserve"> </w:t>
      </w:r>
      <w:r>
        <w:t>Networks</w:t>
      </w:r>
      <w:r w:rsidR="000402FE">
        <w:t>' initial and revised</w:t>
      </w:r>
      <w:r>
        <w:t xml:space="preserve"> regulatory proposal</w:t>
      </w:r>
      <w:r w:rsidR="000402FE">
        <w:t>s</w:t>
      </w:r>
      <w:r>
        <w:t>, our information requests to SA Power Networks and submissions raised by stakeholders. Our responses to the matters raised by SA Power Networks and stakeholder</w:t>
      </w:r>
      <w:r w:rsidR="000402FE">
        <w:t>s</w:t>
      </w:r>
      <w:r>
        <w:t xml:space="preserve"> about the application of the STPIS are also discussed in this final decision.</w:t>
      </w:r>
    </w:p>
    <w:p w:rsidR="0020296D" w:rsidRDefault="000402FE" w:rsidP="0020296D">
      <w:bookmarkStart w:id="14" w:name="_Toc404362391"/>
      <w:r>
        <w:t>Tables 11.1 and 11.2</w:t>
      </w:r>
      <w:r w:rsidR="0020296D">
        <w:t xml:space="preserve"> </w:t>
      </w:r>
      <w:r w:rsidR="0020296D" w:rsidRPr="000B05E8">
        <w:t xml:space="preserve">present </w:t>
      </w:r>
      <w:r w:rsidR="0020296D">
        <w:t xml:space="preserve">our </w:t>
      </w:r>
      <w:r w:rsidR="00052213">
        <w:t>final</w:t>
      </w:r>
      <w:r w:rsidR="0020296D">
        <w:t xml:space="preserve"> decision on the applicable incentives rates and targets that will be applied to SA Power Networks' STPIS for the 201</w:t>
      </w:r>
      <w:r w:rsidR="00052213">
        <w:t>5</w:t>
      </w:r>
      <w:r w:rsidR="0020296D">
        <w:t xml:space="preserve">–20 regulatory </w:t>
      </w:r>
      <w:r>
        <w:t xml:space="preserve">control </w:t>
      </w:r>
      <w:proofErr w:type="gramStart"/>
      <w:r w:rsidR="0020296D">
        <w:t>period</w:t>
      </w:r>
      <w:proofErr w:type="gramEnd"/>
      <w:r w:rsidR="0020296D">
        <w:t>.</w:t>
      </w:r>
    </w:p>
    <w:p w:rsidR="002E13B7" w:rsidRDefault="002E13B7" w:rsidP="0020296D">
      <w:r w:rsidRPr="002A3A62">
        <w:t xml:space="preserve">The incentive rate for the </w:t>
      </w:r>
      <w:r>
        <w:t xml:space="preserve">customer service component </w:t>
      </w:r>
      <w:r w:rsidRPr="002A3A62">
        <w:t xml:space="preserve">will be </w:t>
      </w:r>
      <w:r w:rsidR="000402FE">
        <w:rPr>
          <w:rFonts w:cs="Arial"/>
        </w:rPr>
        <w:t>─</w:t>
      </w:r>
      <w:r>
        <w:t>0.040</w:t>
      </w:r>
      <w:r w:rsidRPr="002A3A62">
        <w:t xml:space="preserve"> per cent per unit of the telephone answering parameter.</w:t>
      </w:r>
      <w:r>
        <w:t xml:space="preserve"> </w:t>
      </w:r>
    </w:p>
    <w:p w:rsidR="0020296D" w:rsidRPr="00A946AA" w:rsidRDefault="00052213" w:rsidP="00052213">
      <w:pPr>
        <w:pStyle w:val="Caption"/>
      </w:pPr>
      <w:bookmarkStart w:id="15" w:name="_Ref430165095"/>
      <w:bookmarkStart w:id="16" w:name="_Ref417394504"/>
      <w:r>
        <w:t xml:space="preserve">Table </w:t>
      </w:r>
      <w:bookmarkEnd w:id="15"/>
      <w:r w:rsidR="000402FE">
        <w:t>11.1</w:t>
      </w:r>
      <w:r>
        <w:tab/>
      </w:r>
      <w:r w:rsidR="000402FE">
        <w:t xml:space="preserve">AER final decision on </w:t>
      </w:r>
      <w:r w:rsidR="0020296D">
        <w:t>STPIS i</w:t>
      </w:r>
      <w:r w:rsidR="0020296D" w:rsidRPr="00A946AA">
        <w:t>ncentive rates</w:t>
      </w:r>
      <w:r w:rsidR="0020296D">
        <w:t xml:space="preserve"> for SA Power Networks</w:t>
      </w:r>
      <w:r w:rsidR="0020296D" w:rsidRPr="00A946AA">
        <w:t xml:space="preserve"> </w:t>
      </w:r>
      <w:r w:rsidR="0020296D">
        <w:t>for the 2015–20</w:t>
      </w:r>
      <w:bookmarkEnd w:id="16"/>
      <w:r w:rsidR="0020296D">
        <w:t xml:space="preserve"> regulatory </w:t>
      </w:r>
      <w:r w:rsidR="000402FE">
        <w:t xml:space="preserve">control </w:t>
      </w:r>
      <w:proofErr w:type="gramStart"/>
      <w:r w:rsidR="0020296D">
        <w:t>period</w:t>
      </w:r>
      <w:proofErr w:type="gramEnd"/>
    </w:p>
    <w:tbl>
      <w:tblPr>
        <w:tblStyle w:val="AERtable-numbers"/>
        <w:tblW w:w="5000" w:type="pct"/>
        <w:tblLook w:val="04A0" w:firstRow="1" w:lastRow="0" w:firstColumn="1" w:lastColumn="0" w:noHBand="0" w:noVBand="1"/>
      </w:tblPr>
      <w:tblGrid>
        <w:gridCol w:w="1345"/>
        <w:gridCol w:w="1240"/>
        <w:gridCol w:w="2036"/>
        <w:gridCol w:w="2036"/>
        <w:gridCol w:w="2036"/>
      </w:tblGrid>
      <w:tr w:rsidR="0020296D" w:rsidRPr="00A946AA" w:rsidTr="0005221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pct"/>
            <w:hideMark/>
          </w:tcPr>
          <w:p w:rsidR="0020296D" w:rsidRPr="0020296D" w:rsidRDefault="0020296D" w:rsidP="0020296D">
            <w:pPr>
              <w:pStyle w:val="Tabletext-centred"/>
            </w:pPr>
            <w:r w:rsidRPr="00A946AA">
              <w:t> </w:t>
            </w:r>
          </w:p>
        </w:tc>
        <w:tc>
          <w:tcPr>
            <w:tcW w:w="713" w:type="pct"/>
            <w:hideMark/>
          </w:tcPr>
          <w:p w:rsidR="0020296D" w:rsidRPr="0020296D" w:rsidRDefault="0020296D" w:rsidP="0020296D">
            <w:pPr>
              <w:pStyle w:val="AERtabletextright"/>
              <w:cnfStyle w:val="100000000000" w:firstRow="1" w:lastRow="0" w:firstColumn="0" w:lastColumn="0" w:oddVBand="0" w:evenVBand="0" w:oddHBand="0" w:evenHBand="0" w:firstRowFirstColumn="0" w:firstRowLastColumn="0" w:lastRowFirstColumn="0" w:lastRowLastColumn="0"/>
            </w:pPr>
            <w:r>
              <w:t>CBD</w:t>
            </w:r>
            <w:r w:rsidRPr="0020296D">
              <w:t xml:space="preserve"> </w:t>
            </w:r>
          </w:p>
        </w:tc>
        <w:tc>
          <w:tcPr>
            <w:tcW w:w="1171" w:type="pct"/>
          </w:tcPr>
          <w:p w:rsidR="0020296D" w:rsidRPr="0020296D" w:rsidRDefault="0020296D" w:rsidP="0020296D">
            <w:pPr>
              <w:pStyle w:val="AERtabletextright"/>
              <w:cnfStyle w:val="100000000000" w:firstRow="1" w:lastRow="0" w:firstColumn="0" w:lastColumn="0" w:oddVBand="0" w:evenVBand="0" w:oddHBand="0" w:evenHBand="0" w:firstRowFirstColumn="0" w:firstRowLastColumn="0" w:lastRowFirstColumn="0" w:lastRowLastColumn="0"/>
            </w:pPr>
            <w:r>
              <w:t>Urban</w:t>
            </w:r>
          </w:p>
        </w:tc>
        <w:tc>
          <w:tcPr>
            <w:tcW w:w="1171" w:type="pct"/>
          </w:tcPr>
          <w:p w:rsidR="0020296D" w:rsidRDefault="0020296D" w:rsidP="0020296D">
            <w:pPr>
              <w:pStyle w:val="AERtabletextright"/>
              <w:cnfStyle w:val="100000000000" w:firstRow="1" w:lastRow="0" w:firstColumn="0" w:lastColumn="0" w:oddVBand="0" w:evenVBand="0" w:oddHBand="0" w:evenHBand="0" w:firstRowFirstColumn="0" w:firstRowLastColumn="0" w:lastRowFirstColumn="0" w:lastRowLastColumn="0"/>
            </w:pPr>
            <w:r>
              <w:t>Rural short</w:t>
            </w:r>
          </w:p>
        </w:tc>
        <w:tc>
          <w:tcPr>
            <w:tcW w:w="1171" w:type="pct"/>
          </w:tcPr>
          <w:p w:rsidR="0020296D" w:rsidRDefault="0020296D" w:rsidP="0020296D">
            <w:pPr>
              <w:pStyle w:val="AERtabletextright"/>
              <w:cnfStyle w:val="100000000000" w:firstRow="1" w:lastRow="0" w:firstColumn="0" w:lastColumn="0" w:oddVBand="0" w:evenVBand="0" w:oddHBand="0" w:evenHBand="0" w:firstRowFirstColumn="0" w:firstRowLastColumn="0" w:lastRowFirstColumn="0" w:lastRowLastColumn="0"/>
            </w:pPr>
            <w:r>
              <w:t>Rural long</w:t>
            </w:r>
          </w:p>
        </w:tc>
      </w:tr>
      <w:tr w:rsidR="00FC54C1" w:rsidRPr="00FC54C1" w:rsidTr="00DD1870">
        <w:trPr>
          <w:trHeight w:val="465"/>
        </w:trPr>
        <w:tc>
          <w:tcPr>
            <w:cnfStyle w:val="001000000000" w:firstRow="0" w:lastRow="0" w:firstColumn="1" w:lastColumn="0" w:oddVBand="0" w:evenVBand="0" w:oddHBand="0" w:evenHBand="0" w:firstRowFirstColumn="0" w:firstRowLastColumn="0" w:lastRowFirstColumn="0" w:lastRowLastColumn="0"/>
            <w:tcW w:w="774" w:type="pct"/>
            <w:hideMark/>
          </w:tcPr>
          <w:p w:rsidR="00FC54C1" w:rsidRPr="00FC54C1" w:rsidRDefault="00FC54C1" w:rsidP="00FC54C1">
            <w:pPr>
              <w:rPr>
                <w:rStyle w:val="AERbody"/>
              </w:rPr>
            </w:pPr>
            <w:r w:rsidRPr="00FC54C1">
              <w:rPr>
                <w:rStyle w:val="AERbody"/>
              </w:rPr>
              <w:t>SAIDI</w:t>
            </w:r>
          </w:p>
        </w:tc>
        <w:tc>
          <w:tcPr>
            <w:tcW w:w="713" w:type="pct"/>
            <w:vAlign w:val="top"/>
          </w:tcPr>
          <w:p w:rsidR="00FC54C1" w:rsidRPr="00FC54C1" w:rsidRDefault="00FC54C1" w:rsidP="00DD1870">
            <w:pPr>
              <w:cnfStyle w:val="000000000000" w:firstRow="0" w:lastRow="0" w:firstColumn="0" w:lastColumn="0" w:oddVBand="0" w:evenVBand="0" w:oddHBand="0" w:evenHBand="0" w:firstRowFirstColumn="0" w:firstRowLastColumn="0" w:lastRowFirstColumn="0" w:lastRowLastColumn="0"/>
              <w:rPr>
                <w:rStyle w:val="AERbody"/>
              </w:rPr>
            </w:pPr>
            <w:r w:rsidRPr="00FC54C1">
              <w:rPr>
                <w:rStyle w:val="AERbody"/>
              </w:rPr>
              <w:t>0.0030</w:t>
            </w:r>
          </w:p>
        </w:tc>
        <w:tc>
          <w:tcPr>
            <w:tcW w:w="1171" w:type="pct"/>
            <w:vAlign w:val="top"/>
          </w:tcPr>
          <w:p w:rsidR="00FC54C1" w:rsidRPr="00FC54C1" w:rsidRDefault="00FC54C1" w:rsidP="00DD1870">
            <w:pPr>
              <w:cnfStyle w:val="000000000000" w:firstRow="0" w:lastRow="0" w:firstColumn="0" w:lastColumn="0" w:oddVBand="0" w:evenVBand="0" w:oddHBand="0" w:evenHBand="0" w:firstRowFirstColumn="0" w:firstRowLastColumn="0" w:lastRowFirstColumn="0" w:lastRowLastColumn="0"/>
              <w:rPr>
                <w:rStyle w:val="AERbody"/>
              </w:rPr>
            </w:pPr>
            <w:r w:rsidRPr="00FC54C1">
              <w:rPr>
                <w:rStyle w:val="AERbody"/>
              </w:rPr>
              <w:t>0.0365</w:t>
            </w:r>
          </w:p>
        </w:tc>
        <w:tc>
          <w:tcPr>
            <w:tcW w:w="1171" w:type="pct"/>
            <w:vAlign w:val="top"/>
          </w:tcPr>
          <w:p w:rsidR="00FC54C1" w:rsidRPr="00FC54C1" w:rsidRDefault="00FC54C1" w:rsidP="00DD1870">
            <w:pPr>
              <w:cnfStyle w:val="000000000000" w:firstRow="0" w:lastRow="0" w:firstColumn="0" w:lastColumn="0" w:oddVBand="0" w:evenVBand="0" w:oddHBand="0" w:evenHBand="0" w:firstRowFirstColumn="0" w:firstRowLastColumn="0" w:lastRowFirstColumn="0" w:lastRowLastColumn="0"/>
              <w:rPr>
                <w:rStyle w:val="AERbody"/>
              </w:rPr>
            </w:pPr>
            <w:r w:rsidRPr="00FC54C1">
              <w:rPr>
                <w:rStyle w:val="AERbody"/>
              </w:rPr>
              <w:t>0.0070</w:t>
            </w:r>
          </w:p>
        </w:tc>
        <w:tc>
          <w:tcPr>
            <w:tcW w:w="1171" w:type="pct"/>
            <w:vAlign w:val="top"/>
          </w:tcPr>
          <w:p w:rsidR="00FC54C1" w:rsidRPr="00FC54C1" w:rsidRDefault="00FC54C1" w:rsidP="00DD1870">
            <w:pPr>
              <w:cnfStyle w:val="000000000000" w:firstRow="0" w:lastRow="0" w:firstColumn="0" w:lastColumn="0" w:oddVBand="0" w:evenVBand="0" w:oddHBand="0" w:evenHBand="0" w:firstRowFirstColumn="0" w:firstRowLastColumn="0" w:lastRowFirstColumn="0" w:lastRowLastColumn="0"/>
              <w:rPr>
                <w:rStyle w:val="AERbody"/>
              </w:rPr>
            </w:pPr>
            <w:r w:rsidRPr="00FC54C1">
              <w:rPr>
                <w:rStyle w:val="AERbody"/>
              </w:rPr>
              <w:t>0.0072</w:t>
            </w:r>
          </w:p>
        </w:tc>
      </w:tr>
      <w:tr w:rsidR="00FC54C1" w:rsidRPr="00FC54C1" w:rsidTr="00DD187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774" w:type="pct"/>
          </w:tcPr>
          <w:p w:rsidR="00FC54C1" w:rsidRPr="00FC54C1" w:rsidRDefault="00FC54C1" w:rsidP="00FC54C1">
            <w:pPr>
              <w:rPr>
                <w:rStyle w:val="AERbody"/>
              </w:rPr>
            </w:pPr>
            <w:r w:rsidRPr="00FC54C1">
              <w:rPr>
                <w:rStyle w:val="AERbody"/>
              </w:rPr>
              <w:t>SAIFI</w:t>
            </w:r>
          </w:p>
        </w:tc>
        <w:tc>
          <w:tcPr>
            <w:tcW w:w="713" w:type="pct"/>
            <w:vAlign w:val="top"/>
          </w:tcPr>
          <w:p w:rsidR="00FC54C1" w:rsidRPr="00FC54C1" w:rsidRDefault="00FC54C1" w:rsidP="00DD1870">
            <w:pPr>
              <w:cnfStyle w:val="000000010000" w:firstRow="0" w:lastRow="0" w:firstColumn="0" w:lastColumn="0" w:oddVBand="0" w:evenVBand="0" w:oddHBand="0" w:evenHBand="1" w:firstRowFirstColumn="0" w:firstRowLastColumn="0" w:lastRowFirstColumn="0" w:lastRowLastColumn="0"/>
              <w:rPr>
                <w:rStyle w:val="AERbody"/>
              </w:rPr>
            </w:pPr>
            <w:r w:rsidRPr="00FC54C1">
              <w:rPr>
                <w:rStyle w:val="AERbody"/>
              </w:rPr>
              <w:t>0.2557</w:t>
            </w:r>
          </w:p>
        </w:tc>
        <w:tc>
          <w:tcPr>
            <w:tcW w:w="1171" w:type="pct"/>
            <w:vAlign w:val="top"/>
          </w:tcPr>
          <w:p w:rsidR="00FC54C1" w:rsidRPr="00FC54C1" w:rsidRDefault="00FC54C1" w:rsidP="00DD1870">
            <w:pPr>
              <w:cnfStyle w:val="000000010000" w:firstRow="0" w:lastRow="0" w:firstColumn="0" w:lastColumn="0" w:oddVBand="0" w:evenVBand="0" w:oddHBand="0" w:evenHBand="1" w:firstRowFirstColumn="0" w:firstRowLastColumn="0" w:lastRowFirstColumn="0" w:lastRowLastColumn="0"/>
              <w:rPr>
                <w:rStyle w:val="AERbody"/>
              </w:rPr>
            </w:pPr>
            <w:r w:rsidRPr="00FC54C1">
              <w:rPr>
                <w:rStyle w:val="AERbody"/>
              </w:rPr>
              <w:t>3.3786</w:t>
            </w:r>
          </w:p>
        </w:tc>
        <w:tc>
          <w:tcPr>
            <w:tcW w:w="1171" w:type="pct"/>
            <w:vAlign w:val="top"/>
          </w:tcPr>
          <w:p w:rsidR="00FC54C1" w:rsidRPr="00FC54C1" w:rsidRDefault="00FC54C1" w:rsidP="00DD1870">
            <w:pPr>
              <w:cnfStyle w:val="000000010000" w:firstRow="0" w:lastRow="0" w:firstColumn="0" w:lastColumn="0" w:oddVBand="0" w:evenVBand="0" w:oddHBand="0" w:evenHBand="1" w:firstRowFirstColumn="0" w:firstRowLastColumn="0" w:lastRowFirstColumn="0" w:lastRowLastColumn="0"/>
              <w:rPr>
                <w:rStyle w:val="AERbody"/>
              </w:rPr>
            </w:pPr>
            <w:r w:rsidRPr="00FC54C1">
              <w:rPr>
                <w:rStyle w:val="AERbody"/>
              </w:rPr>
              <w:t>0.9122</w:t>
            </w:r>
          </w:p>
        </w:tc>
        <w:tc>
          <w:tcPr>
            <w:tcW w:w="1171" w:type="pct"/>
            <w:vAlign w:val="top"/>
          </w:tcPr>
          <w:p w:rsidR="00FC54C1" w:rsidRPr="00FC54C1" w:rsidRDefault="00FC54C1" w:rsidP="00DD1870">
            <w:pPr>
              <w:cnfStyle w:val="000000010000" w:firstRow="0" w:lastRow="0" w:firstColumn="0" w:lastColumn="0" w:oddVBand="0" w:evenVBand="0" w:oddHBand="0" w:evenHBand="1" w:firstRowFirstColumn="0" w:firstRowLastColumn="0" w:lastRowFirstColumn="0" w:lastRowLastColumn="0"/>
              <w:rPr>
                <w:rStyle w:val="AERbody"/>
              </w:rPr>
            </w:pPr>
            <w:r w:rsidRPr="00FC54C1">
              <w:rPr>
                <w:rStyle w:val="AERbody"/>
              </w:rPr>
              <w:t>1.2094</w:t>
            </w:r>
          </w:p>
        </w:tc>
      </w:tr>
    </w:tbl>
    <w:p w:rsidR="00A80907" w:rsidRPr="00A80907" w:rsidRDefault="0020296D" w:rsidP="00A80907">
      <w:pPr>
        <w:pStyle w:val="AERtablesource"/>
      </w:pPr>
      <w:r w:rsidRPr="008D275F">
        <w:t>Source:</w:t>
      </w:r>
      <w:r w:rsidRPr="008D275F">
        <w:tab/>
        <w:t>AER Analysis.</w:t>
      </w:r>
    </w:p>
    <w:p w:rsidR="0020296D" w:rsidRDefault="00052213" w:rsidP="00052213">
      <w:pPr>
        <w:pStyle w:val="Caption"/>
      </w:pPr>
      <w:bookmarkStart w:id="17" w:name="_Ref430165103"/>
      <w:r>
        <w:t xml:space="preserve">Table </w:t>
      </w:r>
      <w:fldSimple w:instr=" STYLEREF 1 \s ">
        <w:r w:rsidR="00FC54C1">
          <w:rPr>
            <w:noProof/>
          </w:rPr>
          <w:t>11</w:t>
        </w:r>
      </w:fldSimple>
      <w:bookmarkEnd w:id="17"/>
      <w:r w:rsidR="000402FE">
        <w:t>.2</w:t>
      </w:r>
      <w:r>
        <w:tab/>
      </w:r>
      <w:r w:rsidR="000402FE">
        <w:t xml:space="preserve">AER final decision on </w:t>
      </w:r>
      <w:r w:rsidR="0020296D">
        <w:t xml:space="preserve">STPIS reliability targets for SA Power Networks for the 2015–20 regulatory </w:t>
      </w:r>
      <w:r w:rsidR="000402FE">
        <w:t xml:space="preserve">control </w:t>
      </w:r>
      <w:r w:rsidR="0020296D">
        <w:t>period</w:t>
      </w:r>
    </w:p>
    <w:tbl>
      <w:tblPr>
        <w:tblStyle w:val="AERtable-numbers"/>
        <w:tblW w:w="5000" w:type="pct"/>
        <w:tblLook w:val="04A0" w:firstRow="1" w:lastRow="0" w:firstColumn="1" w:lastColumn="0" w:noHBand="0" w:noVBand="1"/>
      </w:tblPr>
      <w:tblGrid>
        <w:gridCol w:w="3769"/>
        <w:gridCol w:w="4924"/>
      </w:tblGrid>
      <w:tr w:rsidR="0020296D" w:rsidRPr="00670E6D" w:rsidTr="0050723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8" w:type="pct"/>
            <w:hideMark/>
          </w:tcPr>
          <w:p w:rsidR="0020296D" w:rsidRPr="00670E6D" w:rsidRDefault="0020296D" w:rsidP="00A80907">
            <w:pPr>
              <w:pStyle w:val="AERbodytextnospaceleftalign"/>
            </w:pPr>
          </w:p>
        </w:tc>
        <w:tc>
          <w:tcPr>
            <w:tcW w:w="2832" w:type="pct"/>
          </w:tcPr>
          <w:p w:rsidR="0020296D" w:rsidRPr="0020296D" w:rsidRDefault="0020296D" w:rsidP="00886EB5">
            <w:pPr>
              <w:pStyle w:val="AERtabletextright"/>
              <w:cnfStyle w:val="100000000000" w:firstRow="1" w:lastRow="0" w:firstColumn="0" w:lastColumn="0" w:oddVBand="0" w:evenVBand="0" w:oddHBand="0" w:evenHBand="0" w:firstRowFirstColumn="0" w:firstRowLastColumn="0" w:lastRowFirstColumn="0" w:lastRowLastColumn="0"/>
            </w:pPr>
            <w:r w:rsidRPr="0020296D">
              <w:t>value</w:t>
            </w:r>
          </w:p>
        </w:tc>
      </w:tr>
      <w:tr w:rsidR="00CE0D7A" w:rsidRPr="00670E6D" w:rsidTr="00507234">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CE0D7A" w:rsidRPr="00CE0D7A" w:rsidRDefault="00CE0D7A" w:rsidP="00A80907">
            <w:pPr>
              <w:pStyle w:val="AERbodytextnospaceleftalign"/>
              <w:rPr>
                <w:rStyle w:val="Strong"/>
              </w:rPr>
            </w:pPr>
            <w:r w:rsidRPr="00CE0D7A">
              <w:rPr>
                <w:rStyle w:val="Strong"/>
              </w:rPr>
              <w:t>CBD</w:t>
            </w:r>
          </w:p>
        </w:tc>
        <w:tc>
          <w:tcPr>
            <w:tcW w:w="2832" w:type="pct"/>
          </w:tcPr>
          <w:p w:rsidR="00CE0D7A" w:rsidRPr="0020296D" w:rsidRDefault="00CE0D7A" w:rsidP="00886EB5">
            <w:pPr>
              <w:pStyle w:val="AERtabletextright"/>
              <w:cnfStyle w:val="000000000000" w:firstRow="0" w:lastRow="0" w:firstColumn="0" w:lastColumn="0" w:oddVBand="0" w:evenVBand="0" w:oddHBand="0" w:evenHBand="0" w:firstRowFirstColumn="0" w:firstRowLastColumn="0" w:lastRowFirstColumn="0" w:lastRowLastColumn="0"/>
            </w:pPr>
          </w:p>
        </w:tc>
      </w:tr>
      <w:tr w:rsidR="00DE66CF" w:rsidRPr="00670E6D" w:rsidTr="0004707E">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hideMark/>
          </w:tcPr>
          <w:p w:rsidR="00DE66CF" w:rsidRPr="00DE66CF" w:rsidRDefault="00DE66CF" w:rsidP="00A80907">
            <w:pPr>
              <w:pStyle w:val="AERbodytextnospaceleftalign"/>
            </w:pPr>
            <w:r w:rsidRPr="00DE66CF">
              <w:t>SAIDI</w:t>
            </w:r>
          </w:p>
        </w:tc>
        <w:tc>
          <w:tcPr>
            <w:tcW w:w="2832" w:type="pct"/>
            <w:vAlign w:val="bottom"/>
          </w:tcPr>
          <w:p w:rsidR="00DE66CF" w:rsidRPr="00DE66CF" w:rsidRDefault="00DE66CF" w:rsidP="00886EB5">
            <w:pPr>
              <w:pStyle w:val="AERtabletextright"/>
              <w:cnfStyle w:val="000000010000" w:firstRow="0" w:lastRow="0" w:firstColumn="0" w:lastColumn="0" w:oddVBand="0" w:evenVBand="0" w:oddHBand="0" w:evenHBand="1" w:firstRowFirstColumn="0" w:firstRowLastColumn="0" w:lastRowFirstColumn="0" w:lastRowLastColumn="0"/>
            </w:pPr>
            <w:r w:rsidRPr="00DE66CF">
              <w:t>12.48</w:t>
            </w:r>
          </w:p>
        </w:tc>
      </w:tr>
      <w:tr w:rsidR="00DE66CF" w:rsidRPr="00670E6D" w:rsidTr="0004707E">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DE66CF" w:rsidRPr="00DE66CF" w:rsidRDefault="00DE66CF" w:rsidP="00A80907">
            <w:pPr>
              <w:pStyle w:val="AERbodytextnospaceleftalign"/>
            </w:pPr>
            <w:r w:rsidRPr="00DE66CF">
              <w:t>SAIFI</w:t>
            </w:r>
          </w:p>
        </w:tc>
        <w:tc>
          <w:tcPr>
            <w:tcW w:w="2832" w:type="pct"/>
            <w:vAlign w:val="bottom"/>
          </w:tcPr>
          <w:p w:rsidR="00DE66CF" w:rsidRPr="00DE66CF" w:rsidRDefault="00DE66CF" w:rsidP="00886EB5">
            <w:pPr>
              <w:pStyle w:val="AERtabletextright"/>
              <w:cnfStyle w:val="000000000000" w:firstRow="0" w:lastRow="0" w:firstColumn="0" w:lastColumn="0" w:oddVBand="0" w:evenVBand="0" w:oddHBand="0" w:evenHBand="0" w:firstRowFirstColumn="0" w:firstRowLastColumn="0" w:lastRowFirstColumn="0" w:lastRowLastColumn="0"/>
            </w:pPr>
            <w:r w:rsidRPr="00DE66CF">
              <w:t>0.13</w:t>
            </w:r>
            <w:r w:rsidR="009B2700">
              <w:t>2</w:t>
            </w:r>
          </w:p>
        </w:tc>
      </w:tr>
      <w:tr w:rsidR="0020296D" w:rsidRPr="00670E6D" w:rsidTr="00507234">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20296D" w:rsidRPr="0020296D" w:rsidRDefault="0020296D" w:rsidP="00A80907">
            <w:pPr>
              <w:pStyle w:val="AERbodytextnospaceleftalign"/>
              <w:rPr>
                <w:rStyle w:val="Strong"/>
              </w:rPr>
            </w:pPr>
            <w:r w:rsidRPr="0020296D">
              <w:rPr>
                <w:rStyle w:val="Strong"/>
              </w:rPr>
              <w:t>Urban</w:t>
            </w:r>
          </w:p>
        </w:tc>
        <w:tc>
          <w:tcPr>
            <w:tcW w:w="2832" w:type="pct"/>
          </w:tcPr>
          <w:p w:rsidR="0020296D" w:rsidRPr="0020296D" w:rsidRDefault="0020296D" w:rsidP="00886EB5">
            <w:pPr>
              <w:pStyle w:val="AERtabletextright"/>
              <w:cnfStyle w:val="000000010000" w:firstRow="0" w:lastRow="0" w:firstColumn="0" w:lastColumn="0" w:oddVBand="0" w:evenVBand="0" w:oddHBand="0" w:evenHBand="1" w:firstRowFirstColumn="0" w:firstRowLastColumn="0" w:lastRowFirstColumn="0" w:lastRowLastColumn="0"/>
            </w:pPr>
          </w:p>
        </w:tc>
      </w:tr>
      <w:tr w:rsidR="00DE66CF" w:rsidRPr="00670E6D" w:rsidTr="0004707E">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DE66CF" w:rsidRPr="00DE66CF" w:rsidRDefault="00DE66CF" w:rsidP="00A80907">
            <w:pPr>
              <w:pStyle w:val="AERbodytextnospaceleftalign"/>
            </w:pPr>
            <w:r w:rsidRPr="00DE66CF">
              <w:t>SAIDI</w:t>
            </w:r>
          </w:p>
        </w:tc>
        <w:tc>
          <w:tcPr>
            <w:tcW w:w="2832" w:type="pct"/>
            <w:vAlign w:val="bottom"/>
          </w:tcPr>
          <w:p w:rsidR="00DE66CF" w:rsidRPr="00DE66CF" w:rsidRDefault="00DE66CF" w:rsidP="00886EB5">
            <w:pPr>
              <w:pStyle w:val="AERtabletextright"/>
              <w:cnfStyle w:val="000000000000" w:firstRow="0" w:lastRow="0" w:firstColumn="0" w:lastColumn="0" w:oddVBand="0" w:evenVBand="0" w:oddHBand="0" w:evenHBand="0" w:firstRowFirstColumn="0" w:firstRowLastColumn="0" w:lastRowFirstColumn="0" w:lastRowLastColumn="0"/>
            </w:pPr>
            <w:r w:rsidRPr="00DE66CF">
              <w:t>121.50</w:t>
            </w:r>
          </w:p>
        </w:tc>
      </w:tr>
      <w:tr w:rsidR="00DE66CF" w:rsidRPr="00670E6D" w:rsidTr="0004707E">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DE66CF" w:rsidRPr="00DE66CF" w:rsidRDefault="00DE66CF" w:rsidP="00A80907">
            <w:pPr>
              <w:pStyle w:val="AERbodytextnospaceleftalign"/>
            </w:pPr>
            <w:r w:rsidRPr="00DE66CF">
              <w:t>SAIFI</w:t>
            </w:r>
          </w:p>
        </w:tc>
        <w:tc>
          <w:tcPr>
            <w:tcW w:w="2832" w:type="pct"/>
            <w:vAlign w:val="bottom"/>
          </w:tcPr>
          <w:p w:rsidR="00DE66CF" w:rsidRPr="00DE66CF" w:rsidRDefault="00DE66CF" w:rsidP="00886EB5">
            <w:pPr>
              <w:pStyle w:val="AERtabletextright"/>
              <w:cnfStyle w:val="000000010000" w:firstRow="0" w:lastRow="0" w:firstColumn="0" w:lastColumn="0" w:oddVBand="0" w:evenVBand="0" w:oddHBand="0" w:evenHBand="1" w:firstRowFirstColumn="0" w:firstRowLastColumn="0" w:lastRowFirstColumn="0" w:lastRowLastColumn="0"/>
            </w:pPr>
            <w:r w:rsidRPr="00DE66CF">
              <w:t>1.35</w:t>
            </w:r>
            <w:r w:rsidR="009B2700">
              <w:t>3</w:t>
            </w:r>
          </w:p>
        </w:tc>
      </w:tr>
      <w:tr w:rsidR="0020296D" w:rsidRPr="00670E6D" w:rsidTr="00507234">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20296D" w:rsidRPr="0020296D" w:rsidRDefault="0020296D" w:rsidP="00A80907">
            <w:pPr>
              <w:pStyle w:val="AERbodytextnospaceleftalign"/>
              <w:rPr>
                <w:rStyle w:val="Strong"/>
              </w:rPr>
            </w:pPr>
            <w:r w:rsidRPr="0020296D">
              <w:rPr>
                <w:rStyle w:val="Strong"/>
              </w:rPr>
              <w:t>Rural short</w:t>
            </w:r>
          </w:p>
        </w:tc>
        <w:tc>
          <w:tcPr>
            <w:tcW w:w="2832" w:type="pct"/>
          </w:tcPr>
          <w:p w:rsidR="0020296D" w:rsidRPr="0020296D" w:rsidRDefault="0020296D" w:rsidP="00886EB5">
            <w:pPr>
              <w:pStyle w:val="AERtabletextright"/>
              <w:cnfStyle w:val="000000000000" w:firstRow="0" w:lastRow="0" w:firstColumn="0" w:lastColumn="0" w:oddVBand="0" w:evenVBand="0" w:oddHBand="0" w:evenHBand="0" w:firstRowFirstColumn="0" w:firstRowLastColumn="0" w:lastRowFirstColumn="0" w:lastRowLastColumn="0"/>
            </w:pPr>
          </w:p>
        </w:tc>
      </w:tr>
      <w:tr w:rsidR="00DE66CF" w:rsidRPr="00670E6D" w:rsidTr="0004707E">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DE66CF" w:rsidRPr="00DE66CF" w:rsidRDefault="00DE66CF" w:rsidP="00A80907">
            <w:pPr>
              <w:pStyle w:val="AERbodytextnospaceleftalign"/>
            </w:pPr>
            <w:r w:rsidRPr="00DE66CF">
              <w:t>SAIDI</w:t>
            </w:r>
          </w:p>
        </w:tc>
        <w:tc>
          <w:tcPr>
            <w:tcW w:w="2832" w:type="pct"/>
            <w:vAlign w:val="bottom"/>
          </w:tcPr>
          <w:p w:rsidR="00DE66CF" w:rsidRPr="00DE66CF" w:rsidRDefault="00DE66CF" w:rsidP="00886EB5">
            <w:pPr>
              <w:pStyle w:val="AERtabletextright"/>
              <w:cnfStyle w:val="000000010000" w:firstRow="0" w:lastRow="0" w:firstColumn="0" w:lastColumn="0" w:oddVBand="0" w:evenVBand="0" w:oddHBand="0" w:evenHBand="1" w:firstRowFirstColumn="0" w:firstRowLastColumn="0" w:lastRowFirstColumn="0" w:lastRowLastColumn="0"/>
            </w:pPr>
            <w:r w:rsidRPr="00DE66CF">
              <w:t>231.06</w:t>
            </w:r>
          </w:p>
        </w:tc>
      </w:tr>
      <w:tr w:rsidR="00DE66CF" w:rsidRPr="00670E6D" w:rsidTr="0004707E">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DE66CF" w:rsidRPr="00DE66CF" w:rsidRDefault="00DE66CF" w:rsidP="00A80907">
            <w:pPr>
              <w:pStyle w:val="AERbodytextnospaceleftalign"/>
            </w:pPr>
            <w:r w:rsidRPr="00DE66CF">
              <w:t>SAIFI</w:t>
            </w:r>
          </w:p>
        </w:tc>
        <w:tc>
          <w:tcPr>
            <w:tcW w:w="2832" w:type="pct"/>
            <w:vAlign w:val="bottom"/>
          </w:tcPr>
          <w:p w:rsidR="00DE66CF" w:rsidRPr="00DE66CF" w:rsidRDefault="00DE66CF" w:rsidP="00886EB5">
            <w:pPr>
              <w:pStyle w:val="AERtabletextright"/>
              <w:cnfStyle w:val="000000000000" w:firstRow="0" w:lastRow="0" w:firstColumn="0" w:lastColumn="0" w:oddVBand="0" w:evenVBand="0" w:oddHBand="0" w:evenHBand="0" w:firstRowFirstColumn="0" w:firstRowLastColumn="0" w:lastRowFirstColumn="0" w:lastRowLastColumn="0"/>
            </w:pPr>
            <w:r w:rsidRPr="00DE66CF">
              <w:t>1.93</w:t>
            </w:r>
            <w:r w:rsidR="009B2700">
              <w:t>0</w:t>
            </w:r>
          </w:p>
        </w:tc>
      </w:tr>
      <w:tr w:rsidR="00CE0D7A" w:rsidRPr="00670E6D" w:rsidTr="00507234">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CE0D7A" w:rsidRPr="00CE0D7A" w:rsidRDefault="00CE0D7A" w:rsidP="00A80907">
            <w:pPr>
              <w:pStyle w:val="AERbodytextnospaceleftalign"/>
              <w:rPr>
                <w:rStyle w:val="Strong"/>
              </w:rPr>
            </w:pPr>
            <w:r w:rsidRPr="00CE0D7A">
              <w:rPr>
                <w:rStyle w:val="Strong"/>
              </w:rPr>
              <w:t>Rural long</w:t>
            </w:r>
          </w:p>
        </w:tc>
        <w:tc>
          <w:tcPr>
            <w:tcW w:w="2832" w:type="pct"/>
          </w:tcPr>
          <w:p w:rsidR="00CE0D7A" w:rsidRPr="0020296D" w:rsidRDefault="00CE0D7A" w:rsidP="00886EB5">
            <w:pPr>
              <w:pStyle w:val="AERtabletextright"/>
              <w:cnfStyle w:val="000000010000" w:firstRow="0" w:lastRow="0" w:firstColumn="0" w:lastColumn="0" w:oddVBand="0" w:evenVBand="0" w:oddHBand="0" w:evenHBand="1" w:firstRowFirstColumn="0" w:firstRowLastColumn="0" w:lastRowFirstColumn="0" w:lastRowLastColumn="0"/>
            </w:pPr>
          </w:p>
        </w:tc>
      </w:tr>
      <w:tr w:rsidR="00DE66CF" w:rsidRPr="00670E6D" w:rsidTr="0004707E">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DE66CF" w:rsidRPr="00DE66CF" w:rsidRDefault="00DE66CF" w:rsidP="00A80907">
            <w:pPr>
              <w:pStyle w:val="AERbodytextnospaceleftalign"/>
            </w:pPr>
            <w:r w:rsidRPr="00DE66CF">
              <w:t>SAIDI</w:t>
            </w:r>
          </w:p>
        </w:tc>
        <w:tc>
          <w:tcPr>
            <w:tcW w:w="2832" w:type="pct"/>
            <w:vAlign w:val="bottom"/>
          </w:tcPr>
          <w:p w:rsidR="00DE66CF" w:rsidRPr="00DE66CF" w:rsidRDefault="00DE66CF" w:rsidP="00886EB5">
            <w:pPr>
              <w:pStyle w:val="AERtabletextright"/>
              <w:cnfStyle w:val="000000000000" w:firstRow="0" w:lastRow="0" w:firstColumn="0" w:lastColumn="0" w:oddVBand="0" w:evenVBand="0" w:oddHBand="0" w:evenHBand="0" w:firstRowFirstColumn="0" w:firstRowLastColumn="0" w:lastRowFirstColumn="0" w:lastRowLastColumn="0"/>
            </w:pPr>
            <w:r w:rsidRPr="00DE66CF">
              <w:t>311.70</w:t>
            </w:r>
          </w:p>
        </w:tc>
      </w:tr>
      <w:tr w:rsidR="00DE66CF" w:rsidRPr="00670E6D" w:rsidTr="0004707E">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DE66CF" w:rsidRPr="00DE66CF" w:rsidRDefault="00DE66CF" w:rsidP="00A80907">
            <w:pPr>
              <w:pStyle w:val="AERbodytextnospaceleftalign"/>
            </w:pPr>
            <w:r w:rsidRPr="00DE66CF">
              <w:t>SAIFI</w:t>
            </w:r>
          </w:p>
        </w:tc>
        <w:tc>
          <w:tcPr>
            <w:tcW w:w="2832" w:type="pct"/>
            <w:vAlign w:val="bottom"/>
          </w:tcPr>
          <w:p w:rsidR="00DE66CF" w:rsidRPr="00DE66CF" w:rsidRDefault="00DE66CF" w:rsidP="00886EB5">
            <w:pPr>
              <w:pStyle w:val="AERtabletextright"/>
              <w:cnfStyle w:val="000000010000" w:firstRow="0" w:lastRow="0" w:firstColumn="0" w:lastColumn="0" w:oddVBand="0" w:evenVBand="0" w:oddHBand="0" w:evenHBand="1" w:firstRowFirstColumn="0" w:firstRowLastColumn="0" w:lastRowFirstColumn="0" w:lastRowLastColumn="0"/>
            </w:pPr>
            <w:r w:rsidRPr="00DE66CF">
              <w:t>2.0</w:t>
            </w:r>
            <w:r w:rsidR="009B2700">
              <w:t>27</w:t>
            </w:r>
          </w:p>
        </w:tc>
      </w:tr>
      <w:tr w:rsidR="0020296D" w:rsidRPr="000402FE" w:rsidTr="00507234">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20296D" w:rsidRPr="000402FE" w:rsidRDefault="0020296D" w:rsidP="00A80907">
            <w:pPr>
              <w:pStyle w:val="AERbodytextnospaceleftalign"/>
              <w:rPr>
                <w:rStyle w:val="Strong"/>
              </w:rPr>
            </w:pPr>
            <w:r w:rsidRPr="000402FE">
              <w:rPr>
                <w:rStyle w:val="Strong"/>
              </w:rPr>
              <w:lastRenderedPageBreak/>
              <w:t>Telephone answering</w:t>
            </w:r>
          </w:p>
        </w:tc>
        <w:tc>
          <w:tcPr>
            <w:tcW w:w="2832" w:type="pct"/>
          </w:tcPr>
          <w:p w:rsidR="0020296D" w:rsidRPr="000402FE" w:rsidRDefault="0020296D" w:rsidP="00886EB5">
            <w:pPr>
              <w:pStyle w:val="AERtabletextright"/>
              <w:cnfStyle w:val="000000000000" w:firstRow="0" w:lastRow="0" w:firstColumn="0" w:lastColumn="0" w:oddVBand="0" w:evenVBand="0" w:oddHBand="0" w:evenHBand="0" w:firstRowFirstColumn="0" w:firstRowLastColumn="0" w:lastRowFirstColumn="0" w:lastRowLastColumn="0"/>
              <w:rPr>
                <w:rStyle w:val="Strong"/>
              </w:rPr>
            </w:pPr>
          </w:p>
        </w:tc>
      </w:tr>
      <w:tr w:rsidR="0020296D" w:rsidRPr="00670E6D" w:rsidTr="00507234">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20296D" w:rsidRPr="0020296D" w:rsidRDefault="0020296D" w:rsidP="00A80907">
            <w:pPr>
              <w:pStyle w:val="AERbodytextnospaceleftalign"/>
            </w:pPr>
            <w:r w:rsidRPr="0020296D">
              <w:t>Percentage of calls will be answered within 30 seconds</w:t>
            </w:r>
          </w:p>
        </w:tc>
        <w:tc>
          <w:tcPr>
            <w:tcW w:w="2832" w:type="pct"/>
          </w:tcPr>
          <w:p w:rsidR="0020296D" w:rsidRPr="0020296D" w:rsidRDefault="00DE66CF" w:rsidP="00886EB5">
            <w:pPr>
              <w:pStyle w:val="AERtabletextright"/>
              <w:cnfStyle w:val="000000010000" w:firstRow="0" w:lastRow="0" w:firstColumn="0" w:lastColumn="0" w:oddVBand="0" w:evenVBand="0" w:oddHBand="0" w:evenHBand="1" w:firstRowFirstColumn="0" w:firstRowLastColumn="0" w:lastRowFirstColumn="0" w:lastRowLastColumn="0"/>
            </w:pPr>
            <w:r>
              <w:t>67.8</w:t>
            </w:r>
          </w:p>
        </w:tc>
      </w:tr>
    </w:tbl>
    <w:p w:rsidR="0020296D" w:rsidRDefault="0020296D" w:rsidP="0020296D">
      <w:pPr>
        <w:pStyle w:val="AERtablesource"/>
      </w:pPr>
      <w:r>
        <w:t xml:space="preserve">Source: </w:t>
      </w:r>
      <w:r>
        <w:tab/>
        <w:t>AER analysis.</w:t>
      </w:r>
    </w:p>
    <w:p w:rsidR="00085E7B" w:rsidRDefault="009E3E33" w:rsidP="00085E7B">
      <w:pPr>
        <w:pStyle w:val="Heading2"/>
      </w:pPr>
      <w:bookmarkStart w:id="18" w:name="_Toc418855287"/>
      <w:bookmarkStart w:id="19" w:name="_Toc433033285"/>
      <w:bookmarkEnd w:id="14"/>
      <w:r>
        <w:t>SA Power</w:t>
      </w:r>
      <w:r w:rsidR="00C90819">
        <w:t xml:space="preserve"> </w:t>
      </w:r>
      <w:r>
        <w:t>Ne</w:t>
      </w:r>
      <w:r w:rsidR="00C90819">
        <w:t>t</w:t>
      </w:r>
      <w:r>
        <w:t>works</w:t>
      </w:r>
      <w:r w:rsidR="00085E7B" w:rsidRPr="00B34302">
        <w:t xml:space="preserve">' </w:t>
      </w:r>
      <w:r w:rsidR="00085E7B">
        <w:t xml:space="preserve">revised </w:t>
      </w:r>
      <w:r w:rsidR="00085E7B" w:rsidRPr="00B34302">
        <w:t>proposal</w:t>
      </w:r>
      <w:bookmarkEnd w:id="18"/>
      <w:bookmarkEnd w:id="19"/>
    </w:p>
    <w:p w:rsidR="00085E7B" w:rsidRDefault="00085E7B" w:rsidP="00085E7B">
      <w:r>
        <w:t>SA Power</w:t>
      </w:r>
      <w:r w:rsidR="00C90819">
        <w:t xml:space="preserve"> </w:t>
      </w:r>
      <w:r>
        <w:t xml:space="preserve">Networks' revised regulatory proposal accepted our </w:t>
      </w:r>
      <w:r w:rsidR="000003BC">
        <w:t xml:space="preserve">preliminary </w:t>
      </w:r>
      <w:r>
        <w:t>decision on its STPIS</w:t>
      </w:r>
      <w:r w:rsidR="00DC600C">
        <w:t>.</w:t>
      </w:r>
      <w:r w:rsidR="00280E8C">
        <w:rPr>
          <w:rStyle w:val="FootnoteReference"/>
        </w:rPr>
        <w:footnoteReference w:id="2"/>
      </w:r>
      <w:r w:rsidR="00DC600C">
        <w:t xml:space="preserve"> SA Power</w:t>
      </w:r>
      <w:r w:rsidR="00C90819">
        <w:t xml:space="preserve"> </w:t>
      </w:r>
      <w:r w:rsidR="00DC600C">
        <w:t>Networks also</w:t>
      </w:r>
      <w:r>
        <w:t xml:space="preserve"> </w:t>
      </w:r>
      <w:r w:rsidR="00DC600C">
        <w:t xml:space="preserve">recommended </w:t>
      </w:r>
      <w:r>
        <w:t>that we revise our STPIS to accommodate the</w:t>
      </w:r>
      <w:r w:rsidR="00251769">
        <w:t xml:space="preserve"> definitional change for </w:t>
      </w:r>
      <w:r w:rsidR="009E3E33">
        <w:t>m</w:t>
      </w:r>
      <w:r w:rsidR="00780599" w:rsidRPr="00780599">
        <w:t xml:space="preserve">omentary </w:t>
      </w:r>
      <w:r w:rsidR="009E3E33">
        <w:t>i</w:t>
      </w:r>
      <w:r w:rsidR="00780599" w:rsidRPr="00780599">
        <w:t>nterruption</w:t>
      </w:r>
      <w:r w:rsidR="009E3E33">
        <w:t xml:space="preserve"> so that it aligns with the </w:t>
      </w:r>
      <w:r w:rsidR="000003BC">
        <w:t xml:space="preserve">recent changes in the </w:t>
      </w:r>
      <w:r w:rsidR="009E3E33">
        <w:t>National Reliability Reporting Framework</w:t>
      </w:r>
      <w:r w:rsidR="00780599" w:rsidRPr="00780599">
        <w:t>.</w:t>
      </w:r>
      <w:r w:rsidR="00251769">
        <w:rPr>
          <w:rStyle w:val="FootnoteReference"/>
        </w:rPr>
        <w:footnoteReference w:id="3"/>
      </w:r>
      <w:r>
        <w:t xml:space="preserve"> </w:t>
      </w:r>
    </w:p>
    <w:p w:rsidR="00085E7B" w:rsidRDefault="00085E7B" w:rsidP="00085E7B">
      <w:pPr>
        <w:pStyle w:val="Heading2"/>
      </w:pPr>
      <w:bookmarkStart w:id="20" w:name="_Toc418855288"/>
      <w:bookmarkStart w:id="21" w:name="_Toc433033286"/>
      <w:r w:rsidRPr="00B34302">
        <w:t>AER’s assessment approach</w:t>
      </w:r>
      <w:bookmarkEnd w:id="20"/>
      <w:bookmarkEnd w:id="21"/>
    </w:p>
    <w:p w:rsidR="00557A7C" w:rsidRDefault="00AF23F0" w:rsidP="00085E7B">
      <w:r>
        <w:t>We are required to make a decision on how the STPIS is to apply to SA Power Networks.</w:t>
      </w:r>
      <w:r>
        <w:rPr>
          <w:rStyle w:val="FootnoteReference"/>
        </w:rPr>
        <w:footnoteReference w:id="4"/>
      </w:r>
      <w:r>
        <w:t xml:space="preserve"> When making a distribution determination, the STPIS requires us to determine all </w:t>
      </w:r>
      <w:r w:rsidR="00384661">
        <w:t>performance</w:t>
      </w:r>
      <w:r>
        <w:t xml:space="preserve"> </w:t>
      </w:r>
      <w:r w:rsidR="00384661">
        <w:t>targets</w:t>
      </w:r>
      <w:r>
        <w:t xml:space="preserve">, incentive rates, revenue at risk and </w:t>
      </w:r>
      <w:r w:rsidR="00384661">
        <w:t>other</w:t>
      </w:r>
      <w:r>
        <w:t xml:space="preserve"> parameters required to apply the scheme.</w:t>
      </w:r>
      <w:r w:rsidR="00384661">
        <w:rPr>
          <w:rStyle w:val="FootnoteReference"/>
        </w:rPr>
        <w:footnoteReference w:id="5"/>
      </w:r>
      <w:r>
        <w:t xml:space="preserve"> </w:t>
      </w:r>
    </w:p>
    <w:p w:rsidR="00085E7B" w:rsidRDefault="00557A7C" w:rsidP="00085E7B">
      <w:r>
        <w:t xml:space="preserve">We outlined our proposed approach to, and justification for, the application of the STPIS in our </w:t>
      </w:r>
      <w:r w:rsidR="005764F7">
        <w:t>F&amp;A</w:t>
      </w:r>
      <w:r>
        <w:t xml:space="preserve"> paper for SA Power Networks.</w:t>
      </w:r>
      <w:r w:rsidR="00AB4BB7" w:rsidRPr="00AB4BB7">
        <w:rPr>
          <w:rStyle w:val="FootnoteReference"/>
        </w:rPr>
        <w:t xml:space="preserve"> </w:t>
      </w:r>
      <w:r w:rsidR="00AB4BB7">
        <w:rPr>
          <w:rStyle w:val="FootnoteReference"/>
        </w:rPr>
        <w:footnoteReference w:id="6"/>
      </w:r>
      <w:r>
        <w:t xml:space="preserve"> </w:t>
      </w:r>
      <w:r w:rsidR="00F972F1">
        <w:t>Our preliminary</w:t>
      </w:r>
      <w:r w:rsidR="00085E7B" w:rsidRPr="00277FF4">
        <w:t xml:space="preserve"> decision </w:t>
      </w:r>
      <w:r>
        <w:t>and final decision have adopted the</w:t>
      </w:r>
      <w:r w:rsidR="00085E7B">
        <w:t xml:space="preserve"> same </w:t>
      </w:r>
      <w:r w:rsidR="000402FE">
        <w:t>approach</w:t>
      </w:r>
      <w:r>
        <w:t xml:space="preserve">, unless new information has become available or new arguments have been put forward which warrant a reconsideration of this position. </w:t>
      </w:r>
      <w:r w:rsidR="00D77E15">
        <w:t xml:space="preserve">We have considered material submitted to us by stakeholders and SA Power Networks, including its </w:t>
      </w:r>
      <w:r>
        <w:t>proposal to vary the scheme.  In each instance, we considered the relative merits of the alternative against the objectives of the STPIS.</w:t>
      </w:r>
      <w:r w:rsidR="00AB4BB7">
        <w:rPr>
          <w:rStyle w:val="FootnoteReference"/>
        </w:rPr>
        <w:footnoteReference w:id="7"/>
      </w:r>
    </w:p>
    <w:p w:rsidR="00085E7B" w:rsidRDefault="00085E7B" w:rsidP="00085E7B">
      <w:pPr>
        <w:pStyle w:val="Heading3"/>
      </w:pPr>
      <w:bookmarkStart w:id="22" w:name="_Toc418855289"/>
      <w:bookmarkStart w:id="23" w:name="_Toc433033287"/>
      <w:r>
        <w:t>Interrelationship</w:t>
      </w:r>
      <w:bookmarkEnd w:id="22"/>
      <w:r w:rsidR="000402FE">
        <w:t>s</w:t>
      </w:r>
      <w:bookmarkEnd w:id="23"/>
    </w:p>
    <w:p w:rsidR="00507234" w:rsidRPr="003861C2" w:rsidRDefault="00507234" w:rsidP="00507234">
      <w:r w:rsidRPr="003861C2">
        <w:t>In applying the STPIS we must consider any other incentives available to the distributor under the NER or relevant distribution determination</w:t>
      </w:r>
      <w:r w:rsidRPr="002204A1">
        <w:rPr>
          <w:rStyle w:val="AERbody"/>
        </w:rPr>
        <w:t>.</w:t>
      </w:r>
      <w:r>
        <w:rPr>
          <w:rStyle w:val="FootnoteReference"/>
        </w:rPr>
        <w:footnoteReference w:id="8"/>
      </w:r>
      <w:r w:rsidRPr="002204A1">
        <w:rPr>
          <w:rStyle w:val="AERbody"/>
        </w:rPr>
        <w:t xml:space="preserve">  </w:t>
      </w:r>
      <w:r w:rsidRPr="003861C2">
        <w:t>One of the objectives of the STPIS is to ensure that the incentives are sufficient to offset any financial incentives the distributor may have to reduce costs at the expense of service levels. For the 201</w:t>
      </w:r>
      <w:r>
        <w:t>5</w:t>
      </w:r>
      <w:r w:rsidRPr="003861C2">
        <w:t>–20 regulatory control period, the STPIS will interact with the Capital Expenditure Sharing Scheme (CESS) and the opex Expenditure Benefit Sharing Scheme (EBSS).</w:t>
      </w:r>
      <w:r>
        <w:rPr>
          <w:rStyle w:val="FootnoteReference"/>
        </w:rPr>
        <w:footnoteReference w:id="9"/>
      </w:r>
    </w:p>
    <w:p w:rsidR="00507234" w:rsidRPr="002204A1" w:rsidRDefault="00507234" w:rsidP="00507234">
      <w:pPr>
        <w:rPr>
          <w:rStyle w:val="AERbody"/>
        </w:rPr>
      </w:pPr>
      <w:r w:rsidRPr="002204A1">
        <w:rPr>
          <w:rStyle w:val="AERbody"/>
        </w:rPr>
        <w:lastRenderedPageBreak/>
        <w:t>The rewards and penalties amounts under STPIS</w:t>
      </w:r>
      <w:r>
        <w:rPr>
          <w:rStyle w:val="AERbody"/>
        </w:rPr>
        <w:t xml:space="preserve"> (the incentive rates)</w:t>
      </w:r>
      <w:r w:rsidRPr="002204A1">
        <w:rPr>
          <w:rStyle w:val="AERbody"/>
        </w:rPr>
        <w:t xml:space="preserve"> are determined based on the average customer value </w:t>
      </w:r>
      <w:r>
        <w:rPr>
          <w:rStyle w:val="AERbody"/>
        </w:rPr>
        <w:t>for</w:t>
      </w:r>
      <w:r w:rsidRPr="002204A1">
        <w:rPr>
          <w:rStyle w:val="AERbody"/>
        </w:rPr>
        <w:t xml:space="preserve"> the improvement, or otherwise, to supply reliability</w:t>
      </w:r>
      <w:r>
        <w:rPr>
          <w:rStyle w:val="AERbody"/>
        </w:rPr>
        <w:t xml:space="preserve"> </w:t>
      </w:r>
      <w:r w:rsidRPr="002204A1">
        <w:rPr>
          <w:rStyle w:val="AERbody"/>
        </w:rPr>
        <w:t xml:space="preserve">(the VCR). This </w:t>
      </w:r>
      <w:r>
        <w:rPr>
          <w:rStyle w:val="AERbody"/>
        </w:rPr>
        <w:t>is aimed at</w:t>
      </w:r>
      <w:r w:rsidRPr="002204A1">
        <w:rPr>
          <w:rStyle w:val="AERbody"/>
        </w:rPr>
        <w:t xml:space="preserve"> ensur</w:t>
      </w:r>
      <w:r>
        <w:rPr>
          <w:rStyle w:val="AERbody"/>
        </w:rPr>
        <w:t>ing</w:t>
      </w:r>
      <w:r w:rsidRPr="002204A1">
        <w:rPr>
          <w:rStyle w:val="AERbody"/>
        </w:rPr>
        <w:t xml:space="preserve"> that the distributor’s operational and investment strategies are consistent with customers’ value </w:t>
      </w:r>
      <w:r>
        <w:rPr>
          <w:rStyle w:val="AERbody"/>
        </w:rPr>
        <w:t>for</w:t>
      </w:r>
      <w:r w:rsidRPr="002204A1">
        <w:rPr>
          <w:rStyle w:val="AERbody"/>
        </w:rPr>
        <w:t xml:space="preserve"> the service</w:t>
      </w:r>
      <w:r>
        <w:rPr>
          <w:rStyle w:val="AERbody"/>
        </w:rPr>
        <w:t>s that are offered</w:t>
      </w:r>
      <w:r w:rsidRPr="002204A1">
        <w:rPr>
          <w:rStyle w:val="AERbody"/>
        </w:rPr>
        <w:t xml:space="preserve"> </w:t>
      </w:r>
      <w:r>
        <w:rPr>
          <w:rStyle w:val="AERbody"/>
        </w:rPr>
        <w:t>to them.</w:t>
      </w:r>
    </w:p>
    <w:p w:rsidR="00507234" w:rsidRDefault="00507234" w:rsidP="00507234">
      <w:pPr>
        <w:rPr>
          <w:rStyle w:val="AERbody"/>
        </w:rPr>
      </w:pPr>
      <w:r>
        <w:rPr>
          <w:rStyle w:val="AERbody"/>
        </w:rPr>
        <w:t>Our</w:t>
      </w:r>
      <w:r w:rsidRPr="002204A1">
        <w:rPr>
          <w:rStyle w:val="AERbody"/>
        </w:rPr>
        <w:t xml:space="preserve"> capex and opex allowances are</w:t>
      </w:r>
      <w:r>
        <w:rPr>
          <w:rStyle w:val="AERbody"/>
        </w:rPr>
        <w:t xml:space="preserve"> </w:t>
      </w:r>
      <w:r>
        <w:t xml:space="preserve">set to reasonably </w:t>
      </w:r>
      <w:r w:rsidRPr="00E47342">
        <w:t>reflect the expenditures required by a</w:t>
      </w:r>
      <w:r>
        <w:t xml:space="preserve"> prudent</w:t>
      </w:r>
      <w:r w:rsidRPr="00E47342">
        <w:t xml:space="preserve"> </w:t>
      </w:r>
      <w:r>
        <w:t xml:space="preserve">and </w:t>
      </w:r>
      <w:r w:rsidRPr="00E47342">
        <w:t xml:space="preserve">efficient business to </w:t>
      </w:r>
      <w:r>
        <w:t xml:space="preserve">achieve the capex and opex objectives. These include complying with all applicable regulatory </w:t>
      </w:r>
      <w:r w:rsidRPr="00E47342">
        <w:t>obligations</w:t>
      </w:r>
      <w:r>
        <w:t xml:space="preserve"> and requirements and, in the absence of such obligations, </w:t>
      </w:r>
      <w:r w:rsidRPr="00E47342">
        <w:t xml:space="preserve">maintaining </w:t>
      </w:r>
      <w:r>
        <w:t xml:space="preserve">quality, </w:t>
      </w:r>
      <w:r w:rsidRPr="00E47342">
        <w:t>reliability, and security outcomes</w:t>
      </w:r>
      <w:r>
        <w:t>.</w:t>
      </w:r>
      <w:r w:rsidRPr="002204A1">
        <w:rPr>
          <w:rStyle w:val="AERbody"/>
        </w:rPr>
        <w:t xml:space="preserve"> </w:t>
      </w:r>
    </w:p>
    <w:p w:rsidR="00507234" w:rsidRPr="002204A1" w:rsidRDefault="00507234" w:rsidP="00507234">
      <w:pPr>
        <w:rPr>
          <w:rStyle w:val="AERbody"/>
        </w:rPr>
      </w:pPr>
      <w:r>
        <w:rPr>
          <w:rStyle w:val="AERbody"/>
        </w:rPr>
        <w:t>T</w:t>
      </w:r>
      <w:r w:rsidRPr="002204A1">
        <w:rPr>
          <w:rStyle w:val="AERbody"/>
        </w:rPr>
        <w:t>he STPIS</w:t>
      </w:r>
      <w:r>
        <w:rPr>
          <w:rStyle w:val="AERbody"/>
        </w:rPr>
        <w:t>,</w:t>
      </w:r>
      <w:r w:rsidRPr="002204A1">
        <w:rPr>
          <w:rStyle w:val="AERbody"/>
        </w:rPr>
        <w:t xml:space="preserve"> </w:t>
      </w:r>
      <w:r>
        <w:rPr>
          <w:rStyle w:val="AERbody"/>
        </w:rPr>
        <w:t xml:space="preserve">on the other hand provides, an incentive for distributors to invest in further reliability improvements (via additional STPIS rewards) where customers are willing to pay for it. Conversely, the STPIS penalises distributors where they let reliability deteriorate. </w:t>
      </w:r>
      <w:r w:rsidRPr="002204A1">
        <w:rPr>
          <w:rStyle w:val="AERbody"/>
        </w:rPr>
        <w:t>Importantly, the distributor will only receive a financial reward</w:t>
      </w:r>
      <w:r>
        <w:rPr>
          <w:rStyle w:val="AERbody"/>
        </w:rPr>
        <w:t xml:space="preserve"> </w:t>
      </w:r>
      <w:r w:rsidRPr="002204A1">
        <w:rPr>
          <w:rStyle w:val="AERbody"/>
        </w:rPr>
        <w:t xml:space="preserve">after actual improvements are delivered to the customers. </w:t>
      </w:r>
    </w:p>
    <w:p w:rsidR="00507234" w:rsidRPr="002204A1" w:rsidRDefault="00507234" w:rsidP="00507234">
      <w:pPr>
        <w:rPr>
          <w:rStyle w:val="AERbody"/>
        </w:rPr>
      </w:pPr>
      <w:r w:rsidRPr="002204A1">
        <w:rPr>
          <w:rStyle w:val="AERbody"/>
        </w:rPr>
        <w:t xml:space="preserve">In conjunction with CESS and EBSS, the </w:t>
      </w:r>
      <w:r>
        <w:rPr>
          <w:rStyle w:val="AERbody"/>
        </w:rPr>
        <w:t>STPIS</w:t>
      </w:r>
      <w:r w:rsidRPr="002204A1">
        <w:rPr>
          <w:rStyle w:val="AERbody"/>
        </w:rPr>
        <w:t xml:space="preserve"> will ensure that:</w:t>
      </w:r>
    </w:p>
    <w:p w:rsidR="00507234" w:rsidRPr="003861C2" w:rsidRDefault="00507234" w:rsidP="00507234">
      <w:pPr>
        <w:pStyle w:val="AERbulletlistfirststyle"/>
        <w:rPr>
          <w:rStyle w:val="AERbody"/>
        </w:rPr>
      </w:pPr>
      <w:r w:rsidRPr="002204A1">
        <w:rPr>
          <w:rStyle w:val="AERbody"/>
        </w:rPr>
        <w:tab/>
      </w:r>
      <w:r w:rsidRPr="003861C2">
        <w:rPr>
          <w:rStyle w:val="AERbody"/>
        </w:rPr>
        <w:t>any additional investments to improve reliability are based on prudent economic decisions</w:t>
      </w:r>
    </w:p>
    <w:p w:rsidR="00507234" w:rsidRDefault="00507234" w:rsidP="00507234">
      <w:pPr>
        <w:pStyle w:val="AERbulletlistfirststyle"/>
        <w:rPr>
          <w:rStyle w:val="AERbody"/>
        </w:rPr>
      </w:pPr>
      <w:r w:rsidRPr="003861C2">
        <w:rPr>
          <w:rStyle w:val="AERbody"/>
        </w:rPr>
        <w:tab/>
        <w:t>reductions in capex and</w:t>
      </w:r>
      <w:r w:rsidR="002B4E97">
        <w:rPr>
          <w:rStyle w:val="AERbody"/>
        </w:rPr>
        <w:t>/or</w:t>
      </w:r>
      <w:r w:rsidRPr="003861C2">
        <w:rPr>
          <w:rStyle w:val="AERbody"/>
        </w:rPr>
        <w:t xml:space="preserve"> opex are achieved efficiently, rather than at the expense of service levels to customers.</w:t>
      </w:r>
    </w:p>
    <w:p w:rsidR="00DE563D" w:rsidRDefault="00DE563D" w:rsidP="00B34302">
      <w:pPr>
        <w:pStyle w:val="Heading2"/>
      </w:pPr>
      <w:bookmarkStart w:id="24" w:name="_Toc403144140"/>
      <w:bookmarkStart w:id="25" w:name="_Toc433033288"/>
      <w:r w:rsidRPr="00B34302">
        <w:t xml:space="preserve">Reasons for </w:t>
      </w:r>
      <w:r w:rsidR="001140AD">
        <w:t>final</w:t>
      </w:r>
      <w:r w:rsidRPr="00B34302">
        <w:t xml:space="preserve"> decision</w:t>
      </w:r>
      <w:bookmarkEnd w:id="24"/>
      <w:bookmarkEnd w:id="25"/>
      <w:r w:rsidRPr="00B34302">
        <w:t xml:space="preserve"> </w:t>
      </w:r>
    </w:p>
    <w:p w:rsidR="00507234" w:rsidRDefault="00507234" w:rsidP="00507234">
      <w:r w:rsidRPr="009C0D52">
        <w:t xml:space="preserve">The following section sets out our </w:t>
      </w:r>
      <w:r>
        <w:t>detailed consideration o</w:t>
      </w:r>
      <w:r w:rsidRPr="009C0D52">
        <w:t>n</w:t>
      </w:r>
      <w:r>
        <w:t>:</w:t>
      </w:r>
    </w:p>
    <w:p w:rsidR="00507234" w:rsidRDefault="00507234" w:rsidP="00507234">
      <w:pPr>
        <w:pStyle w:val="AERbulletlistfirststyle"/>
      </w:pPr>
      <w:r w:rsidRPr="009C0D52">
        <w:t xml:space="preserve">applying the STPIS to </w:t>
      </w:r>
      <w:r>
        <w:t xml:space="preserve">SA Power Networks </w:t>
      </w:r>
      <w:r w:rsidRPr="009C0D52">
        <w:t>for the 201</w:t>
      </w:r>
      <w:r>
        <w:t>5</w:t>
      </w:r>
      <w:r w:rsidRPr="009C0D52">
        <w:t>–</w:t>
      </w:r>
      <w:r>
        <w:t>20 regulatory control period</w:t>
      </w:r>
    </w:p>
    <w:p w:rsidR="00507234" w:rsidRDefault="00507234" w:rsidP="00507234">
      <w:pPr>
        <w:pStyle w:val="AERbulletlistfirststyle"/>
      </w:pPr>
      <w:r>
        <w:t xml:space="preserve">transitional matters in the applying the STPIS between regulatory control periods </w:t>
      </w:r>
    </w:p>
    <w:p w:rsidR="00507234" w:rsidRDefault="00507234" w:rsidP="00507234">
      <w:pPr>
        <w:pStyle w:val="AERbulletlistfirststyle"/>
      </w:pPr>
      <w:r>
        <w:t xml:space="preserve">proposed definitional changes to momentary interruptions parameters in the STPIS </w:t>
      </w:r>
    </w:p>
    <w:p w:rsidR="00507234" w:rsidRDefault="00507234" w:rsidP="00507234">
      <w:pPr>
        <w:pStyle w:val="AERbulletlistfirststyle"/>
      </w:pPr>
      <w:r>
        <w:t>how we will apply the STPIS to SA Power Networks.</w:t>
      </w:r>
    </w:p>
    <w:p w:rsidR="00507234" w:rsidRDefault="00507234" w:rsidP="00507234">
      <w:pPr>
        <w:pStyle w:val="Heading2"/>
      </w:pPr>
      <w:bookmarkStart w:id="26" w:name="_Toc429476215"/>
      <w:bookmarkStart w:id="27" w:name="_Toc433033289"/>
      <w:r>
        <w:t xml:space="preserve">Applying the </w:t>
      </w:r>
      <w:r w:rsidRPr="00BA36D5">
        <w:t>STPIS</w:t>
      </w:r>
      <w:bookmarkEnd w:id="26"/>
      <w:bookmarkEnd w:id="27"/>
    </w:p>
    <w:p w:rsidR="00507234" w:rsidRDefault="00507234" w:rsidP="00507234">
      <w:r>
        <w:t>We will apply the STPIS in accordance with our preliminary decision to SA Power Networks</w:t>
      </w:r>
      <w:r w:rsidR="00FF5728">
        <w:t>. This will a</w:t>
      </w:r>
      <w:r>
        <w:t xml:space="preserve">ccount for the transition in the calculation of the major event </w:t>
      </w:r>
      <w:proofErr w:type="gramStart"/>
      <w:r>
        <w:t>days</w:t>
      </w:r>
      <w:proofErr w:type="gramEnd"/>
      <w:r>
        <w:t xml:space="preserve"> exclusions methods</w:t>
      </w:r>
      <w:r w:rsidR="00FF5728">
        <w:t xml:space="preserve"> in setting SA Power Networks performance targets for the </w:t>
      </w:r>
      <w:r w:rsidR="00B80865">
        <w:br/>
      </w:r>
      <w:r w:rsidR="00FF5728">
        <w:t xml:space="preserve">2015–20 regulatory </w:t>
      </w:r>
      <w:r w:rsidR="000402FE">
        <w:t xml:space="preserve">control </w:t>
      </w:r>
      <w:r w:rsidR="00FF5728">
        <w:t>period</w:t>
      </w:r>
      <w:r>
        <w:t>.</w:t>
      </w:r>
      <w:r>
        <w:rPr>
          <w:rStyle w:val="FootnoteReference"/>
        </w:rPr>
        <w:footnoteReference w:id="10"/>
      </w:r>
      <w:r>
        <w:t xml:space="preserve"> </w:t>
      </w:r>
    </w:p>
    <w:p w:rsidR="005350BF" w:rsidRDefault="005350BF" w:rsidP="00507234">
      <w:r>
        <w:t xml:space="preserve">We have also updated SA Power Networks incentive rates to reflect the </w:t>
      </w:r>
      <w:r w:rsidR="00DE66CF">
        <w:t>expected revenue (</w:t>
      </w:r>
      <w:r w:rsidR="00B80865">
        <w:t>smoothed</w:t>
      </w:r>
      <w:r w:rsidR="00DE66CF">
        <w:t>)</w:t>
      </w:r>
      <w:r>
        <w:t xml:space="preserve"> </w:t>
      </w:r>
      <w:r w:rsidR="006F4D5B">
        <w:t>in</w:t>
      </w:r>
      <w:r>
        <w:t xml:space="preserve"> this final decision.</w:t>
      </w:r>
    </w:p>
    <w:p w:rsidR="000402FE" w:rsidRDefault="000402FE" w:rsidP="00507234"/>
    <w:p w:rsidR="000402FE" w:rsidRDefault="000402FE" w:rsidP="00507234"/>
    <w:p w:rsidR="00507234" w:rsidRPr="009C0D52" w:rsidRDefault="00507234" w:rsidP="00507234">
      <w:pPr>
        <w:pStyle w:val="Heading3"/>
      </w:pPr>
      <w:bookmarkStart w:id="28" w:name="_Toc429476216"/>
      <w:bookmarkStart w:id="29" w:name="_Toc433033290"/>
      <w:r w:rsidRPr="009C0D52">
        <w:t>Revenue at risk</w:t>
      </w:r>
      <w:bookmarkEnd w:id="28"/>
      <w:bookmarkEnd w:id="29"/>
    </w:p>
    <w:p w:rsidR="005350BF" w:rsidRDefault="005350BF" w:rsidP="00507234">
      <w:pPr>
        <w:rPr>
          <w:rStyle w:val="AERbody"/>
        </w:rPr>
      </w:pPr>
      <w:r>
        <w:rPr>
          <w:rStyle w:val="AERbody"/>
        </w:rPr>
        <w:t>SA Power Networks'</w:t>
      </w:r>
      <w:r w:rsidR="00507234" w:rsidRPr="005473F3">
        <w:rPr>
          <w:rStyle w:val="AERbody"/>
        </w:rPr>
        <w:t xml:space="preserve"> revenue at risk for each regulatory year of the 201</w:t>
      </w:r>
      <w:r>
        <w:rPr>
          <w:rStyle w:val="AERbody"/>
        </w:rPr>
        <w:t>5</w:t>
      </w:r>
      <w:r w:rsidR="00507234" w:rsidRPr="005473F3">
        <w:rPr>
          <w:rStyle w:val="AERbody"/>
        </w:rPr>
        <w:t xml:space="preserve">–20 regulatory control period will be capped at </w:t>
      </w:r>
      <w:r w:rsidR="00507234" w:rsidRPr="00507234">
        <w:rPr>
          <w:rStyle w:val="AERbody"/>
        </w:rPr>
        <w:t>±</w:t>
      </w:r>
      <w:r w:rsidR="00507234">
        <w:rPr>
          <w:rStyle w:val="AERbody"/>
        </w:rPr>
        <w:t xml:space="preserve"> </w:t>
      </w:r>
      <w:r w:rsidR="00507234" w:rsidRPr="005473F3">
        <w:rPr>
          <w:rStyle w:val="AERbody"/>
        </w:rPr>
        <w:t>5.0 per cent</w:t>
      </w:r>
      <w:r w:rsidR="00507234">
        <w:rPr>
          <w:rStyle w:val="AERbody"/>
        </w:rPr>
        <w:t xml:space="preserve"> as per the scheme standard</w:t>
      </w:r>
      <w:r w:rsidR="00507234" w:rsidRPr="005473F3">
        <w:rPr>
          <w:rStyle w:val="AERbody"/>
        </w:rPr>
        <w:t>.</w:t>
      </w:r>
      <w:r w:rsidR="00507234">
        <w:rPr>
          <w:rStyle w:val="AERbody"/>
        </w:rPr>
        <w:t xml:space="preserve"> </w:t>
      </w:r>
    </w:p>
    <w:p w:rsidR="00507234" w:rsidRDefault="00507234" w:rsidP="00507234">
      <w:pPr>
        <w:rPr>
          <w:rStyle w:val="AERbody"/>
        </w:rPr>
      </w:pPr>
      <w:r w:rsidRPr="005473F3">
        <w:rPr>
          <w:rStyle w:val="AERbody"/>
        </w:rPr>
        <w:t xml:space="preserve">Revenue at risk caps the potential rewards and penalties for </w:t>
      </w:r>
      <w:r w:rsidR="005350BF">
        <w:rPr>
          <w:rStyle w:val="AERbody"/>
        </w:rPr>
        <w:t>SA Power Networks</w:t>
      </w:r>
      <w:r w:rsidRPr="005473F3">
        <w:rPr>
          <w:rStyle w:val="AERbody"/>
        </w:rPr>
        <w:t xml:space="preserve"> under the STPIS. We consider an incentive of </w:t>
      </w:r>
      <w:r w:rsidRPr="00507234">
        <w:rPr>
          <w:rStyle w:val="AERbody"/>
        </w:rPr>
        <w:t>±</w:t>
      </w:r>
      <w:r>
        <w:rPr>
          <w:rStyle w:val="AERbody"/>
        </w:rPr>
        <w:t xml:space="preserve"> 5</w:t>
      </w:r>
      <w:r w:rsidR="003D2C3E">
        <w:rPr>
          <w:rStyle w:val="AERbody"/>
        </w:rPr>
        <w:t>.0</w:t>
      </w:r>
      <w:r>
        <w:rPr>
          <w:rStyle w:val="AERbody"/>
        </w:rPr>
        <w:t xml:space="preserve"> </w:t>
      </w:r>
      <w:r w:rsidRPr="005473F3">
        <w:rPr>
          <w:rStyle w:val="AERbody"/>
        </w:rPr>
        <w:t xml:space="preserve">per cent of </w:t>
      </w:r>
      <w:r w:rsidR="00DE66CF">
        <w:rPr>
          <w:rStyle w:val="AERbody"/>
        </w:rPr>
        <w:t xml:space="preserve">the annual allowable </w:t>
      </w:r>
      <w:r w:rsidR="00AB1AAF">
        <w:rPr>
          <w:rStyle w:val="AERbody"/>
        </w:rPr>
        <w:t xml:space="preserve">revenue </w:t>
      </w:r>
      <w:r w:rsidRPr="005473F3">
        <w:rPr>
          <w:rStyle w:val="AERbody"/>
        </w:rPr>
        <w:t xml:space="preserve">would balance the risk to both consumers and </w:t>
      </w:r>
      <w:r w:rsidR="005350BF">
        <w:rPr>
          <w:rStyle w:val="AERbody"/>
        </w:rPr>
        <w:t>SA Power Networks'</w:t>
      </w:r>
      <w:r w:rsidRPr="005473F3">
        <w:rPr>
          <w:rStyle w:val="AERbody"/>
        </w:rPr>
        <w:t xml:space="preserve"> and thus better meet the objectives of the STPIS. </w:t>
      </w:r>
    </w:p>
    <w:p w:rsidR="00507234" w:rsidRPr="00B82706" w:rsidRDefault="00507234" w:rsidP="00507234">
      <w:pPr>
        <w:pStyle w:val="Heading3"/>
      </w:pPr>
      <w:bookmarkStart w:id="30" w:name="_Toc429476217"/>
      <w:bookmarkStart w:id="31" w:name="_Toc433033291"/>
      <w:r w:rsidRPr="00B82706">
        <w:t>Reliability of supply component</w:t>
      </w:r>
      <w:bookmarkEnd w:id="30"/>
      <w:bookmarkEnd w:id="31"/>
    </w:p>
    <w:p w:rsidR="00507234" w:rsidRPr="00DF06C5" w:rsidRDefault="00507234" w:rsidP="000402FE">
      <w:pPr>
        <w:pStyle w:val="HeadingBoldBlue"/>
      </w:pPr>
      <w:bookmarkStart w:id="32" w:name="_Toc433033292"/>
      <w:r w:rsidRPr="00DF06C5">
        <w:t>Applica</w:t>
      </w:r>
      <w:r>
        <w:t>ble</w:t>
      </w:r>
      <w:r w:rsidRPr="00DF06C5">
        <w:t xml:space="preserve"> components and parameters</w:t>
      </w:r>
      <w:bookmarkEnd w:id="32"/>
      <w:r w:rsidRPr="00DF06C5">
        <w:t xml:space="preserve"> </w:t>
      </w:r>
    </w:p>
    <w:p w:rsidR="00507234" w:rsidRDefault="00507234" w:rsidP="00507234">
      <w:r w:rsidRPr="00B82706">
        <w:t>We will apply unplanned SAIDI</w:t>
      </w:r>
      <w:r w:rsidR="002B4E97">
        <w:t xml:space="preserve"> and </w:t>
      </w:r>
      <w:r w:rsidRPr="00B82706">
        <w:t>unplanned SAIFI</w:t>
      </w:r>
      <w:r>
        <w:t xml:space="preserve"> </w:t>
      </w:r>
      <w:r w:rsidRPr="00B82706">
        <w:t xml:space="preserve">parameters under the reliability of supply component to </w:t>
      </w:r>
      <w:r w:rsidR="002B4E97">
        <w:t>SA Power Networks</w:t>
      </w:r>
      <w:r w:rsidR="001F4F5C">
        <w:t>'</w:t>
      </w:r>
      <w:r w:rsidR="002B4E97">
        <w:t xml:space="preserve"> </w:t>
      </w:r>
      <w:r>
        <w:t>CBD</w:t>
      </w:r>
      <w:r w:rsidR="002B4E97">
        <w:t>,</w:t>
      </w:r>
      <w:r>
        <w:t xml:space="preserve"> Urban</w:t>
      </w:r>
      <w:r w:rsidR="002B4E97">
        <w:t>, Short and Long rural</w:t>
      </w:r>
      <w:r>
        <w:t xml:space="preserve"> feeders </w:t>
      </w:r>
      <w:r w:rsidRPr="00B82706">
        <w:t>for the 201</w:t>
      </w:r>
      <w:r w:rsidR="002B4E97">
        <w:t>5</w:t>
      </w:r>
      <w:r w:rsidRPr="00B82706">
        <w:t>–</w:t>
      </w:r>
      <w:r>
        <w:t>20</w:t>
      </w:r>
      <w:r w:rsidR="000402FE">
        <w:t xml:space="preserve"> regulatory control period</w:t>
      </w:r>
      <w:r w:rsidRPr="00B82706">
        <w:t>. Unplanned SAIDI measures the sum of the duration of each unplanned sustained customer interruption (in minutes) divided by the total number of distribution customers. Unplanned SAIFI measures the total number of unplanned sustained customer interruptions divided by the total number of distribution customers.</w:t>
      </w:r>
      <w:r>
        <w:t xml:space="preserve"> </w:t>
      </w:r>
    </w:p>
    <w:p w:rsidR="00507234" w:rsidRPr="00B82706" w:rsidRDefault="00507234" w:rsidP="000402FE">
      <w:pPr>
        <w:pStyle w:val="HeadingBoldBlue"/>
      </w:pPr>
      <w:bookmarkStart w:id="33" w:name="_Toc433033293"/>
      <w:r>
        <w:t>E</w:t>
      </w:r>
      <w:r w:rsidRPr="00B82706">
        <w:t>xclusions</w:t>
      </w:r>
      <w:bookmarkEnd w:id="33"/>
    </w:p>
    <w:p w:rsidR="00507234" w:rsidRPr="00B82706" w:rsidRDefault="00507234" w:rsidP="00507234">
      <w:r w:rsidRPr="005473F3">
        <w:rPr>
          <w:rStyle w:val="AERbody"/>
        </w:rPr>
        <w:t xml:space="preserve">The STPIS allows certain events to be excluded from the calculation of the </w:t>
      </w:r>
      <w:r w:rsidR="000402FE">
        <w:t>service standards component (the s-factor)</w:t>
      </w:r>
      <w:r w:rsidRPr="005473F3">
        <w:rPr>
          <w:rStyle w:val="AERbody"/>
        </w:rPr>
        <w:t xml:space="preserve"> revenue adjustment. These exclusions include the events that are beyond the control of </w:t>
      </w:r>
      <w:r w:rsidR="002B4E1C">
        <w:rPr>
          <w:rStyle w:val="AERbody"/>
        </w:rPr>
        <w:t>SA Power Networks</w:t>
      </w:r>
      <w:r w:rsidRPr="005473F3">
        <w:rPr>
          <w:rStyle w:val="AERbody"/>
        </w:rPr>
        <w:t xml:space="preserve">, such as the effects of transmission network outages and other upstream events. They also exclude the effects of extreme weather events that have the potential to significantly affect </w:t>
      </w:r>
      <w:r w:rsidR="002B4E1C">
        <w:rPr>
          <w:rStyle w:val="AERbody"/>
        </w:rPr>
        <w:t>SA Power Ne</w:t>
      </w:r>
      <w:r w:rsidR="00A8567B">
        <w:rPr>
          <w:rStyle w:val="AERbody"/>
        </w:rPr>
        <w:t>t</w:t>
      </w:r>
      <w:r w:rsidR="002B4E1C">
        <w:rPr>
          <w:rStyle w:val="AERbody"/>
        </w:rPr>
        <w:t xml:space="preserve">works' </w:t>
      </w:r>
      <w:r w:rsidRPr="005473F3">
        <w:rPr>
          <w:rStyle w:val="AERbody"/>
        </w:rPr>
        <w:t>STPIS performance</w:t>
      </w:r>
      <w:r w:rsidRPr="00B82706">
        <w:t xml:space="preserve">. </w:t>
      </w:r>
    </w:p>
    <w:p w:rsidR="00507234" w:rsidRDefault="002B4E1C" w:rsidP="00507234">
      <w:r>
        <w:t xml:space="preserve">SA Power Networks </w:t>
      </w:r>
      <w:r w:rsidR="00507234" w:rsidRPr="00B82706">
        <w:t xml:space="preserve">proposed to calculate </w:t>
      </w:r>
      <w:r w:rsidR="00507234">
        <w:t>the major event day (</w:t>
      </w:r>
      <w:r w:rsidR="00507234" w:rsidRPr="00B82706">
        <w:t>MED</w:t>
      </w:r>
      <w:r w:rsidR="00507234">
        <w:t>)</w:t>
      </w:r>
      <w:r w:rsidR="00507234" w:rsidRPr="00B82706">
        <w:t xml:space="preserve"> threshold using </w:t>
      </w:r>
      <w:r w:rsidR="00507234">
        <w:t xml:space="preserve">the </w:t>
      </w:r>
      <w:r w:rsidR="00507234" w:rsidRPr="00B82706">
        <w:t>2.</w:t>
      </w:r>
      <w:r w:rsidR="00507234">
        <w:t>5</w:t>
      </w:r>
      <w:r w:rsidR="00507234" w:rsidRPr="00B82706">
        <w:t xml:space="preserve"> beta</w:t>
      </w:r>
      <w:r w:rsidR="00507234">
        <w:t xml:space="preserve"> </w:t>
      </w:r>
      <w:r w:rsidR="00507234" w:rsidRPr="00B82706">
        <w:t xml:space="preserve">method </w:t>
      </w:r>
      <w:r w:rsidR="00507234">
        <w:t>i</w:t>
      </w:r>
      <w:r w:rsidR="00507234" w:rsidRPr="00B82706">
        <w:t xml:space="preserve">n accordance </w:t>
      </w:r>
      <w:r>
        <w:t>the</w:t>
      </w:r>
      <w:r w:rsidR="00507234">
        <w:t xml:space="preserve"> </w:t>
      </w:r>
      <w:r>
        <w:t>STPIS</w:t>
      </w:r>
      <w:r w:rsidR="00507234" w:rsidRPr="00B82706">
        <w:t>.</w:t>
      </w:r>
      <w:r w:rsidR="005764F7">
        <w:rPr>
          <w:rStyle w:val="FootnoteReference"/>
        </w:rPr>
        <w:footnoteReference w:id="11"/>
      </w:r>
      <w:r w:rsidR="00507234">
        <w:t xml:space="preserve"> Since we have not received any submissions that we should depart from our F&amp;A, we accept </w:t>
      </w:r>
      <w:r>
        <w:t>SA Power Network's proposal to transition from the box cox method to the STPIS method to calculate the MED.</w:t>
      </w:r>
    </w:p>
    <w:p w:rsidR="002B4E97" w:rsidRPr="00574E96" w:rsidRDefault="002B4E97" w:rsidP="002B4E97">
      <w:pPr>
        <w:pStyle w:val="Heading3"/>
      </w:pPr>
      <w:bookmarkStart w:id="34" w:name="_Toc429476219"/>
      <w:bookmarkStart w:id="35" w:name="_Toc433033294"/>
      <w:bookmarkStart w:id="36" w:name="_Toc429476218"/>
      <w:r w:rsidRPr="00574E96">
        <w:t>Customer service component</w:t>
      </w:r>
      <w:bookmarkEnd w:id="34"/>
      <w:bookmarkEnd w:id="35"/>
    </w:p>
    <w:p w:rsidR="002B4E97" w:rsidRPr="00574E96" w:rsidRDefault="002B4E97" w:rsidP="002B4E97">
      <w:r>
        <w:lastRenderedPageBreak/>
        <w:t>The national</w:t>
      </w:r>
      <w:r w:rsidRPr="00574E96">
        <w:t xml:space="preserve"> STPIS customer service target applicable to</w:t>
      </w:r>
      <w:r>
        <w:t xml:space="preserve"> SA Power Networks</w:t>
      </w:r>
      <w:r w:rsidRPr="00574E96">
        <w:t xml:space="preserve"> is telephone response measured as the number of</w:t>
      </w:r>
      <w:r>
        <w:t xml:space="preserve"> </w:t>
      </w:r>
      <w:r w:rsidRPr="00574E96">
        <w:t>telephone calls answered within 30 seconds. This measure</w:t>
      </w:r>
      <w:r>
        <w:t xml:space="preserve"> </w:t>
      </w:r>
      <w:r w:rsidRPr="00574E96">
        <w:t>is referred to as the telephone Grade of Service (GOS).</w:t>
      </w:r>
    </w:p>
    <w:p w:rsidR="002B4E97" w:rsidRDefault="002B4E97" w:rsidP="002B4E97">
      <w:r>
        <w:t xml:space="preserve">In accordance with our preliminary decision, we accept SA Power </w:t>
      </w:r>
      <w:proofErr w:type="gramStart"/>
      <w:r>
        <w:t>Networks'  customer</w:t>
      </w:r>
      <w:proofErr w:type="gramEnd"/>
      <w:r>
        <w:t xml:space="preserve"> service targets as it has applied a 5 year historical average to derive them for the </w:t>
      </w:r>
      <w:r w:rsidR="007B577C">
        <w:t>2015</w:t>
      </w:r>
      <w:r w:rsidR="007B577C">
        <w:rPr>
          <w:rFonts w:cs="Arial"/>
        </w:rPr>
        <w:t>─</w:t>
      </w:r>
      <w:r w:rsidR="007B577C">
        <w:t>20</w:t>
      </w:r>
      <w:r>
        <w:t xml:space="preserve"> regulatory control period. This is consistent with our national STPIS.</w:t>
      </w:r>
      <w:r>
        <w:rPr>
          <w:rStyle w:val="FootnoteReference"/>
        </w:rPr>
        <w:footnoteReference w:id="12"/>
      </w:r>
    </w:p>
    <w:p w:rsidR="00507234" w:rsidRPr="00B82706" w:rsidRDefault="00507234" w:rsidP="00507234">
      <w:pPr>
        <w:pStyle w:val="Heading3"/>
      </w:pPr>
      <w:bookmarkStart w:id="37" w:name="_Toc433033295"/>
      <w:r>
        <w:t>Performance target</w:t>
      </w:r>
      <w:r w:rsidRPr="00B82706">
        <w:t>s</w:t>
      </w:r>
      <w:bookmarkEnd w:id="36"/>
      <w:bookmarkEnd w:id="37"/>
    </w:p>
    <w:p w:rsidR="00507234" w:rsidRPr="00C639D9" w:rsidRDefault="00507234" w:rsidP="00507234">
      <w:r>
        <w:t>T</w:t>
      </w:r>
      <w:r w:rsidRPr="00B82706">
        <w:t xml:space="preserve">he STPIS </w:t>
      </w:r>
      <w:r>
        <w:t xml:space="preserve">specifies that the performance targets should be based on the </w:t>
      </w:r>
      <w:r w:rsidRPr="00C639D9">
        <w:t>average performance over the past five</w:t>
      </w:r>
      <w:r>
        <w:t xml:space="preserve"> </w:t>
      </w:r>
      <w:r w:rsidRPr="00C639D9">
        <w:t>regulatory years</w:t>
      </w:r>
      <w:r>
        <w:t xml:space="preserve">. It also states that the performance target must be modified for </w:t>
      </w:r>
      <w:r w:rsidRPr="00C639D9">
        <w:t>any reliability improvements completed or planned where the planned</w:t>
      </w:r>
      <w:r>
        <w:t xml:space="preserve"> </w:t>
      </w:r>
      <w:r w:rsidRPr="00C639D9">
        <w:t>reliability improvements are:</w:t>
      </w:r>
      <w:r>
        <w:rPr>
          <w:rStyle w:val="FootnoteReference"/>
        </w:rPr>
        <w:footnoteReference w:id="13"/>
      </w:r>
    </w:p>
    <w:p w:rsidR="00507234" w:rsidRPr="00C639D9" w:rsidRDefault="00507234" w:rsidP="00507234">
      <w:pPr>
        <w:pStyle w:val="AERbulletlistfirststyle"/>
      </w:pPr>
      <w:r w:rsidRPr="00C639D9">
        <w:t xml:space="preserve">included in the expenditure program proposed by the </w:t>
      </w:r>
      <w:r>
        <w:t>distributor</w:t>
      </w:r>
      <w:r w:rsidRPr="00C639D9">
        <w:t xml:space="preserve"> in its</w:t>
      </w:r>
      <w:r>
        <w:t xml:space="preserve"> </w:t>
      </w:r>
      <w:r w:rsidRPr="00C639D9">
        <w:t>regulatory proposal, or</w:t>
      </w:r>
    </w:p>
    <w:p w:rsidR="00507234" w:rsidRDefault="00507234" w:rsidP="00507234">
      <w:pPr>
        <w:pStyle w:val="AERbulletlistfirststyle"/>
      </w:pPr>
      <w:r w:rsidRPr="00C639D9">
        <w:t xml:space="preserve">proposed by the </w:t>
      </w:r>
      <w:r>
        <w:t>distributor</w:t>
      </w:r>
      <w:r w:rsidRPr="00C639D9">
        <w:t>, and the cost of the improvements is allowed</w:t>
      </w:r>
      <w:r>
        <w:t xml:space="preserve"> </w:t>
      </w:r>
      <w:r w:rsidRPr="00C639D9">
        <w:t xml:space="preserve">by the relevant regulator, in the </w:t>
      </w:r>
      <w:r>
        <w:t>distributor's</w:t>
      </w:r>
      <w:r w:rsidRPr="00C639D9">
        <w:t xml:space="preserve"> previous regulatory</w:t>
      </w:r>
      <w:r>
        <w:t xml:space="preserve"> </w:t>
      </w:r>
      <w:r w:rsidRPr="00C639D9">
        <w:t>proposal or regulatory submission</w:t>
      </w:r>
      <w:r>
        <w:t>, and</w:t>
      </w:r>
    </w:p>
    <w:p w:rsidR="00507234" w:rsidRDefault="00507234" w:rsidP="00507234">
      <w:pPr>
        <w:pStyle w:val="AERbulletlistfirststyle"/>
      </w:pPr>
      <w:r>
        <w:t>expected to result in a material improvement in supply reliability.</w:t>
      </w:r>
    </w:p>
    <w:p w:rsidR="00735871" w:rsidRDefault="00A8567B" w:rsidP="00A8567B">
      <w:r>
        <w:rPr>
          <w:rStyle w:val="AERbody"/>
        </w:rPr>
        <w:t>SA Power Networks accepted our preliminary decision on the performance targets.</w:t>
      </w:r>
      <w:r w:rsidR="00A55F03">
        <w:rPr>
          <w:rStyle w:val="FootnoteReference"/>
        </w:rPr>
        <w:footnoteReference w:id="14"/>
      </w:r>
      <w:r>
        <w:rPr>
          <w:rStyle w:val="AERbody"/>
        </w:rPr>
        <w:t xml:space="preserve"> As indicated in </w:t>
      </w:r>
      <w:r w:rsidR="00142E86">
        <w:rPr>
          <w:rStyle w:val="AERbody"/>
        </w:rPr>
        <w:t xml:space="preserve">that </w:t>
      </w:r>
      <w:r>
        <w:rPr>
          <w:rStyle w:val="AERbody"/>
        </w:rPr>
        <w:t>decision, w</w:t>
      </w:r>
      <w:r w:rsidRPr="00CE5BC6">
        <w:t>e adjust</w:t>
      </w:r>
      <w:r w:rsidR="00142E86">
        <w:t>ed</w:t>
      </w:r>
      <w:r w:rsidRPr="00CE5BC6">
        <w:t xml:space="preserve"> to </w:t>
      </w:r>
      <w:r>
        <w:t>SA Power Networks'</w:t>
      </w:r>
      <w:r w:rsidRPr="00CE5BC6">
        <w:t xml:space="preserve"> historical 5-year average target levels to take into account the</w:t>
      </w:r>
      <w:r>
        <w:t xml:space="preserve"> differences in data normalisation methods</w:t>
      </w:r>
      <w:r w:rsidRPr="00CE5BC6">
        <w:t xml:space="preserve">. </w:t>
      </w:r>
      <w:r w:rsidR="00487C4C">
        <w:t>Consistent with our preliminary decision, the</w:t>
      </w:r>
      <w:r w:rsidRPr="00CE5BC6">
        <w:t xml:space="preserve"> calculated performance targets for </w:t>
      </w:r>
      <w:r>
        <w:t>SA Power Networks</w:t>
      </w:r>
      <w:r w:rsidRPr="00CE5BC6">
        <w:t xml:space="preserve"> are presented in</w:t>
      </w:r>
      <w:bookmarkStart w:id="38" w:name="_Ref414974575"/>
      <w:r w:rsidR="00052213">
        <w:t xml:space="preserve"> </w:t>
      </w:r>
      <w:r w:rsidR="00052213">
        <w:fldChar w:fldCharType="begin"/>
      </w:r>
      <w:r w:rsidR="00052213">
        <w:instrText xml:space="preserve"> REF _Ref430165228 \h </w:instrText>
      </w:r>
      <w:r w:rsidR="00052213">
        <w:fldChar w:fldCharType="end"/>
      </w:r>
      <w:r w:rsidR="007B577C">
        <w:t xml:space="preserve">table 11.2 above. </w:t>
      </w:r>
    </w:p>
    <w:bookmarkEnd w:id="38"/>
    <w:p w:rsidR="00507234" w:rsidRPr="007D3DEA" w:rsidRDefault="00507234" w:rsidP="00507234">
      <w:pPr>
        <w:pStyle w:val="Heading3"/>
      </w:pPr>
      <w:r w:rsidRPr="007D3DEA">
        <w:tab/>
      </w:r>
      <w:bookmarkStart w:id="39" w:name="_Toc429476220"/>
      <w:bookmarkStart w:id="40" w:name="_Toc433033296"/>
      <w:r w:rsidRPr="007D3DEA">
        <w:t>Incentive rates</w:t>
      </w:r>
      <w:bookmarkEnd w:id="39"/>
      <w:bookmarkEnd w:id="40"/>
    </w:p>
    <w:p w:rsidR="003837E7" w:rsidRDefault="00507234" w:rsidP="00507234">
      <w:r w:rsidRPr="00E51231">
        <w:t xml:space="preserve">The </w:t>
      </w:r>
      <w:r>
        <w:t xml:space="preserve">incentive rates applicable to </w:t>
      </w:r>
      <w:r w:rsidR="00C86706">
        <w:t xml:space="preserve">SA Power Networks </w:t>
      </w:r>
      <w:r w:rsidRPr="00E51231">
        <w:t xml:space="preserve">for the reliability of supply performance parameters of the STPIS have been calculated in accordance with clause 3.2.2 and using the formulae provided as </w:t>
      </w:r>
      <w:r>
        <w:t>a</w:t>
      </w:r>
      <w:r w:rsidRPr="00E51231">
        <w:t>ppendix B of the National STPIS.</w:t>
      </w:r>
      <w:r>
        <w:t xml:space="preserve"> </w:t>
      </w:r>
    </w:p>
    <w:p w:rsidR="00052213" w:rsidRDefault="00683D72" w:rsidP="005155EC">
      <w:r>
        <w:rPr>
          <w:rStyle w:val="AERbody"/>
        </w:rPr>
        <w:t xml:space="preserve">SA Power Networks accepted our preliminary decision on the VCR </w:t>
      </w:r>
      <w:r w:rsidR="005155EC">
        <w:rPr>
          <w:rStyle w:val="AERbody"/>
        </w:rPr>
        <w:t xml:space="preserve">for setting </w:t>
      </w:r>
      <w:r>
        <w:rPr>
          <w:rStyle w:val="AERbody"/>
        </w:rPr>
        <w:t>the incentive rates.</w:t>
      </w:r>
      <w:r>
        <w:rPr>
          <w:rStyle w:val="FootnoteReference"/>
        </w:rPr>
        <w:footnoteReference w:id="15"/>
      </w:r>
      <w:r>
        <w:rPr>
          <w:rStyle w:val="AERbody"/>
        </w:rPr>
        <w:t xml:space="preserve"> Consequently, t</w:t>
      </w:r>
      <w:r>
        <w:t xml:space="preserve">his final decision adopted the VCR outlined in </w:t>
      </w:r>
      <w:r w:rsidR="003837E7" w:rsidRPr="0095058F">
        <w:t xml:space="preserve">the preliminary decision </w:t>
      </w:r>
      <w:r>
        <w:t xml:space="preserve">in setting SA Power Networks' incentive rates for the 2015–20 regulatory control period. </w:t>
      </w:r>
      <w:r w:rsidR="003837E7">
        <w:t xml:space="preserve">The final incentive rates based on the VCR and </w:t>
      </w:r>
      <w:r w:rsidR="00AB1AAF">
        <w:t>annual revenue requirement</w:t>
      </w:r>
      <w:r w:rsidR="003837E7">
        <w:t xml:space="preserve"> are found</w:t>
      </w:r>
      <w:r w:rsidR="00282249">
        <w:t xml:space="preserve"> in</w:t>
      </w:r>
      <w:r w:rsidR="003A4F37">
        <w:t xml:space="preserve"> table 11.3</w:t>
      </w:r>
      <w:r w:rsidR="003837E7">
        <w:t>.</w:t>
      </w:r>
      <w:r w:rsidR="002B4E97">
        <w:t xml:space="preserve"> </w:t>
      </w:r>
      <w:r w:rsidR="002B4E97" w:rsidRPr="002A3A62">
        <w:t xml:space="preserve">The incentive rate for the </w:t>
      </w:r>
      <w:r w:rsidR="002B4E97">
        <w:t xml:space="preserve">customer service component </w:t>
      </w:r>
      <w:r w:rsidR="003A4F37">
        <w:t xml:space="preserve">will be </w:t>
      </w:r>
      <w:r w:rsidR="003A4F37">
        <w:rPr>
          <w:rFonts w:cs="Arial"/>
        </w:rPr>
        <w:t>─</w:t>
      </w:r>
      <w:r w:rsidR="002E13B7">
        <w:t>0.040</w:t>
      </w:r>
      <w:r w:rsidR="002B4E97" w:rsidRPr="002A3A62">
        <w:t xml:space="preserve"> per cent per unit of the telephone answering parameter.</w:t>
      </w:r>
      <w:r w:rsidR="002B4E97">
        <w:t xml:space="preserve"> </w:t>
      </w:r>
    </w:p>
    <w:p w:rsidR="002B4E97" w:rsidRPr="00A946AA" w:rsidRDefault="00052213" w:rsidP="00052213">
      <w:pPr>
        <w:pStyle w:val="Caption"/>
      </w:pPr>
      <w:bookmarkStart w:id="41" w:name="_Ref430165304"/>
      <w:r>
        <w:lastRenderedPageBreak/>
        <w:t xml:space="preserve">Table </w:t>
      </w:r>
      <w:fldSimple w:instr=" STYLEREF 1 \s ">
        <w:r w:rsidR="00FC54C1">
          <w:rPr>
            <w:noProof/>
          </w:rPr>
          <w:t>11</w:t>
        </w:r>
      </w:fldSimple>
      <w:bookmarkEnd w:id="41"/>
      <w:r w:rsidR="003A4F37">
        <w:t>.3</w:t>
      </w:r>
      <w:r>
        <w:tab/>
      </w:r>
      <w:r w:rsidR="003A4F37">
        <w:t xml:space="preserve">AER final decision on </w:t>
      </w:r>
      <w:r w:rsidR="002B4E97">
        <w:t>STPIS i</w:t>
      </w:r>
      <w:r w:rsidR="002B4E97" w:rsidRPr="00A946AA">
        <w:t>ncentive rates</w:t>
      </w:r>
      <w:r w:rsidR="002B4E97">
        <w:t xml:space="preserve"> for SA Power Networks</w:t>
      </w:r>
      <w:r w:rsidR="002B4E97" w:rsidRPr="00A946AA">
        <w:t xml:space="preserve"> </w:t>
      </w:r>
      <w:r w:rsidR="002B4E97">
        <w:t xml:space="preserve">for the 2015–20 regulatory </w:t>
      </w:r>
      <w:proofErr w:type="gramStart"/>
      <w:r w:rsidR="002B4E97">
        <w:t>period</w:t>
      </w:r>
      <w:proofErr w:type="gramEnd"/>
    </w:p>
    <w:tbl>
      <w:tblPr>
        <w:tblStyle w:val="AERtable-numbers"/>
        <w:tblW w:w="5000" w:type="pct"/>
        <w:tblLook w:val="04A0" w:firstRow="1" w:lastRow="0" w:firstColumn="1" w:lastColumn="0" w:noHBand="0" w:noVBand="1"/>
      </w:tblPr>
      <w:tblGrid>
        <w:gridCol w:w="1345"/>
        <w:gridCol w:w="1240"/>
        <w:gridCol w:w="2036"/>
        <w:gridCol w:w="2036"/>
        <w:gridCol w:w="2036"/>
      </w:tblGrid>
      <w:tr w:rsidR="002B4E97" w:rsidRPr="00A946AA" w:rsidTr="0016386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pct"/>
            <w:hideMark/>
          </w:tcPr>
          <w:p w:rsidR="002B4E97" w:rsidRPr="002B4E97" w:rsidRDefault="002B4E97" w:rsidP="002B4E97">
            <w:pPr>
              <w:pStyle w:val="Tabletext-centred"/>
            </w:pPr>
            <w:r w:rsidRPr="00A946AA">
              <w:t> </w:t>
            </w:r>
          </w:p>
        </w:tc>
        <w:tc>
          <w:tcPr>
            <w:tcW w:w="713" w:type="pct"/>
            <w:hideMark/>
          </w:tcPr>
          <w:p w:rsidR="002B4E97" w:rsidRPr="002B4E97" w:rsidRDefault="002B4E97" w:rsidP="002B4E97">
            <w:pPr>
              <w:pStyle w:val="AERtabletextright"/>
              <w:cnfStyle w:val="100000000000" w:firstRow="1" w:lastRow="0" w:firstColumn="0" w:lastColumn="0" w:oddVBand="0" w:evenVBand="0" w:oddHBand="0" w:evenHBand="0" w:firstRowFirstColumn="0" w:firstRowLastColumn="0" w:lastRowFirstColumn="0" w:lastRowLastColumn="0"/>
            </w:pPr>
            <w:r>
              <w:t>CBD</w:t>
            </w:r>
            <w:r w:rsidRPr="002B4E97">
              <w:t xml:space="preserve"> </w:t>
            </w:r>
          </w:p>
        </w:tc>
        <w:tc>
          <w:tcPr>
            <w:tcW w:w="1171" w:type="pct"/>
          </w:tcPr>
          <w:p w:rsidR="002B4E97" w:rsidRPr="002B4E97" w:rsidRDefault="002B4E97" w:rsidP="002B4E97">
            <w:pPr>
              <w:pStyle w:val="AERtabletextright"/>
              <w:cnfStyle w:val="100000000000" w:firstRow="1" w:lastRow="0" w:firstColumn="0" w:lastColumn="0" w:oddVBand="0" w:evenVBand="0" w:oddHBand="0" w:evenHBand="0" w:firstRowFirstColumn="0" w:firstRowLastColumn="0" w:lastRowFirstColumn="0" w:lastRowLastColumn="0"/>
            </w:pPr>
            <w:r>
              <w:t>Urban</w:t>
            </w:r>
          </w:p>
        </w:tc>
        <w:tc>
          <w:tcPr>
            <w:tcW w:w="1171" w:type="pct"/>
          </w:tcPr>
          <w:p w:rsidR="002B4E97" w:rsidRDefault="002B4E97" w:rsidP="002B4E97">
            <w:pPr>
              <w:pStyle w:val="AERtabletextright"/>
              <w:cnfStyle w:val="100000000000" w:firstRow="1" w:lastRow="0" w:firstColumn="0" w:lastColumn="0" w:oddVBand="0" w:evenVBand="0" w:oddHBand="0" w:evenHBand="0" w:firstRowFirstColumn="0" w:firstRowLastColumn="0" w:lastRowFirstColumn="0" w:lastRowLastColumn="0"/>
            </w:pPr>
            <w:r>
              <w:t>Rural short</w:t>
            </w:r>
          </w:p>
        </w:tc>
        <w:tc>
          <w:tcPr>
            <w:tcW w:w="1171" w:type="pct"/>
          </w:tcPr>
          <w:p w:rsidR="002B4E97" w:rsidRDefault="002B4E97" w:rsidP="002B4E97">
            <w:pPr>
              <w:pStyle w:val="AERtabletextright"/>
              <w:cnfStyle w:val="100000000000" w:firstRow="1" w:lastRow="0" w:firstColumn="0" w:lastColumn="0" w:oddVBand="0" w:evenVBand="0" w:oddHBand="0" w:evenHBand="0" w:firstRowFirstColumn="0" w:firstRowLastColumn="0" w:lastRowFirstColumn="0" w:lastRowLastColumn="0"/>
            </w:pPr>
            <w:r>
              <w:t>Rural long</w:t>
            </w:r>
          </w:p>
        </w:tc>
      </w:tr>
      <w:tr w:rsidR="00FC54C1" w:rsidRPr="00FC54C1" w:rsidTr="00DD1870">
        <w:trPr>
          <w:trHeight w:val="465"/>
        </w:trPr>
        <w:tc>
          <w:tcPr>
            <w:cnfStyle w:val="001000000000" w:firstRow="0" w:lastRow="0" w:firstColumn="1" w:lastColumn="0" w:oddVBand="0" w:evenVBand="0" w:oddHBand="0" w:evenHBand="0" w:firstRowFirstColumn="0" w:firstRowLastColumn="0" w:lastRowFirstColumn="0" w:lastRowLastColumn="0"/>
            <w:tcW w:w="774" w:type="pct"/>
            <w:hideMark/>
          </w:tcPr>
          <w:p w:rsidR="00FC54C1" w:rsidRPr="00FC54C1" w:rsidRDefault="00FC54C1" w:rsidP="00FC54C1">
            <w:pPr>
              <w:rPr>
                <w:rStyle w:val="AERbody"/>
              </w:rPr>
            </w:pPr>
            <w:r w:rsidRPr="00FC54C1">
              <w:rPr>
                <w:rStyle w:val="AERbody"/>
              </w:rPr>
              <w:t>SAIDI</w:t>
            </w:r>
          </w:p>
        </w:tc>
        <w:tc>
          <w:tcPr>
            <w:tcW w:w="713" w:type="pct"/>
            <w:vAlign w:val="top"/>
          </w:tcPr>
          <w:p w:rsidR="00FC54C1" w:rsidRPr="00FC54C1" w:rsidRDefault="00FC54C1" w:rsidP="00DD1870">
            <w:pPr>
              <w:cnfStyle w:val="000000000000" w:firstRow="0" w:lastRow="0" w:firstColumn="0" w:lastColumn="0" w:oddVBand="0" w:evenVBand="0" w:oddHBand="0" w:evenHBand="0" w:firstRowFirstColumn="0" w:firstRowLastColumn="0" w:lastRowFirstColumn="0" w:lastRowLastColumn="0"/>
              <w:rPr>
                <w:rStyle w:val="AERbody"/>
              </w:rPr>
            </w:pPr>
            <w:r w:rsidRPr="00FC54C1">
              <w:rPr>
                <w:rStyle w:val="AERbody"/>
              </w:rPr>
              <w:t>0.0030</w:t>
            </w:r>
          </w:p>
        </w:tc>
        <w:tc>
          <w:tcPr>
            <w:tcW w:w="1171" w:type="pct"/>
            <w:vAlign w:val="top"/>
          </w:tcPr>
          <w:p w:rsidR="00FC54C1" w:rsidRPr="00FC54C1" w:rsidRDefault="00FC54C1" w:rsidP="00DD1870">
            <w:pPr>
              <w:cnfStyle w:val="000000000000" w:firstRow="0" w:lastRow="0" w:firstColumn="0" w:lastColumn="0" w:oddVBand="0" w:evenVBand="0" w:oddHBand="0" w:evenHBand="0" w:firstRowFirstColumn="0" w:firstRowLastColumn="0" w:lastRowFirstColumn="0" w:lastRowLastColumn="0"/>
              <w:rPr>
                <w:rStyle w:val="AERbody"/>
              </w:rPr>
            </w:pPr>
            <w:r w:rsidRPr="00FC54C1">
              <w:rPr>
                <w:rStyle w:val="AERbody"/>
              </w:rPr>
              <w:t>0.0365</w:t>
            </w:r>
          </w:p>
        </w:tc>
        <w:tc>
          <w:tcPr>
            <w:tcW w:w="1171" w:type="pct"/>
            <w:vAlign w:val="top"/>
          </w:tcPr>
          <w:p w:rsidR="00FC54C1" w:rsidRPr="00FC54C1" w:rsidRDefault="00FC54C1" w:rsidP="00DD1870">
            <w:pPr>
              <w:cnfStyle w:val="000000000000" w:firstRow="0" w:lastRow="0" w:firstColumn="0" w:lastColumn="0" w:oddVBand="0" w:evenVBand="0" w:oddHBand="0" w:evenHBand="0" w:firstRowFirstColumn="0" w:firstRowLastColumn="0" w:lastRowFirstColumn="0" w:lastRowLastColumn="0"/>
              <w:rPr>
                <w:rStyle w:val="AERbody"/>
              </w:rPr>
            </w:pPr>
            <w:r w:rsidRPr="00FC54C1">
              <w:rPr>
                <w:rStyle w:val="AERbody"/>
              </w:rPr>
              <w:t>0.0070</w:t>
            </w:r>
          </w:p>
        </w:tc>
        <w:tc>
          <w:tcPr>
            <w:tcW w:w="1171" w:type="pct"/>
            <w:vAlign w:val="top"/>
          </w:tcPr>
          <w:p w:rsidR="00FC54C1" w:rsidRPr="00FC54C1" w:rsidRDefault="00FC54C1" w:rsidP="00DD1870">
            <w:pPr>
              <w:cnfStyle w:val="000000000000" w:firstRow="0" w:lastRow="0" w:firstColumn="0" w:lastColumn="0" w:oddVBand="0" w:evenVBand="0" w:oddHBand="0" w:evenHBand="0" w:firstRowFirstColumn="0" w:firstRowLastColumn="0" w:lastRowFirstColumn="0" w:lastRowLastColumn="0"/>
              <w:rPr>
                <w:rStyle w:val="AERbody"/>
              </w:rPr>
            </w:pPr>
            <w:r w:rsidRPr="00FC54C1">
              <w:rPr>
                <w:rStyle w:val="AERbody"/>
              </w:rPr>
              <w:t>0.0072</w:t>
            </w:r>
          </w:p>
        </w:tc>
      </w:tr>
      <w:tr w:rsidR="00FC54C1" w:rsidRPr="00FC54C1" w:rsidTr="00DD187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774" w:type="pct"/>
          </w:tcPr>
          <w:p w:rsidR="00FC54C1" w:rsidRPr="00FC54C1" w:rsidRDefault="00FC54C1" w:rsidP="00FC54C1">
            <w:pPr>
              <w:rPr>
                <w:rStyle w:val="AERbody"/>
              </w:rPr>
            </w:pPr>
            <w:r w:rsidRPr="00FC54C1">
              <w:rPr>
                <w:rStyle w:val="AERbody"/>
              </w:rPr>
              <w:t>SAIFI</w:t>
            </w:r>
          </w:p>
        </w:tc>
        <w:tc>
          <w:tcPr>
            <w:tcW w:w="713" w:type="pct"/>
            <w:vAlign w:val="top"/>
          </w:tcPr>
          <w:p w:rsidR="00FC54C1" w:rsidRPr="00FC54C1" w:rsidRDefault="00FC54C1" w:rsidP="00DD1870">
            <w:pPr>
              <w:cnfStyle w:val="000000010000" w:firstRow="0" w:lastRow="0" w:firstColumn="0" w:lastColumn="0" w:oddVBand="0" w:evenVBand="0" w:oddHBand="0" w:evenHBand="1" w:firstRowFirstColumn="0" w:firstRowLastColumn="0" w:lastRowFirstColumn="0" w:lastRowLastColumn="0"/>
              <w:rPr>
                <w:rStyle w:val="AERbody"/>
              </w:rPr>
            </w:pPr>
            <w:r w:rsidRPr="00FC54C1">
              <w:rPr>
                <w:rStyle w:val="AERbody"/>
              </w:rPr>
              <w:t>0.2557</w:t>
            </w:r>
          </w:p>
        </w:tc>
        <w:tc>
          <w:tcPr>
            <w:tcW w:w="1171" w:type="pct"/>
            <w:vAlign w:val="top"/>
          </w:tcPr>
          <w:p w:rsidR="00FC54C1" w:rsidRPr="00FC54C1" w:rsidRDefault="00FC54C1" w:rsidP="00DD1870">
            <w:pPr>
              <w:cnfStyle w:val="000000010000" w:firstRow="0" w:lastRow="0" w:firstColumn="0" w:lastColumn="0" w:oddVBand="0" w:evenVBand="0" w:oddHBand="0" w:evenHBand="1" w:firstRowFirstColumn="0" w:firstRowLastColumn="0" w:lastRowFirstColumn="0" w:lastRowLastColumn="0"/>
              <w:rPr>
                <w:rStyle w:val="AERbody"/>
              </w:rPr>
            </w:pPr>
            <w:r w:rsidRPr="00FC54C1">
              <w:rPr>
                <w:rStyle w:val="AERbody"/>
              </w:rPr>
              <w:t>3.3786</w:t>
            </w:r>
          </w:p>
        </w:tc>
        <w:tc>
          <w:tcPr>
            <w:tcW w:w="1171" w:type="pct"/>
            <w:vAlign w:val="top"/>
          </w:tcPr>
          <w:p w:rsidR="00FC54C1" w:rsidRPr="00FC54C1" w:rsidRDefault="00FC54C1" w:rsidP="00DD1870">
            <w:pPr>
              <w:cnfStyle w:val="000000010000" w:firstRow="0" w:lastRow="0" w:firstColumn="0" w:lastColumn="0" w:oddVBand="0" w:evenVBand="0" w:oddHBand="0" w:evenHBand="1" w:firstRowFirstColumn="0" w:firstRowLastColumn="0" w:lastRowFirstColumn="0" w:lastRowLastColumn="0"/>
              <w:rPr>
                <w:rStyle w:val="AERbody"/>
              </w:rPr>
            </w:pPr>
            <w:r w:rsidRPr="00FC54C1">
              <w:rPr>
                <w:rStyle w:val="AERbody"/>
              </w:rPr>
              <w:t>0.9122</w:t>
            </w:r>
          </w:p>
        </w:tc>
        <w:tc>
          <w:tcPr>
            <w:tcW w:w="1171" w:type="pct"/>
            <w:vAlign w:val="top"/>
          </w:tcPr>
          <w:p w:rsidR="00FC54C1" w:rsidRPr="00FC54C1" w:rsidRDefault="00FC54C1" w:rsidP="00DD1870">
            <w:pPr>
              <w:cnfStyle w:val="000000010000" w:firstRow="0" w:lastRow="0" w:firstColumn="0" w:lastColumn="0" w:oddVBand="0" w:evenVBand="0" w:oddHBand="0" w:evenHBand="1" w:firstRowFirstColumn="0" w:firstRowLastColumn="0" w:lastRowFirstColumn="0" w:lastRowLastColumn="0"/>
              <w:rPr>
                <w:rStyle w:val="AERbody"/>
              </w:rPr>
            </w:pPr>
            <w:r w:rsidRPr="00FC54C1">
              <w:rPr>
                <w:rStyle w:val="AERbody"/>
              </w:rPr>
              <w:t>1.2094</w:t>
            </w:r>
          </w:p>
        </w:tc>
      </w:tr>
    </w:tbl>
    <w:p w:rsidR="002B4E97" w:rsidRDefault="002B4E97" w:rsidP="008D275F">
      <w:pPr>
        <w:pStyle w:val="AERtablesource"/>
      </w:pPr>
      <w:r w:rsidRPr="008D275F">
        <w:t>Source:</w:t>
      </w:r>
      <w:r w:rsidRPr="008D275F">
        <w:tab/>
        <w:t>AER Analysis.</w:t>
      </w:r>
    </w:p>
    <w:p w:rsidR="00507234" w:rsidRDefault="002B4E97" w:rsidP="0016386F">
      <w:pPr>
        <w:pStyle w:val="Heading2"/>
      </w:pPr>
      <w:bookmarkStart w:id="42" w:name="_Toc433033297"/>
      <w:r>
        <w:t>Other issues in applying the STPIS</w:t>
      </w:r>
      <w:bookmarkEnd w:id="42"/>
    </w:p>
    <w:p w:rsidR="00DC600C" w:rsidRDefault="00DC600C" w:rsidP="003A4F37">
      <w:pPr>
        <w:pStyle w:val="HeadingBoldBlue"/>
      </w:pPr>
      <w:bookmarkStart w:id="43" w:name="_Toc433033298"/>
      <w:r>
        <w:t>Definition</w:t>
      </w:r>
      <w:r w:rsidR="00BF24B4">
        <w:t xml:space="preserve">al </w:t>
      </w:r>
      <w:r>
        <w:t>change</w:t>
      </w:r>
      <w:r w:rsidR="00BF24B4">
        <w:t xml:space="preserve"> of momentary interruption</w:t>
      </w:r>
      <w:bookmarkEnd w:id="43"/>
    </w:p>
    <w:p w:rsidR="00966AF5" w:rsidRDefault="00F25328" w:rsidP="00DC600C">
      <w:r>
        <w:t>SA Power</w:t>
      </w:r>
      <w:r w:rsidR="00C90819">
        <w:t xml:space="preserve"> </w:t>
      </w:r>
      <w:r>
        <w:t>Networks submitted</w:t>
      </w:r>
      <w:r w:rsidR="00DC600C">
        <w:t xml:space="preserve"> </w:t>
      </w:r>
      <w:r w:rsidR="00BF24B4">
        <w:t xml:space="preserve">in its revised proposal </w:t>
      </w:r>
      <w:r w:rsidR="00DC600C">
        <w:t xml:space="preserve">that we </w:t>
      </w:r>
      <w:r>
        <w:t xml:space="preserve">should </w:t>
      </w:r>
      <w:r w:rsidR="00BF24B4">
        <w:t xml:space="preserve">amend </w:t>
      </w:r>
      <w:r w:rsidR="00DC600C">
        <w:t xml:space="preserve">our STPIS to </w:t>
      </w:r>
      <w:r w:rsidR="00BF24B4">
        <w:t xml:space="preserve">define </w:t>
      </w:r>
      <w:r w:rsidR="009E3E33">
        <w:t xml:space="preserve">momentary interruption </w:t>
      </w:r>
      <w:r w:rsidR="00BF24B4">
        <w:t xml:space="preserve">as being </w:t>
      </w:r>
      <w:r w:rsidR="009E3E33">
        <w:t>from one to three minutes</w:t>
      </w:r>
      <w:r w:rsidR="00DC600C">
        <w:t>.</w:t>
      </w:r>
      <w:r w:rsidR="00BF24B4">
        <w:t xml:space="preserve"> This allows the definition to be consistent with the AEMC's recent reliability measures review.</w:t>
      </w:r>
      <w:r w:rsidR="00563B53">
        <w:rPr>
          <w:rStyle w:val="FootnoteReference"/>
        </w:rPr>
        <w:footnoteReference w:id="16"/>
      </w:r>
      <w:r w:rsidR="00C6145B">
        <w:t xml:space="preserve"> </w:t>
      </w:r>
    </w:p>
    <w:p w:rsidR="00DC600C" w:rsidRDefault="00C6145B" w:rsidP="00DC600C">
      <w:r>
        <w:t>It also submitted that its</w:t>
      </w:r>
      <w:r w:rsidRPr="00C6145B">
        <w:t xml:space="preserve"> customers may miss out on improvements in reliability due to the reduced incentives arising from both the lower VCR rate and </w:t>
      </w:r>
      <w:r>
        <w:t xml:space="preserve">from the current definition of </w:t>
      </w:r>
      <w:r w:rsidRPr="00C6145B">
        <w:t>momentary interruption</w:t>
      </w:r>
      <w:r>
        <w:t>.</w:t>
      </w:r>
      <w:r w:rsidR="00966AF5">
        <w:rPr>
          <w:rStyle w:val="FootnoteReference"/>
        </w:rPr>
        <w:footnoteReference w:id="17"/>
      </w:r>
      <w:r w:rsidR="00966AF5">
        <w:t xml:space="preserve"> </w:t>
      </w:r>
    </w:p>
    <w:p w:rsidR="00DC600C" w:rsidRDefault="00DC600C" w:rsidP="00DC600C">
      <w:pPr>
        <w:rPr>
          <w:rStyle w:val="AERbody"/>
        </w:rPr>
      </w:pPr>
      <w:r>
        <w:rPr>
          <w:rStyle w:val="AERbody"/>
        </w:rPr>
        <w:t>We consider that SA Power</w:t>
      </w:r>
      <w:r w:rsidR="00C90819">
        <w:rPr>
          <w:rStyle w:val="AERbody"/>
        </w:rPr>
        <w:t xml:space="preserve"> </w:t>
      </w:r>
      <w:r>
        <w:rPr>
          <w:rStyle w:val="AERbody"/>
        </w:rPr>
        <w:t xml:space="preserve">Networks' </w:t>
      </w:r>
      <w:r w:rsidR="00563B53">
        <w:rPr>
          <w:rStyle w:val="AERbody"/>
        </w:rPr>
        <w:t xml:space="preserve">proposed </w:t>
      </w:r>
      <w:r>
        <w:rPr>
          <w:rStyle w:val="AERbody"/>
        </w:rPr>
        <w:t>definition</w:t>
      </w:r>
      <w:r w:rsidR="009E3E33">
        <w:rPr>
          <w:rStyle w:val="AERbody"/>
        </w:rPr>
        <w:t>al change to momentary interruption</w:t>
      </w:r>
      <w:r>
        <w:rPr>
          <w:rStyle w:val="AERbody"/>
        </w:rPr>
        <w:t xml:space="preserve"> relates to the design of the STPIS and should be considered when we review the scheme.</w:t>
      </w:r>
      <w:r w:rsidR="009E3E33">
        <w:rPr>
          <w:rStyle w:val="AERbody"/>
        </w:rPr>
        <w:t xml:space="preserve"> </w:t>
      </w:r>
      <w:r w:rsidR="009E3E33" w:rsidRPr="009E3E33">
        <w:t xml:space="preserve">Changes of such magnitude should be </w:t>
      </w:r>
      <w:r w:rsidR="000F6586">
        <w:t xml:space="preserve">the subject of </w:t>
      </w:r>
      <w:r w:rsidR="009E3E33" w:rsidRPr="009E3E33">
        <w:t>comprehensive consult</w:t>
      </w:r>
      <w:r w:rsidR="000F6586">
        <w:t>ation</w:t>
      </w:r>
      <w:r w:rsidR="009E3E33" w:rsidRPr="009E3E33">
        <w:t xml:space="preserve"> with all stakeholders, including whether </w:t>
      </w:r>
      <w:r w:rsidR="000F6586">
        <w:t xml:space="preserve">such a change would require </w:t>
      </w:r>
      <w:r w:rsidR="009E3E33" w:rsidRPr="009E3E33">
        <w:t>an associated change to how the incentive rates should be calculated</w:t>
      </w:r>
      <w:r w:rsidR="009E3E33">
        <w:t>.</w:t>
      </w:r>
      <w:r w:rsidR="009E3E33">
        <w:rPr>
          <w:rStyle w:val="AERbody"/>
        </w:rPr>
        <w:t xml:space="preserve"> </w:t>
      </w:r>
    </w:p>
    <w:p w:rsidR="00FD0BEC" w:rsidRPr="00FD0BEC" w:rsidRDefault="00FD0BEC" w:rsidP="003A4F37">
      <w:pPr>
        <w:pStyle w:val="HeadingBoldBlue"/>
      </w:pPr>
      <w:bookmarkStart w:id="44" w:name="_Toc433033299"/>
      <w:bookmarkStart w:id="45" w:name="_Toc415040786"/>
      <w:r w:rsidRPr="00FD0BEC">
        <w:t>Accounting for step change between regulatory periods</w:t>
      </w:r>
      <w:bookmarkEnd w:id="44"/>
      <w:r w:rsidRPr="00FD0BEC">
        <w:t xml:space="preserve"> </w:t>
      </w:r>
      <w:bookmarkEnd w:id="45"/>
    </w:p>
    <w:p w:rsidR="001F4F5C" w:rsidRPr="00AF64B3" w:rsidRDefault="001F4F5C" w:rsidP="001F4F5C">
      <w:r w:rsidRPr="00AF64B3">
        <w:t xml:space="preserve">A </w:t>
      </w:r>
      <w:r>
        <w:t>distributor's</w:t>
      </w:r>
      <w:r w:rsidRPr="00AF64B3">
        <w:t xml:space="preserve"> performance in the last regulatory year of its regulatory control period</w:t>
      </w:r>
      <w:r>
        <w:t xml:space="preserve"> </w:t>
      </w:r>
      <w:r w:rsidRPr="00AF64B3">
        <w:t>will affect its revenue in the second regulatory year in the next regulatory control</w:t>
      </w:r>
      <w:r>
        <w:t xml:space="preserve"> </w:t>
      </w:r>
      <w:r w:rsidRPr="00AF64B3">
        <w:t>period.</w:t>
      </w:r>
    </w:p>
    <w:p w:rsidR="001F4F5C" w:rsidRDefault="001F4F5C" w:rsidP="001F4F5C">
      <w:r w:rsidRPr="00AF64B3">
        <w:t xml:space="preserve">For example, if a </w:t>
      </w:r>
      <w:r>
        <w:t>distributor</w:t>
      </w:r>
      <w:r w:rsidRPr="00AF64B3">
        <w:t xml:space="preserve"> has a regulatory control period of 5 regulatory years</w:t>
      </w:r>
      <w:r>
        <w:t xml:space="preserve"> </w:t>
      </w:r>
      <w:r w:rsidRPr="00AF64B3">
        <w:t>between 1 July 2007 and 30 June 2012, its performance in the 2011–12 financial year</w:t>
      </w:r>
      <w:r>
        <w:t xml:space="preserve"> </w:t>
      </w:r>
      <w:r w:rsidRPr="00AF64B3">
        <w:t>will affect its revenues in the second regulatory year of the next regulatory control</w:t>
      </w:r>
      <w:r>
        <w:t xml:space="preserve"> </w:t>
      </w:r>
      <w:r w:rsidRPr="00AF64B3">
        <w:t>period (that is from 1 July 2014).</w:t>
      </w:r>
      <w:r>
        <w:rPr>
          <w:rStyle w:val="FootnoteReference"/>
        </w:rPr>
        <w:footnoteReference w:id="18"/>
      </w:r>
    </w:p>
    <w:p w:rsidR="00E937AF" w:rsidRPr="00FD0BEC" w:rsidRDefault="00E937AF" w:rsidP="00E937AF">
      <w:r>
        <w:t xml:space="preserve">The STPIS provides a mechanism to </w:t>
      </w:r>
      <w:r w:rsidRPr="00FD0BEC">
        <w:t xml:space="preserve">account for any step change in revenues (or prices), via </w:t>
      </w:r>
      <m:oMath>
        <m:sSub>
          <m:sSubPr>
            <m:ctrlPr>
              <w:rPr>
                <w:rFonts w:ascii="Cambria Math" w:hAnsi="Cambria Math"/>
              </w:rPr>
            </m:ctrlPr>
          </m:sSubPr>
          <m:e>
            <m:r>
              <w:rPr>
                <w:rFonts w:ascii="Cambria Math" w:hAnsi="Cambria Math"/>
              </w:rPr>
              <m:t>X</m:t>
            </m:r>
          </m:e>
          <m:sub>
            <m:r>
              <w:rPr>
                <w:rFonts w:ascii="Cambria Math" w:hAnsi="Cambria Math"/>
              </w:rPr>
              <m:t>0</m:t>
            </m:r>
          </m:sub>
        </m:sSub>
      </m:oMath>
      <w:r w:rsidRPr="00FD0BEC">
        <w:t>, from one regulatory</w:t>
      </w:r>
      <w:r>
        <w:t xml:space="preserve"> </w:t>
      </w:r>
      <w:r w:rsidRPr="00FD0BEC">
        <w:t>control period to the next</w:t>
      </w:r>
      <w:r>
        <w:t xml:space="preserve">. </w:t>
      </w:r>
      <w:r w:rsidR="002B4E97">
        <w:t>For SA Power Networks, t</w:t>
      </w:r>
      <w:r w:rsidRPr="00FD0BEC">
        <w:t xml:space="preserve">he ‘raw’ s-factor calculated for the last and second last regulatory years of the </w:t>
      </w:r>
      <w:r w:rsidRPr="00FD0BEC">
        <w:lastRenderedPageBreak/>
        <w:t>regulatory control period (which is applied in the first and second regulatory years of the next regulatory control period) is adjusted in accordance with the following formula:</w:t>
      </w:r>
      <w:r w:rsidRPr="00FD0BEC">
        <w:rPr>
          <w:rStyle w:val="FootnoteReference"/>
        </w:rPr>
        <w:footnoteReference w:id="19"/>
      </w:r>
      <w:r w:rsidRPr="00FD0BEC">
        <w:t xml:space="preserve"> </w:t>
      </w:r>
    </w:p>
    <w:p w:rsidR="00FD0BEC" w:rsidRPr="00FD0BEC" w:rsidRDefault="000C18DC" w:rsidP="00FD0BEC">
      <m:oMath>
        <m:sSubSup>
          <m:sSubSupPr>
            <m:ctrlPr>
              <w:rPr>
                <w:rFonts w:ascii="Cambria Math" w:hAnsi="Cambria Math"/>
              </w:rPr>
            </m:ctrlPr>
          </m:sSubSupPr>
          <m:e>
            <m:r>
              <w:rPr>
                <w:rFonts w:ascii="Cambria Math" w:hAnsi="Cambria Math"/>
              </w:rPr>
              <m:t>S</m:t>
            </m:r>
          </m:e>
          <m:sub>
            <m:r>
              <w:rPr>
                <w:rFonts w:ascii="Cambria Math" w:hAnsi="Cambria Math"/>
              </w:rPr>
              <m:t>t</m:t>
            </m:r>
          </m:sub>
          <m:sup>
            <m:r>
              <w:rPr>
                <w:rFonts w:ascii="Cambria Math" w:hAnsi="Cambria Math"/>
              </w:rPr>
              <m:t>""</m:t>
            </m:r>
          </m:sup>
        </m:sSub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S</m:t>
                </m:r>
              </m:e>
              <m:sub>
                <m:r>
                  <w:rPr>
                    <w:rFonts w:ascii="Cambria Math" w:hAnsi="Cambria Math"/>
                  </w:rPr>
                  <m:t>t</m:t>
                </m:r>
              </m:sub>
              <m:sup>
                <m:r>
                  <w:rPr>
                    <w:rFonts w:ascii="Cambria Math" w:hAnsi="Cambria Math"/>
                  </w:rPr>
                  <m:t>'</m:t>
                </m:r>
              </m:sup>
            </m:sSubSup>
          </m:num>
          <m:den>
            <m:sSubSup>
              <m:sSubSupPr>
                <m:ctrlPr>
                  <w:rPr>
                    <w:rFonts w:ascii="Cambria Math" w:hAnsi="Cambria Math"/>
                  </w:rPr>
                </m:ctrlPr>
              </m:sSubSupPr>
              <m:e>
                <m:r>
                  <w:rPr>
                    <w:rFonts w:ascii="Cambria Math" w:hAnsi="Cambria Math"/>
                  </w:rPr>
                  <m:t>1-X</m:t>
                </m:r>
              </m:e>
              <m:sub>
                <m:r>
                  <w:rPr>
                    <w:rFonts w:ascii="Cambria Math" w:hAnsi="Cambria Math"/>
                  </w:rPr>
                  <m:t>0</m:t>
                </m:r>
              </m:sub>
              <m:sup/>
            </m:sSubSup>
          </m:den>
        </m:f>
      </m:oMath>
      <w:r w:rsidR="00FD0BEC" w:rsidRPr="00FD0BEC">
        <w:t xml:space="preserve"> </w:t>
      </w:r>
    </w:p>
    <w:p w:rsidR="00FD0BEC" w:rsidRPr="00FD0BEC" w:rsidRDefault="00FD0BEC" w:rsidP="00FD0BEC">
      <w:r w:rsidRPr="00FD0BEC">
        <w:t>Where:</w:t>
      </w:r>
    </w:p>
    <w:p w:rsidR="00FD0BEC" w:rsidRPr="00FD0BEC" w:rsidRDefault="000C18DC" w:rsidP="00FD0BEC">
      <w:pPr>
        <w:pStyle w:val="AERbulletlistfirststyle"/>
      </w:pPr>
      <m:oMath>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AR</m:t>
                </m:r>
              </m:e>
              <m:sub>
                <m:r>
                  <m:rPr>
                    <m:sty m:val="p"/>
                  </m:rPr>
                  <w:rPr>
                    <w:rFonts w:ascii="Cambria Math" w:hAnsi="Cambria Math"/>
                  </w:rPr>
                  <m:t>2014–15</m:t>
                </m:r>
              </m:sub>
            </m:sSub>
            <m:r>
              <m:rPr>
                <m:sty m:val="p"/>
              </m:rPr>
              <w:rPr>
                <w:rFonts w:ascii="Cambria Math" w:hAnsi="Cambria Math"/>
              </w:rPr>
              <m:t>-</m:t>
            </m:r>
            <m:sSub>
              <m:sSubPr>
                <m:ctrlPr>
                  <w:rPr>
                    <w:rFonts w:ascii="Cambria Math" w:hAnsi="Cambria Math"/>
                  </w:rPr>
                </m:ctrlPr>
              </m:sSubPr>
              <m:e>
                <m:r>
                  <w:rPr>
                    <w:rFonts w:ascii="Cambria Math" w:hAnsi="Cambria Math"/>
                  </w:rPr>
                  <m:t>AR</m:t>
                </m:r>
              </m:e>
              <m:sub>
                <m:r>
                  <m:rPr>
                    <m:sty m:val="p"/>
                  </m:rPr>
                  <w:rPr>
                    <w:rFonts w:ascii="Cambria Math" w:hAnsi="Cambria Math"/>
                  </w:rPr>
                  <m:t>2015–16</m:t>
                </m:r>
              </m:sub>
            </m:sSub>
          </m:num>
          <m:den>
            <m:sSub>
              <m:sSubPr>
                <m:ctrlPr>
                  <w:rPr>
                    <w:rFonts w:ascii="Cambria Math" w:hAnsi="Cambria Math"/>
                  </w:rPr>
                </m:ctrlPr>
              </m:sSubPr>
              <m:e>
                <m:r>
                  <w:rPr>
                    <w:rFonts w:ascii="Cambria Math" w:hAnsi="Cambria Math"/>
                  </w:rPr>
                  <m:t>AR</m:t>
                </m:r>
              </m:e>
              <m:sub>
                <m:r>
                  <m:rPr>
                    <m:sty m:val="p"/>
                  </m:rPr>
                  <w:rPr>
                    <w:rFonts w:ascii="Cambria Math" w:hAnsi="Cambria Math"/>
                  </w:rPr>
                  <m:t>2014–15</m:t>
                </m:r>
              </m:sub>
            </m:sSub>
          </m:den>
        </m:f>
      </m:oMath>
      <w:r w:rsidR="00FD0BEC" w:rsidRPr="00FD0BEC">
        <w:t xml:space="preserve"> </w:t>
      </w:r>
    </w:p>
    <w:p w:rsidR="00FD0BEC" w:rsidRPr="00FD0BEC" w:rsidRDefault="000C18DC" w:rsidP="00FD0BEC">
      <w:pPr>
        <w:pStyle w:val="AERbulletlistfirststyle"/>
      </w:pPr>
      <m:oMath>
        <m:sSub>
          <m:sSubPr>
            <m:ctrlPr>
              <w:rPr>
                <w:rFonts w:ascii="Cambria Math" w:hAnsi="Cambria Math"/>
              </w:rPr>
            </m:ctrlPr>
          </m:sSubPr>
          <m:e>
            <m:r>
              <w:rPr>
                <w:rFonts w:ascii="Cambria Math" w:hAnsi="Cambria Math"/>
              </w:rPr>
              <m:t>AR</m:t>
            </m:r>
          </m:e>
          <m:sub>
            <m:r>
              <m:rPr>
                <m:sty m:val="p"/>
              </m:rPr>
              <w:rPr>
                <w:rFonts w:ascii="Cambria Math" w:hAnsi="Cambria Math"/>
              </w:rPr>
              <m:t>2014–15</m:t>
            </m:r>
          </m:sub>
        </m:sSub>
      </m:oMath>
      <w:r w:rsidR="00FD0BEC" w:rsidRPr="00FD0BEC">
        <w:t xml:space="preserve"> is </w:t>
      </w:r>
      <w:r w:rsidR="00FD0BEC">
        <w:t>SA Power Networks</w:t>
      </w:r>
      <w:r w:rsidR="00FD0BEC" w:rsidRPr="00FD0BEC">
        <w:t xml:space="preserve">' approved revenue in the 2014–15 pricing proposal </w:t>
      </w:r>
    </w:p>
    <w:p w:rsidR="00FD0BEC" w:rsidRDefault="000C18DC" w:rsidP="00FD0BEC">
      <w:pPr>
        <w:pStyle w:val="AERbulletlistfirststyle"/>
      </w:pPr>
      <m:oMath>
        <m:sSub>
          <m:sSubPr>
            <m:ctrlPr>
              <w:rPr>
                <w:rFonts w:ascii="Cambria Math" w:hAnsi="Cambria Math"/>
              </w:rPr>
            </m:ctrlPr>
          </m:sSubPr>
          <m:e>
            <m:r>
              <w:rPr>
                <w:rFonts w:ascii="Cambria Math" w:hAnsi="Cambria Math"/>
              </w:rPr>
              <m:t>AR</m:t>
            </m:r>
          </m:e>
          <m:sub>
            <m:r>
              <m:rPr>
                <m:sty m:val="p"/>
              </m:rPr>
              <w:rPr>
                <w:rFonts w:ascii="Cambria Math" w:hAnsi="Cambria Math"/>
              </w:rPr>
              <m:t>2015–16</m:t>
            </m:r>
          </m:sub>
        </m:sSub>
      </m:oMath>
      <w:r w:rsidR="00FD0BEC" w:rsidRPr="00FD0BEC">
        <w:t xml:space="preserve"> is </w:t>
      </w:r>
      <w:r w:rsidR="00FD0BEC">
        <w:t>SA Power Networks</w:t>
      </w:r>
      <w:r w:rsidR="00FD0BEC" w:rsidRPr="00FD0BEC">
        <w:t xml:space="preserve">' allowable revenue </w:t>
      </w:r>
      <w:r w:rsidR="00AF74DF">
        <w:t xml:space="preserve">in the </w:t>
      </w:r>
      <w:r w:rsidR="00FD0BEC" w:rsidRPr="00FD0BEC">
        <w:t>final determination 2015–20.</w:t>
      </w:r>
    </w:p>
    <w:p w:rsidR="00DC600C" w:rsidRDefault="00DC600C" w:rsidP="003A4F37">
      <w:pPr>
        <w:pStyle w:val="HeadingBoldBlue"/>
      </w:pPr>
      <w:bookmarkStart w:id="46" w:name="_Toc433033300"/>
      <w:r>
        <w:t>Submissions</w:t>
      </w:r>
      <w:bookmarkEnd w:id="46"/>
    </w:p>
    <w:p w:rsidR="00DC600C" w:rsidRDefault="00DC600C" w:rsidP="00003B9B">
      <w:r>
        <w:t xml:space="preserve">We received a submission from the </w:t>
      </w:r>
      <w:r w:rsidR="00003B9B" w:rsidRPr="00003B9B">
        <w:t xml:space="preserve">Energy Consumers Coalition of South Australia </w:t>
      </w:r>
      <w:r w:rsidR="003A4F37">
        <w:t xml:space="preserve">(ECCSA) </w:t>
      </w:r>
      <w:r>
        <w:t>recommending that:</w:t>
      </w:r>
    </w:p>
    <w:p w:rsidR="00003B9B" w:rsidRPr="00003B9B" w:rsidRDefault="00DC600C" w:rsidP="002656A8">
      <w:pPr>
        <w:pStyle w:val="AERquote"/>
      </w:pPr>
      <w:r>
        <w:t xml:space="preserve">…STPIS </w:t>
      </w:r>
      <w:r w:rsidR="00003B9B" w:rsidRPr="00003B9B">
        <w:t>targets should be set on a moving average of the most recent 4-5 year performance rather than on static numbers set at the start of a regulatory period. This would modify the STPIS targets to include the outcomes of the opex and capex used each year.</w:t>
      </w:r>
      <w:r w:rsidR="002656A8">
        <w:rPr>
          <w:rStyle w:val="FootnoteReference"/>
        </w:rPr>
        <w:footnoteReference w:id="20"/>
      </w:r>
    </w:p>
    <w:p w:rsidR="002656A8" w:rsidRDefault="002656A8" w:rsidP="002656A8">
      <w:pPr>
        <w:rPr>
          <w:rStyle w:val="AERbody"/>
        </w:rPr>
      </w:pPr>
      <w:r>
        <w:rPr>
          <w:rStyle w:val="AERbody"/>
        </w:rPr>
        <w:t xml:space="preserve">We consider that ECCSA's submission regarding the STPIS targets relates to the design of the STPIS and should be considered when we review the scheme. </w:t>
      </w:r>
    </w:p>
    <w:p w:rsidR="00003B9B" w:rsidRPr="00003B9B" w:rsidRDefault="00003B9B" w:rsidP="00003B9B"/>
    <w:sectPr w:rsidR="00003B9B" w:rsidRPr="00003B9B"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870" w:rsidRPr="00290C63" w:rsidRDefault="00DD1870" w:rsidP="00290C63">
      <w:r>
        <w:separator/>
      </w:r>
    </w:p>
    <w:p w:rsidR="00DD1870" w:rsidRDefault="00DD1870"/>
  </w:endnote>
  <w:endnote w:type="continuationSeparator" w:id="0">
    <w:p w:rsidR="00DD1870" w:rsidRPr="00290C63" w:rsidRDefault="00DD1870" w:rsidP="00290C63">
      <w:r>
        <w:continuationSeparator/>
      </w:r>
    </w:p>
    <w:p w:rsidR="00DD1870" w:rsidRDefault="00DD1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870" w:rsidRPr="00290C63" w:rsidRDefault="00DD1870"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DD1870" w:rsidRDefault="00DD1870"/>
  <w:p w:rsidR="00DD1870" w:rsidRDefault="00DD1870"/>
  <w:p w:rsidR="00DD1870" w:rsidRDefault="00DD1870"/>
  <w:p w:rsidR="00DD1870" w:rsidRDefault="00DD1870"/>
  <w:p w:rsidR="00DD1870" w:rsidRDefault="00DD1870"/>
  <w:p w:rsidR="00DD1870" w:rsidRDefault="00DD1870"/>
  <w:p w:rsidR="00DD1870" w:rsidRDefault="00DD18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DD1870" w:rsidRDefault="00DD1870">
        <w:pPr>
          <w:pStyle w:val="Footer"/>
        </w:pPr>
        <w:r>
          <w:t>11-</w:t>
        </w:r>
        <w:r>
          <w:fldChar w:fldCharType="begin"/>
        </w:r>
        <w:r>
          <w:instrText xml:space="preserve"> PAGE   \* MERGEFORMAT </w:instrText>
        </w:r>
        <w:r>
          <w:fldChar w:fldCharType="separate"/>
        </w:r>
        <w:r w:rsidR="00A052C5">
          <w:rPr>
            <w:noProof/>
          </w:rPr>
          <w:t>13</w:t>
        </w:r>
        <w:r>
          <w:rPr>
            <w:noProof/>
          </w:rPr>
          <w:fldChar w:fldCharType="end"/>
        </w:r>
        <w:r>
          <w:rPr>
            <w:noProof/>
          </w:rPr>
          <w:t xml:space="preserve">      </w:t>
        </w:r>
        <w:r>
          <w:t xml:space="preserve">           </w:t>
        </w:r>
        <w:r>
          <w:rPr>
            <w:noProof/>
          </w:rPr>
          <w:t xml:space="preserve">  Attachment 1</w:t>
        </w:r>
        <w:r>
          <w:t>1</w:t>
        </w:r>
        <w:r>
          <w:rPr>
            <w:noProof/>
          </w:rPr>
          <w:t xml:space="preserve"> </w:t>
        </w:r>
        <w:r>
          <w:rPr>
            <w:rFonts w:cs="Gautami"/>
            <w:noProof/>
          </w:rPr>
          <w:t xml:space="preserve">– </w:t>
        </w:r>
        <w:r>
          <w:t>STPIS</w:t>
        </w:r>
        <w:r>
          <w:rPr>
            <w:rFonts w:cs="Gautami"/>
            <w:noProof/>
          </w:rPr>
          <w:t xml:space="preserve"> | </w:t>
        </w:r>
        <w:r>
          <w:t>SA Power Networks</w:t>
        </w:r>
        <w:r>
          <w:rPr>
            <w:rFonts w:cs="Gautami"/>
            <w:noProof/>
          </w:rPr>
          <w:t xml:space="preserve"> determination 2015–20</w:t>
        </w:r>
      </w:p>
    </w:sdtContent>
  </w:sdt>
  <w:p w:rsidR="00DD1870" w:rsidRDefault="00DD18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870" w:rsidRPr="00290C63" w:rsidRDefault="00DD1870"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DD1870" w:rsidRDefault="00DD1870">
    <w:pPr>
      <w:pStyle w:val="Footer"/>
    </w:pPr>
  </w:p>
  <w:p w:rsidR="00DD1870" w:rsidRDefault="00DD1870"/>
  <w:p w:rsidR="00DD1870" w:rsidRDefault="00DD1870"/>
  <w:p w:rsidR="00DD1870" w:rsidRDefault="00DD1870"/>
  <w:p w:rsidR="00DD1870" w:rsidRDefault="00DD1870"/>
  <w:p w:rsidR="00DD1870" w:rsidRDefault="00DD1870"/>
  <w:p w:rsidR="00DD1870" w:rsidRDefault="00DD1870"/>
  <w:p w:rsidR="00DD1870" w:rsidRDefault="00DD18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870" w:rsidRPr="00290C63" w:rsidRDefault="00DD1870" w:rsidP="00290C63">
      <w:r>
        <w:separator/>
      </w:r>
    </w:p>
    <w:p w:rsidR="00DD1870" w:rsidRDefault="00DD1870"/>
  </w:footnote>
  <w:footnote w:type="continuationSeparator" w:id="0">
    <w:p w:rsidR="00DD1870" w:rsidRPr="00290C63" w:rsidRDefault="00DD1870" w:rsidP="00290C63">
      <w:r>
        <w:continuationSeparator/>
      </w:r>
    </w:p>
    <w:p w:rsidR="00DD1870" w:rsidRDefault="00DD1870"/>
  </w:footnote>
  <w:footnote w:id="1">
    <w:p w:rsidR="00DD1870" w:rsidRDefault="00DD1870" w:rsidP="00870956">
      <w:pPr>
        <w:pStyle w:val="FootnoteText"/>
      </w:pPr>
      <w:r>
        <w:rPr>
          <w:rStyle w:val="FootnoteReference"/>
        </w:rPr>
        <w:footnoteRef/>
      </w:r>
      <w:r>
        <w:t xml:space="preserve"> </w:t>
      </w:r>
      <w:r>
        <w:tab/>
      </w:r>
      <w:r w:rsidRPr="005D44E7">
        <w:t xml:space="preserve">AER, </w:t>
      </w:r>
      <w:r w:rsidRPr="000565BE">
        <w:rPr>
          <w:rStyle w:val="AERtextitalic"/>
        </w:rPr>
        <w:t>Electricity distribution network service providers—service target performance incentive scheme</w:t>
      </w:r>
      <w:r w:rsidRPr="005D44E7">
        <w:t xml:space="preserve">, 1 November 2009. (AER, </w:t>
      </w:r>
      <w:r w:rsidRPr="000565BE">
        <w:rPr>
          <w:rStyle w:val="AERtextitalic"/>
        </w:rPr>
        <w:t>STPIS</w:t>
      </w:r>
      <w:r w:rsidRPr="005D44E7">
        <w:t>, Nov</w:t>
      </w:r>
      <w:r>
        <w:t>ember</w:t>
      </w:r>
      <w:r w:rsidRPr="005D44E7">
        <w:t xml:space="preserve"> 2009).</w:t>
      </w:r>
    </w:p>
  </w:footnote>
  <w:footnote w:id="2">
    <w:p w:rsidR="00DD1870" w:rsidRDefault="00DD1870" w:rsidP="00280E8C">
      <w:pPr>
        <w:pStyle w:val="FootnoteText"/>
      </w:pPr>
      <w:r>
        <w:rPr>
          <w:rStyle w:val="FootnoteReference"/>
        </w:rPr>
        <w:footnoteRef/>
      </w:r>
      <w:r>
        <w:t xml:space="preserve"> </w:t>
      </w:r>
      <w:r>
        <w:tab/>
      </w:r>
      <w:r w:rsidRPr="004A3BB4">
        <w:t>SA Power</w:t>
      </w:r>
      <w:r>
        <w:t xml:space="preserve"> </w:t>
      </w:r>
      <w:r w:rsidRPr="004A3BB4">
        <w:t xml:space="preserve">Networks, </w:t>
      </w:r>
      <w:r w:rsidRPr="004A3BB4">
        <w:rPr>
          <w:rStyle w:val="AERtextitalic"/>
        </w:rPr>
        <w:t>Revised Regulatory Proposal 2015-2020</w:t>
      </w:r>
      <w:r w:rsidRPr="004A3BB4">
        <w:t>, July 2015, p. 314.</w:t>
      </w:r>
    </w:p>
  </w:footnote>
  <w:footnote w:id="3">
    <w:p w:rsidR="00DD1870" w:rsidRDefault="00DD1870">
      <w:pPr>
        <w:pStyle w:val="FootnoteText"/>
      </w:pPr>
      <w:r>
        <w:rPr>
          <w:rStyle w:val="FootnoteReference"/>
        </w:rPr>
        <w:footnoteRef/>
      </w:r>
      <w:r>
        <w:t xml:space="preserve"> </w:t>
      </w:r>
      <w:r>
        <w:tab/>
        <w:t xml:space="preserve">SA Power Networks, </w:t>
      </w:r>
      <w:r w:rsidRPr="00251769">
        <w:rPr>
          <w:rStyle w:val="AERtextitalic"/>
        </w:rPr>
        <w:t>Revised Regulatory Proposal 2015-2020</w:t>
      </w:r>
      <w:r>
        <w:t>, July 2015, pp. 314–15.</w:t>
      </w:r>
    </w:p>
  </w:footnote>
  <w:footnote w:id="4">
    <w:p w:rsidR="00DD1870" w:rsidRDefault="00DD1870">
      <w:pPr>
        <w:pStyle w:val="FootnoteText"/>
      </w:pPr>
      <w:r>
        <w:rPr>
          <w:rStyle w:val="FootnoteReference"/>
        </w:rPr>
        <w:footnoteRef/>
      </w:r>
      <w:r>
        <w:t xml:space="preserve"> </w:t>
      </w:r>
      <w:r>
        <w:tab/>
        <w:t>NER, cl. 6.12.1(9).</w:t>
      </w:r>
    </w:p>
  </w:footnote>
  <w:footnote w:id="5">
    <w:p w:rsidR="00DD1870" w:rsidRDefault="00DD1870">
      <w:pPr>
        <w:pStyle w:val="FootnoteText"/>
      </w:pPr>
      <w:r>
        <w:rPr>
          <w:rStyle w:val="FootnoteReference"/>
        </w:rPr>
        <w:footnoteRef/>
      </w:r>
      <w:r>
        <w:t xml:space="preserve"> </w:t>
      </w:r>
      <w:r>
        <w:tab/>
        <w:t>AER, STPIS, cl. 2.1(d).</w:t>
      </w:r>
    </w:p>
  </w:footnote>
  <w:footnote w:id="6">
    <w:p w:rsidR="00DD1870" w:rsidRDefault="00DD1870" w:rsidP="00AB4BB7">
      <w:pPr>
        <w:pStyle w:val="FootnoteText"/>
      </w:pPr>
      <w:r>
        <w:rPr>
          <w:rStyle w:val="FootnoteReference"/>
        </w:rPr>
        <w:footnoteRef/>
      </w:r>
      <w:r>
        <w:t xml:space="preserve"> </w:t>
      </w:r>
      <w:r>
        <w:tab/>
      </w:r>
      <w:r w:rsidRPr="00F355BA">
        <w:t xml:space="preserve">AER, </w:t>
      </w:r>
      <w:r w:rsidRPr="00F355BA">
        <w:rPr>
          <w:rStyle w:val="AERtextitalic"/>
        </w:rPr>
        <w:t>Final framework and approach for SA Power Networks Regulatory control period commencing 1 July 2015</w:t>
      </w:r>
      <w:r>
        <w:t>, April 2014, p. 5</w:t>
      </w:r>
      <w:r w:rsidRPr="00F355BA">
        <w:t>4.</w:t>
      </w:r>
    </w:p>
  </w:footnote>
  <w:footnote w:id="7">
    <w:p w:rsidR="00DD1870" w:rsidRDefault="00DD1870" w:rsidP="00AB4BB7">
      <w:pPr>
        <w:pStyle w:val="FootnoteText"/>
      </w:pPr>
      <w:r>
        <w:rPr>
          <w:rStyle w:val="FootnoteReference"/>
        </w:rPr>
        <w:footnoteRef/>
      </w:r>
      <w:r>
        <w:t xml:space="preserve"> </w:t>
      </w:r>
      <w:r>
        <w:tab/>
      </w:r>
      <w:r w:rsidRPr="00881D15">
        <w:t xml:space="preserve">AER, </w:t>
      </w:r>
      <w:r w:rsidRPr="00170B0D">
        <w:rPr>
          <w:rStyle w:val="AERtextitalic"/>
        </w:rPr>
        <w:t>STPIS</w:t>
      </w:r>
      <w:r w:rsidRPr="00881D15">
        <w:t>, November 2009, cl</w:t>
      </w:r>
      <w:r>
        <w:t>.</w:t>
      </w:r>
      <w:r w:rsidRPr="00881D15">
        <w:t xml:space="preserve"> </w:t>
      </w:r>
      <w:r>
        <w:t>1.8</w:t>
      </w:r>
      <w:r w:rsidRPr="00881D15">
        <w:t>(</w:t>
      </w:r>
      <w:r>
        <w:t>f</w:t>
      </w:r>
      <w:r w:rsidRPr="00881D15">
        <w:t>).</w:t>
      </w:r>
    </w:p>
  </w:footnote>
  <w:footnote w:id="8">
    <w:p w:rsidR="00DD1870" w:rsidRDefault="00DD1870" w:rsidP="00507234">
      <w:pPr>
        <w:pStyle w:val="FootnoteText"/>
      </w:pPr>
      <w:r>
        <w:rPr>
          <w:rStyle w:val="FootnoteReference"/>
        </w:rPr>
        <w:footnoteRef/>
      </w:r>
      <w:r>
        <w:t xml:space="preserve"> </w:t>
      </w:r>
      <w:r>
        <w:tab/>
        <w:t>NER, cl. 6.6.2(b)(3)(iv).</w:t>
      </w:r>
    </w:p>
  </w:footnote>
  <w:footnote w:id="9">
    <w:p w:rsidR="00DD1870" w:rsidRDefault="00DD1870" w:rsidP="00507234">
      <w:pPr>
        <w:pStyle w:val="FootnoteText"/>
      </w:pPr>
      <w:r>
        <w:rPr>
          <w:rStyle w:val="FootnoteReference"/>
        </w:rPr>
        <w:footnoteRef/>
      </w:r>
      <w:r>
        <w:t xml:space="preserve"> </w:t>
      </w:r>
      <w:r>
        <w:tab/>
        <w:t xml:space="preserve">AER, </w:t>
      </w:r>
      <w:r w:rsidRPr="008A5AB3">
        <w:rPr>
          <w:rStyle w:val="AERtextitalic"/>
        </w:rPr>
        <w:t>STPIS</w:t>
      </w:r>
      <w:r>
        <w:t>, November 2009, cl. 1.5(b)(5).</w:t>
      </w:r>
    </w:p>
  </w:footnote>
  <w:footnote w:id="10">
    <w:p w:rsidR="00DD1870" w:rsidRDefault="00DD1870" w:rsidP="00507234">
      <w:pPr>
        <w:pStyle w:val="FootnoteText"/>
      </w:pPr>
      <w:r>
        <w:rPr>
          <w:rStyle w:val="FootnoteReference"/>
        </w:rPr>
        <w:footnoteRef/>
      </w:r>
      <w:r>
        <w:t xml:space="preserve"> </w:t>
      </w:r>
      <w:r>
        <w:tab/>
      </w:r>
      <w:r w:rsidRPr="002316EC">
        <w:t>AER</w:t>
      </w:r>
      <w:r w:rsidRPr="002316EC">
        <w:rPr>
          <w:rStyle w:val="AERtextitalic"/>
        </w:rPr>
        <w:t>, Final framework and approach for the Victorian Electricity Distributors, regulatory control period commencing 1 January 2016</w:t>
      </w:r>
      <w:r w:rsidRPr="002316EC">
        <w:t>, 24 October 2014</w:t>
      </w:r>
      <w:r>
        <w:t>, pp. 96–97.</w:t>
      </w:r>
    </w:p>
  </w:footnote>
  <w:footnote w:id="11">
    <w:p w:rsidR="00DD1870" w:rsidRDefault="00DD1870">
      <w:pPr>
        <w:pStyle w:val="FootnoteText"/>
      </w:pPr>
      <w:r>
        <w:rPr>
          <w:rStyle w:val="FootnoteReference"/>
        </w:rPr>
        <w:footnoteRef/>
      </w:r>
      <w:r>
        <w:t xml:space="preserve"> </w:t>
      </w:r>
      <w:r>
        <w:tab/>
      </w:r>
      <w:r w:rsidRPr="00F355BA">
        <w:t xml:space="preserve">SA Power Networks, </w:t>
      </w:r>
      <w:r w:rsidRPr="00F355BA">
        <w:rPr>
          <w:rStyle w:val="AERtextitalic"/>
        </w:rPr>
        <w:t>Regulatory Proposal 2015-20</w:t>
      </w:r>
      <w:r w:rsidRPr="00F355BA">
        <w:t>, October 2014, p</w:t>
      </w:r>
      <w:r>
        <w:t>p</w:t>
      </w:r>
      <w:r w:rsidRPr="00F355BA">
        <w:t xml:space="preserve">. </w:t>
      </w:r>
      <w:r>
        <w:t>291–</w:t>
      </w:r>
      <w:r w:rsidRPr="00F355BA">
        <w:t>292.</w:t>
      </w:r>
      <w:r>
        <w:t xml:space="preserve"> </w:t>
      </w:r>
    </w:p>
  </w:footnote>
  <w:footnote w:id="12">
    <w:p w:rsidR="00DD1870" w:rsidRDefault="00DD1870" w:rsidP="002B4E97">
      <w:pPr>
        <w:pStyle w:val="FootnoteText"/>
      </w:pPr>
      <w:r>
        <w:rPr>
          <w:rStyle w:val="FootnoteReference"/>
        </w:rPr>
        <w:footnoteRef/>
      </w:r>
      <w:r>
        <w:t xml:space="preserve"> </w:t>
      </w:r>
      <w:r>
        <w:tab/>
      </w:r>
      <w:r w:rsidRPr="00755F8E">
        <w:t xml:space="preserve">AER, </w:t>
      </w:r>
      <w:r w:rsidRPr="00E37324">
        <w:rPr>
          <w:rStyle w:val="AERtextitalic"/>
        </w:rPr>
        <w:t>STPIS</w:t>
      </w:r>
      <w:r>
        <w:t>, November 2009, cl. 5.3.1(a).</w:t>
      </w:r>
    </w:p>
  </w:footnote>
  <w:footnote w:id="13">
    <w:p w:rsidR="00DD1870" w:rsidRDefault="00DD1870" w:rsidP="00507234">
      <w:pPr>
        <w:pStyle w:val="FootnoteText"/>
      </w:pPr>
      <w:r>
        <w:rPr>
          <w:rStyle w:val="FootnoteReference"/>
        </w:rPr>
        <w:footnoteRef/>
      </w:r>
      <w:r>
        <w:t xml:space="preserve"> </w:t>
      </w:r>
      <w:r>
        <w:tab/>
        <w:t xml:space="preserve">AER, </w:t>
      </w:r>
      <w:r w:rsidRPr="000A1C5A">
        <w:rPr>
          <w:rStyle w:val="AERtextitalic"/>
        </w:rPr>
        <w:t>STPIS</w:t>
      </w:r>
      <w:r w:rsidRPr="000A1C5A">
        <w:t xml:space="preserve">, November 2009, </w:t>
      </w:r>
      <w:r>
        <w:t xml:space="preserve">cl. 5.3.2 (a). </w:t>
      </w:r>
    </w:p>
  </w:footnote>
  <w:footnote w:id="14">
    <w:p w:rsidR="00DD1870" w:rsidRDefault="00DD1870">
      <w:pPr>
        <w:pStyle w:val="FootnoteText"/>
      </w:pPr>
      <w:r>
        <w:rPr>
          <w:rStyle w:val="FootnoteReference"/>
        </w:rPr>
        <w:footnoteRef/>
      </w:r>
      <w:r>
        <w:t xml:space="preserve"> </w:t>
      </w:r>
      <w:r>
        <w:tab/>
      </w:r>
      <w:r w:rsidRPr="00F355BA">
        <w:t xml:space="preserve">SA Power Networks, </w:t>
      </w:r>
      <w:r w:rsidRPr="004A29CE">
        <w:rPr>
          <w:rStyle w:val="AERtextitalic"/>
        </w:rPr>
        <w:t>Revised</w:t>
      </w:r>
      <w:r>
        <w:t xml:space="preserve"> </w:t>
      </w:r>
      <w:r w:rsidRPr="00F355BA">
        <w:rPr>
          <w:rStyle w:val="AERtextitalic"/>
        </w:rPr>
        <w:t>Regulatory Proposal 2015-20</w:t>
      </w:r>
      <w:r w:rsidRPr="00F355BA">
        <w:t xml:space="preserve">, October 2014, p. </w:t>
      </w:r>
      <w:r>
        <w:t>314</w:t>
      </w:r>
      <w:r w:rsidRPr="00F355BA">
        <w:t>.</w:t>
      </w:r>
      <w:r>
        <w:t xml:space="preserve">  </w:t>
      </w:r>
    </w:p>
  </w:footnote>
  <w:footnote w:id="15">
    <w:p w:rsidR="00DD1870" w:rsidRDefault="00DD1870">
      <w:pPr>
        <w:pStyle w:val="FootnoteText"/>
      </w:pPr>
      <w:r>
        <w:rPr>
          <w:rStyle w:val="FootnoteReference"/>
        </w:rPr>
        <w:footnoteRef/>
      </w:r>
      <w:r>
        <w:t xml:space="preserve"> </w:t>
      </w:r>
      <w:r>
        <w:tab/>
      </w:r>
      <w:r w:rsidRPr="00F355BA">
        <w:t xml:space="preserve">SA Power Networks, </w:t>
      </w:r>
      <w:r w:rsidRPr="00104FD3">
        <w:rPr>
          <w:rStyle w:val="AERtextitalic"/>
        </w:rPr>
        <w:t>Revised</w:t>
      </w:r>
      <w:r>
        <w:t xml:space="preserve"> </w:t>
      </w:r>
      <w:r w:rsidRPr="00F355BA">
        <w:rPr>
          <w:rStyle w:val="AERtextitalic"/>
        </w:rPr>
        <w:t>Regulatory Proposal 2015-20</w:t>
      </w:r>
      <w:r w:rsidRPr="00F355BA">
        <w:t xml:space="preserve">, October 2014, p. </w:t>
      </w:r>
      <w:r>
        <w:t>314</w:t>
      </w:r>
      <w:r w:rsidRPr="00F355BA">
        <w:t>.</w:t>
      </w:r>
      <w:r>
        <w:t xml:space="preserve">  </w:t>
      </w:r>
    </w:p>
  </w:footnote>
  <w:footnote w:id="16">
    <w:p w:rsidR="00DD1870" w:rsidRDefault="00DD1870" w:rsidP="00563B53">
      <w:pPr>
        <w:pStyle w:val="FootnoteText"/>
      </w:pPr>
      <w:r>
        <w:rPr>
          <w:rStyle w:val="FootnoteReference"/>
        </w:rPr>
        <w:footnoteRef/>
      </w:r>
      <w:r>
        <w:t xml:space="preserve"> </w:t>
      </w:r>
      <w:r>
        <w:tab/>
        <w:t xml:space="preserve">SA Power Networks, </w:t>
      </w:r>
      <w:r w:rsidRPr="00251769">
        <w:rPr>
          <w:rStyle w:val="AERtextitalic"/>
        </w:rPr>
        <w:t>Revised Regulatory Proposal 2015-2020</w:t>
      </w:r>
      <w:r>
        <w:t>, July 2015, pp. 314–15.</w:t>
      </w:r>
    </w:p>
  </w:footnote>
  <w:footnote w:id="17">
    <w:p w:rsidR="00DD1870" w:rsidRDefault="00DD1870">
      <w:pPr>
        <w:pStyle w:val="FootnoteText"/>
      </w:pPr>
      <w:r>
        <w:rPr>
          <w:rStyle w:val="FootnoteReference"/>
        </w:rPr>
        <w:footnoteRef/>
      </w:r>
      <w:r>
        <w:t xml:space="preserve"> </w:t>
      </w:r>
      <w:r>
        <w:tab/>
        <w:t xml:space="preserve">SA Power Networks, </w:t>
      </w:r>
      <w:r w:rsidRPr="00251769">
        <w:rPr>
          <w:rStyle w:val="AERtextitalic"/>
        </w:rPr>
        <w:t>Revised Regulatory Proposal 2015-2020</w:t>
      </w:r>
      <w:r>
        <w:t>, July 2015, pp. 314–15.</w:t>
      </w:r>
    </w:p>
  </w:footnote>
  <w:footnote w:id="18">
    <w:p w:rsidR="00DD1870" w:rsidRDefault="00DD1870" w:rsidP="001F4F5C">
      <w:pPr>
        <w:pStyle w:val="FootnoteText"/>
      </w:pPr>
      <w:r>
        <w:rPr>
          <w:rStyle w:val="FootnoteReference"/>
        </w:rPr>
        <w:footnoteRef/>
      </w:r>
      <w:r>
        <w:t xml:space="preserve"> </w:t>
      </w:r>
      <w:r>
        <w:tab/>
        <w:t xml:space="preserve">AER, </w:t>
      </w:r>
      <w:r w:rsidRPr="008A5AB3">
        <w:rPr>
          <w:rStyle w:val="AERtextitalic"/>
        </w:rPr>
        <w:t>STPIS</w:t>
      </w:r>
      <w:r>
        <w:t>, November 2009, appendix C.</w:t>
      </w:r>
    </w:p>
  </w:footnote>
  <w:footnote w:id="19">
    <w:p w:rsidR="00DD1870" w:rsidRDefault="00DD1870" w:rsidP="00E937AF">
      <w:pPr>
        <w:pStyle w:val="FootnoteText"/>
      </w:pPr>
      <w:r>
        <w:rPr>
          <w:rStyle w:val="FootnoteReference"/>
        </w:rPr>
        <w:footnoteRef/>
      </w:r>
      <w:r>
        <w:t xml:space="preserve"> </w:t>
      </w:r>
      <w:r>
        <w:tab/>
        <w:t xml:space="preserve">AER, </w:t>
      </w:r>
      <w:r w:rsidRPr="008A5AB3">
        <w:rPr>
          <w:rStyle w:val="AERtextitalic"/>
        </w:rPr>
        <w:t>STPIS</w:t>
      </w:r>
      <w:r>
        <w:t>, November 2009, Appendix C, pp. 33–34.</w:t>
      </w:r>
    </w:p>
  </w:footnote>
  <w:footnote w:id="20">
    <w:p w:rsidR="00DD1870" w:rsidRDefault="00DD1870">
      <w:pPr>
        <w:pStyle w:val="FootnoteText"/>
      </w:pPr>
      <w:r>
        <w:rPr>
          <w:rStyle w:val="FootnoteReference"/>
        </w:rPr>
        <w:footnoteRef/>
      </w:r>
      <w:r>
        <w:t xml:space="preserve"> </w:t>
      </w:r>
      <w:r>
        <w:tab/>
      </w:r>
      <w:r w:rsidRPr="002656A8">
        <w:t>Energy Consumers Coalition of South Australia</w:t>
      </w:r>
      <w:r>
        <w:t xml:space="preserve">, </w:t>
      </w:r>
      <w:r w:rsidRPr="00431938">
        <w:rPr>
          <w:rStyle w:val="AERtextitalic"/>
        </w:rPr>
        <w:t>Submission on SAPN's regulatory proposal</w:t>
      </w:r>
      <w:r>
        <w:t>,</w:t>
      </w:r>
      <w:r w:rsidRPr="002656A8">
        <w:t xml:space="preserve"> June 2015, p</w:t>
      </w:r>
      <w:r>
        <w:t>p.</w:t>
      </w:r>
      <w:r w:rsidRPr="002656A8">
        <w:t xml:space="preserve"> 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741497"/>
    <w:multiLevelType w:val="hybridMultilevel"/>
    <w:tmpl w:val="33C2EF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95C7239"/>
    <w:multiLevelType w:val="multilevel"/>
    <w:tmpl w:val="950A1C52"/>
    <w:numStyleLink w:val="AERHeadings"/>
  </w:abstractNum>
  <w:abstractNum w:abstractNumId="2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49327AC"/>
    <w:multiLevelType w:val="multilevel"/>
    <w:tmpl w:val="950A1C52"/>
    <w:numStyleLink w:val="AERHeadings"/>
  </w:abstractNum>
  <w:abstractNum w:abstractNumId="2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5">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3">
    <w:nsid w:val="5ECE4384"/>
    <w:multiLevelType w:val="multilevel"/>
    <w:tmpl w:val="62F0EC10"/>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5">
    <w:nsid w:val="6DE36827"/>
    <w:multiLevelType w:val="multilevel"/>
    <w:tmpl w:val="950A1C52"/>
    <w:numStyleLink w:val="AERHeadings"/>
  </w:abstractNum>
  <w:abstractNum w:abstractNumId="3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E5D0E08"/>
    <w:multiLevelType w:val="multilevel"/>
    <w:tmpl w:val="EFEA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3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4"/>
  </w:num>
  <w:num w:numId="13">
    <w:abstractNumId w:val="25"/>
  </w:num>
  <w:num w:numId="14">
    <w:abstractNumId w:val="10"/>
  </w:num>
  <w:num w:numId="15">
    <w:abstractNumId w:val="13"/>
  </w:num>
  <w:num w:numId="16">
    <w:abstractNumId w:val="28"/>
  </w:num>
  <w:num w:numId="17">
    <w:abstractNumId w:val="9"/>
  </w:num>
  <w:num w:numId="18">
    <w:abstractNumId w:val="18"/>
  </w:num>
  <w:num w:numId="19">
    <w:abstractNumId w:val="29"/>
  </w:num>
  <w:num w:numId="20">
    <w:abstractNumId w:val="36"/>
  </w:num>
  <w:num w:numId="21">
    <w:abstractNumId w:val="14"/>
  </w:num>
  <w:num w:numId="22">
    <w:abstractNumId w:val="32"/>
  </w:num>
  <w:num w:numId="23">
    <w:abstractNumId w:val="30"/>
  </w:num>
  <w:num w:numId="24">
    <w:abstractNumId w:val="21"/>
  </w:num>
  <w:num w:numId="25">
    <w:abstractNumId w:val="31"/>
  </w:num>
  <w:num w:numId="26">
    <w:abstractNumId w:val="33"/>
  </w:num>
  <w:num w:numId="27">
    <w:abstractNumId w:val="23"/>
  </w:num>
  <w:num w:numId="28">
    <w:abstractNumId w:val="20"/>
  </w:num>
  <w:num w:numId="29">
    <w:abstractNumId w:val="17"/>
  </w:num>
  <w:num w:numId="30">
    <w:abstractNumId w:val="37"/>
  </w:num>
  <w:num w:numId="31">
    <w:abstractNumId w:val="15"/>
  </w:num>
  <w:num w:numId="32">
    <w:abstractNumId w:val="26"/>
  </w:num>
  <w:num w:numId="33">
    <w:abstractNumId w:val="21"/>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5"/>
  </w:num>
  <w:num w:numId="37">
    <w:abstractNumId w:val="22"/>
  </w:num>
  <w:num w:numId="38">
    <w:abstractNumId w:val="27"/>
  </w:num>
  <w:num w:numId="39">
    <w:abstractNumId w:val="19"/>
  </w:num>
  <w:num w:numId="40">
    <w:abstractNumId w:val="38"/>
  </w:num>
  <w:num w:numId="41">
    <w:abstractNumId w:val="39"/>
  </w:num>
  <w:num w:numId="42">
    <w:abstractNumId w:val="8"/>
    <w:lvlOverride w:ilvl="0">
      <w:startOverride w:val="1"/>
    </w:lvlOverride>
  </w:num>
  <w:num w:numId="43">
    <w:abstractNumId w:val="11"/>
  </w:num>
  <w:num w:numId="44">
    <w:abstractNumId w:val="16"/>
  </w:num>
  <w:num w:numId="45">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b4E08GQCdWdrfeS9TmqSe+6kVB3YLr9ih76PHSmQnYc=" w:saltValue="WXs9WH4ctvSOo/IVCx1FUQ==" w:algorithmName="SHA-256"/>
  <w:defaultTabStop w:val="340"/>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688\AER15 2543  Energex - Final decision - Attach 11 - STPIS.DOCX"/>
  </w:docVars>
  <w:rsids>
    <w:rsidRoot w:val="00961A4A"/>
    <w:rsid w:val="000003BC"/>
    <w:rsid w:val="00003B9B"/>
    <w:rsid w:val="00007B4A"/>
    <w:rsid w:val="00017C70"/>
    <w:rsid w:val="00020563"/>
    <w:rsid w:val="00020CFD"/>
    <w:rsid w:val="00021202"/>
    <w:rsid w:val="0002517F"/>
    <w:rsid w:val="0002744A"/>
    <w:rsid w:val="0003578C"/>
    <w:rsid w:val="000402FE"/>
    <w:rsid w:val="000425B0"/>
    <w:rsid w:val="0004707E"/>
    <w:rsid w:val="00052213"/>
    <w:rsid w:val="00063247"/>
    <w:rsid w:val="000656D7"/>
    <w:rsid w:val="00070F9F"/>
    <w:rsid w:val="0007137B"/>
    <w:rsid w:val="00080356"/>
    <w:rsid w:val="00085663"/>
    <w:rsid w:val="00085E7B"/>
    <w:rsid w:val="00085EBF"/>
    <w:rsid w:val="00090759"/>
    <w:rsid w:val="000A3020"/>
    <w:rsid w:val="000A6C7B"/>
    <w:rsid w:val="000B054C"/>
    <w:rsid w:val="000B34B1"/>
    <w:rsid w:val="000C0E01"/>
    <w:rsid w:val="000C18DC"/>
    <w:rsid w:val="000D122C"/>
    <w:rsid w:val="000D12B9"/>
    <w:rsid w:val="000D67CF"/>
    <w:rsid w:val="000E1492"/>
    <w:rsid w:val="000E1819"/>
    <w:rsid w:val="000E32E7"/>
    <w:rsid w:val="000E4821"/>
    <w:rsid w:val="000E6C72"/>
    <w:rsid w:val="000F19F9"/>
    <w:rsid w:val="000F6586"/>
    <w:rsid w:val="000F6F3B"/>
    <w:rsid w:val="00104FD3"/>
    <w:rsid w:val="001140AD"/>
    <w:rsid w:val="00116EB2"/>
    <w:rsid w:val="001201F1"/>
    <w:rsid w:val="00124609"/>
    <w:rsid w:val="00126A4C"/>
    <w:rsid w:val="00132441"/>
    <w:rsid w:val="00142E3C"/>
    <w:rsid w:val="00142E86"/>
    <w:rsid w:val="0014573B"/>
    <w:rsid w:val="00146981"/>
    <w:rsid w:val="00153D0D"/>
    <w:rsid w:val="00157333"/>
    <w:rsid w:val="001573E4"/>
    <w:rsid w:val="00160756"/>
    <w:rsid w:val="0016386F"/>
    <w:rsid w:val="0017232E"/>
    <w:rsid w:val="00174102"/>
    <w:rsid w:val="00180157"/>
    <w:rsid w:val="00185CB9"/>
    <w:rsid w:val="00186F77"/>
    <w:rsid w:val="001926A4"/>
    <w:rsid w:val="00192AD5"/>
    <w:rsid w:val="001B45A0"/>
    <w:rsid w:val="001D055E"/>
    <w:rsid w:val="001D3B8B"/>
    <w:rsid w:val="001F1259"/>
    <w:rsid w:val="001F3C8B"/>
    <w:rsid w:val="001F492E"/>
    <w:rsid w:val="001F4F5C"/>
    <w:rsid w:val="001F6DA3"/>
    <w:rsid w:val="002010BC"/>
    <w:rsid w:val="00201F79"/>
    <w:rsid w:val="0020296D"/>
    <w:rsid w:val="00202E03"/>
    <w:rsid w:val="0020492C"/>
    <w:rsid w:val="00207C6B"/>
    <w:rsid w:val="0021595E"/>
    <w:rsid w:val="00220409"/>
    <w:rsid w:val="00221648"/>
    <w:rsid w:val="00224DB9"/>
    <w:rsid w:val="00233775"/>
    <w:rsid w:val="00237D84"/>
    <w:rsid w:val="002416BD"/>
    <w:rsid w:val="00244992"/>
    <w:rsid w:val="00245137"/>
    <w:rsid w:val="00251745"/>
    <w:rsid w:val="00251769"/>
    <w:rsid w:val="00263AC0"/>
    <w:rsid w:val="00264264"/>
    <w:rsid w:val="002656A8"/>
    <w:rsid w:val="0026772D"/>
    <w:rsid w:val="00280E8C"/>
    <w:rsid w:val="00282249"/>
    <w:rsid w:val="00286874"/>
    <w:rsid w:val="00290C63"/>
    <w:rsid w:val="00296B65"/>
    <w:rsid w:val="002A3A62"/>
    <w:rsid w:val="002A7DEF"/>
    <w:rsid w:val="002B1F97"/>
    <w:rsid w:val="002B4E1C"/>
    <w:rsid w:val="002B4E97"/>
    <w:rsid w:val="002C28FB"/>
    <w:rsid w:val="002E13B7"/>
    <w:rsid w:val="002E7B22"/>
    <w:rsid w:val="002F7986"/>
    <w:rsid w:val="00301B40"/>
    <w:rsid w:val="003029EE"/>
    <w:rsid w:val="00303610"/>
    <w:rsid w:val="00305CC8"/>
    <w:rsid w:val="00306D50"/>
    <w:rsid w:val="00307F6D"/>
    <w:rsid w:val="003177A2"/>
    <w:rsid w:val="003271B5"/>
    <w:rsid w:val="00327A1E"/>
    <w:rsid w:val="00331264"/>
    <w:rsid w:val="003325A3"/>
    <w:rsid w:val="00334C8D"/>
    <w:rsid w:val="00341304"/>
    <w:rsid w:val="00343A18"/>
    <w:rsid w:val="003518B3"/>
    <w:rsid w:val="00351F48"/>
    <w:rsid w:val="0035295E"/>
    <w:rsid w:val="003736F3"/>
    <w:rsid w:val="0037782C"/>
    <w:rsid w:val="003837E7"/>
    <w:rsid w:val="00384661"/>
    <w:rsid w:val="003846F1"/>
    <w:rsid w:val="003A4F37"/>
    <w:rsid w:val="003B308C"/>
    <w:rsid w:val="003B484F"/>
    <w:rsid w:val="003C65E2"/>
    <w:rsid w:val="003D2C3E"/>
    <w:rsid w:val="003D5918"/>
    <w:rsid w:val="003D6AD9"/>
    <w:rsid w:val="003F174D"/>
    <w:rsid w:val="00401F71"/>
    <w:rsid w:val="00410438"/>
    <w:rsid w:val="0041529E"/>
    <w:rsid w:val="00431938"/>
    <w:rsid w:val="00450CC0"/>
    <w:rsid w:val="004554E2"/>
    <w:rsid w:val="0045777E"/>
    <w:rsid w:val="0047143E"/>
    <w:rsid w:val="004727E0"/>
    <w:rsid w:val="00480B4B"/>
    <w:rsid w:val="004839B3"/>
    <w:rsid w:val="00485DC4"/>
    <w:rsid w:val="0048637C"/>
    <w:rsid w:val="00487C4C"/>
    <w:rsid w:val="0049622C"/>
    <w:rsid w:val="004A128F"/>
    <w:rsid w:val="004A3BB4"/>
    <w:rsid w:val="004A43D1"/>
    <w:rsid w:val="004B1563"/>
    <w:rsid w:val="004B4412"/>
    <w:rsid w:val="004B7D52"/>
    <w:rsid w:val="004C348C"/>
    <w:rsid w:val="004D55BA"/>
    <w:rsid w:val="004E22EC"/>
    <w:rsid w:val="004E39F7"/>
    <w:rsid w:val="004E3FB2"/>
    <w:rsid w:val="00507234"/>
    <w:rsid w:val="005155EC"/>
    <w:rsid w:val="00530128"/>
    <w:rsid w:val="00532467"/>
    <w:rsid w:val="005350BF"/>
    <w:rsid w:val="00543215"/>
    <w:rsid w:val="00557A7C"/>
    <w:rsid w:val="00563050"/>
    <w:rsid w:val="00563B53"/>
    <w:rsid w:val="00564A4D"/>
    <w:rsid w:val="00564B04"/>
    <w:rsid w:val="00567BA5"/>
    <w:rsid w:val="00571B35"/>
    <w:rsid w:val="00571D57"/>
    <w:rsid w:val="00572240"/>
    <w:rsid w:val="00573E52"/>
    <w:rsid w:val="005764F7"/>
    <w:rsid w:val="00577A09"/>
    <w:rsid w:val="005829C2"/>
    <w:rsid w:val="00584D8F"/>
    <w:rsid w:val="00595358"/>
    <w:rsid w:val="005A404D"/>
    <w:rsid w:val="005B1E3C"/>
    <w:rsid w:val="005B37F4"/>
    <w:rsid w:val="005C26CC"/>
    <w:rsid w:val="005D5C9C"/>
    <w:rsid w:val="005D5DEC"/>
    <w:rsid w:val="005D7BA2"/>
    <w:rsid w:val="005E03ED"/>
    <w:rsid w:val="005E1D1F"/>
    <w:rsid w:val="005E36C2"/>
    <w:rsid w:val="00602EFB"/>
    <w:rsid w:val="00612939"/>
    <w:rsid w:val="00615C6B"/>
    <w:rsid w:val="00621632"/>
    <w:rsid w:val="00621DCE"/>
    <w:rsid w:val="006267A3"/>
    <w:rsid w:val="0063186A"/>
    <w:rsid w:val="00632D6D"/>
    <w:rsid w:val="0063621E"/>
    <w:rsid w:val="00642C3E"/>
    <w:rsid w:val="006509DD"/>
    <w:rsid w:val="006571AC"/>
    <w:rsid w:val="0066104A"/>
    <w:rsid w:val="00663DAD"/>
    <w:rsid w:val="00675E20"/>
    <w:rsid w:val="00676679"/>
    <w:rsid w:val="00683C89"/>
    <w:rsid w:val="00683D72"/>
    <w:rsid w:val="00692750"/>
    <w:rsid w:val="006B2395"/>
    <w:rsid w:val="006B4CF9"/>
    <w:rsid w:val="006B7AC8"/>
    <w:rsid w:val="006C3F85"/>
    <w:rsid w:val="006C7685"/>
    <w:rsid w:val="006D550F"/>
    <w:rsid w:val="006F4D5B"/>
    <w:rsid w:val="00701CAB"/>
    <w:rsid w:val="00703D8C"/>
    <w:rsid w:val="00707563"/>
    <w:rsid w:val="007172C6"/>
    <w:rsid w:val="0072348C"/>
    <w:rsid w:val="00724A37"/>
    <w:rsid w:val="007303C3"/>
    <w:rsid w:val="00735871"/>
    <w:rsid w:val="007429BE"/>
    <w:rsid w:val="00743223"/>
    <w:rsid w:val="00746E01"/>
    <w:rsid w:val="007552BD"/>
    <w:rsid w:val="00757BDF"/>
    <w:rsid w:val="00763E5D"/>
    <w:rsid w:val="00767740"/>
    <w:rsid w:val="007756A9"/>
    <w:rsid w:val="00777EE6"/>
    <w:rsid w:val="007801CF"/>
    <w:rsid w:val="00780599"/>
    <w:rsid w:val="00780A33"/>
    <w:rsid w:val="00782EEA"/>
    <w:rsid w:val="007879E1"/>
    <w:rsid w:val="00794C57"/>
    <w:rsid w:val="0079650A"/>
    <w:rsid w:val="007A7E70"/>
    <w:rsid w:val="007B2C72"/>
    <w:rsid w:val="007B577C"/>
    <w:rsid w:val="007C1C53"/>
    <w:rsid w:val="007C4015"/>
    <w:rsid w:val="007C74BB"/>
    <w:rsid w:val="007D1DDE"/>
    <w:rsid w:val="007D3DEA"/>
    <w:rsid w:val="007E4904"/>
    <w:rsid w:val="007E4CB5"/>
    <w:rsid w:val="007F066B"/>
    <w:rsid w:val="008033C4"/>
    <w:rsid w:val="00806C88"/>
    <w:rsid w:val="0081034E"/>
    <w:rsid w:val="00825E58"/>
    <w:rsid w:val="008344F6"/>
    <w:rsid w:val="0083510F"/>
    <w:rsid w:val="00842503"/>
    <w:rsid w:val="00842E4B"/>
    <w:rsid w:val="00845711"/>
    <w:rsid w:val="00851209"/>
    <w:rsid w:val="00854C16"/>
    <w:rsid w:val="0086541F"/>
    <w:rsid w:val="00870956"/>
    <w:rsid w:val="00873F2D"/>
    <w:rsid w:val="008837AC"/>
    <w:rsid w:val="00886EB5"/>
    <w:rsid w:val="008976FC"/>
    <w:rsid w:val="008A0E23"/>
    <w:rsid w:val="008A587D"/>
    <w:rsid w:val="008A5AB3"/>
    <w:rsid w:val="008A6777"/>
    <w:rsid w:val="008B35CD"/>
    <w:rsid w:val="008B5FCC"/>
    <w:rsid w:val="008C513A"/>
    <w:rsid w:val="008C5486"/>
    <w:rsid w:val="008D1661"/>
    <w:rsid w:val="008D275F"/>
    <w:rsid w:val="008E7031"/>
    <w:rsid w:val="008E77DE"/>
    <w:rsid w:val="008F07A3"/>
    <w:rsid w:val="008F07D3"/>
    <w:rsid w:val="00900E1B"/>
    <w:rsid w:val="009011C1"/>
    <w:rsid w:val="009233EE"/>
    <w:rsid w:val="0093647A"/>
    <w:rsid w:val="009460AA"/>
    <w:rsid w:val="009466C1"/>
    <w:rsid w:val="00947767"/>
    <w:rsid w:val="0095058F"/>
    <w:rsid w:val="00951978"/>
    <w:rsid w:val="00961A4A"/>
    <w:rsid w:val="00964D03"/>
    <w:rsid w:val="009661DE"/>
    <w:rsid w:val="00966AF5"/>
    <w:rsid w:val="00983C25"/>
    <w:rsid w:val="009856B7"/>
    <w:rsid w:val="00985C86"/>
    <w:rsid w:val="009A5FC3"/>
    <w:rsid w:val="009B2700"/>
    <w:rsid w:val="009B74B0"/>
    <w:rsid w:val="009C0D52"/>
    <w:rsid w:val="009C1AE5"/>
    <w:rsid w:val="009D40C9"/>
    <w:rsid w:val="009D6B46"/>
    <w:rsid w:val="009E00C7"/>
    <w:rsid w:val="009E3E33"/>
    <w:rsid w:val="009F4940"/>
    <w:rsid w:val="009F5BA1"/>
    <w:rsid w:val="00A01745"/>
    <w:rsid w:val="00A02A88"/>
    <w:rsid w:val="00A031EC"/>
    <w:rsid w:val="00A048DE"/>
    <w:rsid w:val="00A052C5"/>
    <w:rsid w:val="00A0562E"/>
    <w:rsid w:val="00A0726D"/>
    <w:rsid w:val="00A213D3"/>
    <w:rsid w:val="00A2556C"/>
    <w:rsid w:val="00A32FBB"/>
    <w:rsid w:val="00A345D1"/>
    <w:rsid w:val="00A40B28"/>
    <w:rsid w:val="00A428EE"/>
    <w:rsid w:val="00A4478A"/>
    <w:rsid w:val="00A44852"/>
    <w:rsid w:val="00A54E6D"/>
    <w:rsid w:val="00A55F03"/>
    <w:rsid w:val="00A57D04"/>
    <w:rsid w:val="00A60A26"/>
    <w:rsid w:val="00A61598"/>
    <w:rsid w:val="00A77B0B"/>
    <w:rsid w:val="00A80907"/>
    <w:rsid w:val="00A84A99"/>
    <w:rsid w:val="00A84F46"/>
    <w:rsid w:val="00A8567B"/>
    <w:rsid w:val="00A871F4"/>
    <w:rsid w:val="00A93CD4"/>
    <w:rsid w:val="00A946AA"/>
    <w:rsid w:val="00AA2EB4"/>
    <w:rsid w:val="00AA51D8"/>
    <w:rsid w:val="00AB1AAF"/>
    <w:rsid w:val="00AB2EFE"/>
    <w:rsid w:val="00AB4BB7"/>
    <w:rsid w:val="00AC1B2C"/>
    <w:rsid w:val="00AC3264"/>
    <w:rsid w:val="00AD411F"/>
    <w:rsid w:val="00AE1BF1"/>
    <w:rsid w:val="00AF0DD2"/>
    <w:rsid w:val="00AF23F0"/>
    <w:rsid w:val="00AF55C5"/>
    <w:rsid w:val="00AF66BB"/>
    <w:rsid w:val="00AF74DF"/>
    <w:rsid w:val="00B001C5"/>
    <w:rsid w:val="00B10CC5"/>
    <w:rsid w:val="00B13048"/>
    <w:rsid w:val="00B13C90"/>
    <w:rsid w:val="00B1716D"/>
    <w:rsid w:val="00B17A1D"/>
    <w:rsid w:val="00B17E26"/>
    <w:rsid w:val="00B207A0"/>
    <w:rsid w:val="00B34302"/>
    <w:rsid w:val="00B50FB2"/>
    <w:rsid w:val="00B514DD"/>
    <w:rsid w:val="00B52AF0"/>
    <w:rsid w:val="00B561BD"/>
    <w:rsid w:val="00B56E03"/>
    <w:rsid w:val="00B67B53"/>
    <w:rsid w:val="00B7063F"/>
    <w:rsid w:val="00B8080B"/>
    <w:rsid w:val="00B80865"/>
    <w:rsid w:val="00B82706"/>
    <w:rsid w:val="00B83039"/>
    <w:rsid w:val="00B868EE"/>
    <w:rsid w:val="00B87BA5"/>
    <w:rsid w:val="00B87C39"/>
    <w:rsid w:val="00B93F14"/>
    <w:rsid w:val="00BA4665"/>
    <w:rsid w:val="00BA5A26"/>
    <w:rsid w:val="00BB1A04"/>
    <w:rsid w:val="00BB2FB2"/>
    <w:rsid w:val="00BB3304"/>
    <w:rsid w:val="00BB52EE"/>
    <w:rsid w:val="00BD3446"/>
    <w:rsid w:val="00BE1F1B"/>
    <w:rsid w:val="00BE47B5"/>
    <w:rsid w:val="00BF24B4"/>
    <w:rsid w:val="00C02E16"/>
    <w:rsid w:val="00C16EC0"/>
    <w:rsid w:val="00C25FA6"/>
    <w:rsid w:val="00C33819"/>
    <w:rsid w:val="00C41521"/>
    <w:rsid w:val="00C52FD1"/>
    <w:rsid w:val="00C538A9"/>
    <w:rsid w:val="00C53B5A"/>
    <w:rsid w:val="00C54F5A"/>
    <w:rsid w:val="00C569B4"/>
    <w:rsid w:val="00C6145B"/>
    <w:rsid w:val="00C67A92"/>
    <w:rsid w:val="00C86679"/>
    <w:rsid w:val="00C86706"/>
    <w:rsid w:val="00C90436"/>
    <w:rsid w:val="00C90819"/>
    <w:rsid w:val="00C91158"/>
    <w:rsid w:val="00C93E1F"/>
    <w:rsid w:val="00CA489E"/>
    <w:rsid w:val="00CB0279"/>
    <w:rsid w:val="00CB666B"/>
    <w:rsid w:val="00CC262C"/>
    <w:rsid w:val="00CC4C3D"/>
    <w:rsid w:val="00CC6E50"/>
    <w:rsid w:val="00CC7F1D"/>
    <w:rsid w:val="00CD1657"/>
    <w:rsid w:val="00CE0D7A"/>
    <w:rsid w:val="00CE1BB7"/>
    <w:rsid w:val="00D006AE"/>
    <w:rsid w:val="00D01CF0"/>
    <w:rsid w:val="00D02CD4"/>
    <w:rsid w:val="00D0442A"/>
    <w:rsid w:val="00D14D94"/>
    <w:rsid w:val="00D400C3"/>
    <w:rsid w:val="00D61388"/>
    <w:rsid w:val="00D61A54"/>
    <w:rsid w:val="00D64DEA"/>
    <w:rsid w:val="00D7168E"/>
    <w:rsid w:val="00D71E57"/>
    <w:rsid w:val="00D72AA2"/>
    <w:rsid w:val="00D72D94"/>
    <w:rsid w:val="00D77E15"/>
    <w:rsid w:val="00D80893"/>
    <w:rsid w:val="00D84854"/>
    <w:rsid w:val="00D92CF1"/>
    <w:rsid w:val="00D92D38"/>
    <w:rsid w:val="00D950F5"/>
    <w:rsid w:val="00D95D38"/>
    <w:rsid w:val="00D97269"/>
    <w:rsid w:val="00DA38E0"/>
    <w:rsid w:val="00DA4752"/>
    <w:rsid w:val="00DA61F3"/>
    <w:rsid w:val="00DB0F93"/>
    <w:rsid w:val="00DB1A67"/>
    <w:rsid w:val="00DB4C30"/>
    <w:rsid w:val="00DB5074"/>
    <w:rsid w:val="00DC22D6"/>
    <w:rsid w:val="00DC600C"/>
    <w:rsid w:val="00DC7981"/>
    <w:rsid w:val="00DD1870"/>
    <w:rsid w:val="00DD2840"/>
    <w:rsid w:val="00DE1093"/>
    <w:rsid w:val="00DE1D89"/>
    <w:rsid w:val="00DE3209"/>
    <w:rsid w:val="00DE3A0D"/>
    <w:rsid w:val="00DE41B1"/>
    <w:rsid w:val="00DE4EFA"/>
    <w:rsid w:val="00DE5520"/>
    <w:rsid w:val="00DE563D"/>
    <w:rsid w:val="00DE66CF"/>
    <w:rsid w:val="00DF06C5"/>
    <w:rsid w:val="00DF6446"/>
    <w:rsid w:val="00E04818"/>
    <w:rsid w:val="00E06442"/>
    <w:rsid w:val="00E20BA5"/>
    <w:rsid w:val="00E23993"/>
    <w:rsid w:val="00E25B8C"/>
    <w:rsid w:val="00E37324"/>
    <w:rsid w:val="00E4107A"/>
    <w:rsid w:val="00E61740"/>
    <w:rsid w:val="00E64333"/>
    <w:rsid w:val="00E65C85"/>
    <w:rsid w:val="00E66199"/>
    <w:rsid w:val="00E745DB"/>
    <w:rsid w:val="00E755EC"/>
    <w:rsid w:val="00E7624D"/>
    <w:rsid w:val="00E937AF"/>
    <w:rsid w:val="00EA22F3"/>
    <w:rsid w:val="00EA3D42"/>
    <w:rsid w:val="00EA6B1B"/>
    <w:rsid w:val="00EB5C4F"/>
    <w:rsid w:val="00ED7323"/>
    <w:rsid w:val="00EE28F3"/>
    <w:rsid w:val="00EF5110"/>
    <w:rsid w:val="00EF686C"/>
    <w:rsid w:val="00F10411"/>
    <w:rsid w:val="00F15882"/>
    <w:rsid w:val="00F171E0"/>
    <w:rsid w:val="00F20BD3"/>
    <w:rsid w:val="00F22ACB"/>
    <w:rsid w:val="00F236B8"/>
    <w:rsid w:val="00F25328"/>
    <w:rsid w:val="00F34393"/>
    <w:rsid w:val="00F373A5"/>
    <w:rsid w:val="00F47559"/>
    <w:rsid w:val="00F64C7B"/>
    <w:rsid w:val="00F662ED"/>
    <w:rsid w:val="00F676DD"/>
    <w:rsid w:val="00F74172"/>
    <w:rsid w:val="00F75A26"/>
    <w:rsid w:val="00F76706"/>
    <w:rsid w:val="00F83FAD"/>
    <w:rsid w:val="00F948C8"/>
    <w:rsid w:val="00F952A0"/>
    <w:rsid w:val="00F972F1"/>
    <w:rsid w:val="00F9743D"/>
    <w:rsid w:val="00FA3C7F"/>
    <w:rsid w:val="00FA5ABE"/>
    <w:rsid w:val="00FB675D"/>
    <w:rsid w:val="00FB74E2"/>
    <w:rsid w:val="00FC10C4"/>
    <w:rsid w:val="00FC12A8"/>
    <w:rsid w:val="00FC54C1"/>
    <w:rsid w:val="00FD0BEC"/>
    <w:rsid w:val="00FD5614"/>
    <w:rsid w:val="00FE0BE1"/>
    <w:rsid w:val="00FE1DE9"/>
    <w:rsid w:val="00FE36AF"/>
    <w:rsid w:val="00FE39C2"/>
    <w:rsid w:val="00FE3C32"/>
    <w:rsid w:val="00FE64AE"/>
    <w:rsid w:val="00FF57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86541F"/>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86541F"/>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2964">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18806629">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0535341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61562465">
      <w:bodyDiv w:val="1"/>
      <w:marLeft w:val="0"/>
      <w:marRight w:val="0"/>
      <w:marTop w:val="0"/>
      <w:marBottom w:val="0"/>
      <w:divBdr>
        <w:top w:val="none" w:sz="0" w:space="0" w:color="auto"/>
        <w:left w:val="none" w:sz="0" w:space="0" w:color="auto"/>
        <w:bottom w:val="none" w:sz="0" w:space="0" w:color="auto"/>
        <w:right w:val="none" w:sz="0" w:space="0" w:color="auto"/>
      </w:divBdr>
    </w:div>
    <w:div w:id="1266227670">
      <w:bodyDiv w:val="1"/>
      <w:marLeft w:val="0"/>
      <w:marRight w:val="0"/>
      <w:marTop w:val="0"/>
      <w:marBottom w:val="0"/>
      <w:divBdr>
        <w:top w:val="none" w:sz="0" w:space="0" w:color="auto"/>
        <w:left w:val="none" w:sz="0" w:space="0" w:color="auto"/>
        <w:bottom w:val="none" w:sz="0" w:space="0" w:color="auto"/>
        <w:right w:val="none" w:sz="0" w:space="0" w:color="auto"/>
      </w:divBdr>
    </w:div>
    <w:div w:id="1586645889">
      <w:bodyDiv w:val="1"/>
      <w:marLeft w:val="0"/>
      <w:marRight w:val="0"/>
      <w:marTop w:val="0"/>
      <w:marBottom w:val="0"/>
      <w:divBdr>
        <w:top w:val="none" w:sz="0" w:space="0" w:color="auto"/>
        <w:left w:val="none" w:sz="0" w:space="0" w:color="auto"/>
        <w:bottom w:val="none" w:sz="0" w:space="0" w:color="auto"/>
        <w:right w:val="none" w:sz="0" w:space="0" w:color="auto"/>
      </w:divBdr>
    </w:div>
    <w:div w:id="1701007174">
      <w:bodyDiv w:val="1"/>
      <w:marLeft w:val="0"/>
      <w:marRight w:val="0"/>
      <w:marTop w:val="0"/>
      <w:marBottom w:val="0"/>
      <w:divBdr>
        <w:top w:val="none" w:sz="0" w:space="0" w:color="auto"/>
        <w:left w:val="none" w:sz="0" w:space="0" w:color="auto"/>
        <w:bottom w:val="none" w:sz="0" w:space="0" w:color="auto"/>
        <w:right w:val="none" w:sz="0" w:space="0" w:color="auto"/>
      </w:divBdr>
    </w:div>
    <w:div w:id="1929995647">
      <w:bodyDiv w:val="1"/>
      <w:marLeft w:val="0"/>
      <w:marRight w:val="0"/>
      <w:marTop w:val="0"/>
      <w:marBottom w:val="0"/>
      <w:divBdr>
        <w:top w:val="none" w:sz="0" w:space="0" w:color="auto"/>
        <w:left w:val="none" w:sz="0" w:space="0" w:color="auto"/>
        <w:bottom w:val="none" w:sz="0" w:space="0" w:color="auto"/>
        <w:right w:val="none" w:sz="0" w:space="0" w:color="auto"/>
      </w:divBdr>
    </w:div>
    <w:div w:id="1941911591">
      <w:bodyDiv w:val="1"/>
      <w:marLeft w:val="0"/>
      <w:marRight w:val="0"/>
      <w:marTop w:val="0"/>
      <w:marBottom w:val="0"/>
      <w:divBdr>
        <w:top w:val="none" w:sz="0" w:space="0" w:color="auto"/>
        <w:left w:val="none" w:sz="0" w:space="0" w:color="auto"/>
        <w:bottom w:val="none" w:sz="0" w:space="0" w:color="auto"/>
        <w:right w:val="none" w:sz="0" w:space="0" w:color="auto"/>
      </w:divBdr>
    </w:div>
    <w:div w:id="1999570242">
      <w:bodyDiv w:val="1"/>
      <w:marLeft w:val="0"/>
      <w:marRight w:val="0"/>
      <w:marTop w:val="0"/>
      <w:marBottom w:val="0"/>
      <w:divBdr>
        <w:top w:val="none" w:sz="0" w:space="0" w:color="auto"/>
        <w:left w:val="none" w:sz="0" w:space="0" w:color="auto"/>
        <w:bottom w:val="none" w:sz="0" w:space="0" w:color="auto"/>
        <w:right w:val="none" w:sz="0" w:space="0" w:color="auto"/>
      </w:divBdr>
    </w:div>
    <w:div w:id="201957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6F8AB9-5426-4966-BF80-46AFC7F0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AC3866C9</Template>
  <TotalTime>0</TotalTime>
  <Pages>14</Pages>
  <Words>2931</Words>
  <Characters>16709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2015-10-24T08:45:00Z</dcterms:created>
  <dcterms:modified xsi:type="dcterms:W3CDTF">2015-10-24T08:45:00Z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8429769</vt:lpwstr>
  </property>
  <property fmtid="{D5CDD505-2E9C-101B-9397-08002B2CF9AE}" pid="3" name="_MarkAsFinal">
    <vt:bool>true</vt:bool>
  </property>
</Properties>
</file>