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31AB170" wp14:editId="5215EBE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9D285B" w:rsidP="008F07A3">
          <w:pPr>
            <w:pStyle w:val="ReportSubtitle"/>
          </w:pPr>
          <w:r>
            <w:t>FINAL</w:t>
          </w:r>
          <w:r w:rsidR="00DA4752">
            <w:t xml:space="preserve"> DECISION</w:t>
          </w:r>
        </w:p>
        <w:p w:rsidR="000A6C7B" w:rsidRDefault="00A7412B" w:rsidP="008F07A3">
          <w:pPr>
            <w:pStyle w:val="ReportSubtitle"/>
          </w:pPr>
          <w:r>
            <w:t>SA Power Networks</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69449D" w:rsidP="008F07A3">
          <w:pPr>
            <w:pStyle w:val="ReportSubtitle"/>
          </w:pPr>
          <w:r>
            <w:t>Attachment 12</w:t>
          </w:r>
          <w:r w:rsidR="00DA4752">
            <w:t xml:space="preserve"> </w:t>
          </w:r>
          <w:r w:rsidR="00DA4752">
            <w:rPr>
              <w:rFonts w:cs="Arial"/>
            </w:rPr>
            <w:t>−</w:t>
          </w:r>
          <w:r w:rsidR="00DA4752">
            <w:t xml:space="preserve"> </w:t>
          </w:r>
          <w:r>
            <w:t>Demand management incentive scheme</w:t>
          </w:r>
        </w:p>
        <w:p w:rsidR="000A6C7B" w:rsidRPr="00327A1E" w:rsidRDefault="009D285B"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32672748"/>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w:t>
      </w:r>
      <w:r w:rsidR="009D285B">
        <w:t>final</w:t>
      </w:r>
      <w:r>
        <w:t xml:space="preserve"> decision on </w:t>
      </w:r>
      <w:r w:rsidR="00A7412B">
        <w:t>SA Power Networks'</w:t>
      </w:r>
      <w:r>
        <w:t xml:space="preserve"> 2015–20 distribution determination. It should be read with </w:t>
      </w:r>
      <w:r w:rsidR="00E444E7">
        <w:t xml:space="preserve">all </w:t>
      </w:r>
      <w:r>
        <w:t xml:space="preserve">other parts of the </w:t>
      </w:r>
      <w:r w:rsidR="009D285B">
        <w:t xml:space="preserve">final </w:t>
      </w:r>
      <w:r>
        <w:t>decision.</w:t>
      </w:r>
    </w:p>
    <w:p w:rsidR="008F07A3" w:rsidRDefault="008F07A3" w:rsidP="008F07A3">
      <w:pPr>
        <w:numPr>
          <w:ilvl w:val="0"/>
          <w:numId w:val="25"/>
        </w:numPr>
      </w:pPr>
      <w:r>
        <w:t xml:space="preserve">The </w:t>
      </w:r>
      <w:r w:rsidR="009D285B">
        <w:t>final</w:t>
      </w:r>
      <w:r>
        <w:t xml:space="preserve">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AE4815">
        <w:t>policy</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5" w:name="_Toc403144133"/>
      <w:bookmarkStart w:id="6" w:name="_Toc432672749"/>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634D74"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32672748" w:history="1">
            <w:r w:rsidR="00634D74" w:rsidRPr="00C4356F">
              <w:rPr>
                <w:rStyle w:val="Hyperlink"/>
              </w:rPr>
              <w:t>Note</w:t>
            </w:r>
            <w:r w:rsidR="00634D74">
              <w:rPr>
                <w:webHidden/>
              </w:rPr>
              <w:tab/>
              <w:t>12-</w:t>
            </w:r>
            <w:r w:rsidR="00634D74">
              <w:rPr>
                <w:webHidden/>
              </w:rPr>
              <w:fldChar w:fldCharType="begin"/>
            </w:r>
            <w:r w:rsidR="00634D74">
              <w:rPr>
                <w:webHidden/>
              </w:rPr>
              <w:instrText xml:space="preserve"> PAGEREF _Toc432672748 \h </w:instrText>
            </w:r>
            <w:r w:rsidR="00634D74">
              <w:rPr>
                <w:webHidden/>
              </w:rPr>
            </w:r>
            <w:r w:rsidR="00634D74">
              <w:rPr>
                <w:webHidden/>
              </w:rPr>
              <w:fldChar w:fldCharType="separate"/>
            </w:r>
            <w:r w:rsidR="00634D74">
              <w:rPr>
                <w:webHidden/>
              </w:rPr>
              <w:t>2</w:t>
            </w:r>
            <w:r w:rsidR="00634D74">
              <w:rPr>
                <w:webHidden/>
              </w:rPr>
              <w:fldChar w:fldCharType="end"/>
            </w:r>
          </w:hyperlink>
        </w:p>
        <w:p w:rsidR="00634D74" w:rsidRDefault="00480656">
          <w:pPr>
            <w:pStyle w:val="TOC1"/>
            <w:rPr>
              <w:rFonts w:asciiTheme="minorHAnsi" w:eastAsiaTheme="minorEastAsia" w:hAnsiTheme="minorHAnsi"/>
              <w:b w:val="0"/>
              <w:color w:val="auto"/>
              <w:sz w:val="22"/>
              <w:lang w:val="en-AU" w:eastAsia="en-AU"/>
            </w:rPr>
          </w:pPr>
          <w:hyperlink w:anchor="_Toc432672749" w:history="1">
            <w:r w:rsidR="00634D74" w:rsidRPr="00C4356F">
              <w:rPr>
                <w:rStyle w:val="Hyperlink"/>
              </w:rPr>
              <w:t>Contents</w:t>
            </w:r>
            <w:r w:rsidR="00634D74">
              <w:rPr>
                <w:webHidden/>
              </w:rPr>
              <w:tab/>
              <w:t>12-</w:t>
            </w:r>
            <w:r w:rsidR="00634D74">
              <w:rPr>
                <w:webHidden/>
              </w:rPr>
              <w:fldChar w:fldCharType="begin"/>
            </w:r>
            <w:r w:rsidR="00634D74">
              <w:rPr>
                <w:webHidden/>
              </w:rPr>
              <w:instrText xml:space="preserve"> PAGEREF _Toc432672749 \h </w:instrText>
            </w:r>
            <w:r w:rsidR="00634D74">
              <w:rPr>
                <w:webHidden/>
              </w:rPr>
            </w:r>
            <w:r w:rsidR="00634D74">
              <w:rPr>
                <w:webHidden/>
              </w:rPr>
              <w:fldChar w:fldCharType="separate"/>
            </w:r>
            <w:r w:rsidR="00634D74">
              <w:rPr>
                <w:webHidden/>
              </w:rPr>
              <w:t>3</w:t>
            </w:r>
            <w:r w:rsidR="00634D74">
              <w:rPr>
                <w:webHidden/>
              </w:rPr>
              <w:fldChar w:fldCharType="end"/>
            </w:r>
          </w:hyperlink>
        </w:p>
        <w:p w:rsidR="00634D74" w:rsidRDefault="00480656">
          <w:pPr>
            <w:pStyle w:val="TOC1"/>
            <w:rPr>
              <w:rFonts w:asciiTheme="minorHAnsi" w:eastAsiaTheme="minorEastAsia" w:hAnsiTheme="minorHAnsi"/>
              <w:b w:val="0"/>
              <w:color w:val="auto"/>
              <w:sz w:val="22"/>
              <w:lang w:val="en-AU" w:eastAsia="en-AU"/>
            </w:rPr>
          </w:pPr>
          <w:hyperlink w:anchor="_Toc432672750" w:history="1">
            <w:r w:rsidR="00634D74" w:rsidRPr="00C4356F">
              <w:rPr>
                <w:rStyle w:val="Hyperlink"/>
              </w:rPr>
              <w:t>Shortened forms</w:t>
            </w:r>
            <w:r w:rsidR="00634D74">
              <w:rPr>
                <w:webHidden/>
              </w:rPr>
              <w:tab/>
              <w:t>12-</w:t>
            </w:r>
            <w:r w:rsidR="00634D74">
              <w:rPr>
                <w:webHidden/>
              </w:rPr>
              <w:fldChar w:fldCharType="begin"/>
            </w:r>
            <w:r w:rsidR="00634D74">
              <w:rPr>
                <w:webHidden/>
              </w:rPr>
              <w:instrText xml:space="preserve"> PAGEREF _Toc432672750 \h </w:instrText>
            </w:r>
            <w:r w:rsidR="00634D74">
              <w:rPr>
                <w:webHidden/>
              </w:rPr>
            </w:r>
            <w:r w:rsidR="00634D74">
              <w:rPr>
                <w:webHidden/>
              </w:rPr>
              <w:fldChar w:fldCharType="separate"/>
            </w:r>
            <w:r w:rsidR="00634D74">
              <w:rPr>
                <w:webHidden/>
              </w:rPr>
              <w:t>4</w:t>
            </w:r>
            <w:r w:rsidR="00634D74">
              <w:rPr>
                <w:webHidden/>
              </w:rPr>
              <w:fldChar w:fldCharType="end"/>
            </w:r>
          </w:hyperlink>
        </w:p>
        <w:p w:rsidR="00634D74" w:rsidRDefault="00480656">
          <w:pPr>
            <w:pStyle w:val="TOC1"/>
            <w:rPr>
              <w:rFonts w:asciiTheme="minorHAnsi" w:eastAsiaTheme="minorEastAsia" w:hAnsiTheme="minorHAnsi"/>
              <w:b w:val="0"/>
              <w:color w:val="auto"/>
              <w:sz w:val="22"/>
              <w:lang w:val="en-AU" w:eastAsia="en-AU"/>
            </w:rPr>
          </w:pPr>
          <w:hyperlink w:anchor="_Toc432672751" w:history="1">
            <w:r w:rsidR="00634D74" w:rsidRPr="00C4356F">
              <w:rPr>
                <w:rStyle w:val="Hyperlink"/>
              </w:rPr>
              <w:t>12</w:t>
            </w:r>
            <w:r w:rsidR="00634D74">
              <w:rPr>
                <w:rFonts w:asciiTheme="minorHAnsi" w:eastAsiaTheme="minorEastAsia" w:hAnsiTheme="minorHAnsi"/>
                <w:b w:val="0"/>
                <w:color w:val="auto"/>
                <w:sz w:val="22"/>
                <w:lang w:val="en-AU" w:eastAsia="en-AU"/>
              </w:rPr>
              <w:tab/>
            </w:r>
            <w:r w:rsidR="00634D74" w:rsidRPr="00C4356F">
              <w:rPr>
                <w:rStyle w:val="Hyperlink"/>
              </w:rPr>
              <w:t>Demand management incentive scheme</w:t>
            </w:r>
            <w:r w:rsidR="00634D74">
              <w:rPr>
                <w:webHidden/>
              </w:rPr>
              <w:tab/>
              <w:t>12-</w:t>
            </w:r>
            <w:r w:rsidR="00634D74">
              <w:rPr>
                <w:webHidden/>
              </w:rPr>
              <w:fldChar w:fldCharType="begin"/>
            </w:r>
            <w:r w:rsidR="00634D74">
              <w:rPr>
                <w:webHidden/>
              </w:rPr>
              <w:instrText xml:space="preserve"> PAGEREF _Toc432672751 \h </w:instrText>
            </w:r>
            <w:r w:rsidR="00634D74">
              <w:rPr>
                <w:webHidden/>
              </w:rPr>
            </w:r>
            <w:r w:rsidR="00634D74">
              <w:rPr>
                <w:webHidden/>
              </w:rPr>
              <w:fldChar w:fldCharType="separate"/>
            </w:r>
            <w:r w:rsidR="00634D74">
              <w:rPr>
                <w:webHidden/>
              </w:rPr>
              <w:t>6</w:t>
            </w:r>
            <w:r w:rsidR="00634D74">
              <w:rPr>
                <w:webHidden/>
              </w:rPr>
              <w:fldChar w:fldCharType="end"/>
            </w:r>
          </w:hyperlink>
        </w:p>
        <w:p w:rsidR="00634D74" w:rsidRDefault="00480656">
          <w:pPr>
            <w:pStyle w:val="TOC2"/>
            <w:tabs>
              <w:tab w:val="left" w:pos="1276"/>
            </w:tabs>
            <w:rPr>
              <w:rFonts w:asciiTheme="minorHAnsi" w:eastAsiaTheme="minorEastAsia" w:hAnsiTheme="minorHAnsi"/>
              <w:b w:val="0"/>
              <w:color w:val="auto"/>
              <w:sz w:val="22"/>
              <w:lang w:eastAsia="en-AU"/>
            </w:rPr>
          </w:pPr>
          <w:hyperlink w:anchor="_Toc432672752" w:history="1">
            <w:r w:rsidR="00634D74" w:rsidRPr="00C4356F">
              <w:rPr>
                <w:rStyle w:val="Hyperlink"/>
              </w:rPr>
              <w:t>12.1</w:t>
            </w:r>
            <w:r w:rsidR="00634D74">
              <w:rPr>
                <w:rFonts w:asciiTheme="minorHAnsi" w:eastAsiaTheme="minorEastAsia" w:hAnsiTheme="minorHAnsi"/>
                <w:b w:val="0"/>
                <w:color w:val="auto"/>
                <w:sz w:val="22"/>
                <w:lang w:eastAsia="en-AU"/>
              </w:rPr>
              <w:tab/>
            </w:r>
            <w:r w:rsidR="00634D74" w:rsidRPr="00C4356F">
              <w:rPr>
                <w:rStyle w:val="Hyperlink"/>
              </w:rPr>
              <w:t>Final decision</w:t>
            </w:r>
            <w:r w:rsidR="00634D74">
              <w:rPr>
                <w:webHidden/>
              </w:rPr>
              <w:tab/>
              <w:t>12-</w:t>
            </w:r>
            <w:r w:rsidR="00634D74">
              <w:rPr>
                <w:webHidden/>
              </w:rPr>
              <w:fldChar w:fldCharType="begin"/>
            </w:r>
            <w:r w:rsidR="00634D74">
              <w:rPr>
                <w:webHidden/>
              </w:rPr>
              <w:instrText xml:space="preserve"> PAGEREF _Toc432672752 \h </w:instrText>
            </w:r>
            <w:r w:rsidR="00634D74">
              <w:rPr>
                <w:webHidden/>
              </w:rPr>
            </w:r>
            <w:r w:rsidR="00634D74">
              <w:rPr>
                <w:webHidden/>
              </w:rPr>
              <w:fldChar w:fldCharType="separate"/>
            </w:r>
            <w:r w:rsidR="00634D74">
              <w:rPr>
                <w:webHidden/>
              </w:rPr>
              <w:t>6</w:t>
            </w:r>
            <w:r w:rsidR="00634D74">
              <w:rPr>
                <w:webHidden/>
              </w:rPr>
              <w:fldChar w:fldCharType="end"/>
            </w:r>
          </w:hyperlink>
        </w:p>
        <w:p w:rsidR="00634D74" w:rsidRDefault="00480656">
          <w:pPr>
            <w:pStyle w:val="TOC2"/>
            <w:tabs>
              <w:tab w:val="left" w:pos="1276"/>
            </w:tabs>
            <w:rPr>
              <w:rFonts w:asciiTheme="minorHAnsi" w:eastAsiaTheme="minorEastAsia" w:hAnsiTheme="minorHAnsi"/>
              <w:b w:val="0"/>
              <w:color w:val="auto"/>
              <w:sz w:val="22"/>
              <w:lang w:eastAsia="en-AU"/>
            </w:rPr>
          </w:pPr>
          <w:hyperlink w:anchor="_Toc432672753" w:history="1">
            <w:r w:rsidR="00634D74" w:rsidRPr="00C4356F">
              <w:rPr>
                <w:rStyle w:val="Hyperlink"/>
              </w:rPr>
              <w:t>12.2</w:t>
            </w:r>
            <w:r w:rsidR="00634D74">
              <w:rPr>
                <w:rFonts w:asciiTheme="minorHAnsi" w:eastAsiaTheme="minorEastAsia" w:hAnsiTheme="minorHAnsi"/>
                <w:b w:val="0"/>
                <w:color w:val="auto"/>
                <w:sz w:val="22"/>
                <w:lang w:eastAsia="en-AU"/>
              </w:rPr>
              <w:tab/>
            </w:r>
            <w:r w:rsidR="00634D74" w:rsidRPr="00C4356F">
              <w:rPr>
                <w:rStyle w:val="Hyperlink"/>
              </w:rPr>
              <w:t>SA Power Networks' revised proposal</w:t>
            </w:r>
            <w:r w:rsidR="00634D74">
              <w:rPr>
                <w:webHidden/>
              </w:rPr>
              <w:tab/>
              <w:t>12-</w:t>
            </w:r>
            <w:r w:rsidR="00634D74">
              <w:rPr>
                <w:webHidden/>
              </w:rPr>
              <w:fldChar w:fldCharType="begin"/>
            </w:r>
            <w:r w:rsidR="00634D74">
              <w:rPr>
                <w:webHidden/>
              </w:rPr>
              <w:instrText xml:space="preserve"> PAGEREF _Toc432672753 \h </w:instrText>
            </w:r>
            <w:r w:rsidR="00634D74">
              <w:rPr>
                <w:webHidden/>
              </w:rPr>
            </w:r>
            <w:r w:rsidR="00634D74">
              <w:rPr>
                <w:webHidden/>
              </w:rPr>
              <w:fldChar w:fldCharType="separate"/>
            </w:r>
            <w:r w:rsidR="00634D74">
              <w:rPr>
                <w:webHidden/>
              </w:rPr>
              <w:t>7</w:t>
            </w:r>
            <w:r w:rsidR="00634D74">
              <w:rPr>
                <w:webHidden/>
              </w:rPr>
              <w:fldChar w:fldCharType="end"/>
            </w:r>
          </w:hyperlink>
        </w:p>
        <w:p w:rsidR="00634D74" w:rsidRDefault="00480656">
          <w:pPr>
            <w:pStyle w:val="TOC2"/>
            <w:tabs>
              <w:tab w:val="left" w:pos="1276"/>
            </w:tabs>
            <w:rPr>
              <w:rFonts w:asciiTheme="minorHAnsi" w:eastAsiaTheme="minorEastAsia" w:hAnsiTheme="minorHAnsi"/>
              <w:b w:val="0"/>
              <w:color w:val="auto"/>
              <w:sz w:val="22"/>
              <w:lang w:eastAsia="en-AU"/>
            </w:rPr>
          </w:pPr>
          <w:hyperlink w:anchor="_Toc432672754" w:history="1">
            <w:r w:rsidR="00634D74" w:rsidRPr="00C4356F">
              <w:rPr>
                <w:rStyle w:val="Hyperlink"/>
              </w:rPr>
              <w:t>12.3</w:t>
            </w:r>
            <w:r w:rsidR="00634D74">
              <w:rPr>
                <w:rFonts w:asciiTheme="minorHAnsi" w:eastAsiaTheme="minorEastAsia" w:hAnsiTheme="minorHAnsi"/>
                <w:b w:val="0"/>
                <w:color w:val="auto"/>
                <w:sz w:val="22"/>
                <w:lang w:eastAsia="en-AU"/>
              </w:rPr>
              <w:tab/>
            </w:r>
            <w:r w:rsidR="00634D74" w:rsidRPr="00C4356F">
              <w:rPr>
                <w:rStyle w:val="Hyperlink"/>
              </w:rPr>
              <w:t>AER’s assessment approach</w:t>
            </w:r>
            <w:r w:rsidR="00634D74">
              <w:rPr>
                <w:webHidden/>
              </w:rPr>
              <w:tab/>
              <w:t>12-</w:t>
            </w:r>
            <w:r w:rsidR="00634D74">
              <w:rPr>
                <w:webHidden/>
              </w:rPr>
              <w:fldChar w:fldCharType="begin"/>
            </w:r>
            <w:r w:rsidR="00634D74">
              <w:rPr>
                <w:webHidden/>
              </w:rPr>
              <w:instrText xml:space="preserve"> PAGEREF _Toc432672754 \h </w:instrText>
            </w:r>
            <w:r w:rsidR="00634D74">
              <w:rPr>
                <w:webHidden/>
              </w:rPr>
            </w:r>
            <w:r w:rsidR="00634D74">
              <w:rPr>
                <w:webHidden/>
              </w:rPr>
              <w:fldChar w:fldCharType="separate"/>
            </w:r>
            <w:r w:rsidR="00634D74">
              <w:rPr>
                <w:webHidden/>
              </w:rPr>
              <w:t>7</w:t>
            </w:r>
            <w:r w:rsidR="00634D74">
              <w:rPr>
                <w:webHidden/>
              </w:rPr>
              <w:fldChar w:fldCharType="end"/>
            </w:r>
          </w:hyperlink>
        </w:p>
        <w:p w:rsidR="00634D74" w:rsidRDefault="00480656">
          <w:pPr>
            <w:pStyle w:val="TOC2"/>
            <w:tabs>
              <w:tab w:val="left" w:pos="1276"/>
            </w:tabs>
            <w:rPr>
              <w:rFonts w:asciiTheme="minorHAnsi" w:eastAsiaTheme="minorEastAsia" w:hAnsiTheme="minorHAnsi"/>
              <w:b w:val="0"/>
              <w:color w:val="auto"/>
              <w:sz w:val="22"/>
              <w:lang w:eastAsia="en-AU"/>
            </w:rPr>
          </w:pPr>
          <w:hyperlink w:anchor="_Toc432672755" w:history="1">
            <w:r w:rsidR="00634D74" w:rsidRPr="00C4356F">
              <w:rPr>
                <w:rStyle w:val="Hyperlink"/>
              </w:rPr>
              <w:t>12.4</w:t>
            </w:r>
            <w:r w:rsidR="00634D74">
              <w:rPr>
                <w:rFonts w:asciiTheme="minorHAnsi" w:eastAsiaTheme="minorEastAsia" w:hAnsiTheme="minorHAnsi"/>
                <w:b w:val="0"/>
                <w:color w:val="auto"/>
                <w:sz w:val="22"/>
                <w:lang w:eastAsia="en-AU"/>
              </w:rPr>
              <w:tab/>
            </w:r>
            <w:r w:rsidR="00634D74" w:rsidRPr="00C4356F">
              <w:rPr>
                <w:rStyle w:val="Hyperlink"/>
              </w:rPr>
              <w:t>Reasons for final decision</w:t>
            </w:r>
            <w:r w:rsidR="00634D74">
              <w:rPr>
                <w:webHidden/>
              </w:rPr>
              <w:tab/>
              <w:t>12-</w:t>
            </w:r>
            <w:r w:rsidR="00634D74">
              <w:rPr>
                <w:webHidden/>
              </w:rPr>
              <w:fldChar w:fldCharType="begin"/>
            </w:r>
            <w:r w:rsidR="00634D74">
              <w:rPr>
                <w:webHidden/>
              </w:rPr>
              <w:instrText xml:space="preserve"> PAGEREF _Toc432672755 \h </w:instrText>
            </w:r>
            <w:r w:rsidR="00634D74">
              <w:rPr>
                <w:webHidden/>
              </w:rPr>
            </w:r>
            <w:r w:rsidR="00634D74">
              <w:rPr>
                <w:webHidden/>
              </w:rPr>
              <w:fldChar w:fldCharType="separate"/>
            </w:r>
            <w:r w:rsidR="00634D74">
              <w:rPr>
                <w:webHidden/>
              </w:rPr>
              <w:t>8</w:t>
            </w:r>
            <w:r w:rsidR="00634D74">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7" w:name="_Toc404700925"/>
      <w:bookmarkStart w:id="8" w:name="_Toc432672750"/>
      <w:r>
        <w:lastRenderedPageBreak/>
        <w:t>Shortened forms</w:t>
      </w:r>
      <w:bookmarkEnd w:id="7"/>
      <w:bookmarkEnd w:id="8"/>
    </w:p>
    <w:tbl>
      <w:tblPr>
        <w:tblStyle w:val="AERtable-numbers"/>
        <w:tblW w:w="0" w:type="auto"/>
        <w:tblLook w:val="04A0" w:firstRow="1" w:lastRow="0" w:firstColumn="1" w:lastColumn="0" w:noHBand="0" w:noVBand="1"/>
      </w:tblPr>
      <w:tblGrid>
        <w:gridCol w:w="4340"/>
        <w:gridCol w:w="4353"/>
      </w:tblGrid>
      <w:tr w:rsidR="00DE563D" w:rsidTr="00E444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augex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DUoS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C8270C" w:rsidP="00C8270C">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947066" w:rsidP="00C8270C">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C8270C">
              <w:t>G</w:t>
            </w:r>
            <w:r w:rsidR="00DE563D">
              <w:t>uideline for electricity distribution</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opex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PTRM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RAB</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repex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C8270C">
              <w:t xml:space="preserve">and </w:t>
            </w:r>
            <w:r>
              <w:t>pricing principles</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0F7E58">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0F7E58">
            <w:pPr>
              <w:pStyle w:val="AERtabletextleft"/>
              <w:jc w:val="lef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69449D" w:rsidP="003E29D5">
      <w:pPr>
        <w:pStyle w:val="Heading1"/>
      </w:pPr>
      <w:bookmarkStart w:id="9" w:name="_Toc432672751"/>
      <w:r w:rsidRPr="003E29D5">
        <w:lastRenderedPageBreak/>
        <w:t>Demand management incentive scheme</w:t>
      </w:r>
      <w:bookmarkEnd w:id="9"/>
    </w:p>
    <w:p w:rsidR="002776B5" w:rsidRPr="002776B5" w:rsidRDefault="002776B5" w:rsidP="002776B5">
      <w:pPr>
        <w:numPr>
          <w:ilvl w:val="0"/>
          <w:numId w:val="25"/>
        </w:numPr>
      </w:pPr>
      <w:r w:rsidRPr="0087632E">
        <w:t>The National Electricity Rules (NER) require us to develop and implement mechanisms to incentivise distributors to consider efficient alternatives to building more network.</w:t>
      </w:r>
      <w:r w:rsidRPr="0087632E">
        <w:rPr>
          <w:rStyle w:val="FootnoteReference"/>
        </w:rPr>
        <w:footnoteReference w:id="1"/>
      </w:r>
      <w:r w:rsidRPr="0087632E">
        <w:t xml:space="preserve"> To meet this requirement, and motivated by the need to improve distributors' capability in the demand management area, we implemented a demand management incentive scheme (DMIS)</w:t>
      </w:r>
      <w:r w:rsidRPr="00B873B4">
        <w:rPr>
          <w:rStyle w:val="FootnoteReference"/>
        </w:rPr>
        <w:t xml:space="preserve"> </w:t>
      </w:r>
      <w:r w:rsidRPr="0087632E">
        <w:t xml:space="preserve">for </w:t>
      </w:r>
      <w:r w:rsidR="00D6375D">
        <w:t>SA Power Networks'</w:t>
      </w:r>
      <w:r w:rsidRPr="0087632E">
        <w:t xml:space="preserve">, </w:t>
      </w:r>
      <w:r w:rsidR="00D6375D">
        <w:t xml:space="preserve">formerly ETSA Utilities, </w:t>
      </w:r>
      <w:r w:rsidRPr="0087632E">
        <w:t>distribution determination for the 201</w:t>
      </w:r>
      <w:r w:rsidR="00C87ECC">
        <w:t>0</w:t>
      </w:r>
      <w:r w:rsidRPr="0087632E">
        <w:t>–15 regulatory control period.</w:t>
      </w:r>
      <w:r w:rsidR="00241A47" w:rsidRPr="00241A47">
        <w:rPr>
          <w:rStyle w:val="FootnoteReference"/>
        </w:rPr>
        <w:t xml:space="preserve"> </w:t>
      </w:r>
      <w:r w:rsidR="00241A47" w:rsidRPr="001F442A">
        <w:rPr>
          <w:rStyle w:val="FootnoteReference"/>
        </w:rPr>
        <w:footnoteReference w:id="2"/>
      </w:r>
    </w:p>
    <w:p w:rsidR="002776B5" w:rsidRPr="002776B5" w:rsidRDefault="002776B5" w:rsidP="002776B5">
      <w:pPr>
        <w:numPr>
          <w:ilvl w:val="0"/>
          <w:numId w:val="25"/>
        </w:numPr>
      </w:pPr>
      <w:r w:rsidRPr="0087632E">
        <w:t xml:space="preserve">The current DMIS for </w:t>
      </w:r>
      <w:r w:rsidR="00D6375D">
        <w:t>SA Power Networks</w:t>
      </w:r>
      <w:r w:rsidRPr="0087632E">
        <w:t xml:space="preserve"> includes the demand management innovation allowance (DMIA</w:t>
      </w:r>
      <w:r w:rsidRPr="001F442A">
        <w:t>)</w:t>
      </w:r>
      <w:r>
        <w:t>.</w:t>
      </w:r>
      <w:r w:rsidRPr="001F442A">
        <w:rPr>
          <w:rStyle w:val="FootnoteReference"/>
        </w:rPr>
        <w:footnoteReference w:id="3"/>
      </w:r>
    </w:p>
    <w:p w:rsidR="00D6375D" w:rsidRDefault="00D6375D" w:rsidP="00D6375D">
      <w:pPr>
        <w:numPr>
          <w:ilvl w:val="0"/>
          <w:numId w:val="25"/>
        </w:numPr>
      </w:pPr>
      <w:r w:rsidRPr="0087632E">
        <w:t xml:space="preserve">The DMIA is a capped allowance for distributors to investigate and conduct broad-based and/or peak demand management projects. </w:t>
      </w:r>
      <w:r>
        <w:t>It contains two parts:</w:t>
      </w:r>
    </w:p>
    <w:p w:rsidR="00D6375D" w:rsidRPr="00D6375D" w:rsidRDefault="00D6375D" w:rsidP="00D6375D">
      <w:pPr>
        <w:pStyle w:val="AERbulletlistfirststyle"/>
        <w:rPr>
          <w:rStyle w:val="FootnoteReference"/>
          <w:vertAlign w:val="baseline"/>
        </w:rPr>
      </w:pPr>
      <w:r w:rsidRPr="00D6375D">
        <w:t>Part A provides for an innovation allowance to be incorporated into each distributor's revenue allowance for opex each year of the regulatory control period. Distributors prepare annual reports on their expenditure under the DMIA</w:t>
      </w:r>
      <w:r w:rsidRPr="006D44E2">
        <w:rPr>
          <w:rStyle w:val="AERsuperscript"/>
        </w:rPr>
        <w:footnoteReference w:id="4"/>
      </w:r>
      <w:r w:rsidRPr="00D6375D">
        <w:rPr>
          <w:rStyle w:val="FootnoteReference"/>
          <w:vertAlign w:val="baseline"/>
        </w:rPr>
        <w:t xml:space="preserve"> </w:t>
      </w:r>
      <w:r w:rsidRPr="00D6375D">
        <w:t xml:space="preserve"> in the previous year, which we then assess against specific criteria.</w:t>
      </w:r>
      <w:r w:rsidRPr="00D6375D">
        <w:rPr>
          <w:rStyle w:val="FootnoteReference"/>
        </w:rPr>
        <w:footnoteReference w:id="5"/>
      </w:r>
    </w:p>
    <w:p w:rsidR="00D6375D" w:rsidRPr="00D6375D" w:rsidRDefault="00D6375D" w:rsidP="00D6375D">
      <w:pPr>
        <w:pStyle w:val="AERbulletlistfirststyle"/>
      </w:pPr>
      <w:r w:rsidRPr="00D6375D">
        <w:t xml:space="preserve">Part B compensates distributors for any foregone revenue demonstrated to have resulted from demand management initiatives approved under Part A. We applied this to </w:t>
      </w:r>
      <w:r>
        <w:t>SA Power Networks</w:t>
      </w:r>
      <w:r w:rsidRPr="00D6375D">
        <w:t xml:space="preserve"> during the 201</w:t>
      </w:r>
      <w:r>
        <w:t>0</w:t>
      </w:r>
      <w:r w:rsidRPr="00D6375D">
        <w:t xml:space="preserve">–15 regulatory control period. However, Part B will no longer be applicable to </w:t>
      </w:r>
      <w:r>
        <w:t>SA Power Networks</w:t>
      </w:r>
      <w:r w:rsidR="002E2F62">
        <w:t xml:space="preserve"> during the 2015</w:t>
      </w:r>
      <w:r w:rsidRPr="00D6375D">
        <w:t xml:space="preserve">–20 regulatory control </w:t>
      </w:r>
      <w:proofErr w:type="gramStart"/>
      <w:r w:rsidRPr="00D6375D">
        <w:t>period</w:t>
      </w:r>
      <w:proofErr w:type="gramEnd"/>
      <w:r w:rsidRPr="00D6375D">
        <w:t xml:space="preserve"> given the move to a revenue cap form of control. </w:t>
      </w:r>
    </w:p>
    <w:p w:rsidR="002776B5" w:rsidRPr="002776B5" w:rsidRDefault="00E0068B" w:rsidP="002776B5">
      <w:pPr>
        <w:numPr>
          <w:ilvl w:val="0"/>
          <w:numId w:val="25"/>
        </w:numPr>
      </w:pPr>
      <w:r w:rsidRPr="001F442A">
        <w:t xml:space="preserve">Under the scheme, we return any underspend against </w:t>
      </w:r>
      <w:r w:rsidRPr="009D44D5">
        <w:t>the allowance to customers. Also, once we know the approved DMIA expenditure for each year of the current period, we compensate distributors for approved foregone revenue. We implement this as an adjustment to each distributor's innovation allowance in the following regulatory control period.</w:t>
      </w:r>
    </w:p>
    <w:p w:rsidR="00E463BF" w:rsidRDefault="009D285B" w:rsidP="00E463BF">
      <w:pPr>
        <w:pStyle w:val="Heading2"/>
      </w:pPr>
      <w:bookmarkStart w:id="10" w:name="_Toc409017591"/>
      <w:bookmarkStart w:id="11" w:name="_Toc416354644"/>
      <w:bookmarkStart w:id="12" w:name="_Toc432672752"/>
      <w:r>
        <w:t>Final</w:t>
      </w:r>
      <w:r w:rsidR="00E463BF" w:rsidRPr="001754EE">
        <w:t xml:space="preserve"> decision</w:t>
      </w:r>
      <w:bookmarkEnd w:id="10"/>
      <w:bookmarkEnd w:id="11"/>
      <w:bookmarkEnd w:id="12"/>
    </w:p>
    <w:p w:rsidR="003534C1" w:rsidRPr="00B307CC" w:rsidRDefault="003534C1" w:rsidP="003534C1">
      <w:pPr>
        <w:numPr>
          <w:ilvl w:val="0"/>
          <w:numId w:val="25"/>
        </w:numPr>
      </w:pPr>
      <w:bookmarkStart w:id="13" w:name="_Toc409017592"/>
      <w:bookmarkStart w:id="14" w:name="_Toc416354645"/>
      <w:r w:rsidRPr="00B307CC">
        <w:t>We have determine</w:t>
      </w:r>
      <w:r>
        <w:t>d to continue Part A of the DMIS</w:t>
      </w:r>
      <w:r w:rsidRPr="00B307CC">
        <w:t xml:space="preserve"> for </w:t>
      </w:r>
      <w:r>
        <w:t>SA Power Networks</w:t>
      </w:r>
      <w:r w:rsidR="002E2F62">
        <w:t xml:space="preserve"> in the 2015</w:t>
      </w:r>
      <w:r w:rsidRPr="00B307CC">
        <w:t>–20 regulatory control period</w:t>
      </w:r>
      <w:r>
        <w:t xml:space="preserve"> (that is, the DMIA component)</w:t>
      </w:r>
      <w:r w:rsidRPr="00B307CC">
        <w:t>. We w</w:t>
      </w:r>
      <w:r>
        <w:t xml:space="preserve">ill not apply </w:t>
      </w:r>
      <w:r>
        <w:lastRenderedPageBreak/>
        <w:t>Part B of the DMIS</w:t>
      </w:r>
      <w:r w:rsidRPr="00B307CC">
        <w:t xml:space="preserve"> to </w:t>
      </w:r>
      <w:r>
        <w:t>SA Power Networks</w:t>
      </w:r>
      <w:r w:rsidRPr="00B307CC">
        <w:t xml:space="preserve"> for the 201</w:t>
      </w:r>
      <w:r w:rsidR="001E113A">
        <w:t>5</w:t>
      </w:r>
      <w:r w:rsidRPr="00B307CC">
        <w:t xml:space="preserve">–20 regulatory control period because we have decided to apply a revenue cap form of control. This is consistent with our proposed approach in our </w:t>
      </w:r>
      <w:r w:rsidR="00AE5088">
        <w:t>Preliminary decision</w:t>
      </w:r>
      <w:r w:rsidRPr="00B307CC">
        <w:t>.</w:t>
      </w:r>
      <w:r w:rsidRPr="00B307CC">
        <w:rPr>
          <w:rStyle w:val="FootnoteReference"/>
        </w:rPr>
        <w:footnoteReference w:id="6"/>
      </w:r>
    </w:p>
    <w:p w:rsidR="003534C1" w:rsidRPr="00B307CC" w:rsidRDefault="003534C1" w:rsidP="003534C1">
      <w:pPr>
        <w:numPr>
          <w:ilvl w:val="0"/>
          <w:numId w:val="25"/>
        </w:numPr>
      </w:pPr>
      <w:r w:rsidRPr="00B307CC">
        <w:t>The current innovation allowance amount of $</w:t>
      </w:r>
      <w:r>
        <w:t>0.6 million</w:t>
      </w:r>
      <w:r w:rsidRPr="00B307CC">
        <w:t xml:space="preserve"> ($20</w:t>
      </w:r>
      <w:r w:rsidR="00943F2D">
        <w:t>14</w:t>
      </w:r>
      <w:r w:rsidR="00943F2D">
        <w:rPr>
          <w:rFonts w:cs="Arial"/>
        </w:rPr>
        <w:t>─</w:t>
      </w:r>
      <w:r w:rsidRPr="00B307CC">
        <w:t>15) per</w:t>
      </w:r>
      <w:r w:rsidR="001E113A">
        <w:t xml:space="preserve"> annum will continue in the 2015</w:t>
      </w:r>
      <w:r w:rsidRPr="00B307CC">
        <w:t>–20 regulatory control period.</w:t>
      </w:r>
    </w:p>
    <w:p w:rsidR="00E463BF" w:rsidRDefault="00A7412B" w:rsidP="00E463BF">
      <w:pPr>
        <w:pStyle w:val="Heading2"/>
      </w:pPr>
      <w:bookmarkStart w:id="15" w:name="_Toc432672753"/>
      <w:r>
        <w:t>SA Power Networks'</w:t>
      </w:r>
      <w:r w:rsidR="00E463BF" w:rsidRPr="001754EE">
        <w:t xml:space="preserve"> </w:t>
      </w:r>
      <w:r w:rsidR="009D285B">
        <w:t xml:space="preserve">revised </w:t>
      </w:r>
      <w:r w:rsidR="00E463BF" w:rsidRPr="001754EE">
        <w:t>proposal</w:t>
      </w:r>
      <w:bookmarkEnd w:id="13"/>
      <w:bookmarkEnd w:id="14"/>
      <w:bookmarkEnd w:id="15"/>
    </w:p>
    <w:p w:rsidR="003534C1" w:rsidRPr="003534C1" w:rsidRDefault="003534C1" w:rsidP="003534C1">
      <w:r>
        <w:t>SA Power Networks supported the proposed approach set out in our preliminary decision to continue applying Part A (the DMIA) of the DMIS at the same scale it is currently applied.</w:t>
      </w:r>
      <w:r>
        <w:rPr>
          <w:rStyle w:val="FootnoteReference"/>
        </w:rPr>
        <w:footnoteReference w:id="7"/>
      </w:r>
    </w:p>
    <w:p w:rsidR="00E463BF" w:rsidRDefault="00E463BF" w:rsidP="00E463BF">
      <w:pPr>
        <w:pStyle w:val="Heading2"/>
      </w:pPr>
      <w:bookmarkStart w:id="16" w:name="_Toc409017595"/>
      <w:bookmarkStart w:id="17" w:name="_Toc416354646"/>
      <w:bookmarkStart w:id="18" w:name="_Toc432672754"/>
      <w:r w:rsidRPr="001754EE">
        <w:t>AER’s</w:t>
      </w:r>
      <w:r>
        <w:t xml:space="preserve"> assessment approach</w:t>
      </w:r>
      <w:bookmarkEnd w:id="16"/>
      <w:bookmarkEnd w:id="17"/>
      <w:bookmarkEnd w:id="18"/>
    </w:p>
    <w:p w:rsidR="003534C1" w:rsidRDefault="003534C1" w:rsidP="003534C1">
      <w:pPr>
        <w:numPr>
          <w:ilvl w:val="0"/>
          <w:numId w:val="25"/>
        </w:numPr>
      </w:pPr>
      <w:r w:rsidRPr="00694755">
        <w:t xml:space="preserve">The rules require us to have regard to several factors in developing and implementing a DMIS for </w:t>
      </w:r>
      <w:r w:rsidR="006F7E4B">
        <w:t>SA Power Networks</w:t>
      </w:r>
      <w:r w:rsidRPr="00694755">
        <w:t>.</w:t>
      </w:r>
      <w:r w:rsidRPr="00694755">
        <w:rPr>
          <w:rStyle w:val="FootnoteReference"/>
        </w:rPr>
        <w:footnoteReference w:id="8"/>
      </w:r>
      <w:r w:rsidRPr="00694755">
        <w:t xml:space="preserve"> These are:</w:t>
      </w:r>
    </w:p>
    <w:p w:rsidR="00EB44C8" w:rsidRPr="00EB44C8" w:rsidRDefault="00EB44C8" w:rsidP="00EB44C8">
      <w:pPr>
        <w:pStyle w:val="AERbulletlistfirststyle"/>
      </w:pPr>
      <w:r w:rsidRPr="00EB44C8">
        <w:t>Benefits to consumers</w:t>
      </w:r>
    </w:p>
    <w:p w:rsidR="00EB44C8" w:rsidRPr="00EB44C8" w:rsidRDefault="00EB44C8" w:rsidP="00EB44C8">
      <w:pPr>
        <w:pStyle w:val="AERbulletlistsecondstyle"/>
      </w:pPr>
      <w:r w:rsidRPr="00EB44C8">
        <w:t>the need to ensure that benefits to electricity consumers likely to result from the scheme are sufficient to warrant any reward or penalty under the scheme</w:t>
      </w:r>
    </w:p>
    <w:p w:rsidR="00EB44C8" w:rsidRPr="00EB44C8" w:rsidRDefault="00EB44C8" w:rsidP="00EB44C8">
      <w:pPr>
        <w:pStyle w:val="AERbulletlistsecondstyle"/>
      </w:pPr>
      <w:r w:rsidRPr="00EB44C8">
        <w:t>the willingness of customers or end users to pay for increases in costs resulting from implementing DMIS.</w:t>
      </w:r>
    </w:p>
    <w:p w:rsidR="00EB44C8" w:rsidRPr="00EB44C8" w:rsidRDefault="00EB44C8" w:rsidP="00EB44C8">
      <w:pPr>
        <w:pStyle w:val="AERbulletlistfirststyle"/>
      </w:pPr>
      <w:r w:rsidRPr="00EB44C8">
        <w:t>Balanced incentives</w:t>
      </w:r>
    </w:p>
    <w:p w:rsidR="00EB44C8" w:rsidRPr="00EB44C8" w:rsidRDefault="00EB44C8" w:rsidP="00EB44C8">
      <w:pPr>
        <w:pStyle w:val="AERbulletlistsecondstyle"/>
      </w:pPr>
      <w:r w:rsidRPr="00EB44C8">
        <w:t>the effect of a particular con</w:t>
      </w:r>
      <w:bookmarkStart w:id="19" w:name="_GoBack"/>
      <w:bookmarkEnd w:id="19"/>
      <w:r w:rsidRPr="00EB44C8">
        <w:t>trol mechanism (i.e. price as distinct from revenue regulation) on a distributor's incentives to adopt or implement efficient non-network alternatives</w:t>
      </w:r>
    </w:p>
    <w:p w:rsidR="00EB44C8" w:rsidRPr="00EB44C8" w:rsidRDefault="00EB44C8" w:rsidP="00EB44C8">
      <w:pPr>
        <w:pStyle w:val="AERbulletlistsecondstyle"/>
      </w:pPr>
      <w:r w:rsidRPr="00EB44C8">
        <w:t xml:space="preserve">the effect of classification of services on a distributor's incentive to adopt or implement efficient embedded generator connections </w:t>
      </w:r>
    </w:p>
    <w:p w:rsidR="00EB44C8" w:rsidRPr="00EB44C8" w:rsidRDefault="00EB44C8" w:rsidP="00EB44C8">
      <w:pPr>
        <w:pStyle w:val="AERbulletlistsecondstyle"/>
      </w:pPr>
      <w:r w:rsidRPr="00EB44C8">
        <w:t>the extent the distributor is able to offer efficient pricing structures</w:t>
      </w:r>
    </w:p>
    <w:p w:rsidR="00EB44C8" w:rsidRPr="00EB44C8" w:rsidRDefault="00EB44C8" w:rsidP="00EB44C8">
      <w:pPr>
        <w:pStyle w:val="AERbulletlistsecondstyle"/>
      </w:pPr>
      <w:r w:rsidRPr="00EB44C8">
        <w:t>the possible interactions between DMIS and other incentive schemes.</w:t>
      </w:r>
    </w:p>
    <w:p w:rsidR="00EB44C8" w:rsidRPr="00694755" w:rsidRDefault="00EB44C8" w:rsidP="00EB44C8">
      <w:pPr>
        <w:numPr>
          <w:ilvl w:val="0"/>
          <w:numId w:val="25"/>
        </w:numPr>
      </w:pPr>
      <w:r w:rsidRPr="00694755">
        <w:t xml:space="preserve">We had regard to these factors in considering the proposed approach to the DMIS for </w:t>
      </w:r>
      <w:r>
        <w:t>SA Power Networks</w:t>
      </w:r>
      <w:r w:rsidRPr="00694755">
        <w:t xml:space="preserve"> as set out in our </w:t>
      </w:r>
      <w:r w:rsidR="006D44E2">
        <w:t xml:space="preserve">final </w:t>
      </w:r>
      <w:r w:rsidRPr="00694755">
        <w:t>F&amp;A</w:t>
      </w:r>
      <w:r w:rsidRPr="00694755">
        <w:rPr>
          <w:rStyle w:val="FootnoteReference"/>
        </w:rPr>
        <w:footnoteReference w:id="9"/>
      </w:r>
      <w:r w:rsidRPr="00694755">
        <w:t xml:space="preserve"> </w:t>
      </w:r>
      <w:r>
        <w:t>and preliminary decision</w:t>
      </w:r>
      <w:r>
        <w:rPr>
          <w:rStyle w:val="FootnoteReference"/>
        </w:rPr>
        <w:footnoteReference w:id="10"/>
      </w:r>
      <w:r>
        <w:t xml:space="preserve"> </w:t>
      </w:r>
      <w:r w:rsidRPr="00694755">
        <w:t xml:space="preserve">and we have again taken these factors into account in making our </w:t>
      </w:r>
      <w:r>
        <w:t>final</w:t>
      </w:r>
      <w:r w:rsidRPr="00694755">
        <w:t xml:space="preserve"> decision.</w:t>
      </w:r>
    </w:p>
    <w:p w:rsidR="00E463BF" w:rsidRDefault="00E463BF" w:rsidP="00E463BF">
      <w:pPr>
        <w:pStyle w:val="Heading2"/>
      </w:pPr>
      <w:bookmarkStart w:id="20" w:name="_Toc409017598"/>
      <w:bookmarkStart w:id="21" w:name="_Toc416354647"/>
      <w:bookmarkStart w:id="22" w:name="_Toc432672755"/>
      <w:r w:rsidRPr="001754EE">
        <w:lastRenderedPageBreak/>
        <w:t>Reasons</w:t>
      </w:r>
      <w:r>
        <w:t xml:space="preserve"> for </w:t>
      </w:r>
      <w:r w:rsidR="009D285B">
        <w:t>final</w:t>
      </w:r>
      <w:r>
        <w:t xml:space="preserve"> decision</w:t>
      </w:r>
      <w:bookmarkEnd w:id="20"/>
      <w:bookmarkEnd w:id="21"/>
      <w:bookmarkEnd w:id="22"/>
      <w:r>
        <w:t xml:space="preserve"> </w:t>
      </w:r>
    </w:p>
    <w:p w:rsidR="00CB0279" w:rsidRDefault="00DE6F6C" w:rsidP="00031E59">
      <w:pPr>
        <w:numPr>
          <w:ilvl w:val="0"/>
          <w:numId w:val="25"/>
        </w:numPr>
      </w:pPr>
      <w:r>
        <w:t>We have determined t</w:t>
      </w:r>
      <w:r w:rsidRPr="00B307CC">
        <w:t>he current innovation allowance amount of $</w:t>
      </w:r>
      <w:r>
        <w:t>0.6 million</w:t>
      </w:r>
      <w:r w:rsidRPr="00B307CC">
        <w:t xml:space="preserve"> ($20</w:t>
      </w:r>
      <w:r w:rsidR="00943F2D">
        <w:t>14</w:t>
      </w:r>
      <w:r w:rsidR="00943F2D">
        <w:rPr>
          <w:rFonts w:cs="Arial"/>
        </w:rPr>
        <w:t>─</w:t>
      </w:r>
      <w:r w:rsidRPr="00B307CC">
        <w:t>15) per</w:t>
      </w:r>
      <w:r w:rsidR="001E113A">
        <w:t xml:space="preserve"> annum </w:t>
      </w:r>
      <w:r w:rsidR="00D454C4">
        <w:t xml:space="preserve">(or $3 million over the period) </w:t>
      </w:r>
      <w:r w:rsidR="001E113A">
        <w:t>will continue in the 2015</w:t>
      </w:r>
      <w:r w:rsidRPr="00B307CC">
        <w:t>–20 regulatory control period.</w:t>
      </w:r>
      <w:r w:rsidR="00031E59">
        <w:t xml:space="preserve"> </w:t>
      </w:r>
      <w:r w:rsidR="00AE5088">
        <w:t xml:space="preserve">SA Power Networks </w:t>
      </w:r>
      <w:r w:rsidR="00031E59">
        <w:t>supported this decision in their revised proposal.</w:t>
      </w:r>
      <w:r w:rsidR="00031E59">
        <w:rPr>
          <w:rStyle w:val="FootnoteReference"/>
        </w:rPr>
        <w:footnoteReference w:id="11"/>
      </w:r>
    </w:p>
    <w:p w:rsidR="00031E59" w:rsidRDefault="00031E59" w:rsidP="00031E59">
      <w:pPr>
        <w:numPr>
          <w:ilvl w:val="0"/>
          <w:numId w:val="25"/>
        </w:numPr>
      </w:pPr>
      <w:r>
        <w:t>We received submissions from the Energy Consumers Coalition of SA (ECCSA) and the Cons</w:t>
      </w:r>
      <w:r w:rsidR="002E2F62">
        <w:t>umer Challenge Panel</w:t>
      </w:r>
      <w:r>
        <w:t xml:space="preserve"> (CCP2).</w:t>
      </w:r>
    </w:p>
    <w:p w:rsidR="00334770" w:rsidRDefault="00334770" w:rsidP="00031E59">
      <w:pPr>
        <w:numPr>
          <w:ilvl w:val="0"/>
          <w:numId w:val="25"/>
        </w:numPr>
      </w:pPr>
      <w:r>
        <w:t>The ECCSA submitted th</w:t>
      </w:r>
      <w:r w:rsidR="00DB0A50">
        <w:t xml:space="preserve">ey want </w:t>
      </w:r>
      <w:r w:rsidR="006D44E2">
        <w:t>us</w:t>
      </w:r>
      <w:r>
        <w:t xml:space="preserve"> </w:t>
      </w:r>
      <w:r w:rsidR="00DB0A50">
        <w:t>to</w:t>
      </w:r>
      <w:r>
        <w:t xml:space="preserve"> apply greater control of what pro</w:t>
      </w:r>
      <w:r w:rsidR="00DB0A50">
        <w:t>jects are funded from the DMIS to avoid duplication and m</w:t>
      </w:r>
      <w:r w:rsidR="006C6222">
        <w:t>aximize benefits for customers.</w:t>
      </w:r>
      <w:r w:rsidR="006C6222">
        <w:rPr>
          <w:rStyle w:val="FootnoteReference"/>
        </w:rPr>
        <w:footnoteReference w:id="12"/>
      </w:r>
    </w:p>
    <w:p w:rsidR="00DB0A50" w:rsidRDefault="00DB0A50" w:rsidP="00031E59">
      <w:pPr>
        <w:numPr>
          <w:ilvl w:val="0"/>
          <w:numId w:val="25"/>
        </w:numPr>
      </w:pPr>
      <w:r>
        <w:t>The CCP2 submitted the AER and SA Power Networks should consider using the DMIS to fund a Micro-Grid trial program in Bordertown</w:t>
      </w:r>
      <w:r w:rsidR="006C6222">
        <w:t>. SA Power Networks have included the expense within the</w:t>
      </w:r>
      <w:r w:rsidR="00852BC0">
        <w:t>ir capital expenditure program.</w:t>
      </w:r>
      <w:r w:rsidR="00EA16FE">
        <w:rPr>
          <w:rStyle w:val="FootnoteReference"/>
        </w:rPr>
        <w:footnoteReference w:id="13"/>
      </w:r>
    </w:p>
    <w:p w:rsidR="00AA67B4" w:rsidRPr="00AA67B4" w:rsidRDefault="00AA67B4" w:rsidP="00AA67B4">
      <w:pPr>
        <w:numPr>
          <w:ilvl w:val="0"/>
          <w:numId w:val="25"/>
        </w:numPr>
      </w:pPr>
      <w:r w:rsidRPr="00AA67B4">
        <w:t xml:space="preserve">We acknowledge the need to reform the existing demand management incentive arrangements and the importance of demand management in deferring the need for network augmentation by alleviating network utilisation during peak usage periods. </w:t>
      </w:r>
      <w:r w:rsidR="00D454C4">
        <w:t>However, quite separately to incentive or innovation allowances, t</w:t>
      </w:r>
      <w:r w:rsidRPr="00AA67B4">
        <w:t xml:space="preserve">he move to a revenue cap form of control removes any disincentive for distributors to reduce the quantity of electricity sold by pursuing demand management initiatives. More robust obligations to consider non-network alternatives </w:t>
      </w:r>
      <w:r w:rsidR="00D454C4">
        <w:t xml:space="preserve">under </w:t>
      </w:r>
      <w:r w:rsidRPr="00AA67B4">
        <w:t xml:space="preserve">RIT-D requirements </w:t>
      </w:r>
      <w:r w:rsidR="00D454C4">
        <w:t xml:space="preserve">also </w:t>
      </w:r>
      <w:r w:rsidRPr="00AA67B4">
        <w:t>provide distributors with opportunities to improve and expand their demand management programs.</w:t>
      </w:r>
    </w:p>
    <w:p w:rsidR="00AA67B4" w:rsidRDefault="00D454C4" w:rsidP="00AA67B4">
      <w:pPr>
        <w:numPr>
          <w:ilvl w:val="0"/>
          <w:numId w:val="25"/>
        </w:numPr>
      </w:pPr>
      <w:r>
        <w:t>W</w:t>
      </w:r>
      <w:r w:rsidR="00AA67B4" w:rsidRPr="00AA67B4">
        <w:t xml:space="preserve">e recognise the importance of </w:t>
      </w:r>
      <w:r>
        <w:t xml:space="preserve">appropriate </w:t>
      </w:r>
      <w:r w:rsidR="00AA67B4" w:rsidRPr="00AA67B4">
        <w:t xml:space="preserve">demand management incentives in order to defer network augmentation. </w:t>
      </w:r>
      <w:r>
        <w:t>I</w:t>
      </w:r>
      <w:r w:rsidR="00AA67B4" w:rsidRPr="00AA67B4">
        <w:t xml:space="preserve">n response to </w:t>
      </w:r>
      <w:r w:rsidR="00140EBD">
        <w:t>s</w:t>
      </w:r>
      <w:r w:rsidR="00AA67B4" w:rsidRPr="00AA67B4">
        <w:t>ubmission</w:t>
      </w:r>
      <w:r w:rsidR="00140EBD">
        <w:t>s</w:t>
      </w:r>
      <w:r>
        <w:t>,</w:t>
      </w:r>
      <w:r w:rsidR="00140EBD">
        <w:t xml:space="preserve"> </w:t>
      </w:r>
      <w:r w:rsidR="00AA67B4" w:rsidRPr="00AA67B4">
        <w:t xml:space="preserve">we do not consider it appropriate to </w:t>
      </w:r>
      <w:r w:rsidR="00140EBD">
        <w:t xml:space="preserve">change the process for approval of projects </w:t>
      </w:r>
      <w:r w:rsidR="00AA67B4" w:rsidRPr="00AA67B4">
        <w:t>in parallel to developing a new DMIS and DMIA. The AEMC's final rule determination</w:t>
      </w:r>
      <w:r w:rsidR="00AA67B4" w:rsidRPr="00AA67B4">
        <w:rPr>
          <w:rStyle w:val="FootnoteReference"/>
        </w:rPr>
        <w:footnoteReference w:id="14"/>
      </w:r>
      <w:r w:rsidR="00AA67B4" w:rsidRPr="00AA67B4">
        <w:t xml:space="preserve"> requires </w:t>
      </w:r>
      <w:r w:rsidR="006D44E2">
        <w:t>us</w:t>
      </w:r>
      <w:r w:rsidR="00AA67B4" w:rsidRPr="00AA67B4">
        <w:t xml:space="preserve"> to develop a demand management incentive scheme an</w:t>
      </w:r>
      <w:r w:rsidR="00140EBD">
        <w:t>d allowance by 1 December 2016.</w:t>
      </w:r>
    </w:p>
    <w:p w:rsidR="00140EBD" w:rsidRDefault="00140EBD" w:rsidP="00140EBD">
      <w:pPr>
        <w:numPr>
          <w:ilvl w:val="0"/>
          <w:numId w:val="25"/>
        </w:numPr>
      </w:pPr>
      <w:r w:rsidRPr="00140EBD">
        <w:t xml:space="preserve">For these reasons, we are not making any changes to the DMIS and we have adopted the position proposed in our </w:t>
      </w:r>
      <w:r>
        <w:t>preliminary decision and</w:t>
      </w:r>
      <w:r w:rsidRPr="00140EBD">
        <w:t xml:space="preserve"> approved DMIA allowances consistent with their current scale.</w:t>
      </w:r>
    </w:p>
    <w:p w:rsidR="006C6222" w:rsidRPr="00290C63" w:rsidRDefault="00140EBD" w:rsidP="00F52EF1">
      <w:pPr>
        <w:numPr>
          <w:ilvl w:val="0"/>
          <w:numId w:val="25"/>
        </w:numPr>
      </w:pPr>
      <w:r>
        <w:t>SA Power Networks</w:t>
      </w:r>
      <w:r w:rsidRPr="00140EBD">
        <w:t xml:space="preserve"> proposed a small number of demand management costs as part of its total forecast operating expenditure building block. Our decision on </w:t>
      </w:r>
      <w:r>
        <w:t xml:space="preserve">SA Power </w:t>
      </w:r>
      <w:r>
        <w:lastRenderedPageBreak/>
        <w:t>Networks</w:t>
      </w:r>
      <w:r w:rsidRPr="00140EBD">
        <w:t>’ demand management related operating expenditure building block can be found in attachment 7.</w:t>
      </w:r>
    </w:p>
    <w:sectPr w:rsidR="006C6222" w:rsidRPr="00290C63"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DE563D" w:rsidRDefault="00DE563D">
        <w:pPr>
          <w:pStyle w:val="Footer"/>
        </w:pPr>
        <w:r>
          <w:t>1</w:t>
        </w:r>
        <w:r w:rsidR="0069449D">
          <w:t>2</w:t>
        </w:r>
        <w:r>
          <w:t>-</w:t>
        </w:r>
        <w:r>
          <w:fldChar w:fldCharType="begin"/>
        </w:r>
        <w:r>
          <w:instrText xml:space="preserve"> PAGE   \* MERGEFORMAT </w:instrText>
        </w:r>
        <w:r>
          <w:fldChar w:fldCharType="separate"/>
        </w:r>
        <w:r w:rsidR="00E555E5">
          <w:rPr>
            <w:noProof/>
          </w:rPr>
          <w:t>7</w:t>
        </w:r>
        <w:r>
          <w:rPr>
            <w:noProof/>
          </w:rPr>
          <w:fldChar w:fldCharType="end"/>
        </w:r>
        <w:r w:rsidR="00DA61F3">
          <w:rPr>
            <w:noProof/>
          </w:rPr>
          <w:t xml:space="preserve">      </w:t>
        </w:r>
        <w:r w:rsidR="00DA61F3">
          <w:t xml:space="preserve">           </w:t>
        </w:r>
        <w:r w:rsidR="00DA61F3">
          <w:rPr>
            <w:noProof/>
          </w:rPr>
          <w:t xml:space="preserve"> </w:t>
        </w:r>
        <w:r>
          <w:rPr>
            <w:noProof/>
          </w:rPr>
          <w:t xml:space="preserve"> Attachment 1</w:t>
        </w:r>
        <w:r w:rsidR="0069449D">
          <w:t>2</w:t>
        </w:r>
        <w:r>
          <w:rPr>
            <w:noProof/>
          </w:rPr>
          <w:t xml:space="preserve"> </w:t>
        </w:r>
        <w:r>
          <w:rPr>
            <w:rFonts w:cs="Gautami"/>
            <w:noProof/>
          </w:rPr>
          <w:t xml:space="preserve">– </w:t>
        </w:r>
        <w:r w:rsidR="0069449D">
          <w:t>DMIS</w:t>
        </w:r>
        <w:r>
          <w:rPr>
            <w:rFonts w:cs="Gautami"/>
            <w:noProof/>
          </w:rPr>
          <w:t xml:space="preserve"> | </w:t>
        </w:r>
        <w:r w:rsidR="00A7412B">
          <w:t>SA Power Networks</w:t>
        </w:r>
        <w:r>
          <w:rPr>
            <w:rFonts w:cs="Gautami"/>
            <w:noProof/>
          </w:rPr>
          <w:t xml:space="preserve"> determination 2015–20</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2776B5" w:rsidRDefault="002776B5" w:rsidP="002776B5">
      <w:pPr>
        <w:pStyle w:val="FootnoteText"/>
      </w:pPr>
      <w:r>
        <w:rPr>
          <w:rStyle w:val="FootnoteReference"/>
        </w:rPr>
        <w:footnoteRef/>
      </w:r>
      <w:r>
        <w:t xml:space="preserve"> </w:t>
      </w:r>
      <w:r>
        <w:tab/>
        <w:t xml:space="preserve">NER, cl. 6.6.3(a). </w:t>
      </w:r>
    </w:p>
  </w:footnote>
  <w:footnote w:id="2">
    <w:p w:rsidR="00241A47" w:rsidRDefault="00241A47" w:rsidP="00241A47">
      <w:pPr>
        <w:pStyle w:val="FootnoteText"/>
      </w:pPr>
      <w:r>
        <w:rPr>
          <w:rStyle w:val="FootnoteReference"/>
        </w:rPr>
        <w:footnoteRef/>
      </w:r>
      <w:r>
        <w:t xml:space="preserve"> </w:t>
      </w:r>
      <w:r>
        <w:tab/>
        <w:t>The rules have since changed the name to '</w:t>
      </w:r>
      <w:r w:rsidRPr="000A4391">
        <w:t>Demand Management and Embedded Generation Connection Incentive Scheme</w:t>
      </w:r>
      <w:r>
        <w:t>'</w:t>
      </w:r>
      <w:r w:rsidRPr="000A4391">
        <w:t xml:space="preserve"> (DMEGCIS)</w:t>
      </w:r>
      <w:r>
        <w:t xml:space="preserve"> to explicitly cover innovation with respect to the connection of embedded generation. Our current and proposed DMIS includes embedded generation. We consider embedded generation to be one means of demand management, as it typically reduces demand for power drawn from a distribution network. </w:t>
      </w:r>
    </w:p>
  </w:footnote>
  <w:footnote w:id="3">
    <w:p w:rsidR="002776B5" w:rsidRDefault="002776B5" w:rsidP="002776B5">
      <w:pPr>
        <w:pStyle w:val="FootnoteText"/>
      </w:pPr>
      <w:r>
        <w:rPr>
          <w:rStyle w:val="FootnoteReference"/>
        </w:rPr>
        <w:footnoteRef/>
      </w:r>
      <w:r>
        <w:t xml:space="preserve"> </w:t>
      </w:r>
      <w:r>
        <w:tab/>
      </w:r>
      <w:r w:rsidRPr="00F84878">
        <w:t xml:space="preserve">AER, </w:t>
      </w:r>
      <w:r w:rsidRPr="00F84878">
        <w:rPr>
          <w:rStyle w:val="AERtextitalic"/>
        </w:rPr>
        <w:t xml:space="preserve">Demand management incentive scheme – </w:t>
      </w:r>
      <w:r>
        <w:rPr>
          <w:rStyle w:val="AERtextitalic"/>
        </w:rPr>
        <w:t>Energex, Ergon Energy and ETSA Utilities</w:t>
      </w:r>
      <w:r w:rsidRPr="00F84878">
        <w:rPr>
          <w:rStyle w:val="AERtextitalic"/>
        </w:rPr>
        <w:t>: 201</w:t>
      </w:r>
      <w:r>
        <w:rPr>
          <w:rStyle w:val="AERtextitalic"/>
        </w:rPr>
        <w:t>0</w:t>
      </w:r>
      <w:r w:rsidRPr="00F84878">
        <w:rPr>
          <w:rStyle w:val="AERtextitalic"/>
        </w:rPr>
        <w:t>–15</w:t>
      </w:r>
      <w:r w:rsidRPr="00F84878">
        <w:t>,</w:t>
      </w:r>
      <w:r>
        <w:t xml:space="preserve"> 17</w:t>
      </w:r>
      <w:r w:rsidRPr="00F84878">
        <w:t xml:space="preserve"> </w:t>
      </w:r>
      <w:r>
        <w:t>October</w:t>
      </w:r>
      <w:r w:rsidRPr="00F84878">
        <w:t xml:space="preserve"> 200</w:t>
      </w:r>
      <w:r>
        <w:t>8 (AER, DMIA for QLD and SA distributors, October 2008)</w:t>
      </w:r>
      <w:r w:rsidRPr="00F84878">
        <w:t>.</w:t>
      </w:r>
    </w:p>
  </w:footnote>
  <w:footnote w:id="4">
    <w:p w:rsidR="00D6375D" w:rsidRDefault="00D6375D" w:rsidP="00D6375D">
      <w:pPr>
        <w:pStyle w:val="FootnoteText"/>
      </w:pPr>
      <w:r>
        <w:rPr>
          <w:rStyle w:val="FootnoteReference"/>
        </w:rPr>
        <w:footnoteRef/>
      </w:r>
      <w:r>
        <w:t xml:space="preserve"> </w:t>
      </w:r>
      <w:r>
        <w:tab/>
      </w:r>
      <w:r w:rsidRPr="00E95D15">
        <w:t>The DMIA excludes the costs of demand management initiatives approved in our determination for the 2011</w:t>
      </w:r>
      <w:r w:rsidRPr="00E95D15">
        <w:rPr>
          <w:rFonts w:cs="Gautami"/>
        </w:rPr>
        <w:t>–</w:t>
      </w:r>
      <w:r w:rsidRPr="00E95D15">
        <w:t>15 regulatory control period</w:t>
      </w:r>
      <w:r w:rsidRPr="00E95D15">
        <w:rPr>
          <w:rStyle w:val="AERtextitalic"/>
        </w:rPr>
        <w:t>.</w:t>
      </w:r>
    </w:p>
  </w:footnote>
  <w:footnote w:id="5">
    <w:p w:rsidR="00D6375D" w:rsidRDefault="00D6375D" w:rsidP="00D6375D">
      <w:pPr>
        <w:pStyle w:val="FootnoteText"/>
      </w:pPr>
      <w:r>
        <w:rPr>
          <w:rStyle w:val="FootnoteReference"/>
        </w:rPr>
        <w:footnoteRef/>
      </w:r>
      <w:r>
        <w:t xml:space="preserve"> </w:t>
      </w:r>
      <w:r>
        <w:tab/>
      </w:r>
      <w:proofErr w:type="gramStart"/>
      <w:r>
        <w:t>AER</w:t>
      </w:r>
      <w:r w:rsidRPr="00634D74">
        <w:rPr>
          <w:rStyle w:val="AERtextitalic"/>
        </w:rPr>
        <w:t>, DMIA for QLD and SA distributors</w:t>
      </w:r>
      <w:r>
        <w:t xml:space="preserve">, October 2008, </w:t>
      </w:r>
      <w:r w:rsidRPr="00F84878">
        <w:t xml:space="preserve">pp. </w:t>
      </w:r>
      <w:r>
        <w:t>5</w:t>
      </w:r>
      <w:r w:rsidR="00634D74">
        <w:rPr>
          <w:rFonts w:cs="Arial"/>
        </w:rPr>
        <w:t>─</w:t>
      </w:r>
      <w:r>
        <w:t>6</w:t>
      </w:r>
      <w:r w:rsidRPr="00F84878">
        <w:t>.</w:t>
      </w:r>
      <w:proofErr w:type="gramEnd"/>
    </w:p>
  </w:footnote>
  <w:footnote w:id="6">
    <w:p w:rsidR="003534C1" w:rsidRPr="003534C1" w:rsidRDefault="003534C1" w:rsidP="003534C1">
      <w:pPr>
        <w:pStyle w:val="FootnoteText"/>
        <w:rPr>
          <w:rStyle w:val="Emphasis"/>
        </w:rPr>
      </w:pPr>
      <w:r>
        <w:rPr>
          <w:rStyle w:val="FootnoteReference"/>
        </w:rPr>
        <w:footnoteRef/>
      </w:r>
      <w:r>
        <w:t xml:space="preserve"> </w:t>
      </w:r>
      <w:r>
        <w:tab/>
      </w:r>
      <w:proofErr w:type="gramStart"/>
      <w:r w:rsidR="00AE5088" w:rsidRPr="00AE5088">
        <w:t xml:space="preserve">AER, </w:t>
      </w:r>
      <w:r w:rsidR="00AE5088" w:rsidRPr="00AE5088">
        <w:rPr>
          <w:rStyle w:val="Emphasis"/>
        </w:rPr>
        <w:t>Preliminary decision SA Power Networks distribution determination 2015-16 to 2019-20, Attachment 12 – Demand management incentive scheme</w:t>
      </w:r>
      <w:r w:rsidR="00AE5088">
        <w:t>, April 2015</w:t>
      </w:r>
      <w:r>
        <w:t>, p</w:t>
      </w:r>
      <w:r w:rsidR="00AE5088">
        <w:t>p</w:t>
      </w:r>
      <w:r>
        <w:t>. 6</w:t>
      </w:r>
      <w:r w:rsidR="00634D74">
        <w:rPr>
          <w:rFonts w:cs="Arial"/>
        </w:rPr>
        <w:t>─</w:t>
      </w:r>
      <w:r w:rsidR="00AE5088">
        <w:t>7.</w:t>
      </w:r>
      <w:proofErr w:type="gramEnd"/>
    </w:p>
  </w:footnote>
  <w:footnote w:id="7">
    <w:p w:rsidR="003534C1" w:rsidRPr="003534C1" w:rsidRDefault="003534C1" w:rsidP="00B41768">
      <w:pPr>
        <w:pStyle w:val="FootnoteText"/>
        <w:rPr>
          <w:rStyle w:val="Emphasis"/>
        </w:rPr>
      </w:pPr>
      <w:r>
        <w:rPr>
          <w:rStyle w:val="FootnoteReference"/>
        </w:rPr>
        <w:footnoteRef/>
      </w:r>
      <w:r>
        <w:t xml:space="preserve"> </w:t>
      </w:r>
      <w:r>
        <w:tab/>
        <w:t xml:space="preserve">SA Power Networks, </w:t>
      </w:r>
      <w:r>
        <w:rPr>
          <w:rStyle w:val="Emphasis"/>
        </w:rPr>
        <w:t xml:space="preserve">SA Power Networks Revised Regulatory Proposal 2015–20, </w:t>
      </w:r>
      <w:r w:rsidRPr="00B41768">
        <w:rPr>
          <w:rStyle w:val="Emphasis"/>
          <w:i w:val="0"/>
          <w:iCs w:val="0"/>
        </w:rPr>
        <w:t>3 July 2015, p</w:t>
      </w:r>
      <w:r w:rsidR="003250CE" w:rsidRPr="00B41768">
        <w:rPr>
          <w:rStyle w:val="Emphasis"/>
          <w:i w:val="0"/>
          <w:iCs w:val="0"/>
        </w:rPr>
        <w:t>p</w:t>
      </w:r>
      <w:r w:rsidR="00634D74">
        <w:rPr>
          <w:rStyle w:val="Emphasis"/>
        </w:rPr>
        <w:t>.</w:t>
      </w:r>
      <w:r w:rsidR="003250CE" w:rsidRPr="00B41768">
        <w:rPr>
          <w:rStyle w:val="Emphasis"/>
          <w:i w:val="0"/>
          <w:iCs w:val="0"/>
        </w:rPr>
        <w:t xml:space="preserve"> 316</w:t>
      </w:r>
      <w:r w:rsidR="00634D74">
        <w:rPr>
          <w:rStyle w:val="Emphasis"/>
          <w:rFonts w:cs="Arial"/>
          <w:i w:val="0"/>
          <w:iCs w:val="0"/>
        </w:rPr>
        <w:t>─</w:t>
      </w:r>
      <w:r w:rsidR="003250CE" w:rsidRPr="00B41768">
        <w:rPr>
          <w:rStyle w:val="Emphasis"/>
          <w:i w:val="0"/>
          <w:iCs w:val="0"/>
        </w:rPr>
        <w:t>317</w:t>
      </w:r>
      <w:r w:rsidR="00F52EF1">
        <w:rPr>
          <w:rStyle w:val="Emphasis"/>
        </w:rPr>
        <w:t>.</w:t>
      </w:r>
    </w:p>
  </w:footnote>
  <w:footnote w:id="8">
    <w:p w:rsidR="003534C1" w:rsidRDefault="003534C1" w:rsidP="003534C1">
      <w:pPr>
        <w:pStyle w:val="FootnoteText"/>
      </w:pPr>
      <w:r>
        <w:rPr>
          <w:rStyle w:val="FootnoteReference"/>
        </w:rPr>
        <w:footnoteRef/>
      </w:r>
      <w:r>
        <w:t xml:space="preserve"> </w:t>
      </w:r>
      <w:r>
        <w:tab/>
      </w:r>
      <w:proofErr w:type="gramStart"/>
      <w:r>
        <w:t>NER, cl</w:t>
      </w:r>
      <w:r w:rsidR="00634D74">
        <w:t>.</w:t>
      </w:r>
      <w:r>
        <w:t xml:space="preserve"> 6.6.3(b).</w:t>
      </w:r>
      <w:proofErr w:type="gramEnd"/>
    </w:p>
  </w:footnote>
  <w:footnote w:id="9">
    <w:p w:rsidR="00EB44C8" w:rsidRDefault="00EB44C8" w:rsidP="00634D74">
      <w:pPr>
        <w:pStyle w:val="FootnoteText"/>
      </w:pPr>
      <w:r>
        <w:rPr>
          <w:rStyle w:val="FootnoteReference"/>
        </w:rPr>
        <w:footnoteRef/>
      </w:r>
      <w:r>
        <w:t xml:space="preserve"> </w:t>
      </w:r>
      <w:r>
        <w:tab/>
      </w:r>
      <w:r w:rsidRPr="00634D74">
        <w:t>AER,</w:t>
      </w:r>
      <w:r w:rsidRPr="003534C1">
        <w:rPr>
          <w:rStyle w:val="Emphasis"/>
        </w:rPr>
        <w:t xml:space="preserve"> Final Framework and Approach paper for SA Power Networks,</w:t>
      </w:r>
      <w:r>
        <w:t xml:space="preserve"> 30 April 2014, p. 67.</w:t>
      </w:r>
    </w:p>
  </w:footnote>
  <w:footnote w:id="10">
    <w:p w:rsidR="00EB44C8" w:rsidRDefault="00EB44C8">
      <w:pPr>
        <w:pStyle w:val="FootnoteText"/>
      </w:pPr>
      <w:r>
        <w:rPr>
          <w:rStyle w:val="FootnoteReference"/>
        </w:rPr>
        <w:footnoteRef/>
      </w:r>
      <w:r>
        <w:t xml:space="preserve"> </w:t>
      </w:r>
      <w:r>
        <w:tab/>
      </w:r>
      <w:proofErr w:type="gramStart"/>
      <w:r>
        <w:t xml:space="preserve">AER, </w:t>
      </w:r>
      <w:r w:rsidRPr="00EB44C8">
        <w:rPr>
          <w:rStyle w:val="Emphasis"/>
        </w:rPr>
        <w:t>Preliminary decision SA Power Networks distribution determination, Attachment 12 – Demand management incentive scheme</w:t>
      </w:r>
      <w:r>
        <w:t>, April 2015.</w:t>
      </w:r>
      <w:proofErr w:type="gramEnd"/>
    </w:p>
  </w:footnote>
  <w:footnote w:id="11">
    <w:p w:rsidR="00031E59" w:rsidRDefault="00031E59" w:rsidP="00634D74">
      <w:pPr>
        <w:pStyle w:val="FootnoteText"/>
      </w:pPr>
      <w:r>
        <w:rPr>
          <w:rStyle w:val="FootnoteReference"/>
        </w:rPr>
        <w:footnoteRef/>
      </w:r>
      <w:r>
        <w:t xml:space="preserve"> </w:t>
      </w:r>
      <w:r>
        <w:tab/>
      </w:r>
      <w:r w:rsidRPr="00031E59">
        <w:t xml:space="preserve">SA Power Networks, </w:t>
      </w:r>
      <w:r w:rsidRPr="00031E59">
        <w:rPr>
          <w:rStyle w:val="Emphasis"/>
        </w:rPr>
        <w:t>Revised Regulatory Pr</w:t>
      </w:r>
      <w:r w:rsidR="0070703A">
        <w:rPr>
          <w:rStyle w:val="Emphasis"/>
        </w:rPr>
        <w:t xml:space="preserve">oposal 2015–20, </w:t>
      </w:r>
      <w:r w:rsidR="0070703A" w:rsidRPr="00634D74">
        <w:t>3 July 2015, pp.</w:t>
      </w:r>
      <w:r w:rsidRPr="00634D74">
        <w:t xml:space="preserve"> 316</w:t>
      </w:r>
      <w:r w:rsidR="00634D74">
        <w:rPr>
          <w:rFonts w:cs="Arial"/>
        </w:rPr>
        <w:t>─</w:t>
      </w:r>
      <w:r w:rsidRPr="00634D74">
        <w:t>317</w:t>
      </w:r>
      <w:r w:rsidRPr="00031E59">
        <w:rPr>
          <w:rStyle w:val="Emphasis"/>
        </w:rPr>
        <w:t>.</w:t>
      </w:r>
    </w:p>
  </w:footnote>
  <w:footnote w:id="12">
    <w:p w:rsidR="006C6222" w:rsidRPr="00852BC0" w:rsidRDefault="006C6222" w:rsidP="00634D74">
      <w:pPr>
        <w:pStyle w:val="FootnoteText"/>
        <w:rPr>
          <w:rStyle w:val="Emphasis"/>
          <w:i w:val="0"/>
          <w:iCs w:val="0"/>
        </w:rPr>
      </w:pPr>
      <w:r>
        <w:rPr>
          <w:rStyle w:val="FootnoteReference"/>
        </w:rPr>
        <w:footnoteRef/>
      </w:r>
      <w:r>
        <w:t xml:space="preserve"> </w:t>
      </w:r>
      <w:r w:rsidR="00852BC0">
        <w:tab/>
        <w:t xml:space="preserve">ECCSA, </w:t>
      </w:r>
      <w:proofErr w:type="gramStart"/>
      <w:r w:rsidR="00852BC0">
        <w:rPr>
          <w:rStyle w:val="Emphasis"/>
        </w:rPr>
        <w:t>The</w:t>
      </w:r>
      <w:proofErr w:type="gramEnd"/>
      <w:r w:rsidR="00852BC0">
        <w:rPr>
          <w:rStyle w:val="Emphasis"/>
        </w:rPr>
        <w:t xml:space="preserve"> SAPN revised proposal, </w:t>
      </w:r>
      <w:r w:rsidR="00852BC0" w:rsidRPr="00852BC0">
        <w:rPr>
          <w:rStyle w:val="Emphasis"/>
          <w:i w:val="0"/>
          <w:iCs w:val="0"/>
        </w:rPr>
        <w:t>July 2015</w:t>
      </w:r>
      <w:r w:rsidR="00852BC0">
        <w:rPr>
          <w:rStyle w:val="Emphasis"/>
        </w:rPr>
        <w:t xml:space="preserve">, </w:t>
      </w:r>
      <w:r w:rsidR="00852BC0" w:rsidRPr="00634D74">
        <w:t>pp.36</w:t>
      </w:r>
      <w:r w:rsidR="00634D74">
        <w:rPr>
          <w:rFonts w:cs="Arial"/>
        </w:rPr>
        <w:t>─</w:t>
      </w:r>
      <w:r w:rsidR="00852BC0" w:rsidRPr="00634D74">
        <w:t>37</w:t>
      </w:r>
      <w:r w:rsidR="00852BC0">
        <w:rPr>
          <w:rStyle w:val="Emphasis"/>
        </w:rPr>
        <w:t>.</w:t>
      </w:r>
    </w:p>
  </w:footnote>
  <w:footnote w:id="13">
    <w:p w:rsidR="00EA16FE" w:rsidRPr="00EA16FE" w:rsidRDefault="00EA16FE" w:rsidP="00EA16FE">
      <w:pPr>
        <w:pStyle w:val="FootnoteText"/>
        <w:rPr>
          <w:rStyle w:val="Emphasis"/>
          <w:i w:val="0"/>
          <w:iCs w:val="0"/>
        </w:rPr>
      </w:pPr>
      <w:r>
        <w:rPr>
          <w:rStyle w:val="FootnoteReference"/>
        </w:rPr>
        <w:footnoteRef/>
      </w:r>
      <w:r>
        <w:t xml:space="preserve"> </w:t>
      </w:r>
      <w:r>
        <w:tab/>
        <w:t xml:space="preserve">Bev Hughson, Member - Consumer Challenge Panel 2, </w:t>
      </w:r>
      <w:r>
        <w:rPr>
          <w:rStyle w:val="Emphasis"/>
        </w:rPr>
        <w:t xml:space="preserve">AER's Preliminary Decision for SA Power Networks for 2015-20 and SA Power Networks' Revised Regulatory Proposal, </w:t>
      </w:r>
      <w:r w:rsidRPr="00EA16FE">
        <w:rPr>
          <w:rStyle w:val="Emphasis"/>
          <w:i w:val="0"/>
          <w:iCs w:val="0"/>
        </w:rPr>
        <w:t>August 2015, pp.80</w:t>
      </w:r>
      <w:r w:rsidR="00634D74">
        <w:rPr>
          <w:rStyle w:val="Emphasis"/>
          <w:rFonts w:cs="Arial"/>
          <w:i w:val="0"/>
          <w:iCs w:val="0"/>
        </w:rPr>
        <w:t>─</w:t>
      </w:r>
      <w:r w:rsidRPr="00EA16FE">
        <w:rPr>
          <w:rStyle w:val="Emphasis"/>
          <w:i w:val="0"/>
          <w:iCs w:val="0"/>
        </w:rPr>
        <w:t>81.</w:t>
      </w:r>
    </w:p>
  </w:footnote>
  <w:footnote w:id="14">
    <w:p w:rsidR="00AA67B4" w:rsidRDefault="00AA67B4" w:rsidP="00AA67B4">
      <w:pPr>
        <w:pStyle w:val="FootnoteText"/>
      </w:pPr>
      <w:r>
        <w:rPr>
          <w:rStyle w:val="FootnoteReference"/>
        </w:rPr>
        <w:footnoteRef/>
      </w:r>
      <w:r>
        <w:t xml:space="preserve"> </w:t>
      </w:r>
      <w:r>
        <w:tab/>
      </w:r>
      <w:r w:rsidRPr="00746498">
        <w:t xml:space="preserve">AEMC, </w:t>
      </w:r>
      <w:r w:rsidRPr="00634D74">
        <w:rPr>
          <w:rStyle w:val="AERtextitalic"/>
        </w:rPr>
        <w:t>Rule Determination, National Electricity Amendment (Demand Management Incentive Scheme) Rule 2015</w:t>
      </w:r>
      <w:r w:rsidRPr="00966603">
        <w:t>, 20 August 2015</w:t>
      </w:r>
      <w:r w:rsidRPr="00746498">
        <w:t>:</w:t>
      </w:r>
      <w:r w:rsidRPr="00E57A97">
        <w:t xml:space="preserve"> </w:t>
      </w:r>
      <w:hyperlink r:id="rId1" w:history="1">
        <w:r w:rsidRPr="002A02EC">
          <w:rPr>
            <w:rStyle w:val="Hyperlink"/>
            <w:sz w:val="16"/>
          </w:rPr>
          <w:t>http://www.aemc.gov.au/getattachment/f866b41b-753b-471c-91cf-4f558ca130b2/Final-rule-determination.aspx</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4C752B7"/>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2"/>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2180786A"/>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6DE36827"/>
    <w:multiLevelType w:val="multilevel"/>
    <w:tmpl w:val="950A1C52"/>
    <w:numStyleLink w:val="AERHeadings"/>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1"/>
  </w:num>
  <w:num w:numId="14">
    <w:abstractNumId w:val="10"/>
  </w:num>
  <w:num w:numId="15">
    <w:abstractNumId w:val="13"/>
  </w:num>
  <w:num w:numId="16">
    <w:abstractNumId w:val="24"/>
  </w:num>
  <w:num w:numId="17">
    <w:abstractNumId w:val="9"/>
  </w:num>
  <w:num w:numId="18">
    <w:abstractNumId w:val="17"/>
  </w:num>
  <w:num w:numId="19">
    <w:abstractNumId w:val="25"/>
  </w:num>
  <w:num w:numId="20">
    <w:abstractNumId w:val="32"/>
  </w:num>
  <w:num w:numId="21">
    <w:abstractNumId w:val="14"/>
  </w:num>
  <w:num w:numId="22">
    <w:abstractNumId w:val="28"/>
  </w:num>
  <w:num w:numId="23">
    <w:abstractNumId w:val="26"/>
  </w:num>
  <w:num w:numId="24">
    <w:abstractNumId w:val="19"/>
  </w:num>
  <w:num w:numId="25">
    <w:abstractNumId w:val="27"/>
  </w:num>
  <w:num w:numId="26">
    <w:abstractNumId w:val="29"/>
  </w:num>
  <w:num w:numId="27">
    <w:abstractNumId w:val="20"/>
  </w:num>
  <w:num w:numId="28">
    <w:abstractNumId w:val="18"/>
  </w:num>
  <w:num w:numId="29">
    <w:abstractNumId w:val="16"/>
  </w:num>
  <w:num w:numId="30">
    <w:abstractNumId w:val="33"/>
  </w:num>
  <w:num w:numId="31">
    <w:abstractNumId w:val="15"/>
  </w:num>
  <w:num w:numId="32">
    <w:abstractNumId w:val="22"/>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1"/>
  </w:num>
  <w:num w:numId="37">
    <w:abstractNumId w:val="12"/>
  </w:num>
  <w:num w:numId="3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tOVqAPUU8iWBmbFtr7FQdUzNPGo2KZjnVrJ/A1dlW9k=" w:saltValue="F1QEYPMn6vIsX7dk9fxWvg==" w:algorithmName="SHA-256"/>
  <w:defaultTabStop w:val="34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860\AER15 2541  Energex - Final decision - Attach 12 - DMIS.DOCX"/>
  </w:docVars>
  <w:rsids>
    <w:rsidRoot w:val="00961A4A"/>
    <w:rsid w:val="00021202"/>
    <w:rsid w:val="0002517F"/>
    <w:rsid w:val="00031E59"/>
    <w:rsid w:val="000321C8"/>
    <w:rsid w:val="0003578C"/>
    <w:rsid w:val="00063247"/>
    <w:rsid w:val="00070F9F"/>
    <w:rsid w:val="0007137B"/>
    <w:rsid w:val="00085663"/>
    <w:rsid w:val="00085EBF"/>
    <w:rsid w:val="000A3020"/>
    <w:rsid w:val="000A6C7B"/>
    <w:rsid w:val="000B10B2"/>
    <w:rsid w:val="000D122C"/>
    <w:rsid w:val="000E1819"/>
    <w:rsid w:val="000E4821"/>
    <w:rsid w:val="000E6C72"/>
    <w:rsid w:val="000F7E58"/>
    <w:rsid w:val="00103360"/>
    <w:rsid w:val="00110279"/>
    <w:rsid w:val="00116EB2"/>
    <w:rsid w:val="001201F1"/>
    <w:rsid w:val="00124239"/>
    <w:rsid w:val="00124609"/>
    <w:rsid w:val="00126A4C"/>
    <w:rsid w:val="00140EBD"/>
    <w:rsid w:val="0014573B"/>
    <w:rsid w:val="001523CB"/>
    <w:rsid w:val="001573E4"/>
    <w:rsid w:val="00160756"/>
    <w:rsid w:val="00161CA9"/>
    <w:rsid w:val="00170B37"/>
    <w:rsid w:val="00171304"/>
    <w:rsid w:val="0017232E"/>
    <w:rsid w:val="00174102"/>
    <w:rsid w:val="00180157"/>
    <w:rsid w:val="00185CB9"/>
    <w:rsid w:val="00186F77"/>
    <w:rsid w:val="001926A4"/>
    <w:rsid w:val="00192AD5"/>
    <w:rsid w:val="001B45A0"/>
    <w:rsid w:val="001D055E"/>
    <w:rsid w:val="001E113A"/>
    <w:rsid w:val="001F492E"/>
    <w:rsid w:val="001F6DA3"/>
    <w:rsid w:val="002010BC"/>
    <w:rsid w:val="00202E03"/>
    <w:rsid w:val="0020492C"/>
    <w:rsid w:val="00224DB9"/>
    <w:rsid w:val="00233775"/>
    <w:rsid w:val="00241A47"/>
    <w:rsid w:val="00243F37"/>
    <w:rsid w:val="00251745"/>
    <w:rsid w:val="00263AC0"/>
    <w:rsid w:val="00264264"/>
    <w:rsid w:val="0026772D"/>
    <w:rsid w:val="00267C74"/>
    <w:rsid w:val="002776B5"/>
    <w:rsid w:val="00286874"/>
    <w:rsid w:val="00290C63"/>
    <w:rsid w:val="00294861"/>
    <w:rsid w:val="00296B65"/>
    <w:rsid w:val="002A4FE4"/>
    <w:rsid w:val="002A7DEF"/>
    <w:rsid w:val="002C214E"/>
    <w:rsid w:val="002D410F"/>
    <w:rsid w:val="002E2F62"/>
    <w:rsid w:val="002E7B22"/>
    <w:rsid w:val="002F7986"/>
    <w:rsid w:val="00301B40"/>
    <w:rsid w:val="003029EE"/>
    <w:rsid w:val="00305CC8"/>
    <w:rsid w:val="00307F6D"/>
    <w:rsid w:val="00310624"/>
    <w:rsid w:val="003177A2"/>
    <w:rsid w:val="003250CE"/>
    <w:rsid w:val="003271B5"/>
    <w:rsid w:val="00327A1E"/>
    <w:rsid w:val="00331264"/>
    <w:rsid w:val="00334770"/>
    <w:rsid w:val="00334C8D"/>
    <w:rsid w:val="00343560"/>
    <w:rsid w:val="00343A18"/>
    <w:rsid w:val="003518B3"/>
    <w:rsid w:val="003534C1"/>
    <w:rsid w:val="003846F1"/>
    <w:rsid w:val="003B33EB"/>
    <w:rsid w:val="003B484F"/>
    <w:rsid w:val="003E29D5"/>
    <w:rsid w:val="003F08CD"/>
    <w:rsid w:val="003F174D"/>
    <w:rsid w:val="00402207"/>
    <w:rsid w:val="00415B1A"/>
    <w:rsid w:val="0042093E"/>
    <w:rsid w:val="0045777E"/>
    <w:rsid w:val="00466E2F"/>
    <w:rsid w:val="00480656"/>
    <w:rsid w:val="00480B4B"/>
    <w:rsid w:val="00485DC4"/>
    <w:rsid w:val="004A43D1"/>
    <w:rsid w:val="004B4412"/>
    <w:rsid w:val="004C348C"/>
    <w:rsid w:val="004D55BA"/>
    <w:rsid w:val="004E22EC"/>
    <w:rsid w:val="00530128"/>
    <w:rsid w:val="00532467"/>
    <w:rsid w:val="00540600"/>
    <w:rsid w:val="0056085D"/>
    <w:rsid w:val="00564A4D"/>
    <w:rsid w:val="00567BA5"/>
    <w:rsid w:val="00571B35"/>
    <w:rsid w:val="00571D57"/>
    <w:rsid w:val="00577A09"/>
    <w:rsid w:val="005829C2"/>
    <w:rsid w:val="00584D8F"/>
    <w:rsid w:val="00590527"/>
    <w:rsid w:val="005A404D"/>
    <w:rsid w:val="005B1E3C"/>
    <w:rsid w:val="005C26CC"/>
    <w:rsid w:val="005D0B8D"/>
    <w:rsid w:val="005D7BA2"/>
    <w:rsid w:val="005E36C2"/>
    <w:rsid w:val="00615C6B"/>
    <w:rsid w:val="00621DCE"/>
    <w:rsid w:val="00632D6D"/>
    <w:rsid w:val="00634D74"/>
    <w:rsid w:val="00642C3E"/>
    <w:rsid w:val="0066104A"/>
    <w:rsid w:val="0066284E"/>
    <w:rsid w:val="00663DAD"/>
    <w:rsid w:val="00675E20"/>
    <w:rsid w:val="00676679"/>
    <w:rsid w:val="00683C89"/>
    <w:rsid w:val="0069449D"/>
    <w:rsid w:val="006B2395"/>
    <w:rsid w:val="006B4CF9"/>
    <w:rsid w:val="006B6B62"/>
    <w:rsid w:val="006B7AC8"/>
    <w:rsid w:val="006C6222"/>
    <w:rsid w:val="006D44E2"/>
    <w:rsid w:val="006D550F"/>
    <w:rsid w:val="006F7E4B"/>
    <w:rsid w:val="00701CAB"/>
    <w:rsid w:val="0070703A"/>
    <w:rsid w:val="00707563"/>
    <w:rsid w:val="0072348C"/>
    <w:rsid w:val="00724A37"/>
    <w:rsid w:val="007303C3"/>
    <w:rsid w:val="007429BE"/>
    <w:rsid w:val="00743223"/>
    <w:rsid w:val="00746E01"/>
    <w:rsid w:val="00757BDF"/>
    <w:rsid w:val="00763E5D"/>
    <w:rsid w:val="00764131"/>
    <w:rsid w:val="00767740"/>
    <w:rsid w:val="00777EE6"/>
    <w:rsid w:val="00782EEA"/>
    <w:rsid w:val="007835B7"/>
    <w:rsid w:val="007B2C72"/>
    <w:rsid w:val="007C1C53"/>
    <w:rsid w:val="007C74BB"/>
    <w:rsid w:val="007E4904"/>
    <w:rsid w:val="007E4CB5"/>
    <w:rsid w:val="007F066B"/>
    <w:rsid w:val="008033C4"/>
    <w:rsid w:val="00806C88"/>
    <w:rsid w:val="0081034E"/>
    <w:rsid w:val="00825407"/>
    <w:rsid w:val="00832674"/>
    <w:rsid w:val="008344F6"/>
    <w:rsid w:val="0083510F"/>
    <w:rsid w:val="00845C0C"/>
    <w:rsid w:val="00851209"/>
    <w:rsid w:val="00852BC0"/>
    <w:rsid w:val="008837AC"/>
    <w:rsid w:val="008A587D"/>
    <w:rsid w:val="008B35CD"/>
    <w:rsid w:val="008B5FCC"/>
    <w:rsid w:val="008C5486"/>
    <w:rsid w:val="008D1661"/>
    <w:rsid w:val="008E7031"/>
    <w:rsid w:val="008E77DE"/>
    <w:rsid w:val="008F07A3"/>
    <w:rsid w:val="00900E1B"/>
    <w:rsid w:val="009216B0"/>
    <w:rsid w:val="009233EE"/>
    <w:rsid w:val="00937125"/>
    <w:rsid w:val="00943F2D"/>
    <w:rsid w:val="009460AA"/>
    <w:rsid w:val="00947066"/>
    <w:rsid w:val="00951978"/>
    <w:rsid w:val="0095747F"/>
    <w:rsid w:val="00961A4A"/>
    <w:rsid w:val="009661DE"/>
    <w:rsid w:val="009736D6"/>
    <w:rsid w:val="00983C25"/>
    <w:rsid w:val="009856B7"/>
    <w:rsid w:val="00985C86"/>
    <w:rsid w:val="009A5FC3"/>
    <w:rsid w:val="009B74B0"/>
    <w:rsid w:val="009D285B"/>
    <w:rsid w:val="009D6B46"/>
    <w:rsid w:val="009F4940"/>
    <w:rsid w:val="009F5BA1"/>
    <w:rsid w:val="00A02A88"/>
    <w:rsid w:val="00A0562E"/>
    <w:rsid w:val="00A0726D"/>
    <w:rsid w:val="00A07BC3"/>
    <w:rsid w:val="00A27E65"/>
    <w:rsid w:val="00A32FBB"/>
    <w:rsid w:val="00A428EE"/>
    <w:rsid w:val="00A4478A"/>
    <w:rsid w:val="00A44852"/>
    <w:rsid w:val="00A57D04"/>
    <w:rsid w:val="00A60A26"/>
    <w:rsid w:val="00A61598"/>
    <w:rsid w:val="00A62CF9"/>
    <w:rsid w:val="00A7412B"/>
    <w:rsid w:val="00A84A99"/>
    <w:rsid w:val="00A84F46"/>
    <w:rsid w:val="00A871F4"/>
    <w:rsid w:val="00A9021D"/>
    <w:rsid w:val="00AA67B4"/>
    <w:rsid w:val="00AC1B2C"/>
    <w:rsid w:val="00AC3264"/>
    <w:rsid w:val="00AC7E70"/>
    <w:rsid w:val="00AD2DDE"/>
    <w:rsid w:val="00AE1BF1"/>
    <w:rsid w:val="00AE4815"/>
    <w:rsid w:val="00AE5088"/>
    <w:rsid w:val="00AF0DD2"/>
    <w:rsid w:val="00AF544A"/>
    <w:rsid w:val="00B13048"/>
    <w:rsid w:val="00B1716D"/>
    <w:rsid w:val="00B17A1D"/>
    <w:rsid w:val="00B207A0"/>
    <w:rsid w:val="00B21680"/>
    <w:rsid w:val="00B369D9"/>
    <w:rsid w:val="00B41768"/>
    <w:rsid w:val="00B514DD"/>
    <w:rsid w:val="00B52AF0"/>
    <w:rsid w:val="00B561BD"/>
    <w:rsid w:val="00B56E03"/>
    <w:rsid w:val="00B665A4"/>
    <w:rsid w:val="00B8080B"/>
    <w:rsid w:val="00B87BA5"/>
    <w:rsid w:val="00B87C39"/>
    <w:rsid w:val="00BA2E8A"/>
    <w:rsid w:val="00BA4665"/>
    <w:rsid w:val="00BB2FB2"/>
    <w:rsid w:val="00BB3304"/>
    <w:rsid w:val="00BD0E5C"/>
    <w:rsid w:val="00BD3446"/>
    <w:rsid w:val="00BE1F1B"/>
    <w:rsid w:val="00BE47B5"/>
    <w:rsid w:val="00C25072"/>
    <w:rsid w:val="00C25FA6"/>
    <w:rsid w:val="00C538A9"/>
    <w:rsid w:val="00C53B5A"/>
    <w:rsid w:val="00C54F5A"/>
    <w:rsid w:val="00C569B4"/>
    <w:rsid w:val="00C6490C"/>
    <w:rsid w:val="00C67A92"/>
    <w:rsid w:val="00C8270C"/>
    <w:rsid w:val="00C836EF"/>
    <w:rsid w:val="00C86679"/>
    <w:rsid w:val="00C87ECC"/>
    <w:rsid w:val="00CA489E"/>
    <w:rsid w:val="00CB0279"/>
    <w:rsid w:val="00CB666B"/>
    <w:rsid w:val="00CC7F1D"/>
    <w:rsid w:val="00D006AE"/>
    <w:rsid w:val="00D01CF0"/>
    <w:rsid w:val="00D0442A"/>
    <w:rsid w:val="00D454C4"/>
    <w:rsid w:val="00D61388"/>
    <w:rsid w:val="00D61A54"/>
    <w:rsid w:val="00D6375D"/>
    <w:rsid w:val="00D64DEA"/>
    <w:rsid w:val="00D67509"/>
    <w:rsid w:val="00D7168E"/>
    <w:rsid w:val="00D71E57"/>
    <w:rsid w:val="00D80893"/>
    <w:rsid w:val="00D84854"/>
    <w:rsid w:val="00D92CF1"/>
    <w:rsid w:val="00D92D38"/>
    <w:rsid w:val="00D950F5"/>
    <w:rsid w:val="00DA4752"/>
    <w:rsid w:val="00DA6199"/>
    <w:rsid w:val="00DA61F3"/>
    <w:rsid w:val="00DB0A50"/>
    <w:rsid w:val="00DB0F93"/>
    <w:rsid w:val="00DB1A67"/>
    <w:rsid w:val="00DB5074"/>
    <w:rsid w:val="00DC7981"/>
    <w:rsid w:val="00DE1093"/>
    <w:rsid w:val="00DE4EFA"/>
    <w:rsid w:val="00DE5520"/>
    <w:rsid w:val="00DE563D"/>
    <w:rsid w:val="00DE6F6C"/>
    <w:rsid w:val="00E0068B"/>
    <w:rsid w:val="00E04818"/>
    <w:rsid w:val="00E06442"/>
    <w:rsid w:val="00E23993"/>
    <w:rsid w:val="00E25B8C"/>
    <w:rsid w:val="00E444E7"/>
    <w:rsid w:val="00E463BF"/>
    <w:rsid w:val="00E555E5"/>
    <w:rsid w:val="00E65C85"/>
    <w:rsid w:val="00E66199"/>
    <w:rsid w:val="00E755EC"/>
    <w:rsid w:val="00E7624D"/>
    <w:rsid w:val="00EA16FE"/>
    <w:rsid w:val="00EA3D42"/>
    <w:rsid w:val="00EA6B1B"/>
    <w:rsid w:val="00EB44C8"/>
    <w:rsid w:val="00ED7323"/>
    <w:rsid w:val="00EE1407"/>
    <w:rsid w:val="00EE28F3"/>
    <w:rsid w:val="00EF5110"/>
    <w:rsid w:val="00F10411"/>
    <w:rsid w:val="00F15882"/>
    <w:rsid w:val="00F171E0"/>
    <w:rsid w:val="00F20BD3"/>
    <w:rsid w:val="00F26694"/>
    <w:rsid w:val="00F373A5"/>
    <w:rsid w:val="00F47559"/>
    <w:rsid w:val="00F52EF1"/>
    <w:rsid w:val="00F64C7B"/>
    <w:rsid w:val="00F676DD"/>
    <w:rsid w:val="00F7512B"/>
    <w:rsid w:val="00F75A26"/>
    <w:rsid w:val="00F76706"/>
    <w:rsid w:val="00F83FAD"/>
    <w:rsid w:val="00F952A0"/>
    <w:rsid w:val="00FA0CA6"/>
    <w:rsid w:val="00FA3C7F"/>
    <w:rsid w:val="00FB74E2"/>
    <w:rsid w:val="00FC10C4"/>
    <w:rsid w:val="00FD5614"/>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69449D"/>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69449D"/>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aemc.gov.au/getattachment/f866b41b-753b-471c-91cf-4f558ca130b2/Final-rule-determination.aspx"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AE027F-F66C-4519-AB43-B1152CAE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23412E</Template>
  <TotalTime>0</TotalTime>
  <Pages>10</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2015-10-24T08:46:00Z</dcterms:created>
  <dcterms:modified xsi:type="dcterms:W3CDTF">2015-10-24T08:46:00Z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8429764</vt:lpwstr>
  </property>
  <property fmtid="{D5CDD505-2E9C-101B-9397-08002B2CF9AE}" pid="3" name="_MarkAsFinal">
    <vt:bool>true</vt:bool>
  </property>
</Properties>
</file>